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FE69" w14:textId="1D9EA3A8" w:rsidR="00A76ED5" w:rsidRPr="00710874" w:rsidRDefault="00BD64D7" w:rsidP="00A04615">
      <w:pPr>
        <w:spacing w:after="0"/>
        <w:rPr>
          <w:rFonts w:ascii="Times New Roman" w:hAnsi="Times New Roman" w:cs="Times New Roman"/>
          <w:color w:val="000000" w:themeColor="text1"/>
          <w:sz w:val="24"/>
          <w:szCs w:val="24"/>
          <w:lang w:val="en-US"/>
        </w:rPr>
      </w:pPr>
      <w:r w:rsidRPr="00710874">
        <w:rPr>
          <w:rFonts w:ascii="Times New Roman" w:hAnsi="Times New Roman" w:cs="Times New Roman"/>
          <w:b/>
          <w:color w:val="000000" w:themeColor="text1"/>
          <w:sz w:val="24"/>
          <w:szCs w:val="24"/>
          <w:lang w:val="en-US"/>
        </w:rPr>
        <w:t>Title:</w:t>
      </w:r>
      <w:r w:rsidRPr="00710874">
        <w:rPr>
          <w:color w:val="000000" w:themeColor="text1"/>
          <w:sz w:val="24"/>
          <w:szCs w:val="24"/>
        </w:rPr>
        <w:t xml:space="preserve"> </w:t>
      </w:r>
      <w:r w:rsidR="00A76ED5" w:rsidRPr="00710874">
        <w:rPr>
          <w:rFonts w:ascii="Times New Roman" w:hAnsi="Times New Roman" w:cs="Times New Roman"/>
          <w:color w:val="000000" w:themeColor="text1"/>
          <w:sz w:val="24"/>
          <w:szCs w:val="24"/>
          <w:lang w:val="en-US"/>
        </w:rPr>
        <w:t>Alpha-band activity tracks the</w:t>
      </w:r>
      <w:r w:rsidR="004D0473" w:rsidRPr="00710874">
        <w:rPr>
          <w:rFonts w:ascii="Times New Roman" w:hAnsi="Times New Roman" w:cs="Times New Roman"/>
          <w:color w:val="000000" w:themeColor="text1"/>
          <w:sz w:val="24"/>
          <w:szCs w:val="24"/>
          <w:lang w:val="en-US"/>
        </w:rPr>
        <w:t xml:space="preserve"> </w:t>
      </w:r>
      <w:r w:rsidR="00A76ED5" w:rsidRPr="00710874">
        <w:rPr>
          <w:rFonts w:ascii="Times New Roman" w:hAnsi="Times New Roman" w:cs="Times New Roman"/>
          <w:color w:val="000000" w:themeColor="text1"/>
          <w:sz w:val="24"/>
          <w:szCs w:val="24"/>
          <w:lang w:val="en-US"/>
        </w:rPr>
        <w:t>zoom lens of attention</w:t>
      </w:r>
    </w:p>
    <w:p w14:paraId="69F91688" w14:textId="1CA0F113" w:rsidR="00A04615" w:rsidRPr="00710874" w:rsidRDefault="00A04615" w:rsidP="00A04615">
      <w:pPr>
        <w:spacing w:after="0"/>
        <w:rPr>
          <w:rFonts w:ascii="Times New Roman" w:hAnsi="Times New Roman" w:cs="Times New Roman"/>
          <w:color w:val="000000" w:themeColor="text1"/>
          <w:sz w:val="24"/>
          <w:szCs w:val="24"/>
          <w:lang w:val="en-US"/>
        </w:rPr>
      </w:pPr>
    </w:p>
    <w:p w14:paraId="654D1D92" w14:textId="0A4470E2" w:rsidR="00A13E18" w:rsidRPr="00710874" w:rsidRDefault="00A13E18" w:rsidP="00A04615">
      <w:pPr>
        <w:spacing w:after="0"/>
        <w:rPr>
          <w:rFonts w:ascii="Times New Roman" w:hAnsi="Times New Roman" w:cs="Times New Roman"/>
          <w:color w:val="000000" w:themeColor="text1"/>
          <w:sz w:val="24"/>
          <w:szCs w:val="24"/>
          <w:lang w:val="en-US"/>
        </w:rPr>
      </w:pPr>
      <w:r w:rsidRPr="00710874">
        <w:rPr>
          <w:rFonts w:ascii="Times New Roman" w:hAnsi="Times New Roman" w:cs="Times New Roman"/>
          <w:b/>
          <w:bCs/>
          <w:color w:val="000000" w:themeColor="text1"/>
          <w:sz w:val="24"/>
          <w:szCs w:val="24"/>
          <w:lang w:val="en-US"/>
        </w:rPr>
        <w:t>Abbreviated title:</w:t>
      </w:r>
      <w:r w:rsidRPr="00710874">
        <w:rPr>
          <w:rFonts w:ascii="Times New Roman" w:hAnsi="Times New Roman" w:cs="Times New Roman"/>
          <w:color w:val="000000" w:themeColor="text1"/>
          <w:sz w:val="24"/>
          <w:szCs w:val="24"/>
          <w:lang w:val="en-US"/>
        </w:rPr>
        <w:t xml:space="preserve"> Alpha-band activity tracks zoom lens of attention</w:t>
      </w:r>
    </w:p>
    <w:p w14:paraId="15DC97B9" w14:textId="77777777" w:rsidR="00BD64D7" w:rsidRPr="00710874" w:rsidRDefault="00BD64D7" w:rsidP="00BD64D7">
      <w:pPr>
        <w:spacing w:after="0"/>
        <w:rPr>
          <w:rFonts w:ascii="Times New Roman" w:hAnsi="Times New Roman" w:cs="Times New Roman"/>
          <w:b/>
          <w:color w:val="000000" w:themeColor="text1"/>
          <w:sz w:val="24"/>
          <w:szCs w:val="24"/>
          <w:lang w:val="en-US"/>
        </w:rPr>
      </w:pPr>
    </w:p>
    <w:p w14:paraId="4AB54210" w14:textId="45F6E275" w:rsidR="00BD64D7" w:rsidRPr="00710874" w:rsidRDefault="00BD64D7" w:rsidP="00B32782">
      <w:pPr>
        <w:spacing w:after="0"/>
        <w:rPr>
          <w:rFonts w:ascii="Times New Roman" w:hAnsi="Times New Roman" w:cs="Times New Roman"/>
          <w:color w:val="000000" w:themeColor="text1"/>
          <w:sz w:val="24"/>
          <w:szCs w:val="24"/>
          <w:vertAlign w:val="superscript"/>
          <w:lang w:val="en-US"/>
        </w:rPr>
      </w:pPr>
      <w:r w:rsidRPr="00710874">
        <w:rPr>
          <w:rFonts w:ascii="Times New Roman" w:hAnsi="Times New Roman" w:cs="Times New Roman"/>
          <w:b/>
          <w:color w:val="000000" w:themeColor="text1"/>
          <w:sz w:val="24"/>
          <w:szCs w:val="24"/>
          <w:lang w:val="en-US"/>
        </w:rPr>
        <w:t xml:space="preserve">Authors: </w:t>
      </w:r>
      <w:r w:rsidRPr="00710874">
        <w:rPr>
          <w:rFonts w:ascii="Times New Roman" w:hAnsi="Times New Roman" w:cs="Times New Roman"/>
          <w:color w:val="000000" w:themeColor="text1"/>
          <w:sz w:val="24"/>
          <w:szCs w:val="24"/>
          <w:lang w:val="en-US"/>
        </w:rPr>
        <w:t>Tobias Feldmann-Wüstefeld</w:t>
      </w:r>
      <w:r w:rsidR="00830534" w:rsidRPr="00710874">
        <w:rPr>
          <w:rFonts w:ascii="Times New Roman" w:hAnsi="Times New Roman" w:cs="Times New Roman"/>
          <w:color w:val="000000" w:themeColor="text1"/>
          <w:sz w:val="24"/>
          <w:szCs w:val="24"/>
          <w:vertAlign w:val="superscript"/>
          <w:lang w:val="en-US"/>
        </w:rPr>
        <w:t>1</w:t>
      </w:r>
      <w:r w:rsidRPr="00710874">
        <w:rPr>
          <w:rFonts w:ascii="Times New Roman" w:hAnsi="Times New Roman" w:cs="Times New Roman"/>
          <w:color w:val="000000" w:themeColor="text1"/>
          <w:sz w:val="24"/>
          <w:szCs w:val="24"/>
          <w:lang w:val="en-US"/>
        </w:rPr>
        <w:t xml:space="preserve"> </w:t>
      </w:r>
      <w:r w:rsidR="00B32782" w:rsidRPr="00710874">
        <w:rPr>
          <w:rFonts w:ascii="Times New Roman" w:hAnsi="Times New Roman" w:cs="Times New Roman"/>
          <w:color w:val="000000" w:themeColor="text1"/>
          <w:sz w:val="24"/>
          <w:szCs w:val="24"/>
          <w:lang w:val="en-US"/>
        </w:rPr>
        <w:t xml:space="preserve">and </w:t>
      </w:r>
      <w:r w:rsidRPr="00710874">
        <w:rPr>
          <w:rFonts w:ascii="Times New Roman" w:hAnsi="Times New Roman" w:cs="Times New Roman"/>
          <w:color w:val="000000" w:themeColor="text1"/>
          <w:sz w:val="24"/>
          <w:szCs w:val="24"/>
          <w:lang w:val="en-US"/>
        </w:rPr>
        <w:t>Edward Awh</w:t>
      </w:r>
      <w:r w:rsidR="00830534" w:rsidRPr="00710874">
        <w:rPr>
          <w:rFonts w:ascii="Times New Roman" w:hAnsi="Times New Roman" w:cs="Times New Roman"/>
          <w:color w:val="000000" w:themeColor="text1"/>
          <w:sz w:val="24"/>
          <w:szCs w:val="24"/>
          <w:vertAlign w:val="superscript"/>
          <w:lang w:val="en-US"/>
        </w:rPr>
        <w:t>2</w:t>
      </w:r>
    </w:p>
    <w:p w14:paraId="26B43FF3" w14:textId="77777777" w:rsidR="00BD64D7" w:rsidRPr="00710874" w:rsidRDefault="00BD64D7" w:rsidP="00BD64D7">
      <w:pPr>
        <w:spacing w:after="0"/>
        <w:rPr>
          <w:rFonts w:ascii="Times New Roman" w:hAnsi="Times New Roman" w:cs="Times New Roman"/>
          <w:color w:val="000000" w:themeColor="text1"/>
          <w:sz w:val="24"/>
          <w:szCs w:val="24"/>
          <w:lang w:val="en-US"/>
        </w:rPr>
      </w:pPr>
    </w:p>
    <w:p w14:paraId="6B2D9B5D" w14:textId="77777777" w:rsidR="00A04615" w:rsidRPr="00710874" w:rsidRDefault="00A04615" w:rsidP="00BD64D7">
      <w:pPr>
        <w:spacing w:after="0" w:line="480" w:lineRule="auto"/>
        <w:jc w:val="both"/>
        <w:rPr>
          <w:rFonts w:ascii="Times New Roman" w:hAnsi="Times New Roman" w:cs="Times New Roman"/>
          <w:b/>
          <w:color w:val="000000" w:themeColor="text1"/>
          <w:sz w:val="24"/>
          <w:szCs w:val="24"/>
          <w:lang w:val="en-US"/>
        </w:rPr>
      </w:pPr>
    </w:p>
    <w:p w14:paraId="6C060279" w14:textId="13E24995" w:rsidR="00830534" w:rsidRPr="00710874" w:rsidRDefault="00BD64D7" w:rsidP="00BD64D7">
      <w:pPr>
        <w:spacing w:after="0" w:line="480" w:lineRule="auto"/>
        <w:jc w:val="both"/>
        <w:rPr>
          <w:rFonts w:ascii="Times New Roman" w:hAnsi="Times New Roman" w:cs="Times New Roman"/>
          <w:color w:val="000000" w:themeColor="text1"/>
          <w:sz w:val="24"/>
          <w:szCs w:val="24"/>
          <w:lang w:val="en-US"/>
        </w:rPr>
      </w:pPr>
      <w:r w:rsidRPr="00710874">
        <w:rPr>
          <w:rFonts w:ascii="Times New Roman" w:hAnsi="Times New Roman" w:cs="Times New Roman"/>
          <w:b/>
          <w:color w:val="000000" w:themeColor="text1"/>
          <w:sz w:val="24"/>
          <w:szCs w:val="24"/>
          <w:lang w:val="en-US"/>
        </w:rPr>
        <w:t>Affiliation</w:t>
      </w:r>
      <w:r w:rsidR="00830534" w:rsidRPr="00710874">
        <w:rPr>
          <w:rFonts w:ascii="Times New Roman" w:hAnsi="Times New Roman" w:cs="Times New Roman"/>
          <w:b/>
          <w:color w:val="000000" w:themeColor="text1"/>
          <w:sz w:val="24"/>
          <w:szCs w:val="24"/>
          <w:lang w:val="en-US"/>
        </w:rPr>
        <w:t>s</w:t>
      </w:r>
      <w:r w:rsidRPr="00710874">
        <w:rPr>
          <w:rFonts w:ascii="Times New Roman" w:hAnsi="Times New Roman" w:cs="Times New Roman"/>
          <w:b/>
          <w:color w:val="000000" w:themeColor="text1"/>
          <w:sz w:val="24"/>
          <w:szCs w:val="24"/>
          <w:lang w:val="en-US"/>
        </w:rPr>
        <w:t>:</w:t>
      </w:r>
    </w:p>
    <w:p w14:paraId="3D99DAD0" w14:textId="7EAB36A2" w:rsidR="00830534" w:rsidRPr="00710874" w:rsidRDefault="00830534" w:rsidP="00BD64D7">
      <w:pPr>
        <w:spacing w:after="0" w:line="480" w:lineRule="auto"/>
        <w:jc w:val="both"/>
        <w:rPr>
          <w:rFonts w:ascii="Times New Roman" w:hAnsi="Times New Roman" w:cs="Times New Roman"/>
          <w:color w:val="000000" w:themeColor="text1"/>
          <w:sz w:val="24"/>
          <w:szCs w:val="24"/>
          <w:lang w:val="en-US"/>
        </w:rPr>
      </w:pPr>
      <w:r w:rsidRPr="00710874">
        <w:rPr>
          <w:rFonts w:ascii="Times New Roman" w:hAnsi="Times New Roman" w:cs="Times New Roman"/>
          <w:color w:val="000000" w:themeColor="text1"/>
          <w:sz w:val="24"/>
          <w:szCs w:val="24"/>
          <w:vertAlign w:val="superscript"/>
          <w:lang w:val="en-US"/>
        </w:rPr>
        <w:t>1</w:t>
      </w:r>
      <w:r w:rsidRPr="00710874">
        <w:rPr>
          <w:rFonts w:ascii="Times New Roman" w:hAnsi="Times New Roman" w:cs="Times New Roman"/>
          <w:color w:val="000000" w:themeColor="text1"/>
          <w:sz w:val="24"/>
          <w:szCs w:val="24"/>
          <w:lang w:val="en-US"/>
        </w:rPr>
        <w:t xml:space="preserve"> University of Southampton, School of Psychology</w:t>
      </w:r>
    </w:p>
    <w:p w14:paraId="095BEF53" w14:textId="4F87DEA2" w:rsidR="00A13E18" w:rsidRPr="00710874" w:rsidRDefault="00A13E18" w:rsidP="00BD64D7">
      <w:pPr>
        <w:spacing w:after="0" w:line="480" w:lineRule="auto"/>
        <w:jc w:val="both"/>
        <w:rPr>
          <w:rFonts w:ascii="Times New Roman" w:hAnsi="Times New Roman" w:cs="Times New Roman"/>
          <w:color w:val="000000" w:themeColor="text1"/>
          <w:sz w:val="24"/>
          <w:szCs w:val="24"/>
          <w:lang w:val="en-US"/>
        </w:rPr>
      </w:pPr>
      <w:r w:rsidRPr="00710874">
        <w:rPr>
          <w:rFonts w:ascii="Times New Roman" w:hAnsi="Times New Roman" w:cs="Times New Roman"/>
          <w:color w:val="000000" w:themeColor="text1"/>
          <w:sz w:val="24"/>
          <w:szCs w:val="24"/>
          <w:lang w:val="en-US"/>
        </w:rPr>
        <w:t>Highfield Campus B44, SO172BJ Southampton, UK</w:t>
      </w:r>
    </w:p>
    <w:p w14:paraId="2A74DE5F" w14:textId="77777777" w:rsidR="00A13E18" w:rsidRPr="00710874" w:rsidRDefault="00A13E18" w:rsidP="00BD64D7">
      <w:pPr>
        <w:spacing w:after="0" w:line="480" w:lineRule="auto"/>
        <w:jc w:val="both"/>
        <w:rPr>
          <w:rFonts w:ascii="Times New Roman" w:hAnsi="Times New Roman" w:cs="Times New Roman"/>
          <w:color w:val="000000" w:themeColor="text1"/>
          <w:sz w:val="24"/>
          <w:szCs w:val="24"/>
          <w:lang w:val="en-US"/>
        </w:rPr>
      </w:pPr>
    </w:p>
    <w:p w14:paraId="526C24F8" w14:textId="60839D1B" w:rsidR="00BD64D7" w:rsidRPr="00710874" w:rsidRDefault="00830534" w:rsidP="00BD64D7">
      <w:pPr>
        <w:spacing w:after="0" w:line="480" w:lineRule="auto"/>
        <w:jc w:val="both"/>
        <w:rPr>
          <w:rFonts w:ascii="Times New Roman" w:hAnsi="Times New Roman" w:cs="Times New Roman"/>
          <w:color w:val="000000" w:themeColor="text1"/>
          <w:sz w:val="24"/>
          <w:szCs w:val="24"/>
          <w:lang w:val="en-US"/>
        </w:rPr>
      </w:pPr>
      <w:r w:rsidRPr="00710874">
        <w:rPr>
          <w:rFonts w:ascii="Times New Roman" w:hAnsi="Times New Roman" w:cs="Times New Roman"/>
          <w:color w:val="000000" w:themeColor="text1"/>
          <w:sz w:val="24"/>
          <w:szCs w:val="24"/>
          <w:vertAlign w:val="superscript"/>
          <w:lang w:val="en-US"/>
        </w:rPr>
        <w:t>2</w:t>
      </w:r>
      <w:r w:rsidRPr="00710874">
        <w:rPr>
          <w:rFonts w:ascii="Times New Roman" w:hAnsi="Times New Roman" w:cs="Times New Roman"/>
          <w:color w:val="000000" w:themeColor="text1"/>
          <w:sz w:val="24"/>
          <w:szCs w:val="24"/>
          <w:lang w:val="en-US"/>
        </w:rPr>
        <w:t xml:space="preserve"> </w:t>
      </w:r>
      <w:r w:rsidR="00BD64D7" w:rsidRPr="00710874">
        <w:rPr>
          <w:rFonts w:ascii="Times New Roman" w:hAnsi="Times New Roman" w:cs="Times New Roman"/>
          <w:color w:val="000000" w:themeColor="text1"/>
          <w:sz w:val="24"/>
          <w:szCs w:val="24"/>
          <w:lang w:val="en-US"/>
        </w:rPr>
        <w:t>University of Chicago, Department of Psychology</w:t>
      </w:r>
    </w:p>
    <w:p w14:paraId="342EF04C" w14:textId="267CB694" w:rsidR="00A13E18" w:rsidRPr="00710874" w:rsidRDefault="00A13E18" w:rsidP="00BD64D7">
      <w:pPr>
        <w:spacing w:after="0" w:line="480" w:lineRule="auto"/>
        <w:jc w:val="both"/>
        <w:rPr>
          <w:rFonts w:asciiTheme="majorBidi" w:hAnsiTheme="majorBidi" w:cstheme="majorBidi"/>
          <w:color w:val="000000" w:themeColor="text1"/>
          <w:sz w:val="24"/>
          <w:szCs w:val="24"/>
          <w:lang w:val="en-US"/>
        </w:rPr>
      </w:pPr>
      <w:r w:rsidRPr="00710874">
        <w:rPr>
          <w:rFonts w:asciiTheme="majorBidi" w:hAnsiTheme="majorBidi" w:cstheme="majorBidi"/>
          <w:color w:val="000000" w:themeColor="text1"/>
          <w:sz w:val="24"/>
          <w:szCs w:val="24"/>
          <w:lang w:val="en-US"/>
        </w:rPr>
        <w:t>940 E 57</w:t>
      </w:r>
      <w:r w:rsidRPr="00710874">
        <w:rPr>
          <w:rFonts w:asciiTheme="majorBidi" w:hAnsiTheme="majorBidi" w:cstheme="majorBidi"/>
          <w:color w:val="000000" w:themeColor="text1"/>
          <w:sz w:val="24"/>
          <w:szCs w:val="24"/>
          <w:vertAlign w:val="superscript"/>
          <w:lang w:val="en-US"/>
        </w:rPr>
        <w:t>th</w:t>
      </w:r>
      <w:r w:rsidRPr="00710874">
        <w:rPr>
          <w:rFonts w:asciiTheme="majorBidi" w:hAnsiTheme="majorBidi" w:cstheme="majorBidi"/>
          <w:color w:val="000000" w:themeColor="text1"/>
          <w:sz w:val="24"/>
          <w:szCs w:val="24"/>
          <w:lang w:val="en-US"/>
        </w:rPr>
        <w:t xml:space="preserve"> Street, Chicago, IL-60637</w:t>
      </w:r>
    </w:p>
    <w:p w14:paraId="19D31BE8" w14:textId="77777777" w:rsidR="00BD64D7" w:rsidRPr="00710874" w:rsidRDefault="00BD64D7" w:rsidP="00BD64D7">
      <w:pPr>
        <w:spacing w:after="0" w:line="480" w:lineRule="auto"/>
        <w:jc w:val="both"/>
        <w:rPr>
          <w:rFonts w:asciiTheme="majorBidi" w:hAnsiTheme="majorBidi" w:cstheme="majorBidi"/>
          <w:color w:val="000000" w:themeColor="text1"/>
          <w:sz w:val="24"/>
          <w:szCs w:val="24"/>
          <w:lang w:val="en-US"/>
        </w:rPr>
      </w:pPr>
    </w:p>
    <w:p w14:paraId="683ADE1B" w14:textId="77777777" w:rsidR="00A04615" w:rsidRPr="00710874" w:rsidRDefault="00A04615" w:rsidP="00BD64D7">
      <w:pPr>
        <w:spacing w:after="0" w:line="480" w:lineRule="auto"/>
        <w:jc w:val="both"/>
        <w:rPr>
          <w:rFonts w:asciiTheme="majorBidi" w:hAnsiTheme="majorBidi" w:cstheme="majorBidi"/>
          <w:b/>
          <w:color w:val="000000" w:themeColor="text1"/>
          <w:sz w:val="24"/>
          <w:szCs w:val="24"/>
          <w:lang w:val="en-US"/>
        </w:rPr>
      </w:pPr>
    </w:p>
    <w:p w14:paraId="52E256A4" w14:textId="3567AA72" w:rsidR="00BD64D7" w:rsidRPr="00710874" w:rsidRDefault="00BD64D7" w:rsidP="00BD64D7">
      <w:pPr>
        <w:spacing w:after="0" w:line="480" w:lineRule="auto"/>
        <w:jc w:val="both"/>
        <w:rPr>
          <w:rFonts w:asciiTheme="majorBidi" w:hAnsiTheme="majorBidi" w:cstheme="majorBidi"/>
          <w:b/>
          <w:color w:val="000000" w:themeColor="text1"/>
          <w:sz w:val="24"/>
          <w:szCs w:val="24"/>
          <w:lang w:val="en-US"/>
        </w:rPr>
      </w:pPr>
      <w:r w:rsidRPr="00710874">
        <w:rPr>
          <w:rFonts w:asciiTheme="majorBidi" w:hAnsiTheme="majorBidi" w:cstheme="majorBidi"/>
          <w:b/>
          <w:color w:val="000000" w:themeColor="text1"/>
          <w:sz w:val="24"/>
          <w:szCs w:val="24"/>
          <w:lang w:val="en-US"/>
        </w:rPr>
        <w:t>Contact information (corresponding author):</w:t>
      </w:r>
    </w:p>
    <w:p w14:paraId="5022B6BB" w14:textId="77777777" w:rsidR="00BD64D7" w:rsidRPr="00710874" w:rsidRDefault="00BD64D7" w:rsidP="00BD64D7">
      <w:pPr>
        <w:spacing w:after="0" w:line="480" w:lineRule="auto"/>
        <w:jc w:val="both"/>
        <w:rPr>
          <w:rFonts w:asciiTheme="majorBidi" w:hAnsiTheme="majorBidi" w:cstheme="majorBidi"/>
          <w:color w:val="000000" w:themeColor="text1"/>
          <w:sz w:val="24"/>
          <w:szCs w:val="24"/>
          <w:lang w:val="en-US"/>
        </w:rPr>
      </w:pPr>
      <w:r w:rsidRPr="00710874">
        <w:rPr>
          <w:rFonts w:asciiTheme="majorBidi" w:hAnsiTheme="majorBidi" w:cstheme="majorBidi"/>
          <w:color w:val="000000" w:themeColor="text1"/>
          <w:sz w:val="24"/>
          <w:szCs w:val="24"/>
          <w:lang w:val="en-US"/>
        </w:rPr>
        <w:t>Tobias Feldmann-Wüstefeld</w:t>
      </w:r>
    </w:p>
    <w:p w14:paraId="6562B1EF" w14:textId="7B1AB19A" w:rsidR="00830534" w:rsidRPr="00710874" w:rsidRDefault="00810387" w:rsidP="00BD64D7">
      <w:pPr>
        <w:spacing w:after="0" w:line="480" w:lineRule="auto"/>
        <w:jc w:val="both"/>
        <w:rPr>
          <w:rStyle w:val="Hyperlink"/>
          <w:rFonts w:asciiTheme="majorBidi" w:hAnsiTheme="majorBidi" w:cstheme="majorBidi"/>
          <w:color w:val="000000" w:themeColor="text1"/>
          <w:sz w:val="24"/>
          <w:szCs w:val="24"/>
          <w:lang w:val="en-US"/>
        </w:rPr>
      </w:pPr>
      <w:hyperlink r:id="rId7" w:history="1">
        <w:r w:rsidR="00B2094D" w:rsidRPr="00710874">
          <w:rPr>
            <w:rStyle w:val="Hyperlink"/>
            <w:rFonts w:asciiTheme="majorBidi" w:hAnsiTheme="majorBidi" w:cstheme="majorBidi"/>
            <w:color w:val="000000" w:themeColor="text1"/>
            <w:sz w:val="24"/>
            <w:szCs w:val="24"/>
            <w:lang w:val="en-US"/>
          </w:rPr>
          <w:t>tobias.fw@soton.ac.uk</w:t>
        </w:r>
      </w:hyperlink>
    </w:p>
    <w:p w14:paraId="52BC4373" w14:textId="1B7478E8" w:rsidR="00A13E18" w:rsidRPr="00710874" w:rsidRDefault="00A13E18" w:rsidP="00976552">
      <w:pPr>
        <w:spacing w:after="0" w:line="360" w:lineRule="auto"/>
        <w:jc w:val="both"/>
        <w:rPr>
          <w:rStyle w:val="Hyperlink"/>
          <w:rFonts w:asciiTheme="majorBidi" w:hAnsiTheme="majorBidi" w:cstheme="majorBidi"/>
          <w:color w:val="000000" w:themeColor="text1"/>
          <w:sz w:val="24"/>
          <w:szCs w:val="24"/>
          <w:lang w:val="en-US"/>
        </w:rPr>
      </w:pPr>
    </w:p>
    <w:p w14:paraId="690A9D24" w14:textId="5DF4F173" w:rsidR="00A13E18" w:rsidRPr="00710874" w:rsidRDefault="002757C8" w:rsidP="00976552">
      <w:pPr>
        <w:spacing w:after="0" w:line="360" w:lineRule="auto"/>
        <w:rPr>
          <w:rFonts w:asciiTheme="majorBidi" w:hAnsiTheme="majorBidi" w:cstheme="majorBidi"/>
          <w:color w:val="000000" w:themeColor="text1"/>
          <w:sz w:val="24"/>
          <w:szCs w:val="24"/>
          <w:shd w:val="clear" w:color="auto" w:fill="FFFFFF"/>
        </w:rPr>
      </w:pPr>
      <w:r w:rsidRPr="00710874">
        <w:rPr>
          <w:rFonts w:asciiTheme="majorBidi" w:hAnsiTheme="majorBidi" w:cstheme="majorBidi"/>
          <w:color w:val="000000" w:themeColor="text1"/>
          <w:sz w:val="24"/>
          <w:szCs w:val="24"/>
          <w:shd w:val="clear" w:color="auto" w:fill="FFFFFF"/>
        </w:rPr>
        <w:t xml:space="preserve">Keywords: </w:t>
      </w:r>
      <w:r w:rsidR="00976552" w:rsidRPr="00710874">
        <w:rPr>
          <w:rFonts w:asciiTheme="majorBidi" w:hAnsiTheme="majorBidi" w:cstheme="majorBidi"/>
          <w:color w:val="000000" w:themeColor="text1"/>
          <w:sz w:val="24"/>
          <w:szCs w:val="24"/>
          <w:shd w:val="clear" w:color="auto" w:fill="FFFFFF"/>
        </w:rPr>
        <w:t xml:space="preserve">visual attention, covert attention, selective attention, EEG, inverted encoding model, alpha-band activity, </w:t>
      </w:r>
      <w:r w:rsidR="00B7049C" w:rsidRPr="00710874">
        <w:rPr>
          <w:rFonts w:asciiTheme="majorBidi" w:hAnsiTheme="majorBidi" w:cstheme="majorBidi"/>
          <w:color w:val="000000" w:themeColor="text1"/>
          <w:sz w:val="24"/>
          <w:szCs w:val="24"/>
          <w:shd w:val="clear" w:color="auto" w:fill="FFFFFF"/>
        </w:rPr>
        <w:t>zoom lens</w:t>
      </w:r>
    </w:p>
    <w:p w14:paraId="0EECF6DB" w14:textId="4E8551B9" w:rsidR="002757C8" w:rsidRPr="00710874" w:rsidRDefault="002757C8" w:rsidP="00976552">
      <w:pPr>
        <w:spacing w:after="0" w:line="360" w:lineRule="auto"/>
        <w:rPr>
          <w:rFonts w:asciiTheme="majorBidi" w:hAnsiTheme="majorBidi" w:cstheme="majorBidi"/>
          <w:color w:val="000000" w:themeColor="text1"/>
          <w:sz w:val="24"/>
          <w:szCs w:val="24"/>
          <w:shd w:val="clear" w:color="auto" w:fill="FFFFFF"/>
        </w:rPr>
      </w:pPr>
    </w:p>
    <w:p w14:paraId="6B9D152C" w14:textId="77777777" w:rsidR="00976552" w:rsidRPr="00710874" w:rsidRDefault="00976552" w:rsidP="00976552">
      <w:pPr>
        <w:spacing w:after="0" w:line="360" w:lineRule="auto"/>
        <w:rPr>
          <w:rFonts w:asciiTheme="majorBidi" w:hAnsiTheme="majorBidi" w:cstheme="majorBidi"/>
          <w:color w:val="000000" w:themeColor="text1"/>
          <w:sz w:val="24"/>
          <w:szCs w:val="24"/>
          <w:shd w:val="clear" w:color="auto" w:fill="FFFFFF"/>
        </w:rPr>
      </w:pPr>
    </w:p>
    <w:p w14:paraId="29D73581" w14:textId="1BBAE1FA" w:rsidR="00A13E18" w:rsidRPr="00710874" w:rsidRDefault="00B7049C" w:rsidP="00976552">
      <w:pPr>
        <w:spacing w:after="0" w:line="360" w:lineRule="auto"/>
        <w:rPr>
          <w:rFonts w:asciiTheme="majorBidi" w:hAnsiTheme="majorBidi" w:cstheme="majorBidi"/>
          <w:color w:val="000000" w:themeColor="text1"/>
          <w:sz w:val="24"/>
          <w:szCs w:val="24"/>
          <w:shd w:val="clear" w:color="auto" w:fill="FFFFFF"/>
        </w:rPr>
      </w:pPr>
      <w:r w:rsidRPr="00710874">
        <w:rPr>
          <w:rFonts w:asciiTheme="majorBidi" w:hAnsiTheme="majorBidi" w:cstheme="majorBidi"/>
          <w:color w:val="000000" w:themeColor="text1"/>
          <w:sz w:val="24"/>
          <w:szCs w:val="24"/>
          <w:shd w:val="clear" w:color="auto" w:fill="FFFFFF"/>
        </w:rPr>
        <w:t>Funding</w:t>
      </w:r>
      <w:r w:rsidR="00A13E18" w:rsidRPr="00710874">
        <w:rPr>
          <w:rFonts w:asciiTheme="majorBidi" w:hAnsiTheme="majorBidi" w:cstheme="majorBidi"/>
          <w:color w:val="000000" w:themeColor="text1"/>
          <w:sz w:val="24"/>
          <w:szCs w:val="24"/>
          <w:shd w:val="clear" w:color="auto" w:fill="FFFFFF"/>
        </w:rPr>
        <w:t>: This work was supported by National Institute of Mental Health [grant</w:t>
      </w:r>
    </w:p>
    <w:p w14:paraId="00796632" w14:textId="7CFF4E25" w:rsidR="00BD64D7" w:rsidRPr="00710874" w:rsidRDefault="00976552" w:rsidP="00976552">
      <w:pPr>
        <w:spacing w:after="0" w:line="360" w:lineRule="auto"/>
        <w:rPr>
          <w:rFonts w:ascii="Times New Roman" w:hAnsi="Times New Roman" w:cs="Times New Roman"/>
          <w:color w:val="000000" w:themeColor="text1"/>
          <w:lang w:val="en-US"/>
        </w:rPr>
      </w:pPr>
      <w:r w:rsidRPr="00710874">
        <w:rPr>
          <w:rFonts w:asciiTheme="majorBidi" w:hAnsiTheme="majorBidi" w:cstheme="majorBidi"/>
          <w:color w:val="000000" w:themeColor="text1"/>
          <w:sz w:val="24"/>
          <w:szCs w:val="24"/>
          <w:shd w:val="clear" w:color="auto" w:fill="FFFFFF"/>
        </w:rPr>
        <w:t>number 2R01MH087214-06A1].</w:t>
      </w:r>
      <w:r w:rsidR="00BD64D7" w:rsidRPr="00710874">
        <w:rPr>
          <w:rFonts w:ascii="Times New Roman" w:hAnsi="Times New Roman" w:cs="Times New Roman"/>
          <w:color w:val="000000" w:themeColor="text1"/>
          <w:lang w:val="en-US"/>
        </w:rPr>
        <w:br w:type="page"/>
      </w:r>
    </w:p>
    <w:p w14:paraId="68C30E93" w14:textId="2183C032" w:rsidR="00A13E18" w:rsidRPr="00710874" w:rsidRDefault="00A13E18" w:rsidP="00461020">
      <w:pPr>
        <w:spacing w:line="480" w:lineRule="auto"/>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lastRenderedPageBreak/>
        <w:t>Abstract</w:t>
      </w:r>
      <w:bookmarkStart w:id="0" w:name="_GoBack"/>
      <w:bookmarkEnd w:id="0"/>
    </w:p>
    <w:p w14:paraId="69964FAA" w14:textId="465C7AC5" w:rsidR="008A2A38" w:rsidRPr="00710874" w:rsidRDefault="008B2072" w:rsidP="008B2072">
      <w:pPr>
        <w:spacing w:line="480" w:lineRule="auto"/>
        <w:jc w:val="both"/>
        <w:rPr>
          <w:rFonts w:ascii="Times New Roman" w:hAnsi="Times New Roman" w:cs="Times New Roman"/>
          <w:color w:val="000000" w:themeColor="text1"/>
        </w:rPr>
      </w:pPr>
      <w:r w:rsidRPr="00710874">
        <w:rPr>
          <w:rFonts w:ascii="Times New Roman" w:hAnsi="Times New Roman" w:cs="Times New Roman"/>
          <w:bCs/>
          <w:color w:val="000000" w:themeColor="text1"/>
          <w:lang w:val="en-US"/>
        </w:rPr>
        <w:t>Voluntary control over spatial attention has been likened to the operation of a zoom lens, such that processing quality declines as the size of the attended region increases, with a gradient of performance that peaks at the center of the selected area. Although concurrent changes in activity in visual regions suggest that zoom lens adjustments influence perceptual stages of processing, extant work has not distinguished between changes in the spatial selectivity of attention-driven neural activity, and baseline shift of activity that can increase mean levels of activity without changes in selectivity. Here, we distinguished between these alternatives by measuring EEG activity in humans to track preparatory changes in alpha activity that indexed the precise topography of attention across the possible target positions. We observed increased spatial selectivity in alpha activity when observers voluntarily directed attention towards</w:t>
      </w:r>
      <w:r w:rsidRPr="00710874">
        <w:rPr>
          <w:rFonts w:ascii="Times New Roman" w:hAnsi="Times New Roman" w:cs="Times New Roman"/>
          <w:color w:val="000000" w:themeColor="text1"/>
        </w:rPr>
        <w:t xml:space="preserve"> a narrower region of space, a pattern that was mirrored in target discrimination accuracy. Thus, alpha activity tracks both the centroid and spatial extent of covert spatial attention prior to the onset of the target display, lending support to the hypothesis that narrowing the zoom lens of attention shapes the initial encoding of sensory information. </w:t>
      </w:r>
      <w:r w:rsidR="008A2A38" w:rsidRPr="00710874">
        <w:rPr>
          <w:rFonts w:ascii="Times New Roman" w:hAnsi="Times New Roman" w:cs="Times New Roman"/>
          <w:b/>
          <w:color w:val="000000" w:themeColor="text1"/>
          <w:lang w:val="en-US"/>
        </w:rPr>
        <w:br w:type="page"/>
      </w:r>
    </w:p>
    <w:p w14:paraId="4C522BB5" w14:textId="17491423" w:rsidR="007665E8" w:rsidRPr="00710874" w:rsidRDefault="007665E8" w:rsidP="00BD64D7">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lastRenderedPageBreak/>
        <w:t>Introduction</w:t>
      </w:r>
    </w:p>
    <w:p w14:paraId="28AB88A6" w14:textId="655D12AF" w:rsidR="00A76ED5" w:rsidRPr="00710874" w:rsidRDefault="00A76ED5" w:rsidP="00F544ED">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Focusing visual attention improves processing at locations within the attended region </w:t>
      </w:r>
      <w:r w:rsidRPr="00710874">
        <w:rPr>
          <w:rFonts w:ascii="Times New Roman" w:hAnsi="Times New Roman" w:cs="Times New Roman"/>
          <w:color w:val="000000" w:themeColor="text1"/>
          <w:lang w:val="en-US"/>
        </w:rPr>
        <w:fldChar w:fldCharType="begin" w:fldLock="1"/>
      </w:r>
      <w:r w:rsidR="00007E14" w:rsidRPr="00710874">
        <w:rPr>
          <w:rFonts w:ascii="Times New Roman" w:hAnsi="Times New Roman" w:cs="Times New Roman"/>
          <w:color w:val="000000" w:themeColor="text1"/>
          <w:lang w:val="en-US"/>
        </w:rPr>
        <w:instrText xml:space="preserve"> ADDIN ZOTERO_ITEM CSL_CITATION {"citationID":"PpWSvKcg","properties":{"formattedCitation":"(Carrasco, 2011; Posner, Snyder, &amp; Davidson, 1980; Shaw &amp; Shaw, 1977)","plainCitation":"(Carrasco, 2011; Posner, Snyder, &amp; Davidson, 1980; Shaw &amp; Shaw, 1977)","noteIndex":0},"citationItems":[{"id":"UDPvIsdA/eJzGfINa","uris":["http://www.mendeley.com/documents/?uuid=bf626ae0-0886-4031-a1e8-f456d3d3cea0"],"uri":["http://www.mendeley.com/documents/?uuid=bf626ae0-0886-4031-a1e8-f456d3d3cea0"],"itemData":{"DOI":"10.1037//0096-3445.109.2.160","ISSN":"0022-1015","PMID":"7381367","abstract":"Detection of a visual signal requires information to reach a system capable of eliciting arbitrary responses required by the experimenter. Detection latencies are reduced when subjects receive a cue that indicates where in the visual field the signal will occur. This shift in efficiency appears to be due to an alignment (orienting) of the central attentional system with the pathways to be activated by the visual input. It would also be possible to describe these results as being due to a reduced criterion at the expected target position. However, this description ignores important constraints about the way in which expectancy improves performance. First, when subjects are cued on each trial, they show stronger expectancy effects than when a probable position is held constant for a block, indicating the active nature of the expectancy. Second, while information on spatial position improves performance, information on the form of the stimulus does not. Third, expectancy may lead to improvements in latency without a reduction in accuracy. Fourth, there appears to be little ability to lower the criterion at two positions that are not spatially contiguous. A framework involving the employment of a limited-capacity attentional mechanism seems to capture these constraints better than the more general language of criterion setting. Using this framework, we find that attention shifts are not closely related to the saccadic eye movement system. For luminance detection the retina appears to be equipotential with respect to attention shifts, since costs to unexpected stimuli are similar whether foveal or peripheral. These results appear to provide an important model system for the study of the relationship between attention and the structure of the visual system.","author":[{"dropping-particle":"","family":"Posner","given":"M. I.","non-dropping-particle":"","parse-names":false,"suffix":""},{"dropping-particle":"","family":"Snyder","given":"C. R.","non-dropping-particle":"","parse-names":false,"suffix":""},{"dropping-particle":"","family":"Davidson","given":"B. J.","non-dropping-particle":"","parse-names":false,"suffix":""}],"container-title":"Journal of Experimental Psychology","id":"ITEM-1","issue":"2","issued":{"date-parts":[["1980","6"]]},"page":"160-74","title":"Attention and the detection of signals.","type":"article-journal","volume":"109"}},{"id":"UDPvIsdA/xQZI8WIF","uris":["http://www.mendeley.com/documents/?uuid=fe8417a8-4778-4e1a-9b8a-26c7f941720a"],"uri":["http://www.mendeley.com/documents/?uuid=fe8417a8-4778-4e1a-9b8a-26c7f941720a"],"itemData":{"DOI":"10.1016/j.visres.2011.04.012","ISSN":"1878-5646","PMID":"21549742","abstract":"This review focuses on covert attention and how it alters early vision. I explain why attention is considered a selective process, the constructs of covert attention, spatial endogenous and exogenous attention, and feature-based attention. I explain how in the last 25 years research on attention has characterized the effects of covert attention on spatial filters and how attention influences the selection of stimuli of interest. This review includes the effects of spatial attention on discriminability and appearance in tasks mediated by contrast sensitivity and spatial resolution; the effects of feature-based attention on basic visual processes, and a comparison of the effects of spatial and feature-based attention. The emphasis of this review is on psychophysical studies, but relevant electrophysiological and neuroimaging studies and models regarding how and where neuronal responses are modulated are also discussed.","author":[{"dropping-particle":"","family":"Carrasco","given":"Marisa","non-dropping-particle":"","parse-names":false,"suffix":""}],"container-title":"Vision Research","id":"ITEM-2","issue":"13","issued":{"date-parts":[["2011","7","1"]]},"page":"1484-525","publisher":"Elsevier Ltd","title":"Visual attention: the past 25 years","type":"article-journal","volume":"51"}},{"id":"UDPvIsdA/XWSNBpgE","uris":["http://www.mendeley.com/documents/?uuid=f3bdc078-0888-4e52-b4d4-5a79fb5a4383"],"uri":["http://www.mendeley.com/documents/?uuid=f3bdc078-0888-4e52-b4d4-5a79fb5a4383"],"itemData":{"author":[{"dropping-particle":"","family":"Shaw","given":"Marilyn L","non-dropping-particle":"","parse-names":false,"suffix":""},{"dropping-particle":"","family":"Shaw","given":"Peter","non-dropping-particle":"","parse-names":false,"suffix":""}],"container-title":"Journal of experimental psychology. Human perception and performance","id":"ITEM-3","issue":"2","issued":{"date-parts":[["1977"]]},"page":"201-211","title":"Optimal Allocation of Cognitive Resources to Spatial Locations","type":"article-journal","volume":"3"}}],"schema":"https://github.com/citation-style-language/schema/raw/master/csl-citation.json"} </w:instrText>
      </w:r>
      <w:r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(Carrasco, 2011; Posner, Snyder, &amp; Davidson, 1980; Shaw &amp; Shaw, 1977)</w:t>
      </w:r>
      <w:r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 xml:space="preserve">. A long-standing model describes the distribution of attentional resources using a </w:t>
      </w:r>
      <w:r w:rsidRPr="00710874">
        <w:rPr>
          <w:rFonts w:ascii="Times New Roman" w:hAnsi="Times New Roman" w:cs="Times New Roman"/>
          <w:i/>
          <w:color w:val="000000" w:themeColor="text1"/>
          <w:lang w:val="en-US"/>
        </w:rPr>
        <w:t xml:space="preserve">zoom lens </w:t>
      </w:r>
      <w:r w:rsidRPr="00710874">
        <w:rPr>
          <w:rFonts w:ascii="Times New Roman" w:hAnsi="Times New Roman" w:cs="Times New Roman"/>
          <w:color w:val="000000" w:themeColor="text1"/>
          <w:lang w:val="en-US"/>
        </w:rPr>
        <w:t xml:space="preserve">metaphor </w:t>
      </w:r>
      <w:r w:rsidRPr="00710874">
        <w:rPr>
          <w:rFonts w:ascii="Times New Roman" w:hAnsi="Times New Roman" w:cs="Times New Roman"/>
          <w:color w:val="000000" w:themeColor="text1"/>
          <w:lang w:val="en-US"/>
        </w:rPr>
        <w:fldChar w:fldCharType="begin" w:fldLock="1"/>
      </w:r>
      <w:r w:rsidR="00007E14" w:rsidRPr="00710874">
        <w:rPr>
          <w:rFonts w:ascii="Times New Roman" w:hAnsi="Times New Roman" w:cs="Times New Roman"/>
          <w:color w:val="000000" w:themeColor="text1"/>
          <w:lang w:val="en-US"/>
        </w:rPr>
        <w:instrText xml:space="preserve"> ADDIN ZOTERO_ITEM CSL_CITATION {"citationID":"3AHZz4fu","properties":{"formattedCitation":"(Cave &amp; Bichot, 1999; Eriksen &amp; James, 1986)","plainCitation":"(Cave &amp; Bichot, 1999; Eriksen &amp; James, 1986)","noteIndex":0},"citationItems":[{"id":"UDPvIsdA/7qXr7HER","uris":["http://www.mendeley.com/documents/?uuid=62822b69-8921-4726-9395-0751304a8e8a"],"uri":["http://www.mendeley.com/documents/?uuid=62822b69-8921-4726-9395-0751304a8e8a"],"itemData":{"DOI":"10.3758/BF03211502","author":[{"dropping-particle":"","family":"Eriksen","given":"Charles W","non-dropping-particle":"","parse-names":false,"suffix":""},{"dropping-particle":"","family":"James","given":"JDS","non-dropping-particle":"","parse-names":false,"suffix":""}],"container-title":"Perception &amp; Psychophysics","id":"ITEM-1","issue":"4","issued":{"date-parts":[["1986"]]},"page":"225-240","title":"Visual attention within and around the field of focal attention: A zoom lens model","type":"article-journal","volume":"40"}},{"id":"UDPvIsdA/JPYAWJFs","uris":["http://www.mendeley.com/documents/?uuid=10277639-6b32-49a8-bfb8-5b1c4b9e60df"],"uri":["http://www.mendeley.com/documents/?uuid=10277639-6b32-49a8-bfb8-5b1c4b9e60df"],"itemData":{"author":[{"dropping-particle":"","family":"Cave","given":"Kyle R","non-dropping-particle":"","parse-names":false,"suffix":""},{"dropping-particle":"","family":"Bichot","given":"Narcisse P","non-dropping-particle":"","parse-names":false,"suffix":""}],"container-title":"Psychonomic Bulletin &amp; Review","id":"ITEM-2","issue":"2","issued":{"date-parts":[["1999"]]},"page":"204-223","title":"Visuospatial attention: Beyond a spotlight model","type":"article-journal","volume":"6"}}],"schema":"https://github.com/citation-style-language/schema/raw/master/csl-citation.json"} </w:instrText>
      </w:r>
      <w:r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(Cave &amp; Bichot, 1999; Eriksen &amp; James, 1986)</w:t>
      </w:r>
      <w:r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 xml:space="preserve"> with two defining features. First, attention is spread across space with a gradient of processing quality that declines at locations farther away from the central focus</w:t>
      </w:r>
      <w:r w:rsidR="00461020" w:rsidRPr="00710874">
        <w:rPr>
          <w:rFonts w:ascii="Times New Roman" w:hAnsi="Times New Roman" w:cs="Times New Roman"/>
          <w:color w:val="000000" w:themeColor="text1"/>
          <w:lang w:val="en-US"/>
        </w:rPr>
        <w:t xml:space="preserve"> </w:t>
      </w:r>
      <w:r w:rsidR="00461020"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{"citationID":"iuvevjzX","properties":{"formattedCitation":"(Beck &amp; Ambler, 1973; Downing, 1988; Eriksen &amp; James, 1986)","plainCitation":"(Beck &amp; Ambler, 1973; Downing, 1988; Eriksen &amp; James, 1986)","noteIndex":0},"citationItems":[{"id":1450,"uris":["http://zotero.org/users/4743004/items/GTZ8HUVF"],"uri":["http://zotero.org/users/4743004/items/GTZ8HUVF"],"itemData":{"id":1450,"type":"article-journal","title":"The effects of concentrated and distributed attention on peripheral acuity","container-title":"Perception &amp; Psychophysics","page":"225-230","volume":"14","issue":"2","DOI":"10.3758/BF03212381","author":[{"family":"Beck","given":"Jacob"},{"family":"Ambler","given":"Bruce"}],"issued":{"date-parts":[["1973",6]]}}},{"id":4111,"uris":["http://zotero.org/users/4743004/items/XD7C4XLD"],"uri":["http://zotero.org/users/4743004/items/XD7C4XLD"],"itemData":{"id":4111,"type":"article-journal","title":"Expectancy and visual-spatial attention: Effects on perceptual quality.","container-title":"Journal of Experimental Psychology: Human Perception and Performance","page":"188-202","volume":"14","issue":"2","source":"DOI.org (Crossref)","DOI":"10.1037/0096-1523.14.2.188","ISSN":"1939-1277, 0096-1523","title-short":"Expectancy and visual-spatial attention","journalAbbreviation":"Journal of Experimental Psychology: Human Perception and Performance","language":"en","author":[{"family":"Downing","given":"Cathryn J."}],"issued":{"date-parts":[["1988"]]}}},{"id":"UDPvIsdA/7qXr7HER","uris":["http://www.mendeley.com/documents/?uuid=62822b69-8921-4726-9395-0751304a8e8a"],"uri":["http://www.mendeley.com/documents/?uuid=62822b69-8921-4726-9395-0751304a8e8a"],"itemData":{"DOI":"10.3758/BF03211502","author":[{"dropping-particle":"","family":"Eriksen","given":"Charles W","non-dropping-particle":"","parse-names":false,"suffix":""},{"dropping-particle":"","family":"James","given":"JDS","non-dropping-particle":"","parse-names":false,"suffix":""}],"container-title":"Perception &amp; Psychophysics","id":"q5ugJh5w/iKiWIRHY","issue":"4","issued":{"date-parts":[["1986"]]},"page":"225-240","title":"Visual attention within and around the field of focal attention: A zoom lens model","type":"article-journal","volume":"40"}}],"schema":"https://github.com/citation-style-language/schema/raw/master/csl-citation.json"} </w:instrText>
      </w:r>
      <w:r w:rsidR="00461020"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(Beck &amp; Ambler, 1973; Downing, 1988; Eriksen &amp; James, 1986)</w:t>
      </w:r>
      <w:r w:rsidR="00461020"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w:t>
      </w:r>
      <w:r w:rsidR="009C228D" w:rsidRPr="00710874">
        <w:rPr>
          <w:rFonts w:ascii="Times New Roman" w:hAnsi="Times New Roman" w:cs="Times New Roman"/>
          <w:color w:val="000000" w:themeColor="text1"/>
          <w:lang w:val="en-US"/>
        </w:rPr>
        <w:t xml:space="preserve"> For example, the Eriksen flanker paradigm </w:t>
      </w:r>
      <w:r w:rsidR="009C228D" w:rsidRPr="00710874">
        <w:rPr>
          <w:rFonts w:ascii="Times New Roman" w:hAnsi="Times New Roman" w:cs="Times New Roman"/>
          <w:color w:val="000000" w:themeColor="text1"/>
        </w:rPr>
        <w:t xml:space="preserve">(Eriksen &amp; James, 1986) </w:t>
      </w:r>
      <w:r w:rsidR="00602807" w:rsidRPr="00710874">
        <w:rPr>
          <w:rFonts w:ascii="Times New Roman" w:hAnsi="Times New Roman" w:cs="Times New Roman"/>
          <w:color w:val="000000" w:themeColor="text1"/>
        </w:rPr>
        <w:t xml:space="preserve">has shown that as irrelevant distractors are presented closer to the center of the attended region, reaction times are slowed. Likewise, target processing </w:t>
      </w:r>
      <w:r w:rsidR="00636640" w:rsidRPr="00710874">
        <w:rPr>
          <w:rFonts w:ascii="Times New Roman" w:hAnsi="Times New Roman" w:cs="Times New Roman"/>
          <w:color w:val="000000" w:themeColor="text1"/>
        </w:rPr>
        <w:t xml:space="preserve">improves </w:t>
      </w:r>
      <w:r w:rsidR="00602807" w:rsidRPr="00710874">
        <w:rPr>
          <w:rFonts w:ascii="Times New Roman" w:hAnsi="Times New Roman" w:cs="Times New Roman"/>
          <w:color w:val="000000" w:themeColor="text1"/>
        </w:rPr>
        <w:t xml:space="preserve">monotonically </w:t>
      </w:r>
      <w:r w:rsidR="00636640" w:rsidRPr="00710874">
        <w:rPr>
          <w:rFonts w:ascii="Times New Roman" w:hAnsi="Times New Roman" w:cs="Times New Roman"/>
          <w:color w:val="000000" w:themeColor="text1"/>
        </w:rPr>
        <w:t xml:space="preserve">as the distance from the </w:t>
      </w:r>
      <w:r w:rsidR="00602807" w:rsidRPr="00710874">
        <w:rPr>
          <w:rFonts w:ascii="Times New Roman" w:hAnsi="Times New Roman" w:cs="Times New Roman"/>
          <w:color w:val="000000" w:themeColor="text1"/>
        </w:rPr>
        <w:t>center of the attended region</w:t>
      </w:r>
      <w:r w:rsidR="00636640" w:rsidRPr="00710874">
        <w:rPr>
          <w:rFonts w:ascii="Times New Roman" w:hAnsi="Times New Roman" w:cs="Times New Roman"/>
          <w:color w:val="000000" w:themeColor="text1"/>
        </w:rPr>
        <w:t xml:space="preserve"> declines</w:t>
      </w:r>
      <w:r w:rsidR="00A04615" w:rsidRPr="00710874">
        <w:rPr>
          <w:rFonts w:ascii="Times New Roman" w:hAnsi="Times New Roman" w:cs="Times New Roman"/>
          <w:color w:val="000000" w:themeColor="text1"/>
        </w:rPr>
        <w:t xml:space="preserve"> </w:t>
      </w:r>
      <w:r w:rsidR="00461020" w:rsidRPr="00710874">
        <w:rPr>
          <w:rFonts w:ascii="Times New Roman" w:hAnsi="Times New Roman" w:cs="Times New Roman"/>
          <w:color w:val="000000" w:themeColor="text1"/>
        </w:rPr>
        <w:fldChar w:fldCharType="begin"/>
      </w:r>
      <w:r w:rsidR="00F544ED" w:rsidRPr="00710874">
        <w:rPr>
          <w:rFonts w:ascii="Times New Roman" w:hAnsi="Times New Roman" w:cs="Times New Roman"/>
          <w:color w:val="000000" w:themeColor="text1"/>
        </w:rPr>
        <w:instrText xml:space="preserve"> ADDIN ZOTERO_ITEM CSL_CITATION {"citationID":"Mk6d9CiQ","properties":{"formattedCitation":"(Downing, 1988)","plainCitation":"(Downing, 1988)","noteIndex":0},"citationItems":[{"id":4111,"uris":["http://zotero.org/users/4743004/items/XD7C4XLD"],"uri":["http://zotero.org/users/4743004/items/XD7C4XLD"],"itemData":{"id":4111,"type":"article-journal","title":"Expectancy and visual-spatial attention: Effects on perceptual quality.","container-title":"Journal of Experimental Psychology: Human Perception and Performance","page":"188-202","volume":"14","issue":"2","source":"DOI.org (Crossref)","DOI":"10.1037/0096-1523.14.2.188","ISSN":"1939-1277, 0096-1523","title-short":"Expectancy and visual-spatial attention","journalAbbreviation":"Journal of Experimental Psychology: Human Perception and Performance","language":"en","author":[{"family":"Downing","given":"Cathryn J."}],"issued":{"date-parts":[["1988"]]}}}],"schema":"https://github.com/citation-style-language/schema/raw/master/csl-citation.json"} </w:instrText>
      </w:r>
      <w:r w:rsidR="00461020" w:rsidRPr="00710874">
        <w:rPr>
          <w:rFonts w:ascii="Times New Roman" w:hAnsi="Times New Roman" w:cs="Times New Roman"/>
          <w:color w:val="000000" w:themeColor="text1"/>
        </w:rPr>
        <w:fldChar w:fldCharType="separate"/>
      </w:r>
      <w:r w:rsidR="00F544ED" w:rsidRPr="00710874">
        <w:rPr>
          <w:rFonts w:ascii="Times New Roman" w:hAnsi="Times New Roman" w:cs="Times New Roman"/>
          <w:color w:val="000000" w:themeColor="text1"/>
        </w:rPr>
        <w:t>(Downing, 1988)</w:t>
      </w:r>
      <w:r w:rsidR="00461020" w:rsidRPr="00710874">
        <w:rPr>
          <w:rFonts w:ascii="Times New Roman" w:hAnsi="Times New Roman" w:cs="Times New Roman"/>
          <w:color w:val="000000" w:themeColor="text1"/>
        </w:rPr>
        <w:fldChar w:fldCharType="end"/>
      </w:r>
      <w:r w:rsidR="00461020" w:rsidRPr="00710874">
        <w:rPr>
          <w:rFonts w:ascii="Times New Roman" w:hAnsi="Times New Roman" w:cs="Times New Roman"/>
          <w:color w:val="000000" w:themeColor="text1"/>
        </w:rPr>
        <w:t>.</w:t>
      </w:r>
      <w:r w:rsidR="00602807" w:rsidRPr="00710874">
        <w:rPr>
          <w:rFonts w:ascii="Times New Roman" w:hAnsi="Times New Roman" w:cs="Times New Roman"/>
          <w:color w:val="000000" w:themeColor="text1"/>
        </w:rPr>
        <w:t xml:space="preserve"> Second, zoom lens models posit an inverse relationship between processing quality and the size of the attended region, such that spatial cueing benefits increase with smaller cued regions</w:t>
      </w:r>
      <w:r w:rsidR="00461020" w:rsidRPr="00710874">
        <w:rPr>
          <w:rFonts w:ascii="Times New Roman" w:hAnsi="Times New Roman" w:cs="Times New Roman"/>
          <w:color w:val="000000" w:themeColor="text1"/>
        </w:rPr>
        <w:t xml:space="preserve"> </w:t>
      </w:r>
      <w:r w:rsidR="00461020" w:rsidRPr="00710874">
        <w:rPr>
          <w:rFonts w:ascii="Times New Roman" w:hAnsi="Times New Roman" w:cs="Times New Roman"/>
          <w:color w:val="000000" w:themeColor="text1"/>
        </w:rPr>
        <w:fldChar w:fldCharType="begin"/>
      </w:r>
      <w:r w:rsidR="003C5C4B" w:rsidRPr="00710874">
        <w:rPr>
          <w:rFonts w:ascii="Times New Roman" w:hAnsi="Times New Roman" w:cs="Times New Roman"/>
          <w:color w:val="000000" w:themeColor="text1"/>
        </w:rPr>
        <w:instrText xml:space="preserve"> ADDIN ZOTERO_ITEM CSL_CITATION {"citationID":"V16WPVoC","properties":{"formattedCitation":"(Castiello &amp; Umilt\\uc0\\u225{}, 1990; LaBerge, 1983)","plainCitation":"(Castiello &amp; Umiltá, 1990; LaBerge, 1983)","dontUpdate":true,"noteIndex":0},"citationItems":[{"id":41,"uris":["http://zotero.org/users/4743004/items/VXC72BGK"],"uri":["http://zotero.org/users/4743004/items/VXC72BGK"],"itemData":{"id":41,"type":"article-journal","title":"Size of the Attentional","page":"195-209","volume":"73","author":[{"family":"Castiello","given":"Umberto"},{"family":"Umiltá","given":"Carlo"}],"issued":{"date-parts":[["1990"]]}}},{"id":1655,"uris":["http://zotero.org/users/4743004/items/FLFGYCHY"],"uri":["http://zotero.org/users/4743004/items/FLFGYCHY"],"itemData":{"id":1655,"type":"article-journal","title":"Spatial extent of attention to letters and words.","container-title":"Journal of Experimental Psychology: Human Perception and Performance","page":"371-9","volume":"9","issue":"3","abstract":"The spatial extent of attention to visually presented letters and words was investigated using a probe technique. The primary task required subjects to categorize (a) five-letter words, or to categorize the middle letter of (b) five-letter words or (c) five-letter nonwords. The probe task required the subjects to respond when the digit 7 appeared in one of the five letter positions. Probe trials were inserted at the onset of letter and word processing in Experiment 1 and 500 msec after letter and word processing in Experiment 2. In both experiments, probe trials produced a V-shaped function of reaction times across probe positions for the letter-categorization task for word and nonword stimulus conditions. In contrast, a relatively flat reaction time function was found for the word-categorization tasks. An analysis of the data based on a quantitative model of attentional spotlight distributions suggests that the spotlight width in the letter tasks is one letter space, and the spotlight width in the word task is typically five spaces.","DOI":"10.1037//0096-1523.9.3.371","author":[{"family":"LaBerge","given":"D"}],"issued":{"date-parts":[["1983",6]]}}}],"schema":"https://github.com/citation-style-language/schema/raw/master/csl-citation.json"} </w:instrText>
      </w:r>
      <w:r w:rsidR="00461020" w:rsidRPr="00710874">
        <w:rPr>
          <w:rFonts w:ascii="Times New Roman" w:hAnsi="Times New Roman" w:cs="Times New Roman"/>
          <w:color w:val="000000" w:themeColor="text1"/>
        </w:rPr>
        <w:fldChar w:fldCharType="separate"/>
      </w:r>
      <w:r w:rsidR="00461020" w:rsidRPr="00710874">
        <w:rPr>
          <w:rFonts w:ascii="Times New Roman" w:hAnsi="Times New Roman" w:cs="Times New Roman"/>
          <w:color w:val="000000" w:themeColor="text1"/>
          <w:szCs w:val="24"/>
        </w:rPr>
        <w:t>(Castiello &amp; Umiltá, 1990; see also LaBerge, 1983)</w:t>
      </w:r>
      <w:r w:rsidR="00461020" w:rsidRPr="00710874">
        <w:rPr>
          <w:rFonts w:ascii="Times New Roman" w:hAnsi="Times New Roman" w:cs="Times New Roman"/>
          <w:color w:val="000000" w:themeColor="text1"/>
        </w:rPr>
        <w:fldChar w:fldCharType="end"/>
      </w:r>
      <w:r w:rsidR="00602807" w:rsidRPr="00710874">
        <w:rPr>
          <w:rFonts w:ascii="Times New Roman" w:hAnsi="Times New Roman" w:cs="Times New Roman"/>
          <w:color w:val="000000" w:themeColor="text1"/>
          <w:lang w:val="en-US"/>
        </w:rPr>
        <w:t xml:space="preserve">. </w:t>
      </w:r>
    </w:p>
    <w:p w14:paraId="7C9DBA98" w14:textId="1C8B613E" w:rsidR="006A7297" w:rsidRPr="00710874" w:rsidRDefault="00CA7F62" w:rsidP="00F544ED">
      <w:pPr>
        <w:spacing w:after="0" w:line="480" w:lineRule="auto"/>
        <w:jc w:val="both"/>
        <w:rPr>
          <w:rFonts w:ascii="Times New Roman" w:hAnsi="Times New Roman" w:cs="Times New Roman"/>
          <w:color w:val="000000" w:themeColor="text1"/>
          <w:szCs w:val="24"/>
        </w:rPr>
      </w:pPr>
      <w:r w:rsidRPr="00710874">
        <w:rPr>
          <w:rFonts w:ascii="Times New Roman" w:hAnsi="Times New Roman" w:cs="Times New Roman"/>
          <w:color w:val="000000" w:themeColor="text1"/>
          <w:lang w:val="en-US"/>
        </w:rPr>
        <w:tab/>
      </w:r>
      <w:r w:rsidR="008720CF" w:rsidRPr="00710874">
        <w:rPr>
          <w:rFonts w:ascii="Times New Roman" w:hAnsi="Times New Roman" w:cs="Times New Roman"/>
          <w:color w:val="000000" w:themeColor="text1"/>
          <w:lang w:val="en-US"/>
        </w:rPr>
        <w:t xml:space="preserve">Although there is </w:t>
      </w:r>
      <w:r w:rsidR="005E7DD9" w:rsidRPr="00710874">
        <w:rPr>
          <w:rFonts w:ascii="Times New Roman" w:hAnsi="Times New Roman" w:cs="Times New Roman"/>
          <w:color w:val="000000" w:themeColor="text1"/>
          <w:lang w:val="en-US"/>
        </w:rPr>
        <w:t>ample</w:t>
      </w:r>
      <w:r w:rsidR="008720CF" w:rsidRPr="00710874">
        <w:rPr>
          <w:rFonts w:ascii="Times New Roman" w:hAnsi="Times New Roman" w:cs="Times New Roman"/>
          <w:color w:val="000000" w:themeColor="text1"/>
          <w:lang w:val="en-US"/>
        </w:rPr>
        <w:t xml:space="preserve"> </w:t>
      </w:r>
      <w:r w:rsidR="007309A3" w:rsidRPr="00710874">
        <w:rPr>
          <w:rFonts w:ascii="Times New Roman" w:hAnsi="Times New Roman" w:cs="Times New Roman"/>
          <w:color w:val="000000" w:themeColor="text1"/>
          <w:lang w:val="en-US"/>
        </w:rPr>
        <w:t xml:space="preserve">behavioral </w:t>
      </w:r>
      <w:r w:rsidR="008720CF" w:rsidRPr="00710874">
        <w:rPr>
          <w:rFonts w:ascii="Times New Roman" w:hAnsi="Times New Roman" w:cs="Times New Roman"/>
          <w:color w:val="000000" w:themeColor="text1"/>
          <w:lang w:val="en-US"/>
        </w:rPr>
        <w:t xml:space="preserve">evidence supporting the </w:t>
      </w:r>
      <w:r w:rsidR="007309A3" w:rsidRPr="00710874">
        <w:rPr>
          <w:rFonts w:ascii="Times New Roman" w:hAnsi="Times New Roman" w:cs="Times New Roman"/>
          <w:color w:val="000000" w:themeColor="text1"/>
          <w:lang w:val="en-US"/>
        </w:rPr>
        <w:t>utility of</w:t>
      </w:r>
      <w:r w:rsidR="008720CF" w:rsidRPr="00710874">
        <w:rPr>
          <w:rFonts w:ascii="Times New Roman" w:hAnsi="Times New Roman" w:cs="Times New Roman"/>
          <w:color w:val="000000" w:themeColor="text1"/>
          <w:lang w:val="en-US"/>
        </w:rPr>
        <w:t xml:space="preserve"> </w:t>
      </w:r>
      <w:r w:rsidR="007309A3" w:rsidRPr="00710874">
        <w:rPr>
          <w:rFonts w:ascii="Times New Roman" w:hAnsi="Times New Roman" w:cs="Times New Roman"/>
          <w:color w:val="000000" w:themeColor="text1"/>
          <w:lang w:val="en-US"/>
        </w:rPr>
        <w:t xml:space="preserve">the </w:t>
      </w:r>
      <w:r w:rsidR="008720CF" w:rsidRPr="00710874">
        <w:rPr>
          <w:rFonts w:ascii="Times New Roman" w:hAnsi="Times New Roman" w:cs="Times New Roman"/>
          <w:color w:val="000000" w:themeColor="text1"/>
          <w:lang w:val="en-US"/>
        </w:rPr>
        <w:t>zoom lens</w:t>
      </w:r>
      <w:r w:rsidR="007309A3" w:rsidRPr="00710874">
        <w:rPr>
          <w:rFonts w:ascii="Times New Roman" w:hAnsi="Times New Roman" w:cs="Times New Roman"/>
          <w:color w:val="000000" w:themeColor="text1"/>
          <w:lang w:val="en-US"/>
        </w:rPr>
        <w:t xml:space="preserve"> metaphor</w:t>
      </w:r>
      <w:r w:rsidR="008720CF" w:rsidRPr="00710874">
        <w:rPr>
          <w:rFonts w:ascii="Times New Roman" w:hAnsi="Times New Roman" w:cs="Times New Roman"/>
          <w:color w:val="000000" w:themeColor="text1"/>
          <w:lang w:val="en-US"/>
        </w:rPr>
        <w:t xml:space="preserve">, it is still debated whether the behavioral </w:t>
      </w:r>
      <w:r w:rsidR="007309A3" w:rsidRPr="00710874">
        <w:rPr>
          <w:rFonts w:ascii="Times New Roman" w:hAnsi="Times New Roman" w:cs="Times New Roman"/>
          <w:color w:val="000000" w:themeColor="text1"/>
          <w:lang w:val="en-US"/>
        </w:rPr>
        <w:t xml:space="preserve">findings reflect change in </w:t>
      </w:r>
      <w:r w:rsidR="008720CF" w:rsidRPr="00710874">
        <w:rPr>
          <w:rFonts w:ascii="Times New Roman" w:hAnsi="Times New Roman" w:cs="Times New Roman"/>
          <w:color w:val="000000" w:themeColor="text1"/>
          <w:lang w:val="en-US"/>
        </w:rPr>
        <w:t xml:space="preserve">early stages of visual processing, i.e., </w:t>
      </w:r>
      <w:r w:rsidR="00694329" w:rsidRPr="00710874">
        <w:rPr>
          <w:rFonts w:ascii="Times New Roman" w:hAnsi="Times New Roman" w:cs="Times New Roman"/>
          <w:color w:val="000000" w:themeColor="text1"/>
          <w:lang w:val="en-US"/>
        </w:rPr>
        <w:t>changes in</w:t>
      </w:r>
      <w:r w:rsidR="00BC223E" w:rsidRPr="00710874">
        <w:rPr>
          <w:rFonts w:ascii="Times New Roman" w:hAnsi="Times New Roman" w:cs="Times New Roman"/>
          <w:color w:val="000000" w:themeColor="text1"/>
          <w:lang w:val="en-US"/>
        </w:rPr>
        <w:t xml:space="preserve"> the quality of visual perception</w:t>
      </w:r>
      <w:r w:rsidR="0077773F" w:rsidRPr="00710874">
        <w:rPr>
          <w:rFonts w:ascii="Times New Roman" w:hAnsi="Times New Roman" w:cs="Times New Roman"/>
          <w:color w:val="000000" w:themeColor="text1"/>
          <w:lang w:val="en-US"/>
        </w:rPr>
        <w:t xml:space="preserve"> through sensory enhancement</w:t>
      </w:r>
      <w:r w:rsidR="00461020" w:rsidRPr="00710874">
        <w:rPr>
          <w:rFonts w:ascii="Times New Roman" w:hAnsi="Times New Roman" w:cs="Times New Roman"/>
          <w:color w:val="000000" w:themeColor="text1"/>
          <w:lang w:val="en-US"/>
        </w:rPr>
        <w:t xml:space="preserve"> </w:t>
      </w:r>
      <w:r w:rsidR="00461020"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{"citationID":"FIQG62uK","properties":{"formattedCitation":"(Luck, Heinze, Mangun, &amp; Hillyard, 1990; Mangun &amp; Hillyard, 1987)","plainCitation":"(Luck, Heinze, Mangun, &amp; Hillyard, 1990; Mangun &amp; Hillyard, 1987)","noteIndex":0},"citationItems":[{"id":"UDPvIsdA/KarGPipG","uris":["http://www.mendeley.com/documents/?uuid=91988672-5848-4236-93cb-bc1e5b1e2f2d"],"uri":["http://www.mendeley.com/documents/?uuid=91988672-5848-4236-93cb-bc1e5b1e2f2d"],"itemData":{"DOI":"10.1016/0013-4694(90)90138-A","author":[{"dropping-particle":"","family":"Luck","given":"S J","non-dropping-particle":"","parse-names":false,"suffix":""},{"dropping-particle":"","family":"Heinze","given":"Hans Jochen","non-dropping-particle":"","parse-names":false,"suffix":""},{"dropping-particle":"","family":"Mangun","given":"G R","non-dropping-particle":"","parse-names":false,"suffix":""},{"dropping-particle":"","family":"Hillyard","given":"Steven A","non-dropping-particle":"","parse-names":false,"suffix":""}],"container-title":"Electroencephalography and clinical Neurophsiology","id":"q5ugJh5w/VSrVR1Qw","issued":{"date-parts":[["1990"]]},"note":"\n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","page":"511-527","title":"Visual event-related potentials index focused attention within bilateral stimulus arrays. I. Evidence for early selection","type":"article-journal","volume":"75"}},{"id":"UDPvIsdA/map50JC9","uris":["http://www.mendeley.com/documents/?uuid=6755dc70-6e57-4a01-aec0-ed809a3c1883"],"uri":["http://www.mendeley.com/documents/?uuid=6755dc70-6e57-4a01-aec0-ed809a3c1883"],"itemData":{"author":[{"dropping-particle":"","family":"Mangun","given":"G R R","non-dropping-particle":"","parse-names":false,"suffix":""},{"dropping-particle":"","family":"Hillyard","given":"Steven A","non-dropping-particle":"","parse-names":false,"suffix":""}],"container-title":"Human Factors","id":"q5ugJh5w/u2gKpWmk","issue":"2","issued":{"date-parts":[["1987"]]},"page":"195-211","title":"The Spatial Allocation of Visual Attention as Indexed by Event-Related Brain Potentials","type":"article-journal","volume":"29"}}],"schema":"https://github.com/citation-style-language/schema/raw/master/csl-citation.json"} </w:instrText>
      </w:r>
      <w:r w:rsidR="00461020"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(Luck, Heinze, Mangun, &amp; Hillyard, 1990; Mangun &amp; Hillyard, 1987)</w:t>
      </w:r>
      <w:r w:rsidR="00461020" w:rsidRPr="00710874">
        <w:rPr>
          <w:rFonts w:ascii="Times New Roman" w:hAnsi="Times New Roman" w:cs="Times New Roman"/>
          <w:color w:val="000000" w:themeColor="text1"/>
          <w:lang w:val="en-US"/>
        </w:rPr>
        <w:fldChar w:fldCharType="end"/>
      </w:r>
      <w:r w:rsidR="00694329" w:rsidRPr="00710874">
        <w:rPr>
          <w:rFonts w:ascii="Times New Roman" w:hAnsi="Times New Roman" w:cs="Times New Roman"/>
          <w:color w:val="000000" w:themeColor="text1"/>
          <w:lang w:val="en-US"/>
        </w:rPr>
        <w:t>, or changes in the efficiency of post-perceptual processes such as decision or response selection</w:t>
      </w:r>
      <w:r w:rsidR="0077773F" w:rsidRPr="00710874">
        <w:rPr>
          <w:rFonts w:ascii="Times New Roman" w:hAnsi="Times New Roman" w:cs="Times New Roman"/>
          <w:color w:val="000000" w:themeColor="text1"/>
          <w:lang w:val="en-US"/>
        </w:rPr>
        <w:t xml:space="preserve"> through </w:t>
      </w:r>
      <w:r w:rsidR="0034485F" w:rsidRPr="00710874">
        <w:rPr>
          <w:rFonts w:ascii="Times New Roman" w:hAnsi="Times New Roman" w:cs="Times New Roman"/>
          <w:color w:val="000000" w:themeColor="text1"/>
          <w:lang w:val="en-US"/>
        </w:rPr>
        <w:t xml:space="preserve">restricting decision processes to relevant information </w:t>
      </w:r>
      <w:r w:rsidR="00F3676F" w:rsidRPr="00710874">
        <w:rPr>
          <w:rFonts w:ascii="Times New Roman" w:hAnsi="Times New Roman" w:cs="Times New Roman"/>
          <w:color w:val="000000" w:themeColor="text1"/>
          <w:lang w:val="en-US"/>
        </w:rPr>
        <w:fldChar w:fldCharType="begin" w:fldLock="1"/>
      </w:r>
      <w:r w:rsidR="00007E14" w:rsidRPr="00710874">
        <w:rPr>
          <w:rFonts w:ascii="Times New Roman" w:hAnsi="Times New Roman" w:cs="Times New Roman"/>
          <w:color w:val="000000" w:themeColor="text1"/>
          <w:lang w:val="en-US"/>
        </w:rPr>
        <w:instrText xml:space="preserve"> ADDIN ZOTERO_ITEM CSL_CITATION {"citationID":"vHTb4oWK","properties":{"formattedCitation":"(Eckstein, Shimozaki, &amp; Abbey, 2002; Palmer, 1995; Palmer, Ames, &amp; Lindsey, 1993)","plainCitation":"(Eckstein, Shimozaki, &amp; Abbey, 2002; Palmer, 1995; Palmer, Ames, &amp; Lindsey, 1993)","dontUpdate":true,"noteIndex":0},"citationItems":[{"id":"UDPvIsdA/p8EepNeI","uris":["http://www.mendeley.com/documents/?uuid=5c4057b3-26e9-439b-b1a3-5c1b89c958e0"],"uri":["http://www.mendeley.com/documents/?uuid=5c4057b3-26e9-439b-b1a3-5c1b89c958e0"],"itemData":{"author":[{"dropping-particle":"","family":"Eckstein","given":"Miguel P","non-dropping-particle":"","parse-names":false,"suffix":""},{"dropping-particle":"","family":"Shimozaki","given":"Steven S","non-dropping-particle":"","parse-names":false,"suffix":""},{"dropping-particle":"","family":"Abbey","given":"Craig K","non-dropping-particle":"","parse-names":false,"suffix":""}],"container-title":"Journal of Vision","id":"ITEM-1","issue":"2","issued":{"date-parts":[["2002"]]},"page":"25-45","title":"The footprints of visual attention in the Posner cueing paradigm revealed by classification images","type":"article-journal"}},{"id":"UDPvIsdA/8XRtqq44","uris":["http://www.mendeley.com/documents/?uuid=84a8ce27-336c-4314-9232-b8a6c2fc4d64"],"uri":["http://www.mendeley.com/documents/?uuid=84a8ce27-336c-4314-9232-b8a6c2fc4d64"],"itemData":{"DOI":"10.1111/1467-8721.ep10772534","author":[{"dropping-particle":"","family":"Palmer","given":"John","non-dropping-particle":"","parse-names":false,"suffix":""}],"container-title":"Current Directions in Psychological Science","id":"ITEM-2","issue":"4","issued":{"date-parts":[["1995"]]},"page":"118-123","title":"Attention in visual search: Distinguishing four causes of a set-size effect.","type":"article-journal","volume":"4"}},{"id":"UDPvIsdA/RH3p1ayX","uris":["http://www.mendeley.com/documents/?uuid=9b5d1a70-9de4-4e9c-9189-bcb23291a61d"],"uri":["http://www.mendeley.com/documents/?uuid=9b5d1a70-9de4-4e9c-9189-bcb23291a61d"],"itemData":{"author":[{"dropping-particle":"","family":"Palmer","given":"John","non-dropping-particle":"","parse-names":false,"suffix":""},{"dropping-particle":"","family":"Ames","given":"Cynthia T","non-dropping-particle":"","parse-names":false,"suffix":""},{"dropping-particle":"","family":"Lindsey","given":"Delwin T","non-dropping-particle":"","parse-names":false,"suffix":""}],"id":"ITEM-3","issue":"1","issued":{"date-parts":[["1993"]]},"page":"108-130","title":"Measuring the Effect of Attention on Simple Visual Search","type":"article-journal","volume":"19"}}],"schema":"https://github.com/citation-style-language/schema/raw/master/csl-citation.json"} </w:instrText>
      </w:r>
      <w:r w:rsidR="00F3676F" w:rsidRPr="00710874">
        <w:rPr>
          <w:rFonts w:ascii="Times New Roman" w:hAnsi="Times New Roman" w:cs="Times New Roman"/>
          <w:color w:val="000000" w:themeColor="text1"/>
          <w:lang w:val="en-US"/>
        </w:rPr>
        <w:fldChar w:fldCharType="separate"/>
      </w:r>
      <w:r w:rsidR="00BA04F0" w:rsidRPr="00710874">
        <w:rPr>
          <w:rFonts w:ascii="Times New Roman" w:hAnsi="Times New Roman" w:cs="Times New Roman"/>
          <w:color w:val="000000" w:themeColor="text1"/>
        </w:rPr>
        <w:t>(</w:t>
      </w:r>
      <w:r w:rsidR="0034485F" w:rsidRPr="00710874">
        <w:rPr>
          <w:rFonts w:ascii="Times New Roman" w:hAnsi="Times New Roman" w:cs="Times New Roman"/>
          <w:color w:val="000000" w:themeColor="text1"/>
        </w:rPr>
        <w:t xml:space="preserve">e.g., </w:t>
      </w:r>
      <w:r w:rsidR="00BA04F0" w:rsidRPr="00710874">
        <w:rPr>
          <w:rFonts w:ascii="Times New Roman" w:hAnsi="Times New Roman" w:cs="Times New Roman"/>
          <w:color w:val="000000" w:themeColor="text1"/>
        </w:rPr>
        <w:t>Eckstein, Shimozaki, &amp; Abbey, 2002; Palmer, 1995; Palmer, Ames, &amp; Lindsey, 1993)</w:t>
      </w:r>
      <w:r w:rsidR="00F3676F" w:rsidRPr="00710874">
        <w:rPr>
          <w:rFonts w:ascii="Times New Roman" w:hAnsi="Times New Roman" w:cs="Times New Roman"/>
          <w:color w:val="000000" w:themeColor="text1"/>
          <w:lang w:val="en-US"/>
        </w:rPr>
        <w:fldChar w:fldCharType="end"/>
      </w:r>
      <w:r w:rsidR="00E20511" w:rsidRPr="00710874">
        <w:rPr>
          <w:rFonts w:ascii="Times New Roman" w:hAnsi="Times New Roman" w:cs="Times New Roman"/>
          <w:color w:val="000000" w:themeColor="text1"/>
          <w:lang w:val="en-US"/>
        </w:rPr>
        <w:t>.</w:t>
      </w:r>
      <w:r w:rsidR="008E076F" w:rsidRPr="00710874">
        <w:rPr>
          <w:rFonts w:ascii="Times New Roman" w:hAnsi="Times New Roman" w:cs="Times New Roman"/>
          <w:color w:val="000000" w:themeColor="text1"/>
          <w:lang w:val="en-US"/>
        </w:rPr>
        <w:t xml:space="preserve"> </w:t>
      </w:r>
      <w:r w:rsidR="00DF23FF" w:rsidRPr="00710874">
        <w:rPr>
          <w:rFonts w:ascii="Times New Roman" w:hAnsi="Times New Roman" w:cs="Times New Roman"/>
          <w:color w:val="000000" w:themeColor="text1"/>
          <w:lang w:val="en-US"/>
        </w:rPr>
        <w:t xml:space="preserve">One indication that the breadth of attentional orienting influences early perceptual stages of processing comes </w:t>
      </w:r>
      <w:r w:rsidR="001C601B" w:rsidRPr="00710874">
        <w:rPr>
          <w:rFonts w:ascii="Times New Roman" w:hAnsi="Times New Roman" w:cs="Times New Roman"/>
          <w:color w:val="000000" w:themeColor="text1"/>
          <w:lang w:val="en-US"/>
        </w:rPr>
        <w:t xml:space="preserve">from </w:t>
      </w:r>
      <w:r w:rsidR="00A61B4A" w:rsidRPr="00710874">
        <w:rPr>
          <w:rFonts w:ascii="Times New Roman" w:hAnsi="Times New Roman" w:cs="Times New Roman"/>
          <w:color w:val="000000" w:themeColor="text1"/>
          <w:lang w:val="en-US"/>
        </w:rPr>
        <w:t xml:space="preserve">studies </w:t>
      </w:r>
      <w:r w:rsidR="001C601B" w:rsidRPr="00710874">
        <w:rPr>
          <w:rFonts w:ascii="Times New Roman" w:hAnsi="Times New Roman" w:cs="Times New Roman"/>
          <w:color w:val="000000" w:themeColor="text1"/>
          <w:lang w:val="en-US"/>
        </w:rPr>
        <w:t>examining</w:t>
      </w:r>
      <w:r w:rsidR="00A61B4A" w:rsidRPr="00710874">
        <w:rPr>
          <w:rFonts w:ascii="Times New Roman" w:hAnsi="Times New Roman" w:cs="Times New Roman"/>
          <w:color w:val="000000" w:themeColor="text1"/>
          <w:lang w:val="en-US"/>
        </w:rPr>
        <w:t xml:space="preserve"> neural activity evoked by attended and unattended stimuli</w:t>
      </w:r>
      <w:r w:rsidR="00461020" w:rsidRPr="00710874">
        <w:rPr>
          <w:rFonts w:ascii="Times New Roman" w:hAnsi="Times New Roman" w:cs="Times New Roman"/>
          <w:color w:val="000000" w:themeColor="text1"/>
          <w:lang w:val="en-US"/>
        </w:rPr>
        <w:t xml:space="preserve"> </w:t>
      </w:r>
      <w:r w:rsidR="00461020"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{"citationID":"lQ6KVgTT","properties":{"formattedCitation":"(Itthipuripat, Garcia, Rungratsameetaweemana, Sprague, &amp; Serences, 2014; N. M\\uc0\\u252{}ller, Bartelt, Donner, Villringer, &amp; Brandt, 2003)","plainCitation":"(Itthipuripat, Garcia, Rungratsameetaweemana, Sprague, &amp; Serences, 2014; N. Müller, Bartelt, Donner, Villringer, &amp; Brandt, 2003)","noteIndex":0},"citationItems":[{"id":3217,"uris":["http://zotero.org/users/4743004/items/RGP6I5DD"],"uri":["http://zotero.org/users/4743004/items/RGP6I5DD"],"itemData":{"id":3217,"type":"article-journal","title":"Changing the Spatial Scope of Attention Alters Patterns of Neural Gain in Human Cortex","container-title":"Journal of Neuroscience","page":"112-123","volume":"34","issue":"1","source":"CrossRef","DOI":"10.1523/JNEUROSCI.3943-13.2014","ISSN":"0270-6474, 1529-2401","language":"en","author":[{"family":"Itthipuripat","given":"S."},{"family":"Garcia","given":"J. O."},{"family":"Rungratsameetaweemana","given":"N."},{"family":"Sprague","given":"T. C."},{"family":"Serences","given":"J. T."}],"issued":{"date-parts":[["2014",1,1]]}}},{"id":"UDPvIsdA/Ykj4bwJK","uris":["http://www.mendeley.com/documents/?uuid=a17fb31d-48d2-436c-a1ad-59c52c41f56f"],"uri":["http://www.mendeley.com/documents/?uuid=a17fb31d-48d2-436c-a1ad-59c52c41f56f"],"itemData":{"author":[{"dropping-particle":"","family":"Müller","given":"Notger","non-dropping-particle":"","parse-names":false,"suffix":""},{"dropping-particle":"","family":"Bartelt","given":"Oliver A","non-dropping-particle":"","parse-names":false,"suffix":""},{"dropping-particle":"","family":"Donner","given":"Tobias H","non-dropping-particle":"","parse-names":false,"suffix":""},{"dropping-particle":"","family":"Villringer","given":"Arno","non-dropping-particle":"","parse-names":false,"suffix":""},{"dropping-particle":"","family":"Brandt","given":"Stephan A","non-dropping-particle":"","parse-names":false,"suffix":""}],"id":"q5ugJh5w/RxIEgaKS","issue":"9","issued":{"date-parts":[["2003"]]},"page":"3561-3565","title":"A Physiological Correlate of the \"Zoom Lens\" of Visual Attention","type":"article-journal","volume":"23"}}],"schema":"https://github.com/citation-style-language/schema/raw/master/csl-citation.json"} </w:instrText>
      </w:r>
      <w:r w:rsidR="00461020"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szCs w:val="24"/>
        </w:rPr>
        <w:t>(Itthipuripat, Garcia, Rungratsameetaweemana, Sprague, &amp; Serences, 2014; N. Müller, Bartelt, Donner, Villringer, &amp; Brandt, 2003)</w:t>
      </w:r>
      <w:r w:rsidR="00461020" w:rsidRPr="00710874">
        <w:rPr>
          <w:rFonts w:ascii="Times New Roman" w:hAnsi="Times New Roman" w:cs="Times New Roman"/>
          <w:color w:val="000000" w:themeColor="text1"/>
          <w:lang w:val="en-US"/>
        </w:rPr>
        <w:fldChar w:fldCharType="end"/>
      </w:r>
      <w:r w:rsidR="0077773F" w:rsidRPr="00710874">
        <w:rPr>
          <w:rFonts w:ascii="Times New Roman" w:hAnsi="Times New Roman" w:cs="Times New Roman"/>
          <w:color w:val="000000" w:themeColor="text1"/>
          <w:szCs w:val="24"/>
        </w:rPr>
        <w:t>.</w:t>
      </w:r>
      <w:r w:rsidR="001C601B" w:rsidRPr="00710874">
        <w:rPr>
          <w:color w:val="000000" w:themeColor="text1"/>
        </w:rPr>
        <w:t xml:space="preserve"> </w:t>
      </w:r>
      <w:r w:rsidR="0077773F" w:rsidRPr="00710874">
        <w:rPr>
          <w:rFonts w:ascii="Times New Roman" w:hAnsi="Times New Roman" w:cs="Times New Roman"/>
          <w:color w:val="000000" w:themeColor="text1"/>
          <w:szCs w:val="24"/>
        </w:rPr>
        <w:t>For example,</w:t>
      </w:r>
      <w:r w:rsidR="00A61B4A" w:rsidRPr="00710874">
        <w:rPr>
          <w:rFonts w:ascii="Times New Roman" w:hAnsi="Times New Roman" w:cs="Times New Roman"/>
          <w:color w:val="000000" w:themeColor="text1"/>
          <w:lang w:val="en-US"/>
        </w:rPr>
        <w:t xml:space="preserve"> </w:t>
      </w:r>
      <w:r w:rsidR="00A61B4A" w:rsidRPr="00710874">
        <w:rPr>
          <w:rFonts w:ascii="Times New Roman" w:hAnsi="Times New Roman" w:cs="Times New Roman"/>
          <w:i/>
          <w:color w:val="000000" w:themeColor="text1"/>
          <w:lang w:val="en-US"/>
        </w:rPr>
        <w:t>preparatory</w:t>
      </w:r>
      <w:r w:rsidR="00A61B4A" w:rsidRPr="00710874">
        <w:rPr>
          <w:rFonts w:ascii="Times New Roman" w:hAnsi="Times New Roman" w:cs="Times New Roman"/>
          <w:color w:val="000000" w:themeColor="text1"/>
          <w:lang w:val="en-US"/>
        </w:rPr>
        <w:t xml:space="preserve"> </w:t>
      </w:r>
      <w:r w:rsidR="00BC223E" w:rsidRPr="00710874">
        <w:rPr>
          <w:rFonts w:ascii="Times New Roman" w:hAnsi="Times New Roman" w:cs="Times New Roman"/>
          <w:color w:val="000000" w:themeColor="text1"/>
          <w:lang w:val="en-US"/>
        </w:rPr>
        <w:t xml:space="preserve">BOLD </w:t>
      </w:r>
      <w:r w:rsidR="00A61B4A" w:rsidRPr="00710874">
        <w:rPr>
          <w:rFonts w:ascii="Times New Roman" w:hAnsi="Times New Roman" w:cs="Times New Roman"/>
          <w:color w:val="000000" w:themeColor="text1"/>
          <w:lang w:val="en-US"/>
        </w:rPr>
        <w:t>activity preced</w:t>
      </w:r>
      <w:r w:rsidR="0077773F" w:rsidRPr="00710874">
        <w:rPr>
          <w:rFonts w:ascii="Times New Roman" w:hAnsi="Times New Roman" w:cs="Times New Roman"/>
          <w:color w:val="000000" w:themeColor="text1"/>
          <w:lang w:val="en-US"/>
        </w:rPr>
        <w:t>ing</w:t>
      </w:r>
      <w:r w:rsidR="00A61B4A" w:rsidRPr="00710874">
        <w:rPr>
          <w:rFonts w:ascii="Times New Roman" w:hAnsi="Times New Roman" w:cs="Times New Roman"/>
          <w:color w:val="000000" w:themeColor="text1"/>
          <w:lang w:val="en-US"/>
        </w:rPr>
        <w:t xml:space="preserve"> </w:t>
      </w:r>
      <w:r w:rsidR="0077773F" w:rsidRPr="00710874">
        <w:rPr>
          <w:rFonts w:ascii="Times New Roman" w:hAnsi="Times New Roman" w:cs="Times New Roman"/>
          <w:color w:val="000000" w:themeColor="text1"/>
          <w:lang w:val="en-US"/>
        </w:rPr>
        <w:t>a</w:t>
      </w:r>
      <w:r w:rsidR="00A61B4A" w:rsidRPr="00710874">
        <w:rPr>
          <w:rFonts w:ascii="Times New Roman" w:hAnsi="Times New Roman" w:cs="Times New Roman"/>
          <w:color w:val="000000" w:themeColor="text1"/>
          <w:lang w:val="en-US"/>
        </w:rPr>
        <w:t xml:space="preserve"> target ha</w:t>
      </w:r>
      <w:r w:rsidR="0077773F" w:rsidRPr="00710874">
        <w:rPr>
          <w:rFonts w:ascii="Times New Roman" w:hAnsi="Times New Roman" w:cs="Times New Roman"/>
          <w:color w:val="000000" w:themeColor="text1"/>
          <w:lang w:val="en-US"/>
        </w:rPr>
        <w:t>s</w:t>
      </w:r>
      <w:r w:rsidR="00A61B4A" w:rsidRPr="00710874">
        <w:rPr>
          <w:rFonts w:ascii="Times New Roman" w:hAnsi="Times New Roman" w:cs="Times New Roman"/>
          <w:color w:val="000000" w:themeColor="text1"/>
          <w:lang w:val="en-US"/>
        </w:rPr>
        <w:t xml:space="preserve"> a greater spatial extent</w:t>
      </w:r>
      <w:r w:rsidR="00BC223E" w:rsidRPr="00710874">
        <w:rPr>
          <w:rFonts w:ascii="Times New Roman" w:hAnsi="Times New Roman" w:cs="Times New Roman"/>
          <w:color w:val="000000" w:themeColor="text1"/>
          <w:lang w:val="en-US"/>
        </w:rPr>
        <w:t xml:space="preserve"> in retinotopically mapped visual areas</w:t>
      </w:r>
      <w:r w:rsidR="00A61B4A" w:rsidRPr="00710874">
        <w:rPr>
          <w:rFonts w:ascii="Times New Roman" w:hAnsi="Times New Roman" w:cs="Times New Roman"/>
          <w:color w:val="000000" w:themeColor="text1"/>
          <w:lang w:val="en-US"/>
        </w:rPr>
        <w:t xml:space="preserve"> when subjects deployed attention to a broader region of space</w:t>
      </w:r>
      <w:r w:rsidR="0077773F" w:rsidRPr="00710874">
        <w:rPr>
          <w:rFonts w:ascii="Times New Roman" w:hAnsi="Times New Roman" w:cs="Times New Roman"/>
          <w:color w:val="000000" w:themeColor="text1"/>
          <w:lang w:val="en-US"/>
        </w:rPr>
        <w:t>,</w:t>
      </w:r>
      <w:r w:rsidR="00A61B4A" w:rsidRPr="00710874">
        <w:rPr>
          <w:rFonts w:ascii="Times New Roman" w:hAnsi="Times New Roman" w:cs="Times New Roman"/>
          <w:color w:val="000000" w:themeColor="text1"/>
          <w:lang w:val="en-US"/>
        </w:rPr>
        <w:t xml:space="preserve"> </w:t>
      </w:r>
      <w:r w:rsidR="00BC223E" w:rsidRPr="00710874">
        <w:rPr>
          <w:rFonts w:ascii="Times New Roman" w:hAnsi="Times New Roman" w:cs="Times New Roman"/>
          <w:color w:val="000000" w:themeColor="text1"/>
          <w:szCs w:val="24"/>
        </w:rPr>
        <w:t>suggest</w:t>
      </w:r>
      <w:r w:rsidR="0077773F" w:rsidRPr="00710874">
        <w:rPr>
          <w:rFonts w:ascii="Times New Roman" w:hAnsi="Times New Roman" w:cs="Times New Roman"/>
          <w:color w:val="000000" w:themeColor="text1"/>
          <w:szCs w:val="24"/>
        </w:rPr>
        <w:t>ing</w:t>
      </w:r>
      <w:r w:rsidR="008E7B73" w:rsidRPr="00710874">
        <w:rPr>
          <w:rFonts w:ascii="Times New Roman" w:hAnsi="Times New Roman" w:cs="Times New Roman"/>
          <w:color w:val="000000" w:themeColor="text1"/>
          <w:szCs w:val="24"/>
        </w:rPr>
        <w:t xml:space="preserve"> that zoom lens effects cannot be fully explained by changes in post-perceptual processing</w:t>
      </w:r>
      <w:r w:rsidR="00461020" w:rsidRPr="00710874">
        <w:rPr>
          <w:rFonts w:ascii="Times New Roman" w:hAnsi="Times New Roman" w:cs="Times New Roman"/>
          <w:color w:val="000000" w:themeColor="text1"/>
          <w:szCs w:val="24"/>
        </w:rPr>
        <w:t xml:space="preserve"> </w:t>
      </w:r>
      <w:r w:rsidR="00461020" w:rsidRPr="00710874">
        <w:rPr>
          <w:rFonts w:ascii="Times New Roman" w:hAnsi="Times New Roman" w:cs="Times New Roman"/>
          <w:color w:val="000000" w:themeColor="text1"/>
          <w:szCs w:val="24"/>
        </w:rPr>
        <w:fldChar w:fldCharType="begin"/>
      </w:r>
      <w:r w:rsidR="00007E14" w:rsidRPr="00710874">
        <w:rPr>
          <w:rFonts w:ascii="Times New Roman" w:hAnsi="Times New Roman" w:cs="Times New Roman"/>
          <w:color w:val="000000" w:themeColor="text1"/>
          <w:szCs w:val="24"/>
        </w:rPr>
        <w:instrText xml:space="preserve"> ADDIN ZOTERO_ITEM CSL_CITATION {"citationID":"NFyn7bqC","properties":{"formattedCitation":"(N. M\\uc0\\u252{}ller et al., 2003)","plainCitation":"(N. Müller et al., 2003)","noteIndex":0},"citationItems":[{"id":"UDPvIsdA/Ykj4bwJK","uris":["http://www.mendeley.com/documents/?uuid=a17fb31d-48d2-436c-a1ad-59c52c41f56f"],"uri":["http://www.mendeley.com/documents/?uuid=a17fb31d-48d2-436c-a1ad-59c52c41f56f"],"itemData":{"author":[{"dropping-particle":"","family":"Müller","given":"Notger","non-dropping-particle":"","parse-names":false,"suffix":""},{"dropping-particle":"","family":"Bartelt","given":"Oliver A","non-dropping-particle":"","parse-names":false,"suffix":""},{"dropping-particle":"","family":"Donner","given":"Tobias H","non-dropping-particle":"","parse-names":false,"suffix":""},{"dropping-particle":"","family":"Villringer","given":"Arno","non-dropping-particle":"","parse-names":false,"suffix":""},{"dropping-particle":"","family":"Brandt","given":"Stephan A","non-dropping-particle":"","parse-names":false,"suffix":""}],"id":"q5ugJh5w/RxIEgaKS","issue":"9","issued":{"date-parts":[["2003"]]},"page":"3561-3565","title":"A Physiological Correlate of the \"Zoom Lens\" of Visual Attention","type":"article-journal","volume":"23"}}],"schema":"https://github.com/citation-style-language/schema/raw/master/csl-citation.json"} </w:instrText>
      </w:r>
      <w:r w:rsidR="00461020" w:rsidRPr="00710874">
        <w:rPr>
          <w:rFonts w:ascii="Times New Roman" w:hAnsi="Times New Roman" w:cs="Times New Roman"/>
          <w:color w:val="000000" w:themeColor="text1"/>
          <w:szCs w:val="24"/>
        </w:rPr>
        <w:fldChar w:fldCharType="separate"/>
      </w:r>
      <w:r w:rsidR="00F544ED" w:rsidRPr="00710874">
        <w:rPr>
          <w:rFonts w:ascii="Times New Roman" w:hAnsi="Times New Roman" w:cs="Times New Roman"/>
          <w:color w:val="000000" w:themeColor="text1"/>
          <w:szCs w:val="24"/>
        </w:rPr>
        <w:t>(N. Müller et al., 2003)</w:t>
      </w:r>
      <w:r w:rsidR="00461020" w:rsidRPr="00710874">
        <w:rPr>
          <w:rFonts w:ascii="Times New Roman" w:hAnsi="Times New Roman" w:cs="Times New Roman"/>
          <w:color w:val="000000" w:themeColor="text1"/>
          <w:szCs w:val="24"/>
        </w:rPr>
        <w:fldChar w:fldCharType="end"/>
      </w:r>
      <w:r w:rsidR="0077773F" w:rsidRPr="00710874">
        <w:rPr>
          <w:rFonts w:ascii="Times New Roman" w:hAnsi="Times New Roman" w:cs="Times New Roman"/>
          <w:color w:val="000000" w:themeColor="text1"/>
          <w:szCs w:val="24"/>
        </w:rPr>
        <w:t xml:space="preserve">. </w:t>
      </w:r>
      <w:r w:rsidR="00461C3B" w:rsidRPr="00710874">
        <w:rPr>
          <w:rFonts w:ascii="Times New Roman" w:hAnsi="Times New Roman" w:cs="Times New Roman"/>
          <w:color w:val="000000" w:themeColor="text1"/>
          <w:szCs w:val="24"/>
        </w:rPr>
        <w:t xml:space="preserve">Although the prior work makes a good case that </w:t>
      </w:r>
      <w:r w:rsidR="00CE5908" w:rsidRPr="00710874">
        <w:rPr>
          <w:rFonts w:ascii="Times New Roman" w:hAnsi="Times New Roman" w:cs="Times New Roman"/>
          <w:color w:val="000000" w:themeColor="text1"/>
          <w:szCs w:val="24"/>
        </w:rPr>
        <w:t xml:space="preserve">changes in the breadth of attention affect activity in visual regions, there is a critical gap in these findings that we aimed to address with the present work. Specifically, while those studies documented a larger number of voxels that passed statistical threshold when attention was broadly directed, this empirical pattern does not entail </w:t>
      </w:r>
      <w:r w:rsidR="00CE5908" w:rsidRPr="00710874">
        <w:rPr>
          <w:rFonts w:ascii="Times New Roman" w:hAnsi="Times New Roman" w:cs="Times New Roman"/>
          <w:color w:val="000000" w:themeColor="text1"/>
          <w:szCs w:val="24"/>
        </w:rPr>
        <w:lastRenderedPageBreak/>
        <w:t xml:space="preserve">any change in the </w:t>
      </w:r>
      <w:r w:rsidR="00CE5908" w:rsidRPr="00710874">
        <w:rPr>
          <w:rFonts w:ascii="Times New Roman" w:hAnsi="Times New Roman" w:cs="Times New Roman"/>
          <w:i/>
          <w:color w:val="000000" w:themeColor="text1"/>
          <w:szCs w:val="24"/>
        </w:rPr>
        <w:t xml:space="preserve">spatial selectivity </w:t>
      </w:r>
      <w:r w:rsidR="00CE5908" w:rsidRPr="00710874">
        <w:rPr>
          <w:rFonts w:ascii="Times New Roman" w:hAnsi="Times New Roman" w:cs="Times New Roman"/>
          <w:color w:val="000000" w:themeColor="text1"/>
          <w:szCs w:val="24"/>
        </w:rPr>
        <w:t xml:space="preserve">of that activity. One alternative account, for example, is that there could have been a baseline shift of activity in the measured visual region, such that responses were elevated across all topographically mapped regions, regardless of their spatial mapping; this kind of baseline shift could increase the number of voxels passing statistical threshold – and thus the spatial extent of the “activated” region – even if there were no change in the underlying selectivity of the global activity in that visual area. To address this gap in the prior evidence in the present work, we employed </w:t>
      </w:r>
      <w:r w:rsidR="006A1830" w:rsidRPr="00710874">
        <w:rPr>
          <w:rFonts w:ascii="Times New Roman" w:hAnsi="Times New Roman" w:cs="Times New Roman"/>
          <w:color w:val="000000" w:themeColor="text1"/>
          <w:szCs w:val="24"/>
        </w:rPr>
        <w:t xml:space="preserve">an inverted encoding analytic approach that </w:t>
      </w:r>
      <w:r w:rsidR="00CE5908" w:rsidRPr="00710874">
        <w:rPr>
          <w:rFonts w:ascii="Times New Roman" w:hAnsi="Times New Roman" w:cs="Times New Roman"/>
          <w:color w:val="000000" w:themeColor="text1"/>
          <w:szCs w:val="24"/>
        </w:rPr>
        <w:t>provided a more direct assessment of the spatial selectivity of covert spatial attention. Briefly, this approach estimates activity across a set of spatial “channels” that tile the space of possible target positions, thereby revealing the graded patterns of channel activity that are observed when attention is directed to a specific position in the visual field. This method has been used in past work to precisely track locus and timing of covert spatial attention (Foster et al, 201</w:t>
      </w:r>
      <w:r w:rsidR="00481E47" w:rsidRPr="00710874">
        <w:rPr>
          <w:rFonts w:ascii="Times New Roman" w:hAnsi="Times New Roman" w:cs="Times New Roman"/>
          <w:color w:val="000000" w:themeColor="text1"/>
          <w:szCs w:val="24"/>
        </w:rPr>
        <w:t>7)</w:t>
      </w:r>
      <w:r w:rsidR="00000A9C" w:rsidRPr="00710874">
        <w:rPr>
          <w:rFonts w:ascii="Times New Roman" w:hAnsi="Times New Roman" w:cs="Times New Roman"/>
          <w:color w:val="000000" w:themeColor="text1"/>
          <w:szCs w:val="24"/>
        </w:rPr>
        <w:t>.</w:t>
      </w:r>
      <w:r w:rsidR="00481E47" w:rsidRPr="00710874">
        <w:rPr>
          <w:rFonts w:ascii="Times New Roman" w:hAnsi="Times New Roman" w:cs="Times New Roman"/>
          <w:color w:val="000000" w:themeColor="text1"/>
          <w:szCs w:val="24"/>
        </w:rPr>
        <w:t xml:space="preserve"> Moreover, by quantifying the selectivity of channel activity centered on the attended positions, we could clearly determine whether changes in the breadth of covert spatial attention influenced the spatial selectivity of the neural activity that indexes covert spatial attention.</w:t>
      </w:r>
      <w:r w:rsidR="006A7297" w:rsidRPr="00710874" w:rsidDel="006A7297">
        <w:rPr>
          <w:rFonts w:ascii="Times New Roman" w:hAnsi="Times New Roman" w:cs="Times New Roman"/>
          <w:color w:val="000000" w:themeColor="text1"/>
          <w:szCs w:val="24"/>
        </w:rPr>
        <w:t xml:space="preserve"> </w:t>
      </w:r>
    </w:p>
    <w:p w14:paraId="57D76A1F" w14:textId="6425B9D4" w:rsidR="00EC5F2B" w:rsidRPr="00710874" w:rsidRDefault="004D0473" w:rsidP="00F544ED">
      <w:pPr>
        <w:spacing w:after="0" w:line="480" w:lineRule="auto"/>
        <w:ind w:firstLine="720"/>
        <w:jc w:val="both"/>
        <w:rPr>
          <w:rFonts w:asciiTheme="majorBidi" w:hAnsiTheme="majorBidi" w:cstheme="majorBidi"/>
          <w:color w:val="000000" w:themeColor="text1"/>
          <w:lang w:val="en-US"/>
        </w:rPr>
      </w:pPr>
      <w:r w:rsidRPr="00710874">
        <w:rPr>
          <w:rFonts w:ascii="Times New Roman" w:hAnsi="Times New Roman" w:cs="Times New Roman"/>
          <w:color w:val="000000" w:themeColor="text1"/>
          <w:szCs w:val="24"/>
        </w:rPr>
        <w:t xml:space="preserve">We </w:t>
      </w:r>
      <w:r w:rsidR="003524E0" w:rsidRPr="00710874">
        <w:rPr>
          <w:rFonts w:ascii="Times New Roman" w:hAnsi="Times New Roman" w:cs="Times New Roman"/>
          <w:color w:val="000000" w:themeColor="text1"/>
          <w:szCs w:val="24"/>
        </w:rPr>
        <w:t xml:space="preserve">cued subjects to direct spatial attention towards either a narrow or broad region of space and </w:t>
      </w:r>
      <w:r w:rsidRPr="00710874">
        <w:rPr>
          <w:rFonts w:ascii="Times New Roman" w:hAnsi="Times New Roman" w:cs="Times New Roman"/>
          <w:color w:val="000000" w:themeColor="text1"/>
          <w:szCs w:val="24"/>
        </w:rPr>
        <w:t xml:space="preserve">used EEG measurements of neural oscillations in the alpha frequency band (8-12 Hz) to </w:t>
      </w:r>
      <w:r w:rsidR="003524E0" w:rsidRPr="00710874">
        <w:rPr>
          <w:rFonts w:ascii="Times New Roman" w:hAnsi="Times New Roman" w:cs="Times New Roman"/>
          <w:color w:val="000000" w:themeColor="text1"/>
          <w:szCs w:val="24"/>
        </w:rPr>
        <w:t xml:space="preserve">track the </w:t>
      </w:r>
      <w:r w:rsidR="00D01B01" w:rsidRPr="00710874">
        <w:rPr>
          <w:rFonts w:ascii="Times New Roman" w:hAnsi="Times New Roman" w:cs="Times New Roman"/>
          <w:color w:val="000000" w:themeColor="text1"/>
          <w:szCs w:val="24"/>
        </w:rPr>
        <w:t>spatial selectivity of the observers’ attentional focus</w:t>
      </w:r>
      <w:r w:rsidR="003524E0" w:rsidRPr="00710874">
        <w:rPr>
          <w:rFonts w:ascii="Times New Roman" w:hAnsi="Times New Roman" w:cs="Times New Roman"/>
          <w:color w:val="000000" w:themeColor="text1"/>
          <w:szCs w:val="24"/>
        </w:rPr>
        <w:t>. This</w:t>
      </w:r>
      <w:r w:rsidRPr="00710874">
        <w:rPr>
          <w:rFonts w:ascii="Times New Roman" w:hAnsi="Times New Roman" w:cs="Times New Roman"/>
          <w:color w:val="000000" w:themeColor="text1"/>
          <w:szCs w:val="24"/>
        </w:rPr>
        <w:t xml:space="preserve"> </w:t>
      </w:r>
      <w:r w:rsidR="00D01B01" w:rsidRPr="00710874">
        <w:rPr>
          <w:rFonts w:ascii="Times New Roman" w:hAnsi="Times New Roman" w:cs="Times New Roman"/>
          <w:color w:val="000000" w:themeColor="text1"/>
          <w:szCs w:val="24"/>
        </w:rPr>
        <w:t>followed</w:t>
      </w:r>
      <w:r w:rsidR="00636640" w:rsidRPr="00710874">
        <w:rPr>
          <w:rFonts w:ascii="Times New Roman" w:hAnsi="Times New Roman" w:cs="Times New Roman"/>
          <w:color w:val="000000" w:themeColor="text1"/>
          <w:szCs w:val="24"/>
        </w:rPr>
        <w:t xml:space="preserve"> </w:t>
      </w:r>
      <w:r w:rsidR="0067050B" w:rsidRPr="00710874">
        <w:rPr>
          <w:rFonts w:ascii="Times New Roman" w:hAnsi="Times New Roman" w:cs="Times New Roman"/>
          <w:color w:val="000000" w:themeColor="text1"/>
          <w:lang w:val="en-US"/>
        </w:rPr>
        <w:t xml:space="preserve">a large body of evidence </w:t>
      </w:r>
      <w:r w:rsidR="00D01B01" w:rsidRPr="00710874">
        <w:rPr>
          <w:rFonts w:ascii="Times New Roman" w:hAnsi="Times New Roman" w:cs="Times New Roman"/>
          <w:color w:val="000000" w:themeColor="text1"/>
          <w:lang w:val="en-US"/>
        </w:rPr>
        <w:t xml:space="preserve">showing </w:t>
      </w:r>
      <w:r w:rsidR="0067050B" w:rsidRPr="00710874">
        <w:rPr>
          <w:rFonts w:ascii="Times New Roman" w:hAnsi="Times New Roman" w:cs="Times New Roman"/>
          <w:color w:val="000000" w:themeColor="text1"/>
          <w:lang w:val="en-US"/>
        </w:rPr>
        <w:t xml:space="preserve">that alpha activity </w:t>
      </w:r>
      <w:r w:rsidR="00CF6520" w:rsidRPr="00710874">
        <w:rPr>
          <w:rFonts w:ascii="Times New Roman" w:hAnsi="Times New Roman" w:cs="Times New Roman"/>
          <w:color w:val="000000" w:themeColor="text1"/>
          <w:lang w:val="en-US"/>
        </w:rPr>
        <w:t xml:space="preserve">provides a </w:t>
      </w:r>
      <w:r w:rsidR="00636640" w:rsidRPr="00710874">
        <w:rPr>
          <w:rFonts w:ascii="Times New Roman" w:hAnsi="Times New Roman" w:cs="Times New Roman"/>
          <w:color w:val="000000" w:themeColor="text1"/>
          <w:lang w:val="en-US"/>
        </w:rPr>
        <w:t xml:space="preserve">precise and </w:t>
      </w:r>
      <w:r w:rsidR="00CF6520" w:rsidRPr="00710874">
        <w:rPr>
          <w:rFonts w:ascii="Times New Roman" w:hAnsi="Times New Roman" w:cs="Times New Roman"/>
          <w:color w:val="000000" w:themeColor="text1"/>
          <w:lang w:val="en-US"/>
        </w:rPr>
        <w:t xml:space="preserve">temporally resolved index of the </w:t>
      </w:r>
      <w:r w:rsidR="0067050B" w:rsidRPr="00710874">
        <w:rPr>
          <w:rFonts w:ascii="Times New Roman" w:hAnsi="Times New Roman" w:cs="Times New Roman"/>
          <w:color w:val="000000" w:themeColor="text1"/>
          <w:lang w:val="en-US"/>
        </w:rPr>
        <w:t>locus of covert spatial orienting</w:t>
      </w:r>
      <w:r w:rsidR="00C622BD" w:rsidRPr="00710874">
        <w:rPr>
          <w:rFonts w:ascii="Times New Roman" w:hAnsi="Times New Roman" w:cs="Times New Roman"/>
          <w:color w:val="000000" w:themeColor="text1"/>
          <w:lang w:val="en-US"/>
        </w:rPr>
        <w:t xml:space="preserve"> </w:t>
      </w:r>
      <w:r w:rsidR="00C622BD" w:rsidRPr="00710874">
        <w:rPr>
          <w:rFonts w:ascii="Times New Roman" w:hAnsi="Times New Roman" w:cs="Times New Roman"/>
          <w:color w:val="000000" w:themeColor="text1"/>
          <w:lang w:val="en-US"/>
        </w:rPr>
        <w:fldChar w:fldCharType="begin"/>
      </w:r>
      <w:r w:rsidR="00F544ED" w:rsidRPr="00710874">
        <w:rPr>
          <w:rFonts w:ascii="Times New Roman" w:hAnsi="Times New Roman" w:cs="Times New Roman"/>
          <w:color w:val="000000" w:themeColor="text1"/>
          <w:lang w:val="en-US"/>
        </w:rPr>
        <w:instrText xml:space="preserve"> ADDIN ZOTERO_ITEM CSL_CITATION {"citationID":"f9u1ejhs","properties":{"formattedCitation":"(Foster, Bsales, Jaffe, &amp; Awh, 2017; Foster, Sutterer, Serences, Vogel, &amp; Awh, 2017; Gould, Rushworth, &amp; Nobre, 2011; Marshall, O\\uc0\\u8217{}Shea, Jensen, &amp; Bergmann, 2015; Rihs, Michel, &amp; Thut, 2007; Samaha, Sprague, &amp; Postle, 2016)","plainCitation":"(Foster, Bsales, Jaffe, &amp; Awh, 2017; Foster, Sutterer, Serences, Vogel, &amp; Awh, 2017; Gould, Rushworth, &amp; Nobre, 2011; Marshall, O’Shea, Jensen, &amp; Bergmann, 2015; Rihs, Michel, &amp; Thut, 2007; Samaha, Sprague, &amp; Postle, 2016)","noteIndex":0},"citationItems":[{"id":2872,"uris":["http://zotero.org/users/4743004/items/VJI4KS9I"],"uri":["http://zotero.org/users/4743004/items/VJI4KS9I"],"itemData":{"id":2872,"type":"article-journal","title":"Alpha-Band Activity Reveals Spontaneous Representations of Spatial Position in Visual Working Memory","container-title":"Current Biology","page":"3216-3223.e6","volume":"27","issue":"20","source":"CrossRef","DOI":"10.1016/j.cub.2017.09.031","ISSN":"09609822","language":"en","author":[{"family":"Foster","given":"Joshua J."},{"family":"Bsales","given":"Emma M."},{"family":"Jaffe","given":"Russell J."},{"family":"Awh","given":"Edward"}],"issued":{"date-parts":[["2017",10]]}}},{"id":4044,"uris":["http://zotero.org/users/4743004/items/YGN5DWHE"],"uri":["http://zotero.org/users/4743004/items/YGN5DWHE"],"itemData":{"id":4044,"type":"article-journal","title":"Alpha-Band Oscillations Enable Spatially and Temporally Resolved Tracking of Covert Spatial Attention","container-title":"Psychological Science","page":"929-941","volume":"28","issue":"7","source":"Crossref","abstract":"Covert spatial attention is essential for humans’ ability to direct limited processing resources to the relevant aspects of visual scenes. A growing body of evidence suggests that rhythmic neural activity in the alpha frequency band (8–12 Hz) tracks the spatial locus of covert attention, which suggests that alpha activity is integral to spatial attention. However, extant work has not provided a compelling test of another key prediction: that alpha activity tracks the temporal dynamics of covert spatial orienting. In the current study, we examined the time course of spatially specific alpha activity after central cues and during visual search. Critically, the time course of this activity tracked trial-bytrial variations in orienting latency during visual search. These findings provide important new evidence for the link between rhythmic brain activity and covert spatial attention, and they highlight a powerful approach for tracking the spatial and temporal dynamics of this core cognitive process.","DOI":"10.1177/0956797617699167","ISSN":"0956-7976, 1467-9280","language":"en","author":[{"family":"Foster","given":"Joshua J."},{"family":"Sutterer","given":"David W."},{"family":"Serences","given":"John T."},{"family":"Vogel","given":"Edward K."},{"family":"Awh","given":"Edward"}],"issued":{"date-parts":[["2017",7]]}}},{"id":471,"uris":["http://zotero.org/users/4743004/items/3HYQAXKP"],"uri":["http://zotero.org/users/4743004/items/3HYQAXKP"],"itemData":{"id":471,"type":"article-journal","title":"Indexing the graded allocation of visuospatial attention using anticipatory alpha oscillations.","container-title":"Journal of neurophysiology","page":"1318-26","volume":"105","issue":"3","abstract":"Lateralization in the desynchronization of anticipatory occipitoparietal alpha (8-12 Hz) oscillations has been implicated in the allocation of selective visuospatial attention. Previous studies have demonstrated that small changes in the lateralization of alpha-band activity are predictive of behavioral performance but have not directly investigated how flexibly alpha lateralization is linked to top-down attentional goals. To address this question, we presented participants with cues providing varying degrees of spatial certainty about the location at which a target would appear. Time-frequency analysis of EEG data demonstrated that manipulating spatial certainty led to graded changes in the extent to which alpha oscillations were lateralized over the occipitoparietal cortex during the cue-target interval. We found that individual differences in alpha desynchronization contralateral to attention predicted reaction times, event-related potential measures of perceptual processing of targets, and beta-band (15-25 Hz) activity typically associated with response preparation. These results support the hypothesis that anticipatory alpha modulation is a plausible neural mechanism underlying the allocation of visuospatial attention and is under flexible top-down control.","DOI":"10.1152/jn.00653.2010","ISSN":"1865271322","author":[{"family":"Gould","given":"Ian C"},{"family":"Rushworth","given":"Matthew F"},{"family":"Nobre","given":"Anna C"}],"issued":{"date-parts":[["2011"]]}}},{"id":3020,"uris":["http://zotero.org/users/4743004/items/BZF3RA9X"],"uri":["http://zotero.org/users/4743004/items/BZF3RA9X"],"itemData":{"id":3020,"type":"article-journal","title":"Frontal Eye Fields Control Attentional Modulation of Alpha and Gamma Oscillations in Contralateral Occipitoparietal Cortex","container-title":"Journal of Neuroscience","page":"1638-1647","volume":"35","issue":"4","source":"CrossRef","DOI":"10.1523/JNEUROSCI.3116-14.2015","ISSN":"0270-6474, 1529-2401","language":"en","author":[{"family":"Marshall","given":"T. R."},{"family":"O'Shea","given":"J."},{"family":"Jensen","given":"O."},{"family":"Bergmann","given":"T. O."}],"issued":{"date-parts":[["2015",1,28]]}}},{"id":3971,"uris":["http://zotero.org/users/4743004/items/W7QU3BXS"],"uri":["http://zotero.org/users/4743004/items/W7QU3BXS"],"itemData":{"id":3971,"type":"article-journal","title":"Mechanisms of selective inhibition in visual spatial attention are indexed by α-band EEG synchronization","container-title":"European Journal of Neuroscience","page":"603-610","volume":"25","issue":"2","source":"Wiley Online Library","abstract":"Electroencephalographic studies in humans have demonstrated that orienting of visual attention induces a decrease in oscillatory α-band activity (α-desynchronization) over cortical areas tuned to the attended visual space. This is interpreted as reflecting intentionally enhanced excitability of these areas to facilitate upcoming visual processing. However, the inverse mechanism might also apply. Brain areas that process task-irrelevant space might be actively suppressed by increased α-activity (α-synchronization) to protect against input of distracter information. In the present study, we demonstrate that such suppression mechanisms are highly selective and are taking place even without distracters that need to be ignored. During voluntary orienting of attention, we found α-synchronization to dominate over desynchronization, to be topographically specific for each of eight attention positions, and to occur over areas processing unattended space in a retinotopically organized pattern. This indicates that α-synchronization is an important component of selective attention, serving active suppression of unattended positions during visual spatial orienting.","DOI":"10.1111/j.1460-9568.2007.05278.x","ISSN":"1460-9568","language":"en","author":[{"family":"Rihs","given":"Tonia A."},{"family":"Michel","given":"Christoph M."},{"family":"Thut","given":"Gregor"}],"issued":{"date-parts":[["2007",1,1]]}}},{"id":3975,"uris":["http://zotero.org/users/4743004/items/MLDC8X54"],"uri":["http://zotero.org/users/4743004/items/MLDC8X54"],"itemData":{"id":3975,"type":"article-journal","title":"Decoding and Reconstructing the Focus of Spatial Attention from the Topography of Alpha-band Oscillations","container-title":"Journal of Cognitive Neuroscience","page":"1090-1097","volume":"28","issue":"8","source":"MIT Press Journals","abstract":"Many aspects of perception and cognition are supported by activity in neural populations that are tuned to different stimulus features (e.g., orientation, spatial location, color). Goal-directed behavior, such as sustained attention, requires a mechanism for the selective prioritization of contextually appropriate representations. A candidate mechanism of sustained spatial attention is neural activity in the alpha band (8–13 Hz), whose power in the human EEG covaries with the focus of covert attention. Here, we applied an inverted encoding model to assess whether spatially selective neural responses could be recovered from the topography of alpha-band oscillations during spatial attention. Participants were cued to covertly attend to one of six spatial locations arranged concentrically around fixation while EEG was recorded. A linear classifier applied to EEG data during sustained attention demonstrated successful classification of the attended location from the topography of alpha power, although not from other frequency bands. We next sought to reconstruct the focus of spatial attention over time by applying inverted encoding models to the topography of alpha power and phase. Alpha power, but not phase, allowed for robust reconstructions of the specific attended location beginning around 450 msec postcue, an onset earlier than previous reports. These results demonstrate that posterior alpha-band oscillations can be used to track activity in feature-selective neural populations with high temporal precision during the deployment of covert spatial attention.","DOI":"10.1162/jocn_a_00955","ISSN":"0898-929X","journalAbbreviation":"Journal of Cognitive Neuroscience","author":[{"family":"Samaha","given":"Jason"},{"family":"Sprague","given":"Thomas C."},{"family":"Postle","given":"Bradley R."}],"issued":{"date-parts":[["2016",3,22]]}}}],"schema":"https://github.com/citation-style-language/schema/raw/master/csl-citation.json"} </w:instrText>
      </w:r>
      <w:r w:rsidR="00C622BD"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szCs w:val="24"/>
        </w:rPr>
        <w:t>(Foster, Bsales, Jaffe, &amp; Awh, 2017; Foster, Sutterer, Serences, Vogel, &amp; Awh, 2017; Gould, Rushworth, &amp; Nobre, 2011; Marshall, O’Shea, Jensen, &amp; Bergmann, 2015; Rihs, Michel, &amp; Thut, 2007; Samaha, Sprague, &amp; Postle, 2016)</w:t>
      </w:r>
      <w:r w:rsidR="00C622BD" w:rsidRPr="00710874">
        <w:rPr>
          <w:rFonts w:ascii="Times New Roman" w:hAnsi="Times New Roman" w:cs="Times New Roman"/>
          <w:color w:val="000000" w:themeColor="text1"/>
          <w:lang w:val="en-US"/>
        </w:rPr>
        <w:fldChar w:fldCharType="end"/>
      </w:r>
      <w:r w:rsidR="00C622BD"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szCs w:val="24"/>
          <w:lang w:val="en-US"/>
        </w:rPr>
        <w:t xml:space="preserve"> </w:t>
      </w:r>
      <w:r w:rsidR="003524E0" w:rsidRPr="00710874">
        <w:rPr>
          <w:rFonts w:ascii="Times New Roman" w:hAnsi="Times New Roman" w:cs="Times New Roman"/>
          <w:color w:val="000000" w:themeColor="text1"/>
          <w:szCs w:val="24"/>
        </w:rPr>
        <w:t>Although</w:t>
      </w:r>
      <w:r w:rsidR="004B6650" w:rsidRPr="00710874">
        <w:rPr>
          <w:rFonts w:ascii="Times New Roman" w:hAnsi="Times New Roman" w:cs="Times New Roman"/>
          <w:color w:val="000000" w:themeColor="text1"/>
          <w:szCs w:val="24"/>
        </w:rPr>
        <w:t xml:space="preserve"> there is robust evidence that</w:t>
      </w:r>
      <w:r w:rsidR="00F00879" w:rsidRPr="00710874">
        <w:rPr>
          <w:rFonts w:ascii="Times New Roman" w:hAnsi="Times New Roman" w:cs="Times New Roman"/>
          <w:color w:val="000000" w:themeColor="text1"/>
          <w:szCs w:val="24"/>
        </w:rPr>
        <w:t xml:space="preserve"> alpha activity tracks the centroid of the attended region,</w:t>
      </w:r>
      <w:r w:rsidR="00D01B01" w:rsidRPr="00710874">
        <w:rPr>
          <w:rFonts w:ascii="Times New Roman" w:hAnsi="Times New Roman" w:cs="Times New Roman"/>
          <w:color w:val="000000" w:themeColor="text1"/>
          <w:szCs w:val="24"/>
        </w:rPr>
        <w:t xml:space="preserve"> however,</w:t>
      </w:r>
      <w:r w:rsidR="004B6650" w:rsidRPr="00710874">
        <w:rPr>
          <w:rFonts w:ascii="Times New Roman" w:hAnsi="Times New Roman" w:cs="Times New Roman"/>
          <w:color w:val="000000" w:themeColor="text1"/>
          <w:szCs w:val="24"/>
        </w:rPr>
        <w:t xml:space="preserve"> past </w:t>
      </w:r>
      <w:r w:rsidR="00F00879" w:rsidRPr="00710874">
        <w:rPr>
          <w:rFonts w:ascii="Times New Roman" w:hAnsi="Times New Roman" w:cs="Times New Roman"/>
          <w:color w:val="000000" w:themeColor="text1"/>
          <w:szCs w:val="24"/>
        </w:rPr>
        <w:t xml:space="preserve">work has not determined whether </w:t>
      </w:r>
      <w:r w:rsidR="004B6650" w:rsidRPr="00710874">
        <w:rPr>
          <w:rFonts w:ascii="Times New Roman" w:hAnsi="Times New Roman" w:cs="Times New Roman"/>
          <w:color w:val="000000" w:themeColor="text1"/>
          <w:szCs w:val="24"/>
        </w:rPr>
        <w:t>alpha activity also</w:t>
      </w:r>
      <w:r w:rsidR="00F00879" w:rsidRPr="00710874">
        <w:rPr>
          <w:rFonts w:ascii="Times New Roman" w:hAnsi="Times New Roman" w:cs="Times New Roman"/>
          <w:color w:val="000000" w:themeColor="text1"/>
          <w:szCs w:val="24"/>
        </w:rPr>
        <w:t xml:space="preserve"> indexes the </w:t>
      </w:r>
      <w:r w:rsidR="00F00879" w:rsidRPr="00710874">
        <w:rPr>
          <w:rFonts w:ascii="Times New Roman" w:hAnsi="Times New Roman" w:cs="Times New Roman"/>
          <w:i/>
          <w:color w:val="000000" w:themeColor="text1"/>
          <w:szCs w:val="24"/>
        </w:rPr>
        <w:t>breadth</w:t>
      </w:r>
      <w:r w:rsidR="00F00879" w:rsidRPr="00710874">
        <w:rPr>
          <w:rFonts w:ascii="Times New Roman" w:hAnsi="Times New Roman" w:cs="Times New Roman"/>
          <w:color w:val="000000" w:themeColor="text1"/>
          <w:szCs w:val="24"/>
        </w:rPr>
        <w:t xml:space="preserve"> of </w:t>
      </w:r>
      <w:r w:rsidR="00FF18CF" w:rsidRPr="00710874">
        <w:rPr>
          <w:rFonts w:ascii="Times New Roman" w:hAnsi="Times New Roman" w:cs="Times New Roman"/>
          <w:color w:val="000000" w:themeColor="text1"/>
          <w:szCs w:val="24"/>
        </w:rPr>
        <w:t>the selected region of space</w:t>
      </w:r>
      <w:r w:rsidR="00F00879" w:rsidRPr="00710874">
        <w:rPr>
          <w:rFonts w:ascii="Times New Roman" w:hAnsi="Times New Roman" w:cs="Times New Roman"/>
          <w:color w:val="000000" w:themeColor="text1"/>
          <w:szCs w:val="24"/>
        </w:rPr>
        <w:t xml:space="preserve">. To address this question, we used an inverted encoding model to measure the spatial selectivity of alpha activity while subjects </w:t>
      </w:r>
      <w:r w:rsidR="00402375" w:rsidRPr="00710874">
        <w:rPr>
          <w:rFonts w:ascii="Times New Roman" w:hAnsi="Times New Roman" w:cs="Times New Roman"/>
          <w:color w:val="000000" w:themeColor="text1"/>
          <w:lang w:val="en-US"/>
        </w:rPr>
        <w:t>were cued to direct spatial attention towards either a narrow or broad region of space within a circular array of possible target positions</w:t>
      </w:r>
      <w:r w:rsidR="00F00879" w:rsidRPr="00710874">
        <w:rPr>
          <w:rFonts w:ascii="Times New Roman" w:hAnsi="Times New Roman" w:cs="Times New Roman"/>
          <w:color w:val="000000" w:themeColor="text1"/>
          <w:szCs w:val="24"/>
        </w:rPr>
        <w:t xml:space="preserve">. </w:t>
      </w:r>
      <w:r w:rsidR="004807CB" w:rsidRPr="00710874">
        <w:rPr>
          <w:rFonts w:ascii="Times New Roman" w:hAnsi="Times New Roman" w:cs="Times New Roman"/>
          <w:color w:val="000000" w:themeColor="text1"/>
          <w:szCs w:val="24"/>
        </w:rPr>
        <w:t>A</w:t>
      </w:r>
      <w:r w:rsidR="002A1712" w:rsidRPr="00710874">
        <w:rPr>
          <w:rFonts w:ascii="Times New Roman" w:hAnsi="Times New Roman" w:cs="Times New Roman"/>
          <w:color w:val="000000" w:themeColor="text1"/>
          <w:szCs w:val="24"/>
        </w:rPr>
        <w:t xml:space="preserve">lpha activity has been robustly linked to modulations of sensory activity in </w:t>
      </w:r>
      <w:r w:rsidR="008E076F" w:rsidRPr="00710874">
        <w:rPr>
          <w:rFonts w:ascii="Times New Roman" w:hAnsi="Times New Roman" w:cs="Times New Roman"/>
          <w:color w:val="000000" w:themeColor="text1"/>
          <w:szCs w:val="24"/>
        </w:rPr>
        <w:t>retinotopically</w:t>
      </w:r>
      <w:r w:rsidR="002A1712" w:rsidRPr="00710874">
        <w:rPr>
          <w:rFonts w:ascii="Times New Roman" w:hAnsi="Times New Roman" w:cs="Times New Roman"/>
          <w:color w:val="000000" w:themeColor="text1"/>
          <w:szCs w:val="24"/>
        </w:rPr>
        <w:t xml:space="preserve"> organized regions</w:t>
      </w:r>
      <w:r w:rsidR="00C622BD" w:rsidRPr="00710874">
        <w:rPr>
          <w:rFonts w:ascii="Times New Roman" w:hAnsi="Times New Roman" w:cs="Times New Roman"/>
          <w:color w:val="000000" w:themeColor="text1"/>
          <w:szCs w:val="24"/>
        </w:rPr>
        <w:t xml:space="preserve"> </w:t>
      </w:r>
      <w:r w:rsidR="00C622BD" w:rsidRPr="00710874">
        <w:rPr>
          <w:rFonts w:ascii="Times New Roman" w:hAnsi="Times New Roman" w:cs="Times New Roman"/>
          <w:color w:val="000000" w:themeColor="text1"/>
          <w:szCs w:val="24"/>
        </w:rPr>
        <w:fldChar w:fldCharType="begin"/>
      </w:r>
      <w:r w:rsidR="003C5C4B" w:rsidRPr="00710874">
        <w:rPr>
          <w:rFonts w:ascii="Times New Roman" w:hAnsi="Times New Roman" w:cs="Times New Roman"/>
          <w:color w:val="000000" w:themeColor="text1"/>
          <w:szCs w:val="24"/>
        </w:rPr>
        <w:instrText xml:space="preserve"> ADDIN ZOTERO_ITEM CSL_CITATION {"citationID":"BD3cYmsw","properties":{"formattedCitation":"(Worden, Foxe, Wang, &amp; Simpson, 2000)","plainCitation":"(Worden, Foxe, Wang, &amp; Simpson, 2000)","dontUpdate":true,"noteIndex":0},"citationItems":[{"id":4112,"uris":["http://zotero.org/users/4743004/items/UXYAUHQ6"],"uri":["http://zotero.org/users/4743004/items/UXYAUHQ6"],"itemData":{"id":4112,"type":"article-journal","title":"Anticipatory biasing of visuospatial attention indexed by retinotopically specific alpha-band electroencephalography increases over occipital cortex","container-title":"Journal of Neuroscience","page":"63","source":"CiteSeer","abstract":"a-Band (8–14 Hz) oscillatory EEG activity was examined with high-density scalp electrical recording during the cue–stimulus interval of an endogenous spatial cueing paradigm. In different blocks, cued spatial locations (left or right) were in either the upper or lower visual field, and attended stimuli were either oriented Ts or moving dots. Distractor stimuli were equally likely in the uncued hemifield. Sustained focal increases of a-band activity were seen over occipital cortex contralateral to the direction of the to-be-ignored location (ipsilateral to the cued direction of attention) before onset of the to-be-attended stim-ulus. The focus of a-band activity also moved depending on whether cued locations were in the upper or lower field. Results are consistent with active gating of uncued spatial locations. Key words: alpha; attention; ERP; cueing; oscillations; gating Without moving their eyes, humans can voluntarily deploy atten-","author":[{"family":"Worden","given":"Michael S."},{"family":"Foxe","given":"John J."},{"family":"Wang","given":"Norman"},{"family":"Simpson","given":"Gregory V."}],"issued":{"date-parts":[["2000"]]}}}],"schema":"https://github.com/citation-style-language/schema/raw/master/csl-citation.json"} </w:instrText>
      </w:r>
      <w:r w:rsidR="00C622BD" w:rsidRPr="00710874">
        <w:rPr>
          <w:rFonts w:ascii="Times New Roman" w:hAnsi="Times New Roman" w:cs="Times New Roman"/>
          <w:color w:val="000000" w:themeColor="text1"/>
          <w:szCs w:val="24"/>
        </w:rPr>
        <w:fldChar w:fldCharType="separate"/>
      </w:r>
      <w:r w:rsidR="00C622BD" w:rsidRPr="00710874">
        <w:rPr>
          <w:rFonts w:ascii="Times New Roman" w:hAnsi="Times New Roman" w:cs="Times New Roman"/>
          <w:color w:val="000000" w:themeColor="text1"/>
        </w:rPr>
        <w:t>(e.g., Worden, Foxe, Wang, &amp; Simpson, 2000)</w:t>
      </w:r>
      <w:r w:rsidR="00C622BD" w:rsidRPr="00710874">
        <w:rPr>
          <w:rFonts w:ascii="Times New Roman" w:hAnsi="Times New Roman" w:cs="Times New Roman"/>
          <w:color w:val="000000" w:themeColor="text1"/>
          <w:szCs w:val="24"/>
        </w:rPr>
        <w:fldChar w:fldCharType="end"/>
      </w:r>
      <w:r w:rsidR="004807CB" w:rsidRPr="00710874">
        <w:rPr>
          <w:rFonts w:ascii="Times New Roman" w:hAnsi="Times New Roman" w:cs="Times New Roman"/>
          <w:color w:val="000000" w:themeColor="text1"/>
          <w:szCs w:val="24"/>
        </w:rPr>
        <w:t>.</w:t>
      </w:r>
      <w:r w:rsidR="002A1712" w:rsidRPr="00710874">
        <w:rPr>
          <w:rFonts w:ascii="Times New Roman" w:hAnsi="Times New Roman" w:cs="Times New Roman"/>
          <w:color w:val="000000" w:themeColor="text1"/>
          <w:szCs w:val="24"/>
        </w:rPr>
        <w:t xml:space="preserve"> </w:t>
      </w:r>
      <w:r w:rsidR="00402375" w:rsidRPr="00710874">
        <w:rPr>
          <w:rFonts w:ascii="Times New Roman" w:hAnsi="Times New Roman" w:cs="Times New Roman"/>
          <w:color w:val="000000" w:themeColor="text1"/>
          <w:szCs w:val="24"/>
        </w:rPr>
        <w:t xml:space="preserve">To anticipate our results, </w:t>
      </w:r>
      <w:r w:rsidR="00402375" w:rsidRPr="00710874">
        <w:rPr>
          <w:rFonts w:ascii="Times New Roman" w:hAnsi="Times New Roman" w:cs="Times New Roman"/>
          <w:color w:val="000000" w:themeColor="text1"/>
          <w:lang w:val="en-US"/>
        </w:rPr>
        <w:t xml:space="preserve">behavioral data replicated past observations that motivated the zoom lens metaphor for covert </w:t>
      </w:r>
      <w:r w:rsidR="00402375" w:rsidRPr="00710874">
        <w:rPr>
          <w:rFonts w:ascii="Times New Roman" w:hAnsi="Times New Roman" w:cs="Times New Roman"/>
          <w:color w:val="000000" w:themeColor="text1"/>
          <w:lang w:val="en-US"/>
        </w:rPr>
        <w:lastRenderedPageBreak/>
        <w:t>spatial attention.</w:t>
      </w:r>
      <w:r w:rsidR="00402375" w:rsidRPr="00710874">
        <w:rPr>
          <w:rFonts w:ascii="Times New Roman" w:hAnsi="Times New Roman" w:cs="Times New Roman"/>
          <w:color w:val="000000" w:themeColor="text1"/>
          <w:szCs w:val="24"/>
        </w:rPr>
        <w:t xml:space="preserve"> </w:t>
      </w:r>
      <w:r w:rsidR="00402375" w:rsidRPr="00710874">
        <w:rPr>
          <w:rFonts w:ascii="Times New Roman" w:hAnsi="Times New Roman" w:cs="Times New Roman"/>
          <w:color w:val="000000" w:themeColor="text1"/>
          <w:lang w:val="en-US"/>
        </w:rPr>
        <w:t>Criti</w:t>
      </w:r>
      <w:r w:rsidR="00402375" w:rsidRPr="00710874">
        <w:rPr>
          <w:rFonts w:asciiTheme="majorBidi" w:hAnsiTheme="majorBidi" w:cstheme="majorBidi"/>
          <w:color w:val="000000" w:themeColor="text1"/>
          <w:lang w:val="en-US"/>
        </w:rPr>
        <w:t xml:space="preserve">cally, preparatory activity in the alpha frequency band mirrored these behavioral effects. Spatially specific channel activity peaked at the center of the cued region, and dropped in a graded fashion with distance away from that point. Moreover, the slope of this attentional gradient was steeper when observers directed attention narrowly, showing that voluntary adjustments of the attentional zoom lens elicits a flexible tuning of spatially selective neural activity that is thought to gate incoming perceptual information. </w:t>
      </w:r>
      <w:r w:rsidR="00EC5F2B" w:rsidRPr="00710874">
        <w:rPr>
          <w:rFonts w:asciiTheme="majorBidi" w:hAnsiTheme="majorBidi" w:cstheme="majorBidi"/>
          <w:color w:val="000000" w:themeColor="text1"/>
          <w:lang w:val="en-US"/>
        </w:rPr>
        <w:t>Thus, these findings complement the past neural studies of the attentional zoom lens by demonstrating that voluntary changes in the breadth of spatial attention evoke changes in the spatial selectivity of the neural signals that track covert spatial attention. In turn, these findings solidify a perceptual gating model of how adjustment in the zoom lens of attention shape visual processing.</w:t>
      </w:r>
    </w:p>
    <w:p w14:paraId="72137849" w14:textId="77777777" w:rsidR="00EC5F2B" w:rsidRPr="00710874" w:rsidRDefault="00EC5F2B" w:rsidP="006A1830">
      <w:pPr>
        <w:spacing w:after="0" w:line="480" w:lineRule="auto"/>
        <w:ind w:firstLine="720"/>
        <w:jc w:val="both"/>
        <w:rPr>
          <w:rFonts w:asciiTheme="majorBidi" w:hAnsiTheme="majorBidi" w:cstheme="majorBidi"/>
          <w:color w:val="000000" w:themeColor="text1"/>
          <w:lang w:val="en-US"/>
        </w:rPr>
      </w:pPr>
    </w:p>
    <w:p w14:paraId="1EBDC2B9" w14:textId="6DE859EA" w:rsidR="004C0755" w:rsidRPr="00710874" w:rsidRDefault="004C0755" w:rsidP="00857CB9">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rPr>
        <w:br w:type="page"/>
      </w:r>
    </w:p>
    <w:p w14:paraId="70E40420" w14:textId="6773BB78" w:rsidR="00A42B8E" w:rsidRPr="00710874" w:rsidRDefault="00461020" w:rsidP="00BD64D7">
      <w:pPr>
        <w:spacing w:after="0" w:line="480" w:lineRule="auto"/>
        <w:jc w:val="both"/>
        <w:rPr>
          <w:rFonts w:ascii="Times New Roman" w:hAnsi="Times New Roman" w:cs="Times New Roman"/>
          <w:b/>
          <w:color w:val="000000" w:themeColor="text1"/>
        </w:rPr>
      </w:pPr>
      <w:r w:rsidRPr="00710874">
        <w:rPr>
          <w:rFonts w:ascii="Times New Roman" w:hAnsi="Times New Roman" w:cs="Times New Roman"/>
          <w:b/>
          <w:color w:val="000000" w:themeColor="text1"/>
        </w:rPr>
        <w:lastRenderedPageBreak/>
        <w:t xml:space="preserve">Materials and </w:t>
      </w:r>
      <w:r w:rsidR="004C0755" w:rsidRPr="00710874">
        <w:rPr>
          <w:rFonts w:ascii="Times New Roman" w:hAnsi="Times New Roman" w:cs="Times New Roman"/>
          <w:b/>
          <w:color w:val="000000" w:themeColor="text1"/>
        </w:rPr>
        <w:t>Method</w:t>
      </w:r>
    </w:p>
    <w:p w14:paraId="767F466B" w14:textId="77777777" w:rsidR="00AA58CC" w:rsidRPr="00710874" w:rsidRDefault="00857B74" w:rsidP="00BD64D7">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Experiment 1</w:t>
      </w:r>
    </w:p>
    <w:p w14:paraId="0BBD6E63" w14:textId="77777777" w:rsidR="00857B74" w:rsidRPr="00710874" w:rsidRDefault="00AA58CC" w:rsidP="00BD64D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 xml:space="preserve">Participants. </w:t>
      </w:r>
      <w:r w:rsidRPr="00710874">
        <w:rPr>
          <w:rFonts w:ascii="Times New Roman" w:hAnsi="Times New Roman" w:cs="Times New Roman"/>
          <w:color w:val="000000" w:themeColor="text1"/>
          <w:lang w:val="en-US"/>
        </w:rPr>
        <w:t>Twenty</w:t>
      </w:r>
      <w:r w:rsidR="00857B74" w:rsidRPr="00710874">
        <w:rPr>
          <w:rFonts w:ascii="Times New Roman" w:hAnsi="Times New Roman" w:cs="Times New Roman"/>
          <w:color w:val="000000" w:themeColor="text1"/>
          <w:lang w:val="en-US"/>
        </w:rPr>
        <w:t>-three</w:t>
      </w:r>
      <w:r w:rsidRPr="00710874">
        <w:rPr>
          <w:rFonts w:ascii="Times New Roman" w:hAnsi="Times New Roman" w:cs="Times New Roman"/>
          <w:color w:val="000000" w:themeColor="text1"/>
          <w:lang w:val="en-US"/>
        </w:rPr>
        <w:t xml:space="preserve"> volunteers naïve to the objective of the experiment participated for payment (15 USD per hour). </w:t>
      </w:r>
      <w:r w:rsidR="00857B74" w:rsidRPr="00710874">
        <w:rPr>
          <w:rFonts w:ascii="Times New Roman" w:hAnsi="Times New Roman" w:cs="Times New Roman"/>
          <w:color w:val="000000" w:themeColor="text1"/>
          <w:lang w:val="en-US"/>
        </w:rPr>
        <w:t>One additional participant had to be excluded because they decided to abort the experiment prematurely. Participants were aged 18</w:t>
      </w:r>
      <w:r w:rsidRPr="00710874">
        <w:rPr>
          <w:rFonts w:ascii="Times New Roman" w:hAnsi="Times New Roman" w:cs="Times New Roman"/>
          <w:color w:val="000000" w:themeColor="text1"/>
          <w:lang w:val="en-US"/>
        </w:rPr>
        <w:t>-3</w:t>
      </w:r>
      <w:r w:rsidR="00857B74" w:rsidRPr="00710874">
        <w:rPr>
          <w:rFonts w:ascii="Times New Roman" w:hAnsi="Times New Roman" w:cs="Times New Roman"/>
          <w:color w:val="000000" w:themeColor="text1"/>
          <w:lang w:val="en-US"/>
        </w:rPr>
        <w:t>1 years (M = 23</w:t>
      </w:r>
      <w:r w:rsidRPr="00710874">
        <w:rPr>
          <w:rFonts w:ascii="Times New Roman" w:hAnsi="Times New Roman" w:cs="Times New Roman"/>
          <w:color w:val="000000" w:themeColor="text1"/>
          <w:lang w:val="en-US"/>
        </w:rPr>
        <w:t>.</w:t>
      </w:r>
      <w:r w:rsidR="00857B74"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SD = 3.</w:t>
      </w:r>
      <w:r w:rsidR="00857B74" w:rsidRPr="00710874">
        <w:rPr>
          <w:rFonts w:ascii="Times New Roman" w:hAnsi="Times New Roman" w:cs="Times New Roman"/>
          <w:color w:val="000000" w:themeColor="text1"/>
          <w:lang w:val="en-US"/>
        </w:rPr>
        <w:t>8</w:t>
      </w:r>
      <w:r w:rsidRPr="00710874">
        <w:rPr>
          <w:rFonts w:ascii="Times New Roman" w:hAnsi="Times New Roman" w:cs="Times New Roman"/>
          <w:color w:val="000000" w:themeColor="text1"/>
          <w:lang w:val="en-US"/>
        </w:rPr>
        <w:t xml:space="preserve">) and reported normal or corrected-to-normal visual acuity as well as normal color vision. </w:t>
      </w:r>
      <w:r w:rsidR="00857B74" w:rsidRPr="00710874">
        <w:rPr>
          <w:rFonts w:ascii="Times New Roman" w:hAnsi="Times New Roman" w:cs="Times New Roman"/>
          <w:color w:val="000000" w:themeColor="text1"/>
          <w:lang w:val="en-US"/>
        </w:rPr>
        <w:t>Fifteen</w:t>
      </w:r>
      <w:r w:rsidRPr="00710874">
        <w:rPr>
          <w:rFonts w:ascii="Times New Roman" w:hAnsi="Times New Roman" w:cs="Times New Roman"/>
          <w:color w:val="000000" w:themeColor="text1"/>
          <w:lang w:val="en-US"/>
        </w:rPr>
        <w:t xml:space="preserve"> participants were female and three were left-handed. The experiment was conducted with the written understanding a</w:t>
      </w:r>
      <w:r w:rsidR="00857B74" w:rsidRPr="00710874">
        <w:rPr>
          <w:rFonts w:ascii="Times New Roman" w:hAnsi="Times New Roman" w:cs="Times New Roman"/>
          <w:color w:val="000000" w:themeColor="text1"/>
          <w:lang w:val="en-US"/>
        </w:rPr>
        <w:t>nd consent of each participant.</w:t>
      </w:r>
    </w:p>
    <w:p w14:paraId="7D4074A6" w14:textId="77777777" w:rsidR="00C91CDD" w:rsidRPr="00710874" w:rsidRDefault="00F23F10" w:rsidP="00BD64D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 xml:space="preserve">Stimuli, </w:t>
      </w:r>
      <w:r w:rsidR="00C42A13" w:rsidRPr="00710874">
        <w:rPr>
          <w:rFonts w:ascii="Times New Roman" w:hAnsi="Times New Roman" w:cs="Times New Roman"/>
          <w:b/>
          <w:color w:val="000000" w:themeColor="text1"/>
          <w:lang w:val="en-US"/>
        </w:rPr>
        <w:t>a</w:t>
      </w:r>
      <w:r w:rsidR="00AA58CC" w:rsidRPr="00710874">
        <w:rPr>
          <w:rFonts w:ascii="Times New Roman" w:hAnsi="Times New Roman" w:cs="Times New Roman"/>
          <w:b/>
          <w:color w:val="000000" w:themeColor="text1"/>
          <w:lang w:val="en-US"/>
        </w:rPr>
        <w:t>pparatus</w:t>
      </w:r>
      <w:r w:rsidRPr="00710874">
        <w:rPr>
          <w:rFonts w:ascii="Times New Roman" w:hAnsi="Times New Roman" w:cs="Times New Roman"/>
          <w:b/>
          <w:color w:val="000000" w:themeColor="text1"/>
          <w:lang w:val="en-US"/>
        </w:rPr>
        <w:t xml:space="preserve"> and procedure</w:t>
      </w:r>
      <w:r w:rsidR="00AA58CC" w:rsidRPr="00710874">
        <w:rPr>
          <w:rFonts w:ascii="Times New Roman" w:hAnsi="Times New Roman" w:cs="Times New Roman"/>
          <w:b/>
          <w:color w:val="000000" w:themeColor="text1"/>
          <w:lang w:val="en-US"/>
        </w:rPr>
        <w:t xml:space="preserve">. </w:t>
      </w:r>
      <w:r w:rsidR="00AA58CC" w:rsidRPr="00710874">
        <w:rPr>
          <w:rFonts w:ascii="Times New Roman" w:hAnsi="Times New Roman" w:cs="Times New Roman"/>
          <w:color w:val="000000" w:themeColor="text1"/>
          <w:lang w:val="en-US"/>
        </w:rPr>
        <w:t xml:space="preserve">Participants were seated in a comfortable chair in a dimly lit, electrically shielded and sound attenuated chamber. Participants put their head in a chinrest at a distance of </w:t>
      </w:r>
      <w:r w:rsidR="00857B74" w:rsidRPr="00710874">
        <w:rPr>
          <w:rFonts w:ascii="Times New Roman" w:hAnsi="Times New Roman" w:cs="Times New Roman"/>
          <w:color w:val="000000" w:themeColor="text1"/>
          <w:lang w:val="en-US"/>
        </w:rPr>
        <w:t>7</w:t>
      </w:r>
      <w:r w:rsidR="00AA58CC" w:rsidRPr="00710874">
        <w:rPr>
          <w:rFonts w:ascii="Times New Roman" w:hAnsi="Times New Roman" w:cs="Times New Roman"/>
          <w:color w:val="000000" w:themeColor="text1"/>
          <w:lang w:val="en-US"/>
        </w:rPr>
        <w:t>5 cm from the screen. They responded with button presses on a standard keyboard that was placed in front of them. Stimulus presentation and response collection were controlled by a Windows PC using PsychToolBox 3 routines in Matlab (version 8.6.0). All stimuli were presented on a LCD-TN screen (BenQ XL2430-B).</w:t>
      </w:r>
    </w:p>
    <w:p w14:paraId="2CC7F659" w14:textId="068BBAA5" w:rsidR="00857B74" w:rsidRPr="00710874" w:rsidRDefault="00C42A13" w:rsidP="004C05BE">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All stimuli were presented on a </w:t>
      </w:r>
      <w:r w:rsidR="009D2A9C" w:rsidRPr="00710874">
        <w:rPr>
          <w:rFonts w:ascii="Times New Roman" w:hAnsi="Times New Roman" w:cs="Times New Roman"/>
          <w:color w:val="000000" w:themeColor="text1"/>
          <w:lang w:val="en-US"/>
        </w:rPr>
        <w:t>grey (RGB: 100-100-100)</w:t>
      </w:r>
      <w:r w:rsidRPr="00710874">
        <w:rPr>
          <w:rFonts w:ascii="Times New Roman" w:hAnsi="Times New Roman" w:cs="Times New Roman"/>
          <w:color w:val="000000" w:themeColor="text1"/>
          <w:lang w:val="en-US"/>
        </w:rPr>
        <w:t xml:space="preserve"> background. A trial started with a “ready screen</w:t>
      </w:r>
      <w:r w:rsidR="009D2A9C"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xml:space="preserve"> showing a central grey fixation dot</w:t>
      </w:r>
      <w:r w:rsidR="009D2A9C" w:rsidRPr="00710874">
        <w:rPr>
          <w:rFonts w:ascii="Times New Roman" w:hAnsi="Times New Roman" w:cs="Times New Roman"/>
          <w:color w:val="000000" w:themeColor="text1"/>
          <w:lang w:val="en-US"/>
        </w:rPr>
        <w:t xml:space="preserve"> (diameter: 0.3° visual angle) slightly brighter than the background (RGB: 128-128-128). Participants initiated a trial by pressing space bar which turned the fixation dot into a fixation cross (0.4° diameter) of the same color. After 500 ms, a cue display appeared for 600 ms. The cue display comprised of </w:t>
      </w:r>
      <w:r w:rsidR="006E7F9D" w:rsidRPr="00710874">
        <w:rPr>
          <w:rFonts w:ascii="Times New Roman" w:hAnsi="Times New Roman" w:cs="Times New Roman"/>
          <w:color w:val="000000" w:themeColor="text1"/>
          <w:lang w:val="en-US"/>
        </w:rPr>
        <w:t xml:space="preserve">a central fixation cross and </w:t>
      </w:r>
      <w:r w:rsidR="009D2A9C" w:rsidRPr="00710874">
        <w:rPr>
          <w:rFonts w:ascii="Times New Roman" w:hAnsi="Times New Roman" w:cs="Times New Roman"/>
          <w:color w:val="000000" w:themeColor="text1"/>
          <w:lang w:val="en-US"/>
        </w:rPr>
        <w:t>eight circles (0.2° diameter) arranged on an imaginary circle (2.4° radius) in a way that four circles appeared in the left and four in the right hemifield.</w:t>
      </w:r>
      <w:r w:rsidR="006E7F9D" w:rsidRPr="00710874">
        <w:rPr>
          <w:rFonts w:ascii="Times New Roman" w:hAnsi="Times New Roman" w:cs="Times New Roman"/>
          <w:color w:val="000000" w:themeColor="text1"/>
          <w:lang w:val="en-US"/>
        </w:rPr>
        <w:t xml:space="preserve"> Three adjacent circles were blue (0-185-255) and the remaining five circles were green (0-205-0), or vice versa (counterbalanced across participants). Blue and Green were determined to be isoluminant, but note that luminance can vary for different monitors/hardware. </w:t>
      </w:r>
      <w:r w:rsidR="001108A3" w:rsidRPr="00710874">
        <w:rPr>
          <w:rFonts w:ascii="Times New Roman" w:hAnsi="Times New Roman" w:cs="Times New Roman"/>
          <w:color w:val="000000" w:themeColor="text1"/>
          <w:lang w:val="en-US"/>
        </w:rPr>
        <w:t xml:space="preserve">Importantly, the cues to attend narrow and broad regions were physically identical. </w:t>
      </w:r>
      <w:r w:rsidR="006E7F9D" w:rsidRPr="00710874">
        <w:rPr>
          <w:rFonts w:ascii="Times New Roman" w:hAnsi="Times New Roman" w:cs="Times New Roman"/>
          <w:color w:val="000000" w:themeColor="text1"/>
          <w:lang w:val="en-US"/>
        </w:rPr>
        <w:t>Participants were instructed to attend the central</w:t>
      </w:r>
      <w:r w:rsidR="001108A3" w:rsidRPr="00710874">
        <w:rPr>
          <w:rFonts w:ascii="Times New Roman" w:hAnsi="Times New Roman" w:cs="Times New Roman"/>
          <w:color w:val="000000" w:themeColor="text1"/>
          <w:lang w:val="en-US"/>
        </w:rPr>
        <w:t xml:space="preserve"> one</w:t>
      </w:r>
      <w:r w:rsidR="006E7F9D" w:rsidRPr="00710874">
        <w:rPr>
          <w:rFonts w:ascii="Times New Roman" w:hAnsi="Times New Roman" w:cs="Times New Roman"/>
          <w:color w:val="000000" w:themeColor="text1"/>
          <w:lang w:val="en-US"/>
        </w:rPr>
        <w:t xml:space="preserve"> of the three blue/green circles in the </w:t>
      </w:r>
      <w:r w:rsidR="007B2969" w:rsidRPr="00710874">
        <w:rPr>
          <w:rFonts w:ascii="Times New Roman" w:hAnsi="Times New Roman" w:cs="Times New Roman"/>
          <w:color w:val="000000" w:themeColor="text1"/>
          <w:lang w:val="en-US"/>
        </w:rPr>
        <w:t>cue size 1</w:t>
      </w:r>
      <w:r w:rsidR="006E7F9D" w:rsidRPr="00710874">
        <w:rPr>
          <w:rFonts w:ascii="Times New Roman" w:hAnsi="Times New Roman" w:cs="Times New Roman"/>
          <w:color w:val="000000" w:themeColor="text1"/>
          <w:lang w:val="en-US"/>
        </w:rPr>
        <w:t xml:space="preserve"> condition and to attend all three blue/green circles in the </w:t>
      </w:r>
      <w:r w:rsidR="007B2969" w:rsidRPr="00710874">
        <w:rPr>
          <w:rFonts w:ascii="Times New Roman" w:hAnsi="Times New Roman" w:cs="Times New Roman"/>
          <w:color w:val="000000" w:themeColor="text1"/>
          <w:lang w:val="en-US"/>
        </w:rPr>
        <w:t>cue size 3</w:t>
      </w:r>
      <w:r w:rsidR="006E7F9D" w:rsidRPr="00710874">
        <w:rPr>
          <w:rFonts w:ascii="Times New Roman" w:hAnsi="Times New Roman" w:cs="Times New Roman"/>
          <w:color w:val="000000" w:themeColor="text1"/>
          <w:lang w:val="en-US"/>
        </w:rPr>
        <w:t xml:space="preserve"> condition. </w:t>
      </w:r>
      <w:r w:rsidR="001108A3" w:rsidRPr="00710874">
        <w:rPr>
          <w:rFonts w:ascii="Times New Roman" w:hAnsi="Times New Roman" w:cs="Times New Roman"/>
          <w:color w:val="000000" w:themeColor="text1"/>
          <w:lang w:val="en-US"/>
        </w:rPr>
        <w:t>The cued breadth of focus</w:t>
      </w:r>
      <w:r w:rsidR="006E7F9D" w:rsidRPr="00710874">
        <w:rPr>
          <w:rFonts w:ascii="Times New Roman" w:hAnsi="Times New Roman" w:cs="Times New Roman"/>
          <w:color w:val="000000" w:themeColor="text1"/>
          <w:lang w:val="en-US"/>
        </w:rPr>
        <w:t xml:space="preserve"> alternat</w:t>
      </w:r>
      <w:r w:rsidR="001108A3" w:rsidRPr="00710874">
        <w:rPr>
          <w:rFonts w:ascii="Times New Roman" w:hAnsi="Times New Roman" w:cs="Times New Roman"/>
          <w:color w:val="000000" w:themeColor="text1"/>
          <w:lang w:val="en-US"/>
        </w:rPr>
        <w:t>ed</w:t>
      </w:r>
      <w:r w:rsidR="006E7F9D" w:rsidRPr="00710874">
        <w:rPr>
          <w:rFonts w:ascii="Times New Roman" w:hAnsi="Times New Roman" w:cs="Times New Roman"/>
          <w:color w:val="000000" w:themeColor="text1"/>
          <w:lang w:val="en-US"/>
        </w:rPr>
        <w:t xml:space="preserve"> between blocks of 64 trials. After the cue display, a blank screen, only showing the fixation cross, was shown for 200 ms. Then, a probe display was shown for 50 ms. The probe display showed a central </w:t>
      </w:r>
      <w:r w:rsidR="006E7F9D" w:rsidRPr="00710874">
        <w:rPr>
          <w:rFonts w:ascii="Times New Roman" w:hAnsi="Times New Roman" w:cs="Times New Roman"/>
          <w:color w:val="000000" w:themeColor="text1"/>
          <w:lang w:val="en-US"/>
        </w:rPr>
        <w:lastRenderedPageBreak/>
        <w:t xml:space="preserve">fixation cross, seven letters (randomly picked without repetition from these letters: A, C, D, E, F, H, K, L, M, N, P, R, S, T, U, V, W, X, Y, Z) and one digit (1-9) in the same positions as the circles in the cue display. The probe letters/digit had a shade of grey that was determined in a staircasing procedure (see below), ranging between 102-102-102 and 250-250-250. </w:t>
      </w:r>
      <w:r w:rsidR="00023FEB" w:rsidRPr="00710874">
        <w:rPr>
          <w:rFonts w:ascii="Times New Roman" w:hAnsi="Times New Roman" w:cs="Times New Roman"/>
          <w:color w:val="000000" w:themeColor="text1"/>
          <w:lang w:val="en-US"/>
        </w:rPr>
        <w:t xml:space="preserve">The digit appeared at the cued location in 75% of the trials and at any other location in the remaining 25% of the trials (75% cue validity). </w:t>
      </w:r>
      <w:r w:rsidR="006E7F9D" w:rsidRPr="00710874">
        <w:rPr>
          <w:rFonts w:ascii="Times New Roman" w:hAnsi="Times New Roman" w:cs="Times New Roman"/>
          <w:color w:val="000000" w:themeColor="text1"/>
          <w:lang w:val="en-US"/>
        </w:rPr>
        <w:t xml:space="preserve">The probe display was followed by a mask display showing a central fixation cross and a </w:t>
      </w:r>
      <w:r w:rsidR="00023FEB" w:rsidRPr="00710874">
        <w:rPr>
          <w:rFonts w:ascii="Times New Roman" w:hAnsi="Times New Roman" w:cs="Times New Roman"/>
          <w:color w:val="000000" w:themeColor="text1"/>
          <w:lang w:val="en-US"/>
        </w:rPr>
        <w:t>pound sign</w:t>
      </w:r>
      <w:r w:rsidR="006E7F9D" w:rsidRPr="00710874">
        <w:rPr>
          <w:rFonts w:ascii="Times New Roman" w:hAnsi="Times New Roman" w:cs="Times New Roman"/>
          <w:color w:val="000000" w:themeColor="text1"/>
          <w:lang w:val="en-US"/>
        </w:rPr>
        <w:t xml:space="preserve"> (#) at the location where the digit was shown. The mask display stayed on the screen until participants reported the identity of the digit; participants were instructed to report the digit as accurately as possible (unspeeded) and to ignore all letters. They entered the digit by pressing one of the numpad keys on a standard Windows keyboard. After an inter-trial interval of 500 ms, a new “ready screen” with a central fixation dot indicated that participants could start the next trial. Participants completed 20 blocks of 64 trials each (total of 1280 trials). Feedback about their performance (percent correct) was provided to </w:t>
      </w:r>
      <w:r w:rsidR="00174087" w:rsidRPr="00710874">
        <w:rPr>
          <w:noProof/>
          <w:color w:val="000000" w:themeColor="text1"/>
          <w:lang w:eastAsia="zh-CN"/>
        </w:rPr>
        <w:drawing>
          <wp:anchor distT="0" distB="0" distL="114300" distR="114300" simplePos="0" relativeHeight="251700224" behindDoc="0" locked="0" layoutInCell="1" allowOverlap="1" wp14:anchorId="00133355" wp14:editId="07D7F697">
            <wp:simplePos x="0" y="0"/>
            <wp:positionH relativeFrom="column">
              <wp:posOffset>-510540</wp:posOffset>
            </wp:positionH>
            <wp:positionV relativeFrom="paragraph">
              <wp:posOffset>4231640</wp:posOffset>
            </wp:positionV>
            <wp:extent cx="7059930" cy="262572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9930" cy="2625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F9D" w:rsidRPr="00710874">
        <w:rPr>
          <w:rFonts w:ascii="Times New Roman" w:hAnsi="Times New Roman" w:cs="Times New Roman"/>
          <w:color w:val="000000" w:themeColor="text1"/>
          <w:lang w:val="en-US"/>
        </w:rPr>
        <w:t>participants after each block.</w:t>
      </w:r>
    </w:p>
    <w:p w14:paraId="3D39F53D" w14:textId="298C4DA7" w:rsidR="004C05BE" w:rsidRPr="00710874" w:rsidRDefault="004C05BE">
      <w:pPr>
        <w:rPr>
          <w:rFonts w:ascii="Times New Roman" w:hAnsi="Times New Roman" w:cs="Times New Roman"/>
          <w:b/>
          <w:color w:val="000000" w:themeColor="text1"/>
          <w:lang w:val="en-US"/>
        </w:rPr>
      </w:pPr>
      <w:r w:rsidRPr="00710874">
        <w:rPr>
          <w:noProof/>
          <w:color w:val="000000" w:themeColor="text1"/>
          <w:lang w:eastAsia="zh-CN"/>
        </w:rPr>
        <mc:AlternateContent>
          <mc:Choice Requires="wps">
            <w:drawing>
              <wp:anchor distT="0" distB="0" distL="114300" distR="114300" simplePos="0" relativeHeight="251664384" behindDoc="0" locked="0" layoutInCell="1" allowOverlap="1" wp14:anchorId="0EEFFFA7" wp14:editId="45269CD0">
                <wp:simplePos x="0" y="0"/>
                <wp:positionH relativeFrom="margin">
                  <wp:posOffset>0</wp:posOffset>
                </wp:positionH>
                <wp:positionV relativeFrom="paragraph">
                  <wp:posOffset>2867025</wp:posOffset>
                </wp:positionV>
                <wp:extent cx="5942330" cy="635"/>
                <wp:effectExtent l="0" t="0" r="1270" b="0"/>
                <wp:wrapSquare wrapText="bothSides"/>
                <wp:docPr id="4" name="Text Box 4"/>
                <wp:cNvGraphicFramePr/>
                <a:graphic xmlns:a="http://schemas.openxmlformats.org/drawingml/2006/main">
                  <a:graphicData uri="http://schemas.microsoft.com/office/word/2010/wordprocessingShape">
                    <wps:wsp>
                      <wps:cNvSpPr txBox="1"/>
                      <wps:spPr>
                        <a:xfrm>
                          <a:off x="0" y="0"/>
                          <a:ext cx="5942330" cy="635"/>
                        </a:xfrm>
                        <a:prstGeom prst="rect">
                          <a:avLst/>
                        </a:prstGeom>
                        <a:solidFill>
                          <a:prstClr val="white"/>
                        </a:solidFill>
                        <a:ln>
                          <a:noFill/>
                        </a:ln>
                        <a:effectLst/>
                      </wps:spPr>
                      <wps:txbx>
                        <w:txbxContent>
                          <w:p w14:paraId="3CB94960" w14:textId="6CC6AE5C" w:rsidR="00A61B4A" w:rsidRPr="00C622BD" w:rsidRDefault="00A61B4A" w:rsidP="006916A3">
                            <w:pPr>
                              <w:pStyle w:val="Caption"/>
                              <w:rPr>
                                <w:color w:val="auto"/>
                                <w:sz w:val="22"/>
                                <w:szCs w:val="22"/>
                              </w:rPr>
                            </w:pPr>
                            <w:r w:rsidRPr="00C622BD">
                              <w:rPr>
                                <w:color w:val="auto"/>
                                <w:sz w:val="22"/>
                                <w:szCs w:val="22"/>
                              </w:rPr>
                              <w:t xml:space="preserve">Figure </w:t>
                            </w:r>
                            <w:r w:rsidRPr="00C622BD">
                              <w:rPr>
                                <w:noProof/>
                                <w:color w:val="auto"/>
                                <w:sz w:val="22"/>
                                <w:szCs w:val="22"/>
                              </w:rPr>
                              <w:fldChar w:fldCharType="begin"/>
                            </w:r>
                            <w:r w:rsidRPr="00C622BD">
                              <w:rPr>
                                <w:noProof/>
                                <w:color w:val="auto"/>
                                <w:sz w:val="22"/>
                                <w:szCs w:val="22"/>
                              </w:rPr>
                              <w:instrText xml:space="preserve"> SEQ Figure \* ARABIC </w:instrText>
                            </w:r>
                            <w:r w:rsidRPr="00C622BD">
                              <w:rPr>
                                <w:noProof/>
                                <w:color w:val="auto"/>
                                <w:sz w:val="22"/>
                                <w:szCs w:val="22"/>
                              </w:rPr>
                              <w:fldChar w:fldCharType="separate"/>
                            </w:r>
                            <w:r w:rsidRPr="00C622BD">
                              <w:rPr>
                                <w:noProof/>
                                <w:color w:val="auto"/>
                                <w:sz w:val="22"/>
                                <w:szCs w:val="22"/>
                              </w:rPr>
                              <w:t>1</w:t>
                            </w:r>
                            <w:r w:rsidRPr="00C622BD">
                              <w:rPr>
                                <w:noProof/>
                                <w:color w:val="auto"/>
                                <w:sz w:val="22"/>
                                <w:szCs w:val="22"/>
                              </w:rPr>
                              <w:fldChar w:fldCharType="end"/>
                            </w:r>
                            <w:r w:rsidRPr="00C622BD">
                              <w:rPr>
                                <w:color w:val="auto"/>
                                <w:sz w:val="22"/>
                                <w:szCs w:val="22"/>
                              </w:rPr>
                              <w:t>. Trial procedure used in Experiment 1 (upper panel) and in Experiment 2 (lower panel). The green dotted line indicates the cued location in “cue size 1” blocks, the blue dotted line indicates the cued locations in “cue size 3” blocks. Dotted lines were not visible to participants. Note that the uppe</w:t>
                            </w:r>
                            <w:r w:rsidR="006916A3">
                              <w:rPr>
                                <w:color w:val="auto"/>
                                <w:sz w:val="22"/>
                                <w:szCs w:val="22"/>
                              </w:rPr>
                              <w:t>r trial shows an example with a</w:t>
                            </w:r>
                            <w:r w:rsidRPr="00C622BD">
                              <w:rPr>
                                <w:color w:val="auto"/>
                                <w:sz w:val="22"/>
                                <w:szCs w:val="22"/>
                              </w:rPr>
                              <w:t xml:space="preserve"> valid cue in the “cue size 3” condition but an invalid cue in the “cue size 1” condition. The lower example shows a trial that would be valid for both cue </w:t>
                            </w:r>
                            <w:r w:rsidR="006916A3">
                              <w:rPr>
                                <w:color w:val="auto"/>
                                <w:sz w:val="22"/>
                                <w:szCs w:val="22"/>
                              </w:rPr>
                              <w:t>sizes. Experiment 2 used placeholders (not present in Experiment 1) throughout an entire trial to facilitate attention deployment at clearly defined spatial locations.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EEFFFA7" id="_x0000_t202" coordsize="21600,21600" o:spt="202" path="m,l,21600r21600,l21600,xe">
                <v:stroke joinstyle="miter"/>
                <v:path gradientshapeok="t" o:connecttype="rect"/>
              </v:shapetype>
              <v:shape id="Text Box 4" o:spid="_x0000_s1026" type="#_x0000_t202" style="position:absolute;margin-left:0;margin-top:225.75pt;width:467.9pt;height:.0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" stroked="f">
                <v:textbox style="mso-fit-shape-to-text:t" inset="0,0,0,0">
                  <w:txbxContent>
                    <w:p w14:paraId="3CB94960" w14:textId="6CC6AE5C" w:rsidR="00A61B4A" w:rsidRPr="00C622BD" w:rsidRDefault="00A61B4A" w:rsidP="006916A3">
                      <w:pPr>
                        <w:pStyle w:val="Caption"/>
                        <w:rPr>
                          <w:color w:val="auto"/>
                          <w:sz w:val="22"/>
                          <w:szCs w:val="22"/>
                        </w:rPr>
                      </w:pPr>
                      <w:r w:rsidRPr="00C622BD">
                        <w:rPr>
                          <w:color w:val="auto"/>
                          <w:sz w:val="22"/>
                          <w:szCs w:val="22"/>
                        </w:rPr>
                        <w:t xml:space="preserve">Figure </w:t>
                      </w:r>
                      <w:r w:rsidRPr="00C622BD">
                        <w:rPr>
                          <w:noProof/>
                          <w:color w:val="auto"/>
                          <w:sz w:val="22"/>
                          <w:szCs w:val="22"/>
                        </w:rPr>
                        <w:fldChar w:fldCharType="begin"/>
                      </w:r>
                      <w:r w:rsidRPr="00C622BD">
                        <w:rPr>
                          <w:noProof/>
                          <w:color w:val="auto"/>
                          <w:sz w:val="22"/>
                          <w:szCs w:val="22"/>
                        </w:rPr>
                        <w:instrText xml:space="preserve"> SEQ Figure \* ARABIC </w:instrText>
                      </w:r>
                      <w:r w:rsidRPr="00C622BD">
                        <w:rPr>
                          <w:noProof/>
                          <w:color w:val="auto"/>
                          <w:sz w:val="22"/>
                          <w:szCs w:val="22"/>
                        </w:rPr>
                        <w:fldChar w:fldCharType="separate"/>
                      </w:r>
                      <w:r w:rsidRPr="00C622BD">
                        <w:rPr>
                          <w:noProof/>
                          <w:color w:val="auto"/>
                          <w:sz w:val="22"/>
                          <w:szCs w:val="22"/>
                        </w:rPr>
                        <w:t>1</w:t>
                      </w:r>
                      <w:r w:rsidRPr="00C622BD">
                        <w:rPr>
                          <w:noProof/>
                          <w:color w:val="auto"/>
                          <w:sz w:val="22"/>
                          <w:szCs w:val="22"/>
                        </w:rPr>
                        <w:fldChar w:fldCharType="end"/>
                      </w:r>
                      <w:r w:rsidRPr="00C622BD">
                        <w:rPr>
                          <w:color w:val="auto"/>
                          <w:sz w:val="22"/>
                          <w:szCs w:val="22"/>
                        </w:rPr>
                        <w:t>. Trial procedure used in Experiment 1 (upper panel) and in Experiment 2 (lower panel). The green dotted line indicates the cued location in “cue size 1” blocks, the blue dotted line indicates the cued locations in “cue size 3” blocks. Dotted lines were not visible to participants. Note that the uppe</w:t>
                      </w:r>
                      <w:r w:rsidR="006916A3">
                        <w:rPr>
                          <w:color w:val="auto"/>
                          <w:sz w:val="22"/>
                          <w:szCs w:val="22"/>
                        </w:rPr>
                        <w:t>r trial shows an example with a</w:t>
                      </w:r>
                      <w:r w:rsidRPr="00C622BD">
                        <w:rPr>
                          <w:color w:val="auto"/>
                          <w:sz w:val="22"/>
                          <w:szCs w:val="22"/>
                        </w:rPr>
                        <w:t xml:space="preserve"> valid cue in the “cue size 3” condition but an invalid cue in the “cue size 1” condition. The lower example shows a trial that would be valid for both cue </w:t>
                      </w:r>
                      <w:r w:rsidR="006916A3">
                        <w:rPr>
                          <w:color w:val="auto"/>
                          <w:sz w:val="22"/>
                          <w:szCs w:val="22"/>
                        </w:rPr>
                        <w:t>sizes. Experiment 2 used placeholders (not present in Experiment 1) throughout an entire trial to facilitate attention deployment at clearly defined spatial locations.</w:t>
                      </w:r>
                    </w:p>
                  </w:txbxContent>
                </v:textbox>
                <w10:wrap type="square" anchorx="margin"/>
              </v:shape>
            </w:pict>
          </mc:Fallback>
        </mc:AlternateContent>
      </w:r>
      <w:r w:rsidRPr="00710874">
        <w:rPr>
          <w:rFonts w:ascii="Times New Roman" w:hAnsi="Times New Roman" w:cs="Times New Roman"/>
          <w:b/>
          <w:color w:val="000000" w:themeColor="text1"/>
          <w:lang w:val="en-US"/>
        </w:rPr>
        <w:br w:type="page"/>
      </w:r>
    </w:p>
    <w:p w14:paraId="273BA35A" w14:textId="1CA691F4" w:rsidR="006E7F9D" w:rsidRPr="00710874" w:rsidRDefault="0079663A" w:rsidP="00BD64D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lastRenderedPageBreak/>
        <w:t>Control for gaze position.</w:t>
      </w:r>
      <w:r w:rsidRPr="00710874">
        <w:rPr>
          <w:rFonts w:ascii="Times New Roman" w:hAnsi="Times New Roman" w:cs="Times New Roman"/>
          <w:color w:val="000000" w:themeColor="text1"/>
          <w:lang w:val="en-US"/>
        </w:rPr>
        <w:t xml:space="preserve"> </w:t>
      </w:r>
      <w:r w:rsidR="006E7F9D" w:rsidRPr="00710874">
        <w:rPr>
          <w:rFonts w:ascii="Times New Roman" w:hAnsi="Times New Roman" w:cs="Times New Roman"/>
          <w:color w:val="000000" w:themeColor="text1"/>
          <w:lang w:val="en-US"/>
        </w:rPr>
        <w:t>Gaze position was tracked at a sampling rate of 1000 Hz for both eyes with an EyeLink 1000+ eye tracker (SR Research Ltd., Mississauga, Ontario, Canada). A direct gaze feedback violation procedure was applied from 450 ms after the trial start (fixation cross onset) until the onset of the mask display, i.e. for 900 ms. If participants’ gaze was not within 1.5° of the center of the fixation cross during that time, or if they blinked, the trial was aborted, and a message “eye movement” (or, “blink”) was presented on the screen before a ready screen indicated the restart of the trial. The remaining trials were shuffled so as to put the aborted trial in a random position within the sequence and make its reappearance unpredictable. Any detected gaze violation extended the experiment by one trial.</w:t>
      </w:r>
    </w:p>
    <w:p w14:paraId="35F67F99" w14:textId="63769575" w:rsidR="00023FEB" w:rsidRPr="00710874" w:rsidRDefault="00023FEB" w:rsidP="00154CA4">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Staircas</w:t>
      </w:r>
      <w:r w:rsidR="00154CA4" w:rsidRPr="00710874">
        <w:rPr>
          <w:rFonts w:ascii="Times New Roman" w:hAnsi="Times New Roman" w:cs="Times New Roman"/>
          <w:b/>
          <w:color w:val="000000" w:themeColor="text1"/>
          <w:lang w:val="en-US"/>
        </w:rPr>
        <w:t>e</w:t>
      </w:r>
      <w:r w:rsidRPr="00710874">
        <w:rPr>
          <w:rFonts w:ascii="Times New Roman" w:hAnsi="Times New Roman" w:cs="Times New Roman"/>
          <w:b/>
          <w:color w:val="000000" w:themeColor="text1"/>
          <w:lang w:val="en-US"/>
        </w:rPr>
        <w:t xml:space="preserve"> procedure. </w:t>
      </w:r>
      <w:r w:rsidRPr="00710874">
        <w:rPr>
          <w:rFonts w:ascii="Times New Roman" w:hAnsi="Times New Roman" w:cs="Times New Roman"/>
          <w:color w:val="000000" w:themeColor="text1"/>
          <w:lang w:val="en-US"/>
        </w:rPr>
        <w:t xml:space="preserve">All participants underwent a </w:t>
      </w:r>
      <w:r w:rsidR="00154CA4" w:rsidRPr="00710874">
        <w:rPr>
          <w:rFonts w:ascii="Times New Roman" w:hAnsi="Times New Roman" w:cs="Times New Roman"/>
          <w:color w:val="000000" w:themeColor="text1"/>
          <w:lang w:val="en-US"/>
        </w:rPr>
        <w:t>staircase</w:t>
      </w:r>
      <w:r w:rsidRPr="00710874">
        <w:rPr>
          <w:rFonts w:ascii="Times New Roman" w:hAnsi="Times New Roman" w:cs="Times New Roman"/>
          <w:color w:val="000000" w:themeColor="text1"/>
          <w:lang w:val="en-US"/>
        </w:rPr>
        <w:t xml:space="preserve"> procedure in a separate session, typically 1-3 days prior to the main experiment to determine the contrast between the background and the probe items that would ensure a performance neither at the floor nor at the ceiling level. The task was identical to the main task described above with the difference that only one circle in the cue display had a deviating color and participants were instructed to always attend that location. In the </w:t>
      </w:r>
      <w:r w:rsidR="00154CA4" w:rsidRPr="00710874">
        <w:rPr>
          <w:rFonts w:ascii="Times New Roman" w:hAnsi="Times New Roman" w:cs="Times New Roman"/>
          <w:color w:val="000000" w:themeColor="text1"/>
          <w:lang w:val="en-US"/>
        </w:rPr>
        <w:t xml:space="preserve">staircase </w:t>
      </w:r>
      <w:r w:rsidRPr="00710874">
        <w:rPr>
          <w:rFonts w:ascii="Times New Roman" w:hAnsi="Times New Roman" w:cs="Times New Roman"/>
          <w:color w:val="000000" w:themeColor="text1"/>
          <w:lang w:val="en-US"/>
        </w:rPr>
        <w:t>procedure the cue had a 100% validity. Participants started with a contrast of 150 (difference in RGB values between background and probe items). Whenever participants responded correctly, contrast was reduced by 10% or at least 2 RGB values. Whenever participants responded incorrectly, contrast was increased by 20% or at least 3 RGB values.</w:t>
      </w:r>
      <w:r w:rsidR="0079663A" w:rsidRPr="00710874">
        <w:rPr>
          <w:rFonts w:ascii="Times New Roman" w:hAnsi="Times New Roman" w:cs="Times New Roman"/>
          <w:color w:val="000000" w:themeColor="text1"/>
          <w:lang w:val="en-US"/>
        </w:rPr>
        <w:t xml:space="preserve"> This was done for 128 trials and the ideal contrast was determined as the average contrast of the last 1</w:t>
      </w:r>
      <w:r w:rsidR="002117A4" w:rsidRPr="00710874">
        <w:rPr>
          <w:rFonts w:ascii="Times New Roman" w:hAnsi="Times New Roman" w:cs="Times New Roman"/>
          <w:color w:val="000000" w:themeColor="text1"/>
          <w:lang w:val="en-US"/>
        </w:rPr>
        <w:t>1</w:t>
      </w:r>
      <w:r w:rsidR="0079663A" w:rsidRPr="00710874">
        <w:rPr>
          <w:rFonts w:ascii="Times New Roman" w:hAnsi="Times New Roman" w:cs="Times New Roman"/>
          <w:color w:val="000000" w:themeColor="text1"/>
          <w:lang w:val="en-US"/>
        </w:rPr>
        <w:t xml:space="preserve"> trials of the </w:t>
      </w:r>
      <w:r w:rsidR="00154CA4" w:rsidRPr="00710874">
        <w:rPr>
          <w:rFonts w:ascii="Times New Roman" w:hAnsi="Times New Roman" w:cs="Times New Roman"/>
          <w:color w:val="000000" w:themeColor="text1"/>
          <w:lang w:val="en-US"/>
        </w:rPr>
        <w:t xml:space="preserve">staircase </w:t>
      </w:r>
      <w:r w:rsidR="0079663A" w:rsidRPr="00710874">
        <w:rPr>
          <w:rFonts w:ascii="Times New Roman" w:hAnsi="Times New Roman" w:cs="Times New Roman"/>
          <w:color w:val="000000" w:themeColor="text1"/>
          <w:lang w:val="en-US"/>
        </w:rPr>
        <w:t xml:space="preserve">procedure. </w:t>
      </w:r>
      <w:r w:rsidR="002117A4" w:rsidRPr="00710874">
        <w:rPr>
          <w:rFonts w:ascii="Times New Roman" w:hAnsi="Times New Roman" w:cs="Times New Roman"/>
          <w:color w:val="000000" w:themeColor="text1"/>
          <w:lang w:val="en-US"/>
        </w:rPr>
        <w:t xml:space="preserve">The </w:t>
      </w:r>
      <w:r w:rsidR="00154CA4" w:rsidRPr="00710874">
        <w:rPr>
          <w:rFonts w:ascii="Times New Roman" w:hAnsi="Times New Roman" w:cs="Times New Roman"/>
          <w:color w:val="000000" w:themeColor="text1"/>
          <w:lang w:val="en-US"/>
        </w:rPr>
        <w:t xml:space="preserve">staircase </w:t>
      </w:r>
      <w:r w:rsidR="002117A4" w:rsidRPr="00710874">
        <w:rPr>
          <w:rFonts w:ascii="Times New Roman" w:hAnsi="Times New Roman" w:cs="Times New Roman"/>
          <w:color w:val="000000" w:themeColor="text1"/>
          <w:lang w:val="en-US"/>
        </w:rPr>
        <w:t xml:space="preserve">procedure set participants at a contrast level that would correspond to an average performance of approximately 2/3 correct (chance level = 1/9 = 11%). </w:t>
      </w:r>
      <w:r w:rsidR="0079663A" w:rsidRPr="00710874">
        <w:rPr>
          <w:rFonts w:ascii="Times New Roman" w:hAnsi="Times New Roman" w:cs="Times New Roman"/>
          <w:color w:val="000000" w:themeColor="text1"/>
          <w:lang w:val="en-US"/>
        </w:rPr>
        <w:t xml:space="preserve">On the same day as the main task, the </w:t>
      </w:r>
      <w:r w:rsidR="00154CA4" w:rsidRPr="00710874">
        <w:rPr>
          <w:rFonts w:ascii="Times New Roman" w:hAnsi="Times New Roman" w:cs="Times New Roman"/>
          <w:color w:val="000000" w:themeColor="text1"/>
          <w:lang w:val="en-US"/>
        </w:rPr>
        <w:t xml:space="preserve">staircase </w:t>
      </w:r>
      <w:r w:rsidR="0079663A" w:rsidRPr="00710874">
        <w:rPr>
          <w:rFonts w:ascii="Times New Roman" w:hAnsi="Times New Roman" w:cs="Times New Roman"/>
          <w:color w:val="000000" w:themeColor="text1"/>
          <w:lang w:val="en-US"/>
        </w:rPr>
        <w:t>procedure was repeated for 32 trials</w:t>
      </w:r>
      <w:r w:rsidR="002117A4" w:rsidRPr="00710874">
        <w:rPr>
          <w:rFonts w:ascii="Times New Roman" w:hAnsi="Times New Roman" w:cs="Times New Roman"/>
          <w:color w:val="000000" w:themeColor="text1"/>
          <w:lang w:val="en-US"/>
        </w:rPr>
        <w:t>, starting with the contrast determined in the initial session</w:t>
      </w:r>
      <w:r w:rsidR="0079663A" w:rsidRPr="00710874">
        <w:rPr>
          <w:rFonts w:ascii="Times New Roman" w:hAnsi="Times New Roman" w:cs="Times New Roman"/>
          <w:color w:val="000000" w:themeColor="text1"/>
          <w:lang w:val="en-US"/>
        </w:rPr>
        <w:t>. During the main task, contrast was fixed.</w:t>
      </w:r>
    </w:p>
    <w:p w14:paraId="4C89EA7F" w14:textId="77777777" w:rsidR="00C11B08" w:rsidRPr="00710874" w:rsidRDefault="00C11B08" w:rsidP="00BD64D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 xml:space="preserve">EEG recording. </w:t>
      </w:r>
      <w:r w:rsidRPr="00710874">
        <w:rPr>
          <w:rFonts w:ascii="Times New Roman" w:hAnsi="Times New Roman" w:cs="Times New Roman"/>
          <w:color w:val="000000" w:themeColor="text1"/>
          <w:lang w:val="en-US"/>
        </w:rPr>
        <w:t xml:space="preserve">EEG was recorded with Ag–AgCl active electrodes (BrainProducts actiCap) from 32 scalp sites (according to the International 10/20 System: FP1/2, F7/8, F3/4, Fz, FC5/6, FC1/2, C3/4, Cz, TP9/10, CP5/6, CP1/2, P7/8, P3/4, PO7/8, PO3/4, Pz, O1/2, Oz). Horizontal and vertical EOGs were recorded with passive electrodes bipolarly ~1 cm from the outer canthi of the eyes and from above and below the observers’ right eye, respectively. Fpz served as the ground electrode and all </w:t>
      </w:r>
      <w:r w:rsidRPr="00710874">
        <w:rPr>
          <w:rFonts w:ascii="Times New Roman" w:hAnsi="Times New Roman" w:cs="Times New Roman"/>
          <w:color w:val="000000" w:themeColor="text1"/>
          <w:lang w:val="en-US"/>
        </w:rPr>
        <w:lastRenderedPageBreak/>
        <w:t>electrodes were referenced to TP10 and re-referenced off-line to the average of all electrodes. Impedances for active electrodes were kept below 10 kΩ. Sampling rate was 1000 Hz with a high cutoff filter of 125 Hz and a low cutoff filter of 0.01 Hz (half power cutoff, 24 dB roll-off).</w:t>
      </w:r>
    </w:p>
    <w:p w14:paraId="61F5E2C6" w14:textId="77777777" w:rsidR="006E7F9D" w:rsidRPr="00710874" w:rsidRDefault="00C11B08" w:rsidP="00BD64D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Data Analysis.</w:t>
      </w:r>
      <w:r w:rsidRPr="00710874">
        <w:rPr>
          <w:rFonts w:ascii="Times New Roman" w:hAnsi="Times New Roman" w:cs="Times New Roman"/>
          <w:color w:val="000000" w:themeColor="text1"/>
          <w:lang w:val="en-US"/>
        </w:rPr>
        <w:t xml:space="preserve"> </w:t>
      </w:r>
      <w:r w:rsidRPr="00710874">
        <w:rPr>
          <w:rFonts w:ascii="Times New Roman" w:hAnsi="Times New Roman" w:cs="Times New Roman"/>
          <w:i/>
          <w:color w:val="000000" w:themeColor="text1"/>
          <w:lang w:val="en-US"/>
        </w:rPr>
        <w:t>Behavioral data.</w:t>
      </w:r>
      <w:r w:rsidRPr="00710874">
        <w:rPr>
          <w:rFonts w:ascii="Times New Roman" w:hAnsi="Times New Roman" w:cs="Times New Roman"/>
          <w:color w:val="000000" w:themeColor="text1"/>
          <w:lang w:val="en-US"/>
        </w:rPr>
        <w:t xml:space="preserve"> Accuracy was analyzed as a function of</w:t>
      </w:r>
      <w:r w:rsidR="00CA742B" w:rsidRPr="00710874">
        <w:rPr>
          <w:rFonts w:ascii="Times New Roman" w:hAnsi="Times New Roman" w:cs="Times New Roman"/>
          <w:color w:val="000000" w:themeColor="text1"/>
          <w:lang w:val="en-US"/>
        </w:rPr>
        <w:t xml:space="preserve"> cue size (1 versus 3) and as a function of</w:t>
      </w:r>
      <w:r w:rsidRPr="00710874">
        <w:rPr>
          <w:rFonts w:ascii="Times New Roman" w:hAnsi="Times New Roman" w:cs="Times New Roman"/>
          <w:color w:val="000000" w:themeColor="text1"/>
          <w:lang w:val="en-US"/>
        </w:rPr>
        <w:t xml:space="preserve"> distance of the target digit to the cued location (cue size 1) or the center of the cue (cue size 3), respectively. Distances were </w:t>
      </w:r>
      <w:r w:rsidR="00CA742B" w:rsidRPr="00710874">
        <w:rPr>
          <w:rFonts w:ascii="Times New Roman" w:hAnsi="Times New Roman" w:cs="Times New Roman"/>
          <w:color w:val="000000" w:themeColor="text1"/>
          <w:lang w:val="en-US"/>
        </w:rPr>
        <w:t xml:space="preserve">0, +1, +2, +3, -1, -2, -3, ±4. </w:t>
      </w:r>
      <w:r w:rsidRPr="00710874">
        <w:rPr>
          <w:rFonts w:ascii="Times New Roman" w:hAnsi="Times New Roman" w:cs="Times New Roman"/>
          <w:color w:val="000000" w:themeColor="text1"/>
          <w:lang w:val="en-US"/>
        </w:rPr>
        <w:t xml:space="preserve">A distance of 0 (cue size 1) or a distance of 0 or 1 (cue </w:t>
      </w:r>
      <w:r w:rsidR="00CA742B" w:rsidRPr="00710874">
        <w:rPr>
          <w:rFonts w:ascii="Times New Roman" w:hAnsi="Times New Roman" w:cs="Times New Roman"/>
          <w:color w:val="000000" w:themeColor="text1"/>
          <w:lang w:val="en-US"/>
        </w:rPr>
        <w:t xml:space="preserve">size 3) refers to valid trials. This led to 16 accuracy values for each participant that were forwarded to a 2×8 ANOVA </w:t>
      </w:r>
      <w:r w:rsidR="00F23F10" w:rsidRPr="00710874">
        <w:rPr>
          <w:rFonts w:ascii="Times New Roman" w:hAnsi="Times New Roman" w:cs="Times New Roman"/>
          <w:color w:val="000000" w:themeColor="text1"/>
          <w:lang w:val="en-US"/>
        </w:rPr>
        <w:t>with the</w:t>
      </w:r>
      <w:r w:rsidR="00CA742B" w:rsidRPr="00710874">
        <w:rPr>
          <w:rFonts w:ascii="Times New Roman" w:hAnsi="Times New Roman" w:cs="Times New Roman"/>
          <w:color w:val="000000" w:themeColor="text1"/>
          <w:lang w:val="en-US"/>
        </w:rPr>
        <w:t xml:space="preserve"> repeated</w:t>
      </w:r>
      <w:r w:rsidR="00F23F10" w:rsidRPr="00710874">
        <w:rPr>
          <w:rFonts w:ascii="Times New Roman" w:hAnsi="Times New Roman" w:cs="Times New Roman"/>
          <w:color w:val="000000" w:themeColor="text1"/>
          <w:lang w:val="en-US"/>
        </w:rPr>
        <w:t>-</w:t>
      </w:r>
      <w:r w:rsidR="00CA742B" w:rsidRPr="00710874">
        <w:rPr>
          <w:rFonts w:ascii="Times New Roman" w:hAnsi="Times New Roman" w:cs="Times New Roman"/>
          <w:color w:val="000000" w:themeColor="text1"/>
          <w:lang w:val="en-US"/>
        </w:rPr>
        <w:t>measures</w:t>
      </w:r>
      <w:r w:rsidR="00F23F10" w:rsidRPr="00710874">
        <w:rPr>
          <w:rFonts w:ascii="Times New Roman" w:hAnsi="Times New Roman" w:cs="Times New Roman"/>
          <w:color w:val="000000" w:themeColor="text1"/>
          <w:lang w:val="en-US"/>
        </w:rPr>
        <w:t xml:space="preserve"> factors cue size and distance</w:t>
      </w:r>
      <w:r w:rsidR="00CA742B" w:rsidRPr="00710874">
        <w:rPr>
          <w:rFonts w:ascii="Times New Roman" w:hAnsi="Times New Roman" w:cs="Times New Roman"/>
          <w:color w:val="000000" w:themeColor="text1"/>
          <w:lang w:val="en-US"/>
        </w:rPr>
        <w:t>. Furthermore accuracy as a function of cue-target distance was fit to a sine function separately for cue size 1 and 3. Amplitude, dispersion and baseline parameters were derived from the modeled sine function and compared between cue sizes.</w:t>
      </w:r>
    </w:p>
    <w:p w14:paraId="3109C190" w14:textId="69E503DD" w:rsidR="00190D83" w:rsidRPr="00710874" w:rsidRDefault="00247206" w:rsidP="00F3240D">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i/>
          <w:color w:val="000000" w:themeColor="text1"/>
          <w:lang w:val="en-US"/>
        </w:rPr>
        <w:t>EEG data.</w:t>
      </w:r>
      <w:r w:rsidRPr="00710874">
        <w:rPr>
          <w:rFonts w:ascii="Times New Roman" w:hAnsi="Times New Roman" w:cs="Times New Roman"/>
          <w:color w:val="000000" w:themeColor="text1"/>
          <w:lang w:val="en-US"/>
        </w:rPr>
        <w:t xml:space="preserve"> EEG was </w:t>
      </w:r>
      <w:r w:rsidR="00D234F1" w:rsidRPr="00710874">
        <w:rPr>
          <w:rFonts w:ascii="Times New Roman" w:hAnsi="Times New Roman" w:cs="Times New Roman"/>
          <w:color w:val="000000" w:themeColor="text1"/>
          <w:lang w:val="en-US"/>
        </w:rPr>
        <w:t>segmented</w:t>
      </w:r>
      <w:r w:rsidRPr="00710874">
        <w:rPr>
          <w:rFonts w:ascii="Times New Roman" w:hAnsi="Times New Roman" w:cs="Times New Roman"/>
          <w:color w:val="000000" w:themeColor="text1"/>
          <w:lang w:val="en-US"/>
        </w:rPr>
        <w:t xml:space="preserve"> off-line over a </w:t>
      </w:r>
      <w:r w:rsidR="00D3370E" w:rsidRPr="00710874">
        <w:rPr>
          <w:rFonts w:ascii="Times New Roman" w:hAnsi="Times New Roman" w:cs="Times New Roman"/>
          <w:color w:val="000000" w:themeColor="text1"/>
          <w:lang w:val="en-US"/>
        </w:rPr>
        <w:t>1</w:t>
      </w:r>
      <w:r w:rsidR="00F3240D" w:rsidRPr="00710874">
        <w:rPr>
          <w:rFonts w:ascii="Times New Roman" w:hAnsi="Times New Roman" w:cs="Times New Roman"/>
          <w:color w:val="000000" w:themeColor="text1"/>
          <w:lang w:val="en-US"/>
        </w:rPr>
        <w:t>6</w:t>
      </w:r>
      <w:r w:rsidR="00D3370E" w:rsidRPr="00710874">
        <w:rPr>
          <w:rFonts w:ascii="Times New Roman" w:hAnsi="Times New Roman" w:cs="Times New Roman"/>
          <w:color w:val="000000" w:themeColor="text1"/>
          <w:lang w:val="en-US"/>
        </w:rPr>
        <w:t>00</w:t>
      </w:r>
      <w:r w:rsidRPr="00710874">
        <w:rPr>
          <w:rFonts w:ascii="Times New Roman" w:hAnsi="Times New Roman" w:cs="Times New Roman"/>
          <w:color w:val="000000" w:themeColor="text1"/>
          <w:lang w:val="en-US"/>
        </w:rPr>
        <w:t>-ms epoch including a</w:t>
      </w:r>
      <w:r w:rsidR="003F7121" w:rsidRPr="00710874">
        <w:rPr>
          <w:rFonts w:ascii="Times New Roman" w:hAnsi="Times New Roman" w:cs="Times New Roman"/>
          <w:color w:val="000000" w:themeColor="text1"/>
          <w:lang w:val="en-US"/>
        </w:rPr>
        <w:t xml:space="preserve"> </w:t>
      </w:r>
      <w:r w:rsidR="00D3370E" w:rsidRPr="00710874">
        <w:rPr>
          <w:rFonts w:ascii="Times New Roman" w:hAnsi="Times New Roman" w:cs="Times New Roman"/>
          <w:color w:val="000000" w:themeColor="text1"/>
          <w:lang w:val="en-US"/>
        </w:rPr>
        <w:t>400</w:t>
      </w:r>
      <w:r w:rsidRPr="00710874">
        <w:rPr>
          <w:rFonts w:ascii="Times New Roman" w:hAnsi="Times New Roman" w:cs="Times New Roman"/>
          <w:color w:val="000000" w:themeColor="text1"/>
          <w:lang w:val="en-US"/>
        </w:rPr>
        <w:t xml:space="preserve">-ms pre-stimulus baseline with epochs time-locked to </w:t>
      </w:r>
      <w:r w:rsidR="00A66A76" w:rsidRPr="00710874">
        <w:rPr>
          <w:rFonts w:ascii="Times New Roman" w:hAnsi="Times New Roman" w:cs="Times New Roman"/>
          <w:color w:val="000000" w:themeColor="text1"/>
          <w:lang w:val="en-US"/>
        </w:rPr>
        <w:t xml:space="preserve">cue display </w:t>
      </w:r>
      <w:r w:rsidRPr="00710874">
        <w:rPr>
          <w:rFonts w:ascii="Times New Roman" w:hAnsi="Times New Roman" w:cs="Times New Roman"/>
          <w:color w:val="000000" w:themeColor="text1"/>
          <w:lang w:val="en-US"/>
        </w:rPr>
        <w:t xml:space="preserve">onset. Trials with </w:t>
      </w:r>
      <w:r w:rsidR="00763A56" w:rsidRPr="00710874">
        <w:rPr>
          <w:rFonts w:ascii="Times New Roman" w:hAnsi="Times New Roman" w:cs="Times New Roman"/>
          <w:color w:val="000000" w:themeColor="text1"/>
          <w:lang w:val="en-US"/>
        </w:rPr>
        <w:t xml:space="preserve">both correct and </w:t>
      </w:r>
      <w:r w:rsidRPr="00710874">
        <w:rPr>
          <w:rFonts w:ascii="Times New Roman" w:hAnsi="Times New Roman" w:cs="Times New Roman"/>
          <w:color w:val="000000" w:themeColor="text1"/>
          <w:lang w:val="en-US"/>
        </w:rPr>
        <w:t xml:space="preserve">incorrect responses </w:t>
      </w:r>
      <w:r w:rsidR="00763A56" w:rsidRPr="00710874">
        <w:rPr>
          <w:rFonts w:ascii="Times New Roman" w:hAnsi="Times New Roman" w:cs="Times New Roman"/>
          <w:color w:val="000000" w:themeColor="text1"/>
          <w:lang w:val="en-US"/>
        </w:rPr>
        <w:t>were used. Trials with</w:t>
      </w:r>
      <w:r w:rsidRPr="00710874">
        <w:rPr>
          <w:rFonts w:ascii="Times New Roman" w:hAnsi="Times New Roman" w:cs="Times New Roman"/>
          <w:color w:val="000000" w:themeColor="text1"/>
          <w:lang w:val="en-US"/>
        </w:rPr>
        <w:t xml:space="preserve"> eye-related artifacts from </w:t>
      </w:r>
      <w:r w:rsidR="00D234F1" w:rsidRPr="00710874">
        <w:rPr>
          <w:rFonts w:ascii="Times New Roman" w:hAnsi="Times New Roman" w:cs="Times New Roman"/>
          <w:color w:val="000000" w:themeColor="text1"/>
          <w:lang w:val="en-US"/>
        </w:rPr>
        <w:t>-</w:t>
      </w:r>
      <w:r w:rsidR="00C56337" w:rsidRPr="00710874">
        <w:rPr>
          <w:rFonts w:ascii="Times New Roman" w:hAnsi="Times New Roman" w:cs="Times New Roman"/>
          <w:color w:val="000000" w:themeColor="text1"/>
          <w:lang w:val="en-US"/>
        </w:rPr>
        <w:t>200</w:t>
      </w:r>
      <w:r w:rsidRPr="00710874">
        <w:rPr>
          <w:rFonts w:ascii="Times New Roman" w:hAnsi="Times New Roman" w:cs="Times New Roman"/>
          <w:color w:val="000000" w:themeColor="text1"/>
          <w:lang w:val="en-US"/>
        </w:rPr>
        <w:t xml:space="preserve"> to </w:t>
      </w:r>
      <w:r w:rsidR="00D234F1" w:rsidRPr="00710874">
        <w:rPr>
          <w:rFonts w:ascii="Times New Roman" w:hAnsi="Times New Roman" w:cs="Times New Roman"/>
          <w:color w:val="000000" w:themeColor="text1"/>
          <w:lang w:val="en-US"/>
        </w:rPr>
        <w:t>8</w:t>
      </w:r>
      <w:r w:rsidR="00C56337" w:rsidRPr="00710874">
        <w:rPr>
          <w:rFonts w:ascii="Times New Roman" w:hAnsi="Times New Roman" w:cs="Times New Roman"/>
          <w:color w:val="000000" w:themeColor="text1"/>
          <w:lang w:val="en-US"/>
        </w:rPr>
        <w:t>00</w:t>
      </w:r>
      <w:r w:rsidRPr="00710874">
        <w:rPr>
          <w:rFonts w:ascii="Times New Roman" w:hAnsi="Times New Roman" w:cs="Times New Roman"/>
          <w:color w:val="000000" w:themeColor="text1"/>
          <w:lang w:val="en-US"/>
        </w:rPr>
        <w:t xml:space="preserve"> ms were excluded from the analysis (Experiment 1: </w:t>
      </w:r>
      <w:r w:rsidR="00CD7724" w:rsidRPr="00710874">
        <w:rPr>
          <w:rFonts w:ascii="Times New Roman" w:hAnsi="Times New Roman" w:cs="Times New Roman"/>
          <w:color w:val="000000" w:themeColor="text1"/>
          <w:lang w:val="en-US"/>
        </w:rPr>
        <w:t>2.8</w:t>
      </w:r>
      <w:r w:rsidR="00763A56" w:rsidRPr="00710874">
        <w:rPr>
          <w:rFonts w:ascii="Times New Roman" w:hAnsi="Times New Roman" w:cs="Times New Roman"/>
          <w:color w:val="000000" w:themeColor="text1"/>
          <w:lang w:val="en-US"/>
        </w:rPr>
        <w:t xml:space="preserve">% (SD = </w:t>
      </w:r>
      <w:r w:rsidR="00C56337" w:rsidRPr="00710874">
        <w:rPr>
          <w:rFonts w:ascii="Times New Roman" w:hAnsi="Times New Roman" w:cs="Times New Roman"/>
          <w:color w:val="000000" w:themeColor="text1"/>
          <w:lang w:val="en-US"/>
        </w:rPr>
        <w:t>3.</w:t>
      </w:r>
      <w:r w:rsidR="00CD7724" w:rsidRPr="00710874">
        <w:rPr>
          <w:rFonts w:ascii="Times New Roman" w:hAnsi="Times New Roman" w:cs="Times New Roman"/>
          <w:color w:val="000000" w:themeColor="text1"/>
          <w:lang w:val="en-US"/>
        </w:rPr>
        <w:t>0</w:t>
      </w:r>
      <w:r w:rsidR="00763A56"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Experiment 2:</w:t>
      </w:r>
      <w:r w:rsidR="00763A56" w:rsidRPr="00710874">
        <w:rPr>
          <w:rFonts w:ascii="Times New Roman" w:hAnsi="Times New Roman" w:cs="Times New Roman"/>
          <w:color w:val="000000" w:themeColor="text1"/>
          <w:lang w:val="en-US"/>
        </w:rPr>
        <w:t xml:space="preserve"> </w:t>
      </w:r>
      <w:r w:rsidR="00CD7724" w:rsidRPr="00710874">
        <w:rPr>
          <w:rFonts w:ascii="Times New Roman" w:hAnsi="Times New Roman" w:cs="Times New Roman"/>
          <w:color w:val="000000" w:themeColor="text1"/>
          <w:lang w:val="en-US"/>
        </w:rPr>
        <w:t>5</w:t>
      </w:r>
      <w:r w:rsidR="00C56337" w:rsidRPr="00710874">
        <w:rPr>
          <w:rFonts w:ascii="Times New Roman" w:hAnsi="Times New Roman" w:cs="Times New Roman"/>
          <w:color w:val="000000" w:themeColor="text1"/>
          <w:lang w:val="en-US"/>
        </w:rPr>
        <w:t>.</w:t>
      </w:r>
      <w:r w:rsidR="00CD7724"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 xml:space="preserve">% (SD = </w:t>
      </w:r>
      <w:r w:rsidR="00CD7724" w:rsidRPr="00710874">
        <w:rPr>
          <w:rFonts w:ascii="Times New Roman" w:hAnsi="Times New Roman" w:cs="Times New Roman"/>
          <w:color w:val="000000" w:themeColor="text1"/>
          <w:lang w:val="en-US"/>
        </w:rPr>
        <w:t>4</w:t>
      </w:r>
      <w:r w:rsidR="00C56337" w:rsidRPr="00710874">
        <w:rPr>
          <w:rFonts w:ascii="Times New Roman" w:hAnsi="Times New Roman" w:cs="Times New Roman"/>
          <w:color w:val="000000" w:themeColor="text1"/>
          <w:lang w:val="en-US"/>
        </w:rPr>
        <w:t>.</w:t>
      </w:r>
      <w:r w:rsidR="00CD7724" w:rsidRPr="00710874">
        <w:rPr>
          <w:rFonts w:ascii="Times New Roman" w:hAnsi="Times New Roman" w:cs="Times New Roman"/>
          <w:color w:val="000000" w:themeColor="text1"/>
          <w:lang w:val="en-US"/>
        </w:rPr>
        <w:t>8</w:t>
      </w:r>
      <w:r w:rsidRPr="00710874">
        <w:rPr>
          <w:rFonts w:ascii="Times New Roman" w:hAnsi="Times New Roman" w:cs="Times New Roman"/>
          <w:color w:val="000000" w:themeColor="text1"/>
          <w:lang w:val="en-US"/>
        </w:rPr>
        <w:t>%)).</w:t>
      </w:r>
      <w:r w:rsidR="00763A56" w:rsidRPr="00710874">
        <w:rPr>
          <w:rFonts w:ascii="Times New Roman" w:hAnsi="Times New Roman" w:cs="Times New Roman"/>
          <w:color w:val="000000" w:themeColor="text1"/>
          <w:lang w:val="en-US"/>
        </w:rPr>
        <w:t xml:space="preserve"> </w:t>
      </w:r>
      <w:r w:rsidR="00190D83" w:rsidRPr="00710874">
        <w:rPr>
          <w:rFonts w:ascii="Times New Roman" w:hAnsi="Times New Roman" w:cs="Times New Roman"/>
          <w:color w:val="000000" w:themeColor="text1"/>
          <w:lang w:val="en-US"/>
        </w:rPr>
        <w:t>To identify eye-related artifacts, eye tracking data was first baselined identically to EEG data (i.e., subtraction of the mean amplitude of x and y coordinates for the time from -200 –</w:t>
      </w:r>
      <w:r w:rsidR="00C56337" w:rsidRPr="00710874">
        <w:rPr>
          <w:rFonts w:ascii="Times New Roman" w:hAnsi="Times New Roman" w:cs="Times New Roman"/>
          <w:color w:val="000000" w:themeColor="text1"/>
          <w:lang w:val="en-US"/>
        </w:rPr>
        <w:t xml:space="preserve"> 0</w:t>
      </w:r>
      <w:r w:rsidR="00190D83" w:rsidRPr="00710874">
        <w:rPr>
          <w:rFonts w:ascii="Times New Roman" w:hAnsi="Times New Roman" w:cs="Times New Roman"/>
          <w:color w:val="000000" w:themeColor="text1"/>
          <w:lang w:val="en-US"/>
        </w:rPr>
        <w:t xml:space="preserve"> ms). Then, the Euclidian distance from the fixation cross was calculated from baselined data. We identified saccades</w:t>
      </w:r>
      <w:r w:rsidR="00D234F1" w:rsidRPr="00710874">
        <w:rPr>
          <w:rFonts w:ascii="Times New Roman" w:hAnsi="Times New Roman" w:cs="Times New Roman"/>
          <w:color w:val="000000" w:themeColor="text1"/>
          <w:lang w:val="en-US"/>
        </w:rPr>
        <w:t xml:space="preserve"> with a step criterion of 0.6</w:t>
      </w:r>
      <w:r w:rsidR="00190D83" w:rsidRPr="00710874">
        <w:rPr>
          <w:rFonts w:ascii="Times New Roman" w:hAnsi="Times New Roman" w:cs="Times New Roman"/>
          <w:color w:val="000000" w:themeColor="text1"/>
          <w:lang w:val="en-US"/>
        </w:rPr>
        <w:t xml:space="preserve">° (comparing the mean position in the first half of a 50-ms window with the mean position in the second half of a 50-ms window; window moved in </w:t>
      </w:r>
      <w:r w:rsidR="00C56337" w:rsidRPr="00710874">
        <w:rPr>
          <w:rFonts w:ascii="Times New Roman" w:hAnsi="Times New Roman" w:cs="Times New Roman"/>
          <w:color w:val="000000" w:themeColor="text1"/>
          <w:lang w:val="en-US"/>
        </w:rPr>
        <w:t>2</w:t>
      </w:r>
      <w:r w:rsidR="00190D83" w:rsidRPr="00710874">
        <w:rPr>
          <w:rFonts w:ascii="Times New Roman" w:hAnsi="Times New Roman" w:cs="Times New Roman"/>
          <w:color w:val="000000" w:themeColor="text1"/>
          <w:lang w:val="en-US"/>
        </w:rPr>
        <w:t xml:space="preserve">0-ms steps). We identified drifts by eye tracking data indicating </w:t>
      </w:r>
      <w:r w:rsidR="00C56337" w:rsidRPr="00710874">
        <w:rPr>
          <w:rFonts w:ascii="Times New Roman" w:hAnsi="Times New Roman" w:cs="Times New Roman"/>
          <w:color w:val="000000" w:themeColor="text1"/>
          <w:lang w:val="en-US"/>
        </w:rPr>
        <w:t xml:space="preserve">a distance from the fixation &gt; </w:t>
      </w:r>
      <w:r w:rsidR="00D234F1" w:rsidRPr="00710874">
        <w:rPr>
          <w:rFonts w:ascii="Times New Roman" w:hAnsi="Times New Roman" w:cs="Times New Roman"/>
          <w:color w:val="000000" w:themeColor="text1"/>
          <w:lang w:val="en-US"/>
        </w:rPr>
        <w:t>1</w:t>
      </w:r>
      <w:r w:rsidR="00190D83" w:rsidRPr="00710874">
        <w:rPr>
          <w:rFonts w:ascii="Times New Roman" w:hAnsi="Times New Roman" w:cs="Times New Roman"/>
          <w:color w:val="000000" w:themeColor="text1"/>
          <w:lang w:val="en-US"/>
        </w:rPr>
        <w:t xml:space="preserve">°. Both eyes had to indicate an eye-related artifact for a trial to be excluded from analysis. </w:t>
      </w:r>
      <w:r w:rsidR="00B51540" w:rsidRPr="00710874">
        <w:rPr>
          <w:rFonts w:ascii="Times New Roman" w:hAnsi="Times New Roman" w:cs="Times New Roman"/>
          <w:color w:val="000000" w:themeColor="text1"/>
          <w:lang w:val="en-US"/>
        </w:rPr>
        <w:t xml:space="preserve">Three subjects in Experiment 1 and two subjects in Experiment 2 did not have eye tracking data available. For these subjects EOG was used instead (100 µV absolute voltage difference from baseline or 40 µV step criterion, same window technique as for eye tracking data described above). </w:t>
      </w:r>
      <w:r w:rsidR="00190D83" w:rsidRPr="00710874">
        <w:rPr>
          <w:rFonts w:ascii="Times New Roman" w:hAnsi="Times New Roman" w:cs="Times New Roman"/>
          <w:color w:val="000000" w:themeColor="text1"/>
          <w:lang w:val="en-US"/>
        </w:rPr>
        <w:t xml:space="preserve">In addition we rejected trials in which any EEG channel </w:t>
      </w:r>
      <w:r w:rsidR="006320D3" w:rsidRPr="00710874">
        <w:rPr>
          <w:rFonts w:ascii="Times New Roman" w:hAnsi="Times New Roman" w:cs="Times New Roman"/>
          <w:color w:val="000000" w:themeColor="text1"/>
          <w:lang w:val="en-US"/>
        </w:rPr>
        <w:t xml:space="preserve">showed a voltage of more than </w:t>
      </w:r>
      <w:r w:rsidR="00C56337" w:rsidRPr="00710874">
        <w:rPr>
          <w:rFonts w:ascii="Times New Roman" w:hAnsi="Times New Roman" w:cs="Times New Roman"/>
          <w:color w:val="000000" w:themeColor="text1"/>
          <w:lang w:val="en-US"/>
        </w:rPr>
        <w:t>100</w:t>
      </w:r>
      <w:r w:rsidR="006320D3" w:rsidRPr="00710874">
        <w:rPr>
          <w:rFonts w:ascii="Times New Roman" w:hAnsi="Times New Roman" w:cs="Times New Roman"/>
          <w:color w:val="000000" w:themeColor="text1"/>
          <w:lang w:val="en-US"/>
        </w:rPr>
        <w:t xml:space="preserve"> µV or less than -</w:t>
      </w:r>
      <w:r w:rsidR="00C56337" w:rsidRPr="00710874">
        <w:rPr>
          <w:rFonts w:ascii="Times New Roman" w:hAnsi="Times New Roman" w:cs="Times New Roman"/>
          <w:color w:val="000000" w:themeColor="text1"/>
          <w:lang w:val="en-US"/>
        </w:rPr>
        <w:t>100</w:t>
      </w:r>
      <w:r w:rsidR="006320D3" w:rsidRPr="00710874">
        <w:rPr>
          <w:rFonts w:ascii="Times New Roman" w:hAnsi="Times New Roman" w:cs="Times New Roman"/>
          <w:color w:val="000000" w:themeColor="text1"/>
          <w:lang w:val="en-US"/>
        </w:rPr>
        <w:t xml:space="preserve"> µV. Any </w:t>
      </w:r>
      <w:r w:rsidR="00D234F1" w:rsidRPr="00710874">
        <w:rPr>
          <w:rFonts w:ascii="Times New Roman" w:hAnsi="Times New Roman" w:cs="Times New Roman"/>
          <w:color w:val="000000" w:themeColor="text1"/>
          <w:lang w:val="en-US"/>
        </w:rPr>
        <w:t xml:space="preserve">electrode </w:t>
      </w:r>
      <w:r w:rsidR="006320D3" w:rsidRPr="00710874">
        <w:rPr>
          <w:rFonts w:ascii="Times New Roman" w:hAnsi="Times New Roman" w:cs="Times New Roman"/>
          <w:color w:val="000000" w:themeColor="text1"/>
          <w:lang w:val="en-US"/>
        </w:rPr>
        <w:t xml:space="preserve">showing more than 50 such trials was rejected from the analysis and the individual </w:t>
      </w:r>
      <w:r w:rsidR="00D234F1" w:rsidRPr="00710874">
        <w:rPr>
          <w:rFonts w:ascii="Times New Roman" w:hAnsi="Times New Roman" w:cs="Times New Roman"/>
          <w:color w:val="000000" w:themeColor="text1"/>
          <w:lang w:val="en-US"/>
        </w:rPr>
        <w:t>electrode</w:t>
      </w:r>
      <w:r w:rsidR="006320D3" w:rsidRPr="00710874">
        <w:rPr>
          <w:rFonts w:ascii="Times New Roman" w:hAnsi="Times New Roman" w:cs="Times New Roman"/>
          <w:color w:val="000000" w:themeColor="text1"/>
          <w:lang w:val="en-US"/>
        </w:rPr>
        <w:t xml:space="preserve"> rejection was</w:t>
      </w:r>
      <w:r w:rsidR="00B51540" w:rsidRPr="00710874">
        <w:rPr>
          <w:rFonts w:ascii="Times New Roman" w:hAnsi="Times New Roman" w:cs="Times New Roman"/>
          <w:color w:val="000000" w:themeColor="text1"/>
          <w:lang w:val="en-US"/>
        </w:rPr>
        <w:t xml:space="preserve"> ru</w:t>
      </w:r>
      <w:r w:rsidR="006320D3" w:rsidRPr="00710874">
        <w:rPr>
          <w:rFonts w:ascii="Times New Roman" w:hAnsi="Times New Roman" w:cs="Times New Roman"/>
          <w:color w:val="000000" w:themeColor="text1"/>
          <w:lang w:val="en-US"/>
        </w:rPr>
        <w:t xml:space="preserve">n again disregarding that </w:t>
      </w:r>
      <w:r w:rsidR="00D234F1" w:rsidRPr="00710874">
        <w:rPr>
          <w:rFonts w:ascii="Times New Roman" w:hAnsi="Times New Roman" w:cs="Times New Roman"/>
          <w:color w:val="000000" w:themeColor="text1"/>
          <w:lang w:val="en-US"/>
        </w:rPr>
        <w:t>electrode</w:t>
      </w:r>
      <w:r w:rsidR="006320D3" w:rsidRPr="00710874">
        <w:rPr>
          <w:rFonts w:ascii="Times New Roman" w:hAnsi="Times New Roman" w:cs="Times New Roman"/>
          <w:color w:val="000000" w:themeColor="text1"/>
          <w:lang w:val="en-US"/>
        </w:rPr>
        <w:t>.</w:t>
      </w:r>
    </w:p>
    <w:p w14:paraId="5E537FE9" w14:textId="5CDF7054" w:rsidR="00763A56" w:rsidRPr="00710874" w:rsidRDefault="00763A56" w:rsidP="00D95790">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lastRenderedPageBreak/>
        <w:t xml:space="preserve">To isolate alpha-specific activity, raw EEG segments were band-pass filtered (8-12 Hz) using a two-way least-squares finite-impulse-response filter (‘‘eegfilt.m’’ from EEGLAB Toolbox) and then hilbert-transformed. To reconstruct spatially selective channel tuning functions from the topographic distribution of oscillatory power across electrodes, we </w:t>
      </w:r>
      <w:r w:rsidR="003C0642" w:rsidRPr="00710874">
        <w:rPr>
          <w:rFonts w:ascii="Times New Roman" w:hAnsi="Times New Roman" w:cs="Times New Roman"/>
          <w:color w:val="000000" w:themeColor="text1"/>
          <w:lang w:val="en-US"/>
        </w:rPr>
        <w:t xml:space="preserve">used </w:t>
      </w:r>
      <w:r w:rsidRPr="00710874">
        <w:rPr>
          <w:rFonts w:ascii="Times New Roman" w:hAnsi="Times New Roman" w:cs="Times New Roman"/>
          <w:color w:val="000000" w:themeColor="text1"/>
          <w:lang w:val="en-US"/>
        </w:rPr>
        <w:t>an inverted encoding model (IEM)</w:t>
      </w:r>
      <w:r w:rsidR="003C0642" w:rsidRPr="00710874">
        <w:rPr>
          <w:rFonts w:ascii="Times New Roman" w:hAnsi="Times New Roman" w:cs="Times New Roman"/>
          <w:color w:val="000000" w:themeColor="text1"/>
          <w:lang w:val="en-US"/>
        </w:rPr>
        <w:t xml:space="preserve"> (</w:t>
      </w:r>
      <w:r w:rsidR="008F5410" w:rsidRPr="00710874">
        <w:rPr>
          <w:rFonts w:ascii="Times New Roman" w:hAnsi="Times New Roman" w:cs="Times New Roman"/>
          <w:color w:val="000000" w:themeColor="text1"/>
          <w:lang w:val="en-US"/>
        </w:rPr>
        <w:t>Foster et al.</w:t>
      </w:r>
      <w:r w:rsidR="003C0642" w:rsidRPr="00710874">
        <w:rPr>
          <w:rFonts w:ascii="Times New Roman" w:hAnsi="Times New Roman" w:cs="Times New Roman"/>
          <w:color w:val="000000" w:themeColor="text1"/>
          <w:lang w:val="en-US"/>
        </w:rPr>
        <w:t xml:space="preserve">, </w:t>
      </w:r>
      <w:r w:rsidR="008F5410" w:rsidRPr="00710874">
        <w:rPr>
          <w:rFonts w:ascii="Times New Roman" w:hAnsi="Times New Roman" w:cs="Times New Roman"/>
          <w:color w:val="000000" w:themeColor="text1"/>
          <w:lang w:val="en-US"/>
        </w:rPr>
        <w:t xml:space="preserve">2017). The IEM </w:t>
      </w:r>
      <w:r w:rsidR="003C0642" w:rsidRPr="00710874">
        <w:rPr>
          <w:rFonts w:ascii="Times New Roman" w:hAnsi="Times New Roman" w:cs="Times New Roman"/>
          <w:color w:val="000000" w:themeColor="text1"/>
          <w:lang w:val="en-US"/>
        </w:rPr>
        <w:t>assum</w:t>
      </w:r>
      <w:r w:rsidR="00286C42" w:rsidRPr="00710874">
        <w:rPr>
          <w:rFonts w:ascii="Times New Roman" w:hAnsi="Times New Roman" w:cs="Times New Roman"/>
          <w:color w:val="000000" w:themeColor="text1"/>
          <w:lang w:val="en-US"/>
        </w:rPr>
        <w:t>e</w:t>
      </w:r>
      <w:r w:rsidR="003C0642" w:rsidRPr="00710874">
        <w:rPr>
          <w:rFonts w:ascii="Times New Roman" w:hAnsi="Times New Roman" w:cs="Times New Roman"/>
          <w:color w:val="000000" w:themeColor="text1"/>
          <w:lang w:val="en-US"/>
        </w:rPr>
        <w:t xml:space="preserve">s </w:t>
      </w:r>
      <w:r w:rsidR="008F5410" w:rsidRPr="00710874">
        <w:rPr>
          <w:rFonts w:ascii="Times New Roman" w:hAnsi="Times New Roman" w:cs="Times New Roman"/>
          <w:color w:val="000000" w:themeColor="text1"/>
          <w:lang w:val="en-US"/>
        </w:rPr>
        <w:t xml:space="preserve">that power measured at each electrode </w:t>
      </w:r>
      <w:r w:rsidR="003C0642" w:rsidRPr="00710874">
        <w:rPr>
          <w:rFonts w:ascii="Times New Roman" w:hAnsi="Times New Roman" w:cs="Times New Roman"/>
          <w:color w:val="000000" w:themeColor="text1"/>
          <w:lang w:val="en-US"/>
        </w:rPr>
        <w:t xml:space="preserve">reflects </w:t>
      </w:r>
      <w:r w:rsidR="008F5410" w:rsidRPr="00710874">
        <w:rPr>
          <w:rFonts w:ascii="Times New Roman" w:hAnsi="Times New Roman" w:cs="Times New Roman"/>
          <w:color w:val="000000" w:themeColor="text1"/>
          <w:lang w:val="en-US"/>
        </w:rPr>
        <w:t xml:space="preserve">the weighted sum of eight spatial channels (representing neuronal populations), each tuned for one of the eight </w:t>
      </w:r>
      <w:r w:rsidR="00932548" w:rsidRPr="00710874">
        <w:rPr>
          <w:rFonts w:ascii="Times New Roman" w:hAnsi="Times New Roman" w:cs="Times New Roman"/>
          <w:color w:val="000000" w:themeColor="text1"/>
          <w:lang w:val="en-US"/>
        </w:rPr>
        <w:t xml:space="preserve">target </w:t>
      </w:r>
      <w:r w:rsidR="008F5410" w:rsidRPr="00710874">
        <w:rPr>
          <w:rFonts w:ascii="Times New Roman" w:hAnsi="Times New Roman" w:cs="Times New Roman"/>
          <w:color w:val="000000" w:themeColor="text1"/>
          <w:lang w:val="en-US"/>
        </w:rPr>
        <w:t xml:space="preserve">positions. In a training stage, </w:t>
      </w:r>
      <w:r w:rsidR="00273185" w:rsidRPr="00710874">
        <w:rPr>
          <w:rFonts w:ascii="Times New Roman" w:hAnsi="Times New Roman" w:cs="Times New Roman"/>
          <w:color w:val="000000" w:themeColor="text1"/>
          <w:lang w:val="en-US"/>
        </w:rPr>
        <w:t>two thirds (equaled for the 2×8 combinations of cue size and position of the cue/cue center) of the segmented, filtered trials</w:t>
      </w:r>
      <w:r w:rsidR="008F5410" w:rsidRPr="00710874">
        <w:rPr>
          <w:rFonts w:ascii="Times New Roman" w:hAnsi="Times New Roman" w:cs="Times New Roman"/>
          <w:color w:val="000000" w:themeColor="text1"/>
          <w:lang w:val="en-US"/>
        </w:rPr>
        <w:t xml:space="preserve"> </w:t>
      </w:r>
      <w:r w:rsidR="00273185" w:rsidRPr="00710874">
        <w:rPr>
          <w:rFonts w:ascii="Times New Roman" w:hAnsi="Times New Roman" w:cs="Times New Roman"/>
          <w:color w:val="000000" w:themeColor="text1"/>
          <w:lang w:val="en-US"/>
        </w:rPr>
        <w:t>were</w:t>
      </w:r>
      <w:r w:rsidR="008F5410" w:rsidRPr="00710874">
        <w:rPr>
          <w:rFonts w:ascii="Times New Roman" w:hAnsi="Times New Roman" w:cs="Times New Roman"/>
          <w:color w:val="000000" w:themeColor="text1"/>
          <w:lang w:val="en-US"/>
        </w:rPr>
        <w:t xml:space="preserve"> used to estimate the weights in a least-squares estimation. In the test stage, the model was inverted to transform the remaining </w:t>
      </w:r>
      <w:r w:rsidR="00273185" w:rsidRPr="00710874">
        <w:rPr>
          <w:rFonts w:ascii="Times New Roman" w:hAnsi="Times New Roman" w:cs="Times New Roman"/>
          <w:color w:val="000000" w:themeColor="text1"/>
          <w:lang w:val="en-US"/>
        </w:rPr>
        <w:t xml:space="preserve">third of </w:t>
      </w:r>
      <w:r w:rsidR="008F5410" w:rsidRPr="00710874">
        <w:rPr>
          <w:rFonts w:ascii="Times New Roman" w:hAnsi="Times New Roman" w:cs="Times New Roman"/>
          <w:color w:val="000000" w:themeColor="text1"/>
          <w:lang w:val="en-US"/>
        </w:rPr>
        <w:t>trials (again, equaled for the 2×8 trial types) into estimated channel responses, using the previously determined weights.</w:t>
      </w:r>
      <w:r w:rsidR="004A2F5A" w:rsidRPr="00710874">
        <w:rPr>
          <w:rFonts w:ascii="Times New Roman" w:hAnsi="Times New Roman" w:cs="Times New Roman"/>
          <w:color w:val="000000" w:themeColor="text1"/>
          <w:lang w:val="en-US"/>
        </w:rPr>
        <w:t xml:space="preserve"> </w:t>
      </w:r>
      <w:r w:rsidR="00AE0A5E" w:rsidRPr="00710874">
        <w:rPr>
          <w:rFonts w:ascii="Times New Roman" w:hAnsi="Times New Roman" w:cs="Times New Roman"/>
          <w:color w:val="000000" w:themeColor="text1"/>
          <w:lang w:val="en-US"/>
        </w:rPr>
        <w:t>This means that a common set of training data (</w:t>
      </w:r>
      <w:r w:rsidR="00442B96" w:rsidRPr="00710874">
        <w:rPr>
          <w:rFonts w:ascii="Times New Roman" w:hAnsi="Times New Roman" w:cs="Times New Roman"/>
          <w:color w:val="000000" w:themeColor="text1"/>
          <w:lang w:val="en-US"/>
        </w:rPr>
        <w:t xml:space="preserve">sampled equally </w:t>
      </w:r>
      <w:r w:rsidR="00AE0A5E" w:rsidRPr="00710874">
        <w:rPr>
          <w:rFonts w:ascii="Times New Roman" w:hAnsi="Times New Roman" w:cs="Times New Roman"/>
          <w:color w:val="000000" w:themeColor="text1"/>
          <w:lang w:val="en-US"/>
        </w:rPr>
        <w:t>from the narrow and the broad condition</w:t>
      </w:r>
      <w:r w:rsidR="00442B96" w:rsidRPr="00710874">
        <w:rPr>
          <w:rFonts w:ascii="Times New Roman" w:hAnsi="Times New Roman" w:cs="Times New Roman"/>
          <w:color w:val="000000" w:themeColor="text1"/>
          <w:lang w:val="en-US"/>
        </w:rPr>
        <w:t>s</w:t>
      </w:r>
      <w:r w:rsidR="00AE0A5E" w:rsidRPr="00710874">
        <w:rPr>
          <w:rFonts w:ascii="Times New Roman" w:hAnsi="Times New Roman" w:cs="Times New Roman"/>
          <w:color w:val="000000" w:themeColor="text1"/>
          <w:lang w:val="en-US"/>
        </w:rPr>
        <w:t xml:space="preserve">) was used to estimate the channel responses in </w:t>
      </w:r>
      <w:r w:rsidR="00442B96" w:rsidRPr="00710874">
        <w:rPr>
          <w:rFonts w:ascii="Times New Roman" w:hAnsi="Times New Roman" w:cs="Times New Roman"/>
          <w:color w:val="000000" w:themeColor="text1"/>
          <w:lang w:val="en-US"/>
        </w:rPr>
        <w:t xml:space="preserve">the </w:t>
      </w:r>
      <w:r w:rsidR="00AE0A5E" w:rsidRPr="00710874">
        <w:rPr>
          <w:rFonts w:ascii="Times New Roman" w:hAnsi="Times New Roman" w:cs="Times New Roman"/>
          <w:color w:val="000000" w:themeColor="text1"/>
          <w:lang w:val="en-US"/>
        </w:rPr>
        <w:t xml:space="preserve">narrow and broad conditions separately. This procedure precludes the possibility that any observed effects of attentional breadth are due to differences that arose during training or because of using distinct “basis sets” for the two conditions. </w:t>
      </w:r>
      <w:r w:rsidR="004A2F5A" w:rsidRPr="00710874">
        <w:rPr>
          <w:rFonts w:ascii="Times New Roman" w:hAnsi="Times New Roman" w:cs="Times New Roman"/>
          <w:color w:val="000000" w:themeColor="text1"/>
          <w:lang w:val="en-US"/>
        </w:rPr>
        <w:t xml:space="preserve">The eight channel response functions were shifted to a common center and averaged to obtain the CTF. </w:t>
      </w:r>
      <w:r w:rsidR="00F23F10" w:rsidRPr="00710874">
        <w:rPr>
          <w:rFonts w:ascii="Times New Roman" w:hAnsi="Times New Roman" w:cs="Times New Roman"/>
          <w:color w:val="000000" w:themeColor="text1"/>
          <w:lang w:val="en-US"/>
        </w:rPr>
        <w:t>To</w:t>
      </w:r>
      <w:r w:rsidR="001A0552" w:rsidRPr="00710874">
        <w:rPr>
          <w:rFonts w:ascii="Times New Roman" w:hAnsi="Times New Roman" w:cs="Times New Roman"/>
          <w:color w:val="000000" w:themeColor="text1"/>
          <w:lang w:val="en-US"/>
        </w:rPr>
        <w:t xml:space="preserve"> </w:t>
      </w:r>
      <w:r w:rsidR="00F23F10" w:rsidRPr="00710874">
        <w:rPr>
          <w:rFonts w:ascii="Times New Roman" w:hAnsi="Times New Roman" w:cs="Times New Roman"/>
          <w:color w:val="000000" w:themeColor="text1"/>
          <w:lang w:val="en-US"/>
        </w:rPr>
        <w:t>compare</w:t>
      </w:r>
      <w:r w:rsidR="001A0552" w:rsidRPr="00710874">
        <w:rPr>
          <w:rFonts w:ascii="Times New Roman" w:hAnsi="Times New Roman" w:cs="Times New Roman"/>
          <w:color w:val="000000" w:themeColor="text1"/>
          <w:lang w:val="en-US"/>
        </w:rPr>
        <w:t xml:space="preserve"> the channel responses </w:t>
      </w:r>
      <w:r w:rsidR="00F23F10" w:rsidRPr="00710874">
        <w:rPr>
          <w:rFonts w:ascii="Times New Roman" w:hAnsi="Times New Roman" w:cs="Times New Roman"/>
          <w:color w:val="000000" w:themeColor="text1"/>
          <w:lang w:val="en-US"/>
        </w:rPr>
        <w:t xml:space="preserve">between conditions, </w:t>
      </w:r>
      <w:r w:rsidR="001A0552" w:rsidRPr="00710874">
        <w:rPr>
          <w:rFonts w:ascii="Times New Roman" w:hAnsi="Times New Roman" w:cs="Times New Roman"/>
          <w:color w:val="000000" w:themeColor="text1"/>
          <w:lang w:val="en-US"/>
        </w:rPr>
        <w:t xml:space="preserve">the CTF was averaged across an </w:t>
      </w:r>
      <w:r w:rsidR="00A850B3" w:rsidRPr="00710874">
        <w:rPr>
          <w:rFonts w:ascii="Times New Roman" w:hAnsi="Times New Roman" w:cs="Times New Roman"/>
          <w:color w:val="000000" w:themeColor="text1"/>
          <w:lang w:val="en-US"/>
        </w:rPr>
        <w:t xml:space="preserve">early </w:t>
      </w:r>
      <w:r w:rsidR="001A0552" w:rsidRPr="00710874">
        <w:rPr>
          <w:rFonts w:ascii="Times New Roman" w:hAnsi="Times New Roman" w:cs="Times New Roman"/>
          <w:color w:val="000000" w:themeColor="text1"/>
          <w:lang w:val="en-US"/>
        </w:rPr>
        <w:t xml:space="preserve">epoch of </w:t>
      </w:r>
      <w:r w:rsidR="00A850B3" w:rsidRPr="00710874">
        <w:rPr>
          <w:rFonts w:ascii="Times New Roman" w:hAnsi="Times New Roman" w:cs="Times New Roman"/>
          <w:color w:val="000000" w:themeColor="text1"/>
          <w:lang w:val="en-US"/>
        </w:rPr>
        <w:t xml:space="preserve">200-400 ms and a late epoch of </w:t>
      </w:r>
      <w:r w:rsidR="001A0552" w:rsidRPr="00710874">
        <w:rPr>
          <w:rFonts w:ascii="Times New Roman" w:hAnsi="Times New Roman" w:cs="Times New Roman"/>
          <w:color w:val="000000" w:themeColor="text1"/>
          <w:lang w:val="en-US"/>
        </w:rPr>
        <w:t>600-800 ms</w:t>
      </w:r>
      <w:r w:rsidR="00A850B3" w:rsidRPr="00710874">
        <w:rPr>
          <w:rFonts w:ascii="Times New Roman" w:hAnsi="Times New Roman" w:cs="Times New Roman"/>
          <w:color w:val="000000" w:themeColor="text1"/>
          <w:lang w:val="en-US"/>
        </w:rPr>
        <w:t>. The early</w:t>
      </w:r>
      <w:r w:rsidR="00D95790" w:rsidRPr="00710874">
        <w:rPr>
          <w:rFonts w:ascii="Times New Roman" w:hAnsi="Times New Roman" w:cs="Times New Roman"/>
          <w:color w:val="000000" w:themeColor="text1"/>
          <w:lang w:val="en-US"/>
        </w:rPr>
        <w:t xml:space="preserve"> time</w:t>
      </w:r>
      <w:r w:rsidR="00A850B3" w:rsidRPr="00710874">
        <w:rPr>
          <w:rFonts w:ascii="Times New Roman" w:hAnsi="Times New Roman" w:cs="Times New Roman"/>
          <w:color w:val="000000" w:themeColor="text1"/>
          <w:lang w:val="en-US"/>
        </w:rPr>
        <w:t xml:space="preserve"> window was chosen to track attention processes that are late enough to not reflect the response to the physical onset of the cues but early enough to reflect early attention deployment. The N2pc component as an ERP measure of attention, for example, typically falls into this window. The late </w:t>
      </w:r>
      <w:r w:rsidR="00D95790" w:rsidRPr="00710874">
        <w:rPr>
          <w:rFonts w:ascii="Times New Roman" w:hAnsi="Times New Roman" w:cs="Times New Roman"/>
          <w:color w:val="000000" w:themeColor="text1"/>
          <w:lang w:val="en-US"/>
        </w:rPr>
        <w:t>time window was chose to track fully attention at the very moment when the target appeared. The data were</w:t>
      </w:r>
      <w:r w:rsidR="001A0552" w:rsidRPr="00710874">
        <w:rPr>
          <w:rFonts w:ascii="Times New Roman" w:hAnsi="Times New Roman" w:cs="Times New Roman"/>
          <w:color w:val="000000" w:themeColor="text1"/>
          <w:lang w:val="en-US"/>
        </w:rPr>
        <w:t xml:space="preserve"> forwarded to a 2×</w:t>
      </w:r>
      <w:r w:rsidR="00D95790" w:rsidRPr="00710874">
        <w:rPr>
          <w:rFonts w:ascii="Times New Roman" w:hAnsi="Times New Roman" w:cs="Times New Roman"/>
          <w:color w:val="000000" w:themeColor="text1"/>
          <w:lang w:val="en-US"/>
        </w:rPr>
        <w:t>2</w:t>
      </w:r>
      <w:r w:rsidR="001A0552" w:rsidRPr="00710874">
        <w:rPr>
          <w:rFonts w:ascii="Times New Roman" w:hAnsi="Times New Roman" w:cs="Times New Roman"/>
          <w:color w:val="000000" w:themeColor="text1"/>
          <w:lang w:val="en-US"/>
        </w:rPr>
        <w:t xml:space="preserve"> ANOVA with the repeated-measures factors cue size (1 versus 3) and distance of the cued location to the location a channel </w:t>
      </w:r>
      <w:r w:rsidR="00F23F10" w:rsidRPr="00710874">
        <w:rPr>
          <w:rFonts w:ascii="Times New Roman" w:hAnsi="Times New Roman" w:cs="Times New Roman"/>
          <w:color w:val="000000" w:themeColor="text1"/>
          <w:lang w:val="en-US"/>
        </w:rPr>
        <w:t>was optimally tuned to (0 through ±4</w:t>
      </w:r>
      <w:r w:rsidR="001A0552" w:rsidRPr="00710874">
        <w:rPr>
          <w:rFonts w:ascii="Times New Roman" w:hAnsi="Times New Roman" w:cs="Times New Roman"/>
          <w:color w:val="000000" w:themeColor="text1"/>
          <w:lang w:val="en-US"/>
        </w:rPr>
        <w:t>)</w:t>
      </w:r>
      <w:r w:rsidR="00F23F10" w:rsidRPr="00710874">
        <w:rPr>
          <w:rFonts w:ascii="Times New Roman" w:hAnsi="Times New Roman" w:cs="Times New Roman"/>
          <w:color w:val="000000" w:themeColor="text1"/>
          <w:lang w:val="en-US"/>
        </w:rPr>
        <w:t>, analogously to the accuracy analysis described above</w:t>
      </w:r>
      <w:r w:rsidR="001A0552" w:rsidRPr="00710874">
        <w:rPr>
          <w:rFonts w:ascii="Times New Roman" w:hAnsi="Times New Roman" w:cs="Times New Roman"/>
          <w:color w:val="000000" w:themeColor="text1"/>
          <w:lang w:val="en-US"/>
        </w:rPr>
        <w:t>.</w:t>
      </w:r>
      <w:r w:rsidR="00AA0D87" w:rsidRPr="00710874">
        <w:rPr>
          <w:rFonts w:ascii="Times New Roman" w:hAnsi="Times New Roman" w:cs="Times New Roman"/>
          <w:color w:val="000000" w:themeColor="text1"/>
          <w:lang w:val="en-US"/>
        </w:rPr>
        <w:t xml:space="preserve"> </w:t>
      </w:r>
      <w:r w:rsidR="00D95790" w:rsidRPr="00710874">
        <w:rPr>
          <w:rFonts w:ascii="Times New Roman" w:hAnsi="Times New Roman" w:cs="Times New Roman"/>
          <w:color w:val="000000" w:themeColor="text1"/>
          <w:lang w:val="en-US"/>
        </w:rPr>
        <w:t xml:space="preserve">Additionally, similarly to accuracy (see above), the channel tuning function was fit to a sine function to obtain amplitude, dispersion and baseline parameters. </w:t>
      </w:r>
      <w:r w:rsidR="00F23F10" w:rsidRPr="00710874">
        <w:rPr>
          <w:rFonts w:ascii="Times New Roman" w:hAnsi="Times New Roman" w:cs="Times New Roman"/>
          <w:color w:val="000000" w:themeColor="text1"/>
          <w:lang w:val="en-US"/>
        </w:rPr>
        <w:t>In addition, t</w:t>
      </w:r>
      <w:r w:rsidR="004A2F5A" w:rsidRPr="00710874">
        <w:rPr>
          <w:rFonts w:ascii="Times New Roman" w:hAnsi="Times New Roman" w:cs="Times New Roman"/>
          <w:color w:val="000000" w:themeColor="text1"/>
          <w:lang w:val="en-US"/>
        </w:rPr>
        <w:t>he slope of the CTFs (estimated by linear regression</w:t>
      </w:r>
      <w:r w:rsidR="00F23F10" w:rsidRPr="00710874">
        <w:rPr>
          <w:rFonts w:ascii="Times New Roman" w:hAnsi="Times New Roman" w:cs="Times New Roman"/>
          <w:color w:val="000000" w:themeColor="text1"/>
          <w:lang w:val="en-US"/>
        </w:rPr>
        <w:t xml:space="preserve"> computed for each time point</w:t>
      </w:r>
      <w:r w:rsidR="004A2F5A" w:rsidRPr="00710874">
        <w:rPr>
          <w:rFonts w:ascii="Times New Roman" w:hAnsi="Times New Roman" w:cs="Times New Roman"/>
          <w:color w:val="000000" w:themeColor="text1"/>
          <w:lang w:val="en-US"/>
        </w:rPr>
        <w:t>) was used as a metric to compare the selectivity between cue size 1 and 3</w:t>
      </w:r>
      <w:r w:rsidR="00F23F10" w:rsidRPr="00710874">
        <w:rPr>
          <w:rFonts w:ascii="Times New Roman" w:hAnsi="Times New Roman" w:cs="Times New Roman"/>
          <w:color w:val="000000" w:themeColor="text1"/>
          <w:lang w:val="en-US"/>
        </w:rPr>
        <w:t>;</w:t>
      </w:r>
      <w:r w:rsidR="004A2F5A" w:rsidRPr="00710874">
        <w:rPr>
          <w:rFonts w:ascii="Times New Roman" w:hAnsi="Times New Roman" w:cs="Times New Roman"/>
          <w:color w:val="000000" w:themeColor="text1"/>
          <w:lang w:val="en-US"/>
        </w:rPr>
        <w:t xml:space="preserve"> </w:t>
      </w:r>
      <w:r w:rsidR="00F23F10" w:rsidRPr="00710874">
        <w:rPr>
          <w:rFonts w:ascii="Times New Roman" w:hAnsi="Times New Roman" w:cs="Times New Roman"/>
          <w:color w:val="000000" w:themeColor="text1"/>
          <w:lang w:val="en-US"/>
        </w:rPr>
        <w:t>t</w:t>
      </w:r>
      <w:r w:rsidR="004A2F5A" w:rsidRPr="00710874">
        <w:rPr>
          <w:rFonts w:ascii="Times New Roman" w:hAnsi="Times New Roman" w:cs="Times New Roman"/>
          <w:color w:val="000000" w:themeColor="text1"/>
          <w:lang w:val="en-US"/>
        </w:rPr>
        <w:t xml:space="preserve">he higher the slope, the greater spatial selectivity. The slope was averaged for </w:t>
      </w:r>
      <w:r w:rsidR="00D95790" w:rsidRPr="00710874">
        <w:rPr>
          <w:rFonts w:ascii="Times New Roman" w:hAnsi="Times New Roman" w:cs="Times New Roman"/>
          <w:color w:val="000000" w:themeColor="text1"/>
          <w:lang w:val="en-US"/>
        </w:rPr>
        <w:t>eight</w:t>
      </w:r>
      <w:r w:rsidR="004A2F5A" w:rsidRPr="00710874">
        <w:rPr>
          <w:rFonts w:ascii="Times New Roman" w:hAnsi="Times New Roman" w:cs="Times New Roman"/>
          <w:color w:val="000000" w:themeColor="text1"/>
          <w:lang w:val="en-US"/>
        </w:rPr>
        <w:t xml:space="preserve"> epochs </w:t>
      </w:r>
      <w:r w:rsidR="004A2F5A" w:rsidRPr="00710874">
        <w:rPr>
          <w:rFonts w:ascii="Times New Roman" w:hAnsi="Times New Roman" w:cs="Times New Roman"/>
          <w:color w:val="000000" w:themeColor="text1"/>
          <w:lang w:val="en-US"/>
        </w:rPr>
        <w:lastRenderedPageBreak/>
        <w:t>(</w:t>
      </w:r>
      <w:r w:rsidR="00D95790" w:rsidRPr="00710874">
        <w:rPr>
          <w:rFonts w:ascii="Times New Roman" w:hAnsi="Times New Roman" w:cs="Times New Roman"/>
          <w:color w:val="000000" w:themeColor="text1"/>
          <w:lang w:val="en-US"/>
        </w:rPr>
        <w:t>100 ms time windows from 0-800 ms</w:t>
      </w:r>
      <w:r w:rsidR="004A2F5A" w:rsidRPr="00710874">
        <w:rPr>
          <w:rFonts w:ascii="Times New Roman" w:hAnsi="Times New Roman" w:cs="Times New Roman"/>
          <w:color w:val="000000" w:themeColor="text1"/>
          <w:lang w:val="en-US"/>
        </w:rPr>
        <w:t xml:space="preserve">) separately for cue size 1 and 3 and </w:t>
      </w:r>
      <w:r w:rsidR="00D95790" w:rsidRPr="00710874">
        <w:rPr>
          <w:rFonts w:ascii="Times New Roman" w:hAnsi="Times New Roman" w:cs="Times New Roman"/>
          <w:color w:val="000000" w:themeColor="text1"/>
          <w:lang w:val="en-US"/>
        </w:rPr>
        <w:t>tested against zero and compared between CS 1 and CS3.</w:t>
      </w:r>
    </w:p>
    <w:p w14:paraId="1690C3FB" w14:textId="1408C941" w:rsidR="005073BD" w:rsidRPr="00710874" w:rsidRDefault="005073BD" w:rsidP="00AA0D8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i/>
          <w:iCs/>
          <w:color w:val="000000" w:themeColor="text1"/>
          <w:lang w:val="en-US"/>
        </w:rPr>
        <w:t>Simulating CTF slopes for cue size 3.</w:t>
      </w:r>
      <w:r w:rsidRPr="00710874">
        <w:rPr>
          <w:rFonts w:ascii="Times New Roman" w:hAnsi="Times New Roman" w:cs="Times New Roman"/>
          <w:color w:val="000000" w:themeColor="text1"/>
          <w:lang w:val="en-US"/>
        </w:rPr>
        <w:t xml:space="preserve"> While a shallower CTF slopes in the cue size 3 condition </w:t>
      </w:r>
      <w:r w:rsidR="009E2469" w:rsidRPr="00710874">
        <w:rPr>
          <w:rFonts w:ascii="Times New Roman" w:hAnsi="Times New Roman" w:cs="Times New Roman"/>
          <w:color w:val="000000" w:themeColor="text1"/>
          <w:lang w:val="en-US"/>
        </w:rPr>
        <w:t xml:space="preserve">can be interpreted </w:t>
      </w:r>
      <w:r w:rsidRPr="00710874">
        <w:rPr>
          <w:rFonts w:ascii="Times New Roman" w:hAnsi="Times New Roman" w:cs="Times New Roman"/>
          <w:color w:val="000000" w:themeColor="text1"/>
          <w:lang w:val="en-US"/>
        </w:rPr>
        <w:t xml:space="preserve">as reflecting a broader attended region, we also considered the possibility that subjects </w:t>
      </w:r>
      <w:r w:rsidR="009E2469" w:rsidRPr="00710874">
        <w:rPr>
          <w:rFonts w:ascii="Times New Roman" w:hAnsi="Times New Roman" w:cs="Times New Roman"/>
          <w:color w:val="000000" w:themeColor="text1"/>
          <w:lang w:val="en-US"/>
        </w:rPr>
        <w:t>may show</w:t>
      </w:r>
      <w:r w:rsidRPr="00710874">
        <w:rPr>
          <w:rFonts w:ascii="Times New Roman" w:hAnsi="Times New Roman" w:cs="Times New Roman"/>
          <w:color w:val="000000" w:themeColor="text1"/>
          <w:lang w:val="en-US"/>
        </w:rPr>
        <w:t xml:space="preserve"> an equally narrow focus of attention in both conditions but deployed that focus probabilistically to one of the three locations in the cue size 3 condition. Thus, deploying a narrow attentional focus across the three positions might be able to mimic the effects of a single broader focus of attention. To test this possibility, we examined whether the CTF slopes in the cue size 3 condition could be re-created by probabilistic switching of a narrow focus of attention across multiple positions. For instance, if observers narrowly attended each cued position one third of the time in the cue size 3 condition, this might mimic the gradient produced by a single broader focus of attention. To test this account we first determined how often the cue size 1 CTF profile should be directed to each of the three positions in the cue size 3 condition to obtain the best possible match with the observed CTF in the cue size 3 condition. We used the data from the cue size 1 condition and calculated the weighted sum of channel activity with a varying ratio of how often the central location within the cued area would be attended by a “switching participant”. We varied the ratio from 1/3 (equally likely attending the central as the lateral locations) to 100% (never attending the lateral locations, i.e., identical to the cue size 1 condition). </w:t>
      </w:r>
      <w:r w:rsidR="009E2469" w:rsidRPr="00710874">
        <w:rPr>
          <w:rFonts w:ascii="Times New Roman" w:hAnsi="Times New Roman" w:cs="Times New Roman"/>
          <w:color w:val="000000" w:themeColor="text1"/>
          <w:lang w:val="en-US"/>
        </w:rPr>
        <w:t>The ratio for which t</w:t>
      </w:r>
      <w:r w:rsidRPr="00710874">
        <w:rPr>
          <w:rFonts w:ascii="Times New Roman" w:hAnsi="Times New Roman" w:cs="Times New Roman"/>
          <w:color w:val="000000" w:themeColor="text1"/>
          <w:lang w:val="en-US"/>
        </w:rPr>
        <w:t>he sum of the squared difference between the observed and simulated cue size 3 condition for each channel offset</w:t>
      </w:r>
      <w:r w:rsidR="009E2469"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measure of how dissimilar the CTFs were</w:t>
      </w:r>
      <w:r w:rsidR="009E2469"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 xml:space="preserve">was minimal </w:t>
      </w:r>
      <w:r w:rsidR="009E2469" w:rsidRPr="00710874">
        <w:rPr>
          <w:rFonts w:ascii="Times New Roman" w:hAnsi="Times New Roman" w:cs="Times New Roman"/>
          <w:color w:val="000000" w:themeColor="text1"/>
          <w:lang w:val="en-US"/>
        </w:rPr>
        <w:t xml:space="preserve">was used to calculate the slope for the simulated cue size condition. </w:t>
      </w:r>
    </w:p>
    <w:p w14:paraId="301D709F" w14:textId="77777777" w:rsidR="00AA0D87" w:rsidRPr="00710874" w:rsidRDefault="00AA0D87" w:rsidP="00AA0D87">
      <w:pPr>
        <w:spacing w:after="0" w:line="480" w:lineRule="auto"/>
        <w:ind w:firstLine="720"/>
        <w:jc w:val="both"/>
        <w:rPr>
          <w:rFonts w:ascii="Times New Roman" w:hAnsi="Times New Roman" w:cs="Times New Roman"/>
          <w:color w:val="000000" w:themeColor="text1"/>
          <w:lang w:val="en-US"/>
        </w:rPr>
      </w:pPr>
    </w:p>
    <w:p w14:paraId="0AFF8DE6" w14:textId="36FA883A" w:rsidR="00C91CDD" w:rsidRPr="00710874" w:rsidRDefault="00C91CDD" w:rsidP="00BD64D7">
      <w:pPr>
        <w:spacing w:after="0" w:line="480" w:lineRule="auto"/>
        <w:jc w:val="both"/>
        <w:rPr>
          <w:rFonts w:ascii="Times New Roman" w:hAnsi="Times New Roman" w:cs="Times New Roman"/>
          <w:b/>
          <w:color w:val="000000" w:themeColor="text1"/>
        </w:rPr>
      </w:pPr>
      <w:r w:rsidRPr="00710874">
        <w:rPr>
          <w:rFonts w:ascii="Times New Roman" w:hAnsi="Times New Roman" w:cs="Times New Roman"/>
          <w:b/>
          <w:color w:val="000000" w:themeColor="text1"/>
        </w:rPr>
        <w:t>Results</w:t>
      </w:r>
      <w:r w:rsidR="00273185" w:rsidRPr="00710874">
        <w:rPr>
          <w:rFonts w:ascii="Times New Roman" w:hAnsi="Times New Roman" w:cs="Times New Roman"/>
          <w:b/>
          <w:color w:val="000000" w:themeColor="text1"/>
        </w:rPr>
        <w:t xml:space="preserve"> Experiment 1</w:t>
      </w:r>
    </w:p>
    <w:p w14:paraId="08F36CF3" w14:textId="01F141DB" w:rsidR="00AA58CC" w:rsidRPr="00710874" w:rsidRDefault="00C91CDD" w:rsidP="00BD64D7">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Behavioral results</w:t>
      </w:r>
    </w:p>
    <w:p w14:paraId="389A0C3D" w14:textId="0068E0C6" w:rsidR="00C622BD" w:rsidRPr="00710874" w:rsidRDefault="00777EA6" w:rsidP="00174087">
      <w:pPr>
        <w:spacing w:after="0" w:line="480" w:lineRule="auto"/>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Accuracy was reliably above chance </w:t>
      </w:r>
      <w:r w:rsidR="00DA6863" w:rsidRPr="00710874">
        <w:rPr>
          <w:rFonts w:ascii="Times New Roman" w:hAnsi="Times New Roman" w:cs="Times New Roman"/>
          <w:color w:val="000000" w:themeColor="text1"/>
          <w:lang w:val="en-US"/>
        </w:rPr>
        <w:t xml:space="preserve">level (11.1%) </w:t>
      </w:r>
      <w:r w:rsidRPr="00710874">
        <w:rPr>
          <w:rFonts w:ascii="Times New Roman" w:hAnsi="Times New Roman" w:cs="Times New Roman"/>
          <w:color w:val="000000" w:themeColor="text1"/>
          <w:lang w:val="en-US"/>
        </w:rPr>
        <w:t>for all 16 combinations of cue size and distance to the (center of the) cued location (all p &lt; .001). A</w:t>
      </w:r>
      <w:r w:rsidR="007B2969" w:rsidRPr="00710874">
        <w:rPr>
          <w:rFonts w:ascii="Times New Roman" w:hAnsi="Times New Roman" w:cs="Times New Roman"/>
          <w:color w:val="000000" w:themeColor="text1"/>
          <w:lang w:val="en-US"/>
        </w:rPr>
        <w:t>verage a</w:t>
      </w:r>
      <w:r w:rsidRPr="00710874">
        <w:rPr>
          <w:rFonts w:ascii="Times New Roman" w:hAnsi="Times New Roman" w:cs="Times New Roman"/>
          <w:color w:val="000000" w:themeColor="text1"/>
          <w:lang w:val="en-US"/>
        </w:rPr>
        <w:t>ccuracy</w:t>
      </w:r>
      <w:r w:rsidR="007B2969" w:rsidRPr="00710874">
        <w:rPr>
          <w:rFonts w:ascii="Times New Roman" w:hAnsi="Times New Roman" w:cs="Times New Roman"/>
          <w:color w:val="000000" w:themeColor="text1"/>
          <w:lang w:val="en-US"/>
        </w:rPr>
        <w:t xml:space="preserve"> did not differ reliably across</w:t>
      </w:r>
      <w:r w:rsidR="00C91CDD" w:rsidRPr="00710874">
        <w:rPr>
          <w:rFonts w:ascii="Times New Roman" w:hAnsi="Times New Roman" w:cs="Times New Roman"/>
          <w:color w:val="000000" w:themeColor="text1"/>
          <w:lang w:val="en-US"/>
        </w:rPr>
        <w:t xml:space="preserve"> cue size</w:t>
      </w:r>
      <w:r w:rsidR="007B2969" w:rsidRPr="00710874">
        <w:rPr>
          <w:rFonts w:ascii="Times New Roman" w:hAnsi="Times New Roman" w:cs="Times New Roman"/>
          <w:color w:val="000000" w:themeColor="text1"/>
          <w:lang w:val="en-US"/>
        </w:rPr>
        <w:t>s</w:t>
      </w:r>
      <w:r w:rsidR="00C91CDD"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M</w:t>
      </w:r>
      <w:r w:rsidRPr="00710874">
        <w:rPr>
          <w:rFonts w:ascii="Times New Roman" w:hAnsi="Times New Roman" w:cs="Times New Roman"/>
          <w:color w:val="000000" w:themeColor="text1"/>
          <w:vertAlign w:val="subscript"/>
          <w:lang w:val="en-US"/>
        </w:rPr>
        <w:t>CS1</w:t>
      </w:r>
      <w:r w:rsidR="009F1454" w:rsidRPr="00710874">
        <w:rPr>
          <w:rFonts w:ascii="Times New Roman" w:hAnsi="Times New Roman" w:cs="Times New Roman"/>
          <w:color w:val="000000" w:themeColor="text1"/>
          <w:lang w:val="en-US"/>
        </w:rPr>
        <w:t xml:space="preserve"> = 41.3</w:t>
      </w:r>
      <w:r w:rsidRPr="00710874">
        <w:rPr>
          <w:rFonts w:ascii="Times New Roman" w:hAnsi="Times New Roman" w:cs="Times New Roman"/>
          <w:color w:val="000000" w:themeColor="text1"/>
          <w:lang w:val="en-US"/>
        </w:rPr>
        <w:t>% vs. M</w:t>
      </w:r>
      <w:r w:rsidRPr="00710874">
        <w:rPr>
          <w:rFonts w:ascii="Times New Roman" w:hAnsi="Times New Roman" w:cs="Times New Roman"/>
          <w:color w:val="000000" w:themeColor="text1"/>
          <w:vertAlign w:val="subscript"/>
          <w:lang w:val="en-US"/>
        </w:rPr>
        <w:t>CS3</w:t>
      </w:r>
      <w:r w:rsidRPr="00710874">
        <w:rPr>
          <w:rFonts w:ascii="Times New Roman" w:hAnsi="Times New Roman" w:cs="Times New Roman"/>
          <w:color w:val="000000" w:themeColor="text1"/>
          <w:lang w:val="en-US"/>
        </w:rPr>
        <w:t xml:space="preserve"> = 4</w:t>
      </w:r>
      <w:r w:rsidR="00A6784B"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w:t>
      </w:r>
      <w:r w:rsidR="009F1454"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w:t>
      </w:r>
      <w:r w:rsidR="00C91CDD"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F(1,22) = 3.</w:t>
      </w:r>
      <w:r w:rsidR="009F1454" w:rsidRPr="00710874">
        <w:rPr>
          <w:rFonts w:ascii="Times New Roman" w:hAnsi="Times New Roman" w:cs="Times New Roman"/>
          <w:color w:val="000000" w:themeColor="text1"/>
          <w:lang w:val="en-US"/>
        </w:rPr>
        <w:t>6</w:t>
      </w:r>
      <w:r w:rsidRPr="00710874">
        <w:rPr>
          <w:rFonts w:ascii="Times New Roman" w:hAnsi="Times New Roman" w:cs="Times New Roman"/>
          <w:color w:val="000000" w:themeColor="text1"/>
          <w:lang w:val="en-US"/>
        </w:rPr>
        <w:t>, p = .07</w:t>
      </w:r>
      <w:r w:rsidR="009F1454" w:rsidRPr="00710874">
        <w:rPr>
          <w:rFonts w:ascii="Times New Roman" w:hAnsi="Times New Roman" w:cs="Times New Roman"/>
          <w:color w:val="000000" w:themeColor="text1"/>
          <w:lang w:val="en-US"/>
        </w:rPr>
        <w:t>1</w:t>
      </w:r>
      <w:r w:rsidRPr="00710874">
        <w:rPr>
          <w:rFonts w:ascii="Times New Roman" w:hAnsi="Times New Roman" w:cs="Times New Roman"/>
          <w:color w:val="000000" w:themeColor="text1"/>
          <w:lang w:val="en-US"/>
        </w:rPr>
        <w:t>, η² = .1</w:t>
      </w:r>
      <w:r w:rsidR="009F1454" w:rsidRPr="00710874">
        <w:rPr>
          <w:rFonts w:ascii="Times New Roman" w:hAnsi="Times New Roman" w:cs="Times New Roman"/>
          <w:color w:val="000000" w:themeColor="text1"/>
          <w:lang w:val="en-US"/>
        </w:rPr>
        <w:t>41</w:t>
      </w:r>
      <w:r w:rsidRPr="00710874">
        <w:rPr>
          <w:rFonts w:ascii="Times New Roman" w:hAnsi="Times New Roman" w:cs="Times New Roman"/>
          <w:color w:val="000000" w:themeColor="text1"/>
          <w:lang w:val="en-US"/>
        </w:rPr>
        <w:t>. Accuracy varied as a function of the target distance to the cued location</w:t>
      </w:r>
      <w:r w:rsidR="00DA6863" w:rsidRPr="00710874">
        <w:rPr>
          <w:rFonts w:ascii="Times New Roman" w:hAnsi="Times New Roman" w:cs="Times New Roman"/>
          <w:color w:val="000000" w:themeColor="text1"/>
          <w:lang w:val="en-US"/>
        </w:rPr>
        <w:t>, F(7,154) = 30.</w:t>
      </w:r>
      <w:r w:rsidR="009F1454" w:rsidRPr="00710874">
        <w:rPr>
          <w:rFonts w:ascii="Times New Roman" w:hAnsi="Times New Roman" w:cs="Times New Roman"/>
          <w:color w:val="000000" w:themeColor="text1"/>
          <w:lang w:val="en-US"/>
        </w:rPr>
        <w:t>1, p &lt; .001, η² = .577</w:t>
      </w:r>
      <w:r w:rsidR="005F6ADE" w:rsidRPr="00710874">
        <w:rPr>
          <w:rFonts w:ascii="Times New Roman" w:hAnsi="Times New Roman" w:cs="Times New Roman"/>
          <w:color w:val="000000" w:themeColor="text1"/>
          <w:lang w:val="en-US"/>
        </w:rPr>
        <w:t>, see Fig. 2</w:t>
      </w:r>
      <w:r w:rsidR="00DA6863" w:rsidRPr="00710874">
        <w:rPr>
          <w:rFonts w:ascii="Times New Roman" w:hAnsi="Times New Roman" w:cs="Times New Roman"/>
          <w:color w:val="000000" w:themeColor="text1"/>
          <w:lang w:val="en-US"/>
        </w:rPr>
        <w:t xml:space="preserve">. Accuracy </w:t>
      </w:r>
      <w:r w:rsidR="00FF43DE" w:rsidRPr="00710874">
        <w:rPr>
          <w:rFonts w:ascii="Times New Roman" w:hAnsi="Times New Roman" w:cs="Times New Roman"/>
          <w:color w:val="000000" w:themeColor="text1"/>
          <w:lang w:val="en-US"/>
        </w:rPr>
        <w:t xml:space="preserve"> </w:t>
      </w:r>
      <w:r w:rsidR="00FF43DE" w:rsidRPr="00710874">
        <w:rPr>
          <w:color w:val="000000" w:themeColor="text1"/>
        </w:rPr>
        <w:t xml:space="preserve"> </w:t>
      </w:r>
      <w:r w:rsidR="00DA6863" w:rsidRPr="00710874">
        <w:rPr>
          <w:rFonts w:ascii="Times New Roman" w:hAnsi="Times New Roman" w:cs="Times New Roman"/>
          <w:color w:val="000000" w:themeColor="text1"/>
          <w:lang w:val="en-US"/>
        </w:rPr>
        <w:t xml:space="preserve">was highest for the </w:t>
      </w:r>
      <w:r w:rsidR="00CD7724" w:rsidRPr="00710874">
        <w:rPr>
          <w:rFonts w:ascii="Times New Roman" w:hAnsi="Times New Roman" w:cs="Times New Roman"/>
          <w:color w:val="000000" w:themeColor="text1"/>
          <w:lang w:val="en-US"/>
        </w:rPr>
        <w:t xml:space="preserve">central </w:t>
      </w:r>
      <w:r w:rsidR="00DA6863" w:rsidRPr="00710874">
        <w:rPr>
          <w:rFonts w:ascii="Times New Roman" w:hAnsi="Times New Roman" w:cs="Times New Roman"/>
          <w:color w:val="000000" w:themeColor="text1"/>
          <w:lang w:val="en-US"/>
        </w:rPr>
        <w:t>cued location and dropped to more distant locations (</w:t>
      </w:r>
      <w:r w:rsidR="009F1454" w:rsidRPr="00710874">
        <w:rPr>
          <w:rFonts w:ascii="Times New Roman" w:hAnsi="Times New Roman" w:cs="Times New Roman"/>
          <w:color w:val="000000" w:themeColor="text1"/>
          <w:lang w:val="en-US"/>
        </w:rPr>
        <w:t>M</w:t>
      </w:r>
      <w:r w:rsidR="009F1454" w:rsidRPr="00710874">
        <w:rPr>
          <w:rFonts w:ascii="Times New Roman" w:hAnsi="Times New Roman" w:cs="Times New Roman"/>
          <w:color w:val="000000" w:themeColor="text1"/>
          <w:vertAlign w:val="subscript"/>
          <w:lang w:val="en-US"/>
        </w:rPr>
        <w:t>dist0</w:t>
      </w:r>
      <w:r w:rsidR="009F1454" w:rsidRPr="00710874">
        <w:rPr>
          <w:rFonts w:ascii="Times New Roman" w:hAnsi="Times New Roman" w:cs="Times New Roman"/>
          <w:color w:val="000000" w:themeColor="text1"/>
          <w:lang w:val="en-US"/>
        </w:rPr>
        <w:t xml:space="preserve"> = 57.2% versus </w:t>
      </w:r>
      <w:r w:rsidR="00DA6863" w:rsidRPr="00710874">
        <w:rPr>
          <w:rFonts w:ascii="Times New Roman" w:hAnsi="Times New Roman" w:cs="Times New Roman"/>
          <w:color w:val="000000" w:themeColor="text1"/>
          <w:lang w:val="en-US"/>
        </w:rPr>
        <w:t>M</w:t>
      </w:r>
      <w:r w:rsidR="00DA6863" w:rsidRPr="00710874">
        <w:rPr>
          <w:rFonts w:ascii="Times New Roman" w:hAnsi="Times New Roman" w:cs="Times New Roman"/>
          <w:color w:val="000000" w:themeColor="text1"/>
          <w:vertAlign w:val="subscript"/>
          <w:lang w:val="en-US"/>
        </w:rPr>
        <w:t>dist4</w:t>
      </w:r>
      <w:r w:rsidR="00DA6863" w:rsidRPr="00710874">
        <w:rPr>
          <w:rFonts w:ascii="Times New Roman" w:hAnsi="Times New Roman" w:cs="Times New Roman"/>
          <w:color w:val="000000" w:themeColor="text1"/>
          <w:lang w:val="en-US"/>
        </w:rPr>
        <w:t xml:space="preserve"> </w:t>
      </w:r>
      <w:r w:rsidR="00174087" w:rsidRPr="00710874">
        <w:rPr>
          <w:noProof/>
          <w:color w:val="000000" w:themeColor="text1"/>
          <w:lang w:eastAsia="zh-CN"/>
        </w:rPr>
        <w:lastRenderedPageBreak/>
        <mc:AlternateContent>
          <mc:Choice Requires="wps">
            <w:drawing>
              <wp:anchor distT="0" distB="0" distL="114300" distR="114300" simplePos="0" relativeHeight="251666432" behindDoc="0" locked="0" layoutInCell="1" allowOverlap="1" wp14:anchorId="393F9750" wp14:editId="755AB37F">
                <wp:simplePos x="0" y="0"/>
                <wp:positionH relativeFrom="margin">
                  <wp:align>center</wp:align>
                </wp:positionH>
                <wp:positionV relativeFrom="paragraph">
                  <wp:posOffset>6620975</wp:posOffset>
                </wp:positionV>
                <wp:extent cx="5935345" cy="635"/>
                <wp:effectExtent l="0" t="0" r="8255" b="0"/>
                <wp:wrapSquare wrapText="bothSides"/>
                <wp:docPr id="5" name="Text Box 5"/>
                <wp:cNvGraphicFramePr/>
                <a:graphic xmlns:a="http://schemas.openxmlformats.org/drawingml/2006/main">
                  <a:graphicData uri="http://schemas.microsoft.com/office/word/2010/wordprocessingShape">
                    <wps:wsp>
                      <wps:cNvSpPr txBox="1"/>
                      <wps:spPr>
                        <a:xfrm>
                          <a:off x="0" y="0"/>
                          <a:ext cx="5935345" cy="635"/>
                        </a:xfrm>
                        <a:prstGeom prst="rect">
                          <a:avLst/>
                        </a:prstGeom>
                        <a:solidFill>
                          <a:prstClr val="white"/>
                        </a:solidFill>
                        <a:ln>
                          <a:noFill/>
                        </a:ln>
                        <a:effectLst/>
                      </wps:spPr>
                      <wps:txbx>
                        <w:txbxContent>
                          <w:p w14:paraId="35CEE3B0" w14:textId="592EEEF8" w:rsidR="00A61B4A" w:rsidRDefault="00A61B4A" w:rsidP="00AA0D87">
                            <w:pPr>
                              <w:pStyle w:val="Caption"/>
                              <w:rPr>
                                <w:color w:val="000000" w:themeColor="text1"/>
                                <w:sz w:val="22"/>
                                <w:szCs w:val="22"/>
                              </w:rPr>
                            </w:pPr>
                            <w:r w:rsidRPr="00D32E27">
                              <w:rPr>
                                <w:b/>
                                <w:color w:val="000000" w:themeColor="text1"/>
                                <w:sz w:val="22"/>
                                <w:szCs w:val="22"/>
                              </w:rPr>
                              <w:t xml:space="preserve">Figure </w:t>
                            </w:r>
                            <w:r w:rsidRPr="00D32E27">
                              <w:rPr>
                                <w:b/>
                                <w:noProof/>
                                <w:color w:val="000000" w:themeColor="text1"/>
                                <w:sz w:val="22"/>
                                <w:szCs w:val="22"/>
                              </w:rPr>
                              <w:fldChar w:fldCharType="begin"/>
                            </w:r>
                            <w:r w:rsidRPr="00D32E27">
                              <w:rPr>
                                <w:b/>
                                <w:noProof/>
                                <w:color w:val="000000" w:themeColor="text1"/>
                                <w:sz w:val="22"/>
                                <w:szCs w:val="22"/>
                              </w:rPr>
                              <w:instrText xml:space="preserve"> SEQ Figure \* ARABIC </w:instrText>
                            </w:r>
                            <w:r w:rsidRPr="00D32E27">
                              <w:rPr>
                                <w:b/>
                                <w:noProof/>
                                <w:color w:val="000000" w:themeColor="text1"/>
                                <w:sz w:val="22"/>
                                <w:szCs w:val="22"/>
                              </w:rPr>
                              <w:fldChar w:fldCharType="separate"/>
                            </w:r>
                            <w:r w:rsidRPr="00D32E27">
                              <w:rPr>
                                <w:b/>
                                <w:noProof/>
                                <w:color w:val="000000" w:themeColor="text1"/>
                                <w:sz w:val="22"/>
                                <w:szCs w:val="22"/>
                              </w:rPr>
                              <w:t>2</w:t>
                            </w:r>
                            <w:r w:rsidRPr="00D32E27">
                              <w:rPr>
                                <w:b/>
                                <w:noProof/>
                                <w:color w:val="000000" w:themeColor="text1"/>
                                <w:sz w:val="22"/>
                                <w:szCs w:val="22"/>
                              </w:rPr>
                              <w:fldChar w:fldCharType="end"/>
                            </w:r>
                            <w:r w:rsidRPr="00D32E27">
                              <w:rPr>
                                <w:b/>
                                <w:color w:val="000000" w:themeColor="text1"/>
                                <w:sz w:val="22"/>
                                <w:szCs w:val="22"/>
                              </w:rPr>
                              <w:t>.</w:t>
                            </w:r>
                            <w:r>
                              <w:rPr>
                                <w:color w:val="000000" w:themeColor="text1"/>
                                <w:sz w:val="22"/>
                                <w:szCs w:val="22"/>
                              </w:rPr>
                              <w:t xml:space="preserve"> Experiment 1.</w:t>
                            </w:r>
                            <w:r w:rsidRPr="002E46E9">
                              <w:rPr>
                                <w:color w:val="000000" w:themeColor="text1"/>
                                <w:sz w:val="22"/>
                                <w:szCs w:val="22"/>
                              </w:rPr>
                              <w:t xml:space="preserve"> (A) </w:t>
                            </w:r>
                            <w:r w:rsidRPr="00347628">
                              <w:rPr>
                                <w:color w:val="000000" w:themeColor="text1"/>
                                <w:sz w:val="22"/>
                                <w:szCs w:val="22"/>
                              </w:rPr>
                              <w:t xml:space="preserve">Mean </w:t>
                            </w:r>
                            <w:r w:rsidR="00106D8C" w:rsidRPr="00347628">
                              <w:rPr>
                                <w:color w:val="000000" w:themeColor="text1"/>
                                <w:sz w:val="22"/>
                                <w:szCs w:val="22"/>
                              </w:rPr>
                              <w:t xml:space="preserve">behavioral </w:t>
                            </w:r>
                            <w:r w:rsidRPr="00347628">
                              <w:rPr>
                                <w:color w:val="000000" w:themeColor="text1"/>
                                <w:sz w:val="22"/>
                                <w:szCs w:val="22"/>
                              </w:rPr>
                              <w:t>accuracy for “cue size 1” (green dots) and “cue size 3” (blue dots) blocks. (B) Estimated channel responses for “cue size 1” (green dots) and “cue size 3” (blue dots) blocks</w:t>
                            </w:r>
                            <w:r w:rsidR="006D6F6D" w:rsidRPr="00347628">
                              <w:rPr>
                                <w:color w:val="000000" w:themeColor="text1"/>
                                <w:sz w:val="22"/>
                                <w:szCs w:val="22"/>
                              </w:rPr>
                              <w:t xml:space="preserve"> for an epoch from 600-800 ms</w:t>
                            </w:r>
                            <w:r w:rsidRPr="00347628">
                              <w:rPr>
                                <w:color w:val="000000" w:themeColor="text1"/>
                                <w:sz w:val="22"/>
                                <w:szCs w:val="22"/>
                              </w:rPr>
                              <w:t xml:space="preserve">. Error </w:t>
                            </w:r>
                            <w:r w:rsidRPr="002E46E9">
                              <w:rPr>
                                <w:color w:val="000000" w:themeColor="text1"/>
                                <w:sz w:val="22"/>
                                <w:szCs w:val="22"/>
                              </w:rPr>
                              <w:t>bars show standard errors of the mean, corrected for individual differences (Cousineau, 2005). Solid lines show a sine function fitted to the data.</w:t>
                            </w:r>
                          </w:p>
                          <w:p w14:paraId="2ED8ECA5" w14:textId="77777777" w:rsidR="00AA0D87" w:rsidRPr="00AA0D87" w:rsidRDefault="00AA0D87" w:rsidP="00AA0D8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93F9750" id="_x0000_t202" coordsize="21600,21600" o:spt="202" path="m,l,21600r21600,l21600,xe">
                <v:stroke joinstyle="miter"/>
                <v:path gradientshapeok="t" o:connecttype="rect"/>
              </v:shapetype>
              <v:shape id="Text Box 5" o:spid="_x0000_s1027" type="#_x0000_t202" style="position:absolute;left:0;text-align:left;margin-left:0;margin-top:521.35pt;width:467.35pt;height:.0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" stroked="f">
                <v:textbox style="mso-fit-shape-to-text:t" inset="0,0,0,0">
                  <w:txbxContent>
                    <w:p w14:paraId="35CEE3B0" w14:textId="592EEEF8" w:rsidR="00A61B4A" w:rsidRDefault="00A61B4A" w:rsidP="00AA0D87">
                      <w:pPr>
                        <w:pStyle w:val="Caption"/>
                        <w:rPr>
                          <w:color w:val="000000" w:themeColor="text1"/>
                          <w:sz w:val="22"/>
                          <w:szCs w:val="22"/>
                        </w:rPr>
                      </w:pPr>
                      <w:r w:rsidRPr="00D32E27">
                        <w:rPr>
                          <w:b/>
                          <w:color w:val="000000" w:themeColor="text1"/>
                          <w:sz w:val="22"/>
                          <w:szCs w:val="22"/>
                        </w:rPr>
                        <w:t xml:space="preserve">Figure </w:t>
                      </w:r>
                      <w:r w:rsidRPr="00D32E27">
                        <w:rPr>
                          <w:b/>
                          <w:noProof/>
                          <w:color w:val="000000" w:themeColor="text1"/>
                          <w:sz w:val="22"/>
                          <w:szCs w:val="22"/>
                        </w:rPr>
                        <w:fldChar w:fldCharType="begin"/>
                      </w:r>
                      <w:r w:rsidRPr="00D32E27">
                        <w:rPr>
                          <w:b/>
                          <w:noProof/>
                          <w:color w:val="000000" w:themeColor="text1"/>
                          <w:sz w:val="22"/>
                          <w:szCs w:val="22"/>
                        </w:rPr>
                        <w:instrText xml:space="preserve"> SEQ Figure \* ARABIC </w:instrText>
                      </w:r>
                      <w:r w:rsidRPr="00D32E27">
                        <w:rPr>
                          <w:b/>
                          <w:noProof/>
                          <w:color w:val="000000" w:themeColor="text1"/>
                          <w:sz w:val="22"/>
                          <w:szCs w:val="22"/>
                        </w:rPr>
                        <w:fldChar w:fldCharType="separate"/>
                      </w:r>
                      <w:r w:rsidRPr="00D32E27">
                        <w:rPr>
                          <w:b/>
                          <w:noProof/>
                          <w:color w:val="000000" w:themeColor="text1"/>
                          <w:sz w:val="22"/>
                          <w:szCs w:val="22"/>
                        </w:rPr>
                        <w:t>2</w:t>
                      </w:r>
                      <w:r w:rsidRPr="00D32E27">
                        <w:rPr>
                          <w:b/>
                          <w:noProof/>
                          <w:color w:val="000000" w:themeColor="text1"/>
                          <w:sz w:val="22"/>
                          <w:szCs w:val="22"/>
                        </w:rPr>
                        <w:fldChar w:fldCharType="end"/>
                      </w:r>
                      <w:r w:rsidRPr="00D32E27">
                        <w:rPr>
                          <w:b/>
                          <w:color w:val="000000" w:themeColor="text1"/>
                          <w:sz w:val="22"/>
                          <w:szCs w:val="22"/>
                        </w:rPr>
                        <w:t>.</w:t>
                      </w:r>
                      <w:r>
                        <w:rPr>
                          <w:color w:val="000000" w:themeColor="text1"/>
                          <w:sz w:val="22"/>
                          <w:szCs w:val="22"/>
                        </w:rPr>
                        <w:t xml:space="preserve"> Experiment 1.</w:t>
                      </w:r>
                      <w:r w:rsidRPr="002E46E9">
                        <w:rPr>
                          <w:color w:val="000000" w:themeColor="text1"/>
                          <w:sz w:val="22"/>
                          <w:szCs w:val="22"/>
                        </w:rPr>
                        <w:t xml:space="preserve"> (A) </w:t>
                      </w:r>
                      <w:r w:rsidRPr="00347628">
                        <w:rPr>
                          <w:color w:val="000000" w:themeColor="text1"/>
                          <w:sz w:val="22"/>
                          <w:szCs w:val="22"/>
                        </w:rPr>
                        <w:t xml:space="preserve">Mean </w:t>
                      </w:r>
                      <w:r w:rsidR="00106D8C" w:rsidRPr="00347628">
                        <w:rPr>
                          <w:color w:val="000000" w:themeColor="text1"/>
                          <w:sz w:val="22"/>
                          <w:szCs w:val="22"/>
                        </w:rPr>
                        <w:t xml:space="preserve">behavioral </w:t>
                      </w:r>
                      <w:r w:rsidRPr="00347628">
                        <w:rPr>
                          <w:color w:val="000000" w:themeColor="text1"/>
                          <w:sz w:val="22"/>
                          <w:szCs w:val="22"/>
                        </w:rPr>
                        <w:t>accuracy for “cue size 1” (green dots) and “cue size 3” (blue dots) blocks. (B) Estimated channel respons</w:t>
                      </w:r>
                      <w:bookmarkStart w:id="1" w:name="_GoBack"/>
                      <w:bookmarkEnd w:id="1"/>
                      <w:r w:rsidRPr="00347628">
                        <w:rPr>
                          <w:color w:val="000000" w:themeColor="text1"/>
                          <w:sz w:val="22"/>
                          <w:szCs w:val="22"/>
                        </w:rPr>
                        <w:t>es for “cue size 1” (green dots) and “cue size 3” (blue dots) blocks</w:t>
                      </w:r>
                      <w:r w:rsidR="006D6F6D" w:rsidRPr="00347628">
                        <w:rPr>
                          <w:color w:val="000000" w:themeColor="text1"/>
                          <w:sz w:val="22"/>
                          <w:szCs w:val="22"/>
                        </w:rPr>
                        <w:t xml:space="preserve"> for an epoch from 600-800 ms</w:t>
                      </w:r>
                      <w:r w:rsidRPr="00347628">
                        <w:rPr>
                          <w:color w:val="000000" w:themeColor="text1"/>
                          <w:sz w:val="22"/>
                          <w:szCs w:val="22"/>
                        </w:rPr>
                        <w:t xml:space="preserve">. Error </w:t>
                      </w:r>
                      <w:r w:rsidRPr="002E46E9">
                        <w:rPr>
                          <w:color w:val="000000" w:themeColor="text1"/>
                          <w:sz w:val="22"/>
                          <w:szCs w:val="22"/>
                        </w:rPr>
                        <w:t>bars show standard errors of the mean, corrected for individual differences (Cousineau, 2005). Solid lines show a sine function fitted to the data.</w:t>
                      </w:r>
                    </w:p>
                    <w:p w14:paraId="2ED8ECA5" w14:textId="77777777" w:rsidR="00AA0D87" w:rsidRPr="00AA0D87" w:rsidRDefault="00AA0D87" w:rsidP="00AA0D87"/>
                  </w:txbxContent>
                </v:textbox>
                <w10:wrap type="square" anchorx="margin"/>
              </v:shape>
            </w:pict>
          </mc:Fallback>
        </mc:AlternateContent>
      </w:r>
      <w:r w:rsidR="00174087" w:rsidRPr="00710874">
        <w:rPr>
          <w:noProof/>
          <w:color w:val="000000" w:themeColor="text1"/>
          <w:lang w:eastAsia="zh-CN"/>
        </w:rPr>
        <w:drawing>
          <wp:anchor distT="0" distB="0" distL="114300" distR="114300" simplePos="0" relativeHeight="251701248" behindDoc="0" locked="0" layoutInCell="1" allowOverlap="1" wp14:anchorId="03486DB0" wp14:editId="33A50A78">
            <wp:simplePos x="0" y="0"/>
            <wp:positionH relativeFrom="margin">
              <wp:align>right</wp:align>
            </wp:positionH>
            <wp:positionV relativeFrom="paragraph">
              <wp:posOffset>113</wp:posOffset>
            </wp:positionV>
            <wp:extent cx="5731510" cy="667639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67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863" w:rsidRPr="00710874">
        <w:rPr>
          <w:rFonts w:ascii="Times New Roman" w:hAnsi="Times New Roman" w:cs="Times New Roman"/>
          <w:color w:val="000000" w:themeColor="text1"/>
          <w:lang w:val="en-US"/>
        </w:rPr>
        <w:t>= 34.</w:t>
      </w:r>
      <w:r w:rsidR="009F1454" w:rsidRPr="00710874">
        <w:rPr>
          <w:rFonts w:ascii="Times New Roman" w:hAnsi="Times New Roman" w:cs="Times New Roman"/>
          <w:color w:val="000000" w:themeColor="text1"/>
          <w:lang w:val="en-US"/>
        </w:rPr>
        <w:t>7%</w:t>
      </w:r>
      <w:r w:rsidR="00DA6863" w:rsidRPr="00710874">
        <w:rPr>
          <w:rFonts w:ascii="Times New Roman" w:hAnsi="Times New Roman" w:cs="Times New Roman"/>
          <w:color w:val="000000" w:themeColor="text1"/>
          <w:lang w:val="en-US"/>
        </w:rPr>
        <w:t xml:space="preserve">), see Fig. 2. How accuracy </w:t>
      </w:r>
      <w:r w:rsidR="00A6784B" w:rsidRPr="00710874">
        <w:rPr>
          <w:rFonts w:ascii="Times New Roman" w:hAnsi="Times New Roman" w:cs="Times New Roman"/>
          <w:color w:val="000000" w:themeColor="text1"/>
          <w:lang w:val="en-US"/>
        </w:rPr>
        <w:t>was affected by</w:t>
      </w:r>
      <w:r w:rsidR="00DA6863" w:rsidRPr="00710874">
        <w:rPr>
          <w:rFonts w:ascii="Times New Roman" w:hAnsi="Times New Roman" w:cs="Times New Roman"/>
          <w:color w:val="000000" w:themeColor="text1"/>
          <w:lang w:val="en-US"/>
        </w:rPr>
        <w:t xml:space="preserve"> the distance to the cued location varied as a function of cue size,</w:t>
      </w:r>
      <w:r w:rsidR="007B2969" w:rsidRPr="00710874">
        <w:rPr>
          <w:rFonts w:ascii="Times New Roman" w:hAnsi="Times New Roman" w:cs="Times New Roman"/>
          <w:color w:val="000000" w:themeColor="text1"/>
          <w:lang w:val="en-US"/>
        </w:rPr>
        <w:t xml:space="preserve"> yielding an</w:t>
      </w:r>
      <w:r w:rsidR="00DA6863" w:rsidRPr="00710874">
        <w:rPr>
          <w:rFonts w:ascii="Times New Roman" w:hAnsi="Times New Roman" w:cs="Times New Roman"/>
          <w:color w:val="000000" w:themeColor="text1"/>
          <w:lang w:val="en-US"/>
        </w:rPr>
        <w:t xml:space="preserve"> interaction of distance and cue size, F(7,154) = </w:t>
      </w:r>
      <w:r w:rsidR="009F1454" w:rsidRPr="00710874">
        <w:rPr>
          <w:rFonts w:ascii="Times New Roman" w:hAnsi="Times New Roman" w:cs="Times New Roman"/>
          <w:color w:val="000000" w:themeColor="text1"/>
          <w:lang w:val="en-US"/>
        </w:rPr>
        <w:t>6</w:t>
      </w:r>
      <w:r w:rsidR="00DA6863" w:rsidRPr="00710874">
        <w:rPr>
          <w:rFonts w:ascii="Times New Roman" w:hAnsi="Times New Roman" w:cs="Times New Roman"/>
          <w:color w:val="000000" w:themeColor="text1"/>
          <w:lang w:val="en-US"/>
        </w:rPr>
        <w:t>.</w:t>
      </w:r>
      <w:r w:rsidR="009F1454" w:rsidRPr="00710874">
        <w:rPr>
          <w:rFonts w:ascii="Times New Roman" w:hAnsi="Times New Roman" w:cs="Times New Roman"/>
          <w:color w:val="000000" w:themeColor="text1"/>
          <w:lang w:val="en-US"/>
        </w:rPr>
        <w:t>5</w:t>
      </w:r>
      <w:r w:rsidR="00DA6863" w:rsidRPr="00710874">
        <w:rPr>
          <w:rFonts w:ascii="Times New Roman" w:hAnsi="Times New Roman" w:cs="Times New Roman"/>
          <w:color w:val="000000" w:themeColor="text1"/>
          <w:lang w:val="en-US"/>
        </w:rPr>
        <w:t>, p &lt; .001, η² = .</w:t>
      </w:r>
      <w:r w:rsidR="009F1454" w:rsidRPr="00710874">
        <w:rPr>
          <w:rFonts w:ascii="Times New Roman" w:hAnsi="Times New Roman" w:cs="Times New Roman"/>
          <w:color w:val="000000" w:themeColor="text1"/>
          <w:lang w:val="en-US"/>
        </w:rPr>
        <w:t>229</w:t>
      </w:r>
      <w:r w:rsidR="00DA6863" w:rsidRPr="00710874">
        <w:rPr>
          <w:rFonts w:ascii="Times New Roman" w:hAnsi="Times New Roman" w:cs="Times New Roman"/>
          <w:color w:val="000000" w:themeColor="text1"/>
          <w:lang w:val="en-US"/>
        </w:rPr>
        <w:t>. Within-subject contrast</w:t>
      </w:r>
      <w:r w:rsidR="00881CAC" w:rsidRPr="00710874">
        <w:rPr>
          <w:rFonts w:ascii="Times New Roman" w:hAnsi="Times New Roman" w:cs="Times New Roman"/>
          <w:color w:val="000000" w:themeColor="text1"/>
          <w:lang w:val="en-US"/>
        </w:rPr>
        <w:t>s</w:t>
      </w:r>
      <w:r w:rsidR="00DA6863" w:rsidRPr="00710874">
        <w:rPr>
          <w:rFonts w:ascii="Times New Roman" w:hAnsi="Times New Roman" w:cs="Times New Roman"/>
          <w:color w:val="000000" w:themeColor="text1"/>
          <w:lang w:val="en-US"/>
        </w:rPr>
        <w:t xml:space="preserve"> revealed that the interactive pattern followed a quadratic trend, F(1,22) = </w:t>
      </w:r>
      <w:r w:rsidR="009F1454" w:rsidRPr="00710874">
        <w:rPr>
          <w:rFonts w:ascii="Times New Roman" w:hAnsi="Times New Roman" w:cs="Times New Roman"/>
          <w:color w:val="000000" w:themeColor="text1"/>
          <w:lang w:val="en-US"/>
        </w:rPr>
        <w:t>14.5</w:t>
      </w:r>
      <w:r w:rsidR="00DA6863" w:rsidRPr="00710874">
        <w:rPr>
          <w:rFonts w:ascii="Times New Roman" w:hAnsi="Times New Roman" w:cs="Times New Roman"/>
          <w:color w:val="000000" w:themeColor="text1"/>
          <w:lang w:val="en-US"/>
        </w:rPr>
        <w:t>, p = .001, η² = .</w:t>
      </w:r>
      <w:r w:rsidR="009F1454" w:rsidRPr="00710874">
        <w:rPr>
          <w:rFonts w:ascii="Times New Roman" w:hAnsi="Times New Roman" w:cs="Times New Roman"/>
          <w:color w:val="000000" w:themeColor="text1"/>
          <w:lang w:val="en-US"/>
        </w:rPr>
        <w:t>398</w:t>
      </w:r>
      <w:r w:rsidR="00387297" w:rsidRPr="00710874">
        <w:rPr>
          <w:rFonts w:ascii="Times New Roman" w:hAnsi="Times New Roman" w:cs="Times New Roman"/>
          <w:color w:val="000000" w:themeColor="text1"/>
          <w:lang w:val="en-US"/>
        </w:rPr>
        <w:t>, but not a linear (p = .</w:t>
      </w:r>
      <w:r w:rsidR="009F1454" w:rsidRPr="00710874">
        <w:rPr>
          <w:rFonts w:ascii="Times New Roman" w:hAnsi="Times New Roman" w:cs="Times New Roman"/>
          <w:color w:val="000000" w:themeColor="text1"/>
          <w:lang w:val="en-US"/>
        </w:rPr>
        <w:t>594</w:t>
      </w:r>
      <w:r w:rsidR="00387297" w:rsidRPr="00710874">
        <w:rPr>
          <w:rFonts w:ascii="Times New Roman" w:hAnsi="Times New Roman" w:cs="Times New Roman"/>
          <w:color w:val="000000" w:themeColor="text1"/>
          <w:lang w:val="en-US"/>
        </w:rPr>
        <w:t>) or cubic (p = .</w:t>
      </w:r>
      <w:r w:rsidR="009F1454" w:rsidRPr="00710874">
        <w:rPr>
          <w:rFonts w:ascii="Times New Roman" w:hAnsi="Times New Roman" w:cs="Times New Roman"/>
          <w:color w:val="000000" w:themeColor="text1"/>
          <w:lang w:val="en-US"/>
        </w:rPr>
        <w:t>379</w:t>
      </w:r>
      <w:r w:rsidR="00387297" w:rsidRPr="00710874">
        <w:rPr>
          <w:rFonts w:ascii="Times New Roman" w:hAnsi="Times New Roman" w:cs="Times New Roman"/>
          <w:color w:val="000000" w:themeColor="text1"/>
          <w:lang w:val="en-US"/>
        </w:rPr>
        <w:t xml:space="preserve">) trend. Follow-up analyses showed that </w:t>
      </w:r>
      <w:r w:rsidR="00D53E35" w:rsidRPr="00710874">
        <w:rPr>
          <w:rFonts w:ascii="Times New Roman" w:hAnsi="Times New Roman" w:cs="Times New Roman"/>
          <w:color w:val="000000" w:themeColor="text1"/>
          <w:lang w:val="en-US"/>
        </w:rPr>
        <w:lastRenderedPageBreak/>
        <w:t xml:space="preserve">accuracy varied as a function of distance for </w:t>
      </w:r>
      <w:r w:rsidR="00387297" w:rsidRPr="00710874">
        <w:rPr>
          <w:rFonts w:ascii="Times New Roman" w:hAnsi="Times New Roman" w:cs="Times New Roman"/>
          <w:color w:val="000000" w:themeColor="text1"/>
          <w:lang w:val="en-US"/>
        </w:rPr>
        <w:t xml:space="preserve">both for cue size 1, F(7,154) = </w:t>
      </w:r>
      <w:r w:rsidR="009F1454" w:rsidRPr="00710874">
        <w:rPr>
          <w:rFonts w:ascii="Times New Roman" w:hAnsi="Times New Roman" w:cs="Times New Roman"/>
          <w:color w:val="000000" w:themeColor="text1"/>
          <w:lang w:val="en-US"/>
        </w:rPr>
        <w:t>28</w:t>
      </w:r>
      <w:r w:rsidR="00387297" w:rsidRPr="00710874">
        <w:rPr>
          <w:rFonts w:ascii="Times New Roman" w:hAnsi="Times New Roman" w:cs="Times New Roman"/>
          <w:color w:val="000000" w:themeColor="text1"/>
          <w:lang w:val="en-US"/>
        </w:rPr>
        <w:t>.</w:t>
      </w:r>
      <w:r w:rsidR="009F1454" w:rsidRPr="00710874">
        <w:rPr>
          <w:rFonts w:ascii="Times New Roman" w:hAnsi="Times New Roman" w:cs="Times New Roman"/>
          <w:color w:val="000000" w:themeColor="text1"/>
          <w:lang w:val="en-US"/>
        </w:rPr>
        <w:t>5</w:t>
      </w:r>
      <w:r w:rsidR="00387297" w:rsidRPr="00710874">
        <w:rPr>
          <w:rFonts w:ascii="Times New Roman" w:hAnsi="Times New Roman" w:cs="Times New Roman"/>
          <w:color w:val="000000" w:themeColor="text1"/>
          <w:lang w:val="en-US"/>
        </w:rPr>
        <w:t>, p &lt; .001, η² = .</w:t>
      </w:r>
      <w:r w:rsidR="00D53E35" w:rsidRPr="00710874">
        <w:rPr>
          <w:rFonts w:ascii="Times New Roman" w:hAnsi="Times New Roman" w:cs="Times New Roman"/>
          <w:color w:val="000000" w:themeColor="text1"/>
          <w:lang w:val="en-US"/>
        </w:rPr>
        <w:t>5</w:t>
      </w:r>
      <w:r w:rsidR="009F1454" w:rsidRPr="00710874">
        <w:rPr>
          <w:rFonts w:ascii="Times New Roman" w:hAnsi="Times New Roman" w:cs="Times New Roman"/>
          <w:color w:val="000000" w:themeColor="text1"/>
          <w:lang w:val="en-US"/>
        </w:rPr>
        <w:t>65</w:t>
      </w:r>
      <w:r w:rsidR="00D53E35" w:rsidRPr="00710874">
        <w:rPr>
          <w:rFonts w:ascii="Times New Roman" w:hAnsi="Times New Roman" w:cs="Times New Roman"/>
          <w:color w:val="000000" w:themeColor="text1"/>
          <w:lang w:val="en-US"/>
        </w:rPr>
        <w:t>, and</w:t>
      </w:r>
      <w:r w:rsidR="009F1454" w:rsidRPr="00710874">
        <w:rPr>
          <w:rFonts w:ascii="Times New Roman" w:hAnsi="Times New Roman" w:cs="Times New Roman"/>
          <w:color w:val="000000" w:themeColor="text1"/>
          <w:lang w:val="en-US"/>
        </w:rPr>
        <w:t xml:space="preserve"> for cue size 3, F(7,154) = 11.6, p &lt; .001, η² = .345</w:t>
      </w:r>
      <w:r w:rsidR="00D53E35" w:rsidRPr="00710874">
        <w:rPr>
          <w:rFonts w:ascii="Times New Roman" w:hAnsi="Times New Roman" w:cs="Times New Roman"/>
          <w:color w:val="000000" w:themeColor="text1"/>
          <w:lang w:val="en-US"/>
        </w:rPr>
        <w:t xml:space="preserve">. </w:t>
      </w:r>
      <w:r w:rsidR="000C67AB" w:rsidRPr="00710874">
        <w:rPr>
          <w:rFonts w:ascii="Times New Roman" w:hAnsi="Times New Roman" w:cs="Times New Roman"/>
          <w:color w:val="000000" w:themeColor="text1"/>
          <w:lang w:val="en-US"/>
        </w:rPr>
        <w:t>The slope of the accuracy-distance function was steeper for cue size 1 (7.4%) than for cue</w:t>
      </w:r>
      <w:r w:rsidR="009F1454" w:rsidRPr="00710874">
        <w:rPr>
          <w:rFonts w:ascii="Times New Roman" w:hAnsi="Times New Roman" w:cs="Times New Roman"/>
          <w:color w:val="000000" w:themeColor="text1"/>
          <w:lang w:val="en-US"/>
        </w:rPr>
        <w:t xml:space="preserve"> size 3 (4.3%), t(22) = 4.9, p &lt;</w:t>
      </w:r>
      <w:r w:rsidR="000C67AB" w:rsidRPr="00710874">
        <w:rPr>
          <w:rFonts w:ascii="Times New Roman" w:hAnsi="Times New Roman" w:cs="Times New Roman"/>
          <w:color w:val="000000" w:themeColor="text1"/>
          <w:lang w:val="en-US"/>
        </w:rPr>
        <w:t xml:space="preserve"> .001.</w:t>
      </w:r>
    </w:p>
    <w:p w14:paraId="0425B7E4" w14:textId="6794DF0F" w:rsidR="009F1454" w:rsidRPr="00710874" w:rsidRDefault="00933175" w:rsidP="00BD64D7">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Channel Tuning Functions (CTFs)</w:t>
      </w:r>
    </w:p>
    <w:p w14:paraId="48A4D7A1" w14:textId="268F54D2" w:rsidR="00C622BD" w:rsidRPr="00710874" w:rsidRDefault="00D6660E" w:rsidP="00A15F57">
      <w:pPr>
        <w:spacing w:after="0" w:line="480" w:lineRule="auto"/>
        <w:jc w:val="both"/>
        <w:rPr>
          <w:rFonts w:ascii="Times New Roman" w:hAnsi="Times New Roman" w:cs="Times New Roman"/>
          <w:b/>
          <w:i/>
          <w:color w:val="000000" w:themeColor="text1"/>
          <w:lang w:val="en-US"/>
        </w:rPr>
      </w:pPr>
      <w:r w:rsidRPr="00710874">
        <w:rPr>
          <w:rFonts w:ascii="Times New Roman" w:hAnsi="Times New Roman" w:cs="Times New Roman"/>
          <w:b/>
          <w:i/>
          <w:color w:val="000000" w:themeColor="text1"/>
          <w:lang w:val="en-US"/>
        </w:rPr>
        <w:t>First epoch (</w:t>
      </w:r>
      <w:r w:rsidR="00BB7D46" w:rsidRPr="00710874">
        <w:rPr>
          <w:rFonts w:ascii="Times New Roman" w:hAnsi="Times New Roman" w:cs="Times New Roman"/>
          <w:b/>
          <w:i/>
          <w:color w:val="000000" w:themeColor="text1"/>
          <w:lang w:val="en-US"/>
        </w:rPr>
        <w:t>20</w:t>
      </w:r>
      <w:r w:rsidRPr="00710874">
        <w:rPr>
          <w:rFonts w:ascii="Times New Roman" w:hAnsi="Times New Roman" w:cs="Times New Roman"/>
          <w:b/>
          <w:i/>
          <w:color w:val="000000" w:themeColor="text1"/>
          <w:lang w:val="en-US"/>
        </w:rPr>
        <w:t>0-400 ms).</w:t>
      </w:r>
      <w:r w:rsidRPr="00710874">
        <w:rPr>
          <w:rFonts w:ascii="Times New Roman" w:hAnsi="Times New Roman" w:cs="Times New Roman"/>
          <w:color w:val="000000" w:themeColor="text1"/>
          <w:lang w:val="en-US"/>
        </w:rPr>
        <w:t xml:space="preserve"> Channel activity was reliably above zero for all 16 combinations of cue size and distance to the cued location (all p &lt; .001). </w:t>
      </w:r>
      <w:r w:rsidR="00881CAC" w:rsidRPr="00710874">
        <w:rPr>
          <w:rFonts w:ascii="Times New Roman" w:hAnsi="Times New Roman" w:cs="Times New Roman"/>
          <w:color w:val="000000" w:themeColor="text1"/>
          <w:lang w:val="en-US"/>
        </w:rPr>
        <w:t xml:space="preserve">Average channel </w:t>
      </w:r>
      <w:r w:rsidRPr="00710874">
        <w:rPr>
          <w:rFonts w:ascii="Times New Roman" w:hAnsi="Times New Roman" w:cs="Times New Roman"/>
          <w:color w:val="000000" w:themeColor="text1"/>
          <w:lang w:val="en-US"/>
        </w:rPr>
        <w:t>responses were not affected by cue size (M</w:t>
      </w:r>
      <w:r w:rsidRPr="00710874">
        <w:rPr>
          <w:rFonts w:ascii="Times New Roman" w:hAnsi="Times New Roman" w:cs="Times New Roman"/>
          <w:color w:val="000000" w:themeColor="text1"/>
          <w:vertAlign w:val="subscript"/>
          <w:lang w:val="en-US"/>
        </w:rPr>
        <w:t>CS1</w:t>
      </w:r>
      <w:r w:rsidRPr="00710874">
        <w:rPr>
          <w:rFonts w:ascii="Times New Roman" w:hAnsi="Times New Roman" w:cs="Times New Roman"/>
          <w:color w:val="000000" w:themeColor="text1"/>
          <w:lang w:val="en-US"/>
        </w:rPr>
        <w:t xml:space="preserve"> = 0.29 vs. M</w:t>
      </w:r>
      <w:r w:rsidRPr="00710874">
        <w:rPr>
          <w:rFonts w:ascii="Times New Roman" w:hAnsi="Times New Roman" w:cs="Times New Roman"/>
          <w:color w:val="000000" w:themeColor="text1"/>
          <w:vertAlign w:val="subscript"/>
          <w:lang w:val="en-US"/>
        </w:rPr>
        <w:t>CS3</w:t>
      </w:r>
      <w:r w:rsidRPr="00710874">
        <w:rPr>
          <w:rFonts w:ascii="Times New Roman" w:hAnsi="Times New Roman" w:cs="Times New Roman"/>
          <w:color w:val="000000" w:themeColor="text1"/>
          <w:lang w:val="en-US"/>
        </w:rPr>
        <w:t xml:space="preserve"> = 0.</w:t>
      </w:r>
      <w:r w:rsidR="000D76B7" w:rsidRPr="00710874">
        <w:rPr>
          <w:rFonts w:ascii="Times New Roman" w:hAnsi="Times New Roman" w:cs="Times New Roman"/>
          <w:color w:val="000000" w:themeColor="text1"/>
          <w:lang w:val="en-US"/>
        </w:rPr>
        <w:t>29</w:t>
      </w:r>
      <w:r w:rsidRPr="00710874">
        <w:rPr>
          <w:rFonts w:ascii="Times New Roman" w:hAnsi="Times New Roman" w:cs="Times New Roman"/>
          <w:color w:val="000000" w:themeColor="text1"/>
          <w:lang w:val="en-US"/>
        </w:rPr>
        <w:t xml:space="preserve">), F(1,22) = </w:t>
      </w:r>
      <w:r w:rsidR="000D76B7" w:rsidRPr="00710874">
        <w:rPr>
          <w:rFonts w:ascii="Times New Roman" w:hAnsi="Times New Roman" w:cs="Times New Roman"/>
          <w:color w:val="000000" w:themeColor="text1"/>
          <w:lang w:val="en-US"/>
        </w:rPr>
        <w:t>0</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p = .</w:t>
      </w:r>
      <w:r w:rsidR="000D76B7" w:rsidRPr="00710874">
        <w:rPr>
          <w:rFonts w:ascii="Times New Roman" w:hAnsi="Times New Roman" w:cs="Times New Roman"/>
          <w:color w:val="000000" w:themeColor="text1"/>
          <w:lang w:val="en-US"/>
        </w:rPr>
        <w:t>5</w:t>
      </w:r>
      <w:r w:rsidR="00A15F57" w:rsidRPr="00710874">
        <w:rPr>
          <w:rFonts w:ascii="Times New Roman" w:hAnsi="Times New Roman" w:cs="Times New Roman"/>
          <w:color w:val="000000" w:themeColor="text1"/>
          <w:lang w:val="en-US"/>
        </w:rPr>
        <w:t>88</w:t>
      </w:r>
      <w:r w:rsidRPr="00710874">
        <w:rPr>
          <w:rFonts w:ascii="Times New Roman" w:hAnsi="Times New Roman" w:cs="Times New Roman"/>
          <w:color w:val="000000" w:themeColor="text1"/>
          <w:lang w:val="en-US"/>
        </w:rPr>
        <w:t>, η² = .0</w:t>
      </w:r>
      <w:r w:rsidR="000D76B7" w:rsidRPr="00710874">
        <w:rPr>
          <w:rFonts w:ascii="Times New Roman" w:hAnsi="Times New Roman" w:cs="Times New Roman"/>
          <w:color w:val="000000" w:themeColor="text1"/>
          <w:lang w:val="en-US"/>
        </w:rPr>
        <w:t>1</w:t>
      </w:r>
      <w:r w:rsidR="00A15F57"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xml:space="preserve">. </w:t>
      </w:r>
      <w:r w:rsidR="00650AE6" w:rsidRPr="00710874">
        <w:rPr>
          <w:rFonts w:ascii="Times New Roman" w:hAnsi="Times New Roman" w:cs="Times New Roman"/>
          <w:color w:val="000000" w:themeColor="text1"/>
          <w:lang w:val="en-US"/>
        </w:rPr>
        <w:t>Channel responses</w:t>
      </w:r>
      <w:r w:rsidRPr="00710874">
        <w:rPr>
          <w:rFonts w:ascii="Times New Roman" w:hAnsi="Times New Roman" w:cs="Times New Roman"/>
          <w:color w:val="000000" w:themeColor="text1"/>
          <w:lang w:val="en-US"/>
        </w:rPr>
        <w:t xml:space="preserve"> varied as a</w:t>
      </w:r>
      <w:r w:rsidR="00C622BD"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function of the target distance to the cued location, F(7,</w:t>
      </w:r>
      <w:r w:rsidR="00755F62" w:rsidRPr="00710874">
        <w:rPr>
          <w:rFonts w:ascii="Times New Roman" w:hAnsi="Times New Roman" w:cs="Times New Roman"/>
          <w:color w:val="000000" w:themeColor="text1"/>
          <w:lang w:val="en-US"/>
        </w:rPr>
        <w:t>154</w:t>
      </w:r>
      <w:r w:rsidRPr="00710874">
        <w:rPr>
          <w:rFonts w:ascii="Times New Roman" w:hAnsi="Times New Roman" w:cs="Times New Roman"/>
          <w:color w:val="000000" w:themeColor="text1"/>
          <w:lang w:val="en-US"/>
        </w:rPr>
        <w:t xml:space="preserve">) = </w:t>
      </w:r>
      <w:r w:rsidR="00650AE6" w:rsidRPr="00710874">
        <w:rPr>
          <w:rFonts w:ascii="Times New Roman" w:hAnsi="Times New Roman" w:cs="Times New Roman"/>
          <w:color w:val="000000" w:themeColor="text1"/>
          <w:lang w:val="en-US"/>
        </w:rPr>
        <w:t>1</w:t>
      </w:r>
      <w:r w:rsidR="00A15F57"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2, p =</w:t>
      </w:r>
      <w:r w:rsidRPr="00710874">
        <w:rPr>
          <w:rFonts w:ascii="Times New Roman" w:hAnsi="Times New Roman" w:cs="Times New Roman"/>
          <w:color w:val="000000" w:themeColor="text1"/>
          <w:lang w:val="en-US"/>
        </w:rPr>
        <w:t xml:space="preserve"> .001, η² = .</w:t>
      </w:r>
      <w:r w:rsidR="00CD7724" w:rsidRPr="00710874">
        <w:rPr>
          <w:rFonts w:ascii="Times New Roman" w:hAnsi="Times New Roman" w:cs="Times New Roman"/>
          <w:color w:val="000000" w:themeColor="text1"/>
          <w:lang w:val="en-US"/>
        </w:rPr>
        <w:t>3</w:t>
      </w:r>
      <w:r w:rsidR="00A15F57" w:rsidRPr="00710874">
        <w:rPr>
          <w:rFonts w:ascii="Times New Roman" w:hAnsi="Times New Roman" w:cs="Times New Roman"/>
          <w:color w:val="000000" w:themeColor="text1"/>
          <w:lang w:val="en-US"/>
        </w:rPr>
        <w:t>75</w:t>
      </w:r>
      <w:r w:rsidRPr="00710874">
        <w:rPr>
          <w:rFonts w:ascii="Times New Roman" w:hAnsi="Times New Roman" w:cs="Times New Roman"/>
          <w:color w:val="000000" w:themeColor="text1"/>
          <w:lang w:val="en-US"/>
        </w:rPr>
        <w:t xml:space="preserve">. </w:t>
      </w:r>
      <w:r w:rsidR="00650AE6" w:rsidRPr="00710874">
        <w:rPr>
          <w:rFonts w:ascii="Times New Roman" w:hAnsi="Times New Roman" w:cs="Times New Roman"/>
          <w:color w:val="000000" w:themeColor="text1"/>
          <w:lang w:val="en-US"/>
        </w:rPr>
        <w:t>The highest channel response</w:t>
      </w:r>
      <w:r w:rsidRPr="00710874">
        <w:rPr>
          <w:rFonts w:ascii="Times New Roman" w:hAnsi="Times New Roman" w:cs="Times New Roman"/>
          <w:color w:val="000000" w:themeColor="text1"/>
          <w:lang w:val="en-US"/>
        </w:rPr>
        <w:t xml:space="preserve"> was </w:t>
      </w:r>
      <w:r w:rsidR="00650AE6" w:rsidRPr="00710874">
        <w:rPr>
          <w:rFonts w:ascii="Times New Roman" w:hAnsi="Times New Roman" w:cs="Times New Roman"/>
          <w:color w:val="000000" w:themeColor="text1"/>
          <w:lang w:val="en-US"/>
        </w:rPr>
        <w:t xml:space="preserve">found for </w:t>
      </w:r>
      <w:r w:rsidRPr="00710874">
        <w:rPr>
          <w:rFonts w:ascii="Times New Roman" w:hAnsi="Times New Roman" w:cs="Times New Roman"/>
          <w:color w:val="000000" w:themeColor="text1"/>
          <w:lang w:val="en-US"/>
        </w:rPr>
        <w:t>the cued location and dropped to more distant locations (</w:t>
      </w:r>
      <w:r w:rsidR="00650AE6" w:rsidRPr="00710874">
        <w:rPr>
          <w:rFonts w:ascii="Times New Roman" w:hAnsi="Times New Roman" w:cs="Times New Roman"/>
          <w:color w:val="000000" w:themeColor="text1"/>
          <w:lang w:val="en-US"/>
        </w:rPr>
        <w:t>M</w:t>
      </w:r>
      <w:r w:rsidR="00650AE6" w:rsidRPr="00710874">
        <w:rPr>
          <w:rFonts w:ascii="Times New Roman" w:hAnsi="Times New Roman" w:cs="Times New Roman"/>
          <w:color w:val="000000" w:themeColor="text1"/>
          <w:vertAlign w:val="subscript"/>
          <w:lang w:val="en-US"/>
        </w:rPr>
        <w:t>dist0</w:t>
      </w:r>
      <w:r w:rsidR="00650AE6" w:rsidRPr="00710874">
        <w:rPr>
          <w:rFonts w:ascii="Times New Roman" w:hAnsi="Times New Roman" w:cs="Times New Roman"/>
          <w:color w:val="000000" w:themeColor="text1"/>
          <w:lang w:val="en-US"/>
        </w:rPr>
        <w:t xml:space="preserve"> = 0.3</w:t>
      </w:r>
      <w:r w:rsidR="00A15F57" w:rsidRPr="00710874">
        <w:rPr>
          <w:rFonts w:ascii="Times New Roman" w:hAnsi="Times New Roman" w:cs="Times New Roman"/>
          <w:color w:val="000000" w:themeColor="text1"/>
          <w:lang w:val="en-US"/>
        </w:rPr>
        <w:t>6</w:t>
      </w:r>
      <w:r w:rsidR="00650AE6" w:rsidRPr="00710874">
        <w:rPr>
          <w:rFonts w:ascii="Times New Roman" w:hAnsi="Times New Roman" w:cs="Times New Roman"/>
          <w:color w:val="000000" w:themeColor="text1"/>
          <w:lang w:val="en-US"/>
        </w:rPr>
        <w:t xml:space="preserve"> </w:t>
      </w:r>
      <w:r w:rsidR="00881CAC"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versus</w:t>
      </w:r>
      <w:r w:rsidR="00650AE6" w:rsidRPr="00710874">
        <w:rPr>
          <w:rFonts w:ascii="Times New Roman" w:hAnsi="Times New Roman" w:cs="Times New Roman"/>
          <w:color w:val="000000" w:themeColor="text1"/>
          <w:lang w:val="en-US"/>
        </w:rPr>
        <w:t xml:space="preserve"> M</w:t>
      </w:r>
      <w:r w:rsidR="00650AE6" w:rsidRPr="00710874">
        <w:rPr>
          <w:rFonts w:ascii="Times New Roman" w:hAnsi="Times New Roman" w:cs="Times New Roman"/>
          <w:color w:val="000000" w:themeColor="text1"/>
          <w:vertAlign w:val="subscript"/>
          <w:lang w:val="en-US"/>
        </w:rPr>
        <w:t>dist4</w:t>
      </w:r>
      <w:r w:rsidR="00650AE6" w:rsidRPr="00710874">
        <w:rPr>
          <w:rFonts w:ascii="Times New Roman" w:hAnsi="Times New Roman" w:cs="Times New Roman"/>
          <w:color w:val="000000" w:themeColor="text1"/>
          <w:lang w:val="en-US"/>
        </w:rPr>
        <w:t xml:space="preserve"> = 0.2</w:t>
      </w:r>
      <w:r w:rsidR="000D76B7"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xml:space="preserve">), see Fig. </w:t>
      </w:r>
      <w:r w:rsidR="00650AE6" w:rsidRPr="00710874">
        <w:rPr>
          <w:rFonts w:ascii="Times New Roman" w:hAnsi="Times New Roman" w:cs="Times New Roman"/>
          <w:color w:val="000000" w:themeColor="text1"/>
          <w:lang w:val="en-US"/>
        </w:rPr>
        <w:t>3</w:t>
      </w:r>
      <w:r w:rsidR="00FF43DE" w:rsidRPr="00710874">
        <w:rPr>
          <w:rFonts w:ascii="Times New Roman" w:hAnsi="Times New Roman" w:cs="Times New Roman"/>
          <w:color w:val="000000" w:themeColor="text1"/>
          <w:lang w:val="en-US"/>
        </w:rPr>
        <w:t xml:space="preserve"> for a channel tuning function as a function of time</w:t>
      </w:r>
      <w:r w:rsidRPr="00710874">
        <w:rPr>
          <w:rFonts w:ascii="Times New Roman" w:hAnsi="Times New Roman" w:cs="Times New Roman"/>
          <w:color w:val="000000" w:themeColor="text1"/>
          <w:lang w:val="en-US"/>
        </w:rPr>
        <w:t xml:space="preserve">. </w:t>
      </w:r>
      <w:r w:rsidR="00650AE6" w:rsidRPr="00710874">
        <w:rPr>
          <w:rFonts w:ascii="Times New Roman" w:hAnsi="Times New Roman" w:cs="Times New Roman"/>
          <w:color w:val="000000" w:themeColor="text1"/>
          <w:lang w:val="en-US"/>
        </w:rPr>
        <w:t>There was no interaction</w:t>
      </w:r>
      <w:r w:rsidRPr="00710874">
        <w:rPr>
          <w:rFonts w:ascii="Times New Roman" w:hAnsi="Times New Roman" w:cs="Times New Roman"/>
          <w:color w:val="000000" w:themeColor="text1"/>
          <w:lang w:val="en-US"/>
        </w:rPr>
        <w:t xml:space="preserve"> of distance and cue size, F(7,</w:t>
      </w:r>
      <w:r w:rsidR="00755F62" w:rsidRPr="00710874">
        <w:rPr>
          <w:rFonts w:ascii="Times New Roman" w:hAnsi="Times New Roman" w:cs="Times New Roman"/>
          <w:color w:val="000000" w:themeColor="text1"/>
          <w:lang w:val="en-US"/>
        </w:rPr>
        <w:t>154</w:t>
      </w:r>
      <w:r w:rsidRPr="00710874">
        <w:rPr>
          <w:rFonts w:ascii="Times New Roman" w:hAnsi="Times New Roman" w:cs="Times New Roman"/>
          <w:color w:val="000000" w:themeColor="text1"/>
          <w:lang w:val="en-US"/>
        </w:rPr>
        <w:t xml:space="preserve">) = </w:t>
      </w:r>
      <w:r w:rsidR="00A15F57" w:rsidRPr="00710874">
        <w:rPr>
          <w:rFonts w:ascii="Times New Roman" w:hAnsi="Times New Roman" w:cs="Times New Roman"/>
          <w:color w:val="000000" w:themeColor="text1"/>
          <w:lang w:val="en-US"/>
        </w:rPr>
        <w:t>1</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 xml:space="preserve">, p </w:t>
      </w:r>
      <w:r w:rsidR="00650AE6"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xml:space="preserve"> .</w:t>
      </w:r>
      <w:r w:rsidR="00A15F57" w:rsidRPr="00710874">
        <w:rPr>
          <w:rFonts w:ascii="Times New Roman" w:hAnsi="Times New Roman" w:cs="Times New Roman"/>
          <w:color w:val="000000" w:themeColor="text1"/>
          <w:lang w:val="en-US"/>
        </w:rPr>
        <w:t>184</w:t>
      </w:r>
      <w:r w:rsidRPr="00710874">
        <w:rPr>
          <w:rFonts w:ascii="Times New Roman" w:hAnsi="Times New Roman" w:cs="Times New Roman"/>
          <w:color w:val="000000" w:themeColor="text1"/>
          <w:lang w:val="en-US"/>
        </w:rPr>
        <w:t>, η² = .</w:t>
      </w:r>
      <w:r w:rsidR="00525F01" w:rsidRPr="00710874">
        <w:rPr>
          <w:rFonts w:ascii="Times New Roman" w:hAnsi="Times New Roman" w:cs="Times New Roman"/>
          <w:color w:val="000000" w:themeColor="text1"/>
          <w:lang w:val="en-US"/>
        </w:rPr>
        <w:t>07</w:t>
      </w:r>
      <w:r w:rsidR="00A15F57" w:rsidRPr="00710874">
        <w:rPr>
          <w:rFonts w:ascii="Times New Roman" w:hAnsi="Times New Roman" w:cs="Times New Roman"/>
          <w:color w:val="000000" w:themeColor="text1"/>
          <w:lang w:val="en-US"/>
        </w:rPr>
        <w:t>1</w:t>
      </w:r>
      <w:r w:rsidR="00D95790" w:rsidRPr="00710874">
        <w:rPr>
          <w:rFonts w:ascii="Times New Roman" w:hAnsi="Times New Roman" w:cs="Times New Roman"/>
          <w:color w:val="000000" w:themeColor="text1"/>
          <w:lang w:val="en-US"/>
        </w:rPr>
        <w:t>.</w:t>
      </w:r>
    </w:p>
    <w:p w14:paraId="5B6ACA96" w14:textId="7A1A073C" w:rsidR="00933175" w:rsidRPr="00710874" w:rsidRDefault="00650AE6" w:rsidP="00A15F5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i/>
          <w:color w:val="000000" w:themeColor="text1"/>
          <w:lang w:val="en-US"/>
        </w:rPr>
        <w:t>Second epoch (</w:t>
      </w:r>
      <w:r w:rsidR="00BB7D46" w:rsidRPr="00710874">
        <w:rPr>
          <w:rFonts w:ascii="Times New Roman" w:hAnsi="Times New Roman" w:cs="Times New Roman"/>
          <w:b/>
          <w:i/>
          <w:color w:val="000000" w:themeColor="text1"/>
          <w:lang w:val="en-US"/>
        </w:rPr>
        <w:t>6</w:t>
      </w:r>
      <w:r w:rsidR="00555956" w:rsidRPr="00710874">
        <w:rPr>
          <w:rFonts w:ascii="Times New Roman" w:hAnsi="Times New Roman" w:cs="Times New Roman"/>
          <w:b/>
          <w:i/>
          <w:color w:val="000000" w:themeColor="text1"/>
          <w:lang w:val="en-US"/>
        </w:rPr>
        <w:t>0</w:t>
      </w:r>
      <w:r w:rsidRPr="00710874">
        <w:rPr>
          <w:rFonts w:ascii="Times New Roman" w:hAnsi="Times New Roman" w:cs="Times New Roman"/>
          <w:b/>
          <w:i/>
          <w:color w:val="000000" w:themeColor="text1"/>
          <w:lang w:val="en-US"/>
        </w:rPr>
        <w:t>0-</w:t>
      </w:r>
      <w:r w:rsidR="00555956" w:rsidRPr="00710874">
        <w:rPr>
          <w:rFonts w:ascii="Times New Roman" w:hAnsi="Times New Roman" w:cs="Times New Roman"/>
          <w:b/>
          <w:i/>
          <w:color w:val="000000" w:themeColor="text1"/>
          <w:lang w:val="en-US"/>
        </w:rPr>
        <w:t>8</w:t>
      </w:r>
      <w:r w:rsidRPr="00710874">
        <w:rPr>
          <w:rFonts w:ascii="Times New Roman" w:hAnsi="Times New Roman" w:cs="Times New Roman"/>
          <w:b/>
          <w:i/>
          <w:color w:val="000000" w:themeColor="text1"/>
          <w:lang w:val="en-US"/>
        </w:rPr>
        <w:t>00 ms).</w:t>
      </w:r>
      <w:r w:rsidRPr="00710874">
        <w:rPr>
          <w:rFonts w:ascii="Times New Roman" w:hAnsi="Times New Roman" w:cs="Times New Roman"/>
          <w:color w:val="000000" w:themeColor="text1"/>
          <w:lang w:val="en-US"/>
        </w:rPr>
        <w:t xml:space="preserve"> Channel activity was reliably above zero for all 16 combinations of cue size and distance to the cued location (all p </w:t>
      </w:r>
      <w:r w:rsidR="00A15F57" w:rsidRPr="00710874">
        <w:rPr>
          <w:rFonts w:ascii="Times New Roman" w:hAnsi="Times New Roman" w:cs="Times New Roman"/>
          <w:color w:val="000000" w:themeColor="text1"/>
          <w:lang w:val="en-US"/>
        </w:rPr>
        <w:t>&lt;</w:t>
      </w:r>
      <w:r w:rsidRPr="00710874">
        <w:rPr>
          <w:rFonts w:ascii="Times New Roman" w:hAnsi="Times New Roman" w:cs="Times New Roman"/>
          <w:color w:val="000000" w:themeColor="text1"/>
          <w:lang w:val="en-US"/>
        </w:rPr>
        <w:t xml:space="preserve"> .001). </w:t>
      </w:r>
      <w:r w:rsidR="002864B8" w:rsidRPr="00710874">
        <w:rPr>
          <w:rFonts w:ascii="Times New Roman" w:hAnsi="Times New Roman" w:cs="Times New Roman"/>
          <w:color w:val="000000" w:themeColor="text1"/>
          <w:lang w:val="en-US"/>
        </w:rPr>
        <w:t xml:space="preserve">Average channel </w:t>
      </w:r>
      <w:r w:rsidRPr="00710874">
        <w:rPr>
          <w:rFonts w:ascii="Times New Roman" w:hAnsi="Times New Roman" w:cs="Times New Roman"/>
          <w:color w:val="000000" w:themeColor="text1"/>
          <w:lang w:val="en-US"/>
        </w:rPr>
        <w:t>responses were not affected by cue size (M</w:t>
      </w:r>
      <w:r w:rsidRPr="00710874">
        <w:rPr>
          <w:rFonts w:ascii="Times New Roman" w:hAnsi="Times New Roman" w:cs="Times New Roman"/>
          <w:color w:val="000000" w:themeColor="text1"/>
          <w:vertAlign w:val="subscript"/>
          <w:lang w:val="en-US"/>
        </w:rPr>
        <w:t>CS1</w:t>
      </w:r>
      <w:r w:rsidRPr="00710874">
        <w:rPr>
          <w:rFonts w:ascii="Times New Roman" w:hAnsi="Times New Roman" w:cs="Times New Roman"/>
          <w:color w:val="000000" w:themeColor="text1"/>
          <w:lang w:val="en-US"/>
        </w:rPr>
        <w:t xml:space="preserve"> = 0.29 vs. M</w:t>
      </w:r>
      <w:r w:rsidRPr="00710874">
        <w:rPr>
          <w:rFonts w:ascii="Times New Roman" w:hAnsi="Times New Roman" w:cs="Times New Roman"/>
          <w:color w:val="000000" w:themeColor="text1"/>
          <w:vertAlign w:val="subscript"/>
          <w:lang w:val="en-US"/>
        </w:rPr>
        <w:t>CS3</w:t>
      </w:r>
      <w:r w:rsidRPr="00710874">
        <w:rPr>
          <w:rFonts w:ascii="Times New Roman" w:hAnsi="Times New Roman" w:cs="Times New Roman"/>
          <w:color w:val="000000" w:themeColor="text1"/>
          <w:lang w:val="en-US"/>
        </w:rPr>
        <w:t xml:space="preserve"> = 0.</w:t>
      </w:r>
      <w:r w:rsidR="00550A78" w:rsidRPr="00710874">
        <w:rPr>
          <w:rFonts w:ascii="Times New Roman" w:hAnsi="Times New Roman" w:cs="Times New Roman"/>
          <w:color w:val="000000" w:themeColor="text1"/>
          <w:lang w:val="en-US"/>
        </w:rPr>
        <w:t>29</w:t>
      </w:r>
      <w:r w:rsidR="00755F62" w:rsidRPr="00710874">
        <w:rPr>
          <w:rFonts w:ascii="Times New Roman" w:hAnsi="Times New Roman" w:cs="Times New Roman"/>
          <w:color w:val="000000" w:themeColor="text1"/>
          <w:lang w:val="en-US"/>
        </w:rPr>
        <w:t>), F(1,22) = 0</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5</w:t>
      </w:r>
      <w:r w:rsidRPr="00710874">
        <w:rPr>
          <w:rFonts w:ascii="Times New Roman" w:hAnsi="Times New Roman" w:cs="Times New Roman"/>
          <w:color w:val="000000" w:themeColor="text1"/>
          <w:lang w:val="en-US"/>
        </w:rPr>
        <w:t>, p = .</w:t>
      </w:r>
      <w:r w:rsidR="00A15F57" w:rsidRPr="00710874">
        <w:rPr>
          <w:rFonts w:ascii="Times New Roman" w:hAnsi="Times New Roman" w:cs="Times New Roman"/>
          <w:color w:val="000000" w:themeColor="text1"/>
          <w:lang w:val="en-US"/>
        </w:rPr>
        <w:t>50</w:t>
      </w:r>
      <w:r w:rsidR="00525F01"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η² = .0</w:t>
      </w:r>
      <w:r w:rsidR="00525F01" w:rsidRPr="00710874">
        <w:rPr>
          <w:rFonts w:ascii="Times New Roman" w:hAnsi="Times New Roman" w:cs="Times New Roman"/>
          <w:color w:val="000000" w:themeColor="text1"/>
          <w:lang w:val="en-US"/>
        </w:rPr>
        <w:t>2</w:t>
      </w:r>
      <w:r w:rsidR="00A15F57" w:rsidRPr="00710874">
        <w:rPr>
          <w:rFonts w:ascii="Times New Roman" w:hAnsi="Times New Roman" w:cs="Times New Roman"/>
          <w:color w:val="000000" w:themeColor="text1"/>
          <w:lang w:val="en-US"/>
        </w:rPr>
        <w:t>1</w:t>
      </w:r>
      <w:r w:rsidRPr="00710874">
        <w:rPr>
          <w:rFonts w:ascii="Times New Roman" w:hAnsi="Times New Roman" w:cs="Times New Roman"/>
          <w:color w:val="000000" w:themeColor="text1"/>
          <w:lang w:val="en-US"/>
        </w:rPr>
        <w:t xml:space="preserve">. Channel responses varied as a function of the target distance to the cued location, F(7,154) = </w:t>
      </w:r>
      <w:r w:rsidR="00A15F57" w:rsidRPr="00710874">
        <w:rPr>
          <w:rFonts w:ascii="Times New Roman" w:hAnsi="Times New Roman" w:cs="Times New Roman"/>
          <w:color w:val="000000" w:themeColor="text1"/>
          <w:lang w:val="en-US"/>
        </w:rPr>
        <w:t>59</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 p &lt; .001, η² = .</w:t>
      </w:r>
      <w:r w:rsidR="00525F01" w:rsidRPr="00710874">
        <w:rPr>
          <w:rFonts w:ascii="Times New Roman" w:hAnsi="Times New Roman" w:cs="Times New Roman"/>
          <w:color w:val="000000" w:themeColor="text1"/>
          <w:lang w:val="en-US"/>
        </w:rPr>
        <w:t>7</w:t>
      </w:r>
      <w:r w:rsidR="00A15F57" w:rsidRPr="00710874">
        <w:rPr>
          <w:rFonts w:ascii="Times New Roman" w:hAnsi="Times New Roman" w:cs="Times New Roman"/>
          <w:color w:val="000000" w:themeColor="text1"/>
          <w:lang w:val="en-US"/>
        </w:rPr>
        <w:t>29</w:t>
      </w:r>
      <w:r w:rsidRPr="00710874">
        <w:rPr>
          <w:rFonts w:ascii="Times New Roman" w:hAnsi="Times New Roman" w:cs="Times New Roman"/>
          <w:color w:val="000000" w:themeColor="text1"/>
          <w:lang w:val="en-US"/>
        </w:rPr>
        <w:t>. The highest channel response was found for the cued location and dropped to more distant locations (M</w:t>
      </w:r>
      <w:r w:rsidRPr="00710874">
        <w:rPr>
          <w:rFonts w:ascii="Times New Roman" w:hAnsi="Times New Roman" w:cs="Times New Roman"/>
          <w:color w:val="000000" w:themeColor="text1"/>
          <w:vertAlign w:val="subscript"/>
          <w:lang w:val="en-US"/>
        </w:rPr>
        <w:t>dist0</w:t>
      </w:r>
      <w:r w:rsidRPr="00710874">
        <w:rPr>
          <w:rFonts w:ascii="Times New Roman" w:hAnsi="Times New Roman" w:cs="Times New Roman"/>
          <w:color w:val="000000" w:themeColor="text1"/>
          <w:lang w:val="en-US"/>
        </w:rPr>
        <w:t xml:space="preserve"> = 0.4</w:t>
      </w:r>
      <w:r w:rsidR="00A15F57" w:rsidRPr="00710874">
        <w:rPr>
          <w:rFonts w:ascii="Times New Roman" w:hAnsi="Times New Roman" w:cs="Times New Roman"/>
          <w:color w:val="000000" w:themeColor="text1"/>
          <w:lang w:val="en-US"/>
        </w:rPr>
        <w:t>8</w:t>
      </w:r>
      <w:r w:rsidRPr="00710874">
        <w:rPr>
          <w:rFonts w:ascii="Times New Roman" w:hAnsi="Times New Roman" w:cs="Times New Roman"/>
          <w:color w:val="000000" w:themeColor="text1"/>
          <w:lang w:val="en-US"/>
        </w:rPr>
        <w:t xml:space="preserve"> versus M</w:t>
      </w:r>
      <w:r w:rsidRPr="00710874">
        <w:rPr>
          <w:rFonts w:ascii="Times New Roman" w:hAnsi="Times New Roman" w:cs="Times New Roman"/>
          <w:color w:val="000000" w:themeColor="text1"/>
          <w:vertAlign w:val="subscript"/>
          <w:lang w:val="en-US"/>
        </w:rPr>
        <w:t>dist4</w:t>
      </w:r>
      <w:r w:rsidRPr="00710874">
        <w:rPr>
          <w:rFonts w:ascii="Times New Roman" w:hAnsi="Times New Roman" w:cs="Times New Roman"/>
          <w:color w:val="000000" w:themeColor="text1"/>
          <w:lang w:val="en-US"/>
        </w:rPr>
        <w:t xml:space="preserve"> = 0.</w:t>
      </w:r>
      <w:r w:rsidR="00550A78" w:rsidRPr="00710874">
        <w:rPr>
          <w:rFonts w:ascii="Times New Roman" w:hAnsi="Times New Roman" w:cs="Times New Roman"/>
          <w:color w:val="000000" w:themeColor="text1"/>
          <w:lang w:val="en-US"/>
        </w:rPr>
        <w:t>1</w:t>
      </w:r>
      <w:r w:rsidR="00A15F57"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xml:space="preserve">), see Fig. 3. </w:t>
      </w:r>
      <w:r w:rsidR="00550A78" w:rsidRPr="00710874">
        <w:rPr>
          <w:rFonts w:ascii="Times New Roman" w:hAnsi="Times New Roman" w:cs="Times New Roman"/>
          <w:color w:val="000000" w:themeColor="text1"/>
          <w:lang w:val="en-US"/>
        </w:rPr>
        <w:t>An</w:t>
      </w:r>
      <w:r w:rsidRPr="00710874">
        <w:rPr>
          <w:rFonts w:ascii="Times New Roman" w:hAnsi="Times New Roman" w:cs="Times New Roman"/>
          <w:color w:val="000000" w:themeColor="text1"/>
          <w:lang w:val="en-US"/>
        </w:rPr>
        <w:t xml:space="preserve"> interaction of distance and cue size, F(7,154) = </w:t>
      </w:r>
      <w:r w:rsidR="00A15F57"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p = .</w:t>
      </w:r>
      <w:r w:rsidR="00A15F57" w:rsidRPr="00710874">
        <w:rPr>
          <w:rFonts w:ascii="Times New Roman" w:hAnsi="Times New Roman" w:cs="Times New Roman"/>
          <w:color w:val="000000" w:themeColor="text1"/>
          <w:lang w:val="en-US"/>
        </w:rPr>
        <w:t>023</w:t>
      </w:r>
      <w:r w:rsidRPr="00710874">
        <w:rPr>
          <w:rFonts w:ascii="Times New Roman" w:hAnsi="Times New Roman" w:cs="Times New Roman"/>
          <w:color w:val="000000" w:themeColor="text1"/>
          <w:lang w:val="en-US"/>
        </w:rPr>
        <w:t>, η² = .</w:t>
      </w:r>
      <w:r w:rsidR="00550A78" w:rsidRPr="00710874">
        <w:rPr>
          <w:rFonts w:ascii="Times New Roman" w:hAnsi="Times New Roman" w:cs="Times New Roman"/>
          <w:color w:val="000000" w:themeColor="text1"/>
          <w:lang w:val="en-US"/>
        </w:rPr>
        <w:t>1</w:t>
      </w:r>
      <w:r w:rsidR="00A15F57" w:rsidRPr="00710874">
        <w:rPr>
          <w:rFonts w:ascii="Times New Roman" w:hAnsi="Times New Roman" w:cs="Times New Roman"/>
          <w:color w:val="000000" w:themeColor="text1"/>
          <w:lang w:val="en-US"/>
        </w:rPr>
        <w:t>34</w:t>
      </w:r>
      <w:r w:rsidR="00550A78" w:rsidRPr="00710874">
        <w:rPr>
          <w:rFonts w:ascii="Times New Roman" w:hAnsi="Times New Roman" w:cs="Times New Roman"/>
          <w:color w:val="000000" w:themeColor="text1"/>
          <w:lang w:val="en-US"/>
        </w:rPr>
        <w:t>, show</w:t>
      </w:r>
      <w:r w:rsidR="00BC5405" w:rsidRPr="00710874">
        <w:rPr>
          <w:rFonts w:ascii="Times New Roman" w:hAnsi="Times New Roman" w:cs="Times New Roman"/>
          <w:color w:val="000000" w:themeColor="text1"/>
          <w:lang w:val="en-US"/>
        </w:rPr>
        <w:t>ed</w:t>
      </w:r>
      <w:r w:rsidR="00550A78" w:rsidRPr="00710874">
        <w:rPr>
          <w:rFonts w:ascii="Times New Roman" w:hAnsi="Times New Roman" w:cs="Times New Roman"/>
          <w:color w:val="000000" w:themeColor="text1"/>
          <w:lang w:val="en-US"/>
        </w:rPr>
        <w:t xml:space="preserve"> that how channel responses were affected by distance to the cued location varied as a function of cue size</w:t>
      </w:r>
      <w:r w:rsidRPr="00710874">
        <w:rPr>
          <w:rFonts w:ascii="Times New Roman" w:hAnsi="Times New Roman" w:cs="Times New Roman"/>
          <w:color w:val="000000" w:themeColor="text1"/>
          <w:lang w:val="en-US"/>
        </w:rPr>
        <w:t xml:space="preserve">. </w:t>
      </w:r>
      <w:r w:rsidR="00550A78" w:rsidRPr="00710874">
        <w:rPr>
          <w:rFonts w:ascii="Times New Roman" w:hAnsi="Times New Roman" w:cs="Times New Roman"/>
          <w:color w:val="000000" w:themeColor="text1"/>
          <w:lang w:val="en-US"/>
        </w:rPr>
        <w:t>Within-subject contrast</w:t>
      </w:r>
      <w:r w:rsidR="00CB20F0" w:rsidRPr="00710874">
        <w:rPr>
          <w:rFonts w:ascii="Times New Roman" w:hAnsi="Times New Roman" w:cs="Times New Roman"/>
          <w:color w:val="000000" w:themeColor="text1"/>
          <w:lang w:val="en-US"/>
        </w:rPr>
        <w:t>s</w:t>
      </w:r>
      <w:r w:rsidR="00550A78" w:rsidRPr="00710874">
        <w:rPr>
          <w:rFonts w:ascii="Times New Roman" w:hAnsi="Times New Roman" w:cs="Times New Roman"/>
          <w:color w:val="000000" w:themeColor="text1"/>
          <w:lang w:val="en-US"/>
        </w:rPr>
        <w:t xml:space="preserve"> revealed that the interactive pattern followed a quadratic trend, F(1,22) = </w:t>
      </w:r>
      <w:r w:rsidR="00A15F57" w:rsidRPr="00710874">
        <w:rPr>
          <w:rFonts w:ascii="Times New Roman" w:hAnsi="Times New Roman" w:cs="Times New Roman"/>
          <w:color w:val="000000" w:themeColor="text1"/>
          <w:lang w:val="en-US"/>
        </w:rPr>
        <w:t>8</w:t>
      </w:r>
      <w:r w:rsidR="00550A78"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7</w:t>
      </w:r>
      <w:r w:rsidR="00550A78" w:rsidRPr="00710874">
        <w:rPr>
          <w:rFonts w:ascii="Times New Roman" w:hAnsi="Times New Roman" w:cs="Times New Roman"/>
          <w:color w:val="000000" w:themeColor="text1"/>
          <w:lang w:val="en-US"/>
        </w:rPr>
        <w:t xml:space="preserve">, p </w:t>
      </w:r>
      <w:r w:rsidR="000D76B7" w:rsidRPr="00710874">
        <w:rPr>
          <w:rFonts w:ascii="Times New Roman" w:hAnsi="Times New Roman" w:cs="Times New Roman"/>
          <w:color w:val="000000" w:themeColor="text1"/>
          <w:lang w:val="en-US"/>
        </w:rPr>
        <w:t>=</w:t>
      </w:r>
      <w:r w:rsidR="00550A78" w:rsidRPr="00710874">
        <w:rPr>
          <w:rFonts w:ascii="Times New Roman" w:hAnsi="Times New Roman" w:cs="Times New Roman"/>
          <w:color w:val="000000" w:themeColor="text1"/>
          <w:lang w:val="en-US"/>
        </w:rPr>
        <w:t xml:space="preserve"> .0</w:t>
      </w:r>
      <w:r w:rsidR="00A15F57" w:rsidRPr="00710874">
        <w:rPr>
          <w:rFonts w:ascii="Times New Roman" w:hAnsi="Times New Roman" w:cs="Times New Roman"/>
          <w:color w:val="000000" w:themeColor="text1"/>
          <w:lang w:val="en-US"/>
        </w:rPr>
        <w:t>07</w:t>
      </w:r>
      <w:r w:rsidR="00550A78" w:rsidRPr="00710874">
        <w:rPr>
          <w:rFonts w:ascii="Times New Roman" w:hAnsi="Times New Roman" w:cs="Times New Roman"/>
          <w:color w:val="000000" w:themeColor="text1"/>
          <w:lang w:val="en-US"/>
        </w:rPr>
        <w:t>, η² = .2</w:t>
      </w:r>
      <w:r w:rsidR="00A15F57" w:rsidRPr="00710874">
        <w:rPr>
          <w:rFonts w:ascii="Times New Roman" w:hAnsi="Times New Roman" w:cs="Times New Roman"/>
          <w:color w:val="000000" w:themeColor="text1"/>
          <w:lang w:val="en-US"/>
        </w:rPr>
        <w:t>83</w:t>
      </w:r>
      <w:r w:rsidR="00550A78" w:rsidRPr="00710874">
        <w:rPr>
          <w:rFonts w:ascii="Times New Roman" w:hAnsi="Times New Roman" w:cs="Times New Roman"/>
          <w:color w:val="000000" w:themeColor="text1"/>
          <w:lang w:val="en-US"/>
        </w:rPr>
        <w:t>, but not a linear (p = .</w:t>
      </w:r>
      <w:r w:rsidR="00A15F57" w:rsidRPr="00710874">
        <w:rPr>
          <w:rFonts w:ascii="Times New Roman" w:hAnsi="Times New Roman" w:cs="Times New Roman"/>
          <w:color w:val="000000" w:themeColor="text1"/>
          <w:lang w:val="en-US"/>
        </w:rPr>
        <w:t>619</w:t>
      </w:r>
      <w:r w:rsidR="00550A78" w:rsidRPr="00710874">
        <w:rPr>
          <w:rFonts w:ascii="Times New Roman" w:hAnsi="Times New Roman" w:cs="Times New Roman"/>
          <w:color w:val="000000" w:themeColor="text1"/>
          <w:lang w:val="en-US"/>
        </w:rPr>
        <w:t>) or cubic (p = .</w:t>
      </w:r>
      <w:r w:rsidR="00A15F57" w:rsidRPr="00710874">
        <w:rPr>
          <w:rFonts w:ascii="Times New Roman" w:hAnsi="Times New Roman" w:cs="Times New Roman"/>
          <w:color w:val="000000" w:themeColor="text1"/>
          <w:lang w:val="en-US"/>
        </w:rPr>
        <w:t>951</w:t>
      </w:r>
      <w:r w:rsidR="00550A78" w:rsidRPr="00710874">
        <w:rPr>
          <w:rFonts w:ascii="Times New Roman" w:hAnsi="Times New Roman" w:cs="Times New Roman"/>
          <w:color w:val="000000" w:themeColor="text1"/>
          <w:lang w:val="en-US"/>
        </w:rPr>
        <w:t>) trend.</w:t>
      </w:r>
      <w:r w:rsidR="00BC5405" w:rsidRPr="00710874">
        <w:rPr>
          <w:rFonts w:ascii="Times New Roman" w:hAnsi="Times New Roman" w:cs="Times New Roman"/>
          <w:color w:val="000000" w:themeColor="text1"/>
          <w:lang w:val="en-US"/>
        </w:rPr>
        <w:t xml:space="preserve"> Follow-up analyses showed that channel response varied as a function of distance for both cue size 1, F(7,154) = </w:t>
      </w:r>
      <w:r w:rsidR="00B453B0" w:rsidRPr="00710874">
        <w:rPr>
          <w:rFonts w:ascii="Times New Roman" w:hAnsi="Times New Roman" w:cs="Times New Roman"/>
          <w:color w:val="000000" w:themeColor="text1"/>
          <w:lang w:val="en-US"/>
        </w:rPr>
        <w:t>4</w:t>
      </w:r>
      <w:r w:rsidR="00A15F57" w:rsidRPr="00710874">
        <w:rPr>
          <w:rFonts w:ascii="Times New Roman" w:hAnsi="Times New Roman" w:cs="Times New Roman"/>
          <w:color w:val="000000" w:themeColor="text1"/>
          <w:lang w:val="en-US"/>
        </w:rPr>
        <w:t>4</w:t>
      </w:r>
      <w:r w:rsidR="00BC5405"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3</w:t>
      </w:r>
      <w:r w:rsidR="00BC5405" w:rsidRPr="00710874">
        <w:rPr>
          <w:rFonts w:ascii="Times New Roman" w:hAnsi="Times New Roman" w:cs="Times New Roman"/>
          <w:color w:val="000000" w:themeColor="text1"/>
          <w:lang w:val="en-US"/>
        </w:rPr>
        <w:t>, p &lt; .001, η² = .</w:t>
      </w:r>
      <w:r w:rsidR="00855EDA" w:rsidRPr="00710874">
        <w:rPr>
          <w:rFonts w:ascii="Times New Roman" w:hAnsi="Times New Roman" w:cs="Times New Roman"/>
          <w:color w:val="000000" w:themeColor="text1"/>
          <w:lang w:val="en-US"/>
        </w:rPr>
        <w:t>66</w:t>
      </w:r>
      <w:r w:rsidR="00A15F57" w:rsidRPr="00710874">
        <w:rPr>
          <w:rFonts w:ascii="Times New Roman" w:hAnsi="Times New Roman" w:cs="Times New Roman"/>
          <w:color w:val="000000" w:themeColor="text1"/>
          <w:lang w:val="en-US"/>
        </w:rPr>
        <w:t>8</w:t>
      </w:r>
      <w:r w:rsidR="00BC5405" w:rsidRPr="00710874">
        <w:rPr>
          <w:rFonts w:ascii="Times New Roman" w:hAnsi="Times New Roman" w:cs="Times New Roman"/>
          <w:color w:val="000000" w:themeColor="text1"/>
          <w:lang w:val="en-US"/>
        </w:rPr>
        <w:t xml:space="preserve">, and cue size 3, F(7,154) = </w:t>
      </w:r>
      <w:r w:rsidR="00855EDA" w:rsidRPr="00710874">
        <w:rPr>
          <w:rFonts w:ascii="Times New Roman" w:hAnsi="Times New Roman" w:cs="Times New Roman"/>
          <w:color w:val="000000" w:themeColor="text1"/>
          <w:lang w:val="en-US"/>
        </w:rPr>
        <w:t>3</w:t>
      </w:r>
      <w:r w:rsidR="00A15F57" w:rsidRPr="00710874">
        <w:rPr>
          <w:rFonts w:ascii="Times New Roman" w:hAnsi="Times New Roman" w:cs="Times New Roman"/>
          <w:color w:val="000000" w:themeColor="text1"/>
          <w:lang w:val="en-US"/>
        </w:rPr>
        <w:t>3</w:t>
      </w:r>
      <w:r w:rsidR="00BC5405" w:rsidRPr="00710874">
        <w:rPr>
          <w:rFonts w:ascii="Times New Roman" w:hAnsi="Times New Roman" w:cs="Times New Roman"/>
          <w:color w:val="000000" w:themeColor="text1"/>
          <w:lang w:val="en-US"/>
        </w:rPr>
        <w:t>.</w:t>
      </w:r>
      <w:r w:rsidR="00A15F57" w:rsidRPr="00710874">
        <w:rPr>
          <w:rFonts w:ascii="Times New Roman" w:hAnsi="Times New Roman" w:cs="Times New Roman"/>
          <w:color w:val="000000" w:themeColor="text1"/>
          <w:lang w:val="en-US"/>
        </w:rPr>
        <w:t>4</w:t>
      </w:r>
      <w:r w:rsidR="00BC5405" w:rsidRPr="00710874">
        <w:rPr>
          <w:rFonts w:ascii="Times New Roman" w:hAnsi="Times New Roman" w:cs="Times New Roman"/>
          <w:color w:val="000000" w:themeColor="text1"/>
          <w:lang w:val="en-US"/>
        </w:rPr>
        <w:t>, p &lt; .001, η² = .6</w:t>
      </w:r>
      <w:r w:rsidR="00A15F57" w:rsidRPr="00710874">
        <w:rPr>
          <w:rFonts w:ascii="Times New Roman" w:hAnsi="Times New Roman" w:cs="Times New Roman"/>
          <w:color w:val="000000" w:themeColor="text1"/>
          <w:lang w:val="en-US"/>
        </w:rPr>
        <w:t>03</w:t>
      </w:r>
      <w:r w:rsidR="00D95790" w:rsidRPr="00710874">
        <w:rPr>
          <w:rFonts w:ascii="Times New Roman" w:hAnsi="Times New Roman" w:cs="Times New Roman"/>
          <w:color w:val="000000" w:themeColor="text1"/>
          <w:lang w:val="en-US"/>
        </w:rPr>
        <w:t>.</w:t>
      </w:r>
      <w:r w:rsidR="00CF52C8" w:rsidRPr="00710874">
        <w:rPr>
          <w:color w:val="000000" w:themeColor="text1"/>
        </w:rPr>
        <w:t xml:space="preserve"> </w:t>
      </w:r>
    </w:p>
    <w:p w14:paraId="7961C896" w14:textId="50B8A152" w:rsidR="00933175" w:rsidRPr="00710874" w:rsidRDefault="00CF52C8" w:rsidP="00933175">
      <w:pPr>
        <w:spacing w:after="0" w:line="480" w:lineRule="auto"/>
        <w:jc w:val="both"/>
        <w:rPr>
          <w:rFonts w:ascii="Times New Roman" w:hAnsi="Times New Roman" w:cs="Times New Roman"/>
          <w:color w:val="000000" w:themeColor="text1"/>
          <w:lang w:val="en-US"/>
        </w:rPr>
      </w:pPr>
      <w:r w:rsidRPr="00710874">
        <w:rPr>
          <w:noProof/>
          <w:color w:val="000000" w:themeColor="text1"/>
          <w:lang w:eastAsia="zh-CN"/>
        </w:rPr>
        <w:lastRenderedPageBreak/>
        <mc:AlternateContent>
          <mc:Choice Requires="wps">
            <w:drawing>
              <wp:anchor distT="0" distB="0" distL="114300" distR="114300" simplePos="0" relativeHeight="251706368" behindDoc="0" locked="0" layoutInCell="1" allowOverlap="1" wp14:anchorId="37E95F43" wp14:editId="51CE7480">
                <wp:simplePos x="0" y="0"/>
                <wp:positionH relativeFrom="page">
                  <wp:posOffset>381000</wp:posOffset>
                </wp:positionH>
                <wp:positionV relativeFrom="page">
                  <wp:posOffset>9015730</wp:posOffset>
                </wp:positionV>
                <wp:extent cx="6933600" cy="1429200"/>
                <wp:effectExtent l="0" t="0" r="635" b="0"/>
                <wp:wrapSquare wrapText="bothSides"/>
                <wp:docPr id="13" name="Text Box 14"/>
                <wp:cNvGraphicFramePr/>
                <a:graphic xmlns:a="http://schemas.openxmlformats.org/drawingml/2006/main">
                  <a:graphicData uri="http://schemas.microsoft.com/office/word/2010/wordprocessingShape">
                    <wps:wsp>
                      <wps:cNvSpPr txBox="1"/>
                      <wps:spPr>
                        <a:xfrm>
                          <a:off x="0" y="0"/>
                          <a:ext cx="6933600" cy="1429200"/>
                        </a:xfrm>
                        <a:prstGeom prst="rect">
                          <a:avLst/>
                        </a:prstGeom>
                        <a:solidFill>
                          <a:prstClr val="white"/>
                        </a:solidFill>
                        <a:ln>
                          <a:noFill/>
                        </a:ln>
                        <a:effectLst/>
                      </wps:spPr>
                      <wps:txbx>
                        <w:txbxContent>
                          <w:p w14:paraId="0D6638B8" w14:textId="77777777" w:rsidR="00CF52C8" w:rsidRPr="00C622BD" w:rsidRDefault="00CF52C8" w:rsidP="00CF52C8">
                            <w:pPr>
                              <w:pStyle w:val="NormalWeb"/>
                              <w:spacing w:before="0" w:beforeAutospacing="0" w:after="200" w:afterAutospacing="0"/>
                              <w:rPr>
                                <w:sz w:val="22"/>
                                <w:szCs w:val="22"/>
                              </w:rPr>
                            </w:pPr>
                            <w:r w:rsidRPr="00C622BD">
                              <w:rPr>
                                <w:rFonts w:ascii="Calibri" w:eastAsia="Calibri" w:hAnsi="Calibri" w:cs="Arial"/>
                                <w:b/>
                                <w:bCs/>
                                <w:i/>
                                <w:iCs/>
                                <w:color w:val="000000"/>
                                <w:kern w:val="24"/>
                                <w:sz w:val="22"/>
                                <w:szCs w:val="22"/>
                                <w:lang w:val="en-GB"/>
                              </w:rPr>
                              <w:t>Figure 3.</w:t>
                            </w:r>
                            <w:r w:rsidRPr="00C622BD">
                              <w:rPr>
                                <w:rFonts w:ascii="Calibri" w:eastAsia="Calibri" w:hAnsi="Calibri" w:cs="Arial"/>
                                <w:i/>
                                <w:iCs/>
                                <w:color w:val="000000"/>
                                <w:kern w:val="24"/>
                                <w:sz w:val="22"/>
                                <w:szCs w:val="22"/>
                                <w:lang w:val="en-GB"/>
                              </w:rPr>
                              <w:t xml:space="preserve"> Channel tuning functions (CTFs) in Experiment 1 for cue size 1 (upper panel) and cue size 3 (middle panel). The slope of these CTFs provides a measure of the spatial selectivity of alpha activity that indexes the attended region (lower panel). A narrower focus of attention (green lines) induced steeper slopes than than a broader focus (blue lines). The pink line represents the simulated slope for the cue size 3 condition under the assumption that rather than applying a broad spotlight of attention encompassing all three locations, a narrow spotlight of attention encompassing one location only is directed towards one of the three locations on a trial-by-trial basis. The dotted lines represent the slope of the behavioral functions. Shaded envelopes represent the standard error of the mean corrected for individual differences (Cousineau, 2005).</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5F43" id="Text Box 14" o:spid="_x0000_s1028" type="#_x0000_t202" style="position:absolute;left:0;text-align:left;margin-left:30pt;margin-top:709.9pt;width:545.95pt;height:112.5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" stroked="f">
                <v:textbox inset="0,0,0,0">
                  <w:txbxContent>
                    <w:p w14:paraId="0D6638B8" w14:textId="77777777" w:rsidR="00CF52C8" w:rsidRPr="00C622BD" w:rsidRDefault="00CF52C8" w:rsidP="00CF52C8">
                      <w:pPr>
                        <w:pStyle w:val="NormalWeb"/>
                        <w:spacing w:before="0" w:beforeAutospacing="0" w:after="200" w:afterAutospacing="0"/>
                        <w:rPr>
                          <w:sz w:val="22"/>
                          <w:szCs w:val="22"/>
                        </w:rPr>
                      </w:pPr>
                      <w:r w:rsidRPr="00C622BD">
                        <w:rPr>
                          <w:rFonts w:ascii="Calibri" w:eastAsia="Calibri" w:hAnsi="Calibri" w:cs="Arial"/>
                          <w:b/>
                          <w:bCs/>
                          <w:i/>
                          <w:iCs/>
                          <w:color w:val="000000"/>
                          <w:kern w:val="24"/>
                          <w:sz w:val="22"/>
                          <w:szCs w:val="22"/>
                          <w:lang w:val="en-GB"/>
                        </w:rPr>
                        <w:t>Figure 3.</w:t>
                      </w:r>
                      <w:r w:rsidRPr="00C622BD">
                        <w:rPr>
                          <w:rFonts w:ascii="Calibri" w:eastAsia="Calibri" w:hAnsi="Calibri" w:cs="Arial"/>
                          <w:i/>
                          <w:iCs/>
                          <w:color w:val="000000"/>
                          <w:kern w:val="24"/>
                          <w:sz w:val="22"/>
                          <w:szCs w:val="22"/>
                          <w:lang w:val="en-GB"/>
                        </w:rPr>
                        <w:t xml:space="preserve"> Channel tuning functions (CTFs) in Experiment 1 for cue size 1 (upper panel) and cue size 3 (middle panel). The slope of these CTFs provides a measure of the spatial selectivity of alpha activity that indexes the attended region (lower panel). A narrower focus of attention (green lines) induced steeper slopes than </w:t>
                      </w:r>
                      <w:proofErr w:type="spellStart"/>
                      <w:r w:rsidRPr="00C622BD">
                        <w:rPr>
                          <w:rFonts w:ascii="Calibri" w:eastAsia="Calibri" w:hAnsi="Calibri" w:cs="Arial"/>
                          <w:i/>
                          <w:iCs/>
                          <w:color w:val="000000"/>
                          <w:kern w:val="24"/>
                          <w:sz w:val="22"/>
                          <w:szCs w:val="22"/>
                          <w:lang w:val="en-GB"/>
                        </w:rPr>
                        <w:t>than</w:t>
                      </w:r>
                      <w:proofErr w:type="spellEnd"/>
                      <w:r w:rsidRPr="00C622BD">
                        <w:rPr>
                          <w:rFonts w:ascii="Calibri" w:eastAsia="Calibri" w:hAnsi="Calibri" w:cs="Arial"/>
                          <w:i/>
                          <w:iCs/>
                          <w:color w:val="000000"/>
                          <w:kern w:val="24"/>
                          <w:sz w:val="22"/>
                          <w:szCs w:val="22"/>
                          <w:lang w:val="en-GB"/>
                        </w:rPr>
                        <w:t xml:space="preserve"> a broader focus (blue lines). The pink line represents the simulated slope for the cue size 3 condition under the assumption that rather than applying a broad spotlight of attention encompassing all three locations, a narrow spotlight of attention encompassing one location only is directed towards one of the three locations on a trial-by-trial basis. The dotted lines represent the slope of the </w:t>
                      </w:r>
                      <w:proofErr w:type="spellStart"/>
                      <w:r w:rsidRPr="00C622BD">
                        <w:rPr>
                          <w:rFonts w:ascii="Calibri" w:eastAsia="Calibri" w:hAnsi="Calibri" w:cs="Arial"/>
                          <w:i/>
                          <w:iCs/>
                          <w:color w:val="000000"/>
                          <w:kern w:val="24"/>
                          <w:sz w:val="22"/>
                          <w:szCs w:val="22"/>
                          <w:lang w:val="en-GB"/>
                        </w:rPr>
                        <w:t>behavioral</w:t>
                      </w:r>
                      <w:proofErr w:type="spellEnd"/>
                      <w:r w:rsidRPr="00C622BD">
                        <w:rPr>
                          <w:rFonts w:ascii="Calibri" w:eastAsia="Calibri" w:hAnsi="Calibri" w:cs="Arial"/>
                          <w:i/>
                          <w:iCs/>
                          <w:color w:val="000000"/>
                          <w:kern w:val="24"/>
                          <w:sz w:val="22"/>
                          <w:szCs w:val="22"/>
                          <w:lang w:val="en-GB"/>
                        </w:rPr>
                        <w:t xml:space="preserve"> functions. Shaded envelopes represent the standard error of the mean corrected for individual differences (</w:t>
                      </w:r>
                      <w:proofErr w:type="spellStart"/>
                      <w:r w:rsidRPr="00C622BD">
                        <w:rPr>
                          <w:rFonts w:ascii="Calibri" w:eastAsia="Calibri" w:hAnsi="Calibri" w:cs="Arial"/>
                          <w:i/>
                          <w:iCs/>
                          <w:color w:val="000000"/>
                          <w:kern w:val="24"/>
                          <w:sz w:val="22"/>
                          <w:szCs w:val="22"/>
                          <w:lang w:val="en-GB"/>
                        </w:rPr>
                        <w:t>Cousineau</w:t>
                      </w:r>
                      <w:proofErr w:type="spellEnd"/>
                      <w:r w:rsidRPr="00C622BD">
                        <w:rPr>
                          <w:rFonts w:ascii="Calibri" w:eastAsia="Calibri" w:hAnsi="Calibri" w:cs="Arial"/>
                          <w:i/>
                          <w:iCs/>
                          <w:color w:val="000000"/>
                          <w:kern w:val="24"/>
                          <w:sz w:val="22"/>
                          <w:szCs w:val="22"/>
                          <w:lang w:val="en-GB"/>
                        </w:rPr>
                        <w:t>, 2005).</w:t>
                      </w:r>
                    </w:p>
                  </w:txbxContent>
                </v:textbox>
                <w10:wrap type="square" anchorx="page" anchory="page"/>
              </v:shape>
            </w:pict>
          </mc:Fallback>
        </mc:AlternateContent>
      </w:r>
      <w:r w:rsidRPr="00710874">
        <w:rPr>
          <w:noProof/>
          <w:color w:val="000000" w:themeColor="text1"/>
          <w:lang w:eastAsia="zh-CN"/>
        </w:rPr>
        <w:drawing>
          <wp:anchor distT="0" distB="0" distL="114300" distR="114300" simplePos="0" relativeHeight="251704320" behindDoc="0" locked="0" layoutInCell="1" allowOverlap="1" wp14:anchorId="19003AC7" wp14:editId="230CE6A9">
            <wp:simplePos x="0" y="0"/>
            <wp:positionH relativeFrom="margin">
              <wp:align>left</wp:align>
            </wp:positionH>
            <wp:positionV relativeFrom="page">
              <wp:posOffset>381000</wp:posOffset>
            </wp:positionV>
            <wp:extent cx="5238000" cy="8589600"/>
            <wp:effectExtent l="0" t="0" r="127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000" cy="858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874">
        <w:rPr>
          <w:color w:val="000000" w:themeColor="text1"/>
        </w:rPr>
        <w:t xml:space="preserve"> </w:t>
      </w:r>
      <w:r w:rsidR="00933175" w:rsidRPr="00710874">
        <w:rPr>
          <w:rFonts w:ascii="Times New Roman" w:hAnsi="Times New Roman" w:cs="Times New Roman"/>
          <w:b/>
          <w:color w:val="000000" w:themeColor="text1"/>
          <w:lang w:val="en-US"/>
        </w:rPr>
        <w:t xml:space="preserve">CTF </w:t>
      </w:r>
      <w:r w:rsidR="00D95790" w:rsidRPr="00710874">
        <w:rPr>
          <w:rFonts w:ascii="Times New Roman" w:hAnsi="Times New Roman" w:cs="Times New Roman"/>
          <w:b/>
          <w:color w:val="000000" w:themeColor="text1"/>
          <w:lang w:val="en-US"/>
        </w:rPr>
        <w:lastRenderedPageBreak/>
        <w:t>Slopes</w:t>
      </w:r>
    </w:p>
    <w:p w14:paraId="01A360F7" w14:textId="3ECE6C74" w:rsidR="009E2469" w:rsidRPr="00710874" w:rsidRDefault="0042749F" w:rsidP="00911FE3">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No reliable slopes were found for CS1 from 0-100 </w:t>
      </w:r>
      <w:r w:rsidR="00014D97" w:rsidRPr="00710874">
        <w:rPr>
          <w:rFonts w:ascii="Times New Roman" w:hAnsi="Times New Roman" w:cs="Times New Roman"/>
          <w:color w:val="000000" w:themeColor="text1"/>
          <w:lang w:val="en-US"/>
        </w:rPr>
        <w:t xml:space="preserve">and </w:t>
      </w:r>
      <w:r w:rsidRPr="00710874">
        <w:rPr>
          <w:rFonts w:ascii="Times New Roman" w:hAnsi="Times New Roman" w:cs="Times New Roman"/>
          <w:color w:val="000000" w:themeColor="text1"/>
          <w:lang w:val="en-US"/>
        </w:rPr>
        <w:t>100-200 ms (</w:t>
      </w:r>
      <w:r w:rsidR="00014D97" w:rsidRPr="00710874">
        <w:rPr>
          <w:rFonts w:ascii="Times New Roman" w:hAnsi="Times New Roman" w:cs="Times New Roman"/>
          <w:color w:val="000000" w:themeColor="text1"/>
          <w:lang w:val="en-US"/>
        </w:rPr>
        <w:t xml:space="preserve">all </w:t>
      </w:r>
      <w:r w:rsidRPr="00710874">
        <w:rPr>
          <w:rFonts w:ascii="Times New Roman" w:hAnsi="Times New Roman" w:cs="Times New Roman"/>
          <w:color w:val="000000" w:themeColor="text1"/>
          <w:lang w:val="en-US"/>
        </w:rPr>
        <w:t xml:space="preserve">p </w:t>
      </w:r>
      <w:r w:rsidR="00014D97"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xml:space="preserve"> .</w:t>
      </w:r>
      <w:r w:rsidR="00A15F57" w:rsidRPr="00710874">
        <w:rPr>
          <w:rFonts w:ascii="Times New Roman" w:hAnsi="Times New Roman" w:cs="Times New Roman"/>
          <w:color w:val="000000" w:themeColor="text1"/>
          <w:lang w:val="en-US"/>
        </w:rPr>
        <w:t>280</w:t>
      </w:r>
      <w:r w:rsidRPr="00710874">
        <w:rPr>
          <w:rFonts w:ascii="Times New Roman" w:hAnsi="Times New Roman" w:cs="Times New Roman"/>
          <w:color w:val="000000" w:themeColor="text1"/>
          <w:lang w:val="en-US"/>
        </w:rPr>
        <w:t xml:space="preserve">), but for </w:t>
      </w:r>
      <w:r w:rsidR="00014D97" w:rsidRPr="00710874">
        <w:rPr>
          <w:rFonts w:ascii="Times New Roman" w:hAnsi="Times New Roman" w:cs="Times New Roman"/>
          <w:color w:val="000000" w:themeColor="text1"/>
          <w:lang w:val="en-US"/>
        </w:rPr>
        <w:t>all succeeding time windows (all p ≤ .0</w:t>
      </w:r>
      <w:r w:rsidR="00A15F57" w:rsidRPr="00710874">
        <w:rPr>
          <w:rFonts w:ascii="Times New Roman" w:hAnsi="Times New Roman" w:cs="Times New Roman"/>
          <w:color w:val="000000" w:themeColor="text1"/>
          <w:lang w:val="en-US"/>
        </w:rPr>
        <w:t>13</w:t>
      </w:r>
      <w:r w:rsidR="00014D97" w:rsidRPr="00710874">
        <w:rPr>
          <w:rFonts w:ascii="Times New Roman" w:hAnsi="Times New Roman" w:cs="Times New Roman"/>
          <w:color w:val="000000" w:themeColor="text1"/>
          <w:lang w:val="en-US"/>
        </w:rPr>
        <w:t>). For CS3, no time window before 300 ms showed a reliable slope (all p ≥ .08</w:t>
      </w:r>
      <w:r w:rsidR="00A15F57" w:rsidRPr="00710874">
        <w:rPr>
          <w:rFonts w:ascii="Times New Roman" w:hAnsi="Times New Roman" w:cs="Times New Roman"/>
          <w:color w:val="000000" w:themeColor="text1"/>
          <w:lang w:val="en-US"/>
        </w:rPr>
        <w:t>4</w:t>
      </w:r>
      <w:r w:rsidR="00014D97" w:rsidRPr="00710874">
        <w:rPr>
          <w:rFonts w:ascii="Times New Roman" w:hAnsi="Times New Roman" w:cs="Times New Roman"/>
          <w:color w:val="000000" w:themeColor="text1"/>
          <w:lang w:val="en-US"/>
        </w:rPr>
        <w:t>), but all time windows from 300 ms on showed a reliable slope (all p ≤ .00</w:t>
      </w:r>
      <w:r w:rsidR="00A15F57" w:rsidRPr="00710874">
        <w:rPr>
          <w:rFonts w:ascii="Times New Roman" w:hAnsi="Times New Roman" w:cs="Times New Roman"/>
          <w:color w:val="000000" w:themeColor="text1"/>
          <w:lang w:val="en-US"/>
        </w:rPr>
        <w:t>3</w:t>
      </w:r>
      <w:r w:rsidR="00014D97" w:rsidRPr="00710874">
        <w:rPr>
          <w:rFonts w:ascii="Times New Roman" w:hAnsi="Times New Roman" w:cs="Times New Roman"/>
          <w:color w:val="000000" w:themeColor="text1"/>
          <w:lang w:val="en-US"/>
        </w:rPr>
        <w:t xml:space="preserve">). Differences in the time slope between CS1 and CS3 were not observed before 500 ms (all p ≥ </w:t>
      </w:r>
      <w:r w:rsidR="0079073B"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197</w:t>
      </w:r>
      <w:r w:rsidR="0079073B" w:rsidRPr="00710874">
        <w:rPr>
          <w:rFonts w:ascii="Times New Roman" w:hAnsi="Times New Roman" w:cs="Times New Roman"/>
          <w:color w:val="000000" w:themeColor="text1"/>
          <w:lang w:val="en-US"/>
        </w:rPr>
        <w:t xml:space="preserve">), but for all succeeding time windows (all p ≤ </w:t>
      </w:r>
      <w:r w:rsidR="009E2469" w:rsidRPr="00710874">
        <w:rPr>
          <w:rFonts w:ascii="Times New Roman" w:hAnsi="Times New Roman" w:cs="Times New Roman"/>
          <w:color w:val="000000" w:themeColor="text1"/>
          <w:lang w:val="en-US"/>
        </w:rPr>
        <w:t>.0</w:t>
      </w:r>
      <w:r w:rsidR="00911FE3" w:rsidRPr="00710874">
        <w:rPr>
          <w:rFonts w:ascii="Times New Roman" w:hAnsi="Times New Roman" w:cs="Times New Roman"/>
          <w:color w:val="000000" w:themeColor="text1"/>
          <w:lang w:val="en-US"/>
        </w:rPr>
        <w:t>32</w:t>
      </w:r>
      <w:r w:rsidR="009E2469" w:rsidRPr="00710874">
        <w:rPr>
          <w:rFonts w:ascii="Times New Roman" w:hAnsi="Times New Roman" w:cs="Times New Roman"/>
          <w:color w:val="000000" w:themeColor="text1"/>
          <w:lang w:val="en-US"/>
        </w:rPr>
        <w:t>).</w:t>
      </w:r>
    </w:p>
    <w:p w14:paraId="7E418156" w14:textId="6F7FEAE1" w:rsidR="00C622BD" w:rsidRPr="00710874" w:rsidRDefault="009E2469" w:rsidP="00911FE3">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The </w:t>
      </w:r>
      <w:r w:rsidR="00861BEE" w:rsidRPr="00710874">
        <w:rPr>
          <w:rFonts w:ascii="Times New Roman" w:hAnsi="Times New Roman" w:cs="Times New Roman"/>
          <w:color w:val="000000" w:themeColor="text1"/>
          <w:lang w:val="en-US"/>
        </w:rPr>
        <w:t>fit between</w:t>
      </w:r>
      <w:r w:rsidRPr="00710874">
        <w:rPr>
          <w:rFonts w:ascii="Times New Roman" w:hAnsi="Times New Roman" w:cs="Times New Roman"/>
          <w:color w:val="000000" w:themeColor="text1"/>
          <w:lang w:val="en-US"/>
        </w:rPr>
        <w:t xml:space="preserve"> the simulated and observed CS3 was </w:t>
      </w:r>
      <w:r w:rsidR="00861BEE" w:rsidRPr="00710874">
        <w:rPr>
          <w:rFonts w:ascii="Times New Roman" w:hAnsi="Times New Roman" w:cs="Times New Roman"/>
          <w:color w:val="000000" w:themeColor="text1"/>
          <w:lang w:val="en-US"/>
        </w:rPr>
        <w:t>best</w:t>
      </w:r>
      <w:r w:rsidRPr="00710874">
        <w:rPr>
          <w:rFonts w:ascii="Times New Roman" w:hAnsi="Times New Roman" w:cs="Times New Roman"/>
          <w:color w:val="000000" w:themeColor="text1"/>
          <w:lang w:val="en-US"/>
        </w:rPr>
        <w:t xml:space="preserve"> under the assumption that attention was focused on each of the three positions equally often (i.e. ratio = 1/3). </w:t>
      </w:r>
      <w:r w:rsidR="004B5FBB" w:rsidRPr="00710874">
        <w:rPr>
          <w:rFonts w:ascii="Times New Roman" w:hAnsi="Times New Roman" w:cs="Times New Roman"/>
          <w:color w:val="000000" w:themeColor="text1"/>
          <w:lang w:val="en-US"/>
        </w:rPr>
        <w:t>The simulated CS3 slope was not reliable from 0</w:t>
      </w:r>
      <w:r w:rsidR="00A15F57" w:rsidRPr="00710874">
        <w:rPr>
          <w:rFonts w:ascii="Times New Roman" w:hAnsi="Times New Roman" w:cs="Times New Roman"/>
          <w:color w:val="000000" w:themeColor="text1"/>
          <w:lang w:val="en-US"/>
        </w:rPr>
        <w:t>-100 and 100-200 ms (all p ≥ .218</w:t>
      </w:r>
      <w:r w:rsidR="004B5FBB" w:rsidRPr="00710874">
        <w:rPr>
          <w:rFonts w:ascii="Times New Roman" w:hAnsi="Times New Roman" w:cs="Times New Roman"/>
          <w:color w:val="000000" w:themeColor="text1"/>
          <w:lang w:val="en-US"/>
        </w:rPr>
        <w:t>), but for all succeeding time windows (all p ≤ .01</w:t>
      </w:r>
      <w:r w:rsidR="00A15F57" w:rsidRPr="00710874">
        <w:rPr>
          <w:rFonts w:ascii="Times New Roman" w:hAnsi="Times New Roman" w:cs="Times New Roman"/>
          <w:color w:val="000000" w:themeColor="text1"/>
          <w:lang w:val="en-US"/>
        </w:rPr>
        <w:t>7</w:t>
      </w:r>
      <w:r w:rsidR="004B5FBB" w:rsidRPr="00710874">
        <w:rPr>
          <w:rFonts w:ascii="Times New Roman" w:hAnsi="Times New Roman" w:cs="Times New Roman"/>
          <w:color w:val="000000" w:themeColor="text1"/>
          <w:lang w:val="en-US"/>
        </w:rPr>
        <w:t xml:space="preserve">). </w:t>
      </w:r>
      <w:r w:rsidRPr="00710874">
        <w:rPr>
          <w:rFonts w:ascii="Times New Roman" w:hAnsi="Times New Roman" w:cs="Times New Roman"/>
          <w:color w:val="000000" w:themeColor="text1"/>
          <w:lang w:val="en-US"/>
        </w:rPr>
        <w:t>CS3 and simulated CS3 did not show reliable differences before 400 ms (all p ≥ .0</w:t>
      </w:r>
      <w:r w:rsidR="00911FE3" w:rsidRPr="00710874">
        <w:rPr>
          <w:rFonts w:ascii="Times New Roman" w:hAnsi="Times New Roman" w:cs="Times New Roman"/>
          <w:color w:val="000000" w:themeColor="text1"/>
          <w:lang w:val="en-US"/>
        </w:rPr>
        <w:t>59</w:t>
      </w:r>
      <w:r w:rsidRPr="00710874">
        <w:rPr>
          <w:rFonts w:ascii="Times New Roman" w:hAnsi="Times New Roman" w:cs="Times New Roman"/>
          <w:color w:val="000000" w:themeColor="text1"/>
          <w:lang w:val="en-US"/>
        </w:rPr>
        <w:t xml:space="preserve">), but </w:t>
      </w:r>
      <w:r w:rsidR="00D33DF9" w:rsidRPr="00710874">
        <w:rPr>
          <w:rFonts w:ascii="Times New Roman" w:hAnsi="Times New Roman" w:cs="Times New Roman"/>
          <w:color w:val="000000" w:themeColor="text1"/>
          <w:lang w:val="en-US"/>
        </w:rPr>
        <w:t xml:space="preserve">CS3 had a steeper slope than simulated CS3 </w:t>
      </w:r>
      <w:r w:rsidRPr="00710874">
        <w:rPr>
          <w:rFonts w:ascii="Times New Roman" w:hAnsi="Times New Roman" w:cs="Times New Roman"/>
          <w:color w:val="000000" w:themeColor="text1"/>
          <w:lang w:val="en-US"/>
        </w:rPr>
        <w:t>for all succeeding time windows (all p ≤ .00</w:t>
      </w:r>
      <w:r w:rsidR="00911FE3" w:rsidRPr="00710874">
        <w:rPr>
          <w:rFonts w:ascii="Times New Roman" w:hAnsi="Times New Roman" w:cs="Times New Roman"/>
          <w:color w:val="000000" w:themeColor="text1"/>
          <w:lang w:val="en-US"/>
        </w:rPr>
        <w:t>9</w:t>
      </w:r>
      <w:r w:rsidRPr="00710874">
        <w:rPr>
          <w:rFonts w:ascii="Times New Roman" w:hAnsi="Times New Roman" w:cs="Times New Roman"/>
          <w:color w:val="000000" w:themeColor="text1"/>
          <w:lang w:val="en-US"/>
        </w:rPr>
        <w:t xml:space="preserve">). This suggests that probabilistic switching of the CTF from the cue size 1 condition could not match the slope of the observed CTF in the cue size 3 condition. We ran an analogous analysis for the accuracy data. As for the CTF data, the optimal ratio for the central location was 1/3 and the slope was reliably different between the observed (4.3%) and simulated (2.8%) cue size 3 condition (p = .024). Thus, probabilistic switching of a narrow attentional focus does not provide an adequate explanation of the broader tuning observed in both behavioral and neural data when observers were cued to </w:t>
      </w:r>
      <w:r w:rsidR="004B5FBB" w:rsidRPr="00710874">
        <w:rPr>
          <w:rFonts w:ascii="Times New Roman" w:hAnsi="Times New Roman" w:cs="Times New Roman"/>
          <w:color w:val="000000" w:themeColor="text1"/>
          <w:lang w:val="en-US"/>
        </w:rPr>
        <w:t>attend a wider region of space.</w:t>
      </w:r>
    </w:p>
    <w:p w14:paraId="1D83FF4E" w14:textId="3CA8E6A2" w:rsidR="00933175" w:rsidRPr="00710874" w:rsidRDefault="00E76B56" w:rsidP="00CF52C8">
      <w:pPr>
        <w:tabs>
          <w:tab w:val="left" w:pos="2127"/>
        </w:tabs>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The behavioral and EEG findings followed a similar pattern. In the cue size 1 condition, target discrimination accuracy was higher in the center of the cued region than in the cue size 3 condition, and accuracy dropped more quickly with increasing distance from the center of the cued region in the cue size 1 condition than in the cue size 3 condition. </w:t>
      </w:r>
      <w:r w:rsidR="00CE1D07" w:rsidRPr="00710874">
        <w:rPr>
          <w:rFonts w:ascii="Times New Roman" w:hAnsi="Times New Roman" w:cs="Times New Roman"/>
          <w:color w:val="000000" w:themeColor="text1"/>
          <w:lang w:val="en-US"/>
        </w:rPr>
        <w:t>Likewise</w:t>
      </w:r>
      <w:r w:rsidR="007B2969" w:rsidRPr="00710874">
        <w:rPr>
          <w:rFonts w:ascii="Times New Roman" w:hAnsi="Times New Roman" w:cs="Times New Roman"/>
          <w:color w:val="000000" w:themeColor="text1"/>
          <w:lang w:val="en-US"/>
        </w:rPr>
        <w:t xml:space="preserve">, </w:t>
      </w:r>
      <w:r w:rsidR="005073BD" w:rsidRPr="00710874">
        <w:rPr>
          <w:rFonts w:ascii="Times New Roman" w:hAnsi="Times New Roman" w:cs="Times New Roman"/>
          <w:color w:val="000000" w:themeColor="text1"/>
          <w:lang w:val="en-US"/>
        </w:rPr>
        <w:t>from 500 ms on</w:t>
      </w:r>
      <w:r w:rsidR="00CE1D07" w:rsidRPr="00710874">
        <w:rPr>
          <w:rFonts w:ascii="Times New Roman" w:hAnsi="Times New Roman" w:cs="Times New Roman"/>
          <w:color w:val="000000" w:themeColor="text1"/>
          <w:lang w:val="en-US"/>
        </w:rPr>
        <w:t xml:space="preserve">, </w:t>
      </w:r>
      <w:r w:rsidR="007B2969" w:rsidRPr="00710874">
        <w:rPr>
          <w:rFonts w:ascii="Times New Roman" w:hAnsi="Times New Roman" w:cs="Times New Roman"/>
          <w:color w:val="000000" w:themeColor="text1"/>
          <w:lang w:val="en-US"/>
        </w:rPr>
        <w:t>t</w:t>
      </w:r>
      <w:r w:rsidR="00CE1D07" w:rsidRPr="00710874">
        <w:rPr>
          <w:rFonts w:ascii="Times New Roman" w:hAnsi="Times New Roman" w:cs="Times New Roman"/>
          <w:color w:val="000000" w:themeColor="text1"/>
          <w:lang w:val="en-US"/>
        </w:rPr>
        <w:t xml:space="preserve">he </w:t>
      </w:r>
      <w:r w:rsidR="000C50F1" w:rsidRPr="00710874">
        <w:rPr>
          <w:rFonts w:ascii="Times New Roman" w:hAnsi="Times New Roman" w:cs="Times New Roman"/>
          <w:color w:val="000000" w:themeColor="text1"/>
          <w:lang w:val="en-US"/>
        </w:rPr>
        <w:t>slope of the channel tuning function was steeper</w:t>
      </w:r>
      <w:r w:rsidR="007B2969" w:rsidRPr="00710874">
        <w:rPr>
          <w:rFonts w:ascii="Times New Roman" w:hAnsi="Times New Roman" w:cs="Times New Roman"/>
          <w:color w:val="000000" w:themeColor="text1"/>
          <w:lang w:val="en-US"/>
        </w:rPr>
        <w:t xml:space="preserve"> in the cue size 1 condition than in the cue size 3 condition</w:t>
      </w:r>
      <w:r w:rsidR="000C50F1" w:rsidRPr="00710874">
        <w:rPr>
          <w:rFonts w:ascii="Times New Roman" w:hAnsi="Times New Roman" w:cs="Times New Roman"/>
          <w:color w:val="000000" w:themeColor="text1"/>
          <w:lang w:val="en-US"/>
        </w:rPr>
        <w:t xml:space="preserve">, suggesting a sharper drop off in the gradient of attention </w:t>
      </w:r>
      <w:r w:rsidR="002526A1" w:rsidRPr="00710874">
        <w:rPr>
          <w:rFonts w:ascii="Times New Roman" w:hAnsi="Times New Roman" w:cs="Times New Roman"/>
          <w:color w:val="000000" w:themeColor="text1"/>
          <w:lang w:val="en-US"/>
        </w:rPr>
        <w:t>around the cued region</w:t>
      </w:r>
      <w:r w:rsidR="007B2969" w:rsidRPr="00710874">
        <w:rPr>
          <w:rFonts w:ascii="Times New Roman" w:hAnsi="Times New Roman" w:cs="Times New Roman"/>
          <w:color w:val="000000" w:themeColor="text1"/>
          <w:lang w:val="en-US"/>
        </w:rPr>
        <w:t>.</w:t>
      </w:r>
      <w:r w:rsidR="00CE1D07" w:rsidRPr="00710874">
        <w:rPr>
          <w:rFonts w:ascii="Times New Roman" w:hAnsi="Times New Roman" w:cs="Times New Roman"/>
          <w:color w:val="000000" w:themeColor="text1"/>
          <w:lang w:val="en-US"/>
        </w:rPr>
        <w:t xml:space="preserve"> </w:t>
      </w:r>
      <w:r w:rsidR="00173ED1" w:rsidRPr="00710874">
        <w:rPr>
          <w:rFonts w:ascii="Times New Roman" w:hAnsi="Times New Roman" w:cs="Times New Roman"/>
          <w:color w:val="000000" w:themeColor="text1"/>
          <w:lang w:val="en-US"/>
        </w:rPr>
        <w:t xml:space="preserve">Interestingly, </w:t>
      </w:r>
      <w:r w:rsidR="005073BD" w:rsidRPr="00710874">
        <w:rPr>
          <w:rFonts w:ascii="Times New Roman" w:hAnsi="Times New Roman" w:cs="Times New Roman"/>
          <w:color w:val="000000" w:themeColor="text1"/>
          <w:lang w:val="en-US"/>
        </w:rPr>
        <w:t xml:space="preserve">reliable slopes for each cue size were observed before a differential slope was found, namely from 200 ms on (CS1) or 300 ms on (CS3). </w:t>
      </w:r>
      <w:r w:rsidR="00173ED1" w:rsidRPr="00710874">
        <w:rPr>
          <w:rFonts w:ascii="Times New Roman" w:hAnsi="Times New Roman" w:cs="Times New Roman"/>
          <w:color w:val="000000" w:themeColor="text1"/>
          <w:lang w:val="en-US"/>
        </w:rPr>
        <w:t xml:space="preserve">This falls in line with past estimates of the time course to deploy attention following symbolic central cues </w:t>
      </w:r>
      <w:r w:rsidR="00173ED1" w:rsidRPr="00710874">
        <w:rPr>
          <w:rFonts w:ascii="Times New Roman" w:hAnsi="Times New Roman" w:cs="Times New Roman"/>
          <w:color w:val="000000" w:themeColor="text1"/>
          <w:lang w:val="en-US"/>
        </w:rPr>
        <w:fldChar w:fldCharType="begin"/>
      </w:r>
      <w:r w:rsidR="004807CB" w:rsidRPr="00710874">
        <w:rPr>
          <w:rFonts w:ascii="Times New Roman" w:hAnsi="Times New Roman" w:cs="Times New Roman"/>
          <w:color w:val="000000" w:themeColor="text1"/>
          <w:lang w:val="en-US"/>
        </w:rPr>
        <w:instrText xml:space="preserve"> ADDIN ZOTERO_ITEM CSL_CITATION {"citationID":"26KYVpcz","properties":{"formattedCitation":"(T. Feldmann-W\\uc0\\u252{}stefeld &amp; Schub\\uc0\\u246{}, 2013; H. J. M\\uc0\\u252{}ller &amp; Rabbitt, 1989)","plainCitation":"(T. Feldmann-Wüstefeld &amp; Schubö, 2013; H. J. Müller &amp; Rabbitt, 1989)","dontUpdate":true,"noteIndex":0},"citationItems":[{"id":11,"uris":["http://zotero.org/users/4743004/items/XNU7QS89"],"uri":["http://zotero.org/users/4743004/items/XNU7QS89"],"itemData":{"id":11,"type":"article-journal","title":"Textures shape the attentional focus: Evidence from exogenous and endogenous cueing","container-title":"Attention, Perception, and Psychophysics","volume":"75","issue":"8","abstract":"The spatial cueing paradigm (Posner Quarterly Journal of Experimental Psychology 32:3-25, 1980) has often been used to investigate the time course of the deployment of visual attention in space. In a series of eight experiments we investigated whether spatial cues would not only enhance processing of stimuli presented at cued locations, but also enhance processing of the entire texture in which the stimuli were presented. Results showed highest accuracy for responses to stimuli presented at cued locations, a replication of the traditional cueing effect (Posner 1980). Additionally, stimuli presented at uncued locations were responded to with higher accuracy when they were presented inside the same texture as the cued location, as compared with stimuli presented outside the texture with the cued location. To investigate this texture advantage for both automatic and voluntary attention deployment, exogenous and endogenous cues were used. The texture advantage was observed for short interstimulus intervals (ISIs) of 50 and 100 ms for exogenous cues and for a longer ISI of 200 ms for endogenous cues. These findings indicate that the arrangement of task-irrelevant visual stimuli also can have a large impact on the cueing effect. This suggests that visual spatial attention spreads texture-wise across the visual field. Control experiments revealed that the homogeneity within texture elements contributes most to the effect but that the texture advantage is a function of both orientation contrast at the texture border and homogeneity within texture elements. © 2013 Psychonomic Society, Inc.","DOI":"10.3758/s13414-013-0508-z","author":[{"family":"Feldmann-Wüstefeld","given":"T."},{"family":"Schubö","given":"A."}],"issued":{"date-parts":[["2013"]]}}},{"id":903,"uris":["http://zotero.org/users/4743004/items/V2NXX7S9"],"uri":["http://zotero.org/users/4743004/items/V2NXX7S9"],"itemData":{"id":903,"type":"article-journal","title":"Spatial cueing and the relation between the accuracy of “where” and “what” decisions in visual search","container-title":"The Quarterly Journal of Experimental Psychology Section A","page":"747-773","volume":"41","issue":"4","DOI":"10.1080/14640748908402392","author":[{"family":"Müller","given":"Hermann J"},{"family":"Rabbitt","given":"Patrick M.","dropping-particle":"a."}],"issued":{"date-parts":[["1989",11]]}}}],"schema":"https://github.com/citation-style-language/schema/raw/master/csl-citation.json"} </w:instrText>
      </w:r>
      <w:r w:rsidR="00173ED1" w:rsidRPr="00710874">
        <w:rPr>
          <w:rFonts w:ascii="Times New Roman" w:hAnsi="Times New Roman" w:cs="Times New Roman"/>
          <w:color w:val="000000" w:themeColor="text1"/>
          <w:lang w:val="en-US"/>
        </w:rPr>
        <w:fldChar w:fldCharType="separate"/>
      </w:r>
      <w:r w:rsidR="00173ED1" w:rsidRPr="00710874">
        <w:rPr>
          <w:rFonts w:ascii="Times New Roman" w:hAnsi="Times New Roman" w:cs="Times New Roman"/>
          <w:color w:val="000000" w:themeColor="text1"/>
          <w:szCs w:val="24"/>
        </w:rPr>
        <w:t>(Feldmann-Wüstefeld &amp; Schubö, 2013; Müller &amp; Rabbitt, 1989)</w:t>
      </w:r>
      <w:r w:rsidR="00173ED1" w:rsidRPr="00710874">
        <w:rPr>
          <w:rFonts w:ascii="Times New Roman" w:hAnsi="Times New Roman" w:cs="Times New Roman"/>
          <w:color w:val="000000" w:themeColor="text1"/>
          <w:lang w:val="en-US"/>
        </w:rPr>
        <w:fldChar w:fldCharType="end"/>
      </w:r>
      <w:r w:rsidR="00173ED1" w:rsidRPr="00710874">
        <w:rPr>
          <w:rFonts w:ascii="Times New Roman" w:hAnsi="Times New Roman" w:cs="Times New Roman"/>
          <w:color w:val="000000" w:themeColor="text1"/>
          <w:lang w:val="en-US"/>
        </w:rPr>
        <w:t>.</w:t>
      </w:r>
      <w:r w:rsidR="005073BD" w:rsidRPr="00710874">
        <w:rPr>
          <w:rFonts w:ascii="Times New Roman" w:hAnsi="Times New Roman" w:cs="Times New Roman"/>
          <w:color w:val="000000" w:themeColor="text1"/>
          <w:lang w:val="en-US"/>
        </w:rPr>
        <w:t xml:space="preserve"> Apparently participants shifted their attention to the peripheral location before they then adjusted the size of the attended region</w:t>
      </w:r>
      <w:r w:rsidR="00AA0D87" w:rsidRPr="00710874">
        <w:rPr>
          <w:rFonts w:ascii="Times New Roman" w:hAnsi="Times New Roman" w:cs="Times New Roman"/>
          <w:color w:val="000000" w:themeColor="text1"/>
          <w:lang w:val="en-US"/>
        </w:rPr>
        <w:t>.</w:t>
      </w:r>
      <w:r w:rsidR="00CF52C8" w:rsidRPr="00710874">
        <w:rPr>
          <w:rFonts w:ascii="Times New Roman" w:hAnsi="Times New Roman" w:cs="Times New Roman"/>
          <w:color w:val="000000" w:themeColor="text1"/>
          <w:lang w:val="en-US"/>
        </w:rPr>
        <w:t xml:space="preserve"> </w:t>
      </w:r>
    </w:p>
    <w:p w14:paraId="2B89DD33" w14:textId="04D0F120" w:rsidR="00CF52C8" w:rsidRPr="00710874" w:rsidRDefault="00CF52C8" w:rsidP="00AA0D87">
      <w:pPr>
        <w:tabs>
          <w:tab w:val="left" w:pos="2127"/>
        </w:tabs>
        <w:spacing w:after="0" w:line="480" w:lineRule="auto"/>
        <w:ind w:firstLine="720"/>
        <w:jc w:val="both"/>
        <w:rPr>
          <w:rFonts w:ascii="Times New Roman" w:hAnsi="Times New Roman" w:cs="Times New Roman"/>
          <w:color w:val="000000" w:themeColor="text1"/>
          <w:lang w:val="en-US"/>
        </w:rPr>
      </w:pPr>
    </w:p>
    <w:p w14:paraId="1C6C906F" w14:textId="785835F3" w:rsidR="007B752E" w:rsidRPr="00710874" w:rsidRDefault="007B752E" w:rsidP="007B752E">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Experiment 2</w:t>
      </w:r>
    </w:p>
    <w:p w14:paraId="55DEF928" w14:textId="34A85179" w:rsidR="008A1C25" w:rsidRPr="00710874" w:rsidRDefault="00FF7879" w:rsidP="00C52E61">
      <w:pPr>
        <w:tabs>
          <w:tab w:val="left" w:pos="2127"/>
        </w:tabs>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 xml:space="preserve">Experiment 2 served two purposes. First, we sought to replicate our observation that the profile of spatial channel activity tracks the breadth of covert attentional orienting. Second, we </w:t>
      </w:r>
      <w:r w:rsidR="007B752E" w:rsidRPr="00710874">
        <w:rPr>
          <w:rFonts w:ascii="Times New Roman" w:hAnsi="Times New Roman" w:cs="Times New Roman"/>
          <w:color w:val="000000" w:themeColor="text1"/>
          <w:lang w:val="en-US"/>
        </w:rPr>
        <w:t xml:space="preserve">hypothesized that observers might be able to control the breadth of attention more easily if there were </w:t>
      </w:r>
      <w:r w:rsidRPr="00710874">
        <w:rPr>
          <w:rFonts w:ascii="Times New Roman" w:hAnsi="Times New Roman" w:cs="Times New Roman"/>
          <w:color w:val="000000" w:themeColor="text1"/>
          <w:lang w:val="en-US"/>
        </w:rPr>
        <w:t xml:space="preserve">physical landmarks in the </w:t>
      </w:r>
      <w:r w:rsidR="007B752E" w:rsidRPr="00710874">
        <w:rPr>
          <w:rFonts w:ascii="Times New Roman" w:hAnsi="Times New Roman" w:cs="Times New Roman"/>
          <w:color w:val="000000" w:themeColor="text1"/>
          <w:lang w:val="en-US"/>
        </w:rPr>
        <w:t>cued positions during the time between cue and target</w:t>
      </w:r>
      <w:r w:rsidRPr="00710874">
        <w:rPr>
          <w:rFonts w:ascii="Times New Roman" w:hAnsi="Times New Roman" w:cs="Times New Roman"/>
          <w:color w:val="000000" w:themeColor="text1"/>
          <w:lang w:val="en-US"/>
        </w:rPr>
        <w:t xml:space="preserve">. </w:t>
      </w:r>
      <w:r w:rsidR="00B4536A" w:rsidRPr="00710874">
        <w:rPr>
          <w:rFonts w:ascii="Times New Roman" w:hAnsi="Times New Roman" w:cs="Times New Roman"/>
          <w:color w:val="000000" w:themeColor="text1"/>
          <w:lang w:val="en-US"/>
        </w:rPr>
        <w:t xml:space="preserve">To that end </w:t>
      </w:r>
      <w:r w:rsidR="0084442E" w:rsidRPr="00710874">
        <w:rPr>
          <w:rFonts w:ascii="Times New Roman" w:hAnsi="Times New Roman" w:cs="Times New Roman"/>
          <w:color w:val="000000" w:themeColor="text1"/>
          <w:lang w:val="en-US"/>
        </w:rPr>
        <w:t xml:space="preserve">we </w:t>
      </w:r>
      <w:r w:rsidRPr="00710874">
        <w:rPr>
          <w:rFonts w:ascii="Times New Roman" w:hAnsi="Times New Roman" w:cs="Times New Roman"/>
          <w:color w:val="000000" w:themeColor="text1"/>
          <w:lang w:val="en-US"/>
        </w:rPr>
        <w:t>presented</w:t>
      </w:r>
      <w:r w:rsidR="00B4536A" w:rsidRPr="00710874">
        <w:rPr>
          <w:rFonts w:ascii="Times New Roman" w:hAnsi="Times New Roman" w:cs="Times New Roman"/>
          <w:color w:val="000000" w:themeColor="text1"/>
          <w:lang w:val="en-US"/>
        </w:rPr>
        <w:t xml:space="preserve"> ring-shaped placeholders at all eight positions </w:t>
      </w:r>
      <w:r w:rsidR="0084442E" w:rsidRPr="00710874">
        <w:rPr>
          <w:rFonts w:ascii="Times New Roman" w:hAnsi="Times New Roman" w:cs="Times New Roman"/>
          <w:color w:val="000000" w:themeColor="text1"/>
          <w:lang w:val="en-US"/>
        </w:rPr>
        <w:t xml:space="preserve">throughout the </w:t>
      </w:r>
      <w:r w:rsidRPr="00710874">
        <w:rPr>
          <w:rFonts w:ascii="Times New Roman" w:hAnsi="Times New Roman" w:cs="Times New Roman"/>
          <w:color w:val="000000" w:themeColor="text1"/>
          <w:lang w:val="en-US"/>
        </w:rPr>
        <w:t>cue-to-target interval</w:t>
      </w:r>
      <w:r w:rsidR="00F05325" w:rsidRPr="00710874">
        <w:rPr>
          <w:rFonts w:ascii="Times New Roman" w:hAnsi="Times New Roman" w:cs="Times New Roman"/>
          <w:color w:val="000000" w:themeColor="text1"/>
          <w:lang w:val="en-US"/>
        </w:rPr>
        <w:t>.</w:t>
      </w:r>
      <w:r w:rsidR="00B4536A" w:rsidRPr="00710874">
        <w:rPr>
          <w:rFonts w:ascii="Times New Roman" w:hAnsi="Times New Roman" w:cs="Times New Roman"/>
          <w:color w:val="000000" w:themeColor="text1"/>
          <w:lang w:val="en-US"/>
        </w:rPr>
        <w:t xml:space="preserve"> </w:t>
      </w:r>
    </w:p>
    <w:p w14:paraId="0D65CD23" w14:textId="77777777" w:rsidR="005F6ADE" w:rsidRPr="00710874" w:rsidRDefault="005F6ADE" w:rsidP="005F6ADE">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color w:val="000000" w:themeColor="text1"/>
          <w:lang w:val="en-US"/>
        </w:rPr>
        <w:t xml:space="preserve">Participants. </w:t>
      </w:r>
      <w:r w:rsidRPr="00710874">
        <w:rPr>
          <w:rFonts w:ascii="Times New Roman" w:hAnsi="Times New Roman" w:cs="Times New Roman"/>
          <w:color w:val="000000" w:themeColor="text1"/>
          <w:lang w:val="en-US"/>
        </w:rPr>
        <w:t>Twenty-seven volunteers naïve to the objective of the experiment participated for payment (15 USD per hour). Participants were aged 19-37 years (M = 23.9, SD = 4.9) and reported normal or corrected-to-normal visual acuity as well as normal color vision. Fifteen participants were female and one was left-handed. The experiment was conducted with the written understanding and consent of each participant.</w:t>
      </w:r>
    </w:p>
    <w:p w14:paraId="3A648D21" w14:textId="694F3F81" w:rsidR="00D12705" w:rsidRPr="00710874" w:rsidRDefault="005F6ADE" w:rsidP="00AA0D87">
      <w:pPr>
        <w:spacing w:after="0" w:line="480" w:lineRule="auto"/>
        <w:ind w:firstLine="720"/>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 xml:space="preserve">Stimuli, apparatus and procedure. </w:t>
      </w:r>
      <w:r w:rsidRPr="00710874">
        <w:rPr>
          <w:rFonts w:ascii="Times New Roman" w:hAnsi="Times New Roman" w:cs="Times New Roman"/>
          <w:color w:val="000000" w:themeColor="text1"/>
          <w:lang w:val="en-US"/>
        </w:rPr>
        <w:t xml:space="preserve">Experiment 2 was identical to Experiment 1 except for these differences: Throughout the entire trial (i.e., except for the inter-trial-interval and the “ready display”), eight empty grey circles (1.7°) with the same luminance as the fixation cross served as placeholders. This was </w:t>
      </w:r>
      <w:r w:rsidR="00CD20A7" w:rsidRPr="00710874">
        <w:rPr>
          <w:rFonts w:ascii="Times New Roman" w:hAnsi="Times New Roman" w:cs="Times New Roman"/>
          <w:color w:val="000000" w:themeColor="text1"/>
          <w:lang w:val="en-US"/>
        </w:rPr>
        <w:t xml:space="preserve">intended </w:t>
      </w:r>
      <w:r w:rsidRPr="00710874">
        <w:rPr>
          <w:rFonts w:ascii="Times New Roman" w:hAnsi="Times New Roman" w:cs="Times New Roman"/>
          <w:color w:val="000000" w:themeColor="text1"/>
          <w:lang w:val="en-US"/>
        </w:rPr>
        <w:t>to help observers to attentionally lock onto cued locations and reduce spatial uncertainty. Furthermore, the online eye tracking procedure allowed observers to only deviate 1.2° from fixation but allowed any deviation from fixation for a maximum of 50 ms</w:t>
      </w:r>
      <w:r w:rsidR="006D6F6D" w:rsidRPr="00710874">
        <w:rPr>
          <w:rFonts w:ascii="Times New Roman" w:hAnsi="Times New Roman" w:cs="Times New Roman"/>
          <w:color w:val="000000" w:themeColor="text1"/>
          <w:lang w:val="en-US"/>
        </w:rPr>
        <w:t xml:space="preserve"> (this was done to optimize the feedback procedure and avoid false alarms, i.e., signaling eye movements to participants when in fact there were none)</w:t>
      </w:r>
      <w:r w:rsidRPr="00710874">
        <w:rPr>
          <w:rFonts w:ascii="Times New Roman" w:hAnsi="Times New Roman" w:cs="Times New Roman"/>
          <w:color w:val="000000" w:themeColor="text1"/>
          <w:lang w:val="en-US"/>
        </w:rPr>
        <w:t>. This allowed</w:t>
      </w:r>
      <w:r w:rsidR="00843BD1" w:rsidRPr="00710874">
        <w:rPr>
          <w:rFonts w:ascii="Times New Roman" w:hAnsi="Times New Roman" w:cs="Times New Roman"/>
          <w:color w:val="000000" w:themeColor="text1"/>
          <w:lang w:val="en-US"/>
        </w:rPr>
        <w:t xml:space="preserve"> for </w:t>
      </w:r>
      <w:r w:rsidRPr="00710874">
        <w:rPr>
          <w:rFonts w:ascii="Times New Roman" w:hAnsi="Times New Roman" w:cs="Times New Roman"/>
          <w:color w:val="000000" w:themeColor="text1"/>
          <w:lang w:val="en-US"/>
        </w:rPr>
        <w:t>noise in the eye tracking</w:t>
      </w:r>
      <w:r w:rsidR="00843BD1" w:rsidRPr="00710874">
        <w:rPr>
          <w:rFonts w:ascii="Times New Roman" w:hAnsi="Times New Roman" w:cs="Times New Roman"/>
          <w:color w:val="000000" w:themeColor="text1"/>
          <w:lang w:val="en-US"/>
        </w:rPr>
        <w:t xml:space="preserve"> signal and</w:t>
      </w:r>
      <w:r w:rsidRPr="00710874">
        <w:rPr>
          <w:rFonts w:ascii="Times New Roman" w:hAnsi="Times New Roman" w:cs="Times New Roman"/>
          <w:color w:val="000000" w:themeColor="text1"/>
          <w:lang w:val="en-US"/>
        </w:rPr>
        <w:t xml:space="preserve"> </w:t>
      </w:r>
      <w:r w:rsidR="00843BD1" w:rsidRPr="00710874">
        <w:rPr>
          <w:rFonts w:ascii="Times New Roman" w:hAnsi="Times New Roman" w:cs="Times New Roman"/>
          <w:color w:val="000000" w:themeColor="text1"/>
          <w:lang w:val="en-US"/>
        </w:rPr>
        <w:t xml:space="preserve">provided </w:t>
      </w:r>
      <w:r w:rsidRPr="00710874">
        <w:rPr>
          <w:rFonts w:ascii="Times New Roman" w:hAnsi="Times New Roman" w:cs="Times New Roman"/>
          <w:color w:val="000000" w:themeColor="text1"/>
          <w:lang w:val="en-US"/>
        </w:rPr>
        <w:t xml:space="preserve">more </w:t>
      </w:r>
      <w:r w:rsidR="00843BD1" w:rsidRPr="00710874">
        <w:rPr>
          <w:rFonts w:ascii="Times New Roman" w:hAnsi="Times New Roman" w:cs="Times New Roman"/>
          <w:color w:val="000000" w:themeColor="text1"/>
          <w:lang w:val="en-US"/>
        </w:rPr>
        <w:t xml:space="preserve">accurate </w:t>
      </w:r>
      <w:r w:rsidRPr="00710874">
        <w:rPr>
          <w:rFonts w:ascii="Times New Roman" w:hAnsi="Times New Roman" w:cs="Times New Roman"/>
          <w:color w:val="000000" w:themeColor="text1"/>
          <w:lang w:val="en-US"/>
        </w:rPr>
        <w:t xml:space="preserve">feedback </w:t>
      </w:r>
      <w:r w:rsidR="00843BD1" w:rsidRPr="00710874">
        <w:rPr>
          <w:rFonts w:ascii="Times New Roman" w:hAnsi="Times New Roman" w:cs="Times New Roman"/>
          <w:color w:val="000000" w:themeColor="text1"/>
          <w:lang w:val="en-US"/>
        </w:rPr>
        <w:t>for detecting</w:t>
      </w:r>
      <w:r w:rsidRPr="00710874">
        <w:rPr>
          <w:rFonts w:ascii="Times New Roman" w:hAnsi="Times New Roman" w:cs="Times New Roman"/>
          <w:color w:val="000000" w:themeColor="text1"/>
          <w:lang w:val="en-US"/>
        </w:rPr>
        <w:t xml:space="preserve"> eye movements. Note that the post-hoc artifact rejection was identical for Experiment 1 and 2, ensuring a similar data quality. Cue validity was 90%</w:t>
      </w:r>
      <w:r w:rsidR="006D6F6D" w:rsidRPr="00710874">
        <w:rPr>
          <w:rFonts w:ascii="Times New Roman" w:hAnsi="Times New Roman" w:cs="Times New Roman"/>
          <w:color w:val="000000" w:themeColor="text1"/>
          <w:lang w:val="en-US"/>
        </w:rPr>
        <w:t>, to further increase participants’ motivation to use the cues</w:t>
      </w:r>
      <w:r w:rsidRPr="00710874">
        <w:rPr>
          <w:rFonts w:ascii="Times New Roman" w:hAnsi="Times New Roman" w:cs="Times New Roman"/>
          <w:color w:val="000000" w:themeColor="text1"/>
          <w:lang w:val="en-US"/>
        </w:rPr>
        <w:t xml:space="preserve">. </w:t>
      </w:r>
      <w:r w:rsidR="000741D8" w:rsidRPr="00710874">
        <w:rPr>
          <w:rFonts w:ascii="Times New Roman" w:hAnsi="Times New Roman" w:cs="Times New Roman"/>
          <w:color w:val="000000" w:themeColor="text1"/>
          <w:lang w:val="en-US"/>
        </w:rPr>
        <w:t xml:space="preserve">In the </w:t>
      </w:r>
      <w:r w:rsidRPr="00710874">
        <w:rPr>
          <w:rFonts w:ascii="Times New Roman" w:hAnsi="Times New Roman" w:cs="Times New Roman"/>
          <w:color w:val="000000" w:themeColor="text1"/>
          <w:lang w:val="en-US"/>
        </w:rPr>
        <w:t>staircasing procedure</w:t>
      </w:r>
      <w:r w:rsidR="000741D8"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xml:space="preserve"> the average of the last 21 contrast values was used in the main experiment</w:t>
      </w:r>
      <w:r w:rsidR="006D6F6D" w:rsidRPr="00710874">
        <w:rPr>
          <w:rFonts w:ascii="Times New Roman" w:hAnsi="Times New Roman" w:cs="Times New Roman"/>
          <w:color w:val="000000" w:themeColor="text1"/>
          <w:lang w:val="en-US"/>
        </w:rPr>
        <w:t xml:space="preserve"> to get a more reliable estimate of an appropriate difficulty level for a given participant</w:t>
      </w:r>
      <w:r w:rsidRPr="00710874">
        <w:rPr>
          <w:rFonts w:ascii="Times New Roman" w:hAnsi="Times New Roman" w:cs="Times New Roman"/>
          <w:color w:val="000000" w:themeColor="text1"/>
          <w:lang w:val="en-US"/>
        </w:rPr>
        <w:t>.</w:t>
      </w:r>
    </w:p>
    <w:p w14:paraId="3E86FF48" w14:textId="58F260CA" w:rsidR="009F1454" w:rsidRPr="00710874" w:rsidRDefault="009F1454" w:rsidP="009F1454">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Results Experiment 2</w:t>
      </w:r>
    </w:p>
    <w:p w14:paraId="5BFC5442" w14:textId="595443AB" w:rsidR="009F1454" w:rsidRPr="00710874" w:rsidRDefault="009F1454" w:rsidP="009F1454">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Behavioral results</w:t>
      </w:r>
    </w:p>
    <w:p w14:paraId="7A5C1474" w14:textId="7A16C5DA" w:rsidR="00FF43DE" w:rsidRPr="00710874" w:rsidRDefault="00AA0D87" w:rsidP="00AA0D87">
      <w:pPr>
        <w:spacing w:after="0" w:line="480" w:lineRule="auto"/>
        <w:jc w:val="both"/>
        <w:rPr>
          <w:rFonts w:ascii="Times New Roman" w:hAnsi="Times New Roman" w:cs="Times New Roman"/>
          <w:color w:val="000000" w:themeColor="text1"/>
          <w:lang w:val="en-US"/>
        </w:rPr>
      </w:pPr>
      <w:r w:rsidRPr="00710874">
        <w:rPr>
          <w:noProof/>
          <w:color w:val="000000" w:themeColor="text1"/>
          <w:lang w:eastAsia="zh-CN"/>
        </w:rPr>
        <w:lastRenderedPageBreak/>
        <mc:AlternateContent>
          <mc:Choice Requires="wps">
            <w:drawing>
              <wp:anchor distT="0" distB="0" distL="114300" distR="114300" simplePos="0" relativeHeight="251692032" behindDoc="0" locked="0" layoutInCell="1" allowOverlap="1" wp14:anchorId="0C79FF77" wp14:editId="42274A2D">
                <wp:simplePos x="0" y="0"/>
                <wp:positionH relativeFrom="margin">
                  <wp:align>left</wp:align>
                </wp:positionH>
                <wp:positionV relativeFrom="paragraph">
                  <wp:posOffset>6024681</wp:posOffset>
                </wp:positionV>
                <wp:extent cx="5935345" cy="635"/>
                <wp:effectExtent l="0" t="0" r="8255" b="5080"/>
                <wp:wrapSquare wrapText="bothSides"/>
                <wp:docPr id="16" name="Text Box 16"/>
                <wp:cNvGraphicFramePr/>
                <a:graphic xmlns:a="http://schemas.openxmlformats.org/drawingml/2006/main">
                  <a:graphicData uri="http://schemas.microsoft.com/office/word/2010/wordprocessingShape">
                    <wps:wsp>
                      <wps:cNvSpPr txBox="1"/>
                      <wps:spPr>
                        <a:xfrm>
                          <a:off x="0" y="0"/>
                          <a:ext cx="5935345" cy="635"/>
                        </a:xfrm>
                        <a:prstGeom prst="rect">
                          <a:avLst/>
                        </a:prstGeom>
                        <a:solidFill>
                          <a:prstClr val="white"/>
                        </a:solidFill>
                        <a:ln>
                          <a:noFill/>
                        </a:ln>
                        <a:effectLst/>
                      </wps:spPr>
                      <wps:txbx>
                        <w:txbxContent>
                          <w:p w14:paraId="6EC68959" w14:textId="54F364A9" w:rsidR="00A61B4A" w:rsidRPr="00D32E27" w:rsidRDefault="00A61B4A" w:rsidP="00AA0D87">
                            <w:pPr>
                              <w:pStyle w:val="Caption"/>
                              <w:rPr>
                                <w:sz w:val="24"/>
                                <w:szCs w:val="24"/>
                              </w:rPr>
                            </w:pPr>
                            <w:r w:rsidRPr="00D32E27">
                              <w:rPr>
                                <w:b/>
                                <w:bCs/>
                                <w:color w:val="000000" w:themeColor="text1"/>
                                <w:sz w:val="24"/>
                                <w:szCs w:val="24"/>
                              </w:rPr>
                              <w:t xml:space="preserve">Figure </w:t>
                            </w:r>
                            <w:r w:rsidRPr="00D32E27">
                              <w:rPr>
                                <w:b/>
                                <w:bCs/>
                                <w:noProof/>
                                <w:color w:val="000000" w:themeColor="text1"/>
                                <w:sz w:val="24"/>
                                <w:szCs w:val="24"/>
                              </w:rPr>
                              <w:t>4</w:t>
                            </w:r>
                            <w:r w:rsidRPr="00D32E27">
                              <w:rPr>
                                <w:b/>
                                <w:bCs/>
                                <w:color w:val="000000" w:themeColor="text1"/>
                                <w:sz w:val="24"/>
                                <w:szCs w:val="24"/>
                              </w:rPr>
                              <w:t>.</w:t>
                            </w:r>
                            <w:r w:rsidRPr="00D32E27">
                              <w:rPr>
                                <w:color w:val="000000" w:themeColor="text1"/>
                                <w:sz w:val="24"/>
                                <w:szCs w:val="24"/>
                              </w:rPr>
                              <w:t xml:space="preserve"> </w:t>
                            </w:r>
                            <w:r>
                              <w:rPr>
                                <w:color w:val="000000" w:themeColor="text1"/>
                                <w:sz w:val="24"/>
                                <w:szCs w:val="24"/>
                              </w:rPr>
                              <w:t xml:space="preserve">Experiment 2. </w:t>
                            </w:r>
                            <w:r w:rsidRPr="00D32E27">
                              <w:rPr>
                                <w:color w:val="000000" w:themeColor="text1"/>
                                <w:sz w:val="24"/>
                                <w:szCs w:val="24"/>
                              </w:rPr>
                              <w:t xml:space="preserve">(A) Mean </w:t>
                            </w:r>
                            <w:r w:rsidR="00106D8C" w:rsidRPr="00106D8C">
                              <w:rPr>
                                <w:color w:val="FF0000"/>
                                <w:sz w:val="24"/>
                                <w:szCs w:val="24"/>
                              </w:rPr>
                              <w:t>behavioral</w:t>
                            </w:r>
                            <w:r w:rsidR="00106D8C">
                              <w:rPr>
                                <w:color w:val="000000" w:themeColor="text1"/>
                                <w:sz w:val="24"/>
                                <w:szCs w:val="24"/>
                              </w:rPr>
                              <w:t xml:space="preserve"> </w:t>
                            </w:r>
                            <w:r w:rsidRPr="00D32E27">
                              <w:rPr>
                                <w:color w:val="000000" w:themeColor="text1"/>
                                <w:sz w:val="24"/>
                                <w:szCs w:val="24"/>
                              </w:rPr>
                              <w:t>accuracy for “cue size 1” (green dots) and “cue size 3” (blue dots) blocks. (B) Estimated channel responses for “cue size 1” (green dots) and “cue size 3” (blue dots) blocks</w:t>
                            </w:r>
                            <w:r w:rsidR="00CF52C8" w:rsidRPr="00CF52C8">
                              <w:rPr>
                                <w:color w:val="FF0000"/>
                                <w:sz w:val="22"/>
                                <w:szCs w:val="22"/>
                              </w:rPr>
                              <w:t xml:space="preserve"> </w:t>
                            </w:r>
                            <w:r w:rsidR="00CF52C8" w:rsidRPr="006D6F6D">
                              <w:rPr>
                                <w:color w:val="FF0000"/>
                                <w:sz w:val="22"/>
                                <w:szCs w:val="22"/>
                              </w:rPr>
                              <w:t>for an epoch from 600-800 ms</w:t>
                            </w:r>
                            <w:r w:rsidRPr="00D32E27">
                              <w:rPr>
                                <w:color w:val="000000" w:themeColor="text1"/>
                                <w:sz w:val="24"/>
                                <w:szCs w:val="24"/>
                              </w:rPr>
                              <w:t>. Error bars show standard errors of the mean, corrected for individual differences (Cousineau, 2005). Solid lines show a sine function fitted to the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79FF77" id="Text Box 16" o:spid="_x0000_s1029" type="#_x0000_t202" style="position:absolute;left:0;text-align:left;margin-left:0;margin-top:474.4pt;width:467.35pt;height:.0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" stroked="f">
                <v:textbox style="mso-fit-shape-to-text:t" inset="0,0,0,0">
                  <w:txbxContent>
                    <w:p w14:paraId="6EC68959" w14:textId="54F364A9" w:rsidR="00A61B4A" w:rsidRPr="00D32E27" w:rsidRDefault="00A61B4A" w:rsidP="00AA0D87">
                      <w:pPr>
                        <w:pStyle w:val="Caption"/>
                        <w:rPr>
                          <w:sz w:val="24"/>
                          <w:szCs w:val="24"/>
                        </w:rPr>
                      </w:pPr>
                      <w:r w:rsidRPr="00D32E27">
                        <w:rPr>
                          <w:b/>
                          <w:bCs/>
                          <w:color w:val="000000" w:themeColor="text1"/>
                          <w:sz w:val="24"/>
                          <w:szCs w:val="24"/>
                        </w:rPr>
                        <w:t xml:space="preserve">Figure </w:t>
                      </w:r>
                      <w:r w:rsidRPr="00D32E27">
                        <w:rPr>
                          <w:b/>
                          <w:bCs/>
                          <w:noProof/>
                          <w:color w:val="000000" w:themeColor="text1"/>
                          <w:sz w:val="24"/>
                          <w:szCs w:val="24"/>
                        </w:rPr>
                        <w:t>4</w:t>
                      </w:r>
                      <w:r w:rsidRPr="00D32E27">
                        <w:rPr>
                          <w:b/>
                          <w:bCs/>
                          <w:color w:val="000000" w:themeColor="text1"/>
                          <w:sz w:val="24"/>
                          <w:szCs w:val="24"/>
                        </w:rPr>
                        <w:t>.</w:t>
                      </w:r>
                      <w:r w:rsidRPr="00D32E27">
                        <w:rPr>
                          <w:color w:val="000000" w:themeColor="text1"/>
                          <w:sz w:val="24"/>
                          <w:szCs w:val="24"/>
                        </w:rPr>
                        <w:t xml:space="preserve"> </w:t>
                      </w:r>
                      <w:r>
                        <w:rPr>
                          <w:color w:val="000000" w:themeColor="text1"/>
                          <w:sz w:val="24"/>
                          <w:szCs w:val="24"/>
                        </w:rPr>
                        <w:t xml:space="preserve">Experiment 2. </w:t>
                      </w:r>
                      <w:r w:rsidRPr="00D32E27">
                        <w:rPr>
                          <w:color w:val="000000" w:themeColor="text1"/>
                          <w:sz w:val="24"/>
                          <w:szCs w:val="24"/>
                        </w:rPr>
                        <w:t xml:space="preserve">(A) Mean </w:t>
                      </w:r>
                      <w:proofErr w:type="spellStart"/>
                      <w:r w:rsidR="00106D8C" w:rsidRPr="00106D8C">
                        <w:rPr>
                          <w:color w:val="FF0000"/>
                          <w:sz w:val="24"/>
                          <w:szCs w:val="24"/>
                        </w:rPr>
                        <w:t>behavioral</w:t>
                      </w:r>
                      <w:proofErr w:type="spellEnd"/>
                      <w:r w:rsidR="00106D8C">
                        <w:rPr>
                          <w:color w:val="000000" w:themeColor="text1"/>
                          <w:sz w:val="24"/>
                          <w:szCs w:val="24"/>
                        </w:rPr>
                        <w:t xml:space="preserve"> </w:t>
                      </w:r>
                      <w:r w:rsidRPr="00D32E27">
                        <w:rPr>
                          <w:color w:val="000000" w:themeColor="text1"/>
                          <w:sz w:val="24"/>
                          <w:szCs w:val="24"/>
                        </w:rPr>
                        <w:t>accuracy for “cue size 1” (green dots) and “cue size 3” (blue dots) blocks. (B) Estimated channel responses for “cue size 1” (green dots) and “cue size 3” (blue dots) blocks</w:t>
                      </w:r>
                      <w:r w:rsidR="00CF52C8" w:rsidRPr="00CF52C8">
                        <w:rPr>
                          <w:color w:val="FF0000"/>
                          <w:sz w:val="22"/>
                          <w:szCs w:val="22"/>
                        </w:rPr>
                        <w:t xml:space="preserve"> </w:t>
                      </w:r>
                      <w:r w:rsidR="00CF52C8" w:rsidRPr="006D6F6D">
                        <w:rPr>
                          <w:color w:val="FF0000"/>
                          <w:sz w:val="22"/>
                          <w:szCs w:val="22"/>
                        </w:rPr>
                        <w:t>for an epoch from 600-800 ms</w:t>
                      </w:r>
                      <w:r w:rsidRPr="00D32E27">
                        <w:rPr>
                          <w:color w:val="000000" w:themeColor="text1"/>
                          <w:sz w:val="24"/>
                          <w:szCs w:val="24"/>
                        </w:rPr>
                        <w:t>. Error bars show standard errors of the mean, corrected for individual differences (</w:t>
                      </w:r>
                      <w:proofErr w:type="spellStart"/>
                      <w:r w:rsidRPr="00D32E27">
                        <w:rPr>
                          <w:color w:val="000000" w:themeColor="text1"/>
                          <w:sz w:val="24"/>
                          <w:szCs w:val="24"/>
                        </w:rPr>
                        <w:t>Cousineau</w:t>
                      </w:r>
                      <w:proofErr w:type="spellEnd"/>
                      <w:r w:rsidRPr="00D32E27">
                        <w:rPr>
                          <w:color w:val="000000" w:themeColor="text1"/>
                          <w:sz w:val="24"/>
                          <w:szCs w:val="24"/>
                        </w:rPr>
                        <w:t>, 2005). Solid lines show a sine function fitted to the data.</w:t>
                      </w:r>
                    </w:p>
                  </w:txbxContent>
                </v:textbox>
                <w10:wrap type="square" anchorx="margin"/>
              </v:shape>
            </w:pict>
          </mc:Fallback>
        </mc:AlternateContent>
      </w:r>
      <w:r w:rsidR="00FF43DE" w:rsidRPr="00710874">
        <w:rPr>
          <w:noProof/>
          <w:color w:val="000000" w:themeColor="text1"/>
          <w:lang w:eastAsia="zh-CN"/>
        </w:rPr>
        <w:drawing>
          <wp:anchor distT="0" distB="0" distL="114300" distR="114300" simplePos="0" relativeHeight="251697152" behindDoc="0" locked="0" layoutInCell="1" allowOverlap="1" wp14:anchorId="019B8DD0" wp14:editId="0B43F6E8">
            <wp:simplePos x="0" y="0"/>
            <wp:positionH relativeFrom="margin">
              <wp:align>right</wp:align>
            </wp:positionH>
            <wp:positionV relativeFrom="paragraph">
              <wp:posOffset>819255</wp:posOffset>
            </wp:positionV>
            <wp:extent cx="5745480" cy="521525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521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454" w:rsidRPr="00710874">
        <w:rPr>
          <w:rFonts w:ascii="Times New Roman" w:hAnsi="Times New Roman" w:cs="Times New Roman"/>
          <w:color w:val="000000" w:themeColor="text1"/>
          <w:lang w:val="en-US"/>
        </w:rPr>
        <w:t>Accuracy was reliably above chance level (11.1%) for all 16 combinations of cue size and distance to the (center of the) cued location (all p</w:t>
      </w:r>
      <w:r w:rsidR="009F1454" w:rsidRPr="00710874">
        <w:rPr>
          <w:rFonts w:ascii="Times New Roman" w:hAnsi="Times New Roman" w:cs="Times New Roman"/>
          <w:color w:val="000000" w:themeColor="text1"/>
          <w:vertAlign w:val="subscript"/>
          <w:lang w:val="en-US"/>
        </w:rPr>
        <w:t>1t</w:t>
      </w:r>
      <w:r w:rsidR="009F1454" w:rsidRPr="00710874">
        <w:rPr>
          <w:rFonts w:ascii="Times New Roman" w:hAnsi="Times New Roman" w:cs="Times New Roman"/>
          <w:color w:val="000000" w:themeColor="text1"/>
          <w:lang w:val="en-US"/>
        </w:rPr>
        <w:t xml:space="preserve"> &lt; .001). </w:t>
      </w:r>
      <w:r w:rsidR="00CD20A7" w:rsidRPr="00710874">
        <w:rPr>
          <w:rFonts w:ascii="Times New Roman" w:hAnsi="Times New Roman" w:cs="Times New Roman"/>
          <w:color w:val="000000" w:themeColor="text1"/>
          <w:lang w:val="en-US"/>
        </w:rPr>
        <w:t>There was no main effect of</w:t>
      </w:r>
      <w:r w:rsidR="009F1454" w:rsidRPr="00710874">
        <w:rPr>
          <w:rFonts w:ascii="Times New Roman" w:hAnsi="Times New Roman" w:cs="Times New Roman"/>
          <w:color w:val="000000" w:themeColor="text1"/>
          <w:lang w:val="en-US"/>
        </w:rPr>
        <w:t xml:space="preserve"> cue size (M</w:t>
      </w:r>
      <w:r w:rsidR="009F1454" w:rsidRPr="00710874">
        <w:rPr>
          <w:rFonts w:ascii="Times New Roman" w:hAnsi="Times New Roman" w:cs="Times New Roman"/>
          <w:color w:val="000000" w:themeColor="text1"/>
          <w:vertAlign w:val="subscript"/>
          <w:lang w:val="en-US"/>
        </w:rPr>
        <w:t>CS1</w:t>
      </w:r>
      <w:r w:rsidR="009F1454" w:rsidRPr="00710874">
        <w:rPr>
          <w:rFonts w:ascii="Times New Roman" w:hAnsi="Times New Roman" w:cs="Times New Roman"/>
          <w:color w:val="000000" w:themeColor="text1"/>
          <w:lang w:val="en-US"/>
        </w:rPr>
        <w:t xml:space="preserve"> = 32.8% vs. M</w:t>
      </w:r>
      <w:r w:rsidR="009F1454" w:rsidRPr="00710874">
        <w:rPr>
          <w:rFonts w:ascii="Times New Roman" w:hAnsi="Times New Roman" w:cs="Times New Roman"/>
          <w:color w:val="000000" w:themeColor="text1"/>
          <w:vertAlign w:val="subscript"/>
          <w:lang w:val="en-US"/>
        </w:rPr>
        <w:t>CS3</w:t>
      </w:r>
      <w:r w:rsidR="009F1454" w:rsidRPr="00710874">
        <w:rPr>
          <w:rFonts w:ascii="Times New Roman" w:hAnsi="Times New Roman" w:cs="Times New Roman"/>
          <w:color w:val="000000" w:themeColor="text1"/>
          <w:lang w:val="en-US"/>
        </w:rPr>
        <w:t xml:space="preserve"> = 34.2%), F(1,22) = 2.4, p = .135, η² = .0.84. Accuracy varied as a function of the target distance to the cued location, F(7,182) = 67.5, p &lt; .001, η² = .722. Accuracy was highest for the cued location and dropped to more distant locations (M</w:t>
      </w:r>
      <w:r w:rsidR="009F1454" w:rsidRPr="00710874">
        <w:rPr>
          <w:rFonts w:ascii="Times New Roman" w:hAnsi="Times New Roman" w:cs="Times New Roman"/>
          <w:color w:val="000000" w:themeColor="text1"/>
          <w:vertAlign w:val="subscript"/>
          <w:lang w:val="en-US"/>
        </w:rPr>
        <w:t>dist0</w:t>
      </w:r>
      <w:r w:rsidR="009F1454" w:rsidRPr="00710874">
        <w:rPr>
          <w:rFonts w:ascii="Times New Roman" w:hAnsi="Times New Roman" w:cs="Times New Roman"/>
          <w:color w:val="000000" w:themeColor="text1"/>
          <w:lang w:val="en-US"/>
        </w:rPr>
        <w:t xml:space="preserve"> = 62.1% versus M</w:t>
      </w:r>
      <w:r w:rsidR="009F1454" w:rsidRPr="00710874">
        <w:rPr>
          <w:rFonts w:ascii="Times New Roman" w:hAnsi="Times New Roman" w:cs="Times New Roman"/>
          <w:color w:val="000000" w:themeColor="text1"/>
          <w:vertAlign w:val="subscript"/>
          <w:lang w:val="en-US"/>
        </w:rPr>
        <w:t>dist4</w:t>
      </w:r>
      <w:r w:rsidR="009F1454" w:rsidRPr="00710874">
        <w:rPr>
          <w:rFonts w:ascii="Times New Roman" w:hAnsi="Times New Roman" w:cs="Times New Roman"/>
          <w:color w:val="000000" w:themeColor="text1"/>
          <w:lang w:val="en-US"/>
        </w:rPr>
        <w:t xml:space="preserve"> = 24.5%), see Fig. </w:t>
      </w:r>
      <w:r w:rsidR="00FF43DE" w:rsidRPr="00710874">
        <w:rPr>
          <w:rFonts w:ascii="Times New Roman" w:hAnsi="Times New Roman" w:cs="Times New Roman"/>
          <w:color w:val="000000" w:themeColor="text1"/>
          <w:lang w:val="en-US"/>
        </w:rPr>
        <w:t>4</w:t>
      </w:r>
      <w:r w:rsidR="009F1454" w:rsidRPr="00710874">
        <w:rPr>
          <w:rFonts w:ascii="Times New Roman" w:hAnsi="Times New Roman" w:cs="Times New Roman"/>
          <w:color w:val="000000" w:themeColor="text1"/>
          <w:lang w:val="en-US"/>
        </w:rPr>
        <w:t xml:space="preserve">. </w:t>
      </w:r>
      <w:r w:rsidR="000741D8" w:rsidRPr="00710874">
        <w:rPr>
          <w:rFonts w:ascii="Times New Roman" w:hAnsi="Times New Roman" w:cs="Times New Roman"/>
          <w:color w:val="000000" w:themeColor="text1"/>
          <w:lang w:val="en-US"/>
        </w:rPr>
        <w:t>The effect of</w:t>
      </w:r>
      <w:r w:rsidR="009F1454" w:rsidRPr="00710874">
        <w:rPr>
          <w:rFonts w:ascii="Times New Roman" w:hAnsi="Times New Roman" w:cs="Times New Roman"/>
          <w:color w:val="000000" w:themeColor="text1"/>
          <w:lang w:val="en-US"/>
        </w:rPr>
        <w:t xml:space="preserve"> distance </w:t>
      </w:r>
      <w:r w:rsidR="000741D8" w:rsidRPr="00710874">
        <w:rPr>
          <w:rFonts w:ascii="Times New Roman" w:hAnsi="Times New Roman" w:cs="Times New Roman"/>
          <w:color w:val="000000" w:themeColor="text1"/>
          <w:lang w:val="en-US"/>
        </w:rPr>
        <w:t xml:space="preserve">from </w:t>
      </w:r>
      <w:r w:rsidR="009F1454" w:rsidRPr="00710874">
        <w:rPr>
          <w:rFonts w:ascii="Times New Roman" w:hAnsi="Times New Roman" w:cs="Times New Roman"/>
          <w:color w:val="000000" w:themeColor="text1"/>
          <w:lang w:val="en-US"/>
        </w:rPr>
        <w:t xml:space="preserve">the cued location varied as a function of cue size, </w:t>
      </w:r>
      <w:r w:rsidR="000741D8" w:rsidRPr="00710874">
        <w:rPr>
          <w:rFonts w:ascii="Times New Roman" w:hAnsi="Times New Roman" w:cs="Times New Roman"/>
          <w:color w:val="000000" w:themeColor="text1"/>
          <w:lang w:val="en-US"/>
        </w:rPr>
        <w:t xml:space="preserve">yielding an </w:t>
      </w:r>
      <w:r w:rsidR="009F1454" w:rsidRPr="00710874">
        <w:rPr>
          <w:rFonts w:ascii="Times New Roman" w:hAnsi="Times New Roman" w:cs="Times New Roman"/>
          <w:color w:val="000000" w:themeColor="text1"/>
          <w:lang w:val="en-US"/>
        </w:rPr>
        <w:t>interaction of distance and cue size, F(7,182) = 6.4, p &lt; .001, η² = .198. Within-subject contrast</w:t>
      </w:r>
      <w:r w:rsidR="00DA1290" w:rsidRPr="00710874">
        <w:rPr>
          <w:rFonts w:ascii="Times New Roman" w:hAnsi="Times New Roman" w:cs="Times New Roman"/>
          <w:color w:val="000000" w:themeColor="text1"/>
          <w:lang w:val="en-US"/>
        </w:rPr>
        <w:t>s</w:t>
      </w:r>
      <w:r w:rsidR="009F1454" w:rsidRPr="00710874">
        <w:rPr>
          <w:rFonts w:ascii="Times New Roman" w:hAnsi="Times New Roman" w:cs="Times New Roman"/>
          <w:color w:val="000000" w:themeColor="text1"/>
          <w:lang w:val="en-US"/>
        </w:rPr>
        <w:t xml:space="preserve"> revealed that the interactive pattern followed a </w:t>
      </w:r>
      <w:r w:rsidR="004B10CE" w:rsidRPr="00710874">
        <w:rPr>
          <w:rFonts w:ascii="Times New Roman" w:hAnsi="Times New Roman" w:cs="Times New Roman"/>
          <w:color w:val="000000" w:themeColor="text1"/>
          <w:lang w:val="en-US"/>
        </w:rPr>
        <w:t xml:space="preserve">marginally </w:t>
      </w:r>
      <w:r w:rsidR="009F1454" w:rsidRPr="00710874">
        <w:rPr>
          <w:rFonts w:ascii="Times New Roman" w:hAnsi="Times New Roman" w:cs="Times New Roman"/>
          <w:color w:val="000000" w:themeColor="text1"/>
          <w:lang w:val="en-US"/>
        </w:rPr>
        <w:t xml:space="preserve">quadratic trend, F(1,22) = </w:t>
      </w:r>
      <w:r w:rsidR="004B10CE" w:rsidRPr="00710874">
        <w:rPr>
          <w:rFonts w:ascii="Times New Roman" w:hAnsi="Times New Roman" w:cs="Times New Roman"/>
          <w:color w:val="000000" w:themeColor="text1"/>
          <w:lang w:val="en-US"/>
        </w:rPr>
        <w:t>3</w:t>
      </w:r>
      <w:r w:rsidR="009F1454" w:rsidRPr="00710874">
        <w:rPr>
          <w:rFonts w:ascii="Times New Roman" w:hAnsi="Times New Roman" w:cs="Times New Roman"/>
          <w:color w:val="000000" w:themeColor="text1"/>
          <w:lang w:val="en-US"/>
        </w:rPr>
        <w:t>.</w:t>
      </w:r>
      <w:r w:rsidR="004B10CE" w:rsidRPr="00710874">
        <w:rPr>
          <w:rFonts w:ascii="Times New Roman" w:hAnsi="Times New Roman" w:cs="Times New Roman"/>
          <w:color w:val="000000" w:themeColor="text1"/>
          <w:lang w:val="en-US"/>
        </w:rPr>
        <w:t>4</w:t>
      </w:r>
      <w:r w:rsidR="009F1454" w:rsidRPr="00710874">
        <w:rPr>
          <w:rFonts w:ascii="Times New Roman" w:hAnsi="Times New Roman" w:cs="Times New Roman"/>
          <w:color w:val="000000" w:themeColor="text1"/>
          <w:lang w:val="en-US"/>
        </w:rPr>
        <w:t>, p = .0</w:t>
      </w:r>
      <w:r w:rsidR="004B10CE" w:rsidRPr="00710874">
        <w:rPr>
          <w:rFonts w:ascii="Times New Roman" w:hAnsi="Times New Roman" w:cs="Times New Roman"/>
          <w:color w:val="000000" w:themeColor="text1"/>
          <w:lang w:val="en-US"/>
        </w:rPr>
        <w:t>78</w:t>
      </w:r>
      <w:r w:rsidR="009F1454" w:rsidRPr="00710874">
        <w:rPr>
          <w:rFonts w:ascii="Times New Roman" w:hAnsi="Times New Roman" w:cs="Times New Roman"/>
          <w:color w:val="000000" w:themeColor="text1"/>
          <w:lang w:val="en-US"/>
        </w:rPr>
        <w:t>, η² = .</w:t>
      </w:r>
      <w:r w:rsidR="004B10CE" w:rsidRPr="00710874">
        <w:rPr>
          <w:rFonts w:ascii="Times New Roman" w:hAnsi="Times New Roman" w:cs="Times New Roman"/>
          <w:color w:val="000000" w:themeColor="text1"/>
          <w:lang w:val="en-US"/>
        </w:rPr>
        <w:t>115</w:t>
      </w:r>
      <w:r w:rsidR="009F1454" w:rsidRPr="00710874">
        <w:rPr>
          <w:rFonts w:ascii="Times New Roman" w:hAnsi="Times New Roman" w:cs="Times New Roman"/>
          <w:color w:val="000000" w:themeColor="text1"/>
          <w:lang w:val="en-US"/>
        </w:rPr>
        <w:t>, but not a linear (p = .</w:t>
      </w:r>
      <w:r w:rsidR="004B10CE" w:rsidRPr="00710874">
        <w:rPr>
          <w:rFonts w:ascii="Times New Roman" w:hAnsi="Times New Roman" w:cs="Times New Roman"/>
          <w:color w:val="000000" w:themeColor="text1"/>
          <w:lang w:val="en-US"/>
        </w:rPr>
        <w:t>408</w:t>
      </w:r>
      <w:r w:rsidR="009F1454" w:rsidRPr="00710874">
        <w:rPr>
          <w:rFonts w:ascii="Times New Roman" w:hAnsi="Times New Roman" w:cs="Times New Roman"/>
          <w:color w:val="000000" w:themeColor="text1"/>
          <w:lang w:val="en-US"/>
        </w:rPr>
        <w:t>) or cubic (p = .</w:t>
      </w:r>
      <w:r w:rsidR="004B10CE" w:rsidRPr="00710874">
        <w:rPr>
          <w:rFonts w:ascii="Times New Roman" w:hAnsi="Times New Roman" w:cs="Times New Roman"/>
          <w:color w:val="000000" w:themeColor="text1"/>
          <w:lang w:val="en-US"/>
        </w:rPr>
        <w:t>798</w:t>
      </w:r>
      <w:r w:rsidR="009F1454" w:rsidRPr="00710874">
        <w:rPr>
          <w:rFonts w:ascii="Times New Roman" w:hAnsi="Times New Roman" w:cs="Times New Roman"/>
          <w:color w:val="000000" w:themeColor="text1"/>
          <w:lang w:val="en-US"/>
        </w:rPr>
        <w:t>) trend. Follow-up analyses showed that accuracy varied as a function</w:t>
      </w:r>
      <w:r w:rsidR="00C622BD" w:rsidRPr="00710874">
        <w:rPr>
          <w:rFonts w:ascii="Times New Roman" w:hAnsi="Times New Roman" w:cs="Times New Roman"/>
          <w:color w:val="000000" w:themeColor="text1"/>
          <w:lang w:val="en-US"/>
        </w:rPr>
        <w:t xml:space="preserve"> </w:t>
      </w:r>
      <w:r w:rsidR="00C622BD" w:rsidRPr="00710874">
        <w:rPr>
          <w:rFonts w:ascii="Times New Roman" w:hAnsi="Times New Roman" w:cs="Times New Roman"/>
          <w:color w:val="000000" w:themeColor="text1"/>
          <w:lang w:val="en-US"/>
        </w:rPr>
        <w:lastRenderedPageBreak/>
        <w:t>of distance for both for cue size 1, F(7,182) = 39.0, p &lt; .001, η² = .600, and for cue size 3, F(7,182) = 36.9, p &lt; .001, η² = .587. The slope of the accuracy-distance function was steeper for cue size 1 (11.2%) than for cue size 3 (7.6%), t(26) = 3.3, p = .001.</w:t>
      </w:r>
    </w:p>
    <w:p w14:paraId="79824A9E" w14:textId="750D88B7" w:rsidR="00D12705" w:rsidRPr="00710874" w:rsidRDefault="00933175" w:rsidP="00D12705">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t>Channel Tuning Functions (CTFs)</w:t>
      </w:r>
    </w:p>
    <w:p w14:paraId="167585F0" w14:textId="3F4E318E" w:rsidR="00D12705" w:rsidRPr="00710874" w:rsidRDefault="00D12705" w:rsidP="00911FE3">
      <w:pPr>
        <w:spacing w:after="0" w:line="480" w:lineRule="auto"/>
        <w:jc w:val="both"/>
        <w:rPr>
          <w:rFonts w:ascii="Times New Roman" w:hAnsi="Times New Roman" w:cs="Times New Roman"/>
          <w:color w:val="000000" w:themeColor="text1"/>
          <w:lang w:val="en-US"/>
        </w:rPr>
      </w:pPr>
      <w:r w:rsidRPr="00710874">
        <w:rPr>
          <w:rFonts w:ascii="Times New Roman" w:hAnsi="Times New Roman" w:cs="Times New Roman"/>
          <w:b/>
          <w:i/>
          <w:color w:val="000000" w:themeColor="text1"/>
          <w:lang w:val="en-US"/>
        </w:rPr>
        <w:t>First epoch (</w:t>
      </w:r>
      <w:r w:rsidR="0054657A" w:rsidRPr="00710874">
        <w:rPr>
          <w:rFonts w:ascii="Times New Roman" w:hAnsi="Times New Roman" w:cs="Times New Roman"/>
          <w:b/>
          <w:i/>
          <w:color w:val="000000" w:themeColor="text1"/>
          <w:lang w:val="en-US"/>
        </w:rPr>
        <w:t>20</w:t>
      </w:r>
      <w:r w:rsidRPr="00710874">
        <w:rPr>
          <w:rFonts w:ascii="Times New Roman" w:hAnsi="Times New Roman" w:cs="Times New Roman"/>
          <w:b/>
          <w:i/>
          <w:color w:val="000000" w:themeColor="text1"/>
          <w:lang w:val="en-US"/>
        </w:rPr>
        <w:t>0-400 ms).</w:t>
      </w:r>
      <w:r w:rsidRPr="00710874">
        <w:rPr>
          <w:rFonts w:ascii="Times New Roman" w:hAnsi="Times New Roman" w:cs="Times New Roman"/>
          <w:color w:val="000000" w:themeColor="text1"/>
          <w:lang w:val="en-US"/>
        </w:rPr>
        <w:t xml:space="preserve"> Channel activity was reliably above zero for all 16 combinations of cue size and distance to the cued location (all p &lt; .001). </w:t>
      </w:r>
      <w:r w:rsidR="00AF4127" w:rsidRPr="00710874">
        <w:rPr>
          <w:rFonts w:ascii="Times New Roman" w:hAnsi="Times New Roman" w:cs="Times New Roman"/>
          <w:color w:val="000000" w:themeColor="text1"/>
          <w:lang w:val="en-US"/>
        </w:rPr>
        <w:t>Average c</w:t>
      </w:r>
      <w:r w:rsidRPr="00710874">
        <w:rPr>
          <w:rFonts w:ascii="Times New Roman" w:hAnsi="Times New Roman" w:cs="Times New Roman"/>
          <w:color w:val="000000" w:themeColor="text1"/>
          <w:lang w:val="en-US"/>
        </w:rPr>
        <w:t>hannel responses were not affected by cue size (M</w:t>
      </w:r>
      <w:r w:rsidRPr="00710874">
        <w:rPr>
          <w:rFonts w:ascii="Times New Roman" w:hAnsi="Times New Roman" w:cs="Times New Roman"/>
          <w:color w:val="000000" w:themeColor="text1"/>
          <w:vertAlign w:val="subscript"/>
          <w:lang w:val="en-US"/>
        </w:rPr>
        <w:t>CS1</w:t>
      </w:r>
      <w:r w:rsidRPr="00710874">
        <w:rPr>
          <w:rFonts w:ascii="Times New Roman" w:hAnsi="Times New Roman" w:cs="Times New Roman"/>
          <w:color w:val="000000" w:themeColor="text1"/>
          <w:lang w:val="en-US"/>
        </w:rPr>
        <w:t xml:space="preserve"> = 0.29 vs. M</w:t>
      </w:r>
      <w:r w:rsidRPr="00710874">
        <w:rPr>
          <w:rFonts w:ascii="Times New Roman" w:hAnsi="Times New Roman" w:cs="Times New Roman"/>
          <w:color w:val="000000" w:themeColor="text1"/>
          <w:vertAlign w:val="subscript"/>
          <w:lang w:val="en-US"/>
        </w:rPr>
        <w:t>CS3</w:t>
      </w:r>
      <w:r w:rsidRPr="00710874">
        <w:rPr>
          <w:rFonts w:ascii="Times New Roman" w:hAnsi="Times New Roman" w:cs="Times New Roman"/>
          <w:color w:val="000000" w:themeColor="text1"/>
          <w:lang w:val="en-US"/>
        </w:rPr>
        <w:t xml:space="preserve"> = 0.29), F(1,2</w:t>
      </w:r>
      <w:r w:rsidR="00A5161B" w:rsidRPr="00710874">
        <w:rPr>
          <w:rFonts w:ascii="Times New Roman" w:hAnsi="Times New Roman" w:cs="Times New Roman"/>
          <w:color w:val="000000" w:themeColor="text1"/>
          <w:lang w:val="en-US"/>
        </w:rPr>
        <w:t>6</w:t>
      </w:r>
      <w:r w:rsidRPr="00710874">
        <w:rPr>
          <w:rFonts w:ascii="Times New Roman" w:hAnsi="Times New Roman" w:cs="Times New Roman"/>
          <w:color w:val="000000" w:themeColor="text1"/>
          <w:lang w:val="en-US"/>
        </w:rPr>
        <w:t>) = 0.</w:t>
      </w:r>
      <w:r w:rsidR="00911FE3"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 p = .4</w:t>
      </w:r>
      <w:r w:rsidR="00A5161B" w:rsidRPr="00710874">
        <w:rPr>
          <w:rFonts w:ascii="Times New Roman" w:hAnsi="Times New Roman" w:cs="Times New Roman"/>
          <w:color w:val="000000" w:themeColor="text1"/>
          <w:lang w:val="en-US"/>
        </w:rPr>
        <w:t>0</w:t>
      </w:r>
      <w:r w:rsidR="00911FE3" w:rsidRPr="00710874">
        <w:rPr>
          <w:rFonts w:ascii="Times New Roman" w:hAnsi="Times New Roman" w:cs="Times New Roman"/>
          <w:color w:val="000000" w:themeColor="text1"/>
          <w:lang w:val="en-US"/>
        </w:rPr>
        <w:t>3</w:t>
      </w:r>
      <w:r w:rsidR="00A5161B" w:rsidRPr="00710874">
        <w:rPr>
          <w:rFonts w:ascii="Times New Roman" w:hAnsi="Times New Roman" w:cs="Times New Roman"/>
          <w:color w:val="000000" w:themeColor="text1"/>
          <w:lang w:val="en-US"/>
        </w:rPr>
        <w:t>, η² = .0</w:t>
      </w:r>
      <w:r w:rsidR="00911FE3" w:rsidRPr="00710874">
        <w:rPr>
          <w:rFonts w:ascii="Times New Roman" w:hAnsi="Times New Roman" w:cs="Times New Roman"/>
          <w:color w:val="000000" w:themeColor="text1"/>
          <w:lang w:val="en-US"/>
        </w:rPr>
        <w:t>27</w:t>
      </w:r>
      <w:r w:rsidRPr="00710874">
        <w:rPr>
          <w:rFonts w:ascii="Times New Roman" w:hAnsi="Times New Roman" w:cs="Times New Roman"/>
          <w:color w:val="000000" w:themeColor="text1"/>
          <w:lang w:val="en-US"/>
        </w:rPr>
        <w:t>. Channel responses varied as a function of the distance</w:t>
      </w:r>
      <w:r w:rsidR="00E713BB" w:rsidRPr="00710874">
        <w:rPr>
          <w:rFonts w:ascii="Times New Roman" w:hAnsi="Times New Roman" w:cs="Times New Roman"/>
          <w:color w:val="000000" w:themeColor="text1"/>
          <w:lang w:val="en-US"/>
        </w:rPr>
        <w:t xml:space="preserve"> from the center of </w:t>
      </w:r>
      <w:r w:rsidRPr="00710874">
        <w:rPr>
          <w:rFonts w:ascii="Times New Roman" w:hAnsi="Times New Roman" w:cs="Times New Roman"/>
          <w:color w:val="000000" w:themeColor="text1"/>
          <w:lang w:val="en-US"/>
        </w:rPr>
        <w:t xml:space="preserve">the cued location, F(7,182) = </w:t>
      </w:r>
      <w:r w:rsidR="00911FE3" w:rsidRPr="00710874">
        <w:rPr>
          <w:rFonts w:ascii="Times New Roman" w:hAnsi="Times New Roman" w:cs="Times New Roman"/>
          <w:color w:val="000000" w:themeColor="text1"/>
          <w:lang w:val="en-US"/>
        </w:rPr>
        <w:t>30</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7</w:t>
      </w:r>
      <w:r w:rsidR="00A5161B" w:rsidRPr="00710874">
        <w:rPr>
          <w:rFonts w:ascii="Times New Roman" w:hAnsi="Times New Roman" w:cs="Times New Roman"/>
          <w:color w:val="000000" w:themeColor="text1"/>
          <w:lang w:val="en-US"/>
        </w:rPr>
        <w:t>, p &lt; .001, η² = .5</w:t>
      </w:r>
      <w:r w:rsidR="00911FE3" w:rsidRPr="00710874">
        <w:rPr>
          <w:rFonts w:ascii="Times New Roman" w:hAnsi="Times New Roman" w:cs="Times New Roman"/>
          <w:color w:val="000000" w:themeColor="text1"/>
          <w:lang w:val="en-US"/>
        </w:rPr>
        <w:t>41</w:t>
      </w:r>
      <w:r w:rsidRPr="00710874">
        <w:rPr>
          <w:rFonts w:ascii="Times New Roman" w:hAnsi="Times New Roman" w:cs="Times New Roman"/>
          <w:color w:val="000000" w:themeColor="text1"/>
          <w:lang w:val="en-US"/>
        </w:rPr>
        <w:t xml:space="preserve">. The highest channel response was found for the cued location and dropped </w:t>
      </w:r>
      <w:r w:rsidR="00E713BB" w:rsidRPr="00710874">
        <w:rPr>
          <w:rFonts w:ascii="Times New Roman" w:hAnsi="Times New Roman" w:cs="Times New Roman"/>
          <w:color w:val="000000" w:themeColor="text1"/>
          <w:lang w:val="en-US"/>
        </w:rPr>
        <w:t>monotonically as the distance from the cued position increased</w:t>
      </w:r>
      <w:r w:rsidRPr="00710874">
        <w:rPr>
          <w:rFonts w:ascii="Times New Roman" w:hAnsi="Times New Roman" w:cs="Times New Roman"/>
          <w:color w:val="000000" w:themeColor="text1"/>
          <w:lang w:val="en-US"/>
        </w:rPr>
        <w:t xml:space="preserve"> (M</w:t>
      </w:r>
      <w:r w:rsidRPr="00710874">
        <w:rPr>
          <w:rFonts w:ascii="Times New Roman" w:hAnsi="Times New Roman" w:cs="Times New Roman"/>
          <w:color w:val="000000" w:themeColor="text1"/>
          <w:vertAlign w:val="subscript"/>
          <w:lang w:val="en-US"/>
        </w:rPr>
        <w:t>dist0</w:t>
      </w:r>
      <w:r w:rsidRPr="00710874">
        <w:rPr>
          <w:rFonts w:ascii="Times New Roman" w:hAnsi="Times New Roman" w:cs="Times New Roman"/>
          <w:color w:val="000000" w:themeColor="text1"/>
          <w:lang w:val="en-US"/>
        </w:rPr>
        <w:t xml:space="preserve"> = 0.41 versus M</w:t>
      </w:r>
      <w:r w:rsidRPr="00710874">
        <w:rPr>
          <w:rFonts w:ascii="Times New Roman" w:hAnsi="Times New Roman" w:cs="Times New Roman"/>
          <w:color w:val="000000" w:themeColor="text1"/>
          <w:vertAlign w:val="subscript"/>
          <w:lang w:val="en-US"/>
        </w:rPr>
        <w:t>dist4</w:t>
      </w:r>
      <w:r w:rsidRPr="00710874">
        <w:rPr>
          <w:rFonts w:ascii="Times New Roman" w:hAnsi="Times New Roman" w:cs="Times New Roman"/>
          <w:color w:val="000000" w:themeColor="text1"/>
          <w:lang w:val="en-US"/>
        </w:rPr>
        <w:t xml:space="preserve"> = 0.18), see Fig. </w:t>
      </w:r>
      <w:r w:rsidR="00FF43DE" w:rsidRPr="00710874">
        <w:rPr>
          <w:rFonts w:ascii="Times New Roman" w:hAnsi="Times New Roman" w:cs="Times New Roman"/>
          <w:color w:val="000000" w:themeColor="text1"/>
          <w:lang w:val="en-US"/>
        </w:rPr>
        <w:t>5 for a channel tuning function as a function of time</w:t>
      </w:r>
      <w:r w:rsidRPr="00710874">
        <w:rPr>
          <w:rFonts w:ascii="Times New Roman" w:hAnsi="Times New Roman" w:cs="Times New Roman"/>
          <w:color w:val="000000" w:themeColor="text1"/>
          <w:lang w:val="en-US"/>
        </w:rPr>
        <w:t>. An interaction of distance and cue size, F(7,182) = 4.</w:t>
      </w:r>
      <w:r w:rsidR="00A5161B" w:rsidRPr="00710874">
        <w:rPr>
          <w:rFonts w:ascii="Times New Roman" w:hAnsi="Times New Roman" w:cs="Times New Roman"/>
          <w:color w:val="000000" w:themeColor="text1"/>
          <w:lang w:val="en-US"/>
        </w:rPr>
        <w:t>7, p = .01</w:t>
      </w:r>
      <w:r w:rsidR="00911FE3" w:rsidRPr="00710874">
        <w:rPr>
          <w:rFonts w:ascii="Times New Roman" w:hAnsi="Times New Roman" w:cs="Times New Roman"/>
          <w:color w:val="000000" w:themeColor="text1"/>
          <w:lang w:val="en-US"/>
        </w:rPr>
        <w:t>5</w:t>
      </w:r>
      <w:r w:rsidR="00A5161B" w:rsidRPr="00710874">
        <w:rPr>
          <w:rFonts w:ascii="Times New Roman" w:hAnsi="Times New Roman" w:cs="Times New Roman"/>
          <w:color w:val="000000" w:themeColor="text1"/>
          <w:lang w:val="en-US"/>
        </w:rPr>
        <w:t>, η² = .15</w:t>
      </w:r>
      <w:r w:rsidR="00911FE3"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xml:space="preserve">, showed that </w:t>
      </w:r>
      <w:r w:rsidR="00CD20A7" w:rsidRPr="00710874">
        <w:rPr>
          <w:rFonts w:ascii="Times New Roman" w:hAnsi="Times New Roman" w:cs="Times New Roman"/>
          <w:color w:val="000000" w:themeColor="text1"/>
          <w:lang w:val="en-US"/>
        </w:rPr>
        <w:t xml:space="preserve">the effect of distance on channel responses depended on </w:t>
      </w:r>
      <w:r w:rsidRPr="00710874">
        <w:rPr>
          <w:rFonts w:ascii="Times New Roman" w:hAnsi="Times New Roman" w:cs="Times New Roman"/>
          <w:color w:val="000000" w:themeColor="text1"/>
          <w:lang w:val="en-US"/>
        </w:rPr>
        <w:t>cue size. Within-subject contrast revealed that the interactive pattern followed a quadratic trend, F(1,2</w:t>
      </w:r>
      <w:r w:rsidR="00911FE3" w:rsidRPr="00710874">
        <w:rPr>
          <w:rFonts w:ascii="Times New Roman" w:hAnsi="Times New Roman" w:cs="Times New Roman"/>
          <w:color w:val="000000" w:themeColor="text1"/>
          <w:lang w:val="en-US"/>
        </w:rPr>
        <w:t>6</w:t>
      </w:r>
      <w:r w:rsidRPr="00710874">
        <w:rPr>
          <w:rFonts w:ascii="Times New Roman" w:hAnsi="Times New Roman" w:cs="Times New Roman"/>
          <w:color w:val="000000" w:themeColor="text1"/>
          <w:lang w:val="en-US"/>
        </w:rPr>
        <w:t>) = 1</w:t>
      </w:r>
      <w:r w:rsidR="00911FE3"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 p = .00</w:t>
      </w:r>
      <w:r w:rsidR="00911FE3"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 η² = .3</w:t>
      </w:r>
      <w:r w:rsidR="00911FE3" w:rsidRPr="00710874">
        <w:rPr>
          <w:rFonts w:ascii="Times New Roman" w:hAnsi="Times New Roman" w:cs="Times New Roman"/>
          <w:color w:val="000000" w:themeColor="text1"/>
          <w:lang w:val="en-US"/>
        </w:rPr>
        <w:t>20</w:t>
      </w:r>
      <w:r w:rsidRPr="00710874">
        <w:rPr>
          <w:rFonts w:ascii="Times New Roman" w:hAnsi="Times New Roman" w:cs="Times New Roman"/>
          <w:color w:val="000000" w:themeColor="text1"/>
          <w:lang w:val="en-US"/>
        </w:rPr>
        <w:t>, but not a linear (p = .</w:t>
      </w:r>
      <w:r w:rsidR="00911FE3" w:rsidRPr="00710874">
        <w:rPr>
          <w:rFonts w:ascii="Times New Roman" w:hAnsi="Times New Roman" w:cs="Times New Roman"/>
          <w:color w:val="000000" w:themeColor="text1"/>
          <w:lang w:val="en-US"/>
        </w:rPr>
        <w:t>711</w:t>
      </w:r>
      <w:r w:rsidR="00A5161B" w:rsidRPr="00710874">
        <w:rPr>
          <w:rFonts w:ascii="Times New Roman" w:hAnsi="Times New Roman" w:cs="Times New Roman"/>
          <w:color w:val="000000" w:themeColor="text1"/>
          <w:lang w:val="en-US"/>
        </w:rPr>
        <w:t>) or cubic (p = .</w:t>
      </w:r>
      <w:r w:rsidR="00911FE3" w:rsidRPr="00710874">
        <w:rPr>
          <w:rFonts w:ascii="Times New Roman" w:hAnsi="Times New Roman" w:cs="Times New Roman"/>
          <w:color w:val="000000" w:themeColor="text1"/>
          <w:lang w:val="en-US"/>
        </w:rPr>
        <w:t>084</w:t>
      </w:r>
      <w:r w:rsidRPr="00710874">
        <w:rPr>
          <w:rFonts w:ascii="Times New Roman" w:hAnsi="Times New Roman" w:cs="Times New Roman"/>
          <w:color w:val="000000" w:themeColor="text1"/>
          <w:lang w:val="en-US"/>
        </w:rPr>
        <w:t>) trend. Follow-up analyses showed that channel response varied as a function of distance for both cue size 1, F(7,182) = 3</w:t>
      </w:r>
      <w:r w:rsidR="00911FE3"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9</w:t>
      </w:r>
      <w:r w:rsidR="00A5161B" w:rsidRPr="00710874">
        <w:rPr>
          <w:rFonts w:ascii="Times New Roman" w:hAnsi="Times New Roman" w:cs="Times New Roman"/>
          <w:color w:val="000000" w:themeColor="text1"/>
          <w:lang w:val="en-US"/>
        </w:rPr>
        <w:t>, p &lt; .001, η² = .5</w:t>
      </w:r>
      <w:r w:rsidR="00911FE3" w:rsidRPr="00710874">
        <w:rPr>
          <w:rFonts w:ascii="Times New Roman" w:hAnsi="Times New Roman" w:cs="Times New Roman"/>
          <w:color w:val="000000" w:themeColor="text1"/>
          <w:lang w:val="en-US"/>
        </w:rPr>
        <w:t>59</w:t>
      </w:r>
      <w:r w:rsidRPr="00710874">
        <w:rPr>
          <w:rFonts w:ascii="Times New Roman" w:hAnsi="Times New Roman" w:cs="Times New Roman"/>
          <w:color w:val="000000" w:themeColor="text1"/>
          <w:lang w:val="en-US"/>
        </w:rPr>
        <w:t xml:space="preserve">, and cue size 3, F(7,182) = </w:t>
      </w:r>
      <w:r w:rsidR="00A5161B" w:rsidRPr="00710874">
        <w:rPr>
          <w:rFonts w:ascii="Times New Roman" w:hAnsi="Times New Roman" w:cs="Times New Roman"/>
          <w:color w:val="000000" w:themeColor="text1"/>
          <w:lang w:val="en-US"/>
        </w:rPr>
        <w:t>13</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p &lt; .001, η² = .</w:t>
      </w:r>
      <w:r w:rsidR="0045604A" w:rsidRPr="00710874">
        <w:rPr>
          <w:rFonts w:ascii="Times New Roman" w:hAnsi="Times New Roman" w:cs="Times New Roman"/>
          <w:color w:val="000000" w:themeColor="text1"/>
          <w:lang w:val="en-US"/>
        </w:rPr>
        <w:t>3</w:t>
      </w:r>
      <w:r w:rsidR="00911FE3" w:rsidRPr="00710874">
        <w:rPr>
          <w:rFonts w:ascii="Times New Roman" w:hAnsi="Times New Roman" w:cs="Times New Roman"/>
          <w:color w:val="000000" w:themeColor="text1"/>
          <w:lang w:val="en-US"/>
        </w:rPr>
        <w:t>3</w:t>
      </w:r>
      <w:r w:rsidR="00A5161B" w:rsidRPr="00710874">
        <w:rPr>
          <w:rFonts w:ascii="Times New Roman" w:hAnsi="Times New Roman" w:cs="Times New Roman"/>
          <w:color w:val="000000" w:themeColor="text1"/>
          <w:lang w:val="en-US"/>
        </w:rPr>
        <w:t>8.</w:t>
      </w:r>
    </w:p>
    <w:p w14:paraId="18313A0D" w14:textId="614C1C31" w:rsidR="00D12705" w:rsidRPr="00710874" w:rsidRDefault="00D12705" w:rsidP="00277ADA">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b/>
          <w:i/>
          <w:color w:val="000000" w:themeColor="text1"/>
          <w:lang w:val="en-US"/>
        </w:rPr>
        <w:t>Second epoch (</w:t>
      </w:r>
      <w:r w:rsidR="0054657A" w:rsidRPr="00710874">
        <w:rPr>
          <w:rFonts w:ascii="Times New Roman" w:hAnsi="Times New Roman" w:cs="Times New Roman"/>
          <w:b/>
          <w:i/>
          <w:color w:val="000000" w:themeColor="text1"/>
          <w:lang w:val="en-US"/>
        </w:rPr>
        <w:t>60</w:t>
      </w:r>
      <w:r w:rsidRPr="00710874">
        <w:rPr>
          <w:rFonts w:ascii="Times New Roman" w:hAnsi="Times New Roman" w:cs="Times New Roman"/>
          <w:b/>
          <w:i/>
          <w:color w:val="000000" w:themeColor="text1"/>
          <w:lang w:val="en-US"/>
        </w:rPr>
        <w:t>0-</w:t>
      </w:r>
      <w:r w:rsidR="0054657A" w:rsidRPr="00710874">
        <w:rPr>
          <w:rFonts w:ascii="Times New Roman" w:hAnsi="Times New Roman" w:cs="Times New Roman"/>
          <w:b/>
          <w:i/>
          <w:color w:val="000000" w:themeColor="text1"/>
          <w:lang w:val="en-US"/>
        </w:rPr>
        <w:t>8</w:t>
      </w:r>
      <w:r w:rsidRPr="00710874">
        <w:rPr>
          <w:rFonts w:ascii="Times New Roman" w:hAnsi="Times New Roman" w:cs="Times New Roman"/>
          <w:b/>
          <w:i/>
          <w:color w:val="000000" w:themeColor="text1"/>
          <w:lang w:val="en-US"/>
        </w:rPr>
        <w:t>00 ms).</w:t>
      </w:r>
      <w:r w:rsidRPr="00710874">
        <w:rPr>
          <w:rFonts w:ascii="Times New Roman" w:hAnsi="Times New Roman" w:cs="Times New Roman"/>
          <w:color w:val="000000" w:themeColor="text1"/>
          <w:lang w:val="en-US"/>
        </w:rPr>
        <w:t xml:space="preserve"> Channel activity was reliably above zero for all 16 combinations of cue size and distance to the cued location (all p &lt; .001). Channel responses were not affected by cue size (M</w:t>
      </w:r>
      <w:r w:rsidRPr="00710874">
        <w:rPr>
          <w:rFonts w:ascii="Times New Roman" w:hAnsi="Times New Roman" w:cs="Times New Roman"/>
          <w:color w:val="000000" w:themeColor="text1"/>
          <w:vertAlign w:val="subscript"/>
          <w:lang w:val="en-US"/>
        </w:rPr>
        <w:t>CS1</w:t>
      </w:r>
      <w:r w:rsidRPr="00710874">
        <w:rPr>
          <w:rFonts w:ascii="Times New Roman" w:hAnsi="Times New Roman" w:cs="Times New Roman"/>
          <w:color w:val="000000" w:themeColor="text1"/>
          <w:lang w:val="en-US"/>
        </w:rPr>
        <w:t xml:space="preserve"> = 0.29 vs. M</w:t>
      </w:r>
      <w:r w:rsidRPr="00710874">
        <w:rPr>
          <w:rFonts w:ascii="Times New Roman" w:hAnsi="Times New Roman" w:cs="Times New Roman"/>
          <w:color w:val="000000" w:themeColor="text1"/>
          <w:vertAlign w:val="subscript"/>
          <w:lang w:val="en-US"/>
        </w:rPr>
        <w:t>CS3</w:t>
      </w:r>
      <w:r w:rsidRPr="00710874">
        <w:rPr>
          <w:rFonts w:ascii="Times New Roman" w:hAnsi="Times New Roman" w:cs="Times New Roman"/>
          <w:color w:val="000000" w:themeColor="text1"/>
          <w:lang w:val="en-US"/>
        </w:rPr>
        <w:t xml:space="preserve"> = 0.29</w:t>
      </w:r>
      <w:r w:rsidR="0045604A" w:rsidRPr="00710874">
        <w:rPr>
          <w:rFonts w:ascii="Times New Roman" w:hAnsi="Times New Roman" w:cs="Times New Roman"/>
          <w:color w:val="000000" w:themeColor="text1"/>
          <w:lang w:val="en-US"/>
        </w:rPr>
        <w:t>), F(1,2</w:t>
      </w:r>
      <w:r w:rsidR="00A5161B" w:rsidRPr="00710874">
        <w:rPr>
          <w:rFonts w:ascii="Times New Roman" w:hAnsi="Times New Roman" w:cs="Times New Roman"/>
          <w:color w:val="000000" w:themeColor="text1"/>
          <w:lang w:val="en-US"/>
        </w:rPr>
        <w:t>6</w:t>
      </w:r>
      <w:r w:rsidR="0045604A" w:rsidRPr="00710874">
        <w:rPr>
          <w:rFonts w:ascii="Times New Roman" w:hAnsi="Times New Roman" w:cs="Times New Roman"/>
          <w:color w:val="000000" w:themeColor="text1"/>
          <w:lang w:val="en-US"/>
        </w:rPr>
        <w:t xml:space="preserve">) </w:t>
      </w:r>
      <w:r w:rsidR="00911FE3" w:rsidRPr="00710874">
        <w:rPr>
          <w:rFonts w:ascii="Times New Roman" w:hAnsi="Times New Roman" w:cs="Times New Roman"/>
          <w:color w:val="000000" w:themeColor="text1"/>
          <w:lang w:val="en-US"/>
        </w:rPr>
        <w:t>=</w:t>
      </w:r>
      <w:r w:rsidRPr="00710874">
        <w:rPr>
          <w:rFonts w:ascii="Times New Roman" w:hAnsi="Times New Roman" w:cs="Times New Roman"/>
          <w:color w:val="000000" w:themeColor="text1"/>
          <w:lang w:val="en-US"/>
        </w:rPr>
        <w:t xml:space="preserve"> 0.</w:t>
      </w:r>
      <w:r w:rsidR="00911FE3" w:rsidRPr="00710874">
        <w:rPr>
          <w:rFonts w:ascii="Times New Roman" w:hAnsi="Times New Roman" w:cs="Times New Roman"/>
          <w:color w:val="000000" w:themeColor="text1"/>
          <w:lang w:val="en-US"/>
        </w:rPr>
        <w:t>9</w:t>
      </w:r>
      <w:r w:rsidRPr="00710874">
        <w:rPr>
          <w:rFonts w:ascii="Times New Roman" w:hAnsi="Times New Roman" w:cs="Times New Roman"/>
          <w:color w:val="000000" w:themeColor="text1"/>
          <w:lang w:val="en-US"/>
        </w:rPr>
        <w:t>, p = .</w:t>
      </w:r>
      <w:r w:rsidR="00A5161B" w:rsidRPr="00710874">
        <w:rPr>
          <w:rFonts w:ascii="Times New Roman" w:hAnsi="Times New Roman" w:cs="Times New Roman"/>
          <w:color w:val="000000" w:themeColor="text1"/>
          <w:lang w:val="en-US"/>
        </w:rPr>
        <w:t>76</w:t>
      </w:r>
      <w:r w:rsidR="00911FE3" w:rsidRPr="00710874">
        <w:rPr>
          <w:rFonts w:ascii="Times New Roman" w:hAnsi="Times New Roman" w:cs="Times New Roman"/>
          <w:color w:val="000000" w:themeColor="text1"/>
          <w:lang w:val="en-US"/>
        </w:rPr>
        <w:t>1</w:t>
      </w:r>
      <w:r w:rsidR="0045604A" w:rsidRPr="00710874">
        <w:rPr>
          <w:rFonts w:ascii="Times New Roman" w:hAnsi="Times New Roman" w:cs="Times New Roman"/>
          <w:color w:val="000000" w:themeColor="text1"/>
          <w:lang w:val="en-US"/>
        </w:rPr>
        <w:t>, η² =</w:t>
      </w:r>
      <w:r w:rsidRPr="00710874">
        <w:rPr>
          <w:rFonts w:ascii="Times New Roman" w:hAnsi="Times New Roman" w:cs="Times New Roman"/>
          <w:color w:val="000000" w:themeColor="text1"/>
          <w:lang w:val="en-US"/>
        </w:rPr>
        <w:t xml:space="preserve"> .0</w:t>
      </w:r>
      <w:r w:rsidR="00A5161B" w:rsidRPr="00710874">
        <w:rPr>
          <w:rFonts w:ascii="Times New Roman" w:hAnsi="Times New Roman" w:cs="Times New Roman"/>
          <w:color w:val="000000" w:themeColor="text1"/>
          <w:lang w:val="en-US"/>
        </w:rPr>
        <w:t>04</w:t>
      </w:r>
      <w:r w:rsidRPr="00710874">
        <w:rPr>
          <w:rFonts w:ascii="Times New Roman" w:hAnsi="Times New Roman" w:cs="Times New Roman"/>
          <w:color w:val="000000" w:themeColor="text1"/>
          <w:lang w:val="en-US"/>
        </w:rPr>
        <w:t>. Channel responses varied as a function of the target distance to the cued location, F(7,</w:t>
      </w:r>
      <w:r w:rsidR="0045604A" w:rsidRPr="00710874">
        <w:rPr>
          <w:rFonts w:ascii="Times New Roman" w:hAnsi="Times New Roman" w:cs="Times New Roman"/>
          <w:color w:val="000000" w:themeColor="text1"/>
          <w:lang w:val="en-US"/>
        </w:rPr>
        <w:t>182</w:t>
      </w:r>
      <w:r w:rsidRPr="00710874">
        <w:rPr>
          <w:rFonts w:ascii="Times New Roman" w:hAnsi="Times New Roman" w:cs="Times New Roman"/>
          <w:color w:val="000000" w:themeColor="text1"/>
          <w:lang w:val="en-US"/>
        </w:rPr>
        <w:t xml:space="preserve">) = </w:t>
      </w:r>
      <w:r w:rsidR="00911FE3" w:rsidRPr="00710874">
        <w:rPr>
          <w:rFonts w:ascii="Times New Roman" w:hAnsi="Times New Roman" w:cs="Times New Roman"/>
          <w:color w:val="000000" w:themeColor="text1"/>
          <w:lang w:val="en-US"/>
        </w:rPr>
        <w:t>95</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0</w:t>
      </w:r>
      <w:r w:rsidRPr="00710874">
        <w:rPr>
          <w:rFonts w:ascii="Times New Roman" w:hAnsi="Times New Roman" w:cs="Times New Roman"/>
          <w:color w:val="000000" w:themeColor="text1"/>
          <w:lang w:val="en-US"/>
        </w:rPr>
        <w:t>, p &lt; .001, η² = .</w:t>
      </w:r>
      <w:r w:rsidR="0045604A" w:rsidRPr="00710874">
        <w:rPr>
          <w:rFonts w:ascii="Times New Roman" w:hAnsi="Times New Roman" w:cs="Times New Roman"/>
          <w:color w:val="000000" w:themeColor="text1"/>
          <w:lang w:val="en-US"/>
        </w:rPr>
        <w:t>7</w:t>
      </w:r>
      <w:r w:rsidR="00911FE3" w:rsidRPr="00710874">
        <w:rPr>
          <w:rFonts w:ascii="Times New Roman" w:hAnsi="Times New Roman" w:cs="Times New Roman"/>
          <w:color w:val="000000" w:themeColor="text1"/>
          <w:lang w:val="en-US"/>
        </w:rPr>
        <w:t>8</w:t>
      </w:r>
      <w:r w:rsidR="00A5161B" w:rsidRPr="00710874">
        <w:rPr>
          <w:rFonts w:ascii="Times New Roman" w:hAnsi="Times New Roman" w:cs="Times New Roman"/>
          <w:color w:val="000000" w:themeColor="text1"/>
          <w:lang w:val="en-US"/>
        </w:rPr>
        <w:t>5</w:t>
      </w:r>
      <w:r w:rsidRPr="00710874">
        <w:rPr>
          <w:rFonts w:ascii="Times New Roman" w:hAnsi="Times New Roman" w:cs="Times New Roman"/>
          <w:color w:val="000000" w:themeColor="text1"/>
          <w:lang w:val="en-US"/>
        </w:rPr>
        <w:t>. The highest channel response was found for the cued location and dropped to more distant locations (M</w:t>
      </w:r>
      <w:r w:rsidRPr="00710874">
        <w:rPr>
          <w:rFonts w:ascii="Times New Roman" w:hAnsi="Times New Roman" w:cs="Times New Roman"/>
          <w:color w:val="000000" w:themeColor="text1"/>
          <w:vertAlign w:val="subscript"/>
          <w:lang w:val="en-US"/>
        </w:rPr>
        <w:t>dist0</w:t>
      </w:r>
      <w:r w:rsidRPr="00710874">
        <w:rPr>
          <w:rFonts w:ascii="Times New Roman" w:hAnsi="Times New Roman" w:cs="Times New Roman"/>
          <w:color w:val="000000" w:themeColor="text1"/>
          <w:lang w:val="en-US"/>
        </w:rPr>
        <w:t xml:space="preserve"> = 0.</w:t>
      </w:r>
      <w:r w:rsidR="0045604A" w:rsidRPr="00710874">
        <w:rPr>
          <w:rFonts w:ascii="Times New Roman" w:hAnsi="Times New Roman" w:cs="Times New Roman"/>
          <w:color w:val="000000" w:themeColor="text1"/>
          <w:lang w:val="en-US"/>
        </w:rPr>
        <w:t>5</w:t>
      </w:r>
      <w:r w:rsidR="00911FE3"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xml:space="preserve"> versus M</w:t>
      </w:r>
      <w:r w:rsidRPr="00710874">
        <w:rPr>
          <w:rFonts w:ascii="Times New Roman" w:hAnsi="Times New Roman" w:cs="Times New Roman"/>
          <w:color w:val="000000" w:themeColor="text1"/>
          <w:vertAlign w:val="subscript"/>
          <w:lang w:val="en-US"/>
        </w:rPr>
        <w:t>dist4</w:t>
      </w:r>
      <w:r w:rsidR="00A5161B" w:rsidRPr="00710874">
        <w:rPr>
          <w:rFonts w:ascii="Times New Roman" w:hAnsi="Times New Roman" w:cs="Times New Roman"/>
          <w:color w:val="000000" w:themeColor="text1"/>
          <w:lang w:val="en-US"/>
        </w:rPr>
        <w:t xml:space="preserve"> = 0.13</w:t>
      </w:r>
      <w:r w:rsidRPr="00710874">
        <w:rPr>
          <w:rFonts w:ascii="Times New Roman" w:hAnsi="Times New Roman" w:cs="Times New Roman"/>
          <w:color w:val="000000" w:themeColor="text1"/>
          <w:lang w:val="en-US"/>
        </w:rPr>
        <w:t xml:space="preserve">), see Fig. </w:t>
      </w:r>
      <w:r w:rsidR="00FF43DE" w:rsidRPr="00710874">
        <w:rPr>
          <w:rFonts w:ascii="Times New Roman" w:hAnsi="Times New Roman" w:cs="Times New Roman"/>
          <w:color w:val="000000" w:themeColor="text1"/>
          <w:lang w:val="en-US"/>
        </w:rPr>
        <w:t>5</w:t>
      </w:r>
      <w:r w:rsidRPr="00710874">
        <w:rPr>
          <w:rFonts w:ascii="Times New Roman" w:hAnsi="Times New Roman" w:cs="Times New Roman"/>
          <w:color w:val="000000" w:themeColor="text1"/>
          <w:lang w:val="en-US"/>
        </w:rPr>
        <w:t>. An interaction of distance and cue size, F(7,</w:t>
      </w:r>
      <w:r w:rsidR="0045604A" w:rsidRPr="00710874">
        <w:rPr>
          <w:rFonts w:ascii="Times New Roman" w:hAnsi="Times New Roman" w:cs="Times New Roman"/>
          <w:color w:val="000000" w:themeColor="text1"/>
          <w:lang w:val="en-US"/>
        </w:rPr>
        <w:t>182</w:t>
      </w:r>
      <w:r w:rsidRPr="00710874">
        <w:rPr>
          <w:rFonts w:ascii="Times New Roman" w:hAnsi="Times New Roman" w:cs="Times New Roman"/>
          <w:color w:val="000000" w:themeColor="text1"/>
          <w:lang w:val="en-US"/>
        </w:rPr>
        <w:t xml:space="preserve">) = </w:t>
      </w:r>
      <w:r w:rsidR="0045604A"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p = .0</w:t>
      </w:r>
      <w:r w:rsidR="00911FE3" w:rsidRPr="00710874">
        <w:rPr>
          <w:rFonts w:ascii="Times New Roman" w:hAnsi="Times New Roman" w:cs="Times New Roman"/>
          <w:color w:val="000000" w:themeColor="text1"/>
          <w:lang w:val="en-US"/>
        </w:rPr>
        <w:t>33</w:t>
      </w:r>
      <w:r w:rsidRPr="00710874">
        <w:rPr>
          <w:rFonts w:ascii="Times New Roman" w:hAnsi="Times New Roman" w:cs="Times New Roman"/>
          <w:color w:val="000000" w:themeColor="text1"/>
          <w:lang w:val="en-US"/>
        </w:rPr>
        <w:t>, η² = .1</w:t>
      </w:r>
      <w:r w:rsidR="00A5161B" w:rsidRPr="00710874">
        <w:rPr>
          <w:rFonts w:ascii="Times New Roman" w:hAnsi="Times New Roman" w:cs="Times New Roman"/>
          <w:color w:val="000000" w:themeColor="text1"/>
          <w:lang w:val="en-US"/>
        </w:rPr>
        <w:t>1</w:t>
      </w:r>
      <w:r w:rsidR="00911FE3" w:rsidRPr="00710874">
        <w:rPr>
          <w:rFonts w:ascii="Times New Roman" w:hAnsi="Times New Roman" w:cs="Times New Roman"/>
          <w:color w:val="000000" w:themeColor="text1"/>
          <w:lang w:val="en-US"/>
        </w:rPr>
        <w:t>3</w:t>
      </w:r>
      <w:r w:rsidRPr="00710874">
        <w:rPr>
          <w:rFonts w:ascii="Times New Roman" w:hAnsi="Times New Roman" w:cs="Times New Roman"/>
          <w:color w:val="000000" w:themeColor="text1"/>
          <w:lang w:val="en-US"/>
        </w:rPr>
        <w:t xml:space="preserve">, showed that how channel responses were affected by distance to the cued location varied as a function of cue size. Within-subject contrast revealed that the interactive pattern followed a quadratic trend, F(1,22) = </w:t>
      </w:r>
      <w:r w:rsidR="00911FE3"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w:t>
      </w:r>
      <w:r w:rsidR="00911FE3" w:rsidRPr="00710874">
        <w:rPr>
          <w:rFonts w:ascii="Times New Roman" w:hAnsi="Times New Roman" w:cs="Times New Roman"/>
          <w:color w:val="000000" w:themeColor="text1"/>
          <w:lang w:val="en-US"/>
        </w:rPr>
        <w:t>0</w:t>
      </w:r>
      <w:r w:rsidRPr="00710874">
        <w:rPr>
          <w:rFonts w:ascii="Times New Roman" w:hAnsi="Times New Roman" w:cs="Times New Roman"/>
          <w:color w:val="000000" w:themeColor="text1"/>
          <w:lang w:val="en-US"/>
        </w:rPr>
        <w:t>, p = .0</w:t>
      </w:r>
      <w:r w:rsidR="00911FE3" w:rsidRPr="00710874">
        <w:rPr>
          <w:rFonts w:ascii="Times New Roman" w:hAnsi="Times New Roman" w:cs="Times New Roman"/>
          <w:color w:val="000000" w:themeColor="text1"/>
          <w:lang w:val="en-US"/>
        </w:rPr>
        <w:t>14</w:t>
      </w:r>
      <w:r w:rsidRPr="00710874">
        <w:rPr>
          <w:rFonts w:ascii="Times New Roman" w:hAnsi="Times New Roman" w:cs="Times New Roman"/>
          <w:color w:val="000000" w:themeColor="text1"/>
          <w:lang w:val="en-US"/>
        </w:rPr>
        <w:t>, η² = .2</w:t>
      </w:r>
      <w:r w:rsidR="00911FE3" w:rsidRPr="00710874">
        <w:rPr>
          <w:rFonts w:ascii="Times New Roman" w:hAnsi="Times New Roman" w:cs="Times New Roman"/>
          <w:color w:val="000000" w:themeColor="text1"/>
          <w:lang w:val="en-US"/>
        </w:rPr>
        <w:t>12</w:t>
      </w:r>
      <w:r w:rsidRPr="00710874">
        <w:rPr>
          <w:rFonts w:ascii="Times New Roman" w:hAnsi="Times New Roman" w:cs="Times New Roman"/>
          <w:color w:val="000000" w:themeColor="text1"/>
          <w:lang w:val="en-US"/>
        </w:rPr>
        <w:t>, but not a linear (p = .</w:t>
      </w:r>
      <w:r w:rsidR="00911FE3" w:rsidRPr="00710874">
        <w:rPr>
          <w:rFonts w:ascii="Times New Roman" w:hAnsi="Times New Roman" w:cs="Times New Roman"/>
          <w:color w:val="000000" w:themeColor="text1"/>
          <w:lang w:val="en-US"/>
        </w:rPr>
        <w:t>365</w:t>
      </w:r>
      <w:r w:rsidRPr="00710874">
        <w:rPr>
          <w:rFonts w:ascii="Times New Roman" w:hAnsi="Times New Roman" w:cs="Times New Roman"/>
          <w:color w:val="000000" w:themeColor="text1"/>
          <w:lang w:val="en-US"/>
        </w:rPr>
        <w:t>) or cubic (p = .</w:t>
      </w:r>
      <w:r w:rsidR="00A5161B" w:rsidRPr="00710874">
        <w:rPr>
          <w:rFonts w:ascii="Times New Roman" w:hAnsi="Times New Roman" w:cs="Times New Roman"/>
          <w:color w:val="000000" w:themeColor="text1"/>
          <w:lang w:val="en-US"/>
        </w:rPr>
        <w:t>2</w:t>
      </w:r>
      <w:r w:rsidR="00911FE3" w:rsidRPr="00710874">
        <w:rPr>
          <w:rFonts w:ascii="Times New Roman" w:hAnsi="Times New Roman" w:cs="Times New Roman"/>
          <w:color w:val="000000" w:themeColor="text1"/>
          <w:lang w:val="en-US"/>
        </w:rPr>
        <w:t>17</w:t>
      </w:r>
      <w:r w:rsidRPr="00710874">
        <w:rPr>
          <w:rFonts w:ascii="Times New Roman" w:hAnsi="Times New Roman" w:cs="Times New Roman"/>
          <w:color w:val="000000" w:themeColor="text1"/>
          <w:lang w:val="en-US"/>
        </w:rPr>
        <w:t>) trend. Follow-up analyses showed that channel response varied as a function of distance for both cue size 1, F(7,</w:t>
      </w:r>
      <w:r w:rsidR="0045604A" w:rsidRPr="00710874">
        <w:rPr>
          <w:rFonts w:ascii="Times New Roman" w:hAnsi="Times New Roman" w:cs="Times New Roman"/>
          <w:color w:val="000000" w:themeColor="text1"/>
          <w:lang w:val="en-US"/>
        </w:rPr>
        <w:t>182</w:t>
      </w:r>
      <w:r w:rsidRPr="00710874">
        <w:rPr>
          <w:rFonts w:ascii="Times New Roman" w:hAnsi="Times New Roman" w:cs="Times New Roman"/>
          <w:color w:val="000000" w:themeColor="text1"/>
          <w:lang w:val="en-US"/>
        </w:rPr>
        <w:t xml:space="preserve">) = </w:t>
      </w:r>
      <w:r w:rsidR="00A5161B" w:rsidRPr="00710874">
        <w:rPr>
          <w:rFonts w:ascii="Times New Roman" w:hAnsi="Times New Roman" w:cs="Times New Roman"/>
          <w:color w:val="000000" w:themeColor="text1"/>
          <w:lang w:val="en-US"/>
        </w:rPr>
        <w:t>8</w:t>
      </w:r>
      <w:r w:rsidR="00277ADA" w:rsidRPr="00710874">
        <w:rPr>
          <w:rFonts w:ascii="Times New Roman" w:hAnsi="Times New Roman" w:cs="Times New Roman"/>
          <w:color w:val="000000" w:themeColor="text1"/>
          <w:lang w:val="en-US"/>
        </w:rPr>
        <w:t>0</w:t>
      </w:r>
      <w:r w:rsidRPr="00710874">
        <w:rPr>
          <w:rFonts w:ascii="Times New Roman" w:hAnsi="Times New Roman" w:cs="Times New Roman"/>
          <w:color w:val="000000" w:themeColor="text1"/>
          <w:lang w:val="en-US"/>
        </w:rPr>
        <w:t>.</w:t>
      </w:r>
      <w:r w:rsidR="00277ADA" w:rsidRPr="00710874">
        <w:rPr>
          <w:rFonts w:ascii="Times New Roman" w:hAnsi="Times New Roman" w:cs="Times New Roman"/>
          <w:color w:val="000000" w:themeColor="text1"/>
          <w:lang w:val="en-US"/>
        </w:rPr>
        <w:t>4</w:t>
      </w:r>
      <w:r w:rsidRPr="00710874">
        <w:rPr>
          <w:rFonts w:ascii="Times New Roman" w:hAnsi="Times New Roman" w:cs="Times New Roman"/>
          <w:color w:val="000000" w:themeColor="text1"/>
          <w:lang w:val="en-US"/>
        </w:rPr>
        <w:t>, p &lt; .001, η² = .</w:t>
      </w:r>
      <w:r w:rsidR="0045604A" w:rsidRPr="00710874">
        <w:rPr>
          <w:rFonts w:ascii="Times New Roman" w:hAnsi="Times New Roman" w:cs="Times New Roman"/>
          <w:color w:val="000000" w:themeColor="text1"/>
          <w:lang w:val="en-US"/>
        </w:rPr>
        <w:t>7</w:t>
      </w:r>
      <w:r w:rsidR="00277ADA" w:rsidRPr="00710874">
        <w:rPr>
          <w:rFonts w:ascii="Times New Roman" w:hAnsi="Times New Roman" w:cs="Times New Roman"/>
          <w:color w:val="000000" w:themeColor="text1"/>
          <w:lang w:val="en-US"/>
        </w:rPr>
        <w:t>56</w:t>
      </w:r>
      <w:r w:rsidR="0045604A" w:rsidRPr="00710874">
        <w:rPr>
          <w:rFonts w:ascii="Times New Roman" w:hAnsi="Times New Roman" w:cs="Times New Roman"/>
          <w:color w:val="000000" w:themeColor="text1"/>
          <w:lang w:val="en-US"/>
        </w:rPr>
        <w:t>, and cue size 3, F(7,182</w:t>
      </w:r>
      <w:r w:rsidRPr="00710874">
        <w:rPr>
          <w:rFonts w:ascii="Times New Roman" w:hAnsi="Times New Roman" w:cs="Times New Roman"/>
          <w:color w:val="000000" w:themeColor="text1"/>
          <w:lang w:val="en-US"/>
        </w:rPr>
        <w:t xml:space="preserve">) = </w:t>
      </w:r>
      <w:r w:rsidR="0045604A" w:rsidRPr="00710874">
        <w:rPr>
          <w:rFonts w:ascii="Times New Roman" w:hAnsi="Times New Roman" w:cs="Times New Roman"/>
          <w:color w:val="000000" w:themeColor="text1"/>
          <w:lang w:val="en-US"/>
        </w:rPr>
        <w:t>5</w:t>
      </w:r>
      <w:r w:rsidR="00277ADA" w:rsidRPr="00710874">
        <w:rPr>
          <w:rFonts w:ascii="Times New Roman" w:hAnsi="Times New Roman" w:cs="Times New Roman"/>
          <w:color w:val="000000" w:themeColor="text1"/>
          <w:lang w:val="en-US"/>
        </w:rPr>
        <w:t>1</w:t>
      </w:r>
      <w:r w:rsidRPr="00710874">
        <w:rPr>
          <w:rFonts w:ascii="Times New Roman" w:hAnsi="Times New Roman" w:cs="Times New Roman"/>
          <w:color w:val="000000" w:themeColor="text1"/>
          <w:lang w:val="en-US"/>
        </w:rPr>
        <w:t>.</w:t>
      </w:r>
      <w:r w:rsidR="00277ADA" w:rsidRPr="00710874">
        <w:rPr>
          <w:rFonts w:ascii="Times New Roman" w:hAnsi="Times New Roman" w:cs="Times New Roman"/>
          <w:color w:val="000000" w:themeColor="text1"/>
          <w:lang w:val="en-US"/>
        </w:rPr>
        <w:t>7</w:t>
      </w:r>
      <w:r w:rsidRPr="00710874">
        <w:rPr>
          <w:rFonts w:ascii="Times New Roman" w:hAnsi="Times New Roman" w:cs="Times New Roman"/>
          <w:color w:val="000000" w:themeColor="text1"/>
          <w:lang w:val="en-US"/>
        </w:rPr>
        <w:t>, p &lt; .001, η² = .6</w:t>
      </w:r>
      <w:r w:rsidR="00277ADA" w:rsidRPr="00710874">
        <w:rPr>
          <w:rFonts w:ascii="Times New Roman" w:hAnsi="Times New Roman" w:cs="Times New Roman"/>
          <w:color w:val="000000" w:themeColor="text1"/>
          <w:lang w:val="en-US"/>
        </w:rPr>
        <w:t>65</w:t>
      </w:r>
      <w:r w:rsidR="00A5161B" w:rsidRPr="00710874">
        <w:rPr>
          <w:rFonts w:ascii="Times New Roman" w:hAnsi="Times New Roman" w:cs="Times New Roman"/>
          <w:color w:val="000000" w:themeColor="text1"/>
          <w:lang w:val="en-US"/>
        </w:rPr>
        <w:t>.</w:t>
      </w:r>
    </w:p>
    <w:p w14:paraId="460B98F2" w14:textId="77777777" w:rsidR="00CF52C8" w:rsidRPr="00710874" w:rsidRDefault="00CF52C8">
      <w:pPr>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br w:type="page"/>
      </w:r>
    </w:p>
    <w:p w14:paraId="260BD8E2" w14:textId="59A88956" w:rsidR="00CF52C8" w:rsidRPr="00710874" w:rsidRDefault="00CA4503" w:rsidP="00CF52C8">
      <w:pPr>
        <w:rPr>
          <w:rFonts w:ascii="Times New Roman" w:hAnsi="Times New Roman" w:cs="Times New Roman"/>
          <w:b/>
          <w:color w:val="000000" w:themeColor="text1"/>
          <w:lang w:val="en-US"/>
        </w:rPr>
      </w:pPr>
      <w:r w:rsidRPr="00710874">
        <w:rPr>
          <w:noProof/>
          <w:color w:val="000000" w:themeColor="text1"/>
          <w:lang w:eastAsia="zh-CN"/>
        </w:rPr>
        <w:lastRenderedPageBreak/>
        <mc:AlternateContent>
          <mc:Choice Requires="wps">
            <w:drawing>
              <wp:anchor distT="0" distB="0" distL="114300" distR="114300" simplePos="0" relativeHeight="251688960" behindDoc="0" locked="0" layoutInCell="1" allowOverlap="1" wp14:anchorId="617C901B" wp14:editId="7FCC8F7B">
                <wp:simplePos x="0" y="0"/>
                <wp:positionH relativeFrom="margin">
                  <wp:posOffset>-666750</wp:posOffset>
                </wp:positionH>
                <wp:positionV relativeFrom="page">
                  <wp:align>bottom</wp:align>
                </wp:positionV>
                <wp:extent cx="7048500" cy="1799590"/>
                <wp:effectExtent l="0" t="0" r="0" b="3810"/>
                <wp:wrapSquare wrapText="bothSides"/>
                <wp:docPr id="15" name="Text Box 15"/>
                <wp:cNvGraphicFramePr/>
                <a:graphic xmlns:a="http://schemas.openxmlformats.org/drawingml/2006/main">
                  <a:graphicData uri="http://schemas.microsoft.com/office/word/2010/wordprocessingShape">
                    <wps:wsp>
                      <wps:cNvSpPr txBox="1"/>
                      <wps:spPr>
                        <a:xfrm>
                          <a:off x="0" y="0"/>
                          <a:ext cx="7048500" cy="1799590"/>
                        </a:xfrm>
                        <a:prstGeom prst="rect">
                          <a:avLst/>
                        </a:prstGeom>
                        <a:solidFill>
                          <a:prstClr val="white"/>
                        </a:solidFill>
                        <a:ln>
                          <a:noFill/>
                        </a:ln>
                        <a:effectLst/>
                      </wps:spPr>
                      <wps:txbx>
                        <w:txbxContent>
                          <w:p w14:paraId="74C08834" w14:textId="4CA786FC" w:rsidR="00A61B4A" w:rsidRPr="002E46E9" w:rsidRDefault="00A61B4A" w:rsidP="00D32E27">
                            <w:pPr>
                              <w:pStyle w:val="Caption"/>
                              <w:rPr>
                                <w:color w:val="000000" w:themeColor="text1"/>
                                <w:sz w:val="24"/>
                                <w:szCs w:val="24"/>
                              </w:rPr>
                            </w:pPr>
                            <w:r w:rsidRPr="00D32E27">
                              <w:rPr>
                                <w:b/>
                                <w:bCs/>
                                <w:color w:val="000000" w:themeColor="text1"/>
                                <w:sz w:val="24"/>
                                <w:szCs w:val="24"/>
                              </w:rPr>
                              <w:t xml:space="preserve">Figure </w:t>
                            </w:r>
                            <w:r>
                              <w:rPr>
                                <w:b/>
                                <w:bCs/>
                                <w:color w:val="000000" w:themeColor="text1"/>
                                <w:sz w:val="24"/>
                                <w:szCs w:val="24"/>
                              </w:rPr>
                              <w:t>5</w:t>
                            </w:r>
                            <w:r w:rsidRPr="00D32E27">
                              <w:rPr>
                                <w:b/>
                                <w:bCs/>
                                <w:color w:val="000000" w:themeColor="text1"/>
                                <w:sz w:val="24"/>
                                <w:szCs w:val="24"/>
                              </w:rPr>
                              <w:t>.</w:t>
                            </w:r>
                            <w:r w:rsidRPr="002E46E9">
                              <w:rPr>
                                <w:color w:val="000000" w:themeColor="text1"/>
                                <w:sz w:val="24"/>
                                <w:szCs w:val="24"/>
                              </w:rPr>
                              <w:t xml:space="preserve"> </w:t>
                            </w:r>
                            <w:r>
                              <w:rPr>
                                <w:color w:val="000000" w:themeColor="text1"/>
                                <w:sz w:val="24"/>
                                <w:szCs w:val="24"/>
                              </w:rPr>
                              <w:t>Channel tuning functions (CTFs) in Experiment 2 for cue size 1 (upper panel) and cue size 3 (middle panel). The slope of these CTFs is used as a measure of how selectively a channel responds to cueing of the location it represents (lower panel). Smaller cues (green lines) induce steeper slopes than larger cues (blue lines). The pink line represents the simulated slope for the cue size 3 condition under the assumption that rather than applying a broad spotlight of attention encompassing all three locations, a narrow spotlight of attention encompassing one location only is directed towards one of the three locations on a trial-by-trial basis. The dotted lines represent the slope of the behavioral functions. Shaded envelopes represent the standard error of the mean corrected for individual differences (Cousineau, 2005).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7C901B" id="Text Box 15" o:spid="_x0000_s1030" type="#_x0000_t202" style="position:absolute;margin-left:-52.5pt;margin-top:0;width:555pt;height:141.7pt;z-index:25168896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" stroked="f">
                <v:textbox style="mso-fit-shape-to-text:t" inset="0,0,0,0">
                  <w:txbxContent>
                    <w:p w14:paraId="74C08834" w14:textId="4CA786FC" w:rsidR="00A61B4A" w:rsidRPr="002E46E9" w:rsidRDefault="00A61B4A" w:rsidP="00D32E27">
                      <w:pPr>
                        <w:pStyle w:val="Caption"/>
                        <w:rPr>
                          <w:color w:val="000000" w:themeColor="text1"/>
                          <w:sz w:val="24"/>
                          <w:szCs w:val="24"/>
                        </w:rPr>
                      </w:pPr>
                      <w:r w:rsidRPr="00D32E27">
                        <w:rPr>
                          <w:b/>
                          <w:bCs/>
                          <w:color w:val="000000" w:themeColor="text1"/>
                          <w:sz w:val="24"/>
                          <w:szCs w:val="24"/>
                        </w:rPr>
                        <w:t xml:space="preserve">Figure </w:t>
                      </w:r>
                      <w:r>
                        <w:rPr>
                          <w:b/>
                          <w:bCs/>
                          <w:color w:val="000000" w:themeColor="text1"/>
                          <w:sz w:val="24"/>
                          <w:szCs w:val="24"/>
                        </w:rPr>
                        <w:t>5</w:t>
                      </w:r>
                      <w:r w:rsidRPr="00D32E27">
                        <w:rPr>
                          <w:b/>
                          <w:bCs/>
                          <w:color w:val="000000" w:themeColor="text1"/>
                          <w:sz w:val="24"/>
                          <w:szCs w:val="24"/>
                        </w:rPr>
                        <w:t>.</w:t>
                      </w:r>
                      <w:r w:rsidRPr="002E46E9">
                        <w:rPr>
                          <w:color w:val="000000" w:themeColor="text1"/>
                          <w:sz w:val="24"/>
                          <w:szCs w:val="24"/>
                        </w:rPr>
                        <w:t xml:space="preserve"> </w:t>
                      </w:r>
                      <w:r>
                        <w:rPr>
                          <w:color w:val="000000" w:themeColor="text1"/>
                          <w:sz w:val="24"/>
                          <w:szCs w:val="24"/>
                        </w:rPr>
                        <w:t xml:space="preserve">Channel tuning functions (CTFs) in Experiment 2 for cue size 1 (upper panel) and cue size 3 (middle panel). The slope of these CTFs is used as a measure of how selectively a channel responds to cueing of the location it represents (lower panel). Smaller cues (green lines) induce steeper slopes than larger cues (blue lines). The pink line represents the simulated slope for the cue size 3 condition under the assumption that rather than applying a broad spotlight of attention encompassing all three locations, a narrow spotlight of attention encompassing one location only is directed towards one of the three locations on a trial-by-trial basis. The dotted lines represent the slope of the </w:t>
                      </w:r>
                      <w:proofErr w:type="spellStart"/>
                      <w:r>
                        <w:rPr>
                          <w:color w:val="000000" w:themeColor="text1"/>
                          <w:sz w:val="24"/>
                          <w:szCs w:val="24"/>
                        </w:rPr>
                        <w:t>behavioral</w:t>
                      </w:r>
                      <w:proofErr w:type="spellEnd"/>
                      <w:r>
                        <w:rPr>
                          <w:color w:val="000000" w:themeColor="text1"/>
                          <w:sz w:val="24"/>
                          <w:szCs w:val="24"/>
                        </w:rPr>
                        <w:t xml:space="preserve"> functions. Shaded envelopes represent the standard error of the mean corrected for individual differences (</w:t>
                      </w:r>
                      <w:proofErr w:type="spellStart"/>
                      <w:r>
                        <w:rPr>
                          <w:color w:val="000000" w:themeColor="text1"/>
                          <w:sz w:val="24"/>
                          <w:szCs w:val="24"/>
                        </w:rPr>
                        <w:t>Cousineau</w:t>
                      </w:r>
                      <w:proofErr w:type="spellEnd"/>
                      <w:r>
                        <w:rPr>
                          <w:color w:val="000000" w:themeColor="text1"/>
                          <w:sz w:val="24"/>
                          <w:szCs w:val="24"/>
                        </w:rPr>
                        <w:t>, 2005).</w:t>
                      </w:r>
                    </w:p>
                  </w:txbxContent>
                </v:textbox>
                <w10:wrap type="square" anchorx="margin" anchory="page"/>
              </v:shape>
            </w:pict>
          </mc:Fallback>
        </mc:AlternateContent>
      </w:r>
      <w:r w:rsidRPr="00710874">
        <w:rPr>
          <w:noProof/>
          <w:color w:val="000000" w:themeColor="text1"/>
          <w:lang w:eastAsia="zh-CN"/>
        </w:rPr>
        <w:drawing>
          <wp:anchor distT="0" distB="0" distL="114300" distR="114300" simplePos="0" relativeHeight="251707392" behindDoc="0" locked="0" layoutInCell="1" allowOverlap="1" wp14:anchorId="7215899D" wp14:editId="0D7CBEBC">
            <wp:simplePos x="0" y="0"/>
            <wp:positionH relativeFrom="margin">
              <wp:align>left</wp:align>
            </wp:positionH>
            <wp:positionV relativeFrom="page">
              <wp:align>top</wp:align>
            </wp:positionV>
            <wp:extent cx="5402580" cy="8858250"/>
            <wp:effectExtent l="0" t="0" r="7620" b="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2580" cy="885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2C8" w:rsidRPr="00710874">
        <w:rPr>
          <w:color w:val="000000" w:themeColor="text1"/>
        </w:rPr>
        <w:t xml:space="preserve"> </w:t>
      </w:r>
      <w:r w:rsidR="00CF52C8" w:rsidRPr="00710874">
        <w:rPr>
          <w:rFonts w:ascii="Times New Roman" w:hAnsi="Times New Roman" w:cs="Times New Roman"/>
          <w:b/>
          <w:color w:val="000000" w:themeColor="text1"/>
          <w:lang w:val="en-US"/>
        </w:rPr>
        <w:br w:type="page"/>
      </w:r>
    </w:p>
    <w:p w14:paraId="5D63B4E4" w14:textId="2F8896BF" w:rsidR="00933175" w:rsidRPr="00710874" w:rsidRDefault="00933175" w:rsidP="00933175">
      <w:pPr>
        <w:spacing w:after="0" w:line="480" w:lineRule="auto"/>
        <w:jc w:val="both"/>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lastRenderedPageBreak/>
        <w:t xml:space="preserve">CTF </w:t>
      </w:r>
      <w:r w:rsidR="0079073B" w:rsidRPr="00710874">
        <w:rPr>
          <w:rFonts w:ascii="Times New Roman" w:hAnsi="Times New Roman" w:cs="Times New Roman"/>
          <w:b/>
          <w:color w:val="000000" w:themeColor="text1"/>
          <w:lang w:val="en-US"/>
        </w:rPr>
        <w:t>Slopes</w:t>
      </w:r>
    </w:p>
    <w:p w14:paraId="29E783CF" w14:textId="38C29252" w:rsidR="00D33DF9" w:rsidRPr="00710874" w:rsidRDefault="0079073B" w:rsidP="00CA5AE9">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No reliable slopes were found for CS1 from 0-100 (p = .</w:t>
      </w:r>
      <w:r w:rsidR="00277ADA" w:rsidRPr="00710874">
        <w:rPr>
          <w:rFonts w:ascii="Times New Roman" w:hAnsi="Times New Roman" w:cs="Times New Roman"/>
          <w:color w:val="000000" w:themeColor="text1"/>
          <w:lang w:val="en-US"/>
        </w:rPr>
        <w:t>219</w:t>
      </w:r>
      <w:r w:rsidRPr="00710874">
        <w:rPr>
          <w:rFonts w:ascii="Times New Roman" w:hAnsi="Times New Roman" w:cs="Times New Roman"/>
          <w:color w:val="000000" w:themeColor="text1"/>
          <w:lang w:val="en-US"/>
        </w:rPr>
        <w:t>), but for all succeeding time windows (all p ≤ .0</w:t>
      </w:r>
      <w:r w:rsidR="00277ADA" w:rsidRPr="00710874">
        <w:rPr>
          <w:rFonts w:ascii="Times New Roman" w:hAnsi="Times New Roman" w:cs="Times New Roman"/>
          <w:color w:val="000000" w:themeColor="text1"/>
          <w:lang w:val="en-US"/>
        </w:rPr>
        <w:t>13</w:t>
      </w:r>
      <w:r w:rsidRPr="00710874">
        <w:rPr>
          <w:rFonts w:ascii="Times New Roman" w:hAnsi="Times New Roman" w:cs="Times New Roman"/>
          <w:color w:val="000000" w:themeColor="text1"/>
          <w:lang w:val="en-US"/>
        </w:rPr>
        <w:t xml:space="preserve">). For CS3, no time window before </w:t>
      </w:r>
      <w:r w:rsidR="0050042C"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00 ms showed a reliable slope (all p ≥ .</w:t>
      </w:r>
      <w:r w:rsidR="00277ADA" w:rsidRPr="00710874">
        <w:rPr>
          <w:rFonts w:ascii="Times New Roman" w:hAnsi="Times New Roman" w:cs="Times New Roman"/>
          <w:color w:val="000000" w:themeColor="text1"/>
          <w:lang w:val="en-US"/>
        </w:rPr>
        <w:t>691</w:t>
      </w:r>
      <w:r w:rsidRPr="00710874">
        <w:rPr>
          <w:rFonts w:ascii="Times New Roman" w:hAnsi="Times New Roman" w:cs="Times New Roman"/>
          <w:color w:val="000000" w:themeColor="text1"/>
          <w:lang w:val="en-US"/>
        </w:rPr>
        <w:t xml:space="preserve">), but all time windows from </w:t>
      </w:r>
      <w:r w:rsidR="0050042C"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00 ms on showed a reliable slope (all p ≤ .0</w:t>
      </w:r>
      <w:r w:rsidR="0050042C" w:rsidRPr="00710874">
        <w:rPr>
          <w:rFonts w:ascii="Times New Roman" w:hAnsi="Times New Roman" w:cs="Times New Roman"/>
          <w:color w:val="000000" w:themeColor="text1"/>
          <w:lang w:val="en-US"/>
        </w:rPr>
        <w:t>3</w:t>
      </w:r>
      <w:r w:rsidR="00277ADA" w:rsidRPr="00710874">
        <w:rPr>
          <w:rFonts w:ascii="Times New Roman" w:hAnsi="Times New Roman" w:cs="Times New Roman"/>
          <w:color w:val="000000" w:themeColor="text1"/>
          <w:lang w:val="en-US"/>
        </w:rPr>
        <w:t>1</w:t>
      </w:r>
      <w:r w:rsidRPr="00710874">
        <w:rPr>
          <w:rFonts w:ascii="Times New Roman" w:hAnsi="Times New Roman" w:cs="Times New Roman"/>
          <w:color w:val="000000" w:themeColor="text1"/>
          <w:lang w:val="en-US"/>
        </w:rPr>
        <w:t xml:space="preserve">). Differences in the time slope between CS1 and CS3 were not observed before </w:t>
      </w:r>
      <w:r w:rsidR="0050042C" w:rsidRPr="00710874">
        <w:rPr>
          <w:rFonts w:ascii="Times New Roman" w:hAnsi="Times New Roman" w:cs="Times New Roman"/>
          <w:color w:val="000000" w:themeColor="text1"/>
          <w:lang w:val="en-US"/>
        </w:rPr>
        <w:t>2</w:t>
      </w:r>
      <w:r w:rsidRPr="00710874">
        <w:rPr>
          <w:rFonts w:ascii="Times New Roman" w:hAnsi="Times New Roman" w:cs="Times New Roman"/>
          <w:color w:val="000000" w:themeColor="text1"/>
          <w:lang w:val="en-US"/>
        </w:rPr>
        <w:t>00 ms (all p ≥ .</w:t>
      </w:r>
      <w:r w:rsidR="0050042C" w:rsidRPr="00710874">
        <w:rPr>
          <w:rFonts w:ascii="Times New Roman" w:hAnsi="Times New Roman" w:cs="Times New Roman"/>
          <w:color w:val="000000" w:themeColor="text1"/>
          <w:lang w:val="en-US"/>
        </w:rPr>
        <w:t>06</w:t>
      </w:r>
      <w:r w:rsidR="007E3709" w:rsidRPr="00710874">
        <w:rPr>
          <w:rFonts w:ascii="Times New Roman" w:hAnsi="Times New Roman" w:cs="Times New Roman"/>
          <w:color w:val="000000" w:themeColor="text1"/>
          <w:lang w:val="en-US"/>
        </w:rPr>
        <w:t>6</w:t>
      </w:r>
      <w:r w:rsidRPr="00710874">
        <w:rPr>
          <w:rFonts w:ascii="Times New Roman" w:hAnsi="Times New Roman" w:cs="Times New Roman"/>
          <w:color w:val="000000" w:themeColor="text1"/>
          <w:lang w:val="en-US"/>
        </w:rPr>
        <w:t>)</w:t>
      </w:r>
      <w:r w:rsidR="007E3709" w:rsidRPr="00710874">
        <w:rPr>
          <w:rFonts w:ascii="Times New Roman" w:hAnsi="Times New Roman" w:cs="Times New Roman"/>
          <w:color w:val="000000" w:themeColor="text1"/>
          <w:lang w:val="en-US"/>
        </w:rPr>
        <w:t xml:space="preserve"> and from 400-500 ms (p = .069)</w:t>
      </w:r>
      <w:r w:rsidRPr="00710874">
        <w:rPr>
          <w:rFonts w:ascii="Times New Roman" w:hAnsi="Times New Roman" w:cs="Times New Roman"/>
          <w:color w:val="000000" w:themeColor="text1"/>
          <w:lang w:val="en-US"/>
        </w:rPr>
        <w:t xml:space="preserve">, but </w:t>
      </w:r>
      <w:r w:rsidR="007E3709" w:rsidRPr="00710874">
        <w:rPr>
          <w:rFonts w:ascii="Times New Roman" w:hAnsi="Times New Roman" w:cs="Times New Roman"/>
          <w:color w:val="000000" w:themeColor="text1"/>
          <w:lang w:val="en-US"/>
        </w:rPr>
        <w:t>for all other</w:t>
      </w:r>
      <w:r w:rsidRPr="00710874">
        <w:rPr>
          <w:rFonts w:ascii="Times New Roman" w:hAnsi="Times New Roman" w:cs="Times New Roman"/>
          <w:color w:val="000000" w:themeColor="text1"/>
          <w:lang w:val="en-US"/>
        </w:rPr>
        <w:t xml:space="preserve"> time windows (all p ≤ .0</w:t>
      </w:r>
      <w:r w:rsidR="00CA5AE9" w:rsidRPr="00710874">
        <w:rPr>
          <w:rFonts w:ascii="Times New Roman" w:hAnsi="Times New Roman" w:cs="Times New Roman"/>
          <w:color w:val="000000" w:themeColor="text1"/>
          <w:lang w:val="en-US"/>
        </w:rPr>
        <w:t>20</w:t>
      </w:r>
      <w:r w:rsidRPr="00710874">
        <w:rPr>
          <w:rFonts w:ascii="Times New Roman" w:hAnsi="Times New Roman" w:cs="Times New Roman"/>
          <w:color w:val="000000" w:themeColor="text1"/>
          <w:lang w:val="en-US"/>
        </w:rPr>
        <w:t xml:space="preserve">). </w:t>
      </w:r>
      <w:r w:rsidR="00D33DF9" w:rsidRPr="00710874">
        <w:rPr>
          <w:rFonts w:ascii="Times New Roman" w:hAnsi="Times New Roman" w:cs="Times New Roman"/>
          <w:color w:val="000000" w:themeColor="text1"/>
          <w:lang w:val="en-US"/>
        </w:rPr>
        <w:t xml:space="preserve">The CTF similarity for the simulated and observed CS3 was highest under the assumption that attention was focused on the central location in 42% of the trials and on </w:t>
      </w:r>
      <w:r w:rsidR="007F7C3C" w:rsidRPr="00710874">
        <w:rPr>
          <w:rFonts w:ascii="Times New Roman" w:hAnsi="Times New Roman" w:cs="Times New Roman"/>
          <w:color w:val="000000" w:themeColor="text1"/>
          <w:lang w:val="en-US"/>
        </w:rPr>
        <w:t xml:space="preserve">each of </w:t>
      </w:r>
      <w:r w:rsidR="00D33DF9" w:rsidRPr="00710874">
        <w:rPr>
          <w:rFonts w:ascii="Times New Roman" w:hAnsi="Times New Roman" w:cs="Times New Roman"/>
          <w:color w:val="000000" w:themeColor="text1"/>
          <w:lang w:val="en-US"/>
        </w:rPr>
        <w:t xml:space="preserve">the lateral </w:t>
      </w:r>
      <w:r w:rsidR="007F7C3C" w:rsidRPr="00710874">
        <w:rPr>
          <w:rFonts w:ascii="Times New Roman" w:hAnsi="Times New Roman" w:cs="Times New Roman"/>
          <w:color w:val="000000" w:themeColor="text1"/>
          <w:lang w:val="en-US"/>
        </w:rPr>
        <w:t>location</w:t>
      </w:r>
      <w:r w:rsidR="00D33DF9" w:rsidRPr="00710874">
        <w:rPr>
          <w:rFonts w:ascii="Times New Roman" w:hAnsi="Times New Roman" w:cs="Times New Roman"/>
          <w:color w:val="000000" w:themeColor="text1"/>
          <w:lang w:val="en-US"/>
        </w:rPr>
        <w:t xml:space="preserve"> </w:t>
      </w:r>
      <w:r w:rsidR="007F7C3C" w:rsidRPr="00710874">
        <w:rPr>
          <w:rFonts w:ascii="Times New Roman" w:hAnsi="Times New Roman" w:cs="Times New Roman"/>
          <w:color w:val="000000" w:themeColor="text1"/>
          <w:lang w:val="en-US"/>
        </w:rPr>
        <w:t xml:space="preserve">in </w:t>
      </w:r>
      <w:r w:rsidR="00D33DF9" w:rsidRPr="00710874">
        <w:rPr>
          <w:rFonts w:ascii="Times New Roman" w:hAnsi="Times New Roman" w:cs="Times New Roman"/>
          <w:color w:val="000000" w:themeColor="text1"/>
          <w:lang w:val="en-US"/>
        </w:rPr>
        <w:t xml:space="preserve">29% of the </w:t>
      </w:r>
      <w:r w:rsidR="007F7C3C" w:rsidRPr="00710874">
        <w:rPr>
          <w:rFonts w:ascii="Times New Roman" w:hAnsi="Times New Roman" w:cs="Times New Roman"/>
          <w:color w:val="000000" w:themeColor="text1"/>
          <w:lang w:val="en-US"/>
        </w:rPr>
        <w:t>trials.</w:t>
      </w:r>
      <w:r w:rsidR="00D33DF9" w:rsidRPr="00710874">
        <w:rPr>
          <w:rFonts w:ascii="Times New Roman" w:hAnsi="Times New Roman" w:cs="Times New Roman"/>
          <w:color w:val="000000" w:themeColor="text1"/>
          <w:lang w:val="en-US"/>
        </w:rPr>
        <w:t xml:space="preserve"> </w:t>
      </w:r>
      <w:r w:rsidR="007F7C3C" w:rsidRPr="00710874">
        <w:rPr>
          <w:rFonts w:ascii="Times New Roman" w:hAnsi="Times New Roman" w:cs="Times New Roman"/>
          <w:color w:val="000000" w:themeColor="text1"/>
          <w:lang w:val="en-US"/>
        </w:rPr>
        <w:t>For the simulated CS3 slope, no reliable slopes were found for CS1 from 0-100 ms (p = .</w:t>
      </w:r>
      <w:r w:rsidR="00277ADA" w:rsidRPr="00710874">
        <w:rPr>
          <w:rFonts w:ascii="Times New Roman" w:hAnsi="Times New Roman" w:cs="Times New Roman"/>
          <w:color w:val="000000" w:themeColor="text1"/>
          <w:lang w:val="en-US"/>
        </w:rPr>
        <w:t>167</w:t>
      </w:r>
      <w:r w:rsidR="007F7C3C" w:rsidRPr="00710874">
        <w:rPr>
          <w:rFonts w:ascii="Times New Roman" w:hAnsi="Times New Roman" w:cs="Times New Roman"/>
          <w:color w:val="000000" w:themeColor="text1"/>
          <w:lang w:val="en-US"/>
        </w:rPr>
        <w:t>), but for all succe</w:t>
      </w:r>
      <w:r w:rsidR="00277ADA" w:rsidRPr="00710874">
        <w:rPr>
          <w:rFonts w:ascii="Times New Roman" w:hAnsi="Times New Roman" w:cs="Times New Roman"/>
          <w:color w:val="000000" w:themeColor="text1"/>
          <w:lang w:val="en-US"/>
        </w:rPr>
        <w:t>eding time windows (all p ≤ .011</w:t>
      </w:r>
      <w:r w:rsidR="007F7C3C" w:rsidRPr="00710874">
        <w:rPr>
          <w:rFonts w:ascii="Times New Roman" w:hAnsi="Times New Roman" w:cs="Times New Roman"/>
          <w:color w:val="000000" w:themeColor="text1"/>
          <w:lang w:val="en-US"/>
        </w:rPr>
        <w:t>). Differences in the time slope between CS3 and simulated CS3 were not observed before 300 ms (all p ≥ .</w:t>
      </w:r>
      <w:r w:rsidR="00CA5AE9" w:rsidRPr="00710874">
        <w:rPr>
          <w:rFonts w:ascii="Times New Roman" w:hAnsi="Times New Roman" w:cs="Times New Roman"/>
          <w:color w:val="000000" w:themeColor="text1"/>
          <w:lang w:val="en-US"/>
        </w:rPr>
        <w:t>303</w:t>
      </w:r>
      <w:r w:rsidR="007F7C3C" w:rsidRPr="00710874">
        <w:rPr>
          <w:rFonts w:ascii="Times New Roman" w:hAnsi="Times New Roman" w:cs="Times New Roman"/>
          <w:color w:val="000000" w:themeColor="text1"/>
          <w:lang w:val="en-US"/>
        </w:rPr>
        <w:t>), but for all succeeding time windows (all p ≤ .00</w:t>
      </w:r>
      <w:r w:rsidR="00CA5AE9" w:rsidRPr="00710874">
        <w:rPr>
          <w:rFonts w:ascii="Times New Roman" w:hAnsi="Times New Roman" w:cs="Times New Roman"/>
          <w:color w:val="000000" w:themeColor="text1"/>
          <w:lang w:val="en-US"/>
        </w:rPr>
        <w:t>2</w:t>
      </w:r>
      <w:r w:rsidR="007F7C3C" w:rsidRPr="00710874">
        <w:rPr>
          <w:rFonts w:ascii="Times New Roman" w:hAnsi="Times New Roman" w:cs="Times New Roman"/>
          <w:color w:val="000000" w:themeColor="text1"/>
          <w:lang w:val="en-US"/>
        </w:rPr>
        <w:t xml:space="preserve">). This replicated findings from Experiment 1 and </w:t>
      </w:r>
      <w:r w:rsidR="00D33DF9" w:rsidRPr="00710874">
        <w:rPr>
          <w:rFonts w:ascii="Times New Roman" w:hAnsi="Times New Roman" w:cs="Times New Roman"/>
          <w:color w:val="000000" w:themeColor="text1"/>
          <w:lang w:val="en-US"/>
        </w:rPr>
        <w:t xml:space="preserve">suggests that probabilistic switching of the CTF from the cue size 1 condition could not match the slope of the observed CTF in the cue size 3 condition. </w:t>
      </w:r>
      <w:r w:rsidR="00EE3E31" w:rsidRPr="00710874">
        <w:rPr>
          <w:rFonts w:ascii="Times New Roman" w:hAnsi="Times New Roman" w:cs="Times New Roman"/>
          <w:color w:val="000000" w:themeColor="text1"/>
          <w:lang w:val="en-US"/>
        </w:rPr>
        <w:t>Again, we carried out the same analysis for the behavioral data. The optimal ratio for the central location was 45% and the slope was reliably different between the observed (7.6%) and simulated (4.6%) cue size 3 condition (p = .002). Thus, the data from the cue size 3 condition could not be reproduced by probabilistic switching of the narrow focus observed in the cue size 1 condition. In sum, both Experiment 1 and 2 show that subjects oriented more broadly in the cue size 3 condition, and that spatially-specific activity in the alpha frequency band tracked these changes in the size of the zoom lens of attention.</w:t>
      </w:r>
    </w:p>
    <w:p w14:paraId="1BD74834" w14:textId="22A99C5A" w:rsidR="00D33DF9" w:rsidRPr="00710874" w:rsidRDefault="00EE3E31" w:rsidP="00EE3E31">
      <w:pPr>
        <w:spacing w:after="0" w:line="480" w:lineRule="auto"/>
        <w:ind w:firstLine="720"/>
        <w:jc w:val="both"/>
        <w:rPr>
          <w:rFonts w:ascii="Times New Roman" w:hAnsi="Times New Roman" w:cs="Times New Roman"/>
          <w:b/>
          <w:color w:val="000000" w:themeColor="text1"/>
          <w:lang w:val="en-US"/>
        </w:rPr>
      </w:pPr>
      <w:r w:rsidRPr="00710874">
        <w:rPr>
          <w:rFonts w:ascii="Times New Roman" w:hAnsi="Times New Roman" w:cs="Times New Roman"/>
          <w:color w:val="000000" w:themeColor="text1"/>
          <w:lang w:val="en-US"/>
        </w:rPr>
        <w:t>It is noteworthy that r</w:t>
      </w:r>
      <w:r w:rsidR="00D33DF9" w:rsidRPr="00710874">
        <w:rPr>
          <w:rFonts w:ascii="Times New Roman" w:hAnsi="Times New Roman" w:cs="Times New Roman"/>
          <w:color w:val="000000" w:themeColor="text1"/>
          <w:lang w:val="en-US"/>
        </w:rPr>
        <w:t>eliable effects of cue size at an earlier point in time in Experiment 2 (200 ms</w:t>
      </w:r>
      <w:r w:rsidRPr="00710874">
        <w:rPr>
          <w:rFonts w:ascii="Times New Roman" w:hAnsi="Times New Roman" w:cs="Times New Roman"/>
          <w:color w:val="000000" w:themeColor="text1"/>
          <w:lang w:val="en-US"/>
        </w:rPr>
        <w:t xml:space="preserve">) than in Experiment 1 (500 ms). This </w:t>
      </w:r>
      <w:r w:rsidR="00D33DF9" w:rsidRPr="00710874">
        <w:rPr>
          <w:rFonts w:ascii="Times New Roman" w:hAnsi="Times New Roman" w:cs="Times New Roman"/>
          <w:color w:val="000000" w:themeColor="text1"/>
          <w:lang w:val="en-US"/>
        </w:rPr>
        <w:t>raised the possibility that landmarks facilitated more efficient control over the breadth of orienting. To test this apparent different between Experiments 1 and 2 more directly, we ran an exploratory analysis to compare the slope differences. Using the same 100-ms intervals, we compared the differential slope (CS1 minus CS3) between experiments with a t-test for independent samples. There was no reliable difference for any time interval (all p ≥ .137). Thus, we did not find robust evidence that the effect of cue size emerged earlier in Experiment 2 than in Experiment 1.</w:t>
      </w:r>
    </w:p>
    <w:p w14:paraId="22E06D54" w14:textId="56701F83" w:rsidR="00555956" w:rsidRPr="00710874" w:rsidRDefault="00555956" w:rsidP="00BD64D7">
      <w:pPr>
        <w:spacing w:after="0" w:line="480" w:lineRule="auto"/>
        <w:jc w:val="center"/>
        <w:rPr>
          <w:rFonts w:ascii="Times New Roman" w:hAnsi="Times New Roman" w:cs="Times New Roman"/>
          <w:b/>
          <w:color w:val="000000" w:themeColor="text1"/>
          <w:lang w:val="en-US"/>
        </w:rPr>
      </w:pPr>
    </w:p>
    <w:p w14:paraId="24A45637" w14:textId="44FEDB02" w:rsidR="008E5E20" w:rsidRPr="00710874" w:rsidRDefault="007E373B" w:rsidP="007E373B">
      <w:pPr>
        <w:spacing w:after="0" w:line="480" w:lineRule="auto"/>
        <w:jc w:val="center"/>
        <w:rPr>
          <w:rFonts w:ascii="Times New Roman" w:hAnsi="Times New Roman" w:cs="Times New Roman"/>
          <w:b/>
          <w:color w:val="000000" w:themeColor="text1"/>
          <w:lang w:val="en-US"/>
        </w:rPr>
      </w:pPr>
      <w:r w:rsidRPr="00710874">
        <w:rPr>
          <w:rFonts w:ascii="Times New Roman" w:hAnsi="Times New Roman" w:cs="Times New Roman"/>
          <w:b/>
          <w:color w:val="000000" w:themeColor="text1"/>
          <w:lang w:val="en-US"/>
        </w:rPr>
        <w:lastRenderedPageBreak/>
        <w:t>General Discussion</w:t>
      </w:r>
    </w:p>
    <w:p w14:paraId="3A83FF24" w14:textId="38305BB3" w:rsidR="00131AEB" w:rsidRPr="00710874" w:rsidRDefault="001F72DC" w:rsidP="00F544ED">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t>There has been longstanding behavioral evidence suggesting that observers can exert voluntary control over the size of attention’s ‘zoom lens’, such that limited resources for visual selection are spread over a narrow or a broad region of space</w:t>
      </w:r>
      <w:r w:rsidR="003C5C4B" w:rsidRPr="00710874">
        <w:rPr>
          <w:rFonts w:ascii="Times New Roman" w:hAnsi="Times New Roman" w:cs="Times New Roman"/>
          <w:color w:val="000000" w:themeColor="text1"/>
          <w:lang w:val="en-US"/>
        </w:rPr>
        <w:t xml:space="preserve"> </w:t>
      </w:r>
      <w:r w:rsidR="003C5C4B"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{"citationID":"ebcS2oYV","properties":{"formattedCitation":"(Cave &amp; Bichot, 1999; Eriksen &amp; James, 1986)","plainCitation":"(Cave &amp; Bichot, 1999; Eriksen &amp; James, 1986)","noteIndex":0},"citationItems":[{"id":"UDPvIsdA/JPYAWJFs","uris":["http://www.mendeley.com/documents/?uuid=10277639-6b32-49a8-bfb8-5b1c4b9e60df"],"uri":["http://www.mendeley.com/documents/?uuid=10277639-6b32-49a8-bfb8-5b1c4b9e60df"],"itemData":{"author":[{"dropping-particle":"","family":"Cave","given":"Kyle R","non-dropping-particle":"","parse-names":false,"suffix":""},{"dropping-particle":"","family":"Bichot","given":"Narcisse P","non-dropping-particle":"","parse-names":false,"suffix":""}],"container-title":"Psychonomic Bulletin &amp; Review","id":"q5ugJh5w/VBrVSn7d","issue":"2","issued":{"date-parts":[["1999"]]},"page":"204-223","title":"Visuospatial attention: Beyond a spotlight model","type":"article-journal","volume":"6"}},{"id":"UDPvIsdA/7qXr7HER","uris":["http://www.mendeley.com/documents/?uuid=62822b69-8921-4726-9395-0751304a8e8a"],"uri":["http://www.mendeley.com/documents/?uuid=62822b69-8921-4726-9395-0751304a8e8a"],"itemData":{"DOI":"10.3758/BF03211502","author":[{"dropping-particle":"","family":"Eriksen","given":"Charles W","non-dropping-particle":"","parse-names":false,"suffix":""},{"dropping-particle":"","family":"James","given":"JDS","non-dropping-particle":"","parse-names":false,"suffix":""}],"container-title":"Perception &amp; Psychophysics","id":"q5ugJh5w/iKiWIRHY","issue":"4","issued":{"date-parts":[["1986"]]},"page":"225-240","title":"Visual attention within and around the field of focal attention: A zoom lens model","type":"article-journal","volume":"40"}}],"schema":"https://github.com/citation-style-language/schema/raw/master/csl-citation.json"} </w:instrText>
      </w:r>
      <w:r w:rsidR="003C5C4B"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(Cave &amp; Bichot, 1999; Eriksen &amp; James, 1986)</w:t>
      </w:r>
      <w:r w:rsidR="003C5C4B"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 xml:space="preserve">. </w:t>
      </w:r>
      <w:r w:rsidR="009E37AE" w:rsidRPr="00710874">
        <w:rPr>
          <w:rFonts w:ascii="Times New Roman" w:hAnsi="Times New Roman" w:cs="Times New Roman"/>
          <w:color w:val="000000" w:themeColor="text1"/>
          <w:lang w:val="en-US"/>
        </w:rPr>
        <w:t xml:space="preserve">In </w:t>
      </w:r>
      <w:r w:rsidR="008E076F" w:rsidRPr="00710874">
        <w:rPr>
          <w:rFonts w:ascii="Times New Roman" w:hAnsi="Times New Roman" w:cs="Times New Roman"/>
          <w:color w:val="000000" w:themeColor="text1"/>
          <w:lang w:val="en-US"/>
        </w:rPr>
        <w:t>the present study,</w:t>
      </w:r>
      <w:r w:rsidR="009E37AE" w:rsidRPr="00710874">
        <w:rPr>
          <w:rFonts w:ascii="Times New Roman" w:hAnsi="Times New Roman" w:cs="Times New Roman"/>
          <w:color w:val="000000" w:themeColor="text1"/>
          <w:lang w:val="en-US"/>
        </w:rPr>
        <w:t xml:space="preserve"> subjects were cued to direct spatial attention towards either a narrow or broad region of space within a circular array of possible target positions. In line with </w:t>
      </w:r>
      <w:r w:rsidR="00131AEB" w:rsidRPr="00710874">
        <w:rPr>
          <w:rFonts w:ascii="Times New Roman" w:hAnsi="Times New Roman" w:cs="Times New Roman"/>
          <w:color w:val="000000" w:themeColor="text1"/>
          <w:lang w:val="en-US"/>
        </w:rPr>
        <w:t>the zoom lens model</w:t>
      </w:r>
      <w:r w:rsidR="003C5C4B" w:rsidRPr="00710874">
        <w:rPr>
          <w:rFonts w:ascii="Times New Roman" w:hAnsi="Times New Roman" w:cs="Times New Roman"/>
          <w:color w:val="000000" w:themeColor="text1"/>
          <w:lang w:val="en-US"/>
        </w:rPr>
        <w:t xml:space="preserve"> </w:t>
      </w:r>
      <w:r w:rsidR="003C5C4B"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{"citationID":"Vgm1m08t","properties":{"formattedCitation":"(Castiello &amp; Umilt\\uc0\\u225{}, 1990; Eriksen &amp; James, 1986; LaBerge, 1983)","plainCitation":"(Castiello &amp; Umiltá, 1990; Eriksen &amp; James, 1986; LaBerge, 1983)","noteIndex":0},"citationItems":[{"id":41,"uris":["http://zotero.org/users/4743004/items/VXC72BGK"],"uri":["http://zotero.org/users/4743004/items/VXC72BGK"],"itemData":{"id":41,"type":"article-journal","title":"Size of the Attentional","page":"195-209","volume":"73","author":[{"family":"Castiello","given":"Umberto"},{"family":"Umiltá","given":"Carlo"}],"issued":{"date-parts":[["1990"]]}}},{"id":"UDPvIsdA/7qXr7HER","uris":["http://www.mendeley.com/documents/?uuid=62822b69-8921-4726-9395-0751304a8e8a"],"uri":["http://www.mendeley.com/documents/?uuid=62822b69-8921-4726-9395-0751304a8e8a"],"itemData":{"DOI":"10.3758/BF03211502","author":[{"dropping-particle":"","family":"Eriksen","given":"Charles W","non-dropping-particle":"","parse-names":false,"suffix":""},{"dropping-particle":"","family":"James","given":"JDS","non-dropping-particle":"","parse-names":false,"suffix":""}],"container-title":"Perception &amp; Psychophysics","id":"q5ugJh5w/iKiWIRHY","issue":"4","issued":{"date-parts":[["1986"]]},"page":"225-240","title":"Visual attention within and around the field of focal attention: A zoom lens model","type":"article-journal","volume":"40"}},{"id":1655,"uris":["http://zotero.org/users/4743004/items/FLFGYCHY"],"uri":["http://zotero.org/users/4743004/items/FLFGYCHY"],"itemData":{"id":1655,"type":"article-journal","title":"Spatial extent of attention to letters and words.","container-title":"Journal of Experimental Psychology: Human Perception and Performance","page":"371-9","volume":"9","issue":"3","abstract":"The spatial extent of attention to visually presented letters and words was investigated using a probe technique. The primary task required subjects to categorize (a) five-letter words, or to categorize the middle letter of (b) five-letter words or (c) five-letter nonwords. The probe task required the subjects to respond when the digit 7 appeared in one of the five letter positions. Probe trials were inserted at the onset of letter and word processing in Experiment 1 and 500 msec after letter and word processing in Experiment 2. In both experiments, probe trials produced a V-shaped function of reaction times across probe positions for the letter-categorization task for word and nonword stimulus conditions. In contrast, a relatively flat reaction time function was found for the word-categorization tasks. An analysis of the data based on a quantitative model of attentional spotlight distributions suggests that the spotlight width in the letter tasks is one letter space, and the spotlight width in the word task is typically five spaces.","DOI":"10.1037//0096-1523.9.3.371","author":[{"family":"LaBerge","given":"D"}],"issued":{"date-parts":[["1983",6]]}}}],"schema":"https://github.com/citation-style-language/schema/raw/master/csl-citation.json"} </w:instrText>
      </w:r>
      <w:r w:rsidR="003C5C4B"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szCs w:val="24"/>
        </w:rPr>
        <w:t>(Castiello &amp; Umiltá, 1990; Eriksen &amp; James, 1986; LaBerge, 1983)</w:t>
      </w:r>
      <w:r w:rsidR="003C5C4B" w:rsidRPr="00710874">
        <w:rPr>
          <w:rFonts w:ascii="Times New Roman" w:hAnsi="Times New Roman" w:cs="Times New Roman"/>
          <w:color w:val="000000" w:themeColor="text1"/>
          <w:lang w:val="en-US"/>
        </w:rPr>
        <w:fldChar w:fldCharType="end"/>
      </w:r>
      <w:r w:rsidR="009E37AE" w:rsidRPr="00710874">
        <w:rPr>
          <w:rFonts w:ascii="Times New Roman" w:hAnsi="Times New Roman" w:cs="Times New Roman"/>
          <w:color w:val="000000" w:themeColor="text1"/>
          <w:lang w:val="en-US"/>
        </w:rPr>
        <w:t>, a gradient of accuracy was found with best performance at the cued location and a drop-off towards more distant locations. Second</w:t>
      </w:r>
      <w:r w:rsidR="008E076F" w:rsidRPr="00710874">
        <w:rPr>
          <w:rFonts w:ascii="Times New Roman" w:hAnsi="Times New Roman" w:cs="Times New Roman"/>
          <w:color w:val="000000" w:themeColor="text1"/>
          <w:lang w:val="en-US"/>
        </w:rPr>
        <w:t>,</w:t>
      </w:r>
      <w:r w:rsidR="009E37AE" w:rsidRPr="00710874">
        <w:rPr>
          <w:rFonts w:ascii="Times New Roman" w:hAnsi="Times New Roman" w:cs="Times New Roman"/>
          <w:color w:val="000000" w:themeColor="text1"/>
          <w:lang w:val="en-US"/>
        </w:rPr>
        <w:t xml:space="preserve"> the gradient varied as a function of cue size, such that a narrow attentional cue elicited a faster drop in discrimination accuracy as the distance from the cente</w:t>
      </w:r>
      <w:r w:rsidR="00131AEB" w:rsidRPr="00710874">
        <w:rPr>
          <w:rFonts w:ascii="Times New Roman" w:hAnsi="Times New Roman" w:cs="Times New Roman"/>
          <w:color w:val="000000" w:themeColor="text1"/>
          <w:lang w:val="en-US"/>
        </w:rPr>
        <w:t>r of the cued region increased.</w:t>
      </w:r>
    </w:p>
    <w:p w14:paraId="06D41170" w14:textId="40DC9008" w:rsidR="00F16622" w:rsidRPr="00710874" w:rsidRDefault="00696225" w:rsidP="00AA0D87">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szCs w:val="24"/>
        </w:rPr>
        <w:t xml:space="preserve">Using an EEG measure of the breadth of covert spatial attention, the </w:t>
      </w:r>
      <w:r w:rsidR="009E37AE" w:rsidRPr="00710874">
        <w:rPr>
          <w:rFonts w:ascii="Times New Roman" w:hAnsi="Times New Roman" w:cs="Times New Roman"/>
          <w:color w:val="000000" w:themeColor="text1"/>
          <w:szCs w:val="24"/>
        </w:rPr>
        <w:t xml:space="preserve">present work extends previous evidence for the zoom lens model in multiple ways. </w:t>
      </w:r>
      <w:r w:rsidR="005C635C" w:rsidRPr="00710874">
        <w:rPr>
          <w:rFonts w:ascii="Times New Roman" w:hAnsi="Times New Roman" w:cs="Times New Roman"/>
          <w:color w:val="000000" w:themeColor="text1"/>
          <w:szCs w:val="24"/>
        </w:rPr>
        <w:t>While past studies had documented changes in the spatial extent of activity in visual cortex following adjustments to the zoom lens of attention</w:t>
      </w:r>
      <w:r w:rsidR="00B32782" w:rsidRPr="00710874">
        <w:rPr>
          <w:rFonts w:ascii="Times New Roman" w:hAnsi="Times New Roman" w:cs="Times New Roman"/>
          <w:color w:val="000000" w:themeColor="text1"/>
          <w:szCs w:val="24"/>
        </w:rPr>
        <w:t xml:space="preserve"> </w:t>
      </w:r>
      <w:r w:rsidR="00B32782" w:rsidRPr="00710874">
        <w:rPr>
          <w:rFonts w:ascii="Times New Roman" w:hAnsi="Times New Roman" w:cs="Times New Roman"/>
          <w:color w:val="000000" w:themeColor="text1"/>
          <w:szCs w:val="24"/>
        </w:rPr>
        <w:fldChar w:fldCharType="begin"/>
      </w:r>
      <w:r w:rsidR="00007E14" w:rsidRPr="00710874">
        <w:rPr>
          <w:rFonts w:ascii="Times New Roman" w:hAnsi="Times New Roman" w:cs="Times New Roman"/>
          <w:color w:val="000000" w:themeColor="text1"/>
          <w:szCs w:val="24"/>
        </w:rPr>
        <w:instrText xml:space="preserve"> ADDIN ZOTERO_ITEM CSL_CITATION {"citationID":"WPgcd1mE","properties":{"formattedCitation":"(Itthipuripat et al., 2014; N. M\\uc0\\u252{}ller et al., 2003)","plainCitation":"(Itthipuripat et al., 2014; N. Müller et al., 2003)","dontUpdate":true,"noteIndex":0},"citationItems":[{"id":"UDPvIsdA/Ykj4bwJK","uris":["http://www.mendeley.com/documents/?uuid=a17fb31d-48d2-436c-a1ad-59c52c41f56f"],"uri":["http://www.mendeley.com/documents/?uuid=a17fb31d-48d2-436c-a1ad-59c52c41f56f"],"itemData":{"author":[{"dropping-particle":"","family":"Müller","given":"Notger","non-dropping-particle":"","parse-names":false,"suffix":""},{"dropping-particle":"","family":"Bartelt","given":"Oliver A","non-dropping-particle":"","parse-names":false,"suffix":""},{"dropping-particle":"","family":"Donner","given":"Tobias H","non-dropping-particle":"","parse-names":false,"suffix":""},{"dropping-particle":"","family":"Villringer","given":"Arno","non-dropping-particle":"","parse-names":false,"suffix":""},{"dropping-particle":"","family":"Brandt","given":"Stephan A","non-dropping-particle":"","parse-names":false,"suffix":""}],"id":"zzFPEzrE/FhdketCq","issue":"9","issued":{"date-parts":[["2003"]]},"page":"3561-3565","title":"A Physiological Correlate of the \"Zoom Lens\" of Visual Attention","type":"article-journal","volume":"23"}},{"id":3217,"uris":["http://zotero.org/users/4743004/items/RGP6I5DD"],"uri":["http://zotero.org/users/4743004/items/RGP6I5DD"],"itemData":{"id":3217,"type":"article-journal","title":"Changing the Spatial Scope of Attention Alters Patterns of Neural Gain in Human Cortex","container-title":"Journal of Neuroscience","page":"112-123","volume":"34","issue":"1","source":"CrossRef","DOI":"10.1523/JNEUROSCI.3943-13.2014","ISSN":"0270-6474, 1529-2401","language":"en","author":[{"family":"Itthipuripat","given":"S."},{"family":"Garcia","given":"J. O."},{"family":"Rungratsameetaweemana","given":"N."},{"family":"Sprague","given":"T. C."},{"family":"Serences","given":"J. T."}],"issued":{"date-parts":[["2014",1,1]]}}}],"schema":"https://github.com/citation-style-language/schema/raw/master/csl-citation.json"} </w:instrText>
      </w:r>
      <w:r w:rsidR="00B32782" w:rsidRPr="00710874">
        <w:rPr>
          <w:rFonts w:ascii="Times New Roman" w:hAnsi="Times New Roman" w:cs="Times New Roman"/>
          <w:color w:val="000000" w:themeColor="text1"/>
          <w:szCs w:val="24"/>
        </w:rPr>
        <w:fldChar w:fldCharType="separate"/>
      </w:r>
      <w:r w:rsidR="00F544ED" w:rsidRPr="00710874">
        <w:rPr>
          <w:rFonts w:ascii="Times New Roman" w:hAnsi="Times New Roman" w:cs="Times New Roman"/>
          <w:color w:val="000000" w:themeColor="text1"/>
          <w:szCs w:val="24"/>
        </w:rPr>
        <w:t>(Itthipuripat et al., 2014; Müller et al., 2003)</w:t>
      </w:r>
      <w:r w:rsidR="00B32782" w:rsidRPr="00710874">
        <w:rPr>
          <w:rFonts w:ascii="Times New Roman" w:hAnsi="Times New Roman" w:cs="Times New Roman"/>
          <w:color w:val="000000" w:themeColor="text1"/>
          <w:szCs w:val="24"/>
        </w:rPr>
        <w:fldChar w:fldCharType="end"/>
      </w:r>
      <w:r w:rsidR="005C635C" w:rsidRPr="00710874">
        <w:rPr>
          <w:rFonts w:ascii="Times New Roman" w:hAnsi="Times New Roman" w:cs="Times New Roman"/>
          <w:color w:val="000000" w:themeColor="text1"/>
          <w:szCs w:val="24"/>
        </w:rPr>
        <w:t xml:space="preserve">, this empirical pattern could not distinguish between baseline shifts in visual activity and changes in the spatial selectivity of that activity. To discriminate between these alternatives, we used an </w:t>
      </w:r>
      <w:r w:rsidR="009E37AE" w:rsidRPr="00710874">
        <w:rPr>
          <w:rFonts w:ascii="Times New Roman" w:hAnsi="Times New Roman" w:cs="Times New Roman"/>
          <w:color w:val="000000" w:themeColor="text1"/>
          <w:szCs w:val="24"/>
        </w:rPr>
        <w:t xml:space="preserve">inverted encoding analytic approach </w:t>
      </w:r>
      <w:r w:rsidR="005C635C" w:rsidRPr="00710874">
        <w:rPr>
          <w:rFonts w:ascii="Times New Roman" w:hAnsi="Times New Roman" w:cs="Times New Roman"/>
          <w:color w:val="000000" w:themeColor="text1"/>
          <w:szCs w:val="24"/>
        </w:rPr>
        <w:t>that enabled</w:t>
      </w:r>
      <w:r w:rsidR="009E37AE" w:rsidRPr="00710874">
        <w:rPr>
          <w:rFonts w:ascii="Times New Roman" w:hAnsi="Times New Roman" w:cs="Times New Roman"/>
          <w:color w:val="000000" w:themeColor="text1"/>
          <w:szCs w:val="24"/>
        </w:rPr>
        <w:t xml:space="preserve"> a more direct measurement of the spatial selectivity of </w:t>
      </w:r>
      <w:r w:rsidR="005C635C" w:rsidRPr="00710874">
        <w:rPr>
          <w:rFonts w:ascii="Times New Roman" w:hAnsi="Times New Roman" w:cs="Times New Roman"/>
          <w:color w:val="000000" w:themeColor="text1"/>
          <w:szCs w:val="24"/>
        </w:rPr>
        <w:t>attention-based neural activity</w:t>
      </w:r>
      <w:r w:rsidR="009E37AE" w:rsidRPr="00710874">
        <w:rPr>
          <w:rFonts w:ascii="Times New Roman" w:hAnsi="Times New Roman" w:cs="Times New Roman"/>
          <w:color w:val="000000" w:themeColor="text1"/>
          <w:szCs w:val="24"/>
        </w:rPr>
        <w:t xml:space="preserve">. </w:t>
      </w:r>
      <w:r w:rsidRPr="00710874">
        <w:rPr>
          <w:rFonts w:ascii="Times New Roman" w:hAnsi="Times New Roman" w:cs="Times New Roman"/>
          <w:color w:val="000000" w:themeColor="text1"/>
          <w:szCs w:val="24"/>
        </w:rPr>
        <w:t>Specifically, we focused on</w:t>
      </w:r>
      <w:r w:rsidR="009E37AE" w:rsidRPr="00710874">
        <w:rPr>
          <w:rFonts w:ascii="Times New Roman" w:hAnsi="Times New Roman" w:cs="Times New Roman"/>
          <w:color w:val="000000" w:themeColor="text1"/>
          <w:szCs w:val="24"/>
        </w:rPr>
        <w:t xml:space="preserve"> preparatory </w:t>
      </w:r>
      <w:r w:rsidRPr="00710874">
        <w:rPr>
          <w:rFonts w:ascii="Times New Roman" w:hAnsi="Times New Roman" w:cs="Times New Roman"/>
          <w:color w:val="000000" w:themeColor="text1"/>
          <w:szCs w:val="24"/>
        </w:rPr>
        <w:t>changes in neural oscillations in the alpha frequency band, a brain rhythm that</w:t>
      </w:r>
      <w:r w:rsidR="009E37AE" w:rsidRPr="00710874">
        <w:rPr>
          <w:rFonts w:ascii="Times New Roman" w:hAnsi="Times New Roman" w:cs="Times New Roman"/>
          <w:color w:val="000000" w:themeColor="text1"/>
          <w:szCs w:val="24"/>
        </w:rPr>
        <w:t xml:space="preserve"> that has been robustly linked with modulations of incoming sensory information. </w:t>
      </w:r>
      <w:r w:rsidR="00636640" w:rsidRPr="00710874">
        <w:rPr>
          <w:rFonts w:ascii="Times New Roman" w:hAnsi="Times New Roman" w:cs="Times New Roman"/>
          <w:color w:val="000000" w:themeColor="text1"/>
          <w:szCs w:val="24"/>
        </w:rPr>
        <w:t xml:space="preserve">The inverted encoding analysis showed that spatially selective alpha activity exhibited </w:t>
      </w:r>
      <w:r w:rsidR="00F16622" w:rsidRPr="00710874">
        <w:rPr>
          <w:rFonts w:ascii="Times New Roman" w:hAnsi="Times New Roman" w:cs="Times New Roman"/>
          <w:color w:val="000000" w:themeColor="text1"/>
          <w:lang w:val="en-US"/>
        </w:rPr>
        <w:t>both defining features of the zoom lens model</w:t>
      </w:r>
      <w:r w:rsidR="003C5C4B" w:rsidRPr="00710874">
        <w:rPr>
          <w:rFonts w:ascii="Times New Roman" w:hAnsi="Times New Roman" w:cs="Times New Roman"/>
          <w:color w:val="000000" w:themeColor="text1"/>
          <w:lang w:val="en-US"/>
        </w:rPr>
        <w:t xml:space="preserve"> </w:t>
      </w:r>
      <w:r w:rsidR="003C5C4B" w:rsidRPr="00710874">
        <w:rPr>
          <w:rFonts w:ascii="Times New Roman" w:hAnsi="Times New Roman" w:cs="Times New Roman"/>
          <w:color w:val="000000" w:themeColor="text1"/>
          <w:lang w:val="en-US"/>
        </w:rPr>
        <w:fldChar w:fldCharType="begin"/>
      </w:r>
      <w:r w:rsidR="00F544ED" w:rsidRPr="00710874">
        <w:rPr>
          <w:rFonts w:ascii="Times New Roman" w:hAnsi="Times New Roman" w:cs="Times New Roman"/>
          <w:color w:val="000000" w:themeColor="text1"/>
          <w:lang w:val="en-US"/>
        </w:rPr>
        <w:instrText xml:space="preserve"> ADDIN ZOTERO_ITEM CSL_CITATION {"citationID":"IPImPIoR","properties":{"formattedCitation":"(LaBerge, 1983)","plainCitation":"(LaBerge, 1983)","noteIndex":0},"citationItems":[{"id":1655,"uris":["http://zotero.org/users/4743004/items/FLFGYCHY"],"uri":["http://zotero.org/users/4743004/items/FLFGYCHY"],"itemData":{"id":1655,"type":"article-journal","title":"Spatial extent of attention to letters and words.","container-title":"Journal of Experimental Psychology: Human Perception and Performance","page":"371-9","volume":"9","issue":"3","abstract":"The spatial extent of attention to visually presented letters and words was investigated using a probe technique. The primary task required subjects to categorize (a) five-letter words, or to categorize the middle letter of (b) five-letter words or (c) five-letter nonwords. The probe task required the subjects to respond when the digit 7 appeared in one of the five letter positions. Probe trials were inserted at the onset of letter and word processing in Experiment 1 and 500 msec after letter and word processing in Experiment 2. In both experiments, probe trials produced a V-shaped function of reaction times across probe positions for the letter-categorization task for word and nonword stimulus conditions. In contrast, a relatively flat reaction time function was found for the word-categorization tasks. An analysis of the data based on a quantitative model of attentional spotlight distributions suggests that the spotlight width in the letter tasks is one letter space, and the spotlight width in the word task is typically five spaces.","DOI":"10.1037//0096-1523.9.3.371","author":[{"family":"LaBerge","given":"D"}],"issued":{"date-parts":[["1983",6]]}}}],"schema":"https://github.com/citation-style-language/schema/raw/master/csl-citation.json"} </w:instrText>
      </w:r>
      <w:r w:rsidR="003C5C4B"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(LaBerge, 1983)</w:t>
      </w:r>
      <w:r w:rsidR="003C5C4B" w:rsidRPr="00710874">
        <w:rPr>
          <w:rFonts w:ascii="Times New Roman" w:hAnsi="Times New Roman" w:cs="Times New Roman"/>
          <w:color w:val="000000" w:themeColor="text1"/>
          <w:lang w:val="en-US"/>
        </w:rPr>
        <w:fldChar w:fldCharType="end"/>
      </w:r>
      <w:r w:rsidR="00F16622" w:rsidRPr="00710874">
        <w:rPr>
          <w:rFonts w:ascii="Times New Roman" w:hAnsi="Times New Roman" w:cs="Times New Roman"/>
          <w:color w:val="000000" w:themeColor="text1"/>
          <w:lang w:val="en-US"/>
        </w:rPr>
        <w:t>. First, channel activity peaked at the center of the cued region, and dropped in a graded fashion with distance away from that point, suggesting that attention is spread across space with a gradient of processing quality that declines at locations farther away from the central focus. Second, the slope of this attentional gradient was steeper when observers directed attention narrowly, suggesting that the size of the attentional gradient can be flexibly adjusted and processing quality declines as the attended region grows broader.</w:t>
      </w:r>
      <w:r w:rsidR="005C635C" w:rsidRPr="00710874">
        <w:rPr>
          <w:rFonts w:ascii="Times New Roman" w:hAnsi="Times New Roman" w:cs="Times New Roman"/>
          <w:color w:val="000000" w:themeColor="text1"/>
          <w:lang w:val="en-US"/>
        </w:rPr>
        <w:t xml:space="preserve"> </w:t>
      </w:r>
    </w:p>
    <w:p w14:paraId="6F5CBE27" w14:textId="48A7C839" w:rsidR="00E77177" w:rsidRPr="00710874" w:rsidRDefault="00E77177" w:rsidP="00F544ED">
      <w:pPr>
        <w:spacing w:after="0" w:line="480" w:lineRule="auto"/>
        <w:ind w:firstLine="720"/>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szCs w:val="24"/>
        </w:rPr>
        <w:t xml:space="preserve">Furthermore, the present study advances our knowledge of how neural oscillations in the alpha frequency band are related to the control of </w:t>
      </w:r>
      <w:r w:rsidR="00696225" w:rsidRPr="00710874">
        <w:rPr>
          <w:rFonts w:ascii="Times New Roman" w:hAnsi="Times New Roman" w:cs="Times New Roman"/>
          <w:color w:val="000000" w:themeColor="text1"/>
          <w:szCs w:val="24"/>
        </w:rPr>
        <w:t>covert</w:t>
      </w:r>
      <w:r w:rsidR="0035186E" w:rsidRPr="00710874">
        <w:rPr>
          <w:rFonts w:ascii="Times New Roman" w:hAnsi="Times New Roman" w:cs="Times New Roman"/>
          <w:color w:val="000000" w:themeColor="text1"/>
          <w:szCs w:val="24"/>
        </w:rPr>
        <w:t xml:space="preserve"> </w:t>
      </w:r>
      <w:r w:rsidRPr="00710874">
        <w:rPr>
          <w:rFonts w:ascii="Times New Roman" w:hAnsi="Times New Roman" w:cs="Times New Roman"/>
          <w:color w:val="000000" w:themeColor="text1"/>
          <w:szCs w:val="24"/>
        </w:rPr>
        <w:t xml:space="preserve">attention. While prior work had clearly established </w:t>
      </w:r>
      <w:r w:rsidRPr="00710874">
        <w:rPr>
          <w:rFonts w:ascii="Times New Roman" w:hAnsi="Times New Roman" w:cs="Times New Roman"/>
          <w:color w:val="000000" w:themeColor="text1"/>
          <w:szCs w:val="24"/>
        </w:rPr>
        <w:lastRenderedPageBreak/>
        <w:t xml:space="preserve">that alpha activity enables precise tracking of the </w:t>
      </w:r>
      <w:r w:rsidRPr="00710874">
        <w:rPr>
          <w:rFonts w:ascii="Times New Roman" w:hAnsi="Times New Roman" w:cs="Times New Roman"/>
          <w:i/>
          <w:color w:val="000000" w:themeColor="text1"/>
          <w:szCs w:val="24"/>
        </w:rPr>
        <w:t>location</w:t>
      </w:r>
      <w:r w:rsidRPr="00710874">
        <w:rPr>
          <w:rFonts w:ascii="Times New Roman" w:hAnsi="Times New Roman" w:cs="Times New Roman"/>
          <w:color w:val="000000" w:themeColor="text1"/>
          <w:szCs w:val="24"/>
        </w:rPr>
        <w:t xml:space="preserve"> of the attended region</w:t>
      </w:r>
      <w:r w:rsidR="003C5C4B" w:rsidRPr="00710874">
        <w:rPr>
          <w:rFonts w:ascii="Times New Roman" w:hAnsi="Times New Roman" w:cs="Times New Roman"/>
          <w:color w:val="000000" w:themeColor="text1"/>
          <w:szCs w:val="24"/>
        </w:rPr>
        <w:t xml:space="preserve"> </w:t>
      </w:r>
      <w:r w:rsidR="003C5C4B" w:rsidRPr="00710874">
        <w:rPr>
          <w:rFonts w:ascii="Times New Roman" w:hAnsi="Times New Roman" w:cs="Times New Roman"/>
          <w:color w:val="000000" w:themeColor="text1"/>
          <w:szCs w:val="24"/>
        </w:rPr>
        <w:fldChar w:fldCharType="begin"/>
      </w:r>
      <w:r w:rsidR="00F544ED" w:rsidRPr="00710874">
        <w:rPr>
          <w:rFonts w:ascii="Times New Roman" w:hAnsi="Times New Roman" w:cs="Times New Roman"/>
          <w:color w:val="000000" w:themeColor="text1"/>
          <w:szCs w:val="24"/>
        </w:rPr>
        <w:instrText xml:space="preserve"> ADDIN ZOTERO_ITEM CSL_CITATION {"citationID":"0U14fDje","properties":{"formattedCitation":"(Foster &amp; Awh, 2019; Foster, Sutterer, et al., 2017; Foxe &amp; Snyder, 2011; Jensen &amp; Mazaheri, 2010; Worden et al., 2000)","plainCitation":"(Foster &amp; Awh, 2019; Foster, Sutterer, et al., 2017; Foxe &amp; Snyder, 2011; Jensen &amp; Mazaheri, 2010; Worden et al., 2000)","noteIndex":0},"citationItems":[{"id":4117,"uris":["http://zotero.org/users/4743004/items/GCADNCJW"],"uri":["http://zotero.org/users/4743004/items/GCADNCJW"],"itemData":{"id":4117,"type":"article-journal","title":"The role of alpha oscillations in spatial attention: limited evidence for a suppression account","container-title":"Current Opinion in Psychology","collection-title":"Attention &amp; Perception","page":"34-40","volume":"29","source":"ScienceDirect","abstract":"Covert spatial attention allows us to prioritize visual processing at relevant locations. A fast growing literature suggests that alpha-band (8–12 Hz) oscillations play a key role in this core cognitive process. It is clear that alpha-band activity tracks both the locus and timing of covert spatial orienting. There is limited evidence, however, for the widely embraced view that alpha oscillations suppress irrelevant visual information during spatial selection. Extant evidence is equally compatible with an account in which alpha activity enables spatial selection through signal enhancement rather than distractor suppression. Thus, more work is needed to characterize the computational role of alpha activity in spatial attention.","DOI":"10.1016/j.copsyc.2018.11.001","ISSN":"2352-250X","title-short":"The role of alpha oscillations in spatial attention","journalAbbreviation":"Current Opinion in Psychology","author":[{"family":"Foster","given":"Joshua J"},{"family":"Awh","given":"Edward"}],"issued":{"date-parts":[["2019",10,1]]}}},{"id":4044,"uris":["http://zotero.org/users/4743004/items/YGN5DWHE"],"uri":["http://zotero.org/users/4743004/items/YGN5DWHE"],"itemData":{"id":4044,"type":"article-journal","title":"Alpha-Band Oscillations Enable Spatially and Temporally Resolved Tracking of Covert Spatial Attention","container-title":"Psychological Science","page":"929-941","volume":"28","issue":"7","source":"Crossref","abstract":"Covert spatial attention is essential for humans’ ability to direct limited processing resources to the relevant aspects of visual scenes. A growing body of evidence suggests that rhythmic neural activity in the alpha frequency band (8–12 Hz) tracks the spatial locus of covert attention, which suggests that alpha activity is integral to spatial attention. However, extant work has not provided a compelling test of another key prediction: that alpha activity tracks the temporal dynamics of covert spatial orienting. In the current study, we examined the time course of spatially specific alpha activity after central cues and during visual search. Critically, the time course of this activity tracked trial-bytrial variations in orienting latency during visual search. These findings provide important new evidence for the link between rhythmic brain activity and covert spatial attention, and they highlight a powerful approach for tracking the spatial and temporal dynamics of this core cognitive process.","DOI":"10.1177/0956797617699167","ISSN":"0956-7976, 1467-9280","language":"en","author":[{"family":"Foster","given":"Joshua J."},{"family":"Sutterer","given":"David W."},{"family":"Serences","given":"John T."},{"family":"Vogel","given":"Edward K."},{"family":"Awh","given":"Edward"}],"issued":{"date-parts":[["2017",7]]}}},{"id":459,"uris":["http://zotero.org/users/4743004/items/NL8V68GW"],"uri":["http://zotero.org/users/4743004/items/NL8V68GW"],"itemData":{"id":459,"type":"article-journal","title":"The role of alpha-band brain oscillations as a sensory suppression mechanism during selective attention","container-title":"Frontiers in Psychology","page":"1-13","volume":"2","issue":"JUL","abstract":"Evidence has amassed from both animal intracranial recordings and human electrophysiology that neural oscillatory mechanisms play a critical role in a number of cognitive functions such as learning, memory, feature binding and sensory gating. The wide availability of high-density electrical and magnetic recordings (64-256 channels) over the past two decades has allowed for renewed efforts in the characterization and localization of these rhythms. A variety of cognitive effects that are associated with specific brain oscillations have been reported, which range in spectral, temporal, and spatial characteristics depending on the context. Our laboratory has focused on investigating the role of alpha-band oscillatory activity (8-14 Hz) as a potential attentional suppression mechanism, and this particular oscillatory attention mechanism will be the focus of the current review. We discuss findings in the context of intersensory selective attention as well as intrasensory spatial and feature-based attention in the visual, auditory, and tactile domains. The weight of evidence suggests that alpha-band oscillations can be actively invoked within cortical regions across multiple sensory systems, particularly when these regions are involved in processing irrelevant or distracting information. That is, a central role for alpha seems to be as an attentional suppression mechanism when objects or features need to be specifically ignored or selected against.","DOI":"10.3389/fpsyg.2011.00154","ISSN":"1664-1078 (Electronic)","author":[{"family":"Foxe","given":"John J."},{"family":"Snyder","given":"Adam C."}],"issued":{"date-parts":[["2011"]]}}},{"id":3211,"uris":["http://zotero.org/users/4743004/items/LDD46HDD"],"uri":["http://zotero.org/users/4743004/items/LDD46HDD"],"itemData":{"id":3211,"type":"article-journal","title":"Shaping Functional Architecture by Oscillatory Alpha Activity: Gating by Inhibition","container-title":"Frontiers in Human Neuroscience","volume":"4","source":"CrossRef","URL":"http://journal.frontiersin.org/article/10.3389/fnhum.2010.00186/abstract","DOI":"10.3389/fnhum.2010.00186","ISSN":"1662-5161","title-short":"Shaping Functional Architecture by Oscillatory Alpha Activity","author":[{"family":"Jensen","given":"Ole"},{"family":"Mazaheri","given":"Ali"}],"issued":{"date-parts":[["2010"]]},"accessed":{"date-parts":[["2018",2,24]]}}},{"id":4112,"uris":["http://zotero.org/users/4743004/items/UXYAUHQ6"],"uri":["http://zotero.org/users/4743004/items/UXYAUHQ6"],"itemData":{"id":4112,"type":"article-journal","title":"Anticipatory biasing of visuospatial attention indexed by retinotopically specific alpha-band electroencephalography increases over occipital cortex","container-title":"Journal of Neuroscience","page":"63","source":"CiteSeer","abstract":"a-Band (8–14 Hz) oscillatory EEG activity was examined with high-density scalp electrical recording during the cue–stimulus interval of an endogenous spatial cueing paradigm. In different blocks, cued spatial locations (left or right) were in either the upper or lower visual field, and attended stimuli were either oriented Ts or moving dots. Distractor stimuli were equally likely in the uncued hemifield. Sustained focal increases of a-band activity were seen over occipital cortex contralateral to the direction of the to-be-ignored location (ipsilateral to the cued direction of attention) before onset of the to-be-attended stim-ulus. The focus of a-band activity also moved depending on whether cued locations were in the upper or lower field. Results are consistent with active gating of uncued spatial locations. Key words: alpha; attention; ERP; cueing; oscillations; gating Without moving their eyes, humans can voluntarily deploy atten-","author":[{"family":"Worden","given":"Michael S."},{"family":"Foxe","given":"John J."},{"family":"Wang","given":"Norman"},{"family":"Simpson","given":"Gregory V."}],"issued":{"date-parts":[["2000"]]}}}],"schema":"https://github.com/citation-style-language/schema/raw/master/csl-citation.json"} </w:instrText>
      </w:r>
      <w:r w:rsidR="003C5C4B" w:rsidRPr="00710874">
        <w:rPr>
          <w:rFonts w:ascii="Times New Roman" w:hAnsi="Times New Roman" w:cs="Times New Roman"/>
          <w:color w:val="000000" w:themeColor="text1"/>
          <w:szCs w:val="24"/>
        </w:rPr>
        <w:fldChar w:fldCharType="separate"/>
      </w:r>
      <w:r w:rsidR="00F544ED" w:rsidRPr="00710874">
        <w:rPr>
          <w:rFonts w:ascii="Times New Roman" w:hAnsi="Times New Roman" w:cs="Times New Roman"/>
          <w:color w:val="000000" w:themeColor="text1"/>
        </w:rPr>
        <w:t>(Foster &amp; Awh, 2019; Foster, Sutterer, et al., 2017; Foxe &amp; Snyder, 2011; Jensen &amp; Mazaheri, 2010; Worden et al., 2000)</w:t>
      </w:r>
      <w:r w:rsidR="003C5C4B" w:rsidRPr="00710874">
        <w:rPr>
          <w:rFonts w:ascii="Times New Roman" w:hAnsi="Times New Roman" w:cs="Times New Roman"/>
          <w:color w:val="000000" w:themeColor="text1"/>
          <w:szCs w:val="24"/>
        </w:rPr>
        <w:fldChar w:fldCharType="end"/>
      </w:r>
      <w:r w:rsidRPr="00710874">
        <w:rPr>
          <w:rFonts w:ascii="Times New Roman" w:hAnsi="Times New Roman" w:cs="Times New Roman"/>
          <w:color w:val="000000" w:themeColor="text1"/>
          <w:szCs w:val="24"/>
        </w:rPr>
        <w:t xml:space="preserve">, our application of an inverted encoding analysis provided new evidence that this neural signal indexes changes in the </w:t>
      </w:r>
      <w:r w:rsidRPr="00710874">
        <w:rPr>
          <w:rFonts w:ascii="Times New Roman" w:hAnsi="Times New Roman" w:cs="Times New Roman"/>
          <w:i/>
          <w:color w:val="000000" w:themeColor="text1"/>
          <w:szCs w:val="24"/>
        </w:rPr>
        <w:t>breadth</w:t>
      </w:r>
      <w:r w:rsidRPr="00710874">
        <w:rPr>
          <w:rFonts w:ascii="Times New Roman" w:hAnsi="Times New Roman" w:cs="Times New Roman"/>
          <w:color w:val="000000" w:themeColor="text1"/>
          <w:szCs w:val="24"/>
        </w:rPr>
        <w:t xml:space="preserve"> of the attended region.</w:t>
      </w:r>
    </w:p>
    <w:p w14:paraId="2AC32F99" w14:textId="796E79C8" w:rsidR="00E77177" w:rsidRPr="00710874" w:rsidRDefault="009E37AE" w:rsidP="00007E14">
      <w:pPr>
        <w:spacing w:after="0" w:line="480" w:lineRule="auto"/>
        <w:ind w:firstLine="720"/>
        <w:jc w:val="both"/>
        <w:rPr>
          <w:rFonts w:asciiTheme="majorBidi" w:hAnsiTheme="majorBidi" w:cstheme="majorBidi"/>
          <w:color w:val="000000" w:themeColor="text1"/>
        </w:rPr>
      </w:pPr>
      <w:r w:rsidRPr="00710874">
        <w:rPr>
          <w:rFonts w:ascii="Times New Roman" w:hAnsi="Times New Roman" w:cs="Times New Roman"/>
          <w:color w:val="000000" w:themeColor="text1"/>
          <w:lang w:val="en-US"/>
        </w:rPr>
        <w:t xml:space="preserve">Although </w:t>
      </w:r>
      <w:r w:rsidR="00E77177" w:rsidRPr="00710874">
        <w:rPr>
          <w:rFonts w:ascii="Times New Roman" w:hAnsi="Times New Roman" w:cs="Times New Roman"/>
          <w:color w:val="000000" w:themeColor="text1"/>
          <w:lang w:val="en-US"/>
        </w:rPr>
        <w:t xml:space="preserve">there is a large body of literature that documents behavioral effects </w:t>
      </w:r>
      <w:r w:rsidR="008E076F" w:rsidRPr="00710874">
        <w:rPr>
          <w:rFonts w:ascii="Times New Roman" w:hAnsi="Times New Roman" w:cs="Times New Roman"/>
          <w:color w:val="000000" w:themeColor="text1"/>
          <w:lang w:val="en-US"/>
        </w:rPr>
        <w:t xml:space="preserve">that are </w:t>
      </w:r>
      <w:r w:rsidR="00E77177" w:rsidRPr="00710874">
        <w:rPr>
          <w:rFonts w:ascii="Times New Roman" w:hAnsi="Times New Roman" w:cs="Times New Roman"/>
          <w:color w:val="000000" w:themeColor="text1"/>
          <w:lang w:val="en-US"/>
        </w:rPr>
        <w:t xml:space="preserve">in line with </w:t>
      </w:r>
      <w:r w:rsidR="00F16622" w:rsidRPr="00710874">
        <w:rPr>
          <w:rFonts w:ascii="Times New Roman" w:hAnsi="Times New Roman" w:cs="Times New Roman"/>
          <w:color w:val="000000" w:themeColor="text1"/>
          <w:lang w:val="en-US"/>
        </w:rPr>
        <w:t>a</w:t>
      </w:r>
      <w:r w:rsidRPr="00710874">
        <w:rPr>
          <w:rFonts w:ascii="Times New Roman" w:hAnsi="Times New Roman" w:cs="Times New Roman"/>
          <w:color w:val="000000" w:themeColor="text1"/>
          <w:lang w:val="en-US"/>
        </w:rPr>
        <w:t xml:space="preserve"> </w:t>
      </w:r>
      <w:r w:rsidR="00F16622" w:rsidRPr="00710874">
        <w:rPr>
          <w:rFonts w:ascii="Times New Roman" w:hAnsi="Times New Roman" w:cs="Times New Roman"/>
          <w:color w:val="000000" w:themeColor="text1"/>
          <w:lang w:val="en-US"/>
        </w:rPr>
        <w:t>zoom lens</w:t>
      </w:r>
      <w:r w:rsidR="00E77177" w:rsidRPr="00710874">
        <w:rPr>
          <w:rFonts w:ascii="Times New Roman" w:hAnsi="Times New Roman" w:cs="Times New Roman"/>
          <w:color w:val="000000" w:themeColor="text1"/>
          <w:lang w:val="en-US"/>
        </w:rPr>
        <w:t xml:space="preserve"> model</w:t>
      </w:r>
      <w:r w:rsidRPr="00710874">
        <w:rPr>
          <w:rFonts w:ascii="Times New Roman" w:hAnsi="Times New Roman" w:cs="Times New Roman"/>
          <w:color w:val="000000" w:themeColor="text1"/>
          <w:lang w:val="en-US"/>
        </w:rPr>
        <w:t xml:space="preserve">, </w:t>
      </w:r>
      <w:r w:rsidR="00F16622" w:rsidRPr="00710874">
        <w:rPr>
          <w:rFonts w:ascii="Times New Roman" w:hAnsi="Times New Roman" w:cs="Times New Roman"/>
          <w:color w:val="000000" w:themeColor="text1"/>
          <w:lang w:val="en-US"/>
        </w:rPr>
        <w:t>s</w:t>
      </w:r>
      <w:r w:rsidR="00E77177" w:rsidRPr="00710874">
        <w:rPr>
          <w:rFonts w:ascii="Times New Roman" w:hAnsi="Times New Roman" w:cs="Times New Roman"/>
          <w:color w:val="000000" w:themeColor="text1"/>
          <w:lang w:val="en-US"/>
        </w:rPr>
        <w:t>uch</w:t>
      </w:r>
      <w:r w:rsidR="00F16622" w:rsidRPr="00710874">
        <w:rPr>
          <w:rFonts w:ascii="Times New Roman" w:hAnsi="Times New Roman" w:cs="Times New Roman"/>
          <w:color w:val="000000" w:themeColor="text1"/>
          <w:lang w:val="en-US"/>
        </w:rPr>
        <w:t xml:space="preserve"> findings</w:t>
      </w:r>
      <w:r w:rsidRPr="00710874">
        <w:rPr>
          <w:rFonts w:ascii="Times New Roman" w:hAnsi="Times New Roman" w:cs="Times New Roman"/>
          <w:color w:val="000000" w:themeColor="text1"/>
          <w:lang w:val="en-US"/>
        </w:rPr>
        <w:t xml:space="preserve"> can be explained in two distinct ways. They could reflect changes in the quality of visual perception, or changes in the efficiency of post-perceptual processes such as decision or response selection. For example, </w:t>
      </w:r>
      <w:r w:rsidRPr="00710874">
        <w:rPr>
          <w:rFonts w:ascii="Times New Roman" w:hAnsi="Times New Roman" w:cs="Times New Roman"/>
          <w:i/>
          <w:color w:val="000000" w:themeColor="text1"/>
          <w:lang w:val="en-US"/>
        </w:rPr>
        <w:t>decision noise models</w:t>
      </w:r>
      <w:r w:rsidRPr="00710874">
        <w:rPr>
          <w:rFonts w:ascii="Times New Roman" w:hAnsi="Times New Roman" w:cs="Times New Roman"/>
          <w:color w:val="000000" w:themeColor="text1"/>
          <w:lang w:val="en-US"/>
        </w:rPr>
        <w:t xml:space="preserve"> assume that attention deployment enhances performance by restricting decision processes to relevant information without affecting perceptual processing</w:t>
      </w:r>
      <w:r w:rsidR="00B32782" w:rsidRPr="00710874">
        <w:rPr>
          <w:rFonts w:ascii="Times New Roman" w:hAnsi="Times New Roman" w:cs="Times New Roman"/>
          <w:color w:val="000000" w:themeColor="text1"/>
          <w:lang w:val="en-US"/>
        </w:rPr>
        <w:t xml:space="preserve"> </w:t>
      </w:r>
      <w:r w:rsidR="00B32782"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{"citationID":"aBTTBVHK","properties":{"formattedCitation":"(Eckstein et al., 2002; Palmer, 1995; Palmer et al., 1993)","plainCitation":"(Eckstein et al., 2002; Palmer, 1995; Palmer et al., 1993)","noteIndex":0},"citationItems":[{"id":"UDPvIsdA/RH3p1ayX","uris":["http://www.mendeley.com/documents/?uuid=9b5d1a70-9de4-4e9c-9189-bcb23291a61d"],"uri":["http://www.mendeley.com/documents/?uuid=9b5d1a70-9de4-4e9c-9189-bcb23291a61d"],"itemData":{"author":[{"dropping-particle":"","family":"Palmer","given":"John","non-dropping-particle":"","parse-names":false,"suffix":""},{"dropping-particle":"","family":"Ames","given":"Cynthia T","non-dropping-particle":"","parse-names":false,"suffix":""},{"dropping-particle":"","family":"Lindsey","given":"Delwin T","non-dropping-particle":"","parse-names":false,"suffix":""}],"id":"zzFPEzrE/XfsrQ4vP","issue":"1","issued":{"date-parts":[["1993"]]},"page":"108-130","title":"Measuring the Effect of Attention on Simple Visual Search","type":"article-journal","volume":"19"}},{"id":"UDPvIsdA/8XRtqq44","uris":["http://www.mendeley.com/documents/?uuid=84a8ce27-336c-4314-9232-b8a6c2fc4d64"],"uri":["http://www.mendeley.com/documents/?uuid=84a8ce27-336c-4314-9232-b8a6c2fc4d64"],"itemData":{"DOI":"10.1111/1467-8721.ep10772534","author":[{"dropping-particle":"","family":"Palmer","given":"John","non-dropping-particle":"","parse-names":false,"suffix":""}],"container-title":"Current Directions in Psychological Science","id":"zzFPEzrE/AAolswTF","issue":"4","issued":{"date-parts":[["1995"]]},"page":"118-123","title":"Attention in visual search: Distinguishing four causes of a set-size effect.","type":"article-journal","volume":"4"}},{"id":"UDPvIsdA/p8EepNeI","uris":["http://www.mendeley.com/documents/?uuid=5c4057b3-26e9-439b-b1a3-5c1b89c958e0"],"uri":["http://www.mendeley.com/documents/?uuid=5c4057b3-26e9-439b-b1a3-5c1b89c958e0"],"itemData":{"author":[{"dropping-particle":"","family":"Eckstein","given":"Miguel P","non-dropping-particle":"","parse-names":false,"suffix":""},{"dropping-particle":"","family":"Shimozaki","given":"Steven S","non-dropping-particle":"","parse-names":false,"suffix":""},{"dropping-particle":"","family":"Abbey","given":"Craig K","non-dropping-particle":"","parse-names":false,"suffix":""}],"container-title":"Journal of Vision","id":"zzFPEzrE/HXwSxCa6","issue":"2","issued":{"date-parts":[["2002"]]},"page":"25-45","title":"The footprints of visual attention in the Posner cueing paradigm revealed by classification images","type":"article-journal"}}],"schema":"https://github.com/citation-style-language/schema/raw/master/csl-citation.json"} </w:instrText>
      </w:r>
      <w:r w:rsidR="00B32782"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(Eckstein et al., 2002; Palmer, 1995; Palmer et al., 1993)</w:t>
      </w:r>
      <w:r w:rsidR="00B32782"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rPr>
        <w:t xml:space="preserve">. </w:t>
      </w:r>
      <w:r w:rsidRPr="00710874">
        <w:rPr>
          <w:rFonts w:ascii="Times New Roman" w:hAnsi="Times New Roman" w:cs="Times New Roman"/>
          <w:color w:val="000000" w:themeColor="text1"/>
          <w:lang w:val="en-US"/>
        </w:rPr>
        <w:t xml:space="preserve">At the same time, there is clear evidence that spatial attention can also influence earlier visual stages of processing. For example, </w:t>
      </w:r>
      <w:r w:rsidRPr="00710874">
        <w:rPr>
          <w:rFonts w:ascii="Times New Roman" w:hAnsi="Times New Roman" w:cs="Times New Roman"/>
          <w:color w:val="000000" w:themeColor="text1"/>
          <w:lang w:val="en-US"/>
        </w:rPr>
        <w:fldChar w:fldCharType="begin" w:fldLock="1"/>
      </w:r>
      <w:r w:rsidR="00007E14" w:rsidRPr="00710874">
        <w:rPr>
          <w:rFonts w:ascii="Times New Roman" w:hAnsi="Times New Roman" w:cs="Times New Roman"/>
          <w:color w:val="000000" w:themeColor="text1"/>
          <w:lang w:val="en-US"/>
        </w:rPr>
        <w:instrText xml:space="preserve"> ADDIN ZOTERO_ITEM CSL_CITATION {"citationID":"a5fmO5EF","properties":{"formattedCitation":"(Mangun &amp; Hillyard, 1987)","plainCitation":"(Mangun &amp; Hillyard, 1987)","noteIndex":0},"citationItems":[{"id":"UDPvIsdA/map50JC9","uris":["http://www.mendeley.com/documents/?uuid=6755dc70-6e57-4a01-aec0-ed809a3c1883"],"uri":["http://www.mendeley.com/documents/?uuid=6755dc70-6e57-4a01-aec0-ed809a3c1883"],"itemData":{"author":[{"dropping-particle":"","family":"Mangun","given":"G R R","non-dropping-particle":"","parse-names":false,"suffix":""},{"dropping-particle":"","family":"Hillyard","given":"Steven A","non-dropping-particle":"","parse-names":false,"suffix":""}],"container-title":"Human Factors","id":"ITEM-1","issue":"2","issued":{"date-parts":[["1987"]]},"page":"195-211","title":"The Spatial Allocation of Visual Attention as Indexed by Event-Related Brain Potentials","type":"article-journal","volume":"29"}}],"schema":"https://github.com/citation-style-language/schema/raw/master/csl-citation.json"} </w:instrText>
      </w:r>
      <w:r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(Mangun &amp; Hillyard, 1987)</w:t>
      </w:r>
      <w:r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 xml:space="preserve"> used EEG recording to show that early visually-evoked potentials that reflect sensory processing (</w:t>
      </w:r>
      <w:r w:rsidRPr="00710874">
        <w:rPr>
          <w:rFonts w:ascii="Times New Roman" w:hAnsi="Times New Roman" w:cs="Times New Roman"/>
          <w:color w:val="000000" w:themeColor="text1"/>
          <w:lang w:val="en-US"/>
        </w:rPr>
        <w:fldChar w:fldCharType="begin" w:fldLock="1"/>
      </w:r>
      <w:r w:rsidR="00007E14" w:rsidRPr="00710874">
        <w:rPr>
          <w:rFonts w:ascii="Times New Roman" w:hAnsi="Times New Roman" w:cs="Times New Roman"/>
          <w:color w:val="000000" w:themeColor="text1"/>
          <w:lang w:val="en-US"/>
        </w:rPr>
        <w:instrText xml:space="preserve"> ADDIN ZOTERO_ITEM CSL_CITATION {"citationID":"1fqxoi4p","properties":{"formattedCitation":"(Luck et al., 1990)","plainCitation":"(Luck et al., 1990)","noteIndex":0},"citationItems":[{"id":"UDPvIsdA/KarGPipG","uris":["http://www.mendeley.com/documents/?uuid=91988672-5848-4236-93cb-bc1e5b1e2f2d"],"uri":["http://www.mendeley.com/documents/?uuid=91988672-5848-4236-93cb-bc1e5b1e2f2d"],"itemData":{"DOI":"10.1016/0013-4694(90)90138-A","author":[{"dropping-particle":"","family":"Luck","given":"S J","non-dropping-particle":"","parse-names":false,"suffix":""},{"dropping-particle":"","family":"Heinze","given":"Hans Jochen","non-dropping-particle":"","parse-names":false,"suffix":""},{"dropping-particle":"","family":"Mangun","given":"G R","non-dropping-particle":"","parse-names":false,"suffix":""},{"dropping-particle":"","family":"Hillyard","given":"Steven A","non-dropping-particle":"","parse-names":false,"suffix":""}],"container-title":"Electroencephalography and clinical Neurophsiology","id":"ITEM-1","issued":{"date-parts":[["1990"]]},"note":"\n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\n\n   ","page":"511-527","title":"Visual event-related potentials index focused attention within bilateral stimulus arrays. I. Evidence for early selection","type":"article-journal","volume":"75"}}],"schema":"https://github.com/citation-style-language/schema/raw/master/csl-citation.json"} </w:instrText>
      </w:r>
      <w:r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rPr>
        <w:t>(Luck et al., 1990)</w:t>
      </w:r>
      <w:r w:rsidRPr="00710874">
        <w:rPr>
          <w:rFonts w:ascii="Times New Roman" w:hAnsi="Times New Roman" w:cs="Times New Roman"/>
          <w:color w:val="000000" w:themeColor="text1"/>
          <w:lang w:val="en-US"/>
        </w:rPr>
        <w:fldChar w:fldCharType="end"/>
      </w:r>
      <w:r w:rsidRPr="00710874">
        <w:rPr>
          <w:rFonts w:ascii="Times New Roman" w:hAnsi="Times New Roman" w:cs="Times New Roman"/>
          <w:color w:val="000000" w:themeColor="text1"/>
          <w:lang w:val="en-US"/>
        </w:rPr>
        <w:t xml:space="preserve"> were largest at cued locations and monotonically decreased at farther away location, suggesting that spatial attention modulates the flow of visual sensory information</w:t>
      </w:r>
      <w:r w:rsidR="00E77177" w:rsidRPr="00710874">
        <w:rPr>
          <w:rFonts w:ascii="Times New Roman" w:hAnsi="Times New Roman" w:cs="Times New Roman"/>
          <w:color w:val="000000" w:themeColor="text1"/>
          <w:lang w:val="en-US"/>
        </w:rPr>
        <w:t>.</w:t>
      </w:r>
      <w:r w:rsidR="00884FAD" w:rsidRPr="00710874">
        <w:rPr>
          <w:rFonts w:ascii="Times New Roman" w:hAnsi="Times New Roman" w:cs="Times New Roman"/>
          <w:color w:val="000000" w:themeColor="text1"/>
          <w:lang w:val="en-US"/>
        </w:rPr>
        <w:t xml:space="preserve"> </w:t>
      </w:r>
      <w:r w:rsidR="00131AEB" w:rsidRPr="00710874">
        <w:rPr>
          <w:rFonts w:ascii="Times New Roman" w:hAnsi="Times New Roman" w:cs="Times New Roman"/>
          <w:color w:val="000000" w:themeColor="text1"/>
          <w:lang w:val="en-US"/>
        </w:rPr>
        <w:t xml:space="preserve">However, these results only show neural evidence for a gradient of attention at the time of target onset. By contrast, our study provides clear EEG evidence for an </w:t>
      </w:r>
      <w:r w:rsidR="00131AEB" w:rsidRPr="00710874">
        <w:rPr>
          <w:rFonts w:ascii="Times New Roman" w:hAnsi="Times New Roman" w:cs="Times New Roman"/>
          <w:i/>
          <w:color w:val="000000" w:themeColor="text1"/>
          <w:lang w:val="en-US"/>
        </w:rPr>
        <w:t>anticipatory</w:t>
      </w:r>
      <w:r w:rsidR="00131AEB" w:rsidRPr="00710874">
        <w:rPr>
          <w:rFonts w:ascii="Times New Roman" w:hAnsi="Times New Roman" w:cs="Times New Roman"/>
          <w:color w:val="000000" w:themeColor="text1"/>
          <w:lang w:val="en-US"/>
        </w:rPr>
        <w:t xml:space="preserve"> gradient of attention. Because of the high time resolution of EEG measures, we could track the gradient over time and because IEMs can track attention in the absence of stimulation, we could track the gradient prior to target</w:t>
      </w:r>
      <w:r w:rsidR="00696225" w:rsidRPr="00710874">
        <w:rPr>
          <w:rFonts w:ascii="Times New Roman" w:hAnsi="Times New Roman" w:cs="Times New Roman"/>
          <w:color w:val="000000" w:themeColor="text1"/>
          <w:lang w:val="en-US"/>
        </w:rPr>
        <w:t xml:space="preserve"> onset</w:t>
      </w:r>
      <w:r w:rsidR="00131AEB" w:rsidRPr="00710874">
        <w:rPr>
          <w:rFonts w:ascii="Times New Roman" w:hAnsi="Times New Roman" w:cs="Times New Roman"/>
          <w:color w:val="000000" w:themeColor="text1"/>
          <w:lang w:val="en-US"/>
        </w:rPr>
        <w:t xml:space="preserve">. </w:t>
      </w:r>
      <w:r w:rsidR="00696225" w:rsidRPr="00710874">
        <w:rPr>
          <w:rFonts w:ascii="Times New Roman" w:hAnsi="Times New Roman" w:cs="Times New Roman"/>
          <w:color w:val="000000" w:themeColor="text1"/>
          <w:lang w:val="en-US"/>
        </w:rPr>
        <w:t xml:space="preserve">A shift of attention to the cued region </w:t>
      </w:r>
      <w:r w:rsidR="00131AEB" w:rsidRPr="00710874">
        <w:rPr>
          <w:rFonts w:ascii="Times New Roman" w:hAnsi="Times New Roman" w:cs="Times New Roman"/>
          <w:color w:val="000000" w:themeColor="text1"/>
          <w:lang w:val="en-US"/>
        </w:rPr>
        <w:t>was observed relatively early, after around 200 ms</w:t>
      </w:r>
      <w:r w:rsidR="00007E14" w:rsidRPr="00710874">
        <w:rPr>
          <w:rFonts w:ascii="Times New Roman" w:hAnsi="Times New Roman" w:cs="Times New Roman"/>
          <w:color w:val="000000" w:themeColor="text1"/>
          <w:lang w:val="en-US"/>
        </w:rPr>
        <w:t xml:space="preserve"> (or after 100 ms in the cue size 1 condition of Experiment 2)</w:t>
      </w:r>
      <w:r w:rsidR="00131AEB" w:rsidRPr="00710874">
        <w:rPr>
          <w:rFonts w:ascii="Times New Roman" w:hAnsi="Times New Roman" w:cs="Times New Roman"/>
          <w:color w:val="000000" w:themeColor="text1"/>
          <w:lang w:val="en-US"/>
        </w:rPr>
        <w:t xml:space="preserve">. This presumably reflected an exogenous shift of attention towards the peripheral cue, three dots of unique color. </w:t>
      </w:r>
      <w:r w:rsidR="00696225" w:rsidRPr="00710874">
        <w:rPr>
          <w:rFonts w:ascii="Times New Roman" w:hAnsi="Times New Roman" w:cs="Times New Roman"/>
          <w:color w:val="000000" w:themeColor="text1"/>
          <w:lang w:val="en-US"/>
        </w:rPr>
        <w:t>However, i</w:t>
      </w:r>
      <w:r w:rsidR="00131AEB" w:rsidRPr="00710874">
        <w:rPr>
          <w:rFonts w:ascii="Times New Roman" w:hAnsi="Times New Roman" w:cs="Times New Roman"/>
          <w:color w:val="000000" w:themeColor="text1"/>
          <w:lang w:val="en-US"/>
        </w:rPr>
        <w:t xml:space="preserve">t took up to </w:t>
      </w:r>
      <w:r w:rsidR="00AA0D87" w:rsidRPr="00710874">
        <w:rPr>
          <w:rFonts w:ascii="Times New Roman" w:hAnsi="Times New Roman" w:cs="Times New Roman"/>
          <w:color w:val="000000" w:themeColor="text1"/>
          <w:lang w:val="en-US"/>
        </w:rPr>
        <w:t>5</w:t>
      </w:r>
      <w:r w:rsidR="00131AEB" w:rsidRPr="00710874">
        <w:rPr>
          <w:rFonts w:ascii="Times New Roman" w:hAnsi="Times New Roman" w:cs="Times New Roman"/>
          <w:color w:val="000000" w:themeColor="text1"/>
          <w:lang w:val="en-US"/>
        </w:rPr>
        <w:t>00 ms for the gradients induced by small and large cues to diverge. Given that the cues for narrow and broad focus conditions were physically identical, our data suggest that it took several hundred ms for observers to exert voluntary control over the breadth of the attended region, a latency that dovetails with past studies of the latency with which observers can orient in response to symbolic cues</w:t>
      </w:r>
      <w:r w:rsidR="003C5C4B" w:rsidRPr="00710874">
        <w:rPr>
          <w:rFonts w:ascii="Times New Roman" w:hAnsi="Times New Roman" w:cs="Times New Roman"/>
          <w:color w:val="000000" w:themeColor="text1"/>
          <w:lang w:val="en-US"/>
        </w:rPr>
        <w:t xml:space="preserve"> </w:t>
      </w:r>
      <w:r w:rsidR="003C5C4B" w:rsidRPr="00710874">
        <w:rPr>
          <w:rFonts w:ascii="Times New Roman" w:hAnsi="Times New Roman" w:cs="Times New Roman"/>
          <w:color w:val="000000" w:themeColor="text1"/>
          <w:lang w:val="en-US"/>
        </w:rPr>
        <w:fldChar w:fldCharType="begin"/>
      </w:r>
      <w:r w:rsidR="00007E14" w:rsidRPr="00710874">
        <w:rPr>
          <w:rFonts w:ascii="Times New Roman" w:hAnsi="Times New Roman" w:cs="Times New Roman"/>
          <w:color w:val="000000" w:themeColor="text1"/>
          <w:lang w:val="en-US"/>
        </w:rPr>
        <w:instrText xml:space="preserve"> ADDIN ZOTERO_ITEM CSL_CITATION {"citationID":"0pOo8FsM","properties":{"formattedCitation":"(Feldmann-W\\uc0\\u252{}stefeld &amp; Schub\\uc0\\u246{}, 2013; H. J. M\\uc0\\u252{}ller &amp; Rabbitt, 1989)","plainCitation":"(Feldmann-Wüstefeld &amp; Schubö, 2013; H. J. Müller &amp; Rabbitt, 1989)","dontUpdate":true,"noteIndex":0},"citationItems":[{"id":11,"uris":["http://zotero.org/users/4743004/items/XNU7QS89"],"uri":["http://zotero.org/users/4743004/items/XNU7QS89"],"itemData":{"id":11,"type":"article-journal","title":"Textures shape the attentional focus: Evidence from exogenous and endogenous cueing","container-title":"Attention, Perception, and Psychophysics","volume":"75","issue":"8","abstract":"The spatial cueing paradigm (Posner Quarterly Journal of Experimental Psychology 32:3-25, 1980) has often been used to investigate the time course of the deployment of visual attention in space. In a series of eight experiments we investigated whether spatial cues would not only enhance processing of stimuli presented at cued locations, but also enhance processing of the entire texture in which the stimuli were presented. Results showed highest accuracy for responses to stimuli presented at cued locations, a replication of the traditional cueing effect (Posner 1980). Additionally, stimuli presented at uncued locations were responded to with higher accuracy when they were presented inside the same texture as the cued location, as compared with stimuli presented outside the texture with the cued location. To investigate this texture advantage for both automatic and voluntary attention deployment, exogenous and endogenous cues were used. The texture advantage was observed for short interstimulus intervals (ISIs) of 50 and 100 ms for exogenous cues and for a longer ISI of 200 ms for endogenous cues. These findings indicate that the arrangement of task-irrelevant visual stimuli also can have a large impact on the cueing effect. This suggests that visual spatial attention spreads texture-wise across the visual field. Control experiments revealed that the homogeneity within texture elements contributes most to the effect but that the texture advantage is a function of both orientation contrast at the texture border and homogeneity within texture elements. © 2013 Psychonomic Society, Inc.","DOI":"10.3758/s13414-013-0508-z","author":[{"family":"Feldmann-Wüstefeld","given":"T."},{"family":"Schubö","given":"A."}],"issued":{"date-parts":[["2013"]]}}},{"id":903,"uris":["http://zotero.org/users/4743004/items/V2NXX7S9"],"uri":["http://zotero.org/users/4743004/items/V2NXX7S9"],"itemData":{"id":903,"type":"article-journal","title":"Spatial cueing and the relation between the accuracy of “where” and “what” decisions in visual search","container-title":"The Quarterly Journal of Experimental Psychology Section A","page":"747-773","volume":"41","issue":"4","DOI":"10.1080/14640748908402392","author":[{"family":"Müller","given":"Hermann J"},{"family":"Rabbitt","given":"Patrick M.","dropping-particle":"a."}],"issued":{"date-parts":[["1989",11]]}}}],"schema":"https://github.com/citation-style-language/schema/raw/master/csl-citation.json"} </w:instrText>
      </w:r>
      <w:r w:rsidR="003C5C4B" w:rsidRPr="00710874">
        <w:rPr>
          <w:rFonts w:ascii="Times New Roman" w:hAnsi="Times New Roman" w:cs="Times New Roman"/>
          <w:color w:val="000000" w:themeColor="text1"/>
          <w:lang w:val="en-US"/>
        </w:rPr>
        <w:fldChar w:fldCharType="separate"/>
      </w:r>
      <w:r w:rsidR="00F544ED" w:rsidRPr="00710874">
        <w:rPr>
          <w:rFonts w:ascii="Times New Roman" w:hAnsi="Times New Roman" w:cs="Times New Roman"/>
          <w:color w:val="000000" w:themeColor="text1"/>
          <w:szCs w:val="24"/>
        </w:rPr>
        <w:t>(Feldmann-Wüstefeld &amp; Schubö, 2013; Müller &amp; Rabbitt, 1989)</w:t>
      </w:r>
      <w:r w:rsidR="003C5C4B" w:rsidRPr="00710874">
        <w:rPr>
          <w:rFonts w:ascii="Times New Roman" w:hAnsi="Times New Roman" w:cs="Times New Roman"/>
          <w:color w:val="000000" w:themeColor="text1"/>
          <w:lang w:val="en-US"/>
        </w:rPr>
        <w:fldChar w:fldCharType="end"/>
      </w:r>
      <w:r w:rsidR="00E77177" w:rsidRPr="00710874">
        <w:rPr>
          <w:rFonts w:ascii="Times New Roman" w:hAnsi="Times New Roman" w:cs="Times New Roman"/>
          <w:color w:val="000000" w:themeColor="text1"/>
        </w:rPr>
        <w:t>.</w:t>
      </w:r>
      <w:r w:rsidR="00C35666" w:rsidRPr="00710874">
        <w:rPr>
          <w:rFonts w:ascii="Times New Roman" w:hAnsi="Times New Roman" w:cs="Times New Roman"/>
          <w:color w:val="000000" w:themeColor="text1"/>
        </w:rPr>
        <w:t xml:space="preserve"> Although the time course is in line with past measures of endogenous orienting</w:t>
      </w:r>
      <w:r w:rsidR="008970C5" w:rsidRPr="00710874">
        <w:rPr>
          <w:rFonts w:ascii="Times New Roman" w:hAnsi="Times New Roman" w:cs="Times New Roman"/>
          <w:color w:val="000000" w:themeColor="text1"/>
        </w:rPr>
        <w:t xml:space="preserve"> </w:t>
      </w:r>
      <w:r w:rsidR="008970C5" w:rsidRPr="00710874">
        <w:rPr>
          <w:rFonts w:ascii="Times New Roman" w:hAnsi="Times New Roman" w:cs="Times New Roman"/>
          <w:i/>
          <w:iCs/>
          <w:color w:val="000000" w:themeColor="text1"/>
        </w:rPr>
        <w:t>towards a location</w:t>
      </w:r>
      <w:r w:rsidR="008970C5" w:rsidRPr="00710874">
        <w:rPr>
          <w:rFonts w:ascii="Times New Roman" w:hAnsi="Times New Roman" w:cs="Times New Roman"/>
          <w:color w:val="000000" w:themeColor="text1"/>
        </w:rPr>
        <w:t xml:space="preserve"> in the visual field</w:t>
      </w:r>
      <w:r w:rsidR="00C35666" w:rsidRPr="00710874">
        <w:rPr>
          <w:rFonts w:ascii="Times New Roman" w:hAnsi="Times New Roman" w:cs="Times New Roman"/>
          <w:color w:val="000000" w:themeColor="text1"/>
        </w:rPr>
        <w:t xml:space="preserve">, it is interesting to find </w:t>
      </w:r>
      <w:r w:rsidR="00FE1D6B" w:rsidRPr="00710874">
        <w:rPr>
          <w:rFonts w:ascii="Times New Roman" w:hAnsi="Times New Roman" w:cs="Times New Roman"/>
          <w:color w:val="000000" w:themeColor="text1"/>
        </w:rPr>
        <w:t>a similar time course for</w:t>
      </w:r>
      <w:r w:rsidR="00C35666" w:rsidRPr="00710874">
        <w:rPr>
          <w:rFonts w:ascii="Times New Roman" w:hAnsi="Times New Roman" w:cs="Times New Roman"/>
          <w:color w:val="000000" w:themeColor="text1"/>
        </w:rPr>
        <w:t xml:space="preserve"> </w:t>
      </w:r>
      <w:r w:rsidR="00FE1D6B" w:rsidRPr="00710874">
        <w:rPr>
          <w:rFonts w:ascii="Times New Roman" w:hAnsi="Times New Roman" w:cs="Times New Roman"/>
          <w:color w:val="000000" w:themeColor="text1"/>
        </w:rPr>
        <w:t>adjusting the breadth of attention</w:t>
      </w:r>
      <w:r w:rsidR="008970C5" w:rsidRPr="00710874">
        <w:rPr>
          <w:rFonts w:ascii="Times New Roman" w:hAnsi="Times New Roman" w:cs="Times New Roman"/>
          <w:color w:val="000000" w:themeColor="text1"/>
        </w:rPr>
        <w:t xml:space="preserve">. </w:t>
      </w:r>
      <w:r w:rsidR="002757C8" w:rsidRPr="00710874">
        <w:rPr>
          <w:rFonts w:ascii="Times New Roman" w:hAnsi="Times New Roman" w:cs="Times New Roman"/>
          <w:color w:val="000000" w:themeColor="text1"/>
        </w:rPr>
        <w:t xml:space="preserve">In fact there is an interesting parallel in the time </w:t>
      </w:r>
      <w:r w:rsidR="002757C8" w:rsidRPr="00710874">
        <w:rPr>
          <w:rFonts w:ascii="Times New Roman" w:hAnsi="Times New Roman" w:cs="Times New Roman"/>
          <w:color w:val="000000" w:themeColor="text1"/>
        </w:rPr>
        <w:lastRenderedPageBreak/>
        <w:t xml:space="preserve">course of the emergence of attentional gradients: </w:t>
      </w:r>
      <w:r w:rsidR="008970C5" w:rsidRPr="00710874">
        <w:rPr>
          <w:rFonts w:ascii="Times New Roman" w:hAnsi="Times New Roman" w:cs="Times New Roman"/>
          <w:color w:val="000000" w:themeColor="text1"/>
        </w:rPr>
        <w:t>when individuals are endogenously cued to a location in a homogeneous texture, they attend the entire texture after 200 ms before they can focus their attention on the actual location from 400 ms on</w:t>
      </w:r>
      <w:r w:rsidR="00B32782" w:rsidRPr="00710874">
        <w:rPr>
          <w:rFonts w:ascii="Times New Roman" w:hAnsi="Times New Roman" w:cs="Times New Roman"/>
          <w:color w:val="000000" w:themeColor="text1"/>
        </w:rPr>
        <w:t xml:space="preserve"> </w:t>
      </w:r>
      <w:r w:rsidR="00B32782" w:rsidRPr="00710874">
        <w:rPr>
          <w:rFonts w:ascii="Times New Roman" w:hAnsi="Times New Roman" w:cs="Times New Roman"/>
          <w:color w:val="000000" w:themeColor="text1"/>
        </w:rPr>
        <w:fldChar w:fldCharType="begin"/>
      </w:r>
      <w:r w:rsidR="00F544ED" w:rsidRPr="00710874">
        <w:rPr>
          <w:rFonts w:ascii="Times New Roman" w:hAnsi="Times New Roman" w:cs="Times New Roman"/>
          <w:color w:val="000000" w:themeColor="text1"/>
        </w:rPr>
        <w:instrText xml:space="preserve"> ADDIN ZOTERO_ITEM CSL_CITATION {"citationID":"LgBTkbeT","properties":{"formattedCitation":"(Feldmann-W\\uc0\\u252{}stefeld &amp; Schub\\uc0\\u246{}, 2013)","plainCitation":"(Feldmann-Wüstefeld &amp; Schubö, 2013)","noteIndex":0},"citationItems":[{"id":11,"uris":["http://zotero.org/users/4743004/items/XNU7QS89"],"uri":["http://zotero.org/users/4743004/items/XNU7QS89"],"itemData":{"id":11,"type":"article-journal","title":"Textures shape the attentional focus: Evidence from exogenous and endogenous cueing","container-title":"Attention, Perception, and Psychophysics","volume":"75","issue":"8","abstract":"The spatial cueing paradigm (Posner Quarterly Journal of Experimental Psychology 32:3-25, 1980) has often been used to investigate the time course of the deployment of visual attention in space. In a series of eight experiments we investigated whether spatial cues would not only enhance processing of stimuli presented at cued locations, but also enhance processing of the entire texture in which the stimuli were presented. Results showed highest accuracy for responses to stimuli presented at cued locations, a replication of the traditional cueing effect (Posner 1980). Additionally, stimuli presented at uncued locations were responded to with higher accuracy when they were presented inside the same texture as the cued location, as compared with stimuli presented outside the texture with the cued location. To investigate this texture advantage for both automatic and voluntary attention deployment, exogenous and endogenous cues were used. The texture advantage was observed for short interstimulus intervals (ISIs) of 50 and 100 ms for exogenous cues and for a longer ISI of 200 ms for endogenous cues. These findings indicate that the arrangement of task-irrelevant visual stimuli also can have a large impact on the cueing effect. This suggests that visual spatial attention spreads texture-wise across the visual field. Control experiments revealed that the homogeneity within texture elements contributes most to the effect but that the texture advantage is a function of both orientation contrast at the texture border and homogeneity within texture elements. © 2013 Psychonomic Society, Inc.","DOI":"10.3758/s13414-013-0508-z","author":[{"family":"Feldmann-Wüstefeld","given":"T."},{"family":"Schubö","given":"A."}],"issued":{"date-parts":[["2013"]]}}}],"schema":"https://github.com/citation-style-language/schema/raw/master/csl-citation.json"} </w:instrText>
      </w:r>
      <w:r w:rsidR="00B32782" w:rsidRPr="00710874">
        <w:rPr>
          <w:rFonts w:ascii="Times New Roman" w:hAnsi="Times New Roman" w:cs="Times New Roman"/>
          <w:color w:val="000000" w:themeColor="text1"/>
        </w:rPr>
        <w:fldChar w:fldCharType="separate"/>
      </w:r>
      <w:r w:rsidR="00F544ED" w:rsidRPr="00710874">
        <w:rPr>
          <w:rFonts w:ascii="Times New Roman" w:hAnsi="Times New Roman" w:cs="Times New Roman"/>
          <w:color w:val="000000" w:themeColor="text1"/>
          <w:szCs w:val="24"/>
        </w:rPr>
        <w:t>(Feldmann-Wüstefeld &amp; Schubö, 2013)</w:t>
      </w:r>
      <w:r w:rsidR="00B32782" w:rsidRPr="00710874">
        <w:rPr>
          <w:rFonts w:ascii="Times New Roman" w:hAnsi="Times New Roman" w:cs="Times New Roman"/>
          <w:color w:val="000000" w:themeColor="text1"/>
        </w:rPr>
        <w:fldChar w:fldCharType="end"/>
      </w:r>
      <w:r w:rsidR="008970C5" w:rsidRPr="00710874">
        <w:rPr>
          <w:rFonts w:ascii="Times New Roman" w:hAnsi="Times New Roman" w:cs="Times New Roman"/>
          <w:color w:val="000000" w:themeColor="text1"/>
        </w:rPr>
        <w:t xml:space="preserve">. Similarly to this bottom-up induced </w:t>
      </w:r>
      <w:r w:rsidR="002757C8" w:rsidRPr="00710874">
        <w:rPr>
          <w:rFonts w:ascii="Times New Roman" w:hAnsi="Times New Roman" w:cs="Times New Roman"/>
          <w:color w:val="000000" w:themeColor="text1"/>
        </w:rPr>
        <w:t xml:space="preserve">(through texture) </w:t>
      </w:r>
      <w:r w:rsidR="008970C5" w:rsidRPr="00710874">
        <w:rPr>
          <w:rFonts w:ascii="Times New Roman" w:hAnsi="Times New Roman" w:cs="Times New Roman"/>
          <w:color w:val="000000" w:themeColor="text1"/>
        </w:rPr>
        <w:t xml:space="preserve">gradient of attention, our neural data suggest a similar time-course of </w:t>
      </w:r>
      <w:r w:rsidR="002757C8" w:rsidRPr="00710874">
        <w:rPr>
          <w:rFonts w:ascii="Times New Roman" w:hAnsi="Times New Roman" w:cs="Times New Roman"/>
          <w:color w:val="000000" w:themeColor="text1"/>
        </w:rPr>
        <w:t xml:space="preserve">a </w:t>
      </w:r>
      <w:r w:rsidR="008970C5" w:rsidRPr="00710874">
        <w:rPr>
          <w:rFonts w:ascii="Times New Roman" w:hAnsi="Times New Roman" w:cs="Times New Roman"/>
          <w:color w:val="000000" w:themeColor="text1"/>
        </w:rPr>
        <w:t>top-down induced</w:t>
      </w:r>
      <w:r w:rsidR="002757C8" w:rsidRPr="00710874">
        <w:rPr>
          <w:rFonts w:ascii="Times New Roman" w:hAnsi="Times New Roman" w:cs="Times New Roman"/>
          <w:color w:val="000000" w:themeColor="text1"/>
        </w:rPr>
        <w:t xml:space="preserve"> (through </w:t>
      </w:r>
      <w:r w:rsidR="002757C8" w:rsidRPr="00710874">
        <w:rPr>
          <w:rFonts w:asciiTheme="majorBidi" w:hAnsiTheme="majorBidi" w:cstheme="majorBidi"/>
          <w:color w:val="000000" w:themeColor="text1"/>
        </w:rPr>
        <w:t xml:space="preserve">spatial expectancy) </w:t>
      </w:r>
      <w:r w:rsidR="008970C5" w:rsidRPr="00710874">
        <w:rPr>
          <w:rFonts w:asciiTheme="majorBidi" w:hAnsiTheme="majorBidi" w:cstheme="majorBidi"/>
          <w:color w:val="000000" w:themeColor="text1"/>
        </w:rPr>
        <w:t>gradient of attention</w:t>
      </w:r>
      <w:r w:rsidR="00AA0D87" w:rsidRPr="00710874">
        <w:rPr>
          <w:rFonts w:asciiTheme="majorBidi" w:hAnsiTheme="majorBidi" w:cstheme="majorBidi"/>
          <w:color w:val="000000" w:themeColor="text1"/>
        </w:rPr>
        <w:t>.</w:t>
      </w:r>
    </w:p>
    <w:p w14:paraId="039C3E4A" w14:textId="0523A626" w:rsidR="00E77177" w:rsidRPr="00710874" w:rsidRDefault="002320A7" w:rsidP="00007E14">
      <w:pPr>
        <w:spacing w:after="0" w:line="480" w:lineRule="auto"/>
        <w:ind w:firstLine="720"/>
        <w:jc w:val="both"/>
        <w:rPr>
          <w:rFonts w:asciiTheme="majorBidi" w:hAnsiTheme="majorBidi" w:cstheme="majorBidi"/>
          <w:color w:val="000000" w:themeColor="text1"/>
          <w:szCs w:val="24"/>
        </w:rPr>
      </w:pPr>
      <w:r w:rsidRPr="00710874">
        <w:rPr>
          <w:rFonts w:asciiTheme="majorBidi" w:hAnsiTheme="majorBidi" w:cstheme="majorBidi"/>
          <w:color w:val="000000" w:themeColor="text1"/>
        </w:rPr>
        <w:t>Because the</w:t>
      </w:r>
      <w:r w:rsidR="00884FAD" w:rsidRPr="00710874">
        <w:rPr>
          <w:rFonts w:asciiTheme="majorBidi" w:hAnsiTheme="majorBidi" w:cstheme="majorBidi"/>
          <w:color w:val="000000" w:themeColor="text1"/>
          <w:lang w:val="en-US"/>
        </w:rPr>
        <w:t xml:space="preserve"> spatial selectivity of alpha-band activity track</w:t>
      </w:r>
      <w:r w:rsidRPr="00710874">
        <w:rPr>
          <w:rFonts w:asciiTheme="majorBidi" w:hAnsiTheme="majorBidi" w:cstheme="majorBidi"/>
          <w:color w:val="000000" w:themeColor="text1"/>
          <w:lang w:val="en-US"/>
        </w:rPr>
        <w:t>ed</w:t>
      </w:r>
      <w:r w:rsidR="00884FAD" w:rsidRPr="00710874">
        <w:rPr>
          <w:rFonts w:asciiTheme="majorBidi" w:hAnsiTheme="majorBidi" w:cstheme="majorBidi"/>
          <w:color w:val="000000" w:themeColor="text1"/>
          <w:lang w:val="en-US"/>
        </w:rPr>
        <w:t xml:space="preserve"> the gradient and si</w:t>
      </w:r>
      <w:r w:rsidRPr="00710874">
        <w:rPr>
          <w:rFonts w:asciiTheme="majorBidi" w:hAnsiTheme="majorBidi" w:cstheme="majorBidi"/>
          <w:color w:val="000000" w:themeColor="text1"/>
          <w:lang w:val="en-US"/>
        </w:rPr>
        <w:t>z</w:t>
      </w:r>
      <w:r w:rsidR="00884FAD" w:rsidRPr="00710874">
        <w:rPr>
          <w:rFonts w:asciiTheme="majorBidi" w:hAnsiTheme="majorBidi" w:cstheme="majorBidi"/>
          <w:color w:val="000000" w:themeColor="text1"/>
          <w:lang w:val="en-US"/>
        </w:rPr>
        <w:t xml:space="preserve">e of </w:t>
      </w:r>
      <w:r w:rsidRPr="00710874">
        <w:rPr>
          <w:rFonts w:asciiTheme="majorBidi" w:hAnsiTheme="majorBidi" w:cstheme="majorBidi"/>
          <w:color w:val="000000" w:themeColor="text1"/>
          <w:lang w:val="en-US"/>
        </w:rPr>
        <w:t>the attended region</w:t>
      </w:r>
      <w:r w:rsidR="00884FAD" w:rsidRPr="00710874">
        <w:rPr>
          <w:rFonts w:asciiTheme="majorBidi" w:hAnsiTheme="majorBidi" w:cstheme="majorBidi"/>
          <w:color w:val="000000" w:themeColor="text1"/>
          <w:lang w:val="en-US"/>
        </w:rPr>
        <w:t xml:space="preserve"> </w:t>
      </w:r>
      <w:r w:rsidRPr="00710874">
        <w:rPr>
          <w:rFonts w:asciiTheme="majorBidi" w:hAnsiTheme="majorBidi" w:cstheme="majorBidi"/>
          <w:color w:val="000000" w:themeColor="text1"/>
          <w:lang w:val="en-US"/>
        </w:rPr>
        <w:t xml:space="preserve">prior to target onset, our data </w:t>
      </w:r>
      <w:r w:rsidR="00FE1D6B" w:rsidRPr="00710874">
        <w:rPr>
          <w:rFonts w:asciiTheme="majorBidi" w:hAnsiTheme="majorBidi" w:cstheme="majorBidi"/>
          <w:color w:val="000000" w:themeColor="text1"/>
          <w:lang w:val="en-US"/>
        </w:rPr>
        <w:t>suggest</w:t>
      </w:r>
      <w:r w:rsidRPr="00710874">
        <w:rPr>
          <w:rFonts w:asciiTheme="majorBidi" w:hAnsiTheme="majorBidi" w:cstheme="majorBidi"/>
          <w:color w:val="000000" w:themeColor="text1"/>
          <w:lang w:val="en-US"/>
        </w:rPr>
        <w:t xml:space="preserve"> that the behavioral zoom lens effects reported in the literature reflect a difference in the preparatory stance of the attentional system that cannot be explained by changes in decision efficiency or other post-perceptual factors. Thus our data is the first observation of neural </w:t>
      </w:r>
      <w:r w:rsidR="00884FAD" w:rsidRPr="00710874">
        <w:rPr>
          <w:rFonts w:asciiTheme="majorBidi" w:hAnsiTheme="majorBidi" w:cstheme="majorBidi"/>
          <w:color w:val="000000" w:themeColor="text1"/>
          <w:lang w:val="en-US"/>
        </w:rPr>
        <w:t xml:space="preserve">evidence </w:t>
      </w:r>
      <w:r w:rsidRPr="00710874">
        <w:rPr>
          <w:rFonts w:asciiTheme="majorBidi" w:hAnsiTheme="majorBidi" w:cstheme="majorBidi"/>
          <w:color w:val="000000" w:themeColor="text1"/>
          <w:lang w:val="en-US"/>
        </w:rPr>
        <w:t xml:space="preserve">for both properties of the zoom lens model: a gradient of processing quality that declines at locations farther away from the central focus </w:t>
      </w:r>
      <w:r w:rsidR="00A30F7C" w:rsidRPr="00710874">
        <w:rPr>
          <w:rFonts w:asciiTheme="majorBidi" w:hAnsiTheme="majorBidi" w:cstheme="majorBidi"/>
          <w:color w:val="000000" w:themeColor="text1"/>
          <w:lang w:val="en-US"/>
        </w:rPr>
        <w:t xml:space="preserve">and </w:t>
      </w:r>
      <w:r w:rsidRPr="00710874">
        <w:rPr>
          <w:rFonts w:asciiTheme="majorBidi" w:hAnsiTheme="majorBidi" w:cstheme="majorBidi"/>
          <w:color w:val="000000" w:themeColor="text1"/>
          <w:lang w:val="en-US"/>
        </w:rPr>
        <w:t>an inverse relationship between processing quality and t</w:t>
      </w:r>
      <w:r w:rsidR="00A30F7C" w:rsidRPr="00710874">
        <w:rPr>
          <w:rFonts w:asciiTheme="majorBidi" w:hAnsiTheme="majorBidi" w:cstheme="majorBidi"/>
          <w:color w:val="000000" w:themeColor="text1"/>
          <w:lang w:val="en-US"/>
        </w:rPr>
        <w:t>he size of the attended region</w:t>
      </w:r>
      <w:r w:rsidR="00B32782" w:rsidRPr="00710874">
        <w:rPr>
          <w:rFonts w:asciiTheme="majorBidi" w:hAnsiTheme="majorBidi" w:cstheme="majorBidi"/>
          <w:color w:val="000000" w:themeColor="text1"/>
          <w:lang w:val="en-US"/>
        </w:rPr>
        <w:t xml:space="preserve"> </w:t>
      </w:r>
      <w:r w:rsidR="00B32782" w:rsidRPr="00710874">
        <w:rPr>
          <w:rFonts w:asciiTheme="majorBidi" w:hAnsiTheme="majorBidi" w:cstheme="majorBidi"/>
          <w:color w:val="000000" w:themeColor="text1"/>
          <w:lang w:val="en-US"/>
        </w:rPr>
        <w:fldChar w:fldCharType="begin"/>
      </w:r>
      <w:r w:rsidR="00F544ED" w:rsidRPr="00710874">
        <w:rPr>
          <w:rFonts w:asciiTheme="majorBidi" w:hAnsiTheme="majorBidi" w:cstheme="majorBidi"/>
          <w:color w:val="000000" w:themeColor="text1"/>
          <w:lang w:val="en-US"/>
        </w:rPr>
        <w:instrText xml:space="preserve"> ADDIN ZOTERO_ITEM CSL_CITATION {"citationID":"EPNImgy3","properties":{"formattedCitation":"(Castiello &amp; Umilt\\uc0\\u225{}, 1990; LaBerge, 1983)","plainCitation":"(Castiello &amp; Umiltá, 1990; LaBerge, 1983)","noteIndex":0},"citationItems":[{"id":1655,"uris":["http://zotero.org/users/4743004/items/FLFGYCHY"],"uri":["http://zotero.org/users/4743004/items/FLFGYCHY"],"itemData":{"id":1655,"type":"article-journal","title":"Spatial extent of attention to letters and words.","container-title":"Journal of Experimental Psychology: Human Perception and Performance","page":"371-9","volume":"9","issue":"3","abstract":"The spatial extent of attention to visually presented letters and words was investigated using a probe technique. The primary task required subjects to categorize (a) five-letter words, or to categorize the middle letter of (b) five-letter words or (c) five-letter nonwords. The probe task required the subjects to respond when the digit 7 appeared in one of the five letter positions. Probe trials were inserted at the onset of letter and word processing in Experiment 1 and 500 msec after letter and word processing in Experiment 2. In both experiments, probe trials produced a V-shaped function of reaction times across probe positions for the letter-categorization task for word and nonword stimulus conditions. In contrast, a relatively flat reaction time function was found for the word-categorization tasks. An analysis of the data based on a quantitative model of attentional spotlight distributions suggests that the spotlight width in the letter tasks is one letter space, and the spotlight width in the word task is typically five spaces.","DOI":"10.1037//0096-1523.9.3.371","author":[{"family":"LaBerge","given":"D"}],"issued":{"date-parts":[["1983",6]]}}},{"id":41,"uris":["http://zotero.org/users/4743004/items/VXC72BGK"],"uri":["http://zotero.org/users/4743004/items/VXC72BGK"],"itemData":{"id":41,"type":"article-journal","title":"Size of the Attentional","page":"195-209","volume":"73","author":[{"family":"Castiello","given":"Umberto"},{"family":"Umiltá","given":"Carlo"}],"issued":{"date-parts":[["1990"]]}}}],"schema":"https://github.com/citation-style-language/schema/raw/master/csl-citation.json"} </w:instrText>
      </w:r>
      <w:r w:rsidR="00B32782" w:rsidRPr="00710874">
        <w:rPr>
          <w:rFonts w:asciiTheme="majorBidi" w:hAnsiTheme="majorBidi" w:cstheme="majorBidi"/>
          <w:color w:val="000000" w:themeColor="text1"/>
          <w:lang w:val="en-US"/>
        </w:rPr>
        <w:fldChar w:fldCharType="separate"/>
      </w:r>
      <w:r w:rsidR="00F544ED" w:rsidRPr="00710874">
        <w:rPr>
          <w:rFonts w:asciiTheme="majorBidi" w:hAnsiTheme="majorBidi" w:cstheme="majorBidi"/>
          <w:color w:val="000000" w:themeColor="text1"/>
          <w:szCs w:val="24"/>
        </w:rPr>
        <w:t>(Castiello &amp; Umiltá, 1990; LaBerge, 1983)</w:t>
      </w:r>
      <w:r w:rsidR="00B32782" w:rsidRPr="00710874">
        <w:rPr>
          <w:rFonts w:asciiTheme="majorBidi" w:hAnsiTheme="majorBidi" w:cstheme="majorBidi"/>
          <w:color w:val="000000" w:themeColor="text1"/>
          <w:lang w:val="en-US"/>
        </w:rPr>
        <w:fldChar w:fldCharType="end"/>
      </w:r>
      <w:r w:rsidRPr="00710874">
        <w:rPr>
          <w:rFonts w:asciiTheme="majorBidi" w:hAnsiTheme="majorBidi" w:cstheme="majorBidi"/>
          <w:color w:val="000000" w:themeColor="text1"/>
          <w:lang w:val="en-US"/>
        </w:rPr>
        <w:t xml:space="preserve">. </w:t>
      </w:r>
      <w:r w:rsidR="00202554" w:rsidRPr="00710874">
        <w:rPr>
          <w:rFonts w:asciiTheme="majorBidi" w:hAnsiTheme="majorBidi" w:cstheme="majorBidi"/>
          <w:color w:val="000000" w:themeColor="text1"/>
          <w:szCs w:val="24"/>
        </w:rPr>
        <w:t xml:space="preserve">Importantly, we also went beyond previous studies by </w:t>
      </w:r>
      <w:r w:rsidR="00FE1D6B" w:rsidRPr="00710874">
        <w:rPr>
          <w:rFonts w:asciiTheme="majorBidi" w:hAnsiTheme="majorBidi" w:cstheme="majorBidi"/>
          <w:color w:val="000000" w:themeColor="text1"/>
          <w:szCs w:val="24"/>
        </w:rPr>
        <w:t xml:space="preserve">examining </w:t>
      </w:r>
      <w:r w:rsidR="00202554" w:rsidRPr="00710874">
        <w:rPr>
          <w:rFonts w:asciiTheme="majorBidi" w:hAnsiTheme="majorBidi" w:cstheme="majorBidi"/>
          <w:color w:val="000000" w:themeColor="text1"/>
          <w:szCs w:val="24"/>
        </w:rPr>
        <w:t xml:space="preserve">whether the neural response pattern </w:t>
      </w:r>
      <w:r w:rsidR="00BB2B0A" w:rsidRPr="00710874">
        <w:rPr>
          <w:rFonts w:asciiTheme="majorBidi" w:hAnsiTheme="majorBidi" w:cstheme="majorBidi"/>
          <w:color w:val="000000" w:themeColor="text1"/>
          <w:szCs w:val="24"/>
        </w:rPr>
        <w:t xml:space="preserve">that coincided with a broader attended region </w:t>
      </w:r>
      <w:r w:rsidR="00202554" w:rsidRPr="00710874">
        <w:rPr>
          <w:rFonts w:asciiTheme="majorBidi" w:hAnsiTheme="majorBidi" w:cstheme="majorBidi"/>
          <w:color w:val="000000" w:themeColor="text1"/>
          <w:szCs w:val="24"/>
        </w:rPr>
        <w:t xml:space="preserve">could be explained by </w:t>
      </w:r>
      <w:r w:rsidR="00BB2B0A" w:rsidRPr="00710874">
        <w:rPr>
          <w:rFonts w:asciiTheme="majorBidi" w:hAnsiTheme="majorBidi" w:cstheme="majorBidi"/>
          <w:color w:val="000000" w:themeColor="text1"/>
          <w:szCs w:val="24"/>
        </w:rPr>
        <w:t xml:space="preserve">a probabilistic shift of attention to </w:t>
      </w:r>
      <w:r w:rsidR="00BB1B23" w:rsidRPr="00710874">
        <w:rPr>
          <w:rFonts w:asciiTheme="majorBidi" w:hAnsiTheme="majorBidi" w:cstheme="majorBidi"/>
          <w:color w:val="000000" w:themeColor="text1"/>
          <w:szCs w:val="24"/>
        </w:rPr>
        <w:t xml:space="preserve">only </w:t>
      </w:r>
      <w:r w:rsidR="00BB2B0A" w:rsidRPr="00710874">
        <w:rPr>
          <w:rFonts w:asciiTheme="majorBidi" w:hAnsiTheme="majorBidi" w:cstheme="majorBidi"/>
          <w:color w:val="000000" w:themeColor="text1"/>
          <w:szCs w:val="24"/>
        </w:rPr>
        <w:t>one of the locations within the region</w:t>
      </w:r>
      <w:r w:rsidR="00FE1D6B" w:rsidRPr="00710874">
        <w:rPr>
          <w:rFonts w:asciiTheme="majorBidi" w:hAnsiTheme="majorBidi" w:cstheme="majorBidi"/>
          <w:color w:val="000000" w:themeColor="text1"/>
          <w:szCs w:val="24"/>
        </w:rPr>
        <w:t>, and analysis that exploited the more direct measure of spatial selectivity provided by the inverted encoding analytic approach</w:t>
      </w:r>
      <w:r w:rsidR="00BB2B0A" w:rsidRPr="00710874">
        <w:rPr>
          <w:rFonts w:asciiTheme="majorBidi" w:hAnsiTheme="majorBidi" w:cstheme="majorBidi"/>
          <w:color w:val="000000" w:themeColor="text1"/>
          <w:szCs w:val="24"/>
        </w:rPr>
        <w:t>. We found that the more shallow slope of alpha-band CTF functions could not be explained by any distribution of foci of attention of similar size as in the narrow condition. Rather, our results suggest that the shallow slope is indeed indicative of a broader attended region when large cues, providing less spatial certainty about an upcoming target locations, are presented.</w:t>
      </w:r>
      <w:r w:rsidR="00007E14" w:rsidRPr="00710874">
        <w:rPr>
          <w:rFonts w:asciiTheme="majorBidi" w:hAnsiTheme="majorBidi" w:cstheme="majorBidi"/>
          <w:color w:val="000000" w:themeColor="text1"/>
        </w:rPr>
        <w:t xml:space="preserve"> Is it possible that </w:t>
      </w:r>
      <w:r w:rsidR="00007E14" w:rsidRPr="00710874">
        <w:rPr>
          <w:rFonts w:asciiTheme="majorBidi" w:hAnsiTheme="majorBidi" w:cstheme="majorBidi"/>
          <w:color w:val="000000" w:themeColor="text1"/>
          <w:szCs w:val="24"/>
        </w:rPr>
        <w:t xml:space="preserve">we observed lower channel activity in the cue size 3 condition because of more broadband noise in that condition? This is unlikely because in a simulation by </w:t>
      </w:r>
      <w:r w:rsidR="00007E14" w:rsidRPr="00710874">
        <w:rPr>
          <w:rFonts w:asciiTheme="majorBidi" w:hAnsiTheme="majorBidi" w:cstheme="majorBidi"/>
          <w:color w:val="000000" w:themeColor="text1"/>
          <w:szCs w:val="24"/>
        </w:rPr>
        <w:fldChar w:fldCharType="begin"/>
      </w:r>
      <w:r w:rsidR="00007E14" w:rsidRPr="00710874">
        <w:rPr>
          <w:rFonts w:asciiTheme="majorBidi" w:hAnsiTheme="majorBidi" w:cstheme="majorBidi"/>
          <w:color w:val="000000" w:themeColor="text1"/>
          <w:szCs w:val="24"/>
        </w:rPr>
        <w:instrText xml:space="preserve"> ADDIN ZOTERO_ITEM CSL_CITATION {"citationID":"Zz9FsBRO","properties":{"formattedCitation":"(Sutterer, Foster, Adam, Vogel, &amp; Awh, 2019)","plainCitation":"(Sutterer, Foster, Adam, Vogel, &amp; Awh, 2019)","noteIndex":0},"citationItems":[{"id":4165,"uris":["http://zotero.org/users/4743004/items/PLQK7R7Y"],"uri":["http://zotero.org/users/4743004/items/PLQK7R7Y"],"itemData":{"id":4165,"type":"article-journal","title":"Item-specific delay activity demonstrates concurrent storage of multiple active neural representations in working memory","container-title":"PLOS Biology","page":"e3000239","volume":"17","issue":"4","source":"Crossref","DOI":"10.1371/journal.pbio.3000239","ISSN":"1545-7885","language":"en","author":[{"family":"Sutterer","given":"David W."},{"family":"Foster","given":"Joshua J."},{"family":"Adam","given":"Kirsten C. S."},{"family":"Vogel","given":"Edward K."},{"family":"Awh","given":"Edward"}],"editor":[{"family":"Tong","given":"Frank"}],"issued":{"date-parts":[["2019",4,26]]}}}],"schema":"https://github.com/citation-style-language/schema/raw/master/csl-citation.json"} </w:instrText>
      </w:r>
      <w:r w:rsidR="00007E14" w:rsidRPr="00710874">
        <w:rPr>
          <w:rFonts w:asciiTheme="majorBidi" w:hAnsiTheme="majorBidi" w:cstheme="majorBidi"/>
          <w:color w:val="000000" w:themeColor="text1"/>
          <w:szCs w:val="24"/>
        </w:rPr>
        <w:fldChar w:fldCharType="separate"/>
      </w:r>
      <w:r w:rsidR="00007E14" w:rsidRPr="00710874">
        <w:rPr>
          <w:rFonts w:asciiTheme="majorBidi" w:hAnsiTheme="majorBidi" w:cstheme="majorBidi"/>
          <w:color w:val="000000" w:themeColor="text1"/>
        </w:rPr>
        <w:t>(Sutterer, Foster, Adam, Vogel, &amp; Awh, 2019)</w:t>
      </w:r>
      <w:r w:rsidR="00007E14" w:rsidRPr="00710874">
        <w:rPr>
          <w:rFonts w:asciiTheme="majorBidi" w:hAnsiTheme="majorBidi" w:cstheme="majorBidi"/>
          <w:color w:val="000000" w:themeColor="text1"/>
          <w:szCs w:val="24"/>
        </w:rPr>
        <w:fldChar w:fldCharType="end"/>
      </w:r>
      <w:r w:rsidR="00007E14" w:rsidRPr="00710874">
        <w:rPr>
          <w:rFonts w:asciiTheme="majorBidi" w:hAnsiTheme="majorBidi" w:cstheme="majorBidi"/>
          <w:color w:val="000000" w:themeColor="text1"/>
          <w:szCs w:val="24"/>
        </w:rPr>
        <w:t xml:space="preserve"> it was tested whether greater noise could explain channel tuning selectivity differences (using a very similar inverted encoding approach as in the present study) for different memory loads in a change detection task. They added Gaussian noise to simulated data in one condition and found that mean channel tuning function selectivity was not affected.</w:t>
      </w:r>
    </w:p>
    <w:p w14:paraId="7A4F6F31" w14:textId="365E5D03" w:rsidR="00FE1D6B" w:rsidRPr="00710874" w:rsidRDefault="00FE1D6B" w:rsidP="00C35666">
      <w:pPr>
        <w:spacing w:after="0" w:line="480" w:lineRule="auto"/>
        <w:ind w:firstLine="720"/>
        <w:jc w:val="both"/>
        <w:rPr>
          <w:rFonts w:ascii="Times New Roman" w:hAnsi="Times New Roman" w:cs="Times New Roman"/>
          <w:color w:val="000000" w:themeColor="text1"/>
        </w:rPr>
      </w:pPr>
      <w:r w:rsidRPr="00710874">
        <w:rPr>
          <w:rFonts w:asciiTheme="majorBidi" w:hAnsiTheme="majorBidi" w:cstheme="majorBidi"/>
          <w:color w:val="000000" w:themeColor="text1"/>
          <w:szCs w:val="24"/>
        </w:rPr>
        <w:t>To conclude, an inverted encoding analysis of alpha activity provided direct evidence that the spatial selectivity of this attention-based neural signal responds to voluntary changes in the</w:t>
      </w:r>
      <w:r w:rsidRPr="00710874">
        <w:rPr>
          <w:rFonts w:ascii="Times New Roman" w:hAnsi="Times New Roman" w:cs="Times New Roman"/>
          <w:color w:val="000000" w:themeColor="text1"/>
          <w:szCs w:val="24"/>
        </w:rPr>
        <w:t xml:space="preserve"> breadth of covert spatial attention. These findings enrich our understanding of the links between alpha activity and </w:t>
      </w:r>
      <w:r w:rsidRPr="00710874">
        <w:rPr>
          <w:rFonts w:ascii="Times New Roman" w:hAnsi="Times New Roman" w:cs="Times New Roman"/>
          <w:color w:val="000000" w:themeColor="text1"/>
          <w:szCs w:val="24"/>
        </w:rPr>
        <w:lastRenderedPageBreak/>
        <w:t>covert spatial attention, while also providing important new constraints for cognitive models of the attentional zoom lens.</w:t>
      </w:r>
    </w:p>
    <w:p w14:paraId="23D3396F" w14:textId="77777777" w:rsidR="003C5C4B" w:rsidRPr="00710874" w:rsidRDefault="003C5C4B">
      <w:pPr>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br w:type="page"/>
      </w:r>
    </w:p>
    <w:p w14:paraId="6613C12F" w14:textId="084C47EE" w:rsidR="003C5C4B" w:rsidRPr="00710874" w:rsidRDefault="003C5C4B" w:rsidP="003C5C4B">
      <w:pPr>
        <w:spacing w:after="0" w:line="480" w:lineRule="auto"/>
        <w:jc w:val="center"/>
        <w:rPr>
          <w:rFonts w:ascii="Times New Roman" w:hAnsi="Times New Roman" w:cs="Times New Roman"/>
          <w:b/>
          <w:bCs/>
          <w:color w:val="000000" w:themeColor="text1"/>
          <w:lang w:val="en-US"/>
        </w:rPr>
      </w:pPr>
      <w:r w:rsidRPr="00710874">
        <w:rPr>
          <w:rFonts w:ascii="Times New Roman" w:hAnsi="Times New Roman" w:cs="Times New Roman"/>
          <w:b/>
          <w:bCs/>
          <w:color w:val="000000" w:themeColor="text1"/>
          <w:lang w:val="en-US"/>
        </w:rPr>
        <w:lastRenderedPageBreak/>
        <w:t>References</w:t>
      </w:r>
    </w:p>
    <w:p w14:paraId="696DBFE3" w14:textId="77777777" w:rsidR="00007E14" w:rsidRPr="00710874" w:rsidRDefault="003C5C4B" w:rsidP="00007E14">
      <w:pPr>
        <w:pStyle w:val="Bibliography"/>
        <w:rPr>
          <w:rFonts w:ascii="Calibri" w:hAnsi="Calibri" w:cs="Calibri"/>
          <w:color w:val="000000" w:themeColor="text1"/>
        </w:rPr>
      </w:pPr>
      <w:r w:rsidRPr="00710874">
        <w:rPr>
          <w:color w:val="000000" w:themeColor="text1"/>
          <w:lang w:val="en-US"/>
        </w:rPr>
        <w:fldChar w:fldCharType="begin"/>
      </w:r>
      <w:r w:rsidR="00F544ED" w:rsidRPr="00710874">
        <w:rPr>
          <w:color w:val="000000" w:themeColor="text1"/>
          <w:lang w:val="en-US"/>
        </w:rPr>
        <w:instrText xml:space="preserve"> ADDIN ZOTERO_BIBL {"uncited":[],"omitted":[],"custom":[]} CSL_BIBLIOGRAPHY </w:instrText>
      </w:r>
      <w:r w:rsidRPr="00710874">
        <w:rPr>
          <w:color w:val="000000" w:themeColor="text1"/>
          <w:lang w:val="en-US"/>
        </w:rPr>
        <w:fldChar w:fldCharType="separate"/>
      </w:r>
      <w:r w:rsidR="00007E14" w:rsidRPr="00710874">
        <w:rPr>
          <w:rFonts w:ascii="Calibri" w:hAnsi="Calibri" w:cs="Calibri"/>
          <w:color w:val="000000" w:themeColor="text1"/>
        </w:rPr>
        <w:t xml:space="preserve">Beck, J., &amp; Ambler, B. (1973). The effects of concentrated and distributed attention on peripheral acuity. </w:t>
      </w:r>
      <w:r w:rsidR="00007E14" w:rsidRPr="00710874">
        <w:rPr>
          <w:rFonts w:ascii="Calibri" w:hAnsi="Calibri" w:cs="Calibri"/>
          <w:i/>
          <w:iCs/>
          <w:color w:val="000000" w:themeColor="text1"/>
        </w:rPr>
        <w:t>Perception &amp; Psychophysics</w:t>
      </w:r>
      <w:r w:rsidR="00007E14" w:rsidRPr="00710874">
        <w:rPr>
          <w:rFonts w:ascii="Calibri" w:hAnsi="Calibri" w:cs="Calibri"/>
          <w:color w:val="000000" w:themeColor="text1"/>
        </w:rPr>
        <w:t xml:space="preserve">, </w:t>
      </w:r>
      <w:r w:rsidR="00007E14" w:rsidRPr="00710874">
        <w:rPr>
          <w:rFonts w:ascii="Calibri" w:hAnsi="Calibri" w:cs="Calibri"/>
          <w:i/>
          <w:iCs/>
          <w:color w:val="000000" w:themeColor="text1"/>
        </w:rPr>
        <w:t>14</w:t>
      </w:r>
      <w:r w:rsidR="00007E14" w:rsidRPr="00710874">
        <w:rPr>
          <w:rFonts w:ascii="Calibri" w:hAnsi="Calibri" w:cs="Calibri"/>
          <w:color w:val="000000" w:themeColor="text1"/>
        </w:rPr>
        <w:t>(2), 225–230. https://doi.org/10.3758/BF03212381</w:t>
      </w:r>
    </w:p>
    <w:p w14:paraId="326745A7"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Carrasco, M. (2011). Visual attention: The past 25 years. </w:t>
      </w:r>
      <w:r w:rsidRPr="00710874">
        <w:rPr>
          <w:rFonts w:ascii="Calibri" w:hAnsi="Calibri" w:cs="Calibri"/>
          <w:i/>
          <w:iCs/>
          <w:color w:val="000000" w:themeColor="text1"/>
        </w:rPr>
        <w:t>Vision Research</w:t>
      </w:r>
      <w:r w:rsidRPr="00710874">
        <w:rPr>
          <w:rFonts w:ascii="Calibri" w:hAnsi="Calibri" w:cs="Calibri"/>
          <w:color w:val="000000" w:themeColor="text1"/>
        </w:rPr>
        <w:t xml:space="preserve">, </w:t>
      </w:r>
      <w:r w:rsidRPr="00710874">
        <w:rPr>
          <w:rFonts w:ascii="Calibri" w:hAnsi="Calibri" w:cs="Calibri"/>
          <w:i/>
          <w:iCs/>
          <w:color w:val="000000" w:themeColor="text1"/>
        </w:rPr>
        <w:t>51</w:t>
      </w:r>
      <w:r w:rsidRPr="00710874">
        <w:rPr>
          <w:rFonts w:ascii="Calibri" w:hAnsi="Calibri" w:cs="Calibri"/>
          <w:color w:val="000000" w:themeColor="text1"/>
        </w:rPr>
        <w:t>(13), 1484–1525. https://doi.org/10.1016/j.visres.2011.04.012</w:t>
      </w:r>
    </w:p>
    <w:p w14:paraId="3EE7D782"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Castiello, U., &amp; Umiltá, C. (1990). </w:t>
      </w:r>
      <w:r w:rsidRPr="00710874">
        <w:rPr>
          <w:rFonts w:ascii="Calibri" w:hAnsi="Calibri" w:cs="Calibri"/>
          <w:i/>
          <w:iCs/>
          <w:color w:val="000000" w:themeColor="text1"/>
        </w:rPr>
        <w:t>Size of the Attentional</w:t>
      </w:r>
      <w:r w:rsidRPr="00710874">
        <w:rPr>
          <w:rFonts w:ascii="Calibri" w:hAnsi="Calibri" w:cs="Calibri"/>
          <w:color w:val="000000" w:themeColor="text1"/>
        </w:rPr>
        <w:t xml:space="preserve">. </w:t>
      </w:r>
      <w:r w:rsidRPr="00710874">
        <w:rPr>
          <w:rFonts w:ascii="Calibri" w:hAnsi="Calibri" w:cs="Calibri"/>
          <w:i/>
          <w:iCs/>
          <w:color w:val="000000" w:themeColor="text1"/>
        </w:rPr>
        <w:t>73</w:t>
      </w:r>
      <w:r w:rsidRPr="00710874">
        <w:rPr>
          <w:rFonts w:ascii="Calibri" w:hAnsi="Calibri" w:cs="Calibri"/>
          <w:color w:val="000000" w:themeColor="text1"/>
        </w:rPr>
        <w:t>, 195–209.</w:t>
      </w:r>
    </w:p>
    <w:p w14:paraId="5F4366C6"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Cave, K. R., &amp; Bichot, N. P. (1999). Visuospatial attention: Beyond a spotlight model. </w:t>
      </w:r>
      <w:r w:rsidRPr="00710874">
        <w:rPr>
          <w:rFonts w:ascii="Calibri" w:hAnsi="Calibri" w:cs="Calibri"/>
          <w:i/>
          <w:iCs/>
          <w:color w:val="000000" w:themeColor="text1"/>
        </w:rPr>
        <w:t>Psychonomic Bulletin &amp; Review</w:t>
      </w:r>
      <w:r w:rsidRPr="00710874">
        <w:rPr>
          <w:rFonts w:ascii="Calibri" w:hAnsi="Calibri" w:cs="Calibri"/>
          <w:color w:val="000000" w:themeColor="text1"/>
        </w:rPr>
        <w:t xml:space="preserve">, </w:t>
      </w:r>
      <w:r w:rsidRPr="00710874">
        <w:rPr>
          <w:rFonts w:ascii="Calibri" w:hAnsi="Calibri" w:cs="Calibri"/>
          <w:i/>
          <w:iCs/>
          <w:color w:val="000000" w:themeColor="text1"/>
        </w:rPr>
        <w:t>6</w:t>
      </w:r>
      <w:r w:rsidRPr="00710874">
        <w:rPr>
          <w:rFonts w:ascii="Calibri" w:hAnsi="Calibri" w:cs="Calibri"/>
          <w:color w:val="000000" w:themeColor="text1"/>
        </w:rPr>
        <w:t>(2), 204–223.</w:t>
      </w:r>
    </w:p>
    <w:p w14:paraId="37CA9DE3"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Downing, C. J. (1988). Expectancy and visual-spatial attention: Effects on perceptual quality. </w:t>
      </w:r>
      <w:r w:rsidRPr="00710874">
        <w:rPr>
          <w:rFonts w:ascii="Calibri" w:hAnsi="Calibri" w:cs="Calibri"/>
          <w:i/>
          <w:iCs/>
          <w:color w:val="000000" w:themeColor="text1"/>
        </w:rPr>
        <w:t>Journal of Experimental Psychology: Human Perception and Performance</w:t>
      </w:r>
      <w:r w:rsidRPr="00710874">
        <w:rPr>
          <w:rFonts w:ascii="Calibri" w:hAnsi="Calibri" w:cs="Calibri"/>
          <w:color w:val="000000" w:themeColor="text1"/>
        </w:rPr>
        <w:t xml:space="preserve">, </w:t>
      </w:r>
      <w:r w:rsidRPr="00710874">
        <w:rPr>
          <w:rFonts w:ascii="Calibri" w:hAnsi="Calibri" w:cs="Calibri"/>
          <w:i/>
          <w:iCs/>
          <w:color w:val="000000" w:themeColor="text1"/>
        </w:rPr>
        <w:t>14</w:t>
      </w:r>
      <w:r w:rsidRPr="00710874">
        <w:rPr>
          <w:rFonts w:ascii="Calibri" w:hAnsi="Calibri" w:cs="Calibri"/>
          <w:color w:val="000000" w:themeColor="text1"/>
        </w:rPr>
        <w:t>(2), 188–202. https://doi.org/10.1037/0096-1523.14.2.188</w:t>
      </w:r>
    </w:p>
    <w:p w14:paraId="7317CCC7"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Eckstein, M. P., Shimozaki, S. S., &amp; Abbey, C. K. (2002). The footprints of visual attention in the Posner cueing paradigm revealed by classification images. </w:t>
      </w:r>
      <w:r w:rsidRPr="00710874">
        <w:rPr>
          <w:rFonts w:ascii="Calibri" w:hAnsi="Calibri" w:cs="Calibri"/>
          <w:i/>
          <w:iCs/>
          <w:color w:val="000000" w:themeColor="text1"/>
        </w:rPr>
        <w:t>Journal of Vision</w:t>
      </w:r>
      <w:r w:rsidRPr="00710874">
        <w:rPr>
          <w:rFonts w:ascii="Calibri" w:hAnsi="Calibri" w:cs="Calibri"/>
          <w:color w:val="000000" w:themeColor="text1"/>
        </w:rPr>
        <w:t>, (2), 25–45.</w:t>
      </w:r>
    </w:p>
    <w:p w14:paraId="7317DAC9" w14:textId="77777777" w:rsidR="00007E14" w:rsidRPr="00710874" w:rsidRDefault="00007E14" w:rsidP="00007E14">
      <w:pPr>
        <w:pStyle w:val="Bibliography"/>
        <w:rPr>
          <w:rFonts w:ascii="Calibri" w:hAnsi="Calibri" w:cs="Calibri"/>
          <w:color w:val="000000" w:themeColor="text1"/>
          <w:lang w:val="fr-FR"/>
        </w:rPr>
      </w:pPr>
      <w:r w:rsidRPr="00710874">
        <w:rPr>
          <w:rFonts w:ascii="Calibri" w:hAnsi="Calibri" w:cs="Calibri"/>
          <w:color w:val="000000" w:themeColor="text1"/>
        </w:rPr>
        <w:t xml:space="preserve">Eriksen, C. W., &amp; James, J. (1986). Visual attention within and around the field of focal attention: A zoom lens model. </w:t>
      </w:r>
      <w:r w:rsidRPr="00710874">
        <w:rPr>
          <w:rFonts w:ascii="Calibri" w:hAnsi="Calibri" w:cs="Calibri"/>
          <w:i/>
          <w:iCs/>
          <w:color w:val="000000" w:themeColor="text1"/>
          <w:lang w:val="fr-FR"/>
        </w:rPr>
        <w:t>Perception &amp; Psychophysics</w:t>
      </w:r>
      <w:r w:rsidRPr="00710874">
        <w:rPr>
          <w:rFonts w:ascii="Calibri" w:hAnsi="Calibri" w:cs="Calibri"/>
          <w:color w:val="000000" w:themeColor="text1"/>
          <w:lang w:val="fr-FR"/>
        </w:rPr>
        <w:t xml:space="preserve">, </w:t>
      </w:r>
      <w:r w:rsidRPr="00710874">
        <w:rPr>
          <w:rFonts w:ascii="Calibri" w:hAnsi="Calibri" w:cs="Calibri"/>
          <w:i/>
          <w:iCs/>
          <w:color w:val="000000" w:themeColor="text1"/>
          <w:lang w:val="fr-FR"/>
        </w:rPr>
        <w:t>40</w:t>
      </w:r>
      <w:r w:rsidRPr="00710874">
        <w:rPr>
          <w:rFonts w:ascii="Calibri" w:hAnsi="Calibri" w:cs="Calibri"/>
          <w:color w:val="000000" w:themeColor="text1"/>
          <w:lang w:val="fr-FR"/>
        </w:rPr>
        <w:t>(4), 225–240. https://doi.org/10.3758/BF03211502</w:t>
      </w:r>
    </w:p>
    <w:p w14:paraId="753151D1"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lang w:val="fr-FR"/>
        </w:rPr>
        <w:t xml:space="preserve">Feldmann-Wüstefeld, T., &amp; Schubö, A. (2013). </w:t>
      </w:r>
      <w:r w:rsidRPr="00710874">
        <w:rPr>
          <w:rFonts w:ascii="Calibri" w:hAnsi="Calibri" w:cs="Calibri"/>
          <w:color w:val="000000" w:themeColor="text1"/>
        </w:rPr>
        <w:t xml:space="preserve">Textures shape the attentional focus: Evidence from exogenous and endogenous cueing. </w:t>
      </w:r>
      <w:r w:rsidRPr="00710874">
        <w:rPr>
          <w:rFonts w:ascii="Calibri" w:hAnsi="Calibri" w:cs="Calibri"/>
          <w:i/>
          <w:iCs/>
          <w:color w:val="000000" w:themeColor="text1"/>
        </w:rPr>
        <w:t>Attention, Perception, and Psychophysics</w:t>
      </w:r>
      <w:r w:rsidRPr="00710874">
        <w:rPr>
          <w:rFonts w:ascii="Calibri" w:hAnsi="Calibri" w:cs="Calibri"/>
          <w:color w:val="000000" w:themeColor="text1"/>
        </w:rPr>
        <w:t xml:space="preserve">, </w:t>
      </w:r>
      <w:r w:rsidRPr="00710874">
        <w:rPr>
          <w:rFonts w:ascii="Calibri" w:hAnsi="Calibri" w:cs="Calibri"/>
          <w:i/>
          <w:iCs/>
          <w:color w:val="000000" w:themeColor="text1"/>
        </w:rPr>
        <w:t>75</w:t>
      </w:r>
      <w:r w:rsidRPr="00710874">
        <w:rPr>
          <w:rFonts w:ascii="Calibri" w:hAnsi="Calibri" w:cs="Calibri"/>
          <w:color w:val="000000" w:themeColor="text1"/>
        </w:rPr>
        <w:t>(8). https://doi.org/10.3758/s13414-013-0508-z</w:t>
      </w:r>
    </w:p>
    <w:p w14:paraId="001CC86C"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Foster, J. J., &amp; Awh, E. (2019). The role of alpha oscillations in spatial attention: Limited evidence for a suppression account. </w:t>
      </w:r>
      <w:r w:rsidRPr="00710874">
        <w:rPr>
          <w:rFonts w:ascii="Calibri" w:hAnsi="Calibri" w:cs="Calibri"/>
          <w:i/>
          <w:iCs/>
          <w:color w:val="000000" w:themeColor="text1"/>
        </w:rPr>
        <w:t>Current Opinion in Psychology</w:t>
      </w:r>
      <w:r w:rsidRPr="00710874">
        <w:rPr>
          <w:rFonts w:ascii="Calibri" w:hAnsi="Calibri" w:cs="Calibri"/>
          <w:color w:val="000000" w:themeColor="text1"/>
        </w:rPr>
        <w:t xml:space="preserve">, </w:t>
      </w:r>
      <w:r w:rsidRPr="00710874">
        <w:rPr>
          <w:rFonts w:ascii="Calibri" w:hAnsi="Calibri" w:cs="Calibri"/>
          <w:i/>
          <w:iCs/>
          <w:color w:val="000000" w:themeColor="text1"/>
        </w:rPr>
        <w:t>29</w:t>
      </w:r>
      <w:r w:rsidRPr="00710874">
        <w:rPr>
          <w:rFonts w:ascii="Calibri" w:hAnsi="Calibri" w:cs="Calibri"/>
          <w:color w:val="000000" w:themeColor="text1"/>
        </w:rPr>
        <w:t>, 34–40. https://doi.org/10.1016/j.copsyc.2018.11.001</w:t>
      </w:r>
    </w:p>
    <w:p w14:paraId="6B4196B2"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Foster, J. J., Bsales, E. M., Jaffe, R. J., &amp; Awh, E. (2017). Alpha-Band Activity Reveals Spontaneous Representations of Spatial Position in Visual Working Memory. </w:t>
      </w:r>
      <w:r w:rsidRPr="00710874">
        <w:rPr>
          <w:rFonts w:ascii="Calibri" w:hAnsi="Calibri" w:cs="Calibri"/>
          <w:i/>
          <w:iCs/>
          <w:color w:val="000000" w:themeColor="text1"/>
        </w:rPr>
        <w:t>Current Biology</w:t>
      </w:r>
      <w:r w:rsidRPr="00710874">
        <w:rPr>
          <w:rFonts w:ascii="Calibri" w:hAnsi="Calibri" w:cs="Calibri"/>
          <w:color w:val="000000" w:themeColor="text1"/>
        </w:rPr>
        <w:t xml:space="preserve">, </w:t>
      </w:r>
      <w:r w:rsidRPr="00710874">
        <w:rPr>
          <w:rFonts w:ascii="Calibri" w:hAnsi="Calibri" w:cs="Calibri"/>
          <w:i/>
          <w:iCs/>
          <w:color w:val="000000" w:themeColor="text1"/>
        </w:rPr>
        <w:t>27</w:t>
      </w:r>
      <w:r w:rsidRPr="00710874">
        <w:rPr>
          <w:rFonts w:ascii="Calibri" w:hAnsi="Calibri" w:cs="Calibri"/>
          <w:color w:val="000000" w:themeColor="text1"/>
        </w:rPr>
        <w:t>(20), 3216-3223.e6. https://doi.org/10.1016/j.cub.2017.09.031</w:t>
      </w:r>
    </w:p>
    <w:p w14:paraId="4E3F2519" w14:textId="77777777" w:rsidR="00007E14" w:rsidRPr="00710874" w:rsidRDefault="00007E14" w:rsidP="00007E14">
      <w:pPr>
        <w:pStyle w:val="Bibliography"/>
        <w:rPr>
          <w:rFonts w:ascii="Calibri" w:hAnsi="Calibri" w:cs="Calibri"/>
          <w:color w:val="000000" w:themeColor="text1"/>
          <w:lang w:val="fr-FR"/>
        </w:rPr>
      </w:pPr>
      <w:r w:rsidRPr="00710874">
        <w:rPr>
          <w:rFonts w:ascii="Calibri" w:hAnsi="Calibri" w:cs="Calibri"/>
          <w:color w:val="000000" w:themeColor="text1"/>
        </w:rPr>
        <w:lastRenderedPageBreak/>
        <w:t xml:space="preserve">Foster, J. J., Sutterer, D. W., Serences, J. T., Vogel, E. K., &amp; Awh, E. (2017). Alpha-Band Oscillations Enable Spatially and Temporally Resolved Tracking of Covert Spatial Attention. </w:t>
      </w:r>
      <w:r w:rsidRPr="00710874">
        <w:rPr>
          <w:rFonts w:ascii="Calibri" w:hAnsi="Calibri" w:cs="Calibri"/>
          <w:i/>
          <w:iCs/>
          <w:color w:val="000000" w:themeColor="text1"/>
          <w:lang w:val="fr-FR"/>
        </w:rPr>
        <w:t>Psychological Science</w:t>
      </w:r>
      <w:r w:rsidRPr="00710874">
        <w:rPr>
          <w:rFonts w:ascii="Calibri" w:hAnsi="Calibri" w:cs="Calibri"/>
          <w:color w:val="000000" w:themeColor="text1"/>
          <w:lang w:val="fr-FR"/>
        </w:rPr>
        <w:t xml:space="preserve">, </w:t>
      </w:r>
      <w:r w:rsidRPr="00710874">
        <w:rPr>
          <w:rFonts w:ascii="Calibri" w:hAnsi="Calibri" w:cs="Calibri"/>
          <w:i/>
          <w:iCs/>
          <w:color w:val="000000" w:themeColor="text1"/>
          <w:lang w:val="fr-FR"/>
        </w:rPr>
        <w:t>28</w:t>
      </w:r>
      <w:r w:rsidRPr="00710874">
        <w:rPr>
          <w:rFonts w:ascii="Calibri" w:hAnsi="Calibri" w:cs="Calibri"/>
          <w:color w:val="000000" w:themeColor="text1"/>
          <w:lang w:val="fr-FR"/>
        </w:rPr>
        <w:t>(7), 929–941. https://doi.org/10.1177/0956797617699167</w:t>
      </w:r>
    </w:p>
    <w:p w14:paraId="677F10AA"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lang w:val="fr-FR"/>
        </w:rPr>
        <w:t xml:space="preserve">Foxe, J. J., &amp; Snyder, A. C. (2011). </w:t>
      </w:r>
      <w:r w:rsidRPr="00710874">
        <w:rPr>
          <w:rFonts w:ascii="Calibri" w:hAnsi="Calibri" w:cs="Calibri"/>
          <w:color w:val="000000" w:themeColor="text1"/>
        </w:rPr>
        <w:t xml:space="preserve">The role of alpha-band brain oscillations as a sensory suppression mechanism during selective attention. </w:t>
      </w:r>
      <w:r w:rsidRPr="00710874">
        <w:rPr>
          <w:rFonts w:ascii="Calibri" w:hAnsi="Calibri" w:cs="Calibri"/>
          <w:i/>
          <w:iCs/>
          <w:color w:val="000000" w:themeColor="text1"/>
        </w:rPr>
        <w:t>Frontiers in Psychology</w:t>
      </w:r>
      <w:r w:rsidRPr="00710874">
        <w:rPr>
          <w:rFonts w:ascii="Calibri" w:hAnsi="Calibri" w:cs="Calibri"/>
          <w:color w:val="000000" w:themeColor="text1"/>
        </w:rPr>
        <w:t xml:space="preserve">, </w:t>
      </w:r>
      <w:r w:rsidRPr="00710874">
        <w:rPr>
          <w:rFonts w:ascii="Calibri" w:hAnsi="Calibri" w:cs="Calibri"/>
          <w:i/>
          <w:iCs/>
          <w:color w:val="000000" w:themeColor="text1"/>
        </w:rPr>
        <w:t>2</w:t>
      </w:r>
      <w:r w:rsidRPr="00710874">
        <w:rPr>
          <w:rFonts w:ascii="Calibri" w:hAnsi="Calibri" w:cs="Calibri"/>
          <w:color w:val="000000" w:themeColor="text1"/>
        </w:rPr>
        <w:t>(JUL), 1–13. https://doi.org/10.3389/fpsyg.2011.00154</w:t>
      </w:r>
    </w:p>
    <w:p w14:paraId="10AF28C5"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Gould, I. C., Rushworth, M. F., &amp; Nobre, A. C. (2011). Indexing the graded allocation of visuospatial attention using anticipatory alpha oscillations. </w:t>
      </w:r>
      <w:r w:rsidRPr="00710874">
        <w:rPr>
          <w:rFonts w:ascii="Calibri" w:hAnsi="Calibri" w:cs="Calibri"/>
          <w:i/>
          <w:iCs/>
          <w:color w:val="000000" w:themeColor="text1"/>
        </w:rPr>
        <w:t>Journal of Neurophysiology</w:t>
      </w:r>
      <w:r w:rsidRPr="00710874">
        <w:rPr>
          <w:rFonts w:ascii="Calibri" w:hAnsi="Calibri" w:cs="Calibri"/>
          <w:color w:val="000000" w:themeColor="text1"/>
        </w:rPr>
        <w:t xml:space="preserve">, </w:t>
      </w:r>
      <w:r w:rsidRPr="00710874">
        <w:rPr>
          <w:rFonts w:ascii="Calibri" w:hAnsi="Calibri" w:cs="Calibri"/>
          <w:i/>
          <w:iCs/>
          <w:color w:val="000000" w:themeColor="text1"/>
        </w:rPr>
        <w:t>105</w:t>
      </w:r>
      <w:r w:rsidRPr="00710874">
        <w:rPr>
          <w:rFonts w:ascii="Calibri" w:hAnsi="Calibri" w:cs="Calibri"/>
          <w:color w:val="000000" w:themeColor="text1"/>
        </w:rPr>
        <w:t>(3), 1318–1326. https://doi.org/10.1152/jn.00653.2010</w:t>
      </w:r>
    </w:p>
    <w:p w14:paraId="2ABBCD55"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Itthipuripat, S., Garcia, J. O., Rungratsameetaweemana, N., Sprague, T. C., &amp; Serences, J. T. (2014). Changing the Spatial Scope of Attention Alters Patterns of Neural Gain in Human Cortex. </w:t>
      </w:r>
      <w:r w:rsidRPr="00710874">
        <w:rPr>
          <w:rFonts w:ascii="Calibri" w:hAnsi="Calibri" w:cs="Calibri"/>
          <w:i/>
          <w:iCs/>
          <w:color w:val="000000" w:themeColor="text1"/>
        </w:rPr>
        <w:t>Journal of Neuroscience</w:t>
      </w:r>
      <w:r w:rsidRPr="00710874">
        <w:rPr>
          <w:rFonts w:ascii="Calibri" w:hAnsi="Calibri" w:cs="Calibri"/>
          <w:color w:val="000000" w:themeColor="text1"/>
        </w:rPr>
        <w:t xml:space="preserve">, </w:t>
      </w:r>
      <w:r w:rsidRPr="00710874">
        <w:rPr>
          <w:rFonts w:ascii="Calibri" w:hAnsi="Calibri" w:cs="Calibri"/>
          <w:i/>
          <w:iCs/>
          <w:color w:val="000000" w:themeColor="text1"/>
        </w:rPr>
        <w:t>34</w:t>
      </w:r>
      <w:r w:rsidRPr="00710874">
        <w:rPr>
          <w:rFonts w:ascii="Calibri" w:hAnsi="Calibri" w:cs="Calibri"/>
          <w:color w:val="000000" w:themeColor="text1"/>
        </w:rPr>
        <w:t>(1), 112–123. https://doi.org/10.1523/JNEUROSCI.3943-13.2014</w:t>
      </w:r>
    </w:p>
    <w:p w14:paraId="01C0FF76"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Jensen, O., &amp; Mazaheri, A. (2010). Shaping Functional Architecture by Oscillatory Alpha Activity: Gating by Inhibition. </w:t>
      </w:r>
      <w:r w:rsidRPr="00710874">
        <w:rPr>
          <w:rFonts w:ascii="Calibri" w:hAnsi="Calibri" w:cs="Calibri"/>
          <w:i/>
          <w:iCs/>
          <w:color w:val="000000" w:themeColor="text1"/>
        </w:rPr>
        <w:t>Frontiers in Human Neuroscience</w:t>
      </w:r>
      <w:r w:rsidRPr="00710874">
        <w:rPr>
          <w:rFonts w:ascii="Calibri" w:hAnsi="Calibri" w:cs="Calibri"/>
          <w:color w:val="000000" w:themeColor="text1"/>
        </w:rPr>
        <w:t xml:space="preserve">, </w:t>
      </w:r>
      <w:r w:rsidRPr="00710874">
        <w:rPr>
          <w:rFonts w:ascii="Calibri" w:hAnsi="Calibri" w:cs="Calibri"/>
          <w:i/>
          <w:iCs/>
          <w:color w:val="000000" w:themeColor="text1"/>
        </w:rPr>
        <w:t>4</w:t>
      </w:r>
      <w:r w:rsidRPr="00710874">
        <w:rPr>
          <w:rFonts w:ascii="Calibri" w:hAnsi="Calibri" w:cs="Calibri"/>
          <w:color w:val="000000" w:themeColor="text1"/>
        </w:rPr>
        <w:t>. https://doi.org/10.3389/fnhum.2010.00186</w:t>
      </w:r>
    </w:p>
    <w:p w14:paraId="64151394"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LaBerge, D. (1983). Spatial extent of attention to letters and words. </w:t>
      </w:r>
      <w:r w:rsidRPr="00710874">
        <w:rPr>
          <w:rFonts w:ascii="Calibri" w:hAnsi="Calibri" w:cs="Calibri"/>
          <w:i/>
          <w:iCs/>
          <w:color w:val="000000" w:themeColor="text1"/>
        </w:rPr>
        <w:t>Journal of Experimental Psychology: Human Perception and Performance</w:t>
      </w:r>
      <w:r w:rsidRPr="00710874">
        <w:rPr>
          <w:rFonts w:ascii="Calibri" w:hAnsi="Calibri" w:cs="Calibri"/>
          <w:color w:val="000000" w:themeColor="text1"/>
        </w:rPr>
        <w:t xml:space="preserve">, </w:t>
      </w:r>
      <w:r w:rsidRPr="00710874">
        <w:rPr>
          <w:rFonts w:ascii="Calibri" w:hAnsi="Calibri" w:cs="Calibri"/>
          <w:i/>
          <w:iCs/>
          <w:color w:val="000000" w:themeColor="text1"/>
        </w:rPr>
        <w:t>9</w:t>
      </w:r>
      <w:r w:rsidRPr="00710874">
        <w:rPr>
          <w:rFonts w:ascii="Calibri" w:hAnsi="Calibri" w:cs="Calibri"/>
          <w:color w:val="000000" w:themeColor="text1"/>
        </w:rPr>
        <w:t>(3), 371–379. https://doi.org/10.1037//0096-1523.9.3.371</w:t>
      </w:r>
    </w:p>
    <w:p w14:paraId="179CFA13"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lang w:val="de-DE"/>
        </w:rPr>
        <w:t xml:space="preserve">Luck, S. J., Heinze, H. J., Mangun, G. R., &amp; Hillyard, S. A. (1990). </w:t>
      </w:r>
      <w:r w:rsidRPr="00710874">
        <w:rPr>
          <w:rFonts w:ascii="Calibri" w:hAnsi="Calibri" w:cs="Calibri"/>
          <w:color w:val="000000" w:themeColor="text1"/>
        </w:rPr>
        <w:t xml:space="preserve">Visual event-related potentials index focused attention within bilateral stimulus arrays. I. Evidence for early selection. </w:t>
      </w:r>
      <w:r w:rsidRPr="00710874">
        <w:rPr>
          <w:rFonts w:ascii="Calibri" w:hAnsi="Calibri" w:cs="Calibri"/>
          <w:i/>
          <w:iCs/>
          <w:color w:val="000000" w:themeColor="text1"/>
        </w:rPr>
        <w:t>Electroencephalography and Clinical Neurophsiology</w:t>
      </w:r>
      <w:r w:rsidRPr="00710874">
        <w:rPr>
          <w:rFonts w:ascii="Calibri" w:hAnsi="Calibri" w:cs="Calibri"/>
          <w:color w:val="000000" w:themeColor="text1"/>
        </w:rPr>
        <w:t xml:space="preserve">, </w:t>
      </w:r>
      <w:r w:rsidRPr="00710874">
        <w:rPr>
          <w:rFonts w:ascii="Calibri" w:hAnsi="Calibri" w:cs="Calibri"/>
          <w:i/>
          <w:iCs/>
          <w:color w:val="000000" w:themeColor="text1"/>
        </w:rPr>
        <w:t>75</w:t>
      </w:r>
      <w:r w:rsidRPr="00710874">
        <w:rPr>
          <w:rFonts w:ascii="Calibri" w:hAnsi="Calibri" w:cs="Calibri"/>
          <w:color w:val="000000" w:themeColor="text1"/>
        </w:rPr>
        <w:t>, 511–527. https://doi.org/10.1016/0013-4694(90)90138-A</w:t>
      </w:r>
    </w:p>
    <w:p w14:paraId="7C326531"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Mangun, G. R. R., &amp; Hillyard, S. A. (1987). The Spatial Allocation of Visual Attention as Indexed by Event-Related Brain Potentials. </w:t>
      </w:r>
      <w:r w:rsidRPr="00710874">
        <w:rPr>
          <w:rFonts w:ascii="Calibri" w:hAnsi="Calibri" w:cs="Calibri"/>
          <w:i/>
          <w:iCs/>
          <w:color w:val="000000" w:themeColor="text1"/>
        </w:rPr>
        <w:t>Human Factors</w:t>
      </w:r>
      <w:r w:rsidRPr="00710874">
        <w:rPr>
          <w:rFonts w:ascii="Calibri" w:hAnsi="Calibri" w:cs="Calibri"/>
          <w:color w:val="000000" w:themeColor="text1"/>
        </w:rPr>
        <w:t xml:space="preserve">, </w:t>
      </w:r>
      <w:r w:rsidRPr="00710874">
        <w:rPr>
          <w:rFonts w:ascii="Calibri" w:hAnsi="Calibri" w:cs="Calibri"/>
          <w:i/>
          <w:iCs/>
          <w:color w:val="000000" w:themeColor="text1"/>
        </w:rPr>
        <w:t>29</w:t>
      </w:r>
      <w:r w:rsidRPr="00710874">
        <w:rPr>
          <w:rFonts w:ascii="Calibri" w:hAnsi="Calibri" w:cs="Calibri"/>
          <w:color w:val="000000" w:themeColor="text1"/>
        </w:rPr>
        <w:t>(2), 195–211.</w:t>
      </w:r>
    </w:p>
    <w:p w14:paraId="34611524"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Marshall, T. R., O’Shea, J., Jensen, O., &amp; Bergmann, T. O. (2015). Frontal Eye Fields Control Attentional Modulation of Alpha and Gamma Oscillations in Contralateral Occipitoparietal </w:t>
      </w:r>
      <w:r w:rsidRPr="00710874">
        <w:rPr>
          <w:rFonts w:ascii="Calibri" w:hAnsi="Calibri" w:cs="Calibri"/>
          <w:color w:val="000000" w:themeColor="text1"/>
        </w:rPr>
        <w:lastRenderedPageBreak/>
        <w:t xml:space="preserve">Cortex. </w:t>
      </w:r>
      <w:r w:rsidRPr="00710874">
        <w:rPr>
          <w:rFonts w:ascii="Calibri" w:hAnsi="Calibri" w:cs="Calibri"/>
          <w:i/>
          <w:iCs/>
          <w:color w:val="000000" w:themeColor="text1"/>
        </w:rPr>
        <w:t>Journal of Neuroscience</w:t>
      </w:r>
      <w:r w:rsidRPr="00710874">
        <w:rPr>
          <w:rFonts w:ascii="Calibri" w:hAnsi="Calibri" w:cs="Calibri"/>
          <w:color w:val="000000" w:themeColor="text1"/>
        </w:rPr>
        <w:t xml:space="preserve">, </w:t>
      </w:r>
      <w:r w:rsidRPr="00710874">
        <w:rPr>
          <w:rFonts w:ascii="Calibri" w:hAnsi="Calibri" w:cs="Calibri"/>
          <w:i/>
          <w:iCs/>
          <w:color w:val="000000" w:themeColor="text1"/>
        </w:rPr>
        <w:t>35</w:t>
      </w:r>
      <w:r w:rsidRPr="00710874">
        <w:rPr>
          <w:rFonts w:ascii="Calibri" w:hAnsi="Calibri" w:cs="Calibri"/>
          <w:color w:val="000000" w:themeColor="text1"/>
        </w:rPr>
        <w:t>(4), 1638–1647. https://doi.org/10.1523/JNEUROSCI.3116-14.2015</w:t>
      </w:r>
    </w:p>
    <w:p w14:paraId="0B74E82A"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Müller, H. J., &amp; Rabbitt, P. M. a. (1989). Spatial cueing and the relation between the accuracy of “where” and “what” decisions in visual search. </w:t>
      </w:r>
      <w:r w:rsidRPr="00710874">
        <w:rPr>
          <w:rFonts w:ascii="Calibri" w:hAnsi="Calibri" w:cs="Calibri"/>
          <w:i/>
          <w:iCs/>
          <w:color w:val="000000" w:themeColor="text1"/>
        </w:rPr>
        <w:t>The Quarterly Journal of Experimental Psychology Section A</w:t>
      </w:r>
      <w:r w:rsidRPr="00710874">
        <w:rPr>
          <w:rFonts w:ascii="Calibri" w:hAnsi="Calibri" w:cs="Calibri"/>
          <w:color w:val="000000" w:themeColor="text1"/>
        </w:rPr>
        <w:t xml:space="preserve">, </w:t>
      </w:r>
      <w:r w:rsidRPr="00710874">
        <w:rPr>
          <w:rFonts w:ascii="Calibri" w:hAnsi="Calibri" w:cs="Calibri"/>
          <w:i/>
          <w:iCs/>
          <w:color w:val="000000" w:themeColor="text1"/>
        </w:rPr>
        <w:t>41</w:t>
      </w:r>
      <w:r w:rsidRPr="00710874">
        <w:rPr>
          <w:rFonts w:ascii="Calibri" w:hAnsi="Calibri" w:cs="Calibri"/>
          <w:color w:val="000000" w:themeColor="text1"/>
        </w:rPr>
        <w:t>(4), 747–773. https://doi.org/10.1080/14640748908402392</w:t>
      </w:r>
    </w:p>
    <w:p w14:paraId="1EFB3DD2"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lang w:val="de-DE"/>
        </w:rPr>
        <w:t xml:space="preserve">Müller, N., Bartelt, O. A., Donner, T. H., Villringer, A., &amp; Brandt, S. A. (2003). </w:t>
      </w:r>
      <w:r w:rsidRPr="00710874">
        <w:rPr>
          <w:rFonts w:ascii="Calibri" w:hAnsi="Calibri" w:cs="Calibri"/>
          <w:i/>
          <w:iCs/>
          <w:color w:val="000000" w:themeColor="text1"/>
        </w:rPr>
        <w:t>A Physiological Correlate of the “Zoom Lens” of Visual Attention</w:t>
      </w:r>
      <w:r w:rsidRPr="00710874">
        <w:rPr>
          <w:rFonts w:ascii="Calibri" w:hAnsi="Calibri" w:cs="Calibri"/>
          <w:color w:val="000000" w:themeColor="text1"/>
        </w:rPr>
        <w:t xml:space="preserve">. </w:t>
      </w:r>
      <w:r w:rsidRPr="00710874">
        <w:rPr>
          <w:rFonts w:ascii="Calibri" w:hAnsi="Calibri" w:cs="Calibri"/>
          <w:i/>
          <w:iCs/>
          <w:color w:val="000000" w:themeColor="text1"/>
        </w:rPr>
        <w:t>23</w:t>
      </w:r>
      <w:r w:rsidRPr="00710874">
        <w:rPr>
          <w:rFonts w:ascii="Calibri" w:hAnsi="Calibri" w:cs="Calibri"/>
          <w:color w:val="000000" w:themeColor="text1"/>
        </w:rPr>
        <w:t>(9), 3561–3565.</w:t>
      </w:r>
    </w:p>
    <w:p w14:paraId="277F5B5C"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Palmer, J. (1995). Attention in visual search: Distinguishing four causes of a set-size effect. </w:t>
      </w:r>
      <w:r w:rsidRPr="00710874">
        <w:rPr>
          <w:rFonts w:ascii="Calibri" w:hAnsi="Calibri" w:cs="Calibri"/>
          <w:i/>
          <w:iCs/>
          <w:color w:val="000000" w:themeColor="text1"/>
        </w:rPr>
        <w:t>Current Directions in Psychological Science</w:t>
      </w:r>
      <w:r w:rsidRPr="00710874">
        <w:rPr>
          <w:rFonts w:ascii="Calibri" w:hAnsi="Calibri" w:cs="Calibri"/>
          <w:color w:val="000000" w:themeColor="text1"/>
        </w:rPr>
        <w:t xml:space="preserve">, </w:t>
      </w:r>
      <w:r w:rsidRPr="00710874">
        <w:rPr>
          <w:rFonts w:ascii="Calibri" w:hAnsi="Calibri" w:cs="Calibri"/>
          <w:i/>
          <w:iCs/>
          <w:color w:val="000000" w:themeColor="text1"/>
        </w:rPr>
        <w:t>4</w:t>
      </w:r>
      <w:r w:rsidRPr="00710874">
        <w:rPr>
          <w:rFonts w:ascii="Calibri" w:hAnsi="Calibri" w:cs="Calibri"/>
          <w:color w:val="000000" w:themeColor="text1"/>
        </w:rPr>
        <w:t>(4), 118–123. https://doi.org/10.1111/1467-8721.ep10772534</w:t>
      </w:r>
    </w:p>
    <w:p w14:paraId="5BE0A97E"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Palmer, J., Ames, C. T., &amp; Lindsey, D. T. (1993). </w:t>
      </w:r>
      <w:r w:rsidRPr="00710874">
        <w:rPr>
          <w:rFonts w:ascii="Calibri" w:hAnsi="Calibri" w:cs="Calibri"/>
          <w:i/>
          <w:iCs/>
          <w:color w:val="000000" w:themeColor="text1"/>
        </w:rPr>
        <w:t>Measuring the Effect of Attention on Simple Visual Search</w:t>
      </w:r>
      <w:r w:rsidRPr="00710874">
        <w:rPr>
          <w:rFonts w:ascii="Calibri" w:hAnsi="Calibri" w:cs="Calibri"/>
          <w:color w:val="000000" w:themeColor="text1"/>
        </w:rPr>
        <w:t xml:space="preserve">. </w:t>
      </w:r>
      <w:r w:rsidRPr="00710874">
        <w:rPr>
          <w:rFonts w:ascii="Calibri" w:hAnsi="Calibri" w:cs="Calibri"/>
          <w:i/>
          <w:iCs/>
          <w:color w:val="000000" w:themeColor="text1"/>
        </w:rPr>
        <w:t>19</w:t>
      </w:r>
      <w:r w:rsidRPr="00710874">
        <w:rPr>
          <w:rFonts w:ascii="Calibri" w:hAnsi="Calibri" w:cs="Calibri"/>
          <w:color w:val="000000" w:themeColor="text1"/>
        </w:rPr>
        <w:t>(1), 108–130.</w:t>
      </w:r>
    </w:p>
    <w:p w14:paraId="54D33524"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Posner, M. I., Snyder, C. R., &amp; Davidson, B. J. (1980). Attention and the detection of signals. </w:t>
      </w:r>
      <w:r w:rsidRPr="00710874">
        <w:rPr>
          <w:rFonts w:ascii="Calibri" w:hAnsi="Calibri" w:cs="Calibri"/>
          <w:i/>
          <w:iCs/>
          <w:color w:val="000000" w:themeColor="text1"/>
        </w:rPr>
        <w:t>Journal of Experimental Psychology</w:t>
      </w:r>
      <w:r w:rsidRPr="00710874">
        <w:rPr>
          <w:rFonts w:ascii="Calibri" w:hAnsi="Calibri" w:cs="Calibri"/>
          <w:color w:val="000000" w:themeColor="text1"/>
        </w:rPr>
        <w:t xml:space="preserve">, </w:t>
      </w:r>
      <w:r w:rsidRPr="00710874">
        <w:rPr>
          <w:rFonts w:ascii="Calibri" w:hAnsi="Calibri" w:cs="Calibri"/>
          <w:i/>
          <w:iCs/>
          <w:color w:val="000000" w:themeColor="text1"/>
        </w:rPr>
        <w:t>109</w:t>
      </w:r>
      <w:r w:rsidRPr="00710874">
        <w:rPr>
          <w:rFonts w:ascii="Calibri" w:hAnsi="Calibri" w:cs="Calibri"/>
          <w:color w:val="000000" w:themeColor="text1"/>
        </w:rPr>
        <w:t>(2), 160–174. https://doi.org/10.1037//0096-3445.109.2.160</w:t>
      </w:r>
    </w:p>
    <w:p w14:paraId="45AA9546"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Rihs, T. A., Michel, C. M., &amp; Thut, G. (2007). Mechanisms of selective inhibition in visual spatial attention are indexed by α-band EEG synchronization. </w:t>
      </w:r>
      <w:r w:rsidRPr="00710874">
        <w:rPr>
          <w:rFonts w:ascii="Calibri" w:hAnsi="Calibri" w:cs="Calibri"/>
          <w:i/>
          <w:iCs/>
          <w:color w:val="000000" w:themeColor="text1"/>
        </w:rPr>
        <w:t>European Journal of Neuroscience</w:t>
      </w:r>
      <w:r w:rsidRPr="00710874">
        <w:rPr>
          <w:rFonts w:ascii="Calibri" w:hAnsi="Calibri" w:cs="Calibri"/>
          <w:color w:val="000000" w:themeColor="text1"/>
        </w:rPr>
        <w:t xml:space="preserve">, </w:t>
      </w:r>
      <w:r w:rsidRPr="00710874">
        <w:rPr>
          <w:rFonts w:ascii="Calibri" w:hAnsi="Calibri" w:cs="Calibri"/>
          <w:i/>
          <w:iCs/>
          <w:color w:val="000000" w:themeColor="text1"/>
        </w:rPr>
        <w:t>25</w:t>
      </w:r>
      <w:r w:rsidRPr="00710874">
        <w:rPr>
          <w:rFonts w:ascii="Calibri" w:hAnsi="Calibri" w:cs="Calibri"/>
          <w:color w:val="000000" w:themeColor="text1"/>
        </w:rPr>
        <w:t>(2), 603–610. https://doi.org/10.1111/j.1460-9568.2007.05278.x</w:t>
      </w:r>
    </w:p>
    <w:p w14:paraId="3C2D6730"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Samaha, J., Sprague, T. C., &amp; Postle, B. R. (2016). Decoding and Reconstructing the Focus of Spatial Attention from the Topography of Alpha-band Oscillations. </w:t>
      </w:r>
      <w:r w:rsidRPr="00710874">
        <w:rPr>
          <w:rFonts w:ascii="Calibri" w:hAnsi="Calibri" w:cs="Calibri"/>
          <w:i/>
          <w:iCs/>
          <w:color w:val="000000" w:themeColor="text1"/>
        </w:rPr>
        <w:t>Journal of Cognitive Neuroscience</w:t>
      </w:r>
      <w:r w:rsidRPr="00710874">
        <w:rPr>
          <w:rFonts w:ascii="Calibri" w:hAnsi="Calibri" w:cs="Calibri"/>
          <w:color w:val="000000" w:themeColor="text1"/>
        </w:rPr>
        <w:t xml:space="preserve">, </w:t>
      </w:r>
      <w:r w:rsidRPr="00710874">
        <w:rPr>
          <w:rFonts w:ascii="Calibri" w:hAnsi="Calibri" w:cs="Calibri"/>
          <w:i/>
          <w:iCs/>
          <w:color w:val="000000" w:themeColor="text1"/>
        </w:rPr>
        <w:t>28</w:t>
      </w:r>
      <w:r w:rsidRPr="00710874">
        <w:rPr>
          <w:rFonts w:ascii="Calibri" w:hAnsi="Calibri" w:cs="Calibri"/>
          <w:color w:val="000000" w:themeColor="text1"/>
        </w:rPr>
        <w:t>(8), 1090–1097. https://doi.org/10.1162/jocn_a_00955</w:t>
      </w:r>
    </w:p>
    <w:p w14:paraId="34DC5E3A"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Shaw, M. L., &amp; Shaw, P. (1977). Optimal Allocation of Cognitive Resources to Spatial Locations. </w:t>
      </w:r>
      <w:r w:rsidRPr="00710874">
        <w:rPr>
          <w:rFonts w:ascii="Calibri" w:hAnsi="Calibri" w:cs="Calibri"/>
          <w:i/>
          <w:iCs/>
          <w:color w:val="000000" w:themeColor="text1"/>
        </w:rPr>
        <w:t>Journal of Experimental Psychology. Human Perception and Performance</w:t>
      </w:r>
      <w:r w:rsidRPr="00710874">
        <w:rPr>
          <w:rFonts w:ascii="Calibri" w:hAnsi="Calibri" w:cs="Calibri"/>
          <w:color w:val="000000" w:themeColor="text1"/>
        </w:rPr>
        <w:t xml:space="preserve">, </w:t>
      </w:r>
      <w:r w:rsidRPr="00710874">
        <w:rPr>
          <w:rFonts w:ascii="Calibri" w:hAnsi="Calibri" w:cs="Calibri"/>
          <w:i/>
          <w:iCs/>
          <w:color w:val="000000" w:themeColor="text1"/>
        </w:rPr>
        <w:t>3</w:t>
      </w:r>
      <w:r w:rsidRPr="00710874">
        <w:rPr>
          <w:rFonts w:ascii="Calibri" w:hAnsi="Calibri" w:cs="Calibri"/>
          <w:color w:val="000000" w:themeColor="text1"/>
        </w:rPr>
        <w:t>(2), 201–211.</w:t>
      </w:r>
    </w:p>
    <w:p w14:paraId="05179CFB"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t xml:space="preserve">Sutterer, D. W., Foster, J. J., Adam, K. C. S., Vogel, E. K., &amp; Awh, E. (2019). Item-specific delay activity demonstrates concurrent storage of multiple active neural representations in working memory. </w:t>
      </w:r>
      <w:r w:rsidRPr="00710874">
        <w:rPr>
          <w:rFonts w:ascii="Calibri" w:hAnsi="Calibri" w:cs="Calibri"/>
          <w:i/>
          <w:iCs/>
          <w:color w:val="000000" w:themeColor="text1"/>
        </w:rPr>
        <w:t>PLOS Biology</w:t>
      </w:r>
      <w:r w:rsidRPr="00710874">
        <w:rPr>
          <w:rFonts w:ascii="Calibri" w:hAnsi="Calibri" w:cs="Calibri"/>
          <w:color w:val="000000" w:themeColor="text1"/>
        </w:rPr>
        <w:t xml:space="preserve">, </w:t>
      </w:r>
      <w:r w:rsidRPr="00710874">
        <w:rPr>
          <w:rFonts w:ascii="Calibri" w:hAnsi="Calibri" w:cs="Calibri"/>
          <w:i/>
          <w:iCs/>
          <w:color w:val="000000" w:themeColor="text1"/>
        </w:rPr>
        <w:t>17</w:t>
      </w:r>
      <w:r w:rsidRPr="00710874">
        <w:rPr>
          <w:rFonts w:ascii="Calibri" w:hAnsi="Calibri" w:cs="Calibri"/>
          <w:color w:val="000000" w:themeColor="text1"/>
        </w:rPr>
        <w:t>(4), e3000239. https://doi.org/10.1371/journal.pbio.3000239</w:t>
      </w:r>
    </w:p>
    <w:p w14:paraId="75EE0EB7" w14:textId="77777777" w:rsidR="00007E14" w:rsidRPr="00710874" w:rsidRDefault="00007E14" w:rsidP="00007E14">
      <w:pPr>
        <w:pStyle w:val="Bibliography"/>
        <w:rPr>
          <w:rFonts w:ascii="Calibri" w:hAnsi="Calibri" w:cs="Calibri"/>
          <w:color w:val="000000" w:themeColor="text1"/>
        </w:rPr>
      </w:pPr>
      <w:r w:rsidRPr="00710874">
        <w:rPr>
          <w:rFonts w:ascii="Calibri" w:hAnsi="Calibri" w:cs="Calibri"/>
          <w:color w:val="000000" w:themeColor="text1"/>
        </w:rPr>
        <w:lastRenderedPageBreak/>
        <w:t xml:space="preserve">Worden, M. S., Foxe, J. J., Wang, N., &amp; Simpson, G. V. (2000). Anticipatory biasing of visuospatial attention indexed by retinotopically specific alpha-band electroencephalography increases over occipital cortex. </w:t>
      </w:r>
      <w:r w:rsidRPr="00710874">
        <w:rPr>
          <w:rFonts w:ascii="Calibri" w:hAnsi="Calibri" w:cs="Calibri"/>
          <w:i/>
          <w:iCs/>
          <w:color w:val="000000" w:themeColor="text1"/>
        </w:rPr>
        <w:t>Journal of Neuroscience</w:t>
      </w:r>
      <w:r w:rsidRPr="00710874">
        <w:rPr>
          <w:rFonts w:ascii="Calibri" w:hAnsi="Calibri" w:cs="Calibri"/>
          <w:color w:val="000000" w:themeColor="text1"/>
        </w:rPr>
        <w:t>, 63.</w:t>
      </w:r>
    </w:p>
    <w:p w14:paraId="717017DA" w14:textId="4F161BA5" w:rsidR="003C5C4B" w:rsidRPr="00710874" w:rsidRDefault="003C5C4B" w:rsidP="00007E14">
      <w:pPr>
        <w:spacing w:after="0" w:line="480" w:lineRule="auto"/>
        <w:jc w:val="both"/>
        <w:rPr>
          <w:rFonts w:ascii="Times New Roman" w:hAnsi="Times New Roman" w:cs="Times New Roman"/>
          <w:color w:val="000000" w:themeColor="text1"/>
          <w:lang w:val="en-US"/>
        </w:rPr>
      </w:pPr>
      <w:r w:rsidRPr="00710874">
        <w:rPr>
          <w:rFonts w:ascii="Times New Roman" w:hAnsi="Times New Roman" w:cs="Times New Roman"/>
          <w:color w:val="000000" w:themeColor="text1"/>
          <w:lang w:val="en-US"/>
        </w:rPr>
        <w:fldChar w:fldCharType="end"/>
      </w:r>
    </w:p>
    <w:sectPr w:rsidR="003C5C4B" w:rsidRPr="00710874" w:rsidSect="00EB5101">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88B4" w14:textId="77777777" w:rsidR="00810387" w:rsidRDefault="00810387" w:rsidP="003E231A">
      <w:pPr>
        <w:spacing w:after="0" w:line="240" w:lineRule="auto"/>
      </w:pPr>
      <w:r>
        <w:separator/>
      </w:r>
    </w:p>
  </w:endnote>
  <w:endnote w:type="continuationSeparator" w:id="0">
    <w:p w14:paraId="69F6926A" w14:textId="77777777" w:rsidR="00810387" w:rsidRDefault="00810387" w:rsidP="003E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398041"/>
      <w:docPartObj>
        <w:docPartGallery w:val="Page Numbers (Bottom of Page)"/>
        <w:docPartUnique/>
      </w:docPartObj>
    </w:sdtPr>
    <w:sdtEndPr>
      <w:rPr>
        <w:noProof/>
      </w:rPr>
    </w:sdtEndPr>
    <w:sdtContent>
      <w:p w14:paraId="585F6CE6" w14:textId="16DE8CE1" w:rsidR="00EB5101" w:rsidRDefault="00EB5101">
        <w:pPr>
          <w:pStyle w:val="Footer"/>
          <w:jc w:val="center"/>
        </w:pPr>
        <w:r>
          <w:fldChar w:fldCharType="begin"/>
        </w:r>
        <w:r>
          <w:instrText xml:space="preserve"> PAGE   \* MERGEFORMAT </w:instrText>
        </w:r>
        <w:r>
          <w:fldChar w:fldCharType="separate"/>
        </w:r>
        <w:r w:rsidR="005A212A">
          <w:rPr>
            <w:noProof/>
          </w:rPr>
          <w:t>21</w:t>
        </w:r>
        <w:r>
          <w:rPr>
            <w:noProof/>
          </w:rPr>
          <w:fldChar w:fldCharType="end"/>
        </w:r>
      </w:p>
    </w:sdtContent>
  </w:sdt>
  <w:p w14:paraId="050616FC" w14:textId="77777777" w:rsidR="004807CB" w:rsidRDefault="0048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0E89B" w14:textId="77777777" w:rsidR="00810387" w:rsidRDefault="00810387" w:rsidP="003E231A">
      <w:pPr>
        <w:spacing w:after="0" w:line="240" w:lineRule="auto"/>
      </w:pPr>
      <w:r>
        <w:separator/>
      </w:r>
    </w:p>
  </w:footnote>
  <w:footnote w:type="continuationSeparator" w:id="0">
    <w:p w14:paraId="25C26E1D" w14:textId="77777777" w:rsidR="00810387" w:rsidRDefault="00810387" w:rsidP="003E2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8"/>
    <w:rsid w:val="00000A9C"/>
    <w:rsid w:val="00006227"/>
    <w:rsid w:val="00006A5E"/>
    <w:rsid w:val="00007E14"/>
    <w:rsid w:val="000112A8"/>
    <w:rsid w:val="00014B1B"/>
    <w:rsid w:val="00014D97"/>
    <w:rsid w:val="00014DF9"/>
    <w:rsid w:val="00023FEB"/>
    <w:rsid w:val="0003077A"/>
    <w:rsid w:val="000339CC"/>
    <w:rsid w:val="000365CC"/>
    <w:rsid w:val="00064586"/>
    <w:rsid w:val="000739CA"/>
    <w:rsid w:val="000741D8"/>
    <w:rsid w:val="00090F88"/>
    <w:rsid w:val="000A2B32"/>
    <w:rsid w:val="000A6AAC"/>
    <w:rsid w:val="000C193B"/>
    <w:rsid w:val="000C50F1"/>
    <w:rsid w:val="000C67AB"/>
    <w:rsid w:val="000D27B3"/>
    <w:rsid w:val="000D76B7"/>
    <w:rsid w:val="000E2062"/>
    <w:rsid w:val="000E2BE4"/>
    <w:rsid w:val="000E3F0F"/>
    <w:rsid w:val="000E6A30"/>
    <w:rsid w:val="000E7A55"/>
    <w:rsid w:val="00101CBB"/>
    <w:rsid w:val="00103ADE"/>
    <w:rsid w:val="00106D8C"/>
    <w:rsid w:val="001108A3"/>
    <w:rsid w:val="00111DD9"/>
    <w:rsid w:val="00112AF6"/>
    <w:rsid w:val="00113D68"/>
    <w:rsid w:val="00131AEB"/>
    <w:rsid w:val="00154CA4"/>
    <w:rsid w:val="00157226"/>
    <w:rsid w:val="00157983"/>
    <w:rsid w:val="00167268"/>
    <w:rsid w:val="001713D4"/>
    <w:rsid w:val="00173ED1"/>
    <w:rsid w:val="00174087"/>
    <w:rsid w:val="0017444D"/>
    <w:rsid w:val="00190D83"/>
    <w:rsid w:val="001A0552"/>
    <w:rsid w:val="001B4288"/>
    <w:rsid w:val="001B4B10"/>
    <w:rsid w:val="001C161C"/>
    <w:rsid w:val="001C601B"/>
    <w:rsid w:val="001C62E7"/>
    <w:rsid w:val="001C7B01"/>
    <w:rsid w:val="001F72DC"/>
    <w:rsid w:val="001F7FB0"/>
    <w:rsid w:val="00202554"/>
    <w:rsid w:val="002117A4"/>
    <w:rsid w:val="002128FD"/>
    <w:rsid w:val="002320A7"/>
    <w:rsid w:val="002324EA"/>
    <w:rsid w:val="00247206"/>
    <w:rsid w:val="002526A1"/>
    <w:rsid w:val="00263548"/>
    <w:rsid w:val="002644B6"/>
    <w:rsid w:val="00273185"/>
    <w:rsid w:val="002757C8"/>
    <w:rsid w:val="00277ADA"/>
    <w:rsid w:val="00281325"/>
    <w:rsid w:val="002864B8"/>
    <w:rsid w:val="00286C42"/>
    <w:rsid w:val="00286CA6"/>
    <w:rsid w:val="00290BBF"/>
    <w:rsid w:val="00291562"/>
    <w:rsid w:val="00292338"/>
    <w:rsid w:val="002A0A44"/>
    <w:rsid w:val="002A1712"/>
    <w:rsid w:val="002B1B32"/>
    <w:rsid w:val="002C068B"/>
    <w:rsid w:val="002D2D8E"/>
    <w:rsid w:val="002E46E9"/>
    <w:rsid w:val="002F0288"/>
    <w:rsid w:val="002F29A6"/>
    <w:rsid w:val="002F4CD5"/>
    <w:rsid w:val="00330DDC"/>
    <w:rsid w:val="0034485F"/>
    <w:rsid w:val="003452B2"/>
    <w:rsid w:val="00347628"/>
    <w:rsid w:val="0035186E"/>
    <w:rsid w:val="003524E0"/>
    <w:rsid w:val="00354B3E"/>
    <w:rsid w:val="003817E9"/>
    <w:rsid w:val="00384A19"/>
    <w:rsid w:val="00386082"/>
    <w:rsid w:val="00386471"/>
    <w:rsid w:val="00387297"/>
    <w:rsid w:val="00390212"/>
    <w:rsid w:val="003914AA"/>
    <w:rsid w:val="003921C8"/>
    <w:rsid w:val="0039253A"/>
    <w:rsid w:val="00395175"/>
    <w:rsid w:val="003969EA"/>
    <w:rsid w:val="003A35A7"/>
    <w:rsid w:val="003C0642"/>
    <w:rsid w:val="003C0F11"/>
    <w:rsid w:val="003C48DF"/>
    <w:rsid w:val="003C5C4B"/>
    <w:rsid w:val="003E231A"/>
    <w:rsid w:val="003E280C"/>
    <w:rsid w:val="003E6FA0"/>
    <w:rsid w:val="003F1524"/>
    <w:rsid w:val="003F29F3"/>
    <w:rsid w:val="003F7121"/>
    <w:rsid w:val="00402375"/>
    <w:rsid w:val="004032AC"/>
    <w:rsid w:val="0040422B"/>
    <w:rsid w:val="004146D9"/>
    <w:rsid w:val="0042749F"/>
    <w:rsid w:val="0043595D"/>
    <w:rsid w:val="00437C6C"/>
    <w:rsid w:val="004429DB"/>
    <w:rsid w:val="00442B96"/>
    <w:rsid w:val="00446489"/>
    <w:rsid w:val="00451BB6"/>
    <w:rsid w:val="00455EB2"/>
    <w:rsid w:val="0045604A"/>
    <w:rsid w:val="004571BF"/>
    <w:rsid w:val="00461020"/>
    <w:rsid w:val="00461C3B"/>
    <w:rsid w:val="004807CB"/>
    <w:rsid w:val="00481E47"/>
    <w:rsid w:val="004A2F5A"/>
    <w:rsid w:val="004B0530"/>
    <w:rsid w:val="004B10CE"/>
    <w:rsid w:val="004B5FBB"/>
    <w:rsid w:val="004B6650"/>
    <w:rsid w:val="004C05BE"/>
    <w:rsid w:val="004C0755"/>
    <w:rsid w:val="004C0B1E"/>
    <w:rsid w:val="004C4CF2"/>
    <w:rsid w:val="004C643C"/>
    <w:rsid w:val="004D0473"/>
    <w:rsid w:val="004D1B26"/>
    <w:rsid w:val="004D5E1B"/>
    <w:rsid w:val="004E32CF"/>
    <w:rsid w:val="004F017E"/>
    <w:rsid w:val="004F2994"/>
    <w:rsid w:val="004F4FA3"/>
    <w:rsid w:val="004F613C"/>
    <w:rsid w:val="0050042C"/>
    <w:rsid w:val="00501D13"/>
    <w:rsid w:val="005073BD"/>
    <w:rsid w:val="00520940"/>
    <w:rsid w:val="00522B21"/>
    <w:rsid w:val="00525F01"/>
    <w:rsid w:val="0054657A"/>
    <w:rsid w:val="00550A78"/>
    <w:rsid w:val="00551974"/>
    <w:rsid w:val="00551D11"/>
    <w:rsid w:val="00555956"/>
    <w:rsid w:val="00591BD6"/>
    <w:rsid w:val="005949FF"/>
    <w:rsid w:val="005A2018"/>
    <w:rsid w:val="005A212A"/>
    <w:rsid w:val="005A637A"/>
    <w:rsid w:val="005C06F0"/>
    <w:rsid w:val="005C0F86"/>
    <w:rsid w:val="005C2E4E"/>
    <w:rsid w:val="005C635C"/>
    <w:rsid w:val="005D0214"/>
    <w:rsid w:val="005E36F7"/>
    <w:rsid w:val="005E469B"/>
    <w:rsid w:val="005E7DD9"/>
    <w:rsid w:val="005F137A"/>
    <w:rsid w:val="005F6ADE"/>
    <w:rsid w:val="00602807"/>
    <w:rsid w:val="00604252"/>
    <w:rsid w:val="00604D13"/>
    <w:rsid w:val="006273C6"/>
    <w:rsid w:val="00627B35"/>
    <w:rsid w:val="00630F68"/>
    <w:rsid w:val="00631339"/>
    <w:rsid w:val="00631690"/>
    <w:rsid w:val="006320D3"/>
    <w:rsid w:val="006329CE"/>
    <w:rsid w:val="00635BD7"/>
    <w:rsid w:val="00636640"/>
    <w:rsid w:val="00641321"/>
    <w:rsid w:val="00650AE6"/>
    <w:rsid w:val="00653EC2"/>
    <w:rsid w:val="00656AC9"/>
    <w:rsid w:val="0067050B"/>
    <w:rsid w:val="00676527"/>
    <w:rsid w:val="00680079"/>
    <w:rsid w:val="006916A3"/>
    <w:rsid w:val="00692A44"/>
    <w:rsid w:val="00693061"/>
    <w:rsid w:val="00694329"/>
    <w:rsid w:val="00696225"/>
    <w:rsid w:val="006A146E"/>
    <w:rsid w:val="006A1830"/>
    <w:rsid w:val="006A1A61"/>
    <w:rsid w:val="006A7297"/>
    <w:rsid w:val="006D4D8A"/>
    <w:rsid w:val="006D6F6D"/>
    <w:rsid w:val="006E2AE0"/>
    <w:rsid w:val="006E34A6"/>
    <w:rsid w:val="006E43AE"/>
    <w:rsid w:val="006E509B"/>
    <w:rsid w:val="006E7F9D"/>
    <w:rsid w:val="006F1CD9"/>
    <w:rsid w:val="006F729A"/>
    <w:rsid w:val="007022EB"/>
    <w:rsid w:val="00710874"/>
    <w:rsid w:val="00713297"/>
    <w:rsid w:val="007309A3"/>
    <w:rsid w:val="0073257F"/>
    <w:rsid w:val="0073559C"/>
    <w:rsid w:val="0074050B"/>
    <w:rsid w:val="00755F62"/>
    <w:rsid w:val="007630CE"/>
    <w:rsid w:val="00763A56"/>
    <w:rsid w:val="0076498D"/>
    <w:rsid w:val="007665E8"/>
    <w:rsid w:val="0077773F"/>
    <w:rsid w:val="00777EA6"/>
    <w:rsid w:val="00781FB4"/>
    <w:rsid w:val="00784A56"/>
    <w:rsid w:val="007859A0"/>
    <w:rsid w:val="00786EC6"/>
    <w:rsid w:val="0079073B"/>
    <w:rsid w:val="00794F41"/>
    <w:rsid w:val="00795156"/>
    <w:rsid w:val="0079663A"/>
    <w:rsid w:val="00796C57"/>
    <w:rsid w:val="007A1BF6"/>
    <w:rsid w:val="007A3845"/>
    <w:rsid w:val="007B2969"/>
    <w:rsid w:val="007B34F1"/>
    <w:rsid w:val="007B7168"/>
    <w:rsid w:val="007B716E"/>
    <w:rsid w:val="007B73DA"/>
    <w:rsid w:val="007B752E"/>
    <w:rsid w:val="007C14F1"/>
    <w:rsid w:val="007C2713"/>
    <w:rsid w:val="007C7FE6"/>
    <w:rsid w:val="007D4AF9"/>
    <w:rsid w:val="007E3709"/>
    <w:rsid w:val="007E373B"/>
    <w:rsid w:val="007F08E9"/>
    <w:rsid w:val="007F78C1"/>
    <w:rsid w:val="007F7C3C"/>
    <w:rsid w:val="00801946"/>
    <w:rsid w:val="008023F0"/>
    <w:rsid w:val="00806778"/>
    <w:rsid w:val="00810387"/>
    <w:rsid w:val="00822A19"/>
    <w:rsid w:val="00830534"/>
    <w:rsid w:val="00832D61"/>
    <w:rsid w:val="00843BD1"/>
    <w:rsid w:val="0084442E"/>
    <w:rsid w:val="00846EB0"/>
    <w:rsid w:val="00855EDA"/>
    <w:rsid w:val="00857B74"/>
    <w:rsid w:val="00857CB9"/>
    <w:rsid w:val="00861BEE"/>
    <w:rsid w:val="00861FFC"/>
    <w:rsid w:val="0087175B"/>
    <w:rsid w:val="008720CF"/>
    <w:rsid w:val="008748FE"/>
    <w:rsid w:val="00881CAC"/>
    <w:rsid w:val="00884FAD"/>
    <w:rsid w:val="0088757E"/>
    <w:rsid w:val="008902DF"/>
    <w:rsid w:val="008961BC"/>
    <w:rsid w:val="008970C5"/>
    <w:rsid w:val="008A1C25"/>
    <w:rsid w:val="008A1DCB"/>
    <w:rsid w:val="008A2A38"/>
    <w:rsid w:val="008A6C47"/>
    <w:rsid w:val="008A6E7B"/>
    <w:rsid w:val="008B2072"/>
    <w:rsid w:val="008B4931"/>
    <w:rsid w:val="008B5636"/>
    <w:rsid w:val="008B665C"/>
    <w:rsid w:val="008C0E74"/>
    <w:rsid w:val="008C5ADA"/>
    <w:rsid w:val="008D7919"/>
    <w:rsid w:val="008E01EA"/>
    <w:rsid w:val="008E076F"/>
    <w:rsid w:val="008E5E20"/>
    <w:rsid w:val="008E7B73"/>
    <w:rsid w:val="008F5410"/>
    <w:rsid w:val="00911FE3"/>
    <w:rsid w:val="00913CB9"/>
    <w:rsid w:val="009156F1"/>
    <w:rsid w:val="00917665"/>
    <w:rsid w:val="00924269"/>
    <w:rsid w:val="00932548"/>
    <w:rsid w:val="00933175"/>
    <w:rsid w:val="009460A9"/>
    <w:rsid w:val="00955D00"/>
    <w:rsid w:val="00957BCF"/>
    <w:rsid w:val="00966BB0"/>
    <w:rsid w:val="00971F08"/>
    <w:rsid w:val="00976552"/>
    <w:rsid w:val="009832F9"/>
    <w:rsid w:val="0099144C"/>
    <w:rsid w:val="009B5B97"/>
    <w:rsid w:val="009B5FB8"/>
    <w:rsid w:val="009C1F3D"/>
    <w:rsid w:val="009C228D"/>
    <w:rsid w:val="009D2A9C"/>
    <w:rsid w:val="009D3D66"/>
    <w:rsid w:val="009D511E"/>
    <w:rsid w:val="009E1756"/>
    <w:rsid w:val="009E2469"/>
    <w:rsid w:val="009E37AE"/>
    <w:rsid w:val="009E4D1F"/>
    <w:rsid w:val="009F1454"/>
    <w:rsid w:val="00A00580"/>
    <w:rsid w:val="00A035C9"/>
    <w:rsid w:val="00A04615"/>
    <w:rsid w:val="00A13E18"/>
    <w:rsid w:val="00A15F57"/>
    <w:rsid w:val="00A168FA"/>
    <w:rsid w:val="00A2411E"/>
    <w:rsid w:val="00A25A66"/>
    <w:rsid w:val="00A25B48"/>
    <w:rsid w:val="00A30F7C"/>
    <w:rsid w:val="00A42B8E"/>
    <w:rsid w:val="00A458EC"/>
    <w:rsid w:val="00A5161B"/>
    <w:rsid w:val="00A547B8"/>
    <w:rsid w:val="00A54C17"/>
    <w:rsid w:val="00A55BF1"/>
    <w:rsid w:val="00A56371"/>
    <w:rsid w:val="00A575FC"/>
    <w:rsid w:val="00A60C1E"/>
    <w:rsid w:val="00A61B4A"/>
    <w:rsid w:val="00A665FA"/>
    <w:rsid w:val="00A66956"/>
    <w:rsid w:val="00A66A76"/>
    <w:rsid w:val="00A6784B"/>
    <w:rsid w:val="00A72CBF"/>
    <w:rsid w:val="00A731AA"/>
    <w:rsid w:val="00A76ED5"/>
    <w:rsid w:val="00A8307F"/>
    <w:rsid w:val="00A850B3"/>
    <w:rsid w:val="00A85DE7"/>
    <w:rsid w:val="00A96AAF"/>
    <w:rsid w:val="00AA0D87"/>
    <w:rsid w:val="00AA34DA"/>
    <w:rsid w:val="00AA58CC"/>
    <w:rsid w:val="00AA5F3F"/>
    <w:rsid w:val="00AB5259"/>
    <w:rsid w:val="00AC4F12"/>
    <w:rsid w:val="00AC64C3"/>
    <w:rsid w:val="00AD3EB1"/>
    <w:rsid w:val="00AD419B"/>
    <w:rsid w:val="00AD425D"/>
    <w:rsid w:val="00AE0A5E"/>
    <w:rsid w:val="00AE4ED7"/>
    <w:rsid w:val="00AF10CD"/>
    <w:rsid w:val="00AF4127"/>
    <w:rsid w:val="00AF77EA"/>
    <w:rsid w:val="00B01A0D"/>
    <w:rsid w:val="00B0598E"/>
    <w:rsid w:val="00B0698F"/>
    <w:rsid w:val="00B1570C"/>
    <w:rsid w:val="00B172F2"/>
    <w:rsid w:val="00B2094D"/>
    <w:rsid w:val="00B2332A"/>
    <w:rsid w:val="00B26DFA"/>
    <w:rsid w:val="00B32782"/>
    <w:rsid w:val="00B32EF5"/>
    <w:rsid w:val="00B413A2"/>
    <w:rsid w:val="00B43F88"/>
    <w:rsid w:val="00B4536A"/>
    <w:rsid w:val="00B453B0"/>
    <w:rsid w:val="00B51540"/>
    <w:rsid w:val="00B7049C"/>
    <w:rsid w:val="00B71C7F"/>
    <w:rsid w:val="00B809B0"/>
    <w:rsid w:val="00B84AF4"/>
    <w:rsid w:val="00BA04F0"/>
    <w:rsid w:val="00BA639C"/>
    <w:rsid w:val="00BB1B23"/>
    <w:rsid w:val="00BB2B0A"/>
    <w:rsid w:val="00BB3BA9"/>
    <w:rsid w:val="00BB55BA"/>
    <w:rsid w:val="00BB5699"/>
    <w:rsid w:val="00BB7D46"/>
    <w:rsid w:val="00BC223E"/>
    <w:rsid w:val="00BC5405"/>
    <w:rsid w:val="00BD64D7"/>
    <w:rsid w:val="00BE2D2E"/>
    <w:rsid w:val="00C00383"/>
    <w:rsid w:val="00C00EA8"/>
    <w:rsid w:val="00C0393A"/>
    <w:rsid w:val="00C04ED1"/>
    <w:rsid w:val="00C11B08"/>
    <w:rsid w:val="00C14F4C"/>
    <w:rsid w:val="00C16829"/>
    <w:rsid w:val="00C175B7"/>
    <w:rsid w:val="00C20C07"/>
    <w:rsid w:val="00C343FC"/>
    <w:rsid w:val="00C35666"/>
    <w:rsid w:val="00C42A13"/>
    <w:rsid w:val="00C430DB"/>
    <w:rsid w:val="00C52E61"/>
    <w:rsid w:val="00C56337"/>
    <w:rsid w:val="00C56658"/>
    <w:rsid w:val="00C622BD"/>
    <w:rsid w:val="00C639CB"/>
    <w:rsid w:val="00C64BD1"/>
    <w:rsid w:val="00C655D1"/>
    <w:rsid w:val="00C72357"/>
    <w:rsid w:val="00C73D49"/>
    <w:rsid w:val="00C91CDD"/>
    <w:rsid w:val="00C927ED"/>
    <w:rsid w:val="00CA4503"/>
    <w:rsid w:val="00CA5AE9"/>
    <w:rsid w:val="00CA742B"/>
    <w:rsid w:val="00CA7F62"/>
    <w:rsid w:val="00CB140C"/>
    <w:rsid w:val="00CB20F0"/>
    <w:rsid w:val="00CB2B32"/>
    <w:rsid w:val="00CB4B29"/>
    <w:rsid w:val="00CD18E3"/>
    <w:rsid w:val="00CD20A7"/>
    <w:rsid w:val="00CD7724"/>
    <w:rsid w:val="00CE1D07"/>
    <w:rsid w:val="00CE4B94"/>
    <w:rsid w:val="00CE5908"/>
    <w:rsid w:val="00CE7ED9"/>
    <w:rsid w:val="00CF041F"/>
    <w:rsid w:val="00CF0A1A"/>
    <w:rsid w:val="00CF0AAE"/>
    <w:rsid w:val="00CF35F4"/>
    <w:rsid w:val="00CF52C8"/>
    <w:rsid w:val="00CF5359"/>
    <w:rsid w:val="00CF53E6"/>
    <w:rsid w:val="00CF6520"/>
    <w:rsid w:val="00CF6F78"/>
    <w:rsid w:val="00D01B01"/>
    <w:rsid w:val="00D12705"/>
    <w:rsid w:val="00D234F1"/>
    <w:rsid w:val="00D25979"/>
    <w:rsid w:val="00D307FC"/>
    <w:rsid w:val="00D32E27"/>
    <w:rsid w:val="00D3370E"/>
    <w:rsid w:val="00D33DF9"/>
    <w:rsid w:val="00D3505F"/>
    <w:rsid w:val="00D44A26"/>
    <w:rsid w:val="00D44C2E"/>
    <w:rsid w:val="00D53E35"/>
    <w:rsid w:val="00D5445D"/>
    <w:rsid w:val="00D54DCF"/>
    <w:rsid w:val="00D5595B"/>
    <w:rsid w:val="00D62768"/>
    <w:rsid w:val="00D6660E"/>
    <w:rsid w:val="00D76EF1"/>
    <w:rsid w:val="00D83D41"/>
    <w:rsid w:val="00D86840"/>
    <w:rsid w:val="00D95790"/>
    <w:rsid w:val="00DA1290"/>
    <w:rsid w:val="00DA364F"/>
    <w:rsid w:val="00DA4D15"/>
    <w:rsid w:val="00DA6863"/>
    <w:rsid w:val="00DB1F2B"/>
    <w:rsid w:val="00DB482A"/>
    <w:rsid w:val="00DB595A"/>
    <w:rsid w:val="00DC0A90"/>
    <w:rsid w:val="00DC4339"/>
    <w:rsid w:val="00DC472C"/>
    <w:rsid w:val="00DD7648"/>
    <w:rsid w:val="00DF23FF"/>
    <w:rsid w:val="00DF49D4"/>
    <w:rsid w:val="00E06705"/>
    <w:rsid w:val="00E20511"/>
    <w:rsid w:val="00E21221"/>
    <w:rsid w:val="00E36A57"/>
    <w:rsid w:val="00E44156"/>
    <w:rsid w:val="00E46542"/>
    <w:rsid w:val="00E713BB"/>
    <w:rsid w:val="00E76B56"/>
    <w:rsid w:val="00E76E1D"/>
    <w:rsid w:val="00E77177"/>
    <w:rsid w:val="00EA7333"/>
    <w:rsid w:val="00EB5101"/>
    <w:rsid w:val="00EB7DD4"/>
    <w:rsid w:val="00EC5F2B"/>
    <w:rsid w:val="00EC6BF1"/>
    <w:rsid w:val="00ED0C7E"/>
    <w:rsid w:val="00ED2976"/>
    <w:rsid w:val="00ED64D1"/>
    <w:rsid w:val="00EE22BF"/>
    <w:rsid w:val="00EE3E31"/>
    <w:rsid w:val="00EF0C54"/>
    <w:rsid w:val="00EF637E"/>
    <w:rsid w:val="00F00879"/>
    <w:rsid w:val="00F05325"/>
    <w:rsid w:val="00F0629F"/>
    <w:rsid w:val="00F139E0"/>
    <w:rsid w:val="00F16622"/>
    <w:rsid w:val="00F2261F"/>
    <w:rsid w:val="00F2352F"/>
    <w:rsid w:val="00F23F10"/>
    <w:rsid w:val="00F3240D"/>
    <w:rsid w:val="00F3676F"/>
    <w:rsid w:val="00F37D0C"/>
    <w:rsid w:val="00F43B78"/>
    <w:rsid w:val="00F446E9"/>
    <w:rsid w:val="00F50A0B"/>
    <w:rsid w:val="00F51B25"/>
    <w:rsid w:val="00F542BF"/>
    <w:rsid w:val="00F544ED"/>
    <w:rsid w:val="00F6780F"/>
    <w:rsid w:val="00F93AE6"/>
    <w:rsid w:val="00F94F10"/>
    <w:rsid w:val="00FA7554"/>
    <w:rsid w:val="00FB43EE"/>
    <w:rsid w:val="00FC31E0"/>
    <w:rsid w:val="00FC6EB8"/>
    <w:rsid w:val="00FE1D6B"/>
    <w:rsid w:val="00FE3367"/>
    <w:rsid w:val="00FF18CF"/>
    <w:rsid w:val="00FF43DE"/>
    <w:rsid w:val="00FF5241"/>
    <w:rsid w:val="00FF5E2D"/>
    <w:rsid w:val="00FF7329"/>
    <w:rsid w:val="00FF7879"/>
    <w:rsid w:val="00FF7B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BEA4"/>
  <w15:chartTrackingRefBased/>
  <w15:docId w15:val="{83565411-8173-42CF-BD76-8EB139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78"/>
  </w:style>
  <w:style w:type="paragraph" w:styleId="Heading1">
    <w:name w:val="heading 1"/>
    <w:basedOn w:val="Normal"/>
    <w:next w:val="Normal"/>
    <w:link w:val="Heading1Char"/>
    <w:uiPriority w:val="9"/>
    <w:qFormat/>
    <w:rsid w:val="008305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F6AD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E2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31A"/>
    <w:rPr>
      <w:sz w:val="20"/>
      <w:szCs w:val="20"/>
    </w:rPr>
  </w:style>
  <w:style w:type="character" w:styleId="FootnoteReference">
    <w:name w:val="footnote reference"/>
    <w:basedOn w:val="DefaultParagraphFont"/>
    <w:uiPriority w:val="99"/>
    <w:semiHidden/>
    <w:unhideWhenUsed/>
    <w:rsid w:val="003E231A"/>
    <w:rPr>
      <w:vertAlign w:val="superscript"/>
    </w:rPr>
  </w:style>
  <w:style w:type="paragraph" w:styleId="Bibliography">
    <w:name w:val="Bibliography"/>
    <w:basedOn w:val="Normal"/>
    <w:next w:val="Normal"/>
    <w:uiPriority w:val="37"/>
    <w:unhideWhenUsed/>
    <w:rsid w:val="00BA04F0"/>
    <w:pPr>
      <w:spacing w:after="0" w:line="480" w:lineRule="auto"/>
      <w:ind w:left="720" w:hanging="720"/>
    </w:pPr>
  </w:style>
  <w:style w:type="character" w:customStyle="1" w:styleId="Heading1Char">
    <w:name w:val="Heading 1 Char"/>
    <w:basedOn w:val="DefaultParagraphFont"/>
    <w:link w:val="Heading1"/>
    <w:uiPriority w:val="9"/>
    <w:rsid w:val="0083053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0534"/>
    <w:rPr>
      <w:color w:val="0563C1" w:themeColor="hyperlink"/>
      <w:u w:val="single"/>
    </w:rPr>
  </w:style>
  <w:style w:type="character" w:styleId="CommentReference">
    <w:name w:val="annotation reference"/>
    <w:basedOn w:val="DefaultParagraphFont"/>
    <w:uiPriority w:val="99"/>
    <w:semiHidden/>
    <w:unhideWhenUsed/>
    <w:rsid w:val="00C927ED"/>
    <w:rPr>
      <w:sz w:val="16"/>
      <w:szCs w:val="16"/>
    </w:rPr>
  </w:style>
  <w:style w:type="paragraph" w:styleId="CommentText">
    <w:name w:val="annotation text"/>
    <w:basedOn w:val="Normal"/>
    <w:link w:val="CommentTextChar"/>
    <w:uiPriority w:val="99"/>
    <w:semiHidden/>
    <w:unhideWhenUsed/>
    <w:rsid w:val="00C927ED"/>
    <w:pPr>
      <w:spacing w:line="240" w:lineRule="auto"/>
    </w:pPr>
    <w:rPr>
      <w:sz w:val="20"/>
      <w:szCs w:val="20"/>
    </w:rPr>
  </w:style>
  <w:style w:type="character" w:customStyle="1" w:styleId="CommentTextChar">
    <w:name w:val="Comment Text Char"/>
    <w:basedOn w:val="DefaultParagraphFont"/>
    <w:link w:val="CommentText"/>
    <w:uiPriority w:val="99"/>
    <w:semiHidden/>
    <w:rsid w:val="00C927ED"/>
    <w:rPr>
      <w:sz w:val="20"/>
      <w:szCs w:val="20"/>
    </w:rPr>
  </w:style>
  <w:style w:type="paragraph" w:styleId="CommentSubject">
    <w:name w:val="annotation subject"/>
    <w:basedOn w:val="CommentText"/>
    <w:next w:val="CommentText"/>
    <w:link w:val="CommentSubjectChar"/>
    <w:uiPriority w:val="99"/>
    <w:semiHidden/>
    <w:unhideWhenUsed/>
    <w:rsid w:val="00C927ED"/>
    <w:rPr>
      <w:b/>
      <w:bCs/>
    </w:rPr>
  </w:style>
  <w:style w:type="character" w:customStyle="1" w:styleId="CommentSubjectChar">
    <w:name w:val="Comment Subject Char"/>
    <w:basedOn w:val="CommentTextChar"/>
    <w:link w:val="CommentSubject"/>
    <w:uiPriority w:val="99"/>
    <w:semiHidden/>
    <w:rsid w:val="00C927ED"/>
    <w:rPr>
      <w:b/>
      <w:bCs/>
      <w:sz w:val="20"/>
      <w:szCs w:val="20"/>
    </w:rPr>
  </w:style>
  <w:style w:type="paragraph" w:styleId="BalloonText">
    <w:name w:val="Balloon Text"/>
    <w:basedOn w:val="Normal"/>
    <w:link w:val="BalloonTextChar"/>
    <w:uiPriority w:val="99"/>
    <w:semiHidden/>
    <w:unhideWhenUsed/>
    <w:rsid w:val="00C92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ED"/>
    <w:rPr>
      <w:rFonts w:ascii="Segoe UI" w:hAnsi="Segoe UI" w:cs="Segoe UI"/>
      <w:sz w:val="18"/>
      <w:szCs w:val="18"/>
    </w:rPr>
  </w:style>
  <w:style w:type="paragraph" w:styleId="Revision">
    <w:name w:val="Revision"/>
    <w:hidden/>
    <w:uiPriority w:val="99"/>
    <w:semiHidden/>
    <w:rsid w:val="004F2994"/>
    <w:pPr>
      <w:spacing w:after="0" w:line="240" w:lineRule="auto"/>
    </w:pPr>
  </w:style>
  <w:style w:type="paragraph" w:styleId="NormalWeb">
    <w:name w:val="Normal (Web)"/>
    <w:basedOn w:val="Normal"/>
    <w:uiPriority w:val="99"/>
    <w:semiHidden/>
    <w:unhideWhenUsed/>
    <w:rsid w:val="00C00EA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480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CB"/>
  </w:style>
  <w:style w:type="paragraph" w:styleId="Footer">
    <w:name w:val="footer"/>
    <w:basedOn w:val="Normal"/>
    <w:link w:val="FooterChar"/>
    <w:uiPriority w:val="99"/>
    <w:unhideWhenUsed/>
    <w:rsid w:val="00480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CB"/>
  </w:style>
  <w:style w:type="character" w:styleId="LineNumber">
    <w:name w:val="line number"/>
    <w:basedOn w:val="DefaultParagraphFont"/>
    <w:uiPriority w:val="99"/>
    <w:semiHidden/>
    <w:unhideWhenUsed/>
    <w:rsid w:val="00EB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529138">
      <w:bodyDiv w:val="1"/>
      <w:marLeft w:val="0"/>
      <w:marRight w:val="0"/>
      <w:marTop w:val="0"/>
      <w:marBottom w:val="0"/>
      <w:divBdr>
        <w:top w:val="none" w:sz="0" w:space="0" w:color="auto"/>
        <w:left w:val="none" w:sz="0" w:space="0" w:color="auto"/>
        <w:bottom w:val="none" w:sz="0" w:space="0" w:color="auto"/>
        <w:right w:val="none" w:sz="0" w:space="0" w:color="auto"/>
      </w:divBdr>
    </w:div>
    <w:div w:id="18504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bias.fw@soton.ac.uk"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1A27-8781-4C0F-AF0F-125C37D2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26213</Words>
  <Characters>128969</Characters>
  <Application>Microsoft Office Word</Application>
  <DocSecurity>0</DocSecurity>
  <Lines>2015</Lines>
  <Paragraphs>409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FW</dc:creator>
  <cp:keywords/>
  <dc:description/>
  <cp:lastModifiedBy>Feldmann-Wustefeld T.</cp:lastModifiedBy>
  <cp:revision>4</cp:revision>
  <dcterms:created xsi:type="dcterms:W3CDTF">2019-08-16T10:37:00Z</dcterms:created>
  <dcterms:modified xsi:type="dcterms:W3CDTF">2019-08-16T11:08:00Z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http://csl.mendeley.com/styles/21674701/apa-3</vt:lpwstr>
  </property>
  <property fmtid="{D5CDD505-2E9C-101B-9397-08002B2CF9AE}" pid="7" name="Mendeley Recent Style Name 2_1">
    <vt:lpwstr>American Psychological Association 6th edition - Tobias Feldmann-Wuestefeld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http://csl.mendeley.com/styles/21674701/MarieCurie</vt:lpwstr>
  </property>
  <property fmtid="{D5CDD505-2E9C-101B-9397-08002B2CF9AE}" pid="13" name="Mendeley Recent Style Name 5_1">
    <vt:lpwstr>Marie Curie</vt:lpwstr>
  </property>
  <property fmtid="{D5CDD505-2E9C-101B-9397-08002B2CF9AE}" pid="14" name="Mendeley Recent Style Id 6_1">
    <vt:lpwstr>http://csl.mendeley.com/styles/21674701/TFW</vt:lpwstr>
  </property>
  <property fmtid="{D5CDD505-2E9C-101B-9397-08002B2CF9AE}" pid="15" name="Mendeley Recent Style Name 6_1">
    <vt:lpwstr>Proceedings of the National Academy of Sciences of the United States of America - Tobias Feldmann-Wuestefeld</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http://csl.mendeley.com/styles/21674701/vancouver-3</vt:lpwstr>
  </property>
  <property fmtid="{D5CDD505-2E9C-101B-9397-08002B2CF9AE}" pid="19" name="Mendeley Recent Style Name 8_1">
    <vt:lpwstr>Vancouver - Tobias Feldmann-Wuestefeld</vt:lpwstr>
  </property>
  <property fmtid="{D5CDD505-2E9C-101B-9397-08002B2CF9AE}" pid="20" name="Mendeley Recent Style Id 9_1">
    <vt:lpwstr>http://csl.mendeley.com/styles/21674701/vancouver-2</vt:lpwstr>
  </property>
  <property fmtid="{D5CDD505-2E9C-101B-9397-08002B2CF9AE}" pid="21" name="Mendeley Recent Style Name 9_1">
    <vt:lpwstr>Vancouver - Tobias Feldmann-Wuestefeld</vt:lpwstr>
  </property>
  <property fmtid="{D5CDD505-2E9C-101B-9397-08002B2CF9AE}" pid="22" name="Mendeley Document_1">
    <vt:lpwstr>True</vt:lpwstr>
  </property>
  <property fmtid="{D5CDD505-2E9C-101B-9397-08002B2CF9AE}" pid="23" name="Mendeley Unique User Id_1">
    <vt:lpwstr>b38d615c-c2e9-346d-8a1c-66e49b75e5a9</vt:lpwstr>
  </property>
  <property fmtid="{D5CDD505-2E9C-101B-9397-08002B2CF9AE}" pid="24" name="Mendeley Citation Style_1">
    <vt:lpwstr>http://www.zotero.org/styles/apa</vt:lpwstr>
  </property>
  <property fmtid="{D5CDD505-2E9C-101B-9397-08002B2CF9AE}" pid="25" name="FileId">
    <vt:lpwstr>268415</vt:lpwstr>
  </property>
  <property fmtid="{D5CDD505-2E9C-101B-9397-08002B2CF9AE}" pid="26" name="ProjectId">
    <vt:lpwstr>-1</vt:lpwstr>
  </property>
  <property fmtid="{D5CDD505-2E9C-101B-9397-08002B2CF9AE}" pid="27" name="StyleId">
    <vt:lpwstr>http://www.zotero.org/styles/vancouver</vt:lpwstr>
  </property>
  <property fmtid="{D5CDD505-2E9C-101B-9397-08002B2CF9AE}" pid="28" name="ZOTERO_PREF_1">
    <vt:lpwstr>&lt;data data-version="3" zotero-version="5.0.72"&gt;&lt;session id="UDPvIsdA"/&gt;&lt;style id="http://www.zotero.org/styles/apa" locale="en-US" hasBibliography="1" bibliographyStyleHasBeenSet="1"/&gt;&lt;prefs&gt;&lt;pref name="fieldType" value="Field"/&gt;&lt;pref name="automaticJourn</vt:lpwstr>
  </property>
  <property fmtid="{D5CDD505-2E9C-101B-9397-08002B2CF9AE}" pid="29" name="ZOTERO_PREF_2">
    <vt:lpwstr>alAbbreviations" value="true"/&gt;&lt;/prefs&gt;&lt;/data&gt;</vt:lpwstr>
  </property>
</Properties>
</file>