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137" w:rsidRDefault="00F43137" w:rsidP="001D0C1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Jacob Eisler</w:t>
      </w:r>
      <w:r w:rsidR="001D0C1C">
        <w:rPr>
          <w:rStyle w:val="FootnoteReference"/>
          <w:rFonts w:ascii="Times New Roman" w:hAnsi="Times New Roman" w:cs="Times New Roman"/>
          <w:sz w:val="24"/>
          <w:szCs w:val="24"/>
          <w:lang w:val="en-US"/>
        </w:rPr>
        <w:footnoteReference w:customMarkFollows="1" w:id="1"/>
        <w:t>*</w:t>
      </w:r>
      <w:r w:rsidR="00354A6C">
        <w:rPr>
          <w:rFonts w:ascii="Times New Roman" w:hAnsi="Times New Roman" w:cs="Times New Roman"/>
          <w:sz w:val="24"/>
          <w:szCs w:val="24"/>
          <w:lang w:val="en-US"/>
        </w:rPr>
        <w:t>: j.eisler@soton.ac.uk</w:t>
      </w:r>
      <w:r>
        <w:rPr>
          <w:rFonts w:ascii="Times New Roman" w:hAnsi="Times New Roman" w:cs="Times New Roman"/>
          <w:sz w:val="24"/>
          <w:szCs w:val="24"/>
          <w:lang w:val="en-US"/>
        </w:rPr>
        <w:t xml:space="preserve"> </w:t>
      </w:r>
    </w:p>
    <w:p w:rsidR="00354A6C" w:rsidRPr="00354A6C" w:rsidRDefault="00354A6C" w:rsidP="001D0C1C">
      <w:pPr>
        <w:spacing w:line="240" w:lineRule="auto"/>
        <w:rPr>
          <w:rFonts w:ascii="Times New Roman" w:hAnsi="Times New Roman" w:cs="Times New Roman"/>
          <w:i/>
          <w:sz w:val="24"/>
          <w:szCs w:val="24"/>
          <w:lang w:val="en-US"/>
        </w:rPr>
      </w:pPr>
      <w:r w:rsidRPr="00354A6C">
        <w:rPr>
          <w:rFonts w:ascii="Times New Roman" w:hAnsi="Times New Roman" w:cs="Times New Roman"/>
          <w:i/>
          <w:sz w:val="24"/>
          <w:szCs w:val="24"/>
          <w:lang w:val="en-US"/>
        </w:rPr>
        <w:t>Federal Oversight of State Primaries</w:t>
      </w:r>
      <w:r w:rsidR="00C830D6">
        <w:rPr>
          <w:rFonts w:ascii="Times New Roman" w:hAnsi="Times New Roman" w:cs="Times New Roman"/>
          <w:i/>
          <w:sz w:val="24"/>
          <w:szCs w:val="24"/>
          <w:lang w:val="en-US"/>
        </w:rPr>
        <w:t xml:space="preserve">: </w:t>
      </w:r>
      <w:r w:rsidR="00C830D6" w:rsidRPr="00354A6C">
        <w:rPr>
          <w:rFonts w:ascii="Times New Roman" w:hAnsi="Times New Roman" w:cs="Times New Roman"/>
          <w:i/>
          <w:sz w:val="24"/>
          <w:szCs w:val="24"/>
          <w:lang w:val="en-US"/>
        </w:rPr>
        <w:t>From Equal Protection to Association</w:t>
      </w:r>
    </w:p>
    <w:p w:rsidR="00382594" w:rsidRPr="00657A2F" w:rsidRDefault="00354A6C" w:rsidP="001D0C1C">
      <w:pPr>
        <w:spacing w:line="240" w:lineRule="auto"/>
        <w:rPr>
          <w:rFonts w:ascii="Times New Roman" w:hAnsi="Times New Roman" w:cs="Times New Roman"/>
          <w:i/>
          <w:sz w:val="24"/>
          <w:szCs w:val="24"/>
          <w:lang w:val="en-US"/>
        </w:rPr>
      </w:pPr>
      <w:r>
        <w:rPr>
          <w:rFonts w:ascii="Times New Roman" w:hAnsi="Times New Roman" w:cs="Times New Roman"/>
          <w:sz w:val="24"/>
          <w:szCs w:val="24"/>
          <w:lang w:val="en-US"/>
        </w:rPr>
        <w:t>A</w:t>
      </w:r>
      <w:r w:rsidRPr="00354A6C">
        <w:rPr>
          <w:rFonts w:ascii="Times New Roman" w:hAnsi="Times New Roman" w:cs="Times New Roman"/>
          <w:sz w:val="24"/>
          <w:szCs w:val="24"/>
          <w:lang w:val="en-US"/>
        </w:rPr>
        <w:t xml:space="preserve">bstract: </w:t>
      </w:r>
      <w:r w:rsidRPr="00657A2F">
        <w:rPr>
          <w:rFonts w:ascii="Times New Roman" w:hAnsi="Times New Roman" w:cs="Times New Roman"/>
          <w:i/>
          <w:sz w:val="24"/>
          <w:szCs w:val="24"/>
          <w:lang w:val="en-US"/>
        </w:rPr>
        <w:t xml:space="preserve">Some time during its adolescence, the federal law on state party primaries underwent a peculiar shift. In its early stages, the Supreme Court scrutinized state laws regulating party primaries to ensure such laws did not become tools for excluding or marginalizing those in an already weaker political position, such as racial minorities and the constituencies of minor parties. Yet as the law has evolved, the Court has become increasingly involved in regulating the appropriate substantive terms of *major* party candidate selection. Underlying this shift are three tiers of changes. The first is doctrinal- the law on party primaries was originally decided on the grounds of equal protection (as was most election law), but with the shifting interest to major party selection processes, the law has become dominated by First Amendment associational rights queries. Paralleling this has been a structural shift, from judicial intervention oriented around characteristics of individual persons, to intervention directed towards the terms of political coalition formation. Yet this structural shift itself can only be understood as the form of the final, most tectonic shift: from the judiciary as a limiter of harmful government action to the judiciary as an active participant in the conditions of appropriate political dialogue. </w:t>
      </w:r>
    </w:p>
    <w:p w:rsidR="00354A6C" w:rsidRPr="00657A2F" w:rsidRDefault="00382594" w:rsidP="001D0C1C">
      <w:pPr>
        <w:spacing w:line="240" w:lineRule="auto"/>
        <w:rPr>
          <w:rFonts w:ascii="Times New Roman" w:hAnsi="Times New Roman" w:cs="Times New Roman"/>
          <w:i/>
          <w:sz w:val="24"/>
          <w:szCs w:val="24"/>
          <w:lang w:val="en-US"/>
        </w:rPr>
      </w:pPr>
      <w:r w:rsidRPr="00657A2F">
        <w:rPr>
          <w:rFonts w:ascii="Times New Roman" w:hAnsi="Times New Roman" w:cs="Times New Roman"/>
          <w:i/>
          <w:sz w:val="24"/>
          <w:szCs w:val="24"/>
          <w:lang w:val="en-US"/>
        </w:rPr>
        <w:t xml:space="preserve">This article concludes by evaluating the shift from equal protection to association as the basis for party primary regulation. </w:t>
      </w:r>
      <w:r w:rsidR="00906BEC" w:rsidRPr="00657A2F">
        <w:rPr>
          <w:rFonts w:ascii="Times New Roman" w:hAnsi="Times New Roman" w:cs="Times New Roman"/>
          <w:i/>
          <w:sz w:val="24"/>
          <w:szCs w:val="24"/>
          <w:lang w:val="en-US"/>
        </w:rPr>
        <w:t>While</w:t>
      </w:r>
      <w:r w:rsidRPr="00657A2F">
        <w:rPr>
          <w:rFonts w:ascii="Times New Roman" w:hAnsi="Times New Roman" w:cs="Times New Roman"/>
          <w:i/>
          <w:sz w:val="24"/>
          <w:szCs w:val="24"/>
          <w:lang w:val="en-US"/>
        </w:rPr>
        <w:t xml:space="preserve"> </w:t>
      </w:r>
      <w:r w:rsidR="00EA7B61" w:rsidRPr="00657A2F">
        <w:rPr>
          <w:rFonts w:ascii="Times New Roman" w:hAnsi="Times New Roman" w:cs="Times New Roman"/>
          <w:i/>
          <w:sz w:val="24"/>
          <w:szCs w:val="24"/>
          <w:lang w:val="en-US"/>
        </w:rPr>
        <w:t xml:space="preserve">the reliance on associational rights may facilitate judicial oversight of major party primaries, it may reduce the potential of the Supreme Court to transform politics. While First Amendment rights are typically </w:t>
      </w:r>
      <w:r w:rsidR="00474E3E" w:rsidRPr="00657A2F">
        <w:rPr>
          <w:rFonts w:ascii="Times New Roman" w:hAnsi="Times New Roman" w:cs="Times New Roman"/>
          <w:i/>
          <w:sz w:val="24"/>
          <w:szCs w:val="24"/>
          <w:lang w:val="en-US"/>
        </w:rPr>
        <w:t xml:space="preserve">invoked to </w:t>
      </w:r>
      <w:r w:rsidR="00EA7B61" w:rsidRPr="00657A2F">
        <w:rPr>
          <w:rFonts w:ascii="Times New Roman" w:hAnsi="Times New Roman" w:cs="Times New Roman"/>
          <w:i/>
          <w:sz w:val="24"/>
          <w:szCs w:val="24"/>
          <w:lang w:val="en-US"/>
        </w:rPr>
        <w:t xml:space="preserve">prevent state intrusion </w:t>
      </w:r>
      <w:r w:rsidR="00474E3E" w:rsidRPr="00657A2F">
        <w:rPr>
          <w:rFonts w:ascii="Times New Roman" w:hAnsi="Times New Roman" w:cs="Times New Roman"/>
          <w:i/>
          <w:sz w:val="24"/>
          <w:szCs w:val="24"/>
          <w:lang w:val="en-US"/>
        </w:rPr>
        <w:t>upon</w:t>
      </w:r>
      <w:r w:rsidR="00EA7B61" w:rsidRPr="00657A2F">
        <w:rPr>
          <w:rFonts w:ascii="Times New Roman" w:hAnsi="Times New Roman" w:cs="Times New Roman"/>
          <w:i/>
          <w:sz w:val="24"/>
          <w:szCs w:val="24"/>
          <w:lang w:val="en-US"/>
        </w:rPr>
        <w:t xml:space="preserve"> private conduct, the equal protection clause has a legacy of being used to tectonically electoral process. </w:t>
      </w:r>
      <w:r w:rsidR="00474E3E" w:rsidRPr="00657A2F">
        <w:rPr>
          <w:rFonts w:ascii="Times New Roman" w:hAnsi="Times New Roman" w:cs="Times New Roman"/>
          <w:i/>
          <w:sz w:val="24"/>
          <w:szCs w:val="24"/>
          <w:lang w:val="en-US"/>
        </w:rPr>
        <w:t xml:space="preserve">The shift from equal protection to associational rights therefore raises deeper questions regarding the appropriate </w:t>
      </w:r>
      <w:r w:rsidR="00230B76" w:rsidRPr="00657A2F">
        <w:rPr>
          <w:rFonts w:ascii="Times New Roman" w:hAnsi="Times New Roman" w:cs="Times New Roman"/>
          <w:i/>
          <w:sz w:val="24"/>
          <w:szCs w:val="24"/>
          <w:lang w:val="en-US"/>
        </w:rPr>
        <w:t>institutional role of the judiciary (and the Supreme Court in particular) in influencing American political process.</w:t>
      </w:r>
    </w:p>
    <w:p w:rsidR="00AA71AA" w:rsidRDefault="00AA71AA" w:rsidP="001D0C1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 Introduction</w:t>
      </w:r>
    </w:p>
    <w:p w:rsidR="00657A2F" w:rsidRPr="006B4107" w:rsidRDefault="00657A2F"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The latter half of the 20</w:t>
      </w:r>
      <w:r w:rsidRPr="00657A2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saw a dramatic transformation in the degree and quality of </w:t>
      </w:r>
      <w:r w:rsidR="00B35F30">
        <w:rPr>
          <w:rFonts w:ascii="Times New Roman" w:hAnsi="Times New Roman" w:cs="Times New Roman"/>
          <w:sz w:val="24"/>
          <w:szCs w:val="24"/>
          <w:lang w:val="en-US"/>
        </w:rPr>
        <w:t xml:space="preserve">federal </w:t>
      </w:r>
      <w:r>
        <w:rPr>
          <w:rFonts w:ascii="Times New Roman" w:hAnsi="Times New Roman" w:cs="Times New Roman"/>
          <w:sz w:val="24"/>
          <w:szCs w:val="24"/>
          <w:lang w:val="en-US"/>
        </w:rPr>
        <w:t>judicial oversight of voting</w:t>
      </w:r>
      <w:r w:rsidR="00B35F30">
        <w:rPr>
          <w:rFonts w:ascii="Times New Roman" w:hAnsi="Times New Roman" w:cs="Times New Roman"/>
          <w:sz w:val="24"/>
          <w:szCs w:val="24"/>
          <w:lang w:val="en-US"/>
        </w:rPr>
        <w:t xml:space="preserve"> process</w:t>
      </w:r>
      <w:r>
        <w:rPr>
          <w:rFonts w:ascii="Times New Roman" w:hAnsi="Times New Roman" w:cs="Times New Roman"/>
          <w:sz w:val="24"/>
          <w:szCs w:val="24"/>
          <w:lang w:val="en-US"/>
        </w:rPr>
        <w:t xml:space="preserve">. With the one-person, one-vote jurisprudence, the Supreme Court </w:t>
      </w:r>
      <w:r w:rsidR="00B35F30">
        <w:rPr>
          <w:rFonts w:ascii="Times New Roman" w:hAnsi="Times New Roman" w:cs="Times New Roman"/>
          <w:sz w:val="24"/>
          <w:szCs w:val="24"/>
          <w:lang w:val="en-US"/>
        </w:rPr>
        <w:t>imposed a basic requirement of personal equality in district line-drawing</w:t>
      </w:r>
      <w:r w:rsidR="006B4107">
        <w:rPr>
          <w:rFonts w:ascii="Times New Roman" w:hAnsi="Times New Roman" w:cs="Times New Roman"/>
          <w:sz w:val="24"/>
          <w:szCs w:val="24"/>
          <w:lang w:val="en-US"/>
        </w:rPr>
        <w:t>.</w:t>
      </w:r>
      <w:r w:rsidR="00B35F30">
        <w:rPr>
          <w:rFonts w:ascii="Times New Roman" w:hAnsi="Times New Roman" w:cs="Times New Roman"/>
          <w:sz w:val="24"/>
          <w:szCs w:val="24"/>
          <w:lang w:val="en-US"/>
        </w:rPr>
        <w:t xml:space="preserve"> </w:t>
      </w:r>
      <w:r w:rsidR="006B4107">
        <w:rPr>
          <w:rFonts w:ascii="Times New Roman" w:hAnsi="Times New Roman" w:cs="Times New Roman"/>
          <w:sz w:val="24"/>
          <w:szCs w:val="24"/>
          <w:lang w:val="en-US"/>
        </w:rPr>
        <w:t>I</w:t>
      </w:r>
      <w:r w:rsidR="00B35F30">
        <w:rPr>
          <w:rFonts w:ascii="Times New Roman" w:hAnsi="Times New Roman" w:cs="Times New Roman"/>
          <w:sz w:val="24"/>
          <w:szCs w:val="24"/>
          <w:lang w:val="en-US"/>
        </w:rPr>
        <w:t xml:space="preserve">n the context of race, </w:t>
      </w:r>
      <w:proofErr w:type="spellStart"/>
      <w:r w:rsidR="006B4107">
        <w:rPr>
          <w:rFonts w:ascii="Times New Roman" w:hAnsi="Times New Roman" w:cs="Times New Roman"/>
          <w:i/>
          <w:sz w:val="24"/>
          <w:szCs w:val="24"/>
          <w:lang w:val="en-US"/>
        </w:rPr>
        <w:t>Gomillion</w:t>
      </w:r>
      <w:proofErr w:type="spellEnd"/>
      <w:r w:rsidR="006B4107">
        <w:rPr>
          <w:rFonts w:ascii="Times New Roman" w:hAnsi="Times New Roman" w:cs="Times New Roman"/>
          <w:i/>
          <w:sz w:val="24"/>
          <w:szCs w:val="24"/>
          <w:lang w:val="en-US"/>
        </w:rPr>
        <w:t xml:space="preserve"> v. Lightfoot</w:t>
      </w:r>
      <w:r w:rsidR="006B4107">
        <w:rPr>
          <w:rFonts w:ascii="Times New Roman" w:hAnsi="Times New Roman" w:cs="Times New Roman"/>
          <w:sz w:val="24"/>
          <w:szCs w:val="24"/>
          <w:lang w:val="en-US"/>
        </w:rPr>
        <w:t xml:space="preserve"> became the beachhead in the premise that racial discrimination will not be tolerated in voting procedure.</w:t>
      </w:r>
      <w:r w:rsidR="006B4107">
        <w:rPr>
          <w:rStyle w:val="FootnoteReference"/>
          <w:rFonts w:ascii="Times New Roman" w:hAnsi="Times New Roman" w:cs="Times New Roman"/>
          <w:sz w:val="24"/>
          <w:szCs w:val="24"/>
          <w:lang w:val="en-US"/>
        </w:rPr>
        <w:footnoteReference w:id="2"/>
      </w:r>
      <w:r w:rsidR="006B4107">
        <w:rPr>
          <w:rFonts w:ascii="Times New Roman" w:hAnsi="Times New Roman" w:cs="Times New Roman"/>
          <w:sz w:val="24"/>
          <w:szCs w:val="24"/>
          <w:lang w:val="en-US"/>
        </w:rPr>
        <w:t xml:space="preserve"> A few decades later, </w:t>
      </w:r>
      <w:r w:rsidR="006B4107">
        <w:rPr>
          <w:rFonts w:ascii="Times New Roman" w:hAnsi="Times New Roman" w:cs="Times New Roman"/>
          <w:i/>
          <w:sz w:val="24"/>
          <w:szCs w:val="24"/>
          <w:lang w:val="en-US"/>
        </w:rPr>
        <w:t xml:space="preserve">Davis v. </w:t>
      </w:r>
      <w:proofErr w:type="spellStart"/>
      <w:r w:rsidR="006B4107">
        <w:rPr>
          <w:rFonts w:ascii="Times New Roman" w:hAnsi="Times New Roman" w:cs="Times New Roman"/>
          <w:i/>
          <w:sz w:val="24"/>
          <w:szCs w:val="24"/>
          <w:lang w:val="en-US"/>
        </w:rPr>
        <w:t>Bandemer</w:t>
      </w:r>
      <w:proofErr w:type="spellEnd"/>
      <w:r w:rsidR="006B4107">
        <w:rPr>
          <w:rFonts w:ascii="Times New Roman" w:hAnsi="Times New Roman" w:cs="Times New Roman"/>
          <w:sz w:val="24"/>
          <w:szCs w:val="24"/>
          <w:lang w:val="en-US"/>
        </w:rPr>
        <w:t xml:space="preserve"> suggested that fair district line-drawing could require non-discrimination on the </w:t>
      </w:r>
      <w:r w:rsidR="006B4107">
        <w:rPr>
          <w:rFonts w:ascii="Times New Roman" w:hAnsi="Times New Roman" w:cs="Times New Roman"/>
          <w:sz w:val="24"/>
          <w:szCs w:val="24"/>
          <w:lang w:val="en-US"/>
        </w:rPr>
        <w:lastRenderedPageBreak/>
        <w:t>grounds of party identification.</w:t>
      </w:r>
      <w:r w:rsidR="006B4107">
        <w:rPr>
          <w:rStyle w:val="FootnoteReference"/>
          <w:rFonts w:ascii="Times New Roman" w:hAnsi="Times New Roman" w:cs="Times New Roman"/>
          <w:sz w:val="24"/>
          <w:szCs w:val="24"/>
          <w:lang w:val="en-US"/>
        </w:rPr>
        <w:footnoteReference w:id="3"/>
      </w:r>
      <w:r w:rsidR="00DB0160">
        <w:rPr>
          <w:rFonts w:ascii="Times New Roman" w:hAnsi="Times New Roman" w:cs="Times New Roman"/>
          <w:sz w:val="24"/>
          <w:szCs w:val="24"/>
          <w:lang w:val="en-US"/>
        </w:rPr>
        <w:t xml:space="preserve"> In each of these domains of court-led intervention, one constitutional right emerged as the linchpin: the equal protection clause.</w:t>
      </w:r>
      <w:r w:rsidR="00DB0160">
        <w:rPr>
          <w:rStyle w:val="FootnoteReference"/>
          <w:rFonts w:ascii="Times New Roman" w:hAnsi="Times New Roman" w:cs="Times New Roman"/>
          <w:sz w:val="24"/>
          <w:szCs w:val="24"/>
          <w:lang w:val="en-US"/>
        </w:rPr>
        <w:footnoteReference w:id="4"/>
      </w:r>
    </w:p>
    <w:p w:rsidR="008A691C" w:rsidRDefault="00D90D9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Given the importance of </w:t>
      </w:r>
      <w:r w:rsidR="00A36707">
        <w:rPr>
          <w:rFonts w:ascii="Times New Roman" w:hAnsi="Times New Roman" w:cs="Times New Roman"/>
          <w:sz w:val="24"/>
          <w:szCs w:val="24"/>
          <w:lang w:val="en-US"/>
        </w:rPr>
        <w:t xml:space="preserve">party </w:t>
      </w:r>
      <w:r>
        <w:rPr>
          <w:rFonts w:ascii="Times New Roman" w:hAnsi="Times New Roman" w:cs="Times New Roman"/>
          <w:sz w:val="24"/>
          <w:szCs w:val="24"/>
          <w:lang w:val="en-US"/>
        </w:rPr>
        <w:t>primaries</w:t>
      </w:r>
      <w:r w:rsidR="00A36707">
        <w:rPr>
          <w:rFonts w:ascii="Times New Roman" w:hAnsi="Times New Roman" w:cs="Times New Roman"/>
          <w:sz w:val="24"/>
          <w:szCs w:val="24"/>
          <w:lang w:val="en-US"/>
        </w:rPr>
        <w:t xml:space="preserve"> in </w:t>
      </w:r>
      <w:r w:rsidR="001B7199">
        <w:rPr>
          <w:rFonts w:ascii="Times New Roman" w:hAnsi="Times New Roman" w:cs="Times New Roman"/>
          <w:sz w:val="24"/>
          <w:szCs w:val="24"/>
          <w:lang w:val="en-US"/>
        </w:rPr>
        <w:t>the process of voting</w:t>
      </w:r>
      <w:r>
        <w:rPr>
          <w:rFonts w:ascii="Times New Roman" w:hAnsi="Times New Roman" w:cs="Times New Roman"/>
          <w:sz w:val="24"/>
          <w:szCs w:val="24"/>
          <w:lang w:val="en-US"/>
        </w:rPr>
        <w:t xml:space="preserve">, it is not surprising they have been a subject of federal judicial oversight. Nor is the timing </w:t>
      </w:r>
      <w:r w:rsidR="00B62308">
        <w:rPr>
          <w:rFonts w:ascii="Times New Roman" w:hAnsi="Times New Roman" w:cs="Times New Roman"/>
          <w:sz w:val="24"/>
          <w:szCs w:val="24"/>
          <w:lang w:val="en-US"/>
        </w:rPr>
        <w:t xml:space="preserve">of the Supreme Court’s entry into the area </w:t>
      </w:r>
      <w:r>
        <w:rPr>
          <w:rFonts w:ascii="Times New Roman" w:hAnsi="Times New Roman" w:cs="Times New Roman"/>
          <w:sz w:val="24"/>
          <w:szCs w:val="24"/>
          <w:lang w:val="en-US"/>
        </w:rPr>
        <w:t xml:space="preserve">surprising; the </w:t>
      </w:r>
      <w:r w:rsidR="00B62308">
        <w:rPr>
          <w:rFonts w:ascii="Times New Roman" w:hAnsi="Times New Roman" w:cs="Times New Roman"/>
          <w:sz w:val="24"/>
          <w:szCs w:val="24"/>
          <w:lang w:val="en-US"/>
        </w:rPr>
        <w:t>topic was subject to broad judicial scrutiny</w:t>
      </w:r>
      <w:r>
        <w:rPr>
          <w:rFonts w:ascii="Times New Roman" w:hAnsi="Times New Roman" w:cs="Times New Roman"/>
          <w:sz w:val="24"/>
          <w:szCs w:val="24"/>
          <w:lang w:val="en-US"/>
        </w:rPr>
        <w:t xml:space="preserve"> shortly after its boldest entry into the realm of democratic design with </w:t>
      </w:r>
      <w:r>
        <w:rPr>
          <w:rFonts w:ascii="Times New Roman" w:hAnsi="Times New Roman" w:cs="Times New Roman"/>
          <w:i/>
          <w:sz w:val="24"/>
          <w:szCs w:val="24"/>
          <w:lang w:val="en-US"/>
        </w:rPr>
        <w:t xml:space="preserve">Baker v. </w:t>
      </w:r>
      <w:proofErr w:type="spellStart"/>
      <w:r>
        <w:rPr>
          <w:rFonts w:ascii="Times New Roman" w:hAnsi="Times New Roman" w:cs="Times New Roman"/>
          <w:i/>
          <w:sz w:val="24"/>
          <w:szCs w:val="24"/>
          <w:lang w:val="en-US"/>
        </w:rPr>
        <w:t>Carr</w:t>
      </w:r>
      <w:proofErr w:type="spell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
      </w:r>
      <w:r w:rsidR="008A691C">
        <w:rPr>
          <w:rFonts w:ascii="Times New Roman" w:hAnsi="Times New Roman" w:cs="Times New Roman"/>
          <w:b/>
          <w:i/>
          <w:sz w:val="24"/>
          <w:szCs w:val="24"/>
          <w:lang w:val="en-US"/>
        </w:rPr>
        <w:t xml:space="preserve"> </w:t>
      </w:r>
      <w:r w:rsidR="00F07F21">
        <w:rPr>
          <w:rFonts w:ascii="Times New Roman" w:hAnsi="Times New Roman" w:cs="Times New Roman"/>
          <w:sz w:val="24"/>
          <w:szCs w:val="24"/>
          <w:lang w:val="en-US"/>
        </w:rPr>
        <w:t>Yet the constitutional character of the intervention into primaries has deviated from the general trend in election law. A</w:t>
      </w:r>
      <w:r w:rsidR="00215EDB">
        <w:rPr>
          <w:rFonts w:ascii="Times New Roman" w:hAnsi="Times New Roman" w:cs="Times New Roman"/>
          <w:sz w:val="24"/>
          <w:szCs w:val="24"/>
          <w:lang w:val="en-US"/>
        </w:rPr>
        <w:t>s the modern jurisprudence of primary regulation has evolved over the past fifty years</w:t>
      </w:r>
      <w:r w:rsidR="00044755">
        <w:rPr>
          <w:rFonts w:ascii="Times New Roman" w:hAnsi="Times New Roman" w:cs="Times New Roman"/>
          <w:sz w:val="24"/>
          <w:szCs w:val="24"/>
          <w:lang w:val="en-US"/>
        </w:rPr>
        <w:t xml:space="preserve">, the </w:t>
      </w:r>
      <w:r w:rsidR="00A10D26">
        <w:rPr>
          <w:rFonts w:ascii="Times New Roman" w:hAnsi="Times New Roman" w:cs="Times New Roman"/>
          <w:sz w:val="24"/>
          <w:szCs w:val="24"/>
          <w:lang w:val="en-US"/>
        </w:rPr>
        <w:t xml:space="preserve">Supreme </w:t>
      </w:r>
      <w:r w:rsidR="00044755">
        <w:rPr>
          <w:rFonts w:ascii="Times New Roman" w:hAnsi="Times New Roman" w:cs="Times New Roman"/>
          <w:sz w:val="24"/>
          <w:szCs w:val="24"/>
          <w:lang w:val="en-US"/>
        </w:rPr>
        <w:t xml:space="preserve">Court has come to focus almost exclusively on the </w:t>
      </w:r>
      <w:r w:rsidR="000625D2">
        <w:rPr>
          <w:rFonts w:ascii="Times New Roman" w:hAnsi="Times New Roman" w:cs="Times New Roman"/>
          <w:sz w:val="24"/>
          <w:szCs w:val="24"/>
          <w:lang w:val="en-US"/>
        </w:rPr>
        <w:t xml:space="preserve">right to association as the activated constitutional interest. </w:t>
      </w:r>
      <w:r w:rsidR="00DC6360">
        <w:rPr>
          <w:rFonts w:ascii="Times New Roman" w:hAnsi="Times New Roman" w:cs="Times New Roman"/>
          <w:sz w:val="24"/>
          <w:szCs w:val="24"/>
          <w:lang w:val="en-US"/>
        </w:rPr>
        <w:t xml:space="preserve">This has correlated with a focus on </w:t>
      </w:r>
      <w:r w:rsidR="005A7EDB">
        <w:rPr>
          <w:rFonts w:ascii="Times New Roman" w:hAnsi="Times New Roman" w:cs="Times New Roman"/>
          <w:sz w:val="24"/>
          <w:szCs w:val="24"/>
          <w:lang w:val="en-US"/>
        </w:rPr>
        <w:t>p</w:t>
      </w:r>
      <w:r w:rsidR="00DC6360">
        <w:rPr>
          <w:rFonts w:ascii="Times New Roman" w:hAnsi="Times New Roman" w:cs="Times New Roman"/>
          <w:sz w:val="24"/>
          <w:szCs w:val="24"/>
          <w:lang w:val="en-US"/>
        </w:rPr>
        <w:t xml:space="preserve">arty integrity as the dominant locus of consideration. </w:t>
      </w:r>
      <w:r w:rsidR="000A1F69">
        <w:rPr>
          <w:rFonts w:ascii="Times New Roman" w:hAnsi="Times New Roman" w:cs="Times New Roman"/>
          <w:sz w:val="24"/>
          <w:szCs w:val="24"/>
          <w:lang w:val="en-US"/>
        </w:rPr>
        <w:t>The Court’s current approach has led to both reinforcing party’s stranglehold on the political process, as well as t</w:t>
      </w:r>
      <w:r w:rsidR="005A7EDB">
        <w:rPr>
          <w:rFonts w:ascii="Times New Roman" w:hAnsi="Times New Roman" w:cs="Times New Roman"/>
          <w:sz w:val="24"/>
          <w:szCs w:val="24"/>
          <w:lang w:val="en-US"/>
        </w:rPr>
        <w:t>o neglect</w:t>
      </w:r>
      <w:r w:rsidR="000A1F69">
        <w:rPr>
          <w:rFonts w:ascii="Times New Roman" w:hAnsi="Times New Roman" w:cs="Times New Roman"/>
          <w:sz w:val="24"/>
          <w:szCs w:val="24"/>
          <w:lang w:val="en-US"/>
        </w:rPr>
        <w:t xml:space="preserve"> of a sufficiently broad analysis of the political questions at hand</w:t>
      </w:r>
      <w:r w:rsidR="00B4519A">
        <w:rPr>
          <w:rFonts w:ascii="Times New Roman" w:hAnsi="Times New Roman" w:cs="Times New Roman"/>
          <w:sz w:val="24"/>
          <w:szCs w:val="24"/>
          <w:lang w:val="en-US"/>
        </w:rPr>
        <w:t>: what conditio</w:t>
      </w:r>
      <w:r w:rsidR="004417B7">
        <w:rPr>
          <w:rFonts w:ascii="Times New Roman" w:hAnsi="Times New Roman" w:cs="Times New Roman"/>
          <w:sz w:val="24"/>
          <w:szCs w:val="24"/>
          <w:lang w:val="en-US"/>
        </w:rPr>
        <w:t xml:space="preserve">ns </w:t>
      </w:r>
      <w:r w:rsidR="00B4519A">
        <w:rPr>
          <w:rFonts w:ascii="Times New Roman" w:hAnsi="Times New Roman" w:cs="Times New Roman"/>
          <w:sz w:val="24"/>
          <w:szCs w:val="24"/>
          <w:lang w:val="en-US"/>
        </w:rPr>
        <w:t xml:space="preserve">create desirable (or at least </w:t>
      </w:r>
      <w:r w:rsidR="00DC6360">
        <w:rPr>
          <w:rFonts w:ascii="Times New Roman" w:hAnsi="Times New Roman" w:cs="Times New Roman"/>
          <w:sz w:val="24"/>
          <w:szCs w:val="24"/>
          <w:lang w:val="en-US"/>
        </w:rPr>
        <w:t>sufficiently</w:t>
      </w:r>
      <w:r w:rsidR="00B4519A">
        <w:rPr>
          <w:rFonts w:ascii="Times New Roman" w:hAnsi="Times New Roman" w:cs="Times New Roman"/>
          <w:sz w:val="24"/>
          <w:szCs w:val="24"/>
          <w:lang w:val="en-US"/>
        </w:rPr>
        <w:t xml:space="preserve"> viable) primaries? This question in turn hangs upon the need for primaries described above: to serve as an initial step that can effectively winnow the slate of candidates, such that the final ballot </w:t>
      </w:r>
      <w:r w:rsidR="004417B7">
        <w:rPr>
          <w:rFonts w:ascii="Times New Roman" w:hAnsi="Times New Roman" w:cs="Times New Roman"/>
          <w:sz w:val="24"/>
          <w:szCs w:val="24"/>
          <w:lang w:val="en-US"/>
        </w:rPr>
        <w:t xml:space="preserve">and the intermediate steps that precede it </w:t>
      </w:r>
      <w:r w:rsidR="00B4519A">
        <w:rPr>
          <w:rFonts w:ascii="Times New Roman" w:hAnsi="Times New Roman" w:cs="Times New Roman"/>
          <w:sz w:val="24"/>
          <w:szCs w:val="24"/>
          <w:lang w:val="en-US"/>
        </w:rPr>
        <w:t xml:space="preserve">gives all voters a fair choice. </w:t>
      </w:r>
    </w:p>
    <w:p w:rsidR="0012454D" w:rsidRDefault="00447ADF"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w:t>
      </w:r>
      <w:r w:rsidR="00657A2F">
        <w:rPr>
          <w:rFonts w:ascii="Times New Roman" w:hAnsi="Times New Roman" w:cs="Times New Roman"/>
          <w:sz w:val="24"/>
          <w:szCs w:val="24"/>
          <w:lang w:val="en-US"/>
        </w:rPr>
        <w:t>piece</w:t>
      </w:r>
      <w:r>
        <w:rPr>
          <w:rFonts w:ascii="Times New Roman" w:hAnsi="Times New Roman" w:cs="Times New Roman"/>
          <w:sz w:val="24"/>
          <w:szCs w:val="24"/>
          <w:lang w:val="en-US"/>
        </w:rPr>
        <w:t xml:space="preserve"> begins by establishing the historical drift towards domination by associational rights. It observes that early jurisprudence applied both equal protection and associational reasoning to the constitutional review of primary design, but in the 1980s associational rights emerged as the sole source of legal reasoning. The </w:t>
      </w:r>
      <w:r w:rsidR="00657A2F">
        <w:rPr>
          <w:rFonts w:ascii="Times New Roman" w:hAnsi="Times New Roman" w:cs="Times New Roman"/>
          <w:sz w:val="24"/>
          <w:szCs w:val="24"/>
          <w:lang w:val="en-US"/>
        </w:rPr>
        <w:t>piece</w:t>
      </w:r>
      <w:r>
        <w:rPr>
          <w:rFonts w:ascii="Times New Roman" w:hAnsi="Times New Roman" w:cs="Times New Roman"/>
          <w:sz w:val="24"/>
          <w:szCs w:val="24"/>
          <w:lang w:val="en-US"/>
        </w:rPr>
        <w:t xml:space="preserve"> then explores the substantive consequences and pathologies of the Court’s reasoning, </w:t>
      </w:r>
      <w:proofErr w:type="gramStart"/>
      <w:r>
        <w:rPr>
          <w:rFonts w:ascii="Times New Roman" w:hAnsi="Times New Roman" w:cs="Times New Roman"/>
          <w:sz w:val="24"/>
          <w:szCs w:val="24"/>
          <w:lang w:val="en-US"/>
        </w:rPr>
        <w:t>in particular that</w:t>
      </w:r>
      <w:proofErr w:type="gramEnd"/>
      <w:r>
        <w:rPr>
          <w:rFonts w:ascii="Times New Roman" w:hAnsi="Times New Roman" w:cs="Times New Roman"/>
          <w:sz w:val="24"/>
          <w:szCs w:val="24"/>
          <w:lang w:val="en-US"/>
        </w:rPr>
        <w:t xml:space="preserve"> th</w:t>
      </w:r>
      <w:r w:rsidR="003A2970">
        <w:rPr>
          <w:rFonts w:ascii="Times New Roman" w:hAnsi="Times New Roman" w:cs="Times New Roman"/>
          <w:sz w:val="24"/>
          <w:szCs w:val="24"/>
          <w:lang w:val="en-US"/>
        </w:rPr>
        <w:t xml:space="preserve">e Court has come to protect parties, which are themselves well-entrenched quasi-public entities in scant need of judicial protection. It then </w:t>
      </w:r>
      <w:r w:rsidR="008A691C">
        <w:rPr>
          <w:rFonts w:ascii="Times New Roman" w:hAnsi="Times New Roman" w:cs="Times New Roman"/>
          <w:sz w:val="24"/>
          <w:szCs w:val="24"/>
          <w:lang w:val="en-US"/>
        </w:rPr>
        <w:t xml:space="preserve">culminates with the argument </w:t>
      </w:r>
      <w:r w:rsidR="005A7EDB">
        <w:rPr>
          <w:rFonts w:ascii="Times New Roman" w:hAnsi="Times New Roman" w:cs="Times New Roman"/>
          <w:sz w:val="24"/>
          <w:szCs w:val="24"/>
          <w:lang w:val="en-US"/>
        </w:rPr>
        <w:t xml:space="preserve">that a return to </w:t>
      </w:r>
      <w:r w:rsidR="00215EDB">
        <w:rPr>
          <w:rFonts w:ascii="Times New Roman" w:hAnsi="Times New Roman" w:cs="Times New Roman"/>
          <w:sz w:val="24"/>
          <w:szCs w:val="24"/>
          <w:lang w:val="en-US"/>
        </w:rPr>
        <w:t xml:space="preserve">the (much-contested) principle underlying the entry into the political thicket itself, the equal protection clause, provides a starting point for helpfully broadening and diversifying the interrogation of primary design. </w:t>
      </w:r>
      <w:r w:rsidR="00702467">
        <w:rPr>
          <w:rFonts w:ascii="Times New Roman" w:hAnsi="Times New Roman" w:cs="Times New Roman"/>
          <w:sz w:val="24"/>
          <w:szCs w:val="24"/>
          <w:lang w:val="en-US"/>
        </w:rPr>
        <w:t>While far from a panacea (in particular because of the need to avoid judi</w:t>
      </w:r>
      <w:r w:rsidR="006803BA">
        <w:rPr>
          <w:rFonts w:ascii="Times New Roman" w:hAnsi="Times New Roman" w:cs="Times New Roman"/>
          <w:sz w:val="24"/>
          <w:szCs w:val="24"/>
          <w:lang w:val="en-US"/>
        </w:rPr>
        <w:t>c</w:t>
      </w:r>
      <w:r w:rsidR="00702467">
        <w:rPr>
          <w:rFonts w:ascii="Times New Roman" w:hAnsi="Times New Roman" w:cs="Times New Roman"/>
          <w:sz w:val="24"/>
          <w:szCs w:val="24"/>
          <w:lang w:val="en-US"/>
        </w:rPr>
        <w:t xml:space="preserve">ial over-determination of democratic autonomy), </w:t>
      </w:r>
      <w:r w:rsidR="005A2E10">
        <w:rPr>
          <w:rFonts w:ascii="Times New Roman" w:hAnsi="Times New Roman" w:cs="Times New Roman"/>
          <w:sz w:val="24"/>
          <w:szCs w:val="24"/>
          <w:lang w:val="en-US"/>
        </w:rPr>
        <w:t>renewed attentiveness</w:t>
      </w:r>
      <w:r w:rsidR="00702467">
        <w:rPr>
          <w:rFonts w:ascii="Times New Roman" w:hAnsi="Times New Roman" w:cs="Times New Roman"/>
          <w:sz w:val="24"/>
          <w:szCs w:val="24"/>
          <w:lang w:val="en-US"/>
        </w:rPr>
        <w:t xml:space="preserve"> of the equal protection clause would push courts to consider the full breadth of possible legal interests invoked in primary design.</w:t>
      </w:r>
      <w:r w:rsidR="00FC4F5C">
        <w:rPr>
          <w:rFonts w:ascii="Times New Roman" w:hAnsi="Times New Roman" w:cs="Times New Roman"/>
          <w:sz w:val="24"/>
          <w:szCs w:val="24"/>
          <w:lang w:val="en-US"/>
        </w:rPr>
        <w:t xml:space="preserve"> The article concludes by exploring the broader question of whether the Court best operates as another standard power player in political contestation (a role supported by the invocation of associational rights) or as a unique institutional with a distinct capacity to transform the unfolding of politics </w:t>
      </w:r>
    </w:p>
    <w:p w:rsidR="0012454D" w:rsidRDefault="0012454D" w:rsidP="001D0C1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091FC1">
        <w:rPr>
          <w:rFonts w:ascii="Times New Roman" w:hAnsi="Times New Roman" w:cs="Times New Roman"/>
          <w:sz w:val="24"/>
          <w:szCs w:val="24"/>
          <w:lang w:val="en-US"/>
        </w:rPr>
        <w:t>The Drift Towards Association in the</w:t>
      </w:r>
      <w:r w:rsidR="00FE60B8">
        <w:rPr>
          <w:rFonts w:ascii="Times New Roman" w:hAnsi="Times New Roman" w:cs="Times New Roman"/>
          <w:sz w:val="24"/>
          <w:szCs w:val="24"/>
          <w:lang w:val="en-US"/>
        </w:rPr>
        <w:t xml:space="preserve"> </w:t>
      </w:r>
      <w:r w:rsidR="00CB4233">
        <w:rPr>
          <w:rFonts w:ascii="Times New Roman" w:hAnsi="Times New Roman" w:cs="Times New Roman"/>
          <w:sz w:val="24"/>
          <w:szCs w:val="24"/>
          <w:lang w:val="en-US"/>
        </w:rPr>
        <w:t>Law of Primary Part</w:t>
      </w:r>
      <w:r w:rsidR="00B41009">
        <w:rPr>
          <w:rFonts w:ascii="Times New Roman" w:hAnsi="Times New Roman" w:cs="Times New Roman"/>
          <w:sz w:val="24"/>
          <w:szCs w:val="24"/>
          <w:lang w:val="en-US"/>
        </w:rPr>
        <w:t>y</w:t>
      </w:r>
      <w:r w:rsidR="00CB4233">
        <w:rPr>
          <w:rFonts w:ascii="Times New Roman" w:hAnsi="Times New Roman" w:cs="Times New Roman"/>
          <w:sz w:val="24"/>
          <w:szCs w:val="24"/>
          <w:lang w:val="en-US"/>
        </w:rPr>
        <w:t xml:space="preserve"> Affiliation</w:t>
      </w:r>
    </w:p>
    <w:p w:rsidR="007E14E2" w:rsidRDefault="00D73806"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The</w:t>
      </w:r>
      <w:r w:rsidR="00AD30E1">
        <w:rPr>
          <w:rFonts w:ascii="Times New Roman" w:hAnsi="Times New Roman" w:cs="Times New Roman"/>
          <w:sz w:val="24"/>
          <w:szCs w:val="24"/>
          <w:lang w:val="en-US"/>
        </w:rPr>
        <w:t xml:space="preserve"> narrowing of legal imagination by the Supreme Court</w:t>
      </w:r>
      <w:r>
        <w:rPr>
          <w:rFonts w:ascii="Times New Roman" w:hAnsi="Times New Roman" w:cs="Times New Roman"/>
          <w:sz w:val="24"/>
          <w:szCs w:val="24"/>
          <w:lang w:val="en-US"/>
        </w:rPr>
        <w:t xml:space="preserve"> </w:t>
      </w:r>
      <w:r w:rsidR="00AD30E1">
        <w:rPr>
          <w:rFonts w:ascii="Times New Roman" w:hAnsi="Times New Roman" w:cs="Times New Roman"/>
          <w:sz w:val="24"/>
          <w:szCs w:val="24"/>
          <w:lang w:val="en-US"/>
        </w:rPr>
        <w:t>to wholly focus on associational rights</w:t>
      </w:r>
      <w:r>
        <w:rPr>
          <w:rFonts w:ascii="Times New Roman" w:hAnsi="Times New Roman" w:cs="Times New Roman"/>
          <w:sz w:val="24"/>
          <w:szCs w:val="24"/>
          <w:lang w:val="en-US"/>
        </w:rPr>
        <w:t xml:space="preserve"> has occurred gradually</w:t>
      </w:r>
      <w:r w:rsidR="00AD30E1">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AD30E1">
        <w:rPr>
          <w:rFonts w:ascii="Times New Roman" w:hAnsi="Times New Roman" w:cs="Times New Roman"/>
          <w:sz w:val="24"/>
          <w:szCs w:val="24"/>
          <w:lang w:val="en-US"/>
        </w:rPr>
        <w:t xml:space="preserve">his evolution reflects a progression away from initial foray into the </w:t>
      </w:r>
      <w:r w:rsidR="00DB6E39">
        <w:rPr>
          <w:rFonts w:ascii="Times New Roman" w:hAnsi="Times New Roman" w:cs="Times New Roman"/>
          <w:sz w:val="24"/>
          <w:szCs w:val="24"/>
          <w:lang w:val="en-US"/>
        </w:rPr>
        <w:t xml:space="preserve">political thicket, which opened elections to </w:t>
      </w:r>
      <w:r w:rsidR="003102AA">
        <w:rPr>
          <w:rFonts w:ascii="Times New Roman" w:hAnsi="Times New Roman" w:cs="Times New Roman"/>
          <w:sz w:val="24"/>
          <w:szCs w:val="24"/>
          <w:lang w:val="en-US"/>
        </w:rPr>
        <w:t xml:space="preserve">broader </w:t>
      </w:r>
      <w:r w:rsidR="00DB6E39">
        <w:rPr>
          <w:rFonts w:ascii="Times New Roman" w:hAnsi="Times New Roman" w:cs="Times New Roman"/>
          <w:sz w:val="24"/>
          <w:szCs w:val="24"/>
          <w:lang w:val="en-US"/>
        </w:rPr>
        <w:t xml:space="preserve">judicial regulation on the basis of the equal </w:t>
      </w:r>
      <w:r w:rsidR="00FE60B8">
        <w:rPr>
          <w:rFonts w:ascii="Times New Roman" w:hAnsi="Times New Roman" w:cs="Times New Roman"/>
          <w:sz w:val="24"/>
          <w:szCs w:val="24"/>
          <w:lang w:val="en-US"/>
        </w:rPr>
        <w:t>right to the political franchise</w:t>
      </w:r>
      <w:r w:rsidR="00DB6E39">
        <w:rPr>
          <w:rFonts w:ascii="Times New Roman" w:hAnsi="Times New Roman" w:cs="Times New Roman"/>
          <w:sz w:val="24"/>
          <w:szCs w:val="24"/>
          <w:lang w:val="en-US"/>
        </w:rPr>
        <w:t xml:space="preserve">. </w:t>
      </w:r>
      <w:r w:rsidR="007E14E2">
        <w:rPr>
          <w:rFonts w:ascii="Times New Roman" w:hAnsi="Times New Roman" w:cs="Times New Roman"/>
          <w:sz w:val="24"/>
          <w:szCs w:val="24"/>
          <w:lang w:val="en-US"/>
        </w:rPr>
        <w:t>However, t</w:t>
      </w:r>
      <w:r w:rsidR="00AA405C">
        <w:rPr>
          <w:rFonts w:ascii="Times New Roman" w:hAnsi="Times New Roman" w:cs="Times New Roman"/>
          <w:sz w:val="24"/>
          <w:szCs w:val="24"/>
          <w:lang w:val="en-US"/>
        </w:rPr>
        <w:t xml:space="preserve">he first </w:t>
      </w:r>
      <w:r w:rsidR="007E14E2">
        <w:rPr>
          <w:rFonts w:ascii="Times New Roman" w:hAnsi="Times New Roman" w:cs="Times New Roman"/>
          <w:sz w:val="24"/>
          <w:szCs w:val="24"/>
          <w:lang w:val="en-US"/>
        </w:rPr>
        <w:t>limitations the Supreme Court imposed on primary design – like the first rules imposed on drawing of district boundaries</w:t>
      </w:r>
      <w:r w:rsidR="007E14E2">
        <w:rPr>
          <w:rStyle w:val="FootnoteReference"/>
          <w:rFonts w:ascii="Times New Roman" w:hAnsi="Times New Roman" w:cs="Times New Roman"/>
          <w:sz w:val="24"/>
          <w:szCs w:val="24"/>
          <w:lang w:val="en-US"/>
        </w:rPr>
        <w:footnoteReference w:id="6"/>
      </w:r>
      <w:r w:rsidR="007E14E2">
        <w:rPr>
          <w:rFonts w:ascii="Times New Roman" w:hAnsi="Times New Roman" w:cs="Times New Roman"/>
          <w:sz w:val="24"/>
          <w:szCs w:val="24"/>
          <w:lang w:val="en-US"/>
        </w:rPr>
        <w:t xml:space="preserve"> – enforced the </w:t>
      </w:r>
      <w:r w:rsidR="007E14E2">
        <w:rPr>
          <w:rFonts w:ascii="Times New Roman" w:hAnsi="Times New Roman" w:cs="Times New Roman"/>
          <w:sz w:val="24"/>
          <w:szCs w:val="24"/>
          <w:lang w:val="en-US"/>
        </w:rPr>
        <w:lastRenderedPageBreak/>
        <w:t>Fifteenth Amendment</w:t>
      </w:r>
      <w:r w:rsidR="00673B38">
        <w:rPr>
          <w:rFonts w:ascii="Times New Roman" w:hAnsi="Times New Roman" w:cs="Times New Roman"/>
          <w:sz w:val="24"/>
          <w:szCs w:val="24"/>
          <w:lang w:val="en-US"/>
        </w:rPr>
        <w:t>’s prohibition against race-based discriminatory voting laws.</w:t>
      </w:r>
      <w:r w:rsidR="00673B38">
        <w:rPr>
          <w:rStyle w:val="FootnoteReference"/>
          <w:rFonts w:ascii="Times New Roman" w:hAnsi="Times New Roman" w:cs="Times New Roman"/>
          <w:sz w:val="24"/>
          <w:szCs w:val="24"/>
          <w:lang w:val="en-US"/>
        </w:rPr>
        <w:footnoteReference w:id="7"/>
      </w:r>
      <w:r w:rsidR="00673B38">
        <w:rPr>
          <w:rFonts w:ascii="Times New Roman" w:hAnsi="Times New Roman" w:cs="Times New Roman"/>
          <w:sz w:val="24"/>
          <w:szCs w:val="24"/>
          <w:lang w:val="en-US"/>
        </w:rPr>
        <w:t xml:space="preserve"> In </w:t>
      </w:r>
      <w:r w:rsidR="00673B38">
        <w:rPr>
          <w:rFonts w:ascii="Times New Roman" w:hAnsi="Times New Roman" w:cs="Times New Roman"/>
          <w:i/>
          <w:sz w:val="24"/>
          <w:szCs w:val="24"/>
          <w:lang w:val="en-US"/>
        </w:rPr>
        <w:t xml:space="preserve">Smith v. </w:t>
      </w:r>
      <w:proofErr w:type="spellStart"/>
      <w:r w:rsidR="00673B38">
        <w:rPr>
          <w:rFonts w:ascii="Times New Roman" w:hAnsi="Times New Roman" w:cs="Times New Roman"/>
          <w:i/>
          <w:sz w:val="24"/>
          <w:szCs w:val="24"/>
          <w:lang w:val="en-US"/>
        </w:rPr>
        <w:t>Allwright</w:t>
      </w:r>
      <w:proofErr w:type="spellEnd"/>
      <w:r w:rsidR="00673B38">
        <w:rPr>
          <w:rFonts w:ascii="Times New Roman" w:hAnsi="Times New Roman" w:cs="Times New Roman"/>
          <w:sz w:val="24"/>
          <w:szCs w:val="24"/>
          <w:lang w:val="en-US"/>
        </w:rPr>
        <w:t>,</w:t>
      </w:r>
      <w:r w:rsidR="00673B38">
        <w:rPr>
          <w:rStyle w:val="FootnoteReference"/>
          <w:rFonts w:ascii="Times New Roman" w:hAnsi="Times New Roman" w:cs="Times New Roman"/>
          <w:sz w:val="24"/>
          <w:szCs w:val="24"/>
          <w:lang w:val="en-US"/>
        </w:rPr>
        <w:footnoteReference w:id="8"/>
      </w:r>
      <w:r w:rsidR="00673B38">
        <w:rPr>
          <w:rFonts w:ascii="Times New Roman" w:hAnsi="Times New Roman" w:cs="Times New Roman"/>
          <w:sz w:val="24"/>
          <w:szCs w:val="24"/>
          <w:lang w:val="en-US"/>
        </w:rPr>
        <w:t xml:space="preserve"> the Supreme Court held that the refusal of the state electoral apparatus to deny a black citizen access to a primary ballot on account of race violated the Fifteenth Amendment; in </w:t>
      </w:r>
      <w:r w:rsidR="00673B38">
        <w:rPr>
          <w:rFonts w:ascii="Times New Roman" w:hAnsi="Times New Roman" w:cs="Times New Roman"/>
          <w:i/>
          <w:sz w:val="24"/>
          <w:szCs w:val="24"/>
          <w:lang w:val="en-US"/>
        </w:rPr>
        <w:t>Terry v Adams</w:t>
      </w:r>
      <w:r w:rsidR="00673B38">
        <w:rPr>
          <w:rFonts w:ascii="Times New Roman" w:hAnsi="Times New Roman" w:cs="Times New Roman"/>
          <w:sz w:val="24"/>
          <w:szCs w:val="24"/>
          <w:lang w:val="en-US"/>
        </w:rPr>
        <w:t>,</w:t>
      </w:r>
      <w:r w:rsidR="00673B38">
        <w:rPr>
          <w:rStyle w:val="FootnoteReference"/>
          <w:rFonts w:ascii="Times New Roman" w:hAnsi="Times New Roman" w:cs="Times New Roman"/>
          <w:sz w:val="24"/>
          <w:szCs w:val="24"/>
          <w:lang w:val="en-US"/>
        </w:rPr>
        <w:footnoteReference w:id="9"/>
      </w:r>
      <w:r w:rsidR="00673B38">
        <w:rPr>
          <w:rFonts w:ascii="Times New Roman" w:hAnsi="Times New Roman" w:cs="Times New Roman"/>
          <w:sz w:val="24"/>
          <w:szCs w:val="24"/>
          <w:lang w:val="en-US"/>
        </w:rPr>
        <w:t xml:space="preserve"> where a dominant political association held a primary that determined official primary candidates (in effect, a shadow primary), </w:t>
      </w:r>
      <w:r w:rsidR="00B42C55">
        <w:rPr>
          <w:rFonts w:ascii="Times New Roman" w:hAnsi="Times New Roman" w:cs="Times New Roman"/>
          <w:sz w:val="24"/>
          <w:szCs w:val="24"/>
          <w:lang w:val="en-US"/>
        </w:rPr>
        <w:t>that association’s</w:t>
      </w:r>
      <w:r w:rsidR="00673B38">
        <w:rPr>
          <w:rFonts w:ascii="Times New Roman" w:hAnsi="Times New Roman" w:cs="Times New Roman"/>
          <w:sz w:val="24"/>
          <w:szCs w:val="24"/>
          <w:lang w:val="en-US"/>
        </w:rPr>
        <w:t xml:space="preserve"> prohibition against black participation was likewise unconstitutional. </w:t>
      </w:r>
      <w:r w:rsidR="00E94736">
        <w:rPr>
          <w:rFonts w:ascii="Times New Roman" w:hAnsi="Times New Roman" w:cs="Times New Roman"/>
          <w:sz w:val="24"/>
          <w:szCs w:val="24"/>
          <w:lang w:val="en-US"/>
        </w:rPr>
        <w:t>Inso</w:t>
      </w:r>
      <w:r w:rsidR="00B42C55">
        <w:rPr>
          <w:rFonts w:ascii="Times New Roman" w:hAnsi="Times New Roman" w:cs="Times New Roman"/>
          <w:sz w:val="24"/>
          <w:szCs w:val="24"/>
          <w:lang w:val="en-US"/>
        </w:rPr>
        <w:t>far a</w:t>
      </w:r>
      <w:r w:rsidR="00ED2282">
        <w:rPr>
          <w:rFonts w:ascii="Times New Roman" w:hAnsi="Times New Roman" w:cs="Times New Roman"/>
          <w:sz w:val="24"/>
          <w:szCs w:val="24"/>
          <w:lang w:val="en-US"/>
        </w:rPr>
        <w:t>s this line of cases simply expresses the indubitable proposition that</w:t>
      </w:r>
      <w:r w:rsidR="00B42C55">
        <w:rPr>
          <w:rFonts w:ascii="Times New Roman" w:hAnsi="Times New Roman" w:cs="Times New Roman"/>
          <w:sz w:val="24"/>
          <w:szCs w:val="24"/>
          <w:lang w:val="en-US"/>
        </w:rPr>
        <w:t xml:space="preserve"> </w:t>
      </w:r>
      <w:r w:rsidR="00437EEC">
        <w:rPr>
          <w:rFonts w:ascii="Times New Roman" w:hAnsi="Times New Roman" w:cs="Times New Roman"/>
          <w:sz w:val="24"/>
          <w:szCs w:val="24"/>
          <w:lang w:val="en-US"/>
        </w:rPr>
        <w:t>racial voting restrictions</w:t>
      </w:r>
      <w:r w:rsidR="00ED2282">
        <w:rPr>
          <w:rFonts w:ascii="Times New Roman" w:hAnsi="Times New Roman" w:cs="Times New Roman"/>
          <w:sz w:val="24"/>
          <w:szCs w:val="24"/>
          <w:lang w:val="en-US"/>
        </w:rPr>
        <w:t xml:space="preserve"> are illegal</w:t>
      </w:r>
      <w:r w:rsidR="00B42C55">
        <w:rPr>
          <w:rFonts w:ascii="Times New Roman" w:hAnsi="Times New Roman" w:cs="Times New Roman"/>
          <w:sz w:val="24"/>
          <w:szCs w:val="24"/>
          <w:lang w:val="en-US"/>
        </w:rPr>
        <w:t>, it does relatively little to inform the contemporary law of primaries</w:t>
      </w:r>
      <w:r w:rsidR="00152AFF">
        <w:rPr>
          <w:rFonts w:ascii="Times New Roman" w:hAnsi="Times New Roman" w:cs="Times New Roman"/>
          <w:sz w:val="24"/>
          <w:szCs w:val="24"/>
          <w:lang w:val="en-US"/>
        </w:rPr>
        <w:t>, which is directed towards terms of partisan competition and appropriate conceptualization of political identity. Yet</w:t>
      </w:r>
      <w:r w:rsidR="00152AFF">
        <w:rPr>
          <w:rFonts w:ascii="Times New Roman" w:hAnsi="Times New Roman" w:cs="Times New Roman"/>
          <w:i/>
          <w:sz w:val="24"/>
          <w:szCs w:val="24"/>
          <w:lang w:val="en-US"/>
        </w:rPr>
        <w:t xml:space="preserve"> </w:t>
      </w:r>
      <w:r w:rsidR="00152AFF">
        <w:rPr>
          <w:rFonts w:ascii="Times New Roman" w:hAnsi="Times New Roman" w:cs="Times New Roman"/>
          <w:sz w:val="24"/>
          <w:szCs w:val="24"/>
          <w:lang w:val="en-US"/>
        </w:rPr>
        <w:t>the race-and-primary cases</w:t>
      </w:r>
      <w:r w:rsidR="00B42C55">
        <w:rPr>
          <w:rFonts w:ascii="Times New Roman" w:hAnsi="Times New Roman" w:cs="Times New Roman"/>
          <w:sz w:val="24"/>
          <w:szCs w:val="24"/>
          <w:lang w:val="en-US"/>
        </w:rPr>
        <w:t xml:space="preserve"> did establish an initial judicial foray into the regulation of primaries, and </w:t>
      </w:r>
      <w:r w:rsidR="00B42C55">
        <w:rPr>
          <w:rFonts w:ascii="Times New Roman" w:hAnsi="Times New Roman" w:cs="Times New Roman"/>
          <w:i/>
          <w:sz w:val="24"/>
          <w:szCs w:val="24"/>
          <w:lang w:val="en-US"/>
        </w:rPr>
        <w:t>Terry</w:t>
      </w:r>
      <w:r w:rsidR="00B42C55">
        <w:rPr>
          <w:rFonts w:ascii="Times New Roman" w:hAnsi="Times New Roman" w:cs="Times New Roman"/>
          <w:sz w:val="24"/>
          <w:szCs w:val="24"/>
          <w:lang w:val="en-US"/>
        </w:rPr>
        <w:t xml:space="preserve"> established the principle that political associations (including parties) that perform quasi-state functions can be subject to the same judicial scrutiny as states themselves.</w:t>
      </w:r>
    </w:p>
    <w:p w:rsidR="008B0171" w:rsidRPr="00375C71" w:rsidRDefault="00152AFF"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Fifteen years after </w:t>
      </w:r>
      <w:r>
        <w:rPr>
          <w:rFonts w:ascii="Times New Roman" w:hAnsi="Times New Roman" w:cs="Times New Roman"/>
          <w:i/>
          <w:sz w:val="24"/>
          <w:szCs w:val="24"/>
          <w:lang w:val="en-US"/>
        </w:rPr>
        <w:t>Terry</w:t>
      </w:r>
      <w:r w:rsidR="004C2E96">
        <w:rPr>
          <w:rFonts w:ascii="Times New Roman" w:hAnsi="Times New Roman" w:cs="Times New Roman"/>
          <w:i/>
          <w:sz w:val="24"/>
          <w:szCs w:val="24"/>
          <w:lang w:val="en-US"/>
        </w:rPr>
        <w:t xml:space="preserve"> </w:t>
      </w:r>
      <w:r w:rsidR="004C2E96">
        <w:rPr>
          <w:rFonts w:ascii="Times New Roman" w:hAnsi="Times New Roman" w:cs="Times New Roman"/>
          <w:sz w:val="24"/>
          <w:szCs w:val="24"/>
          <w:lang w:val="en-US"/>
        </w:rPr>
        <w:t>and in the wake of the foray into the political thicket</w:t>
      </w:r>
      <w:r w:rsidR="00C3384B">
        <w:rPr>
          <w:rFonts w:ascii="Times New Roman" w:hAnsi="Times New Roman" w:cs="Times New Roman"/>
          <w:sz w:val="24"/>
          <w:szCs w:val="24"/>
          <w:lang w:val="en-US"/>
        </w:rPr>
        <w:t xml:space="preserve"> with the one-person, one-vote jurisprudence</w:t>
      </w:r>
      <w:r w:rsidR="004C2E96">
        <w:rPr>
          <w:rFonts w:ascii="Times New Roman" w:hAnsi="Times New Roman" w:cs="Times New Roman"/>
          <w:sz w:val="24"/>
          <w:szCs w:val="24"/>
          <w:lang w:val="en-US"/>
        </w:rPr>
        <w:t>,</w:t>
      </w:r>
      <w:r w:rsidR="004C2E96">
        <w:rPr>
          <w:rStyle w:val="FootnoteReference"/>
          <w:rFonts w:ascii="Times New Roman" w:hAnsi="Times New Roman" w:cs="Times New Roman"/>
          <w:sz w:val="24"/>
          <w:szCs w:val="24"/>
          <w:lang w:val="en-US"/>
        </w:rPr>
        <w:footnoteReference w:id="10"/>
      </w:r>
      <w:r w:rsidR="004C2E96">
        <w:rPr>
          <w:rFonts w:ascii="Times New Roman" w:hAnsi="Times New Roman" w:cs="Times New Roman"/>
          <w:sz w:val="24"/>
          <w:szCs w:val="24"/>
          <w:lang w:val="en-US"/>
        </w:rPr>
        <w:t xml:space="preserve"> the </w:t>
      </w:r>
      <w:r w:rsidR="00ED2282">
        <w:rPr>
          <w:rFonts w:ascii="Times New Roman" w:hAnsi="Times New Roman" w:cs="Times New Roman"/>
          <w:sz w:val="24"/>
          <w:szCs w:val="24"/>
          <w:lang w:val="en-US"/>
        </w:rPr>
        <w:t>mod</w:t>
      </w:r>
      <w:r>
        <w:rPr>
          <w:rFonts w:ascii="Times New Roman" w:hAnsi="Times New Roman" w:cs="Times New Roman"/>
          <w:sz w:val="24"/>
          <w:szCs w:val="24"/>
          <w:lang w:val="en-US"/>
        </w:rPr>
        <w:t>ern lineage</w:t>
      </w:r>
      <w:r>
        <w:rPr>
          <w:rStyle w:val="FootnoteReference"/>
          <w:rFonts w:ascii="Times New Roman" w:hAnsi="Times New Roman" w:cs="Times New Roman"/>
          <w:sz w:val="24"/>
          <w:szCs w:val="24"/>
          <w:lang w:val="en-US"/>
        </w:rPr>
        <w:footnoteReference w:id="11"/>
      </w:r>
      <w:r w:rsidR="004C2E96">
        <w:rPr>
          <w:rFonts w:ascii="Times New Roman" w:hAnsi="Times New Roman" w:cs="Times New Roman"/>
          <w:sz w:val="24"/>
          <w:szCs w:val="24"/>
          <w:lang w:val="en-US"/>
        </w:rPr>
        <w:t xml:space="preserve"> of Supreme Court </w:t>
      </w:r>
      <w:r>
        <w:rPr>
          <w:rFonts w:ascii="Times New Roman" w:hAnsi="Times New Roman" w:cs="Times New Roman"/>
          <w:sz w:val="24"/>
          <w:szCs w:val="24"/>
          <w:lang w:val="en-US"/>
        </w:rPr>
        <w:t xml:space="preserve">primary regulation began with </w:t>
      </w:r>
      <w:r>
        <w:rPr>
          <w:rFonts w:ascii="Times New Roman" w:hAnsi="Times New Roman" w:cs="Times New Roman"/>
          <w:i/>
          <w:sz w:val="24"/>
          <w:szCs w:val="24"/>
          <w:lang w:val="en-US"/>
        </w:rPr>
        <w:t>Williams v. Rhodes</w:t>
      </w:r>
      <w:r>
        <w:rPr>
          <w:rFonts w:ascii="Times New Roman" w:hAnsi="Times New Roman" w:cs="Times New Roman"/>
          <w:sz w:val="24"/>
          <w:szCs w:val="24"/>
          <w:lang w:val="en-US"/>
        </w:rPr>
        <w:t>.</w:t>
      </w:r>
      <w:r w:rsidR="004C2E96">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w:t>
      </w:r>
      <w:r w:rsidR="00575E2F">
        <w:rPr>
          <w:rFonts w:ascii="Times New Roman" w:hAnsi="Times New Roman" w:cs="Times New Roman"/>
          <w:sz w:val="24"/>
          <w:szCs w:val="24"/>
          <w:lang w:val="en-US"/>
        </w:rPr>
        <w:t>The state election laws at issue made</w:t>
      </w:r>
      <w:r w:rsidR="004C2E96">
        <w:rPr>
          <w:rFonts w:ascii="Times New Roman" w:hAnsi="Times New Roman" w:cs="Times New Roman"/>
          <w:sz w:val="24"/>
          <w:szCs w:val="24"/>
          <w:lang w:val="en-US"/>
        </w:rPr>
        <w:t xml:space="preserve"> it almost impossible for minor parties to </w:t>
      </w:r>
      <w:r w:rsidR="00485D29">
        <w:rPr>
          <w:rFonts w:ascii="Times New Roman" w:hAnsi="Times New Roman" w:cs="Times New Roman"/>
          <w:sz w:val="24"/>
          <w:szCs w:val="24"/>
          <w:lang w:val="en-US"/>
        </w:rPr>
        <w:t>gain access to the final state ballot</w:t>
      </w:r>
      <w:r w:rsidR="00575E2F">
        <w:rPr>
          <w:rFonts w:ascii="Times New Roman" w:hAnsi="Times New Roman" w:cs="Times New Roman"/>
          <w:sz w:val="24"/>
          <w:szCs w:val="24"/>
          <w:lang w:val="en-US"/>
        </w:rPr>
        <w:t xml:space="preserve"> for presidential elections</w:t>
      </w:r>
      <w:r w:rsidR="00485D29">
        <w:rPr>
          <w:rFonts w:ascii="Times New Roman" w:hAnsi="Times New Roman" w:cs="Times New Roman"/>
          <w:sz w:val="24"/>
          <w:szCs w:val="24"/>
          <w:lang w:val="en-US"/>
        </w:rPr>
        <w:t xml:space="preserve">, in large part because a </w:t>
      </w:r>
      <w:r w:rsidR="00575E2F">
        <w:rPr>
          <w:rFonts w:ascii="Times New Roman" w:hAnsi="Times New Roman" w:cs="Times New Roman"/>
          <w:sz w:val="24"/>
          <w:szCs w:val="24"/>
          <w:lang w:val="en-US"/>
        </w:rPr>
        <w:t xml:space="preserve">status as a </w:t>
      </w:r>
      <w:r w:rsidR="00485D29">
        <w:rPr>
          <w:rFonts w:ascii="Times New Roman" w:hAnsi="Times New Roman" w:cs="Times New Roman"/>
          <w:sz w:val="24"/>
          <w:szCs w:val="24"/>
          <w:lang w:val="en-US"/>
        </w:rPr>
        <w:t>new party</w:t>
      </w:r>
      <w:r w:rsidR="00575E2F">
        <w:rPr>
          <w:rFonts w:ascii="Times New Roman" w:hAnsi="Times New Roman" w:cs="Times New Roman"/>
          <w:sz w:val="24"/>
          <w:szCs w:val="24"/>
          <w:lang w:val="en-US"/>
        </w:rPr>
        <w:t xml:space="preserve"> with ballot access</w:t>
      </w:r>
      <w:r w:rsidR="00485D29">
        <w:rPr>
          <w:rFonts w:ascii="Times New Roman" w:hAnsi="Times New Roman" w:cs="Times New Roman"/>
          <w:sz w:val="24"/>
          <w:szCs w:val="24"/>
          <w:lang w:val="en-US"/>
        </w:rPr>
        <w:t xml:space="preserve"> required a number of signatures equal to 15% of the number of ballots cast in the previous gubernatorial election</w:t>
      </w:r>
      <w:r w:rsidR="00735AD7">
        <w:rPr>
          <w:rFonts w:ascii="Times New Roman" w:hAnsi="Times New Roman" w:cs="Times New Roman"/>
          <w:sz w:val="24"/>
          <w:szCs w:val="24"/>
          <w:lang w:val="en-US"/>
        </w:rPr>
        <w:t xml:space="preserve">, followed by the holding of a </w:t>
      </w:r>
      <w:r w:rsidR="00735AD7">
        <w:rPr>
          <w:rFonts w:ascii="Times New Roman" w:hAnsi="Times New Roman" w:cs="Times New Roman"/>
          <w:sz w:val="24"/>
          <w:szCs w:val="24"/>
          <w:lang w:val="en-US"/>
        </w:rPr>
        <w:lastRenderedPageBreak/>
        <w:t>highly structured party primary</w:t>
      </w:r>
      <w:r w:rsidR="00485D29">
        <w:rPr>
          <w:rFonts w:ascii="Times New Roman" w:hAnsi="Times New Roman" w:cs="Times New Roman"/>
          <w:sz w:val="24"/>
          <w:szCs w:val="24"/>
          <w:lang w:val="en-US"/>
        </w:rPr>
        <w:t>.</w:t>
      </w:r>
      <w:r w:rsidR="00DC064D">
        <w:rPr>
          <w:rFonts w:ascii="Times New Roman" w:hAnsi="Times New Roman" w:cs="Times New Roman"/>
          <w:sz w:val="24"/>
          <w:szCs w:val="24"/>
          <w:lang w:val="en-US"/>
        </w:rPr>
        <w:t xml:space="preserve"> </w:t>
      </w:r>
      <w:r w:rsidR="00575E2F">
        <w:rPr>
          <w:rFonts w:ascii="Times New Roman" w:hAnsi="Times New Roman" w:cs="Times New Roman"/>
          <w:sz w:val="24"/>
          <w:szCs w:val="24"/>
          <w:lang w:val="en-US"/>
        </w:rPr>
        <w:t>The Supreme Court deemed the regulations to infringe the right to an effective vote protected by the equal protection clause as well as the right to realize political association protected by the First Amendment.</w:t>
      </w:r>
      <w:r w:rsidR="00575E2F">
        <w:rPr>
          <w:rStyle w:val="FootnoteReference"/>
          <w:rFonts w:ascii="Times New Roman" w:hAnsi="Times New Roman" w:cs="Times New Roman"/>
          <w:sz w:val="24"/>
          <w:szCs w:val="24"/>
          <w:lang w:val="en-US"/>
        </w:rPr>
        <w:footnoteReference w:id="13"/>
      </w:r>
      <w:r w:rsidR="00575E2F">
        <w:rPr>
          <w:rFonts w:ascii="Times New Roman" w:hAnsi="Times New Roman" w:cs="Times New Roman"/>
          <w:sz w:val="24"/>
          <w:szCs w:val="24"/>
          <w:lang w:val="en-US"/>
        </w:rPr>
        <w:t xml:space="preserve"> </w:t>
      </w:r>
      <w:r w:rsidR="005E7B49">
        <w:rPr>
          <w:rFonts w:ascii="Times New Roman" w:hAnsi="Times New Roman" w:cs="Times New Roman"/>
          <w:sz w:val="24"/>
          <w:szCs w:val="24"/>
          <w:lang w:val="en-US"/>
        </w:rPr>
        <w:t xml:space="preserve">The </w:t>
      </w:r>
      <w:r w:rsidR="009B28F1">
        <w:rPr>
          <w:rFonts w:ascii="Times New Roman" w:hAnsi="Times New Roman" w:cs="Times New Roman"/>
          <w:sz w:val="24"/>
          <w:szCs w:val="24"/>
          <w:lang w:val="en-US"/>
        </w:rPr>
        <w:t>higher-order</w:t>
      </w:r>
      <w:r w:rsidR="005E7B49">
        <w:rPr>
          <w:rFonts w:ascii="Times New Roman" w:hAnsi="Times New Roman" w:cs="Times New Roman"/>
          <w:sz w:val="24"/>
          <w:szCs w:val="24"/>
          <w:lang w:val="en-US"/>
        </w:rPr>
        <w:t xml:space="preserve"> argument advanced by the state – that </w:t>
      </w:r>
      <w:r w:rsidR="00436614">
        <w:rPr>
          <w:rFonts w:ascii="Times New Roman" w:hAnsi="Times New Roman" w:cs="Times New Roman"/>
          <w:sz w:val="24"/>
          <w:szCs w:val="24"/>
          <w:lang w:val="en-US"/>
        </w:rPr>
        <w:t>states have a constitutional remit to design elections as they choose</w:t>
      </w:r>
      <w:r w:rsidR="00436614">
        <w:rPr>
          <w:rStyle w:val="FootnoteReference"/>
          <w:rFonts w:ascii="Times New Roman" w:hAnsi="Times New Roman" w:cs="Times New Roman"/>
          <w:sz w:val="24"/>
          <w:szCs w:val="24"/>
          <w:lang w:val="en-US"/>
        </w:rPr>
        <w:footnoteReference w:id="14"/>
      </w:r>
      <w:r w:rsidR="00436614">
        <w:rPr>
          <w:rFonts w:ascii="Times New Roman" w:hAnsi="Times New Roman" w:cs="Times New Roman"/>
          <w:sz w:val="24"/>
          <w:szCs w:val="24"/>
          <w:lang w:val="en-US"/>
        </w:rPr>
        <w:t xml:space="preserve"> </w:t>
      </w:r>
      <w:r w:rsidR="00537958">
        <w:rPr>
          <w:rFonts w:ascii="Times New Roman" w:hAnsi="Times New Roman" w:cs="Times New Roman"/>
          <w:sz w:val="24"/>
          <w:szCs w:val="24"/>
          <w:lang w:val="en-US"/>
        </w:rPr>
        <w:t xml:space="preserve">– was categorically struck down, effectively a prerequisite for this type of judicial intervention. </w:t>
      </w:r>
      <w:r w:rsidR="009B28F1">
        <w:rPr>
          <w:rFonts w:ascii="Times New Roman" w:hAnsi="Times New Roman" w:cs="Times New Roman"/>
          <w:sz w:val="24"/>
          <w:szCs w:val="24"/>
          <w:lang w:val="en-US"/>
        </w:rPr>
        <w:t>The more practical claim that the extensive restrictions on party formation were served by compelling interests – advancing the stability afforded by a two-party system, but also more generally ensuring administrability of the electoral system</w:t>
      </w:r>
      <w:r w:rsidR="009B28F1">
        <w:rPr>
          <w:rStyle w:val="FootnoteReference"/>
          <w:rFonts w:ascii="Times New Roman" w:hAnsi="Times New Roman" w:cs="Times New Roman"/>
          <w:sz w:val="24"/>
          <w:szCs w:val="24"/>
          <w:lang w:val="en-US"/>
        </w:rPr>
        <w:footnoteReference w:id="15"/>
      </w:r>
      <w:r w:rsidR="009B28F1">
        <w:rPr>
          <w:rFonts w:ascii="Times New Roman" w:hAnsi="Times New Roman" w:cs="Times New Roman"/>
          <w:sz w:val="24"/>
          <w:szCs w:val="24"/>
          <w:lang w:val="en-US"/>
        </w:rPr>
        <w:t xml:space="preserve"> – were also rejected. The Court refused to accept that two parties should have a monopoly on power, and concluded that general administrability failed to justify the extensiveness of the “burden on voting and associational rights” effected by the measures.</w:t>
      </w:r>
      <w:r w:rsidR="009B28F1">
        <w:rPr>
          <w:rStyle w:val="FootnoteReference"/>
          <w:rFonts w:ascii="Times New Roman" w:hAnsi="Times New Roman" w:cs="Times New Roman"/>
          <w:sz w:val="24"/>
          <w:szCs w:val="24"/>
          <w:lang w:val="en-US"/>
        </w:rPr>
        <w:footnoteReference w:id="16"/>
      </w:r>
      <w:r w:rsidR="00231CA2">
        <w:rPr>
          <w:rFonts w:ascii="Times New Roman" w:hAnsi="Times New Roman" w:cs="Times New Roman"/>
          <w:i/>
          <w:sz w:val="24"/>
          <w:szCs w:val="24"/>
          <w:lang w:val="en-US"/>
        </w:rPr>
        <w:t xml:space="preserve"> </w:t>
      </w:r>
      <w:r w:rsidR="00231CA2">
        <w:rPr>
          <w:rFonts w:ascii="Times New Roman" w:hAnsi="Times New Roman" w:cs="Times New Roman"/>
          <w:sz w:val="24"/>
          <w:szCs w:val="24"/>
          <w:lang w:val="en-US"/>
        </w:rPr>
        <w:t xml:space="preserve">In a case driven by similar substantive concerns, </w:t>
      </w:r>
      <w:r w:rsidR="00231CA2">
        <w:rPr>
          <w:rFonts w:ascii="Times New Roman" w:hAnsi="Times New Roman" w:cs="Times New Roman"/>
          <w:i/>
          <w:sz w:val="24"/>
          <w:szCs w:val="24"/>
          <w:lang w:val="en-US"/>
        </w:rPr>
        <w:t>Bullock v. Carter,</w:t>
      </w:r>
      <w:r w:rsidR="00231CA2" w:rsidRPr="00735AD7">
        <w:rPr>
          <w:rStyle w:val="FootnoteReference"/>
          <w:rFonts w:ascii="Times New Roman" w:hAnsi="Times New Roman" w:cs="Times New Roman"/>
          <w:sz w:val="24"/>
          <w:szCs w:val="24"/>
          <w:lang w:val="en-US"/>
        </w:rPr>
        <w:footnoteReference w:id="17"/>
      </w:r>
      <w:r w:rsidR="00231CA2">
        <w:rPr>
          <w:rFonts w:ascii="Times New Roman" w:hAnsi="Times New Roman" w:cs="Times New Roman"/>
          <w:i/>
          <w:sz w:val="24"/>
          <w:szCs w:val="24"/>
          <w:lang w:val="en-US"/>
        </w:rPr>
        <w:t xml:space="preserve"> </w:t>
      </w:r>
      <w:r w:rsidR="00231CA2">
        <w:rPr>
          <w:rFonts w:ascii="Times New Roman" w:hAnsi="Times New Roman" w:cs="Times New Roman"/>
          <w:sz w:val="24"/>
          <w:szCs w:val="24"/>
          <w:lang w:val="en-US"/>
        </w:rPr>
        <w:t>the Court likewise deemed prohibitively high filing fees for candidate</w:t>
      </w:r>
      <w:r w:rsidR="00BA239B">
        <w:rPr>
          <w:rFonts w:ascii="Times New Roman" w:hAnsi="Times New Roman" w:cs="Times New Roman"/>
          <w:sz w:val="24"/>
          <w:szCs w:val="24"/>
          <w:lang w:val="en-US"/>
        </w:rPr>
        <w:t xml:space="preserve"> access to the primary ballot</w:t>
      </w:r>
      <w:r w:rsidR="00231CA2">
        <w:rPr>
          <w:rFonts w:ascii="Times New Roman" w:hAnsi="Times New Roman" w:cs="Times New Roman"/>
          <w:sz w:val="24"/>
          <w:szCs w:val="24"/>
          <w:lang w:val="en-US"/>
        </w:rPr>
        <w:t xml:space="preserve"> to </w:t>
      </w:r>
      <w:r w:rsidR="001657F4">
        <w:rPr>
          <w:rFonts w:ascii="Times New Roman" w:hAnsi="Times New Roman" w:cs="Times New Roman"/>
          <w:sz w:val="24"/>
          <w:szCs w:val="24"/>
          <w:lang w:val="en-US"/>
        </w:rPr>
        <w:t>be a violation of equal liberty.</w:t>
      </w:r>
      <w:r w:rsidR="00231CA2">
        <w:rPr>
          <w:rFonts w:ascii="Times New Roman" w:hAnsi="Times New Roman" w:cs="Times New Roman"/>
          <w:sz w:val="24"/>
          <w:szCs w:val="24"/>
          <w:lang w:val="en-US"/>
        </w:rPr>
        <w:t xml:space="preserve"> </w:t>
      </w:r>
      <w:r w:rsidR="008B0171">
        <w:rPr>
          <w:rFonts w:ascii="Times New Roman" w:hAnsi="Times New Roman" w:cs="Times New Roman"/>
          <w:sz w:val="24"/>
          <w:szCs w:val="24"/>
          <w:lang w:val="en-US"/>
        </w:rPr>
        <w:t xml:space="preserve">However, the Court would soon thereafter </w:t>
      </w:r>
      <w:r w:rsidR="00DC0A84">
        <w:rPr>
          <w:rFonts w:ascii="Times New Roman" w:hAnsi="Times New Roman" w:cs="Times New Roman"/>
          <w:sz w:val="24"/>
          <w:szCs w:val="24"/>
          <w:lang w:val="en-US"/>
        </w:rPr>
        <w:t>confirm</w:t>
      </w:r>
      <w:r w:rsidR="008B0171">
        <w:rPr>
          <w:rFonts w:ascii="Times New Roman" w:hAnsi="Times New Roman" w:cs="Times New Roman"/>
          <w:sz w:val="24"/>
          <w:szCs w:val="24"/>
          <w:lang w:val="en-US"/>
        </w:rPr>
        <w:t xml:space="preserve"> in </w:t>
      </w:r>
      <w:proofErr w:type="spellStart"/>
      <w:r w:rsidR="008B0171">
        <w:rPr>
          <w:rFonts w:ascii="Times New Roman" w:hAnsi="Times New Roman" w:cs="Times New Roman"/>
          <w:i/>
          <w:sz w:val="24"/>
          <w:szCs w:val="24"/>
          <w:lang w:val="en-US"/>
        </w:rPr>
        <w:t>Jenness</w:t>
      </w:r>
      <w:proofErr w:type="spellEnd"/>
      <w:r w:rsidR="008B0171">
        <w:rPr>
          <w:rFonts w:ascii="Times New Roman" w:hAnsi="Times New Roman" w:cs="Times New Roman"/>
          <w:i/>
          <w:sz w:val="24"/>
          <w:szCs w:val="24"/>
          <w:lang w:val="en-US"/>
        </w:rPr>
        <w:t xml:space="preserve"> v. Fortson</w:t>
      </w:r>
      <w:r w:rsidR="008B0171">
        <w:rPr>
          <w:rStyle w:val="FootnoteReference"/>
          <w:rFonts w:ascii="Times New Roman" w:hAnsi="Times New Roman" w:cs="Times New Roman"/>
          <w:sz w:val="24"/>
          <w:szCs w:val="24"/>
          <w:lang w:val="en-US"/>
        </w:rPr>
        <w:footnoteReference w:id="18"/>
      </w:r>
      <w:r w:rsidR="008B0171">
        <w:rPr>
          <w:rFonts w:ascii="Times New Roman" w:hAnsi="Times New Roman" w:cs="Times New Roman"/>
          <w:sz w:val="24"/>
          <w:szCs w:val="24"/>
          <w:lang w:val="en-US"/>
        </w:rPr>
        <w:t xml:space="preserve"> that general administrability considerations that keep the number of candidates on a ballot </w:t>
      </w:r>
      <w:r w:rsidR="008B0171">
        <w:rPr>
          <w:rFonts w:ascii="Times New Roman" w:hAnsi="Times New Roman" w:cs="Times New Roman"/>
          <w:i/>
          <w:sz w:val="24"/>
          <w:szCs w:val="24"/>
          <w:lang w:val="en-US"/>
        </w:rPr>
        <w:t>is</w:t>
      </w:r>
      <w:r w:rsidR="008B0171">
        <w:rPr>
          <w:rFonts w:ascii="Times New Roman" w:hAnsi="Times New Roman" w:cs="Times New Roman"/>
          <w:sz w:val="24"/>
          <w:szCs w:val="24"/>
          <w:lang w:val="en-US"/>
        </w:rPr>
        <w:t xml:space="preserve"> a valid interest in primary design</w:t>
      </w:r>
      <w:r w:rsidR="00375C71">
        <w:rPr>
          <w:rFonts w:ascii="Times New Roman" w:hAnsi="Times New Roman" w:cs="Times New Roman"/>
          <w:sz w:val="24"/>
          <w:szCs w:val="24"/>
          <w:lang w:val="en-US"/>
        </w:rPr>
        <w:t>, and that laws justified by such reasons will survive when the constitutional burden is not too great</w:t>
      </w:r>
      <w:r w:rsidR="008B0171">
        <w:rPr>
          <w:rFonts w:ascii="Times New Roman" w:hAnsi="Times New Roman" w:cs="Times New Roman"/>
          <w:sz w:val="24"/>
          <w:szCs w:val="24"/>
          <w:lang w:val="en-US"/>
        </w:rPr>
        <w:t xml:space="preserve">. In </w:t>
      </w:r>
      <w:proofErr w:type="spellStart"/>
      <w:r w:rsidR="00375C71">
        <w:rPr>
          <w:rFonts w:ascii="Times New Roman" w:hAnsi="Times New Roman" w:cs="Times New Roman"/>
          <w:i/>
          <w:sz w:val="24"/>
          <w:szCs w:val="24"/>
          <w:lang w:val="en-US"/>
        </w:rPr>
        <w:t>Jenness</w:t>
      </w:r>
      <w:proofErr w:type="spellEnd"/>
      <w:r w:rsidR="008B0171">
        <w:rPr>
          <w:rFonts w:ascii="Times New Roman" w:hAnsi="Times New Roman" w:cs="Times New Roman"/>
          <w:sz w:val="24"/>
          <w:szCs w:val="24"/>
          <w:lang w:val="en-US"/>
        </w:rPr>
        <w:t xml:space="preserve">, a state law required a non-major-party candidate to submit a petition signed by 5% of eligible voters </w:t>
      </w:r>
      <w:r w:rsidR="00DC64EE">
        <w:rPr>
          <w:rFonts w:ascii="Times New Roman" w:hAnsi="Times New Roman" w:cs="Times New Roman"/>
          <w:sz w:val="24"/>
          <w:szCs w:val="24"/>
          <w:lang w:val="en-US"/>
        </w:rPr>
        <w:t xml:space="preserve">to gain access to a statewide </w:t>
      </w:r>
      <w:r w:rsidR="00B2331E">
        <w:rPr>
          <w:rFonts w:ascii="Times New Roman" w:hAnsi="Times New Roman" w:cs="Times New Roman"/>
          <w:sz w:val="24"/>
          <w:szCs w:val="24"/>
          <w:lang w:val="en-US"/>
        </w:rPr>
        <w:t xml:space="preserve">general election </w:t>
      </w:r>
      <w:r w:rsidR="00DC64EE">
        <w:rPr>
          <w:rFonts w:ascii="Times New Roman" w:hAnsi="Times New Roman" w:cs="Times New Roman"/>
          <w:sz w:val="24"/>
          <w:szCs w:val="24"/>
          <w:lang w:val="en-US"/>
        </w:rPr>
        <w:t>ballot.</w:t>
      </w:r>
      <w:r w:rsidR="00184ED1">
        <w:rPr>
          <w:rFonts w:ascii="Times New Roman" w:hAnsi="Times New Roman" w:cs="Times New Roman"/>
          <w:sz w:val="24"/>
          <w:szCs w:val="24"/>
          <w:lang w:val="en-US"/>
        </w:rPr>
        <w:t xml:space="preserve"> This effectively served as an alternative to winning a party primary as a mechanism for gaining general ballot access.</w:t>
      </w:r>
      <w:r w:rsidR="00DC64EE">
        <w:rPr>
          <w:rFonts w:ascii="Times New Roman" w:hAnsi="Times New Roman" w:cs="Times New Roman"/>
          <w:sz w:val="24"/>
          <w:szCs w:val="24"/>
          <w:lang w:val="en-US"/>
        </w:rPr>
        <w:t xml:space="preserve"> </w:t>
      </w:r>
      <w:r w:rsidR="001239A6">
        <w:rPr>
          <w:rFonts w:ascii="Times New Roman" w:hAnsi="Times New Roman" w:cs="Times New Roman"/>
          <w:sz w:val="24"/>
          <w:szCs w:val="24"/>
          <w:lang w:val="en-US"/>
        </w:rPr>
        <w:t xml:space="preserve">The </w:t>
      </w:r>
      <w:r w:rsidR="0042405F">
        <w:rPr>
          <w:rFonts w:ascii="Times New Roman" w:hAnsi="Times New Roman" w:cs="Times New Roman"/>
          <w:sz w:val="24"/>
          <w:szCs w:val="24"/>
          <w:lang w:val="en-US"/>
        </w:rPr>
        <w:t xml:space="preserve">law was deemed to pass </w:t>
      </w:r>
      <w:r w:rsidR="0042405F">
        <w:rPr>
          <w:rFonts w:ascii="Times New Roman" w:hAnsi="Times New Roman" w:cs="Times New Roman"/>
          <w:sz w:val="24"/>
          <w:szCs w:val="24"/>
          <w:lang w:val="en-US"/>
        </w:rPr>
        <w:lastRenderedPageBreak/>
        <w:t xml:space="preserve">equal protection and associational muster, in part because the requirements were less </w:t>
      </w:r>
      <w:r w:rsidR="00375C71">
        <w:rPr>
          <w:rFonts w:ascii="Times New Roman" w:hAnsi="Times New Roman" w:cs="Times New Roman"/>
          <w:sz w:val="24"/>
          <w:szCs w:val="24"/>
          <w:lang w:val="en-US"/>
        </w:rPr>
        <w:t>onerous</w:t>
      </w:r>
      <w:r w:rsidR="00DC0A84">
        <w:rPr>
          <w:rStyle w:val="FootnoteReference"/>
          <w:rFonts w:ascii="Times New Roman" w:hAnsi="Times New Roman" w:cs="Times New Roman"/>
          <w:sz w:val="24"/>
          <w:szCs w:val="24"/>
          <w:lang w:val="en-US"/>
        </w:rPr>
        <w:footnoteReference w:id="19"/>
      </w:r>
      <w:r w:rsidR="00375C71">
        <w:rPr>
          <w:rFonts w:ascii="Times New Roman" w:hAnsi="Times New Roman" w:cs="Times New Roman"/>
          <w:sz w:val="24"/>
          <w:szCs w:val="24"/>
          <w:lang w:val="en-US"/>
        </w:rPr>
        <w:t xml:space="preserve"> </w:t>
      </w:r>
      <w:r w:rsidR="0042405F">
        <w:rPr>
          <w:rFonts w:ascii="Times New Roman" w:hAnsi="Times New Roman" w:cs="Times New Roman"/>
          <w:sz w:val="24"/>
          <w:szCs w:val="24"/>
          <w:lang w:val="en-US"/>
        </w:rPr>
        <w:t xml:space="preserve">than those at issue in </w:t>
      </w:r>
      <w:r w:rsidR="0042405F">
        <w:rPr>
          <w:rFonts w:ascii="Times New Roman" w:hAnsi="Times New Roman" w:cs="Times New Roman"/>
          <w:i/>
          <w:sz w:val="24"/>
          <w:szCs w:val="24"/>
          <w:lang w:val="en-US"/>
        </w:rPr>
        <w:t xml:space="preserve">Williams </w:t>
      </w:r>
      <w:r w:rsidR="0042405F">
        <w:rPr>
          <w:rFonts w:ascii="Times New Roman" w:hAnsi="Times New Roman" w:cs="Times New Roman"/>
          <w:sz w:val="24"/>
          <w:szCs w:val="24"/>
          <w:lang w:val="en-US"/>
        </w:rPr>
        <w:t xml:space="preserve">and </w:t>
      </w:r>
      <w:r w:rsidR="00DC0A84">
        <w:rPr>
          <w:rFonts w:ascii="Times New Roman" w:hAnsi="Times New Roman" w:cs="Times New Roman"/>
          <w:sz w:val="24"/>
          <w:szCs w:val="24"/>
          <w:lang w:val="en-US"/>
        </w:rPr>
        <w:t>in</w:t>
      </w:r>
      <w:r w:rsidR="0042405F">
        <w:rPr>
          <w:rFonts w:ascii="Times New Roman" w:hAnsi="Times New Roman" w:cs="Times New Roman"/>
          <w:sz w:val="24"/>
          <w:szCs w:val="24"/>
          <w:lang w:val="en-US"/>
        </w:rPr>
        <w:t xml:space="preserve"> part because the regulations advanced </w:t>
      </w:r>
      <w:r w:rsidR="00EB751E">
        <w:rPr>
          <w:rFonts w:ascii="Times New Roman" w:hAnsi="Times New Roman" w:cs="Times New Roman"/>
          <w:sz w:val="24"/>
          <w:szCs w:val="24"/>
          <w:lang w:val="en-US"/>
        </w:rPr>
        <w:t xml:space="preserve">other </w:t>
      </w:r>
      <w:r w:rsidR="0042405F">
        <w:rPr>
          <w:rFonts w:ascii="Times New Roman" w:hAnsi="Times New Roman" w:cs="Times New Roman"/>
          <w:sz w:val="24"/>
          <w:szCs w:val="24"/>
          <w:lang w:val="en-US"/>
        </w:rPr>
        <w:t xml:space="preserve">interests – such as maintaining a manageable general ballot – on reasonable terms. </w:t>
      </w:r>
    </w:p>
    <w:p w:rsidR="00231CA2" w:rsidRPr="00BA239B" w:rsidRDefault="00DC0A8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These early cases on the opportunities of c</w:t>
      </w:r>
      <w:r w:rsidR="000163B2">
        <w:rPr>
          <w:rFonts w:ascii="Times New Roman" w:hAnsi="Times New Roman" w:cs="Times New Roman"/>
          <w:sz w:val="24"/>
          <w:szCs w:val="24"/>
          <w:lang w:val="en-US"/>
        </w:rPr>
        <w:t xml:space="preserve">andidates to gain access to </w:t>
      </w:r>
      <w:r>
        <w:rPr>
          <w:rFonts w:ascii="Times New Roman" w:hAnsi="Times New Roman" w:cs="Times New Roman"/>
          <w:sz w:val="24"/>
          <w:szCs w:val="24"/>
          <w:lang w:val="en-US"/>
        </w:rPr>
        <w:t>ballot</w:t>
      </w:r>
      <w:r w:rsidR="000163B2">
        <w:rPr>
          <w:rFonts w:ascii="Times New Roman" w:hAnsi="Times New Roman" w:cs="Times New Roman"/>
          <w:sz w:val="24"/>
          <w:szCs w:val="24"/>
          <w:lang w:val="en-US"/>
        </w:rPr>
        <w:t>s</w:t>
      </w:r>
      <w:r>
        <w:rPr>
          <w:rFonts w:ascii="Times New Roman" w:hAnsi="Times New Roman" w:cs="Times New Roman"/>
          <w:sz w:val="24"/>
          <w:szCs w:val="24"/>
          <w:lang w:val="en-US"/>
        </w:rPr>
        <w:t xml:space="preserve"> could easily be understood as raising concerns that are fundamentally associational. </w:t>
      </w:r>
      <w:r w:rsidR="00265DD7">
        <w:rPr>
          <w:rFonts w:ascii="Times New Roman" w:hAnsi="Times New Roman" w:cs="Times New Roman"/>
          <w:sz w:val="24"/>
          <w:szCs w:val="24"/>
          <w:lang w:val="en-US"/>
        </w:rPr>
        <w:t xml:space="preserve">Reasonable access to </w:t>
      </w:r>
      <w:r>
        <w:rPr>
          <w:rFonts w:ascii="Times New Roman" w:hAnsi="Times New Roman" w:cs="Times New Roman"/>
          <w:sz w:val="24"/>
          <w:szCs w:val="24"/>
          <w:lang w:val="en-US"/>
        </w:rPr>
        <w:t>election</w:t>
      </w:r>
      <w:r w:rsidR="000163B2">
        <w:rPr>
          <w:rFonts w:ascii="Times New Roman" w:hAnsi="Times New Roman" w:cs="Times New Roman"/>
          <w:sz w:val="24"/>
          <w:szCs w:val="24"/>
          <w:lang w:val="en-US"/>
        </w:rPr>
        <w:t>s</w:t>
      </w:r>
      <w:r>
        <w:rPr>
          <w:rFonts w:ascii="Times New Roman" w:hAnsi="Times New Roman" w:cs="Times New Roman"/>
          <w:sz w:val="24"/>
          <w:szCs w:val="24"/>
          <w:lang w:val="en-US"/>
        </w:rPr>
        <w:t xml:space="preserve"> provides a critical mechanism </w:t>
      </w:r>
      <w:r w:rsidR="00265DD7">
        <w:rPr>
          <w:rFonts w:ascii="Times New Roman" w:hAnsi="Times New Roman" w:cs="Times New Roman"/>
          <w:sz w:val="24"/>
          <w:szCs w:val="24"/>
          <w:lang w:val="en-US"/>
        </w:rPr>
        <w:t>by which groups of voters can realize their</w:t>
      </w:r>
      <w:r w:rsidR="001657F4">
        <w:rPr>
          <w:rFonts w:ascii="Times New Roman" w:hAnsi="Times New Roman" w:cs="Times New Roman"/>
          <w:sz w:val="24"/>
          <w:szCs w:val="24"/>
          <w:lang w:val="en-US"/>
        </w:rPr>
        <w:t xml:space="preserve"> collective political potential; measures that unreasonably obstruct this are thus a clear violation of associational rights. Yet the Court relied on both the </w:t>
      </w:r>
      <w:r w:rsidR="00A108C4">
        <w:rPr>
          <w:rFonts w:ascii="Times New Roman" w:hAnsi="Times New Roman" w:cs="Times New Roman"/>
          <w:sz w:val="24"/>
          <w:szCs w:val="24"/>
          <w:lang w:val="en-US"/>
        </w:rPr>
        <w:t xml:space="preserve">broader </w:t>
      </w:r>
      <w:r w:rsidR="001657F4">
        <w:rPr>
          <w:rFonts w:ascii="Times New Roman" w:hAnsi="Times New Roman" w:cs="Times New Roman"/>
          <w:sz w:val="24"/>
          <w:szCs w:val="24"/>
          <w:lang w:val="en-US"/>
        </w:rPr>
        <w:t xml:space="preserve">right to </w:t>
      </w:r>
      <w:r w:rsidR="00A108C4">
        <w:rPr>
          <w:rFonts w:ascii="Times New Roman" w:hAnsi="Times New Roman" w:cs="Times New Roman"/>
          <w:sz w:val="24"/>
          <w:szCs w:val="24"/>
          <w:lang w:val="en-US"/>
        </w:rPr>
        <w:t>equal voting power</w:t>
      </w:r>
      <w:r w:rsidR="001657F4">
        <w:rPr>
          <w:rFonts w:ascii="Times New Roman" w:hAnsi="Times New Roman" w:cs="Times New Roman"/>
          <w:sz w:val="24"/>
          <w:szCs w:val="24"/>
          <w:lang w:val="en-US"/>
        </w:rPr>
        <w:t xml:space="preserve"> as well as associational rights; indeed, in </w:t>
      </w:r>
      <w:r w:rsidR="001657F4">
        <w:rPr>
          <w:rFonts w:ascii="Times New Roman" w:hAnsi="Times New Roman" w:cs="Times New Roman"/>
          <w:i/>
          <w:sz w:val="24"/>
          <w:szCs w:val="24"/>
          <w:lang w:val="en-US"/>
        </w:rPr>
        <w:t>Bullock</w:t>
      </w:r>
      <w:r w:rsidR="001657F4">
        <w:rPr>
          <w:rFonts w:ascii="Times New Roman" w:hAnsi="Times New Roman" w:cs="Times New Roman"/>
          <w:sz w:val="24"/>
          <w:szCs w:val="24"/>
          <w:lang w:val="en-US"/>
        </w:rPr>
        <w:t>, it characterized deprivation of access to t</w:t>
      </w:r>
      <w:r w:rsidR="00BA239B">
        <w:rPr>
          <w:rFonts w:ascii="Times New Roman" w:hAnsi="Times New Roman" w:cs="Times New Roman"/>
          <w:sz w:val="24"/>
          <w:szCs w:val="24"/>
          <w:lang w:val="en-US"/>
        </w:rPr>
        <w:t>he ballot as wholly as an equal protection wrong.</w:t>
      </w:r>
      <w:r w:rsidR="00BA239B">
        <w:rPr>
          <w:rStyle w:val="FootnoteReference"/>
          <w:rFonts w:ascii="Times New Roman" w:hAnsi="Times New Roman" w:cs="Times New Roman"/>
          <w:sz w:val="24"/>
          <w:szCs w:val="24"/>
          <w:lang w:val="en-US"/>
        </w:rPr>
        <w:footnoteReference w:id="20"/>
      </w:r>
      <w:r w:rsidR="00BA239B">
        <w:rPr>
          <w:rFonts w:ascii="Times New Roman" w:hAnsi="Times New Roman" w:cs="Times New Roman"/>
          <w:sz w:val="24"/>
          <w:szCs w:val="24"/>
          <w:lang w:val="en-US"/>
        </w:rPr>
        <w:t xml:space="preserve"> The predilection for invoking the Fourteenth Amendment may be reflective of the </w:t>
      </w:r>
      <w:r w:rsidR="003E15F5">
        <w:rPr>
          <w:rFonts w:ascii="Times New Roman" w:hAnsi="Times New Roman" w:cs="Times New Roman"/>
          <w:sz w:val="24"/>
          <w:szCs w:val="24"/>
          <w:lang w:val="en-US"/>
        </w:rPr>
        <w:t xml:space="preserve">historical </w:t>
      </w:r>
      <w:r w:rsidR="00BA239B">
        <w:rPr>
          <w:rFonts w:ascii="Times New Roman" w:hAnsi="Times New Roman" w:cs="Times New Roman"/>
          <w:sz w:val="24"/>
          <w:szCs w:val="24"/>
          <w:lang w:val="en-US"/>
        </w:rPr>
        <w:t xml:space="preserve">proximity to </w:t>
      </w:r>
      <w:r w:rsidR="003E15F5">
        <w:rPr>
          <w:rFonts w:ascii="Times New Roman" w:hAnsi="Times New Roman" w:cs="Times New Roman"/>
          <w:sz w:val="24"/>
          <w:szCs w:val="24"/>
          <w:lang w:val="en-US"/>
        </w:rPr>
        <w:t xml:space="preserve">judicial fashioning of the </w:t>
      </w:r>
      <w:r w:rsidR="00BA239B">
        <w:rPr>
          <w:rFonts w:ascii="Times New Roman" w:hAnsi="Times New Roman" w:cs="Times New Roman"/>
          <w:sz w:val="24"/>
          <w:szCs w:val="24"/>
          <w:lang w:val="en-US"/>
        </w:rPr>
        <w:t>one-person one-vote</w:t>
      </w:r>
      <w:r w:rsidR="003E15F5">
        <w:rPr>
          <w:rFonts w:ascii="Times New Roman" w:hAnsi="Times New Roman" w:cs="Times New Roman"/>
          <w:sz w:val="24"/>
          <w:szCs w:val="24"/>
          <w:lang w:val="en-US"/>
        </w:rPr>
        <w:t xml:space="preserve"> principle</w:t>
      </w:r>
      <w:r w:rsidR="005A2E10">
        <w:rPr>
          <w:rFonts w:ascii="Times New Roman" w:hAnsi="Times New Roman" w:cs="Times New Roman"/>
          <w:sz w:val="24"/>
          <w:szCs w:val="24"/>
          <w:lang w:val="en-US"/>
        </w:rPr>
        <w:t xml:space="preserve"> (which invoked the equal protection clause to justify the court’s entry into the political thicket)</w:t>
      </w:r>
      <w:r w:rsidR="00BA239B">
        <w:rPr>
          <w:rFonts w:ascii="Times New Roman" w:hAnsi="Times New Roman" w:cs="Times New Roman"/>
          <w:sz w:val="24"/>
          <w:szCs w:val="24"/>
          <w:lang w:val="en-US"/>
        </w:rPr>
        <w:t>, but regardless it is reflective of the character of Court’s reasoning during its early reviews of primary regulation. Such an approach tended to inspire the Court to make more systemically general enquiries</w:t>
      </w:r>
      <w:r w:rsidR="003E15F5">
        <w:rPr>
          <w:rFonts w:ascii="Times New Roman" w:hAnsi="Times New Roman" w:cs="Times New Roman"/>
          <w:sz w:val="24"/>
          <w:szCs w:val="24"/>
          <w:lang w:val="en-US"/>
        </w:rPr>
        <w:t>.</w:t>
      </w:r>
      <w:r w:rsidR="00BA239B">
        <w:rPr>
          <w:rFonts w:ascii="Times New Roman" w:hAnsi="Times New Roman" w:cs="Times New Roman"/>
          <w:sz w:val="24"/>
          <w:szCs w:val="24"/>
          <w:lang w:val="en-US"/>
        </w:rPr>
        <w:t xml:space="preserve"> </w:t>
      </w:r>
      <w:r w:rsidR="003E15F5">
        <w:rPr>
          <w:rFonts w:ascii="Times New Roman" w:hAnsi="Times New Roman" w:cs="Times New Roman"/>
          <w:sz w:val="24"/>
          <w:szCs w:val="24"/>
          <w:lang w:val="en-US"/>
        </w:rPr>
        <w:t>T</w:t>
      </w:r>
      <w:r w:rsidR="00BA239B">
        <w:rPr>
          <w:rFonts w:ascii="Times New Roman" w:hAnsi="Times New Roman" w:cs="Times New Roman"/>
          <w:sz w:val="24"/>
          <w:szCs w:val="24"/>
          <w:lang w:val="en-US"/>
        </w:rPr>
        <w:t xml:space="preserve">he question was not merely if voters </w:t>
      </w:r>
      <w:r w:rsidR="00FF20BD">
        <w:rPr>
          <w:rFonts w:ascii="Times New Roman" w:hAnsi="Times New Roman" w:cs="Times New Roman"/>
          <w:sz w:val="24"/>
          <w:szCs w:val="24"/>
          <w:lang w:val="en-US"/>
        </w:rPr>
        <w:t xml:space="preserve">were harmed specifically in their capacity as members of associations, </w:t>
      </w:r>
      <w:r w:rsidR="00BA239B">
        <w:rPr>
          <w:rFonts w:ascii="Times New Roman" w:hAnsi="Times New Roman" w:cs="Times New Roman"/>
          <w:sz w:val="24"/>
          <w:szCs w:val="24"/>
          <w:lang w:val="en-US"/>
        </w:rPr>
        <w:t>but if the</w:t>
      </w:r>
      <w:r w:rsidR="002745BB">
        <w:rPr>
          <w:rFonts w:ascii="Times New Roman" w:hAnsi="Times New Roman" w:cs="Times New Roman"/>
          <w:sz w:val="24"/>
          <w:szCs w:val="24"/>
          <w:lang w:val="en-US"/>
        </w:rPr>
        <w:t xml:space="preserve"> constraining effects of the legislation generally fit the political end it allegedly served</w:t>
      </w:r>
      <w:r w:rsidR="003E15F5">
        <w:rPr>
          <w:rFonts w:ascii="Times New Roman" w:hAnsi="Times New Roman" w:cs="Times New Roman"/>
          <w:sz w:val="24"/>
          <w:szCs w:val="24"/>
          <w:lang w:val="en-US"/>
        </w:rPr>
        <w:t xml:space="preserve"> – ensuring fair and legitimate </w:t>
      </w:r>
      <w:r w:rsidR="00164F86">
        <w:rPr>
          <w:rFonts w:ascii="Times New Roman" w:hAnsi="Times New Roman" w:cs="Times New Roman"/>
          <w:sz w:val="24"/>
          <w:szCs w:val="24"/>
          <w:lang w:val="en-US"/>
        </w:rPr>
        <w:t xml:space="preserve">access to </w:t>
      </w:r>
      <w:r w:rsidR="003E15F5">
        <w:rPr>
          <w:rFonts w:ascii="Times New Roman" w:hAnsi="Times New Roman" w:cs="Times New Roman"/>
          <w:sz w:val="24"/>
          <w:szCs w:val="24"/>
          <w:lang w:val="en-US"/>
        </w:rPr>
        <w:t>democratic process</w:t>
      </w:r>
      <w:r w:rsidR="002745BB">
        <w:rPr>
          <w:rFonts w:ascii="Times New Roman" w:hAnsi="Times New Roman" w:cs="Times New Roman"/>
          <w:sz w:val="24"/>
          <w:szCs w:val="24"/>
          <w:lang w:val="en-US"/>
        </w:rPr>
        <w:t>.</w:t>
      </w:r>
      <w:r w:rsidR="002745BB">
        <w:rPr>
          <w:rStyle w:val="FootnoteReference"/>
          <w:rFonts w:ascii="Times New Roman" w:hAnsi="Times New Roman" w:cs="Times New Roman"/>
          <w:sz w:val="24"/>
          <w:szCs w:val="24"/>
          <w:lang w:val="en-US"/>
        </w:rPr>
        <w:footnoteReference w:id="21"/>
      </w:r>
    </w:p>
    <w:p w:rsidR="00CC21EC" w:rsidRDefault="00DC0A8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Subsequent cases continued to balance constitutional rights against asserted state interests in administrability and political welfare</w:t>
      </w:r>
      <w:r w:rsidR="002F77E0">
        <w:rPr>
          <w:rFonts w:ascii="Times New Roman" w:hAnsi="Times New Roman" w:cs="Times New Roman"/>
          <w:sz w:val="24"/>
          <w:szCs w:val="24"/>
          <w:lang w:val="en-US"/>
        </w:rPr>
        <w:t xml:space="preserve">, but </w:t>
      </w:r>
      <w:r w:rsidR="00441F60">
        <w:rPr>
          <w:rFonts w:ascii="Times New Roman" w:hAnsi="Times New Roman" w:cs="Times New Roman"/>
          <w:sz w:val="24"/>
          <w:szCs w:val="24"/>
          <w:lang w:val="en-US"/>
        </w:rPr>
        <w:t>began to</w:t>
      </w:r>
      <w:r w:rsidR="00E34192">
        <w:rPr>
          <w:rFonts w:ascii="Times New Roman" w:hAnsi="Times New Roman" w:cs="Times New Roman"/>
          <w:sz w:val="24"/>
          <w:szCs w:val="24"/>
          <w:lang w:val="en-US"/>
        </w:rPr>
        <w:t xml:space="preserve"> subtly</w:t>
      </w:r>
      <w:r w:rsidR="00441F60">
        <w:rPr>
          <w:rFonts w:ascii="Times New Roman" w:hAnsi="Times New Roman" w:cs="Times New Roman"/>
          <w:sz w:val="24"/>
          <w:szCs w:val="24"/>
          <w:lang w:val="en-US"/>
        </w:rPr>
        <w:t xml:space="preserve"> tilt towards structuring its queries around associational harms</w:t>
      </w:r>
      <w:r w:rsidR="00870BB6">
        <w:rPr>
          <w:rFonts w:ascii="Times New Roman" w:hAnsi="Times New Roman" w:cs="Times New Roman"/>
          <w:sz w:val="24"/>
          <w:szCs w:val="24"/>
          <w:lang w:val="en-US"/>
        </w:rPr>
        <w:t>.</w:t>
      </w:r>
      <w:r w:rsidR="006C6167">
        <w:rPr>
          <w:rFonts w:ascii="Times New Roman" w:hAnsi="Times New Roman" w:cs="Times New Roman"/>
          <w:sz w:val="24"/>
          <w:szCs w:val="24"/>
          <w:lang w:val="en-US"/>
        </w:rPr>
        <w:t xml:space="preserve"> </w:t>
      </w:r>
      <w:r w:rsidR="00A922E8">
        <w:rPr>
          <w:rFonts w:ascii="Times New Roman" w:hAnsi="Times New Roman" w:cs="Times New Roman"/>
          <w:sz w:val="24"/>
          <w:szCs w:val="24"/>
          <w:lang w:val="en-US"/>
        </w:rPr>
        <w:t>This proclivity for associational analysis alone came at the cost of reducing the comprehensiveness and the subtlety of the Court’s analysis</w:t>
      </w:r>
      <w:r w:rsidR="00A108C4">
        <w:rPr>
          <w:rFonts w:ascii="Times New Roman" w:hAnsi="Times New Roman" w:cs="Times New Roman"/>
          <w:sz w:val="24"/>
          <w:szCs w:val="24"/>
          <w:lang w:val="en-US"/>
        </w:rPr>
        <w:t>, a point apparent in a pair of 1970s cases concerned with advance party registration requirements</w:t>
      </w:r>
      <w:r w:rsidR="00A922E8">
        <w:rPr>
          <w:rFonts w:ascii="Times New Roman" w:hAnsi="Times New Roman" w:cs="Times New Roman"/>
          <w:sz w:val="24"/>
          <w:szCs w:val="24"/>
          <w:lang w:val="en-US"/>
        </w:rPr>
        <w:t xml:space="preserve">. </w:t>
      </w:r>
      <w:r w:rsidR="0006629F">
        <w:rPr>
          <w:rFonts w:ascii="Times New Roman" w:hAnsi="Times New Roman" w:cs="Times New Roman"/>
          <w:sz w:val="24"/>
          <w:szCs w:val="24"/>
          <w:lang w:val="en-US"/>
        </w:rPr>
        <w:t xml:space="preserve">In </w:t>
      </w:r>
      <w:r w:rsidR="0006629F">
        <w:rPr>
          <w:rFonts w:ascii="Times New Roman" w:hAnsi="Times New Roman" w:cs="Times New Roman"/>
          <w:i/>
          <w:sz w:val="24"/>
          <w:szCs w:val="24"/>
          <w:lang w:val="en-US"/>
        </w:rPr>
        <w:t>Rosario v. Rockefeller</w:t>
      </w:r>
      <w:r w:rsidR="0006629F">
        <w:rPr>
          <w:rFonts w:ascii="Times New Roman" w:hAnsi="Times New Roman" w:cs="Times New Roman"/>
          <w:sz w:val="24"/>
          <w:szCs w:val="24"/>
          <w:lang w:val="en-US"/>
        </w:rPr>
        <w:t>,</w:t>
      </w:r>
      <w:r w:rsidR="00A108C4">
        <w:rPr>
          <w:rStyle w:val="FootnoteReference"/>
          <w:rFonts w:ascii="Times New Roman" w:hAnsi="Times New Roman" w:cs="Times New Roman"/>
          <w:sz w:val="24"/>
          <w:szCs w:val="24"/>
          <w:lang w:val="en-US"/>
        </w:rPr>
        <w:footnoteReference w:id="22"/>
      </w:r>
      <w:r w:rsidR="0006629F">
        <w:rPr>
          <w:rFonts w:ascii="Times New Roman" w:hAnsi="Times New Roman" w:cs="Times New Roman"/>
          <w:sz w:val="24"/>
          <w:szCs w:val="24"/>
          <w:lang w:val="en-US"/>
        </w:rPr>
        <w:t xml:space="preserve"> the Court </w:t>
      </w:r>
      <w:r w:rsidR="00441F60">
        <w:rPr>
          <w:rFonts w:ascii="Times New Roman" w:hAnsi="Times New Roman" w:cs="Times New Roman"/>
          <w:sz w:val="24"/>
          <w:szCs w:val="24"/>
          <w:lang w:val="en-US"/>
        </w:rPr>
        <w:t xml:space="preserve">permitted </w:t>
      </w:r>
      <w:r w:rsidR="0006629F">
        <w:rPr>
          <w:rFonts w:ascii="Times New Roman" w:hAnsi="Times New Roman" w:cs="Times New Roman"/>
          <w:sz w:val="24"/>
          <w:szCs w:val="24"/>
          <w:lang w:val="en-US"/>
        </w:rPr>
        <w:t xml:space="preserve">a restriction that required party registration 30 days prior to the </w:t>
      </w:r>
      <w:r w:rsidR="0006629F" w:rsidRPr="0006629F">
        <w:rPr>
          <w:rFonts w:ascii="Times New Roman" w:hAnsi="Times New Roman" w:cs="Times New Roman"/>
          <w:sz w:val="24"/>
          <w:szCs w:val="24"/>
          <w:lang w:val="en-US"/>
        </w:rPr>
        <w:t>preceding</w:t>
      </w:r>
      <w:r w:rsidR="0006629F">
        <w:rPr>
          <w:rFonts w:ascii="Times New Roman" w:hAnsi="Times New Roman" w:cs="Times New Roman"/>
          <w:sz w:val="24"/>
          <w:szCs w:val="24"/>
          <w:lang w:val="en-US"/>
        </w:rPr>
        <w:t xml:space="preserve"> general election to vote in the subsequent primary because of the </w:t>
      </w:r>
      <w:r w:rsidR="0032775D">
        <w:rPr>
          <w:rFonts w:ascii="Times New Roman" w:hAnsi="Times New Roman" w:cs="Times New Roman"/>
          <w:sz w:val="24"/>
          <w:szCs w:val="24"/>
          <w:lang w:val="en-US"/>
        </w:rPr>
        <w:t xml:space="preserve">benefit of preventing </w:t>
      </w:r>
      <w:r w:rsidR="00C9084D">
        <w:rPr>
          <w:rFonts w:ascii="Times New Roman" w:hAnsi="Times New Roman" w:cs="Times New Roman"/>
          <w:sz w:val="24"/>
          <w:szCs w:val="24"/>
          <w:lang w:val="en-US"/>
        </w:rPr>
        <w:t xml:space="preserve">‘raiding’ by voters who are not genuinely members of a party to shift the primary outcome. Even though such time limits impose </w:t>
      </w:r>
      <w:r w:rsidR="00C9084D">
        <w:rPr>
          <w:rFonts w:ascii="Times New Roman" w:hAnsi="Times New Roman" w:cs="Times New Roman"/>
          <w:i/>
          <w:sz w:val="24"/>
          <w:szCs w:val="24"/>
          <w:lang w:val="en-US"/>
        </w:rPr>
        <w:t>some</w:t>
      </w:r>
      <w:r w:rsidR="00C9084D">
        <w:rPr>
          <w:rFonts w:ascii="Times New Roman" w:hAnsi="Times New Roman" w:cs="Times New Roman"/>
          <w:sz w:val="24"/>
          <w:szCs w:val="24"/>
          <w:lang w:val="en-US"/>
        </w:rPr>
        <w:t xml:space="preserve"> burden on the ability of voters to influence primaries of their choice, the Court found the advance registration in </w:t>
      </w:r>
      <w:r w:rsidR="00C9084D">
        <w:rPr>
          <w:rFonts w:ascii="Times New Roman" w:hAnsi="Times New Roman" w:cs="Times New Roman"/>
          <w:i/>
          <w:sz w:val="24"/>
          <w:szCs w:val="24"/>
          <w:lang w:val="en-US"/>
        </w:rPr>
        <w:t xml:space="preserve">Rosario </w:t>
      </w:r>
      <w:r w:rsidR="00C9084D" w:rsidRPr="00C9084D">
        <w:rPr>
          <w:rFonts w:ascii="Times New Roman" w:hAnsi="Times New Roman" w:cs="Times New Roman"/>
          <w:sz w:val="24"/>
          <w:szCs w:val="24"/>
          <w:lang w:val="en-US"/>
        </w:rPr>
        <w:t>to be</w:t>
      </w:r>
      <w:r w:rsidR="00441F60" w:rsidRPr="00C9084D">
        <w:rPr>
          <w:rFonts w:ascii="Times New Roman" w:hAnsi="Times New Roman" w:cs="Times New Roman"/>
          <w:sz w:val="24"/>
          <w:szCs w:val="24"/>
          <w:lang w:val="en-US"/>
        </w:rPr>
        <w:t xml:space="preserve"> </w:t>
      </w:r>
      <w:r w:rsidR="00441F60">
        <w:rPr>
          <w:rFonts w:ascii="Times New Roman" w:hAnsi="Times New Roman" w:cs="Times New Roman"/>
          <w:sz w:val="24"/>
          <w:szCs w:val="24"/>
          <w:lang w:val="en-US"/>
        </w:rPr>
        <w:t>neither an equal-protection violation of the franchise nor a heavy burden upon the opportunity to associate.</w:t>
      </w:r>
      <w:r w:rsidR="00441F60">
        <w:rPr>
          <w:rStyle w:val="FootnoteReference"/>
          <w:rFonts w:ascii="Times New Roman" w:hAnsi="Times New Roman" w:cs="Times New Roman"/>
          <w:sz w:val="24"/>
          <w:szCs w:val="24"/>
          <w:lang w:val="en-US"/>
        </w:rPr>
        <w:footnoteReference w:id="23"/>
      </w:r>
      <w:r w:rsidR="00441F60">
        <w:rPr>
          <w:rFonts w:ascii="Times New Roman" w:hAnsi="Times New Roman" w:cs="Times New Roman"/>
          <w:sz w:val="24"/>
          <w:szCs w:val="24"/>
          <w:lang w:val="en-US"/>
        </w:rPr>
        <w:t xml:space="preserve"> </w:t>
      </w:r>
      <w:r w:rsidR="00A922E8">
        <w:rPr>
          <w:rFonts w:ascii="Times New Roman" w:hAnsi="Times New Roman" w:cs="Times New Roman"/>
          <w:sz w:val="24"/>
          <w:szCs w:val="24"/>
          <w:lang w:val="en-US"/>
        </w:rPr>
        <w:t>Y</w:t>
      </w:r>
      <w:r w:rsidR="0006629F">
        <w:rPr>
          <w:rFonts w:ascii="Times New Roman" w:hAnsi="Times New Roman" w:cs="Times New Roman"/>
          <w:sz w:val="24"/>
          <w:szCs w:val="24"/>
          <w:lang w:val="en-US"/>
        </w:rPr>
        <w:t xml:space="preserve">et in </w:t>
      </w:r>
      <w:proofErr w:type="spellStart"/>
      <w:r w:rsidR="0006629F">
        <w:rPr>
          <w:rFonts w:ascii="Times New Roman" w:hAnsi="Times New Roman" w:cs="Times New Roman"/>
          <w:i/>
          <w:sz w:val="24"/>
          <w:szCs w:val="24"/>
          <w:lang w:val="en-US"/>
        </w:rPr>
        <w:t>Kusper</w:t>
      </w:r>
      <w:proofErr w:type="spellEnd"/>
      <w:r w:rsidR="0006629F">
        <w:rPr>
          <w:rFonts w:ascii="Times New Roman" w:hAnsi="Times New Roman" w:cs="Times New Roman"/>
          <w:sz w:val="24"/>
          <w:szCs w:val="24"/>
          <w:lang w:val="en-US"/>
        </w:rPr>
        <w:t xml:space="preserve"> </w:t>
      </w:r>
      <w:r w:rsidR="0006629F">
        <w:rPr>
          <w:rFonts w:ascii="Times New Roman" w:hAnsi="Times New Roman" w:cs="Times New Roman"/>
          <w:i/>
          <w:sz w:val="24"/>
          <w:szCs w:val="24"/>
          <w:lang w:val="en-US"/>
        </w:rPr>
        <w:t xml:space="preserve">v. </w:t>
      </w:r>
      <w:proofErr w:type="spellStart"/>
      <w:r w:rsidR="0006629F">
        <w:rPr>
          <w:rFonts w:ascii="Times New Roman" w:hAnsi="Times New Roman" w:cs="Times New Roman"/>
          <w:i/>
          <w:sz w:val="24"/>
          <w:szCs w:val="24"/>
          <w:lang w:val="en-US"/>
        </w:rPr>
        <w:t>Pontikes</w:t>
      </w:r>
      <w:proofErr w:type="spellEnd"/>
      <w:r w:rsidR="0006629F">
        <w:rPr>
          <w:rFonts w:ascii="Times New Roman" w:hAnsi="Times New Roman" w:cs="Times New Roman"/>
          <w:sz w:val="24"/>
          <w:szCs w:val="24"/>
          <w:lang w:val="en-US"/>
        </w:rPr>
        <w:t xml:space="preserve">, </w:t>
      </w:r>
      <w:r w:rsidR="00C47B00">
        <w:rPr>
          <w:rFonts w:ascii="Times New Roman" w:hAnsi="Times New Roman" w:cs="Times New Roman"/>
          <w:sz w:val="24"/>
          <w:szCs w:val="24"/>
          <w:lang w:val="en-US"/>
        </w:rPr>
        <w:t xml:space="preserve">a statute that prohibited a voter from </w:t>
      </w:r>
      <w:r w:rsidR="00831C8D">
        <w:rPr>
          <w:rFonts w:ascii="Times New Roman" w:hAnsi="Times New Roman" w:cs="Times New Roman"/>
          <w:sz w:val="24"/>
          <w:szCs w:val="24"/>
          <w:lang w:val="en-US"/>
        </w:rPr>
        <w:t>participating</w:t>
      </w:r>
      <w:r w:rsidR="00C47B00">
        <w:rPr>
          <w:rFonts w:ascii="Times New Roman" w:hAnsi="Times New Roman" w:cs="Times New Roman"/>
          <w:sz w:val="24"/>
          <w:szCs w:val="24"/>
          <w:lang w:val="en-US"/>
        </w:rPr>
        <w:t xml:space="preserve"> in the primary of a new party for 23 months after voting in the primary of another party was found to illegitimately infringe associational rights</w:t>
      </w:r>
      <w:r w:rsidR="00A922E8">
        <w:rPr>
          <w:rFonts w:ascii="Times New Roman" w:hAnsi="Times New Roman" w:cs="Times New Roman"/>
          <w:sz w:val="24"/>
          <w:szCs w:val="24"/>
          <w:lang w:val="en-US"/>
        </w:rPr>
        <w:t xml:space="preserve"> (but did not make the same enquiry into general </w:t>
      </w:r>
      <w:r w:rsidR="00CC21EC">
        <w:rPr>
          <w:rFonts w:ascii="Times New Roman" w:hAnsi="Times New Roman" w:cs="Times New Roman"/>
          <w:sz w:val="24"/>
          <w:szCs w:val="24"/>
          <w:lang w:val="en-US"/>
        </w:rPr>
        <w:t xml:space="preserve">access to the electoral </w:t>
      </w:r>
      <w:r w:rsidR="00A922E8">
        <w:rPr>
          <w:rFonts w:ascii="Times New Roman" w:hAnsi="Times New Roman" w:cs="Times New Roman"/>
          <w:sz w:val="24"/>
          <w:szCs w:val="24"/>
          <w:lang w:val="en-US"/>
        </w:rPr>
        <w:t>franchise)</w:t>
      </w:r>
      <w:r w:rsidR="00C47B00">
        <w:rPr>
          <w:rFonts w:ascii="Times New Roman" w:hAnsi="Times New Roman" w:cs="Times New Roman"/>
          <w:sz w:val="24"/>
          <w:szCs w:val="24"/>
          <w:lang w:val="en-US"/>
        </w:rPr>
        <w:t xml:space="preserve">. </w:t>
      </w:r>
      <w:r w:rsidR="00831C8D">
        <w:rPr>
          <w:rFonts w:ascii="Times New Roman" w:hAnsi="Times New Roman" w:cs="Times New Roman"/>
          <w:sz w:val="24"/>
          <w:szCs w:val="24"/>
          <w:lang w:val="en-US"/>
        </w:rPr>
        <w:t xml:space="preserve">The Court treated the law at issue in </w:t>
      </w:r>
      <w:proofErr w:type="spellStart"/>
      <w:r w:rsidR="00831C8D">
        <w:rPr>
          <w:rFonts w:ascii="Times New Roman" w:hAnsi="Times New Roman" w:cs="Times New Roman"/>
          <w:i/>
          <w:sz w:val="24"/>
          <w:szCs w:val="24"/>
          <w:lang w:val="en-US"/>
        </w:rPr>
        <w:t>Kusper</w:t>
      </w:r>
      <w:proofErr w:type="spellEnd"/>
      <w:r w:rsidR="00831C8D">
        <w:rPr>
          <w:rFonts w:ascii="Times New Roman" w:hAnsi="Times New Roman" w:cs="Times New Roman"/>
          <w:sz w:val="24"/>
          <w:szCs w:val="24"/>
          <w:lang w:val="en-US"/>
        </w:rPr>
        <w:t xml:space="preserve"> as substantively </w:t>
      </w:r>
      <w:r w:rsidR="00F741FC">
        <w:rPr>
          <w:rFonts w:ascii="Times New Roman" w:hAnsi="Times New Roman" w:cs="Times New Roman"/>
          <w:sz w:val="24"/>
          <w:szCs w:val="24"/>
          <w:lang w:val="en-US"/>
        </w:rPr>
        <w:t>dissimilar</w:t>
      </w:r>
      <w:r w:rsidR="00A922E8">
        <w:rPr>
          <w:rFonts w:ascii="Times New Roman" w:hAnsi="Times New Roman" w:cs="Times New Roman"/>
          <w:sz w:val="24"/>
          <w:szCs w:val="24"/>
          <w:lang w:val="en-US"/>
        </w:rPr>
        <w:t xml:space="preserve"> from that in </w:t>
      </w:r>
      <w:r w:rsidR="00A922E8">
        <w:rPr>
          <w:rFonts w:ascii="Times New Roman" w:hAnsi="Times New Roman" w:cs="Times New Roman"/>
          <w:i/>
          <w:sz w:val="24"/>
          <w:szCs w:val="24"/>
          <w:lang w:val="en-US"/>
        </w:rPr>
        <w:t>Rosario</w:t>
      </w:r>
      <w:r w:rsidR="00831C8D">
        <w:rPr>
          <w:rFonts w:ascii="Times New Roman" w:hAnsi="Times New Roman" w:cs="Times New Roman"/>
          <w:sz w:val="24"/>
          <w:szCs w:val="24"/>
          <w:lang w:val="en-US"/>
        </w:rPr>
        <w:t>, insofar as it required voters to skip participating in at least one primary before realizing the full participatory benefits of new party affiliation (</w:t>
      </w:r>
      <w:proofErr w:type="spellStart"/>
      <w:r w:rsidR="00831C8D">
        <w:rPr>
          <w:rFonts w:ascii="Times New Roman" w:hAnsi="Times New Roman" w:cs="Times New Roman"/>
          <w:sz w:val="24"/>
          <w:szCs w:val="24"/>
          <w:lang w:val="en-US"/>
        </w:rPr>
        <w:t>ie</w:t>
      </w:r>
      <w:proofErr w:type="spellEnd"/>
      <w:r w:rsidR="00831C8D">
        <w:rPr>
          <w:rFonts w:ascii="Times New Roman" w:hAnsi="Times New Roman" w:cs="Times New Roman"/>
          <w:sz w:val="24"/>
          <w:szCs w:val="24"/>
          <w:lang w:val="en-US"/>
        </w:rPr>
        <w:t>, voting in a primary).</w:t>
      </w:r>
      <w:r w:rsidR="00831C8D">
        <w:rPr>
          <w:rStyle w:val="FootnoteReference"/>
          <w:rFonts w:ascii="Times New Roman" w:hAnsi="Times New Roman" w:cs="Times New Roman"/>
          <w:sz w:val="24"/>
          <w:szCs w:val="24"/>
          <w:lang w:val="en-US"/>
        </w:rPr>
        <w:footnoteReference w:id="24"/>
      </w:r>
      <w:r w:rsidR="00831C8D">
        <w:rPr>
          <w:rFonts w:ascii="Times New Roman" w:hAnsi="Times New Roman" w:cs="Times New Roman"/>
          <w:sz w:val="24"/>
          <w:szCs w:val="24"/>
          <w:lang w:val="en-US"/>
        </w:rPr>
        <w:t xml:space="preserve"> </w:t>
      </w:r>
      <w:r w:rsidR="00F741FC">
        <w:rPr>
          <w:rFonts w:ascii="Times New Roman" w:hAnsi="Times New Roman" w:cs="Times New Roman"/>
          <w:sz w:val="24"/>
          <w:szCs w:val="24"/>
          <w:lang w:val="en-US"/>
        </w:rPr>
        <w:t>Yet</w:t>
      </w:r>
      <w:r w:rsidR="00C9084D">
        <w:rPr>
          <w:rFonts w:ascii="Times New Roman" w:hAnsi="Times New Roman" w:cs="Times New Roman"/>
          <w:sz w:val="24"/>
          <w:szCs w:val="24"/>
          <w:lang w:val="en-US"/>
        </w:rPr>
        <w:t xml:space="preserve">, if limited to the associational question, the Court’s differentiation between </w:t>
      </w:r>
      <w:proofErr w:type="spellStart"/>
      <w:r w:rsidR="00C9084D">
        <w:rPr>
          <w:rFonts w:ascii="Times New Roman" w:hAnsi="Times New Roman" w:cs="Times New Roman"/>
          <w:sz w:val="24"/>
          <w:szCs w:val="24"/>
          <w:lang w:val="en-US"/>
        </w:rPr>
        <w:t>theses</w:t>
      </w:r>
      <w:proofErr w:type="spellEnd"/>
      <w:r w:rsidR="00C9084D">
        <w:rPr>
          <w:rFonts w:ascii="Times New Roman" w:hAnsi="Times New Roman" w:cs="Times New Roman"/>
          <w:sz w:val="24"/>
          <w:szCs w:val="24"/>
          <w:lang w:val="en-US"/>
        </w:rPr>
        <w:t xml:space="preserve"> cases</w:t>
      </w:r>
      <w:r w:rsidR="00F741FC">
        <w:rPr>
          <w:rFonts w:ascii="Times New Roman" w:hAnsi="Times New Roman" w:cs="Times New Roman"/>
          <w:sz w:val="24"/>
          <w:szCs w:val="24"/>
          <w:lang w:val="en-US"/>
        </w:rPr>
        <w:t xml:space="preserve"> is specious at a structural level</w:t>
      </w:r>
      <w:r w:rsidR="00C9084D">
        <w:rPr>
          <w:rFonts w:ascii="Times New Roman" w:hAnsi="Times New Roman" w:cs="Times New Roman"/>
          <w:sz w:val="24"/>
          <w:szCs w:val="24"/>
          <w:lang w:val="en-US"/>
        </w:rPr>
        <w:t>.</w:t>
      </w:r>
      <w:r w:rsidR="00F741FC">
        <w:rPr>
          <w:rFonts w:ascii="Times New Roman" w:hAnsi="Times New Roman" w:cs="Times New Roman"/>
          <w:sz w:val="24"/>
          <w:szCs w:val="24"/>
          <w:lang w:val="en-US"/>
        </w:rPr>
        <w:t xml:space="preserve"> </w:t>
      </w:r>
      <w:r w:rsidR="00C9084D">
        <w:rPr>
          <w:rFonts w:ascii="Times New Roman" w:hAnsi="Times New Roman" w:cs="Times New Roman"/>
          <w:sz w:val="24"/>
          <w:szCs w:val="24"/>
          <w:lang w:val="en-US"/>
        </w:rPr>
        <w:t>T</w:t>
      </w:r>
      <w:r w:rsidR="00F741FC">
        <w:rPr>
          <w:rFonts w:ascii="Times New Roman" w:hAnsi="Times New Roman" w:cs="Times New Roman"/>
          <w:sz w:val="24"/>
          <w:szCs w:val="24"/>
          <w:lang w:val="en-US"/>
        </w:rPr>
        <w:t xml:space="preserve">he laws at issue in both </w:t>
      </w:r>
      <w:r w:rsidR="00F741FC">
        <w:rPr>
          <w:rFonts w:ascii="Times New Roman" w:hAnsi="Times New Roman" w:cs="Times New Roman"/>
          <w:i/>
          <w:sz w:val="24"/>
          <w:szCs w:val="24"/>
          <w:lang w:val="en-US"/>
        </w:rPr>
        <w:t>Rosario</w:t>
      </w:r>
      <w:r w:rsidR="00F741FC">
        <w:rPr>
          <w:rFonts w:ascii="Times New Roman" w:hAnsi="Times New Roman" w:cs="Times New Roman"/>
          <w:sz w:val="24"/>
          <w:szCs w:val="24"/>
          <w:lang w:val="en-US"/>
        </w:rPr>
        <w:t xml:space="preserve"> and </w:t>
      </w:r>
      <w:proofErr w:type="spellStart"/>
      <w:r w:rsidR="00F741FC">
        <w:rPr>
          <w:rFonts w:ascii="Times New Roman" w:hAnsi="Times New Roman" w:cs="Times New Roman"/>
          <w:i/>
          <w:sz w:val="24"/>
          <w:szCs w:val="24"/>
          <w:lang w:val="en-US"/>
        </w:rPr>
        <w:t>Kusper</w:t>
      </w:r>
      <w:proofErr w:type="spellEnd"/>
      <w:r w:rsidR="00F741FC">
        <w:rPr>
          <w:rFonts w:ascii="Times New Roman" w:hAnsi="Times New Roman" w:cs="Times New Roman"/>
          <w:sz w:val="24"/>
          <w:szCs w:val="24"/>
          <w:lang w:val="en-US"/>
        </w:rPr>
        <w:t xml:space="preserve"> balance the same competing interests of voters’ wish to </w:t>
      </w:r>
      <w:r w:rsidR="00CC21EC">
        <w:rPr>
          <w:rFonts w:ascii="Times New Roman" w:hAnsi="Times New Roman" w:cs="Times New Roman"/>
          <w:sz w:val="24"/>
          <w:szCs w:val="24"/>
          <w:lang w:val="en-US"/>
        </w:rPr>
        <w:t xml:space="preserve">participate and </w:t>
      </w:r>
      <w:r w:rsidR="00F741FC">
        <w:rPr>
          <w:rFonts w:ascii="Times New Roman" w:hAnsi="Times New Roman" w:cs="Times New Roman"/>
          <w:sz w:val="24"/>
          <w:szCs w:val="24"/>
          <w:lang w:val="en-US"/>
        </w:rPr>
        <w:t xml:space="preserve">affiliate freely with the benefit of constraining party participation to genuinely committed voters. </w:t>
      </w:r>
      <w:proofErr w:type="spellStart"/>
      <w:r w:rsidR="00F741FC">
        <w:rPr>
          <w:rFonts w:ascii="Times New Roman" w:hAnsi="Times New Roman" w:cs="Times New Roman"/>
          <w:i/>
          <w:sz w:val="24"/>
          <w:szCs w:val="24"/>
          <w:lang w:val="en-US"/>
        </w:rPr>
        <w:t>Kusper</w:t>
      </w:r>
      <w:proofErr w:type="spellEnd"/>
      <w:r w:rsidR="00F741FC">
        <w:rPr>
          <w:rFonts w:ascii="Times New Roman" w:hAnsi="Times New Roman" w:cs="Times New Roman"/>
          <w:sz w:val="24"/>
          <w:szCs w:val="24"/>
          <w:lang w:val="en-US"/>
        </w:rPr>
        <w:t xml:space="preserve"> merely strikes </w:t>
      </w:r>
      <w:r w:rsidR="00F741FC">
        <w:rPr>
          <w:rFonts w:ascii="Times New Roman" w:hAnsi="Times New Roman" w:cs="Times New Roman"/>
          <w:sz w:val="24"/>
          <w:szCs w:val="24"/>
          <w:lang w:val="en-US"/>
        </w:rPr>
        <w:lastRenderedPageBreak/>
        <w:t xml:space="preserve">a different (and starker) balance; one could argue that a ‘tax’ of one primary to switch party affiliation would simply confer a more intense version of the </w:t>
      </w:r>
      <w:r w:rsidR="00E34192">
        <w:rPr>
          <w:rFonts w:ascii="Times New Roman" w:hAnsi="Times New Roman" w:cs="Times New Roman"/>
          <w:sz w:val="24"/>
          <w:szCs w:val="24"/>
          <w:lang w:val="en-US"/>
        </w:rPr>
        <w:t xml:space="preserve">associative </w:t>
      </w:r>
      <w:r w:rsidR="00F741FC">
        <w:rPr>
          <w:rFonts w:ascii="Times New Roman" w:hAnsi="Times New Roman" w:cs="Times New Roman"/>
          <w:sz w:val="24"/>
          <w:szCs w:val="24"/>
          <w:lang w:val="en-US"/>
        </w:rPr>
        <w:t xml:space="preserve">benefit that allows the law at issue in </w:t>
      </w:r>
      <w:r w:rsidR="00F741FC">
        <w:rPr>
          <w:rFonts w:ascii="Times New Roman" w:hAnsi="Times New Roman" w:cs="Times New Roman"/>
          <w:i/>
          <w:sz w:val="24"/>
          <w:szCs w:val="24"/>
          <w:lang w:val="en-US"/>
        </w:rPr>
        <w:t>Rosario</w:t>
      </w:r>
      <w:r w:rsidR="00F741FC">
        <w:rPr>
          <w:rFonts w:ascii="Times New Roman" w:hAnsi="Times New Roman" w:cs="Times New Roman"/>
          <w:sz w:val="24"/>
          <w:szCs w:val="24"/>
          <w:lang w:val="en-US"/>
        </w:rPr>
        <w:t xml:space="preserve"> to </w:t>
      </w:r>
      <w:r w:rsidR="00E34192">
        <w:rPr>
          <w:rFonts w:ascii="Times New Roman" w:hAnsi="Times New Roman" w:cs="Times New Roman"/>
          <w:sz w:val="24"/>
          <w:szCs w:val="24"/>
          <w:lang w:val="en-US"/>
        </w:rPr>
        <w:t>survive</w:t>
      </w:r>
      <w:r w:rsidR="00F741FC">
        <w:rPr>
          <w:rFonts w:ascii="Times New Roman" w:hAnsi="Times New Roman" w:cs="Times New Roman"/>
          <w:sz w:val="24"/>
          <w:szCs w:val="24"/>
          <w:lang w:val="en-US"/>
        </w:rPr>
        <w:t>. In effect, the distinction between the two cases – decided within a year – appears arbitrary, even aesthetic</w:t>
      </w:r>
      <w:r w:rsidR="0017121F">
        <w:rPr>
          <w:rFonts w:ascii="Times New Roman" w:hAnsi="Times New Roman" w:cs="Times New Roman"/>
          <w:sz w:val="24"/>
          <w:szCs w:val="24"/>
          <w:lang w:val="en-US"/>
        </w:rPr>
        <w:t>, if asked wholly as a question of associational legitimacy</w:t>
      </w:r>
      <w:r w:rsidR="00F741FC">
        <w:rPr>
          <w:rFonts w:ascii="Times New Roman" w:hAnsi="Times New Roman" w:cs="Times New Roman"/>
          <w:sz w:val="24"/>
          <w:szCs w:val="24"/>
          <w:lang w:val="en-US"/>
        </w:rPr>
        <w:t>.</w:t>
      </w:r>
      <w:r w:rsidR="00E36CC1">
        <w:rPr>
          <w:rFonts w:ascii="Times New Roman" w:hAnsi="Times New Roman" w:cs="Times New Roman"/>
          <w:sz w:val="24"/>
          <w:szCs w:val="24"/>
          <w:lang w:val="en-US"/>
        </w:rPr>
        <w:t xml:space="preserve"> </w:t>
      </w:r>
      <w:r w:rsidR="0017121F">
        <w:rPr>
          <w:rFonts w:ascii="Times New Roman" w:hAnsi="Times New Roman" w:cs="Times New Roman"/>
          <w:sz w:val="24"/>
          <w:szCs w:val="24"/>
          <w:lang w:val="en-US"/>
        </w:rPr>
        <w:t>It seems as though an authoritative answer requires a more foundational query</w:t>
      </w:r>
      <w:r w:rsidR="00CC21EC">
        <w:rPr>
          <w:rFonts w:ascii="Times New Roman" w:hAnsi="Times New Roman" w:cs="Times New Roman"/>
          <w:sz w:val="24"/>
          <w:szCs w:val="24"/>
          <w:lang w:val="en-US"/>
        </w:rPr>
        <w:t xml:space="preserve">: how does one set of primary designs serve the ends not merely of party association, but of </w:t>
      </w:r>
      <w:r w:rsidR="00D1413F">
        <w:rPr>
          <w:rFonts w:ascii="Times New Roman" w:hAnsi="Times New Roman" w:cs="Times New Roman"/>
          <w:sz w:val="24"/>
          <w:szCs w:val="24"/>
          <w:lang w:val="en-US"/>
        </w:rPr>
        <w:t xml:space="preserve">fair </w:t>
      </w:r>
      <w:r w:rsidR="00CC21EC">
        <w:rPr>
          <w:rFonts w:ascii="Times New Roman" w:hAnsi="Times New Roman" w:cs="Times New Roman"/>
          <w:sz w:val="24"/>
          <w:szCs w:val="24"/>
          <w:lang w:val="en-US"/>
        </w:rPr>
        <w:t xml:space="preserve">democratic process </w:t>
      </w:r>
      <w:r w:rsidR="00D1413F">
        <w:rPr>
          <w:rFonts w:ascii="Times New Roman" w:hAnsi="Times New Roman" w:cs="Times New Roman"/>
          <w:sz w:val="24"/>
          <w:szCs w:val="24"/>
          <w:lang w:val="en-US"/>
        </w:rPr>
        <w:t>(and particularly equal opportunities of voters to influence such process)</w:t>
      </w:r>
      <w:r w:rsidR="00CC21EC">
        <w:rPr>
          <w:rFonts w:ascii="Times New Roman" w:hAnsi="Times New Roman" w:cs="Times New Roman"/>
          <w:sz w:val="24"/>
          <w:szCs w:val="24"/>
          <w:lang w:val="en-US"/>
        </w:rPr>
        <w:t xml:space="preserve">? The outcomes of the cases may well remain the same under this more generalized analysis – the regulation at issue in </w:t>
      </w:r>
      <w:proofErr w:type="spellStart"/>
      <w:r w:rsidR="00CC21EC">
        <w:rPr>
          <w:rFonts w:ascii="Times New Roman" w:hAnsi="Times New Roman" w:cs="Times New Roman"/>
          <w:i/>
          <w:sz w:val="24"/>
          <w:szCs w:val="24"/>
          <w:lang w:val="en-US"/>
        </w:rPr>
        <w:t>Kusper</w:t>
      </w:r>
      <w:proofErr w:type="spellEnd"/>
      <w:r w:rsidR="00CC21EC">
        <w:rPr>
          <w:rFonts w:ascii="Times New Roman" w:hAnsi="Times New Roman" w:cs="Times New Roman"/>
          <w:sz w:val="24"/>
          <w:szCs w:val="24"/>
          <w:lang w:val="en-US"/>
        </w:rPr>
        <w:t xml:space="preserve"> did more aggressively constrain flexible franchis</w:t>
      </w:r>
      <w:r w:rsidR="005F6DEF">
        <w:rPr>
          <w:rFonts w:ascii="Times New Roman" w:hAnsi="Times New Roman" w:cs="Times New Roman"/>
          <w:sz w:val="24"/>
          <w:szCs w:val="24"/>
          <w:lang w:val="en-US"/>
        </w:rPr>
        <w:t>e access</w:t>
      </w:r>
      <w:r w:rsidR="00D1413F">
        <w:rPr>
          <w:rFonts w:ascii="Times New Roman" w:hAnsi="Times New Roman" w:cs="Times New Roman"/>
          <w:sz w:val="24"/>
          <w:szCs w:val="24"/>
          <w:lang w:val="en-US"/>
        </w:rPr>
        <w:t>, and this could be seen as upsetting equal voter access</w:t>
      </w:r>
      <w:r w:rsidR="00CC21EC">
        <w:rPr>
          <w:rFonts w:ascii="Times New Roman" w:hAnsi="Times New Roman" w:cs="Times New Roman"/>
          <w:sz w:val="24"/>
          <w:szCs w:val="24"/>
          <w:lang w:val="en-US"/>
        </w:rPr>
        <w:t xml:space="preserve"> – but </w:t>
      </w:r>
      <w:r w:rsidR="006D696B">
        <w:rPr>
          <w:rFonts w:ascii="Times New Roman" w:hAnsi="Times New Roman" w:cs="Times New Roman"/>
          <w:sz w:val="24"/>
          <w:szCs w:val="24"/>
          <w:lang w:val="en-US"/>
        </w:rPr>
        <w:t>considering equal protection reasoning as well as associational effect would more fully capture</w:t>
      </w:r>
      <w:r w:rsidR="00CC21EC">
        <w:rPr>
          <w:rFonts w:ascii="Times New Roman" w:hAnsi="Times New Roman" w:cs="Times New Roman"/>
          <w:sz w:val="24"/>
          <w:szCs w:val="24"/>
          <w:lang w:val="en-US"/>
        </w:rPr>
        <w:t xml:space="preserve"> the political stakes at issue.</w:t>
      </w:r>
    </w:p>
    <w:p w:rsidR="00F10362" w:rsidRDefault="00745DC9"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Court’s preference for associational analysis would soon be made explicit, and would ironically make the virtue of equal protection’s substantive impulse a vice. </w:t>
      </w:r>
      <w:r w:rsidR="00E34192">
        <w:rPr>
          <w:rFonts w:ascii="Times New Roman" w:hAnsi="Times New Roman" w:cs="Times New Roman"/>
          <w:sz w:val="24"/>
          <w:szCs w:val="24"/>
          <w:lang w:val="en-US"/>
        </w:rPr>
        <w:t xml:space="preserve">In </w:t>
      </w:r>
      <w:proofErr w:type="spellStart"/>
      <w:r w:rsidR="00E34192">
        <w:rPr>
          <w:rFonts w:ascii="Times New Roman" w:hAnsi="Times New Roman" w:cs="Times New Roman"/>
          <w:i/>
          <w:sz w:val="24"/>
          <w:szCs w:val="24"/>
          <w:lang w:val="en-US"/>
        </w:rPr>
        <w:t>Storer</w:t>
      </w:r>
      <w:proofErr w:type="spellEnd"/>
      <w:r w:rsidR="00E34192">
        <w:rPr>
          <w:rFonts w:ascii="Times New Roman" w:hAnsi="Times New Roman" w:cs="Times New Roman"/>
          <w:i/>
          <w:sz w:val="24"/>
          <w:szCs w:val="24"/>
          <w:lang w:val="en-US"/>
        </w:rPr>
        <w:t xml:space="preserve"> v. Brown</w:t>
      </w:r>
      <w:r w:rsidR="00E34192">
        <w:rPr>
          <w:rFonts w:ascii="Times New Roman" w:hAnsi="Times New Roman" w:cs="Times New Roman"/>
          <w:sz w:val="24"/>
          <w:szCs w:val="24"/>
          <w:lang w:val="en-US"/>
        </w:rPr>
        <w:t xml:space="preserve">, the Court faced the parallel question with regards to independent candidates: what general thresholds might be demanded of them before they can access the general ballot? </w:t>
      </w:r>
      <w:r w:rsidR="00D10937">
        <w:rPr>
          <w:rFonts w:ascii="Times New Roman" w:hAnsi="Times New Roman" w:cs="Times New Roman"/>
          <w:sz w:val="24"/>
          <w:szCs w:val="24"/>
          <w:lang w:val="en-US"/>
        </w:rPr>
        <w:t xml:space="preserve">In </w:t>
      </w:r>
      <w:proofErr w:type="spellStart"/>
      <w:r w:rsidR="00D10937">
        <w:rPr>
          <w:rFonts w:ascii="Times New Roman" w:hAnsi="Times New Roman" w:cs="Times New Roman"/>
          <w:i/>
          <w:sz w:val="24"/>
          <w:szCs w:val="24"/>
          <w:lang w:val="en-US"/>
        </w:rPr>
        <w:t>Storer</w:t>
      </w:r>
      <w:proofErr w:type="spellEnd"/>
      <w:r w:rsidR="00D10937">
        <w:rPr>
          <w:rFonts w:ascii="Times New Roman" w:hAnsi="Times New Roman" w:cs="Times New Roman"/>
          <w:sz w:val="24"/>
          <w:szCs w:val="24"/>
          <w:lang w:val="en-US"/>
        </w:rPr>
        <w:t xml:space="preserve">, the </w:t>
      </w:r>
      <w:r w:rsidR="00FE60B8">
        <w:rPr>
          <w:rFonts w:ascii="Times New Roman" w:hAnsi="Times New Roman" w:cs="Times New Roman"/>
          <w:sz w:val="24"/>
          <w:szCs w:val="24"/>
          <w:lang w:val="en-US"/>
        </w:rPr>
        <w:t xml:space="preserve">Court upheld a state regulation that required a one-year disaffiliation from another party before a candidate could run as an independent candidate. Because of the anti-splintering, factionalism-inhibiting benefit of the regulation, the law survived challenges under both the First Amendment and the Equal Protection Clause. </w:t>
      </w:r>
      <w:r w:rsidR="001F7019">
        <w:rPr>
          <w:rFonts w:ascii="Times New Roman" w:hAnsi="Times New Roman" w:cs="Times New Roman"/>
          <w:sz w:val="24"/>
          <w:szCs w:val="24"/>
          <w:lang w:val="en-US"/>
        </w:rPr>
        <w:t xml:space="preserve">The state interest evoked clearly bears on the associational question – the law prevents disgruntled party members from breaking off and running as independents, and thus confers a benefit that bears directly on the associational question – </w:t>
      </w:r>
      <w:r w:rsidR="00F10362">
        <w:rPr>
          <w:rFonts w:ascii="Times New Roman" w:hAnsi="Times New Roman" w:cs="Times New Roman"/>
          <w:sz w:val="24"/>
          <w:szCs w:val="24"/>
          <w:lang w:val="en-US"/>
        </w:rPr>
        <w:t xml:space="preserve">but the equal protection question is more slippery; does such a limitation impair equal franchise power for </w:t>
      </w:r>
      <w:r w:rsidR="00CE303A">
        <w:rPr>
          <w:rFonts w:ascii="Times New Roman" w:hAnsi="Times New Roman" w:cs="Times New Roman"/>
          <w:sz w:val="24"/>
          <w:szCs w:val="24"/>
          <w:lang w:val="en-US"/>
        </w:rPr>
        <w:t>some (</w:t>
      </w:r>
      <w:r w:rsidR="00F10362">
        <w:rPr>
          <w:rFonts w:ascii="Times New Roman" w:hAnsi="Times New Roman" w:cs="Times New Roman"/>
          <w:sz w:val="24"/>
          <w:szCs w:val="24"/>
          <w:lang w:val="en-US"/>
        </w:rPr>
        <w:t>marginal</w:t>
      </w:r>
      <w:r w:rsidR="00CE303A">
        <w:rPr>
          <w:rFonts w:ascii="Times New Roman" w:hAnsi="Times New Roman" w:cs="Times New Roman"/>
          <w:sz w:val="24"/>
          <w:szCs w:val="24"/>
          <w:lang w:val="en-US"/>
        </w:rPr>
        <w:t>)</w:t>
      </w:r>
      <w:r w:rsidR="00F10362">
        <w:rPr>
          <w:rFonts w:ascii="Times New Roman" w:hAnsi="Times New Roman" w:cs="Times New Roman"/>
          <w:sz w:val="24"/>
          <w:szCs w:val="24"/>
          <w:lang w:val="en-US"/>
        </w:rPr>
        <w:t xml:space="preserve"> party members? The challenge of that query perhaps led the </w:t>
      </w:r>
      <w:proofErr w:type="spellStart"/>
      <w:r w:rsidR="00F10362">
        <w:rPr>
          <w:rFonts w:ascii="Times New Roman" w:hAnsi="Times New Roman" w:cs="Times New Roman"/>
          <w:i/>
          <w:sz w:val="24"/>
          <w:szCs w:val="24"/>
          <w:lang w:val="en-US"/>
        </w:rPr>
        <w:t>Storer</w:t>
      </w:r>
      <w:proofErr w:type="spellEnd"/>
      <w:r w:rsidR="00F10362">
        <w:rPr>
          <w:rFonts w:ascii="Times New Roman" w:hAnsi="Times New Roman" w:cs="Times New Roman"/>
          <w:sz w:val="24"/>
          <w:szCs w:val="24"/>
          <w:lang w:val="en-US"/>
        </w:rPr>
        <w:t xml:space="preserve"> Court to </w:t>
      </w:r>
      <w:r w:rsidR="00F10362">
        <w:rPr>
          <w:rFonts w:ascii="Times New Roman" w:hAnsi="Times New Roman" w:cs="Times New Roman"/>
          <w:sz w:val="24"/>
          <w:szCs w:val="24"/>
          <w:lang w:val="en-US"/>
        </w:rPr>
        <w:lastRenderedPageBreak/>
        <w:t xml:space="preserve">make a statement that anticipated the coming disfavoring of the equal protection clause in primary jurisprudence: </w:t>
      </w:r>
    </w:p>
    <w:p w:rsidR="001F7019" w:rsidRPr="00F10362" w:rsidRDefault="00F10362" w:rsidP="001D0C1C">
      <w:pPr>
        <w:spacing w:line="240" w:lineRule="auto"/>
        <w:ind w:left="567" w:right="522"/>
        <w:rPr>
          <w:rFonts w:ascii="Times New Roman" w:hAnsi="Times New Roman" w:cs="Times New Roman"/>
          <w:sz w:val="20"/>
          <w:szCs w:val="20"/>
          <w:lang w:val="en-US"/>
        </w:rPr>
      </w:pPr>
      <w:r w:rsidRPr="00F10362">
        <w:rPr>
          <w:rFonts w:ascii="Times New Roman" w:hAnsi="Times New Roman" w:cs="Times New Roman"/>
          <w:sz w:val="20"/>
          <w:szCs w:val="20"/>
          <w:lang w:val="en-US"/>
        </w:rPr>
        <w:t>It is very unlikely that all or even a large portion of the state election laws would fail to pass muster under our cases; and the rule fashioned by the Court to pass on constitutional challenges to specific provisions of election laws provides no litmus-paper test for separating those restrictions that are valid from those that are invidious under the Equal Protection Clause. The rule is not self-executing and is no substitute for the hard judgments that must be made. Decision in this context, as in others, is very much a matter of degree.</w:t>
      </w:r>
      <w:r>
        <w:rPr>
          <w:rStyle w:val="FootnoteReference"/>
          <w:rFonts w:ascii="Times New Roman" w:hAnsi="Times New Roman" w:cs="Times New Roman"/>
          <w:sz w:val="20"/>
          <w:szCs w:val="20"/>
          <w:lang w:val="en-US"/>
        </w:rPr>
        <w:footnoteReference w:id="25"/>
      </w:r>
    </w:p>
    <w:p w:rsidR="00E34192" w:rsidRPr="00B0029B" w:rsidRDefault="00F12127"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This statement suggests the </w:t>
      </w:r>
      <w:r w:rsidR="006F32A3">
        <w:rPr>
          <w:rFonts w:ascii="Times New Roman" w:hAnsi="Times New Roman" w:cs="Times New Roman"/>
          <w:sz w:val="24"/>
          <w:szCs w:val="24"/>
          <w:lang w:val="en-US"/>
        </w:rPr>
        <w:t>challenging nature</w:t>
      </w:r>
      <w:r>
        <w:rPr>
          <w:rFonts w:ascii="Times New Roman" w:hAnsi="Times New Roman" w:cs="Times New Roman"/>
          <w:sz w:val="24"/>
          <w:szCs w:val="24"/>
          <w:lang w:val="en-US"/>
        </w:rPr>
        <w:t xml:space="preserve"> of the equal protection clause for assessing questions of electoral process: how a judiciary should enforce minimally satisfactory electoral design from an equality standpoint will be abstract, challenging, and perhaps obscure inquiries, particularly since the very point of democratic politics is to select majoritarian winners and losers. </w:t>
      </w:r>
      <w:r w:rsidR="00D56ADF">
        <w:rPr>
          <w:rFonts w:ascii="Times New Roman" w:hAnsi="Times New Roman" w:cs="Times New Roman"/>
          <w:sz w:val="24"/>
          <w:szCs w:val="24"/>
          <w:lang w:val="en-US"/>
        </w:rPr>
        <w:t xml:space="preserve">Determining if </w:t>
      </w:r>
      <w:r w:rsidR="001C7DCB">
        <w:rPr>
          <w:rFonts w:ascii="Times New Roman" w:hAnsi="Times New Roman" w:cs="Times New Roman"/>
          <w:sz w:val="24"/>
          <w:szCs w:val="24"/>
          <w:lang w:val="en-US"/>
        </w:rPr>
        <w:t xml:space="preserve">equality of </w:t>
      </w:r>
      <w:r w:rsidR="00D56ADF">
        <w:rPr>
          <w:rFonts w:ascii="Times New Roman" w:hAnsi="Times New Roman" w:cs="Times New Roman"/>
          <w:sz w:val="24"/>
          <w:szCs w:val="24"/>
          <w:lang w:val="en-US"/>
        </w:rPr>
        <w:t xml:space="preserve">voter </w:t>
      </w:r>
      <w:r w:rsidR="001C7DCB">
        <w:rPr>
          <w:rFonts w:ascii="Times New Roman" w:hAnsi="Times New Roman" w:cs="Times New Roman"/>
          <w:sz w:val="24"/>
          <w:szCs w:val="24"/>
          <w:lang w:val="en-US"/>
        </w:rPr>
        <w:t xml:space="preserve">liberty </w:t>
      </w:r>
      <w:r w:rsidR="00D56ADF">
        <w:rPr>
          <w:rFonts w:ascii="Times New Roman" w:hAnsi="Times New Roman" w:cs="Times New Roman"/>
          <w:sz w:val="24"/>
          <w:szCs w:val="24"/>
          <w:lang w:val="en-US"/>
        </w:rPr>
        <w:t xml:space="preserve">is excessively burdened by statutory design of electoral process (unless the regulation is of an explicitly </w:t>
      </w:r>
      <w:r w:rsidR="005A369D">
        <w:rPr>
          <w:rFonts w:ascii="Times New Roman" w:hAnsi="Times New Roman" w:cs="Times New Roman"/>
          <w:sz w:val="24"/>
          <w:szCs w:val="24"/>
          <w:lang w:val="en-US"/>
        </w:rPr>
        <w:t>unconstitutional</w:t>
      </w:r>
      <w:r w:rsidR="00D56ADF">
        <w:rPr>
          <w:rFonts w:ascii="Times New Roman" w:hAnsi="Times New Roman" w:cs="Times New Roman"/>
          <w:sz w:val="24"/>
          <w:szCs w:val="24"/>
          <w:lang w:val="en-US"/>
        </w:rPr>
        <w:t xml:space="preserve"> character, such as racially discriminatory statutes) seems like an inevitably </w:t>
      </w:r>
      <w:r w:rsidR="006F32A3">
        <w:rPr>
          <w:rFonts w:ascii="Times New Roman" w:hAnsi="Times New Roman" w:cs="Times New Roman"/>
          <w:sz w:val="24"/>
          <w:szCs w:val="24"/>
          <w:lang w:val="en-US"/>
        </w:rPr>
        <w:t>substantive query</w:t>
      </w:r>
      <w:r w:rsidR="00D56ADF">
        <w:rPr>
          <w:rFonts w:ascii="Times New Roman" w:hAnsi="Times New Roman" w:cs="Times New Roman"/>
          <w:sz w:val="24"/>
          <w:szCs w:val="24"/>
          <w:lang w:val="en-US"/>
        </w:rPr>
        <w:t xml:space="preserve">. </w:t>
      </w:r>
      <w:r w:rsidR="006F32A3">
        <w:rPr>
          <w:rFonts w:ascii="Times New Roman" w:hAnsi="Times New Roman" w:cs="Times New Roman"/>
          <w:sz w:val="24"/>
          <w:szCs w:val="24"/>
          <w:lang w:val="en-US"/>
        </w:rPr>
        <w:t>C</w:t>
      </w:r>
      <w:r w:rsidR="001C7DCB">
        <w:rPr>
          <w:rFonts w:ascii="Times New Roman" w:hAnsi="Times New Roman" w:cs="Times New Roman"/>
          <w:sz w:val="24"/>
          <w:szCs w:val="24"/>
          <w:lang w:val="en-US"/>
        </w:rPr>
        <w:t xml:space="preserve">ourts can only definitely perform the analysis by adverting to a substantive theory of just popular self-rule. </w:t>
      </w:r>
      <w:r w:rsidR="00D56ADF">
        <w:rPr>
          <w:rFonts w:ascii="Times New Roman" w:hAnsi="Times New Roman" w:cs="Times New Roman"/>
          <w:sz w:val="24"/>
          <w:szCs w:val="24"/>
          <w:lang w:val="en-US"/>
        </w:rPr>
        <w:t>I</w:t>
      </w:r>
      <w:r>
        <w:rPr>
          <w:rFonts w:ascii="Times New Roman" w:hAnsi="Times New Roman" w:cs="Times New Roman"/>
          <w:sz w:val="24"/>
          <w:szCs w:val="24"/>
          <w:lang w:val="en-US"/>
        </w:rPr>
        <w:t>t may be th</w:t>
      </w:r>
      <w:r w:rsidR="00D56ADF">
        <w:rPr>
          <w:rFonts w:ascii="Times New Roman" w:hAnsi="Times New Roman" w:cs="Times New Roman"/>
          <w:sz w:val="24"/>
          <w:szCs w:val="24"/>
          <w:lang w:val="en-US"/>
        </w:rPr>
        <w:t>is quality</w:t>
      </w:r>
      <w:r>
        <w:rPr>
          <w:rFonts w:ascii="Times New Roman" w:hAnsi="Times New Roman" w:cs="Times New Roman"/>
          <w:sz w:val="24"/>
          <w:szCs w:val="24"/>
          <w:lang w:val="en-US"/>
        </w:rPr>
        <w:t xml:space="preserve"> that </w:t>
      </w:r>
      <w:r w:rsidR="00D56ADF">
        <w:rPr>
          <w:rFonts w:ascii="Times New Roman" w:hAnsi="Times New Roman" w:cs="Times New Roman"/>
          <w:sz w:val="24"/>
          <w:szCs w:val="24"/>
          <w:lang w:val="en-US"/>
        </w:rPr>
        <w:t xml:space="preserve">has </w:t>
      </w:r>
      <w:r>
        <w:rPr>
          <w:rFonts w:ascii="Times New Roman" w:hAnsi="Times New Roman" w:cs="Times New Roman"/>
          <w:sz w:val="24"/>
          <w:szCs w:val="24"/>
          <w:lang w:val="en-US"/>
        </w:rPr>
        <w:t>led</w:t>
      </w:r>
      <w:r w:rsidR="006F32A3">
        <w:rPr>
          <w:rFonts w:ascii="Times New Roman" w:hAnsi="Times New Roman" w:cs="Times New Roman"/>
          <w:sz w:val="24"/>
          <w:szCs w:val="24"/>
          <w:lang w:val="en-US"/>
        </w:rPr>
        <w:t xml:space="preserve"> </w:t>
      </w:r>
      <w:r>
        <w:rPr>
          <w:rFonts w:ascii="Times New Roman" w:hAnsi="Times New Roman" w:cs="Times New Roman"/>
          <w:sz w:val="24"/>
          <w:szCs w:val="24"/>
          <w:lang w:val="en-US"/>
        </w:rPr>
        <w:t>to a prefere</w:t>
      </w:r>
      <w:r w:rsidR="00D56ADF">
        <w:rPr>
          <w:rFonts w:ascii="Times New Roman" w:hAnsi="Times New Roman" w:cs="Times New Roman"/>
          <w:sz w:val="24"/>
          <w:szCs w:val="24"/>
          <w:lang w:val="en-US"/>
        </w:rPr>
        <w:t>nce for using the more conceptually tractable</w:t>
      </w:r>
      <w:r>
        <w:rPr>
          <w:rFonts w:ascii="Times New Roman" w:hAnsi="Times New Roman" w:cs="Times New Roman"/>
          <w:sz w:val="24"/>
          <w:szCs w:val="24"/>
          <w:lang w:val="en-US"/>
        </w:rPr>
        <w:t xml:space="preserve"> associational right for querying the nature of primary design.</w:t>
      </w:r>
      <w:r w:rsidR="00BA6CBE">
        <w:rPr>
          <w:rFonts w:ascii="Times New Roman" w:hAnsi="Times New Roman" w:cs="Times New Roman"/>
          <w:sz w:val="24"/>
          <w:szCs w:val="24"/>
          <w:lang w:val="en-US"/>
        </w:rPr>
        <w:t xml:space="preserve"> </w:t>
      </w:r>
      <w:r w:rsidR="001C7DCB">
        <w:rPr>
          <w:rFonts w:ascii="Times New Roman" w:hAnsi="Times New Roman" w:cs="Times New Roman"/>
          <w:sz w:val="24"/>
          <w:szCs w:val="24"/>
          <w:lang w:val="en-US"/>
        </w:rPr>
        <w:t xml:space="preserve">The concept of unburdened association, at least, can be analyzed with some degree of isolation from the demand for a broader concept of politics. </w:t>
      </w:r>
    </w:p>
    <w:p w:rsidR="00F12127" w:rsidRDefault="00FB1543"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D2427">
        <w:rPr>
          <w:rFonts w:ascii="Times New Roman" w:hAnsi="Times New Roman" w:cs="Times New Roman"/>
          <w:sz w:val="24"/>
          <w:szCs w:val="24"/>
          <w:lang w:val="en-US"/>
        </w:rPr>
        <w:t>affinity</w:t>
      </w:r>
      <w:r>
        <w:rPr>
          <w:rFonts w:ascii="Times New Roman" w:hAnsi="Times New Roman" w:cs="Times New Roman"/>
          <w:sz w:val="24"/>
          <w:szCs w:val="24"/>
          <w:lang w:val="en-US"/>
        </w:rPr>
        <w:t xml:space="preserve"> for associational analysis seemed to </w:t>
      </w:r>
      <w:r w:rsidR="000E2E4A">
        <w:rPr>
          <w:rFonts w:ascii="Times New Roman" w:hAnsi="Times New Roman" w:cs="Times New Roman"/>
          <w:sz w:val="24"/>
          <w:szCs w:val="24"/>
          <w:lang w:val="en-US"/>
        </w:rPr>
        <w:t xml:space="preserve">reach high tide </w:t>
      </w:r>
      <w:r>
        <w:rPr>
          <w:rFonts w:ascii="Times New Roman" w:hAnsi="Times New Roman" w:cs="Times New Roman"/>
          <w:sz w:val="24"/>
          <w:szCs w:val="24"/>
          <w:lang w:val="en-US"/>
        </w:rPr>
        <w:t xml:space="preserve">in </w:t>
      </w:r>
      <w:r w:rsidR="00C161A2">
        <w:rPr>
          <w:rFonts w:ascii="Times New Roman" w:hAnsi="Times New Roman" w:cs="Times New Roman"/>
          <w:i/>
          <w:sz w:val="24"/>
          <w:szCs w:val="24"/>
          <w:lang w:val="en-US"/>
        </w:rPr>
        <w:t xml:space="preserve">Cousins v. </w:t>
      </w:r>
      <w:proofErr w:type="spellStart"/>
      <w:r w:rsidR="00C161A2">
        <w:rPr>
          <w:rFonts w:ascii="Times New Roman" w:hAnsi="Times New Roman" w:cs="Times New Roman"/>
          <w:i/>
          <w:sz w:val="24"/>
          <w:szCs w:val="24"/>
          <w:lang w:val="en-US"/>
        </w:rPr>
        <w:t>Wigoda</w:t>
      </w:r>
      <w:proofErr w:type="spellEnd"/>
      <w:r w:rsidR="00C161A2">
        <w:rPr>
          <w:rFonts w:ascii="Times New Roman" w:hAnsi="Times New Roman" w:cs="Times New Roman"/>
          <w:sz w:val="24"/>
          <w:szCs w:val="24"/>
          <w:lang w:val="en-US"/>
        </w:rPr>
        <w:t xml:space="preserve"> and </w:t>
      </w:r>
      <w:r w:rsidR="00C161A2">
        <w:rPr>
          <w:rFonts w:ascii="Times New Roman" w:hAnsi="Times New Roman" w:cs="Times New Roman"/>
          <w:i/>
          <w:sz w:val="24"/>
          <w:szCs w:val="24"/>
          <w:lang w:val="en-US"/>
        </w:rPr>
        <w:t>Democratic Party of Wisconsin v. La Follette</w:t>
      </w:r>
      <w:r w:rsidR="00C161A2">
        <w:rPr>
          <w:rFonts w:ascii="Times New Roman" w:hAnsi="Times New Roman" w:cs="Times New Roman"/>
          <w:sz w:val="24"/>
          <w:szCs w:val="24"/>
          <w:lang w:val="en-US"/>
        </w:rPr>
        <w:t>, in which the Court, pointing to associational rights, concluded that party autonomy trumps state law in determining the rules by which state delegates are seated at a national party convention</w:t>
      </w:r>
      <w:r w:rsidR="006F32A3">
        <w:rPr>
          <w:rFonts w:ascii="Times New Roman" w:hAnsi="Times New Roman" w:cs="Times New Roman"/>
          <w:sz w:val="24"/>
          <w:szCs w:val="24"/>
          <w:lang w:val="en-US"/>
        </w:rPr>
        <w:t xml:space="preserve"> – a question with particular ramifications for </w:t>
      </w:r>
      <w:r w:rsidR="006F32A3">
        <w:rPr>
          <w:rFonts w:ascii="Times New Roman" w:hAnsi="Times New Roman" w:cs="Times New Roman"/>
          <w:sz w:val="24"/>
          <w:szCs w:val="24"/>
          <w:lang w:val="en-US"/>
        </w:rPr>
        <w:lastRenderedPageBreak/>
        <w:t>presidential elections</w:t>
      </w:r>
      <w:r w:rsidR="00C161A2">
        <w:rPr>
          <w:rFonts w:ascii="Times New Roman" w:hAnsi="Times New Roman" w:cs="Times New Roman"/>
          <w:sz w:val="24"/>
          <w:szCs w:val="24"/>
          <w:lang w:val="en-US"/>
        </w:rPr>
        <w:t>. While the associational right is certainly the appropriate legal gloss for the challenger to a law, the Court’s unflinching rejection of the countervailing interest</w:t>
      </w:r>
      <w:r w:rsidR="006F32A3">
        <w:rPr>
          <w:rFonts w:ascii="Times New Roman" w:hAnsi="Times New Roman" w:cs="Times New Roman"/>
          <w:sz w:val="24"/>
          <w:szCs w:val="24"/>
          <w:lang w:val="en-US"/>
        </w:rPr>
        <w:t>s</w:t>
      </w:r>
      <w:r w:rsidR="00C161A2">
        <w:rPr>
          <w:rFonts w:ascii="Times New Roman" w:hAnsi="Times New Roman" w:cs="Times New Roman"/>
          <w:sz w:val="24"/>
          <w:szCs w:val="24"/>
          <w:lang w:val="en-US"/>
        </w:rPr>
        <w:t xml:space="preserve"> of </w:t>
      </w:r>
      <w:r w:rsidR="00D66D6A">
        <w:rPr>
          <w:rFonts w:ascii="Times New Roman" w:hAnsi="Times New Roman" w:cs="Times New Roman"/>
          <w:sz w:val="24"/>
          <w:szCs w:val="24"/>
          <w:lang w:val="en-US"/>
        </w:rPr>
        <w:t>ensuring suffrage</w:t>
      </w:r>
      <w:r w:rsidR="00D66D6A">
        <w:rPr>
          <w:rStyle w:val="FootnoteReference"/>
          <w:rFonts w:ascii="Times New Roman" w:hAnsi="Times New Roman" w:cs="Times New Roman"/>
          <w:sz w:val="24"/>
          <w:szCs w:val="24"/>
          <w:lang w:val="en-US"/>
        </w:rPr>
        <w:footnoteReference w:id="26"/>
      </w:r>
      <w:r w:rsidR="00D66D6A">
        <w:rPr>
          <w:rFonts w:ascii="Times New Roman" w:hAnsi="Times New Roman" w:cs="Times New Roman"/>
          <w:sz w:val="24"/>
          <w:szCs w:val="24"/>
          <w:lang w:val="en-US"/>
        </w:rPr>
        <w:t xml:space="preserve"> or prohibiting “unwise or irrational”</w:t>
      </w:r>
      <w:r w:rsidR="00D66D6A">
        <w:rPr>
          <w:rStyle w:val="FootnoteReference"/>
          <w:rFonts w:ascii="Times New Roman" w:hAnsi="Times New Roman" w:cs="Times New Roman"/>
          <w:sz w:val="24"/>
          <w:szCs w:val="24"/>
          <w:lang w:val="en-US"/>
        </w:rPr>
        <w:footnoteReference w:id="27"/>
      </w:r>
      <w:r w:rsidR="00D66D6A">
        <w:rPr>
          <w:rFonts w:ascii="Times New Roman" w:hAnsi="Times New Roman" w:cs="Times New Roman"/>
          <w:sz w:val="24"/>
          <w:szCs w:val="24"/>
          <w:lang w:val="en-US"/>
        </w:rPr>
        <w:t xml:space="preserve"> practice suggests the degree to which associational interests had become the </w:t>
      </w:r>
      <w:r w:rsidR="006F32A3">
        <w:rPr>
          <w:rFonts w:ascii="Times New Roman" w:hAnsi="Times New Roman" w:cs="Times New Roman"/>
          <w:sz w:val="24"/>
          <w:szCs w:val="24"/>
          <w:lang w:val="en-US"/>
        </w:rPr>
        <w:t xml:space="preserve">touchstone for judicial review </w:t>
      </w:r>
      <w:r w:rsidR="00D66D6A">
        <w:rPr>
          <w:rFonts w:ascii="Times New Roman" w:hAnsi="Times New Roman" w:cs="Times New Roman"/>
          <w:sz w:val="24"/>
          <w:szCs w:val="24"/>
          <w:lang w:val="en-US"/>
        </w:rPr>
        <w:t>of primaries. Thus, the constitutional inquiry into primaries has become dominated by a question that lends itself to the protection of voters organized into institutions, rather than the independent query as to the liberty afforded individual voters, or more general political efficacy as a matter of collective interest.</w:t>
      </w:r>
      <w:r w:rsidR="003C049F">
        <w:rPr>
          <w:rFonts w:ascii="Times New Roman" w:hAnsi="Times New Roman" w:cs="Times New Roman"/>
          <w:sz w:val="24"/>
          <w:szCs w:val="24"/>
          <w:lang w:val="en-US"/>
        </w:rPr>
        <w:t xml:space="preserve"> </w:t>
      </w:r>
      <w:r w:rsidR="003C049F" w:rsidRPr="003C049F">
        <w:rPr>
          <w:rFonts w:ascii="Times New Roman" w:hAnsi="Times New Roman" w:cs="Times New Roman"/>
          <w:sz w:val="24"/>
          <w:szCs w:val="24"/>
          <w:lang w:val="en-US"/>
        </w:rPr>
        <w:t xml:space="preserve">In the thematically related </w:t>
      </w:r>
      <w:r w:rsidR="003C049F" w:rsidRPr="003C049F">
        <w:rPr>
          <w:rFonts w:ascii="Times New Roman" w:hAnsi="Times New Roman" w:cs="Times New Roman"/>
          <w:i/>
          <w:sz w:val="24"/>
          <w:szCs w:val="24"/>
          <w:lang w:val="en-US"/>
        </w:rPr>
        <w:t>Eu v. San Francisco County Democratic Central Committee</w:t>
      </w:r>
      <w:r w:rsidR="003C049F" w:rsidRPr="003C049F">
        <w:rPr>
          <w:rFonts w:ascii="Times New Roman" w:hAnsi="Times New Roman" w:cs="Times New Roman"/>
          <w:sz w:val="24"/>
          <w:szCs w:val="24"/>
          <w:lang w:val="en-US"/>
        </w:rPr>
        <w:t>,</w:t>
      </w:r>
      <w:r w:rsidR="003C049F">
        <w:rPr>
          <w:rStyle w:val="FootnoteReference"/>
          <w:rFonts w:ascii="Times New Roman" w:hAnsi="Times New Roman" w:cs="Times New Roman"/>
          <w:sz w:val="24"/>
          <w:szCs w:val="24"/>
          <w:lang w:val="en-US"/>
        </w:rPr>
        <w:footnoteReference w:id="28"/>
      </w:r>
      <w:r w:rsidR="003C049F" w:rsidRPr="003C049F">
        <w:rPr>
          <w:rFonts w:ascii="Times New Roman" w:hAnsi="Times New Roman" w:cs="Times New Roman"/>
          <w:sz w:val="24"/>
          <w:szCs w:val="24"/>
          <w:lang w:val="en-US"/>
        </w:rPr>
        <w:t xml:space="preserve"> the Supreme Court struck down internal state regulations of party matters (such as internal endorsements</w:t>
      </w:r>
      <w:r w:rsidR="003C049F">
        <w:rPr>
          <w:rFonts w:ascii="Times New Roman" w:hAnsi="Times New Roman" w:cs="Times New Roman"/>
          <w:sz w:val="24"/>
          <w:szCs w:val="24"/>
          <w:lang w:val="en-US"/>
        </w:rPr>
        <w:t xml:space="preserve"> in primaries</w:t>
      </w:r>
      <w:r w:rsidR="003C049F" w:rsidRPr="003C049F">
        <w:rPr>
          <w:rFonts w:ascii="Times New Roman" w:hAnsi="Times New Roman" w:cs="Times New Roman"/>
          <w:sz w:val="24"/>
          <w:szCs w:val="24"/>
          <w:lang w:val="en-US"/>
        </w:rPr>
        <w:t>)</w:t>
      </w:r>
      <w:r w:rsidR="003C049F">
        <w:rPr>
          <w:rFonts w:ascii="Times New Roman" w:hAnsi="Times New Roman" w:cs="Times New Roman"/>
          <w:sz w:val="24"/>
          <w:szCs w:val="24"/>
          <w:lang w:val="en-US"/>
        </w:rPr>
        <w:t>, on similar grounds of democratic self-determination.</w:t>
      </w:r>
    </w:p>
    <w:p w:rsidR="0082314B" w:rsidRDefault="00007778" w:rsidP="00B234C1">
      <w:pPr>
        <w:spacing w:line="48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Thus by the time the Supreme Court turned to the issue that has been most prominent in contemporary primary regulation – the degree to which states may dictate to parties the political affiliation </w:t>
      </w:r>
      <w:r w:rsidR="00673F5F">
        <w:rPr>
          <w:rFonts w:ascii="Times New Roman" w:hAnsi="Times New Roman" w:cs="Times New Roman"/>
          <w:sz w:val="24"/>
          <w:szCs w:val="24"/>
          <w:lang w:val="en-US"/>
        </w:rPr>
        <w:t xml:space="preserve">of voters </w:t>
      </w:r>
      <w:r>
        <w:rPr>
          <w:rFonts w:ascii="Times New Roman" w:hAnsi="Times New Roman" w:cs="Times New Roman"/>
          <w:sz w:val="24"/>
          <w:szCs w:val="24"/>
          <w:lang w:val="en-US"/>
        </w:rPr>
        <w:t xml:space="preserve">in primary participation – the associational interest had emerged as dominant. </w:t>
      </w:r>
      <w:r w:rsidR="0067794C">
        <w:rPr>
          <w:rFonts w:ascii="Times New Roman" w:hAnsi="Times New Roman" w:cs="Times New Roman"/>
          <w:sz w:val="24"/>
          <w:szCs w:val="24"/>
          <w:lang w:val="en-US"/>
        </w:rPr>
        <w:t xml:space="preserve">The seminal question has been if states may </w:t>
      </w:r>
      <w:r w:rsidR="00673F5F">
        <w:rPr>
          <w:rFonts w:ascii="Times New Roman" w:hAnsi="Times New Roman" w:cs="Times New Roman"/>
          <w:sz w:val="24"/>
          <w:szCs w:val="24"/>
          <w:lang w:val="en-US"/>
        </w:rPr>
        <w:t>impose</w:t>
      </w:r>
      <w:r w:rsidR="0067794C">
        <w:rPr>
          <w:rFonts w:ascii="Times New Roman" w:hAnsi="Times New Roman" w:cs="Times New Roman"/>
          <w:sz w:val="24"/>
          <w:szCs w:val="24"/>
          <w:lang w:val="en-US"/>
        </w:rPr>
        <w:t xml:space="preserve"> voter </w:t>
      </w:r>
      <w:r w:rsidR="00673F5F">
        <w:rPr>
          <w:rFonts w:ascii="Times New Roman" w:hAnsi="Times New Roman" w:cs="Times New Roman"/>
          <w:sz w:val="24"/>
          <w:szCs w:val="24"/>
          <w:lang w:val="en-US"/>
        </w:rPr>
        <w:t xml:space="preserve">affiliation requirements </w:t>
      </w:r>
      <w:r w:rsidR="0067794C">
        <w:rPr>
          <w:rFonts w:ascii="Times New Roman" w:hAnsi="Times New Roman" w:cs="Times New Roman"/>
          <w:sz w:val="24"/>
          <w:szCs w:val="24"/>
          <w:lang w:val="en-US"/>
        </w:rPr>
        <w:t xml:space="preserve">with regards to primary participation. </w:t>
      </w:r>
      <w:r w:rsidR="0082314B">
        <w:rPr>
          <w:rFonts w:ascii="Times New Roman" w:hAnsi="Times New Roman" w:cs="Times New Roman"/>
          <w:sz w:val="24"/>
          <w:szCs w:val="24"/>
          <w:lang w:val="en-US"/>
        </w:rPr>
        <w:t xml:space="preserve">There is a dizzying array of such alternatives. </w:t>
      </w:r>
      <w:r w:rsidR="0082314B">
        <w:rPr>
          <w:rFonts w:ascii="Times New Roman" w:hAnsi="Times New Roman" w:cs="Times New Roman"/>
          <w:sz w:val="24"/>
          <w:szCs w:val="24"/>
        </w:rPr>
        <w:t xml:space="preserve">Under a closed primary, only those voters who are members of the party holding the primary may vote on nominees. Under an open primary, a voter may select primary candidates for any party, but can only select from one candidate </w:t>
      </w:r>
      <w:r w:rsidR="0082314B">
        <w:rPr>
          <w:rFonts w:ascii="Times New Roman" w:hAnsi="Times New Roman" w:cs="Times New Roman"/>
          <w:i/>
          <w:sz w:val="24"/>
          <w:szCs w:val="24"/>
        </w:rPr>
        <w:t xml:space="preserve">from all offices, </w:t>
      </w:r>
      <w:r w:rsidR="0082314B">
        <w:rPr>
          <w:rFonts w:ascii="Times New Roman" w:hAnsi="Times New Roman" w:cs="Times New Roman"/>
          <w:sz w:val="24"/>
          <w:szCs w:val="24"/>
        </w:rPr>
        <w:t>and thus is committed to having a voice in the nominees for only one party.</w:t>
      </w:r>
      <w:r w:rsidR="0082314B">
        <w:rPr>
          <w:rStyle w:val="FootnoteReference"/>
          <w:rFonts w:ascii="Times New Roman" w:hAnsi="Times New Roman" w:cs="Times New Roman"/>
          <w:sz w:val="24"/>
          <w:szCs w:val="24"/>
        </w:rPr>
        <w:footnoteReference w:id="29"/>
      </w:r>
      <w:r w:rsidR="0082314B">
        <w:rPr>
          <w:rFonts w:ascii="Times New Roman" w:hAnsi="Times New Roman" w:cs="Times New Roman"/>
          <w:sz w:val="24"/>
          <w:szCs w:val="24"/>
        </w:rPr>
        <w:t xml:space="preserve"> In a blanket primary, voters may cast primary votes for any candidate from any party for any office. Thus in a blanket primary, a voter may be most interested in the question of who will be the Democratic nominee for governor, and cast her </w:t>
      </w:r>
      <w:r w:rsidR="0082314B">
        <w:rPr>
          <w:rFonts w:ascii="Times New Roman" w:hAnsi="Times New Roman" w:cs="Times New Roman"/>
          <w:sz w:val="24"/>
          <w:szCs w:val="24"/>
        </w:rPr>
        <w:lastRenderedPageBreak/>
        <w:t xml:space="preserve">primary vote for governor for the Democratic primary; but most interested in the Republican nominee for Attorney General, and cast her primary vote for the attorney general race for the Republican primary. Under a blanket primary a voter may influence </w:t>
      </w:r>
      <w:r w:rsidR="0082314B">
        <w:rPr>
          <w:rFonts w:ascii="Times New Roman" w:hAnsi="Times New Roman" w:cs="Times New Roman"/>
          <w:i/>
          <w:sz w:val="24"/>
          <w:szCs w:val="24"/>
        </w:rPr>
        <w:t>any</w:t>
      </w:r>
      <w:r w:rsidR="0082314B">
        <w:rPr>
          <w:rFonts w:ascii="Times New Roman" w:hAnsi="Times New Roman" w:cs="Times New Roman"/>
          <w:sz w:val="24"/>
          <w:szCs w:val="24"/>
        </w:rPr>
        <w:t xml:space="preserve"> matrix of primary races without limit as to party (though may only support one candidate per position); under an open primary, may influence any party regardless of voter affiliation, but may only influence </w:t>
      </w:r>
      <w:r w:rsidR="0082314B">
        <w:rPr>
          <w:rFonts w:ascii="Times New Roman" w:hAnsi="Times New Roman" w:cs="Times New Roman"/>
          <w:i/>
          <w:sz w:val="24"/>
          <w:szCs w:val="24"/>
        </w:rPr>
        <w:t>one</w:t>
      </w:r>
      <w:r w:rsidR="0082314B">
        <w:rPr>
          <w:rFonts w:ascii="Times New Roman" w:hAnsi="Times New Roman" w:cs="Times New Roman"/>
          <w:sz w:val="24"/>
          <w:szCs w:val="24"/>
        </w:rPr>
        <w:t xml:space="preserve"> party; and under a closed primary must have a formal voter affiliation with the party in order to participate.</w:t>
      </w:r>
      <w:r w:rsidR="0082314B">
        <w:rPr>
          <w:rStyle w:val="FootnoteReference"/>
          <w:rFonts w:ascii="Times New Roman" w:hAnsi="Times New Roman" w:cs="Times New Roman"/>
          <w:sz w:val="24"/>
          <w:szCs w:val="24"/>
        </w:rPr>
        <w:footnoteReference w:id="30"/>
      </w:r>
      <w:r w:rsidR="0082314B">
        <w:rPr>
          <w:rFonts w:ascii="Times New Roman" w:hAnsi="Times New Roman" w:cs="Times New Roman"/>
          <w:sz w:val="24"/>
          <w:szCs w:val="24"/>
        </w:rPr>
        <w:t xml:space="preserve"> There are further variations on these as well; a so-called modified blanket primary, for example, allow voters to pick freely among candidates regardless of party affiliation, and then the top two candidates for an office advance to the final electoral round (even in both are from the same party).</w:t>
      </w:r>
      <w:r w:rsidR="0082314B">
        <w:rPr>
          <w:rStyle w:val="FootnoteReference"/>
          <w:rFonts w:ascii="Times New Roman" w:hAnsi="Times New Roman" w:cs="Times New Roman"/>
          <w:sz w:val="24"/>
          <w:szCs w:val="24"/>
        </w:rPr>
        <w:footnoteReference w:id="31"/>
      </w:r>
    </w:p>
    <w:p w:rsidR="00F0168F" w:rsidRDefault="00503D71"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rPr>
        <w:t>T</w:t>
      </w:r>
      <w:r w:rsidR="00786588">
        <w:rPr>
          <w:rFonts w:ascii="Times New Roman" w:hAnsi="Times New Roman" w:cs="Times New Roman"/>
          <w:sz w:val="24"/>
          <w:szCs w:val="24"/>
          <w:lang w:val="en-US"/>
        </w:rPr>
        <w:t xml:space="preserve">he Supreme Court’s first </w:t>
      </w:r>
      <w:r w:rsidR="00713697">
        <w:rPr>
          <w:rFonts w:ascii="Times New Roman" w:hAnsi="Times New Roman" w:cs="Times New Roman"/>
          <w:sz w:val="24"/>
          <w:szCs w:val="24"/>
          <w:lang w:val="en-US"/>
        </w:rPr>
        <w:t>discursion</w:t>
      </w:r>
      <w:r w:rsidR="002F5631">
        <w:rPr>
          <w:rStyle w:val="FootnoteReference"/>
          <w:rFonts w:ascii="Times New Roman" w:hAnsi="Times New Roman" w:cs="Times New Roman"/>
          <w:sz w:val="24"/>
          <w:szCs w:val="24"/>
          <w:lang w:val="en-US"/>
        </w:rPr>
        <w:footnoteReference w:id="32"/>
      </w:r>
      <w:r w:rsidR="00786588">
        <w:rPr>
          <w:rFonts w:ascii="Times New Roman" w:hAnsi="Times New Roman" w:cs="Times New Roman"/>
          <w:sz w:val="24"/>
          <w:szCs w:val="24"/>
          <w:lang w:val="en-US"/>
        </w:rPr>
        <w:t xml:space="preserve"> on the topic was in </w:t>
      </w:r>
      <w:proofErr w:type="spellStart"/>
      <w:r w:rsidR="00786588">
        <w:rPr>
          <w:rFonts w:ascii="Times New Roman" w:hAnsi="Times New Roman" w:cs="Times New Roman"/>
          <w:i/>
          <w:sz w:val="24"/>
          <w:szCs w:val="24"/>
          <w:lang w:val="en-US"/>
        </w:rPr>
        <w:t>Tashjian</w:t>
      </w:r>
      <w:proofErr w:type="spellEnd"/>
      <w:r w:rsidR="00786588">
        <w:rPr>
          <w:rFonts w:ascii="Times New Roman" w:hAnsi="Times New Roman" w:cs="Times New Roman"/>
          <w:i/>
          <w:sz w:val="24"/>
          <w:szCs w:val="24"/>
          <w:lang w:val="en-US"/>
        </w:rPr>
        <w:t xml:space="preserve"> v. Republican Party of Connecticut</w:t>
      </w:r>
      <w:r w:rsidR="00713697">
        <w:rPr>
          <w:rFonts w:ascii="Times New Roman" w:hAnsi="Times New Roman" w:cs="Times New Roman"/>
          <w:sz w:val="24"/>
          <w:szCs w:val="24"/>
          <w:lang w:val="en-US"/>
        </w:rPr>
        <w:t xml:space="preserve">, which queried if a state law could mandate closed primaries, when a state party wishes to allow independent voters to participate in its primaries. </w:t>
      </w:r>
      <w:r w:rsidR="00564956">
        <w:rPr>
          <w:rFonts w:ascii="Times New Roman" w:hAnsi="Times New Roman" w:cs="Times New Roman"/>
          <w:sz w:val="24"/>
          <w:szCs w:val="24"/>
          <w:lang w:val="en-US"/>
        </w:rPr>
        <w:t xml:space="preserve">In deeming the law to be an impermissible infringement of associational rights, the Court </w:t>
      </w:r>
      <w:r>
        <w:rPr>
          <w:rFonts w:ascii="Times New Roman" w:hAnsi="Times New Roman" w:cs="Times New Roman"/>
          <w:sz w:val="24"/>
          <w:szCs w:val="24"/>
          <w:lang w:val="en-US"/>
        </w:rPr>
        <w:t xml:space="preserve">provided its clearest articulation yet of </w:t>
      </w:r>
      <w:r w:rsidR="0056495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currently </w:t>
      </w:r>
      <w:r w:rsidR="00564956">
        <w:rPr>
          <w:rFonts w:ascii="Times New Roman" w:hAnsi="Times New Roman" w:cs="Times New Roman"/>
          <w:sz w:val="24"/>
          <w:szCs w:val="24"/>
          <w:lang w:val="en-US"/>
        </w:rPr>
        <w:t>dominant constitutional principle with regards to state primaries</w:t>
      </w:r>
      <w:r>
        <w:rPr>
          <w:rFonts w:ascii="Times New Roman" w:hAnsi="Times New Roman" w:cs="Times New Roman"/>
          <w:sz w:val="24"/>
          <w:szCs w:val="24"/>
          <w:lang w:val="en-US"/>
        </w:rPr>
        <w:t xml:space="preserve"> regulation</w:t>
      </w:r>
      <w:r w:rsidR="00564956">
        <w:rPr>
          <w:rFonts w:ascii="Times New Roman" w:hAnsi="Times New Roman" w:cs="Times New Roman"/>
          <w:sz w:val="24"/>
          <w:szCs w:val="24"/>
          <w:lang w:val="en-US"/>
        </w:rPr>
        <w:t xml:space="preserve">: </w:t>
      </w:r>
      <w:r w:rsidR="007E57FE">
        <w:rPr>
          <w:rFonts w:ascii="Times New Roman" w:hAnsi="Times New Roman" w:cs="Times New Roman"/>
          <w:sz w:val="24"/>
          <w:szCs w:val="24"/>
          <w:lang w:val="en-US"/>
        </w:rPr>
        <w:t>persons (and the parties they comprise) have a right to define the terms of their own association.</w:t>
      </w:r>
      <w:r w:rsidR="00B16558">
        <w:rPr>
          <w:rStyle w:val="FootnoteReference"/>
          <w:rFonts w:ascii="Times New Roman" w:hAnsi="Times New Roman" w:cs="Times New Roman"/>
          <w:sz w:val="24"/>
          <w:szCs w:val="24"/>
          <w:lang w:val="en-US"/>
        </w:rPr>
        <w:footnoteReference w:id="33"/>
      </w:r>
      <w:r w:rsidR="007E57FE">
        <w:rPr>
          <w:rFonts w:ascii="Times New Roman" w:hAnsi="Times New Roman" w:cs="Times New Roman"/>
          <w:sz w:val="24"/>
          <w:szCs w:val="24"/>
          <w:lang w:val="en-US"/>
        </w:rPr>
        <w:t xml:space="preserve"> </w:t>
      </w:r>
      <w:r w:rsidR="00C8759B">
        <w:rPr>
          <w:rFonts w:ascii="Times New Roman" w:hAnsi="Times New Roman" w:cs="Times New Roman"/>
          <w:sz w:val="24"/>
          <w:szCs w:val="24"/>
          <w:lang w:val="en-US"/>
        </w:rPr>
        <w:t>The majority opinion worked through and dismissed the force of the state interests (such as anti-raiding or clarity of party labels)</w:t>
      </w:r>
      <w:r w:rsidR="00B73D47">
        <w:rPr>
          <w:rFonts w:ascii="Times New Roman" w:hAnsi="Times New Roman" w:cs="Times New Roman"/>
          <w:sz w:val="24"/>
          <w:szCs w:val="24"/>
          <w:lang w:val="en-US"/>
        </w:rPr>
        <w:t>,</w:t>
      </w:r>
      <w:r w:rsidR="00B73D47">
        <w:rPr>
          <w:rStyle w:val="FootnoteReference"/>
          <w:rFonts w:ascii="Times New Roman" w:hAnsi="Times New Roman" w:cs="Times New Roman"/>
          <w:sz w:val="24"/>
          <w:szCs w:val="24"/>
          <w:lang w:val="en-US"/>
        </w:rPr>
        <w:footnoteReference w:id="34"/>
      </w:r>
      <w:r w:rsidR="00B73D47">
        <w:rPr>
          <w:rFonts w:ascii="Times New Roman" w:hAnsi="Times New Roman" w:cs="Times New Roman"/>
          <w:sz w:val="24"/>
          <w:szCs w:val="24"/>
          <w:lang w:val="en-US"/>
        </w:rPr>
        <w:t xml:space="preserve"> largely because it saw the measure at issue as trying to overdetermine the Republican Party’s right to determine the terms of its own </w:t>
      </w:r>
      <w:r w:rsidR="00B73D47">
        <w:rPr>
          <w:rFonts w:ascii="Times New Roman" w:hAnsi="Times New Roman" w:cs="Times New Roman"/>
          <w:sz w:val="24"/>
          <w:szCs w:val="24"/>
          <w:lang w:val="en-US"/>
        </w:rPr>
        <w:lastRenderedPageBreak/>
        <w:t>composition rather than as serving a universal interest in advancing functional state politics. Yet the Court’s judgment regarding the advanced state interests ultimately hung upon its substantive assessment of political realities: can voters be misled</w:t>
      </w:r>
      <w:r w:rsidR="00897841">
        <w:rPr>
          <w:rFonts w:ascii="Times New Roman" w:hAnsi="Times New Roman" w:cs="Times New Roman"/>
          <w:sz w:val="24"/>
          <w:szCs w:val="24"/>
          <w:lang w:val="en-US"/>
        </w:rPr>
        <w:t xml:space="preserve"> by party labels</w:t>
      </w:r>
      <w:r w:rsidR="00B73D47">
        <w:rPr>
          <w:rFonts w:ascii="Times New Roman" w:hAnsi="Times New Roman" w:cs="Times New Roman"/>
          <w:sz w:val="24"/>
          <w:szCs w:val="24"/>
          <w:lang w:val="en-US"/>
        </w:rPr>
        <w:t>?</w:t>
      </w:r>
      <w:r w:rsidR="00897841">
        <w:rPr>
          <w:rStyle w:val="FootnoteReference"/>
          <w:rFonts w:ascii="Times New Roman" w:hAnsi="Times New Roman" w:cs="Times New Roman"/>
          <w:sz w:val="24"/>
          <w:szCs w:val="24"/>
          <w:lang w:val="en-US"/>
        </w:rPr>
        <w:footnoteReference w:id="35"/>
      </w:r>
      <w:r w:rsidR="00B73D47">
        <w:rPr>
          <w:rFonts w:ascii="Times New Roman" w:hAnsi="Times New Roman" w:cs="Times New Roman"/>
          <w:sz w:val="24"/>
          <w:szCs w:val="24"/>
          <w:lang w:val="en-US"/>
        </w:rPr>
        <w:t xml:space="preserve"> Is there a concrete and material benefit to mandated closed primaries?</w:t>
      </w:r>
      <w:r w:rsidR="00897841">
        <w:rPr>
          <w:rStyle w:val="FootnoteReference"/>
          <w:rFonts w:ascii="Times New Roman" w:hAnsi="Times New Roman" w:cs="Times New Roman"/>
          <w:sz w:val="24"/>
          <w:szCs w:val="24"/>
          <w:lang w:val="en-US"/>
        </w:rPr>
        <w:footnoteReference w:id="36"/>
      </w:r>
      <w:r w:rsidR="00B73D47">
        <w:rPr>
          <w:rFonts w:ascii="Times New Roman" w:hAnsi="Times New Roman" w:cs="Times New Roman"/>
          <w:sz w:val="24"/>
          <w:szCs w:val="24"/>
          <w:lang w:val="en-US"/>
        </w:rPr>
        <w:t xml:space="preserve"> These are precisely the types of substantive concern that the Court has acknowledged when permitting restrictions to stand (as in </w:t>
      </w:r>
      <w:proofErr w:type="spellStart"/>
      <w:r w:rsidR="00B73D47">
        <w:rPr>
          <w:rFonts w:ascii="Times New Roman" w:hAnsi="Times New Roman" w:cs="Times New Roman"/>
          <w:i/>
          <w:sz w:val="24"/>
          <w:szCs w:val="24"/>
          <w:lang w:val="en-US"/>
        </w:rPr>
        <w:t>Storer</w:t>
      </w:r>
      <w:proofErr w:type="spellEnd"/>
      <w:r w:rsidR="00B73D47">
        <w:rPr>
          <w:rFonts w:ascii="Times New Roman" w:hAnsi="Times New Roman" w:cs="Times New Roman"/>
          <w:sz w:val="24"/>
          <w:szCs w:val="24"/>
          <w:lang w:val="en-US"/>
        </w:rPr>
        <w:t xml:space="preserve">, </w:t>
      </w:r>
      <w:r w:rsidR="00B73D47">
        <w:rPr>
          <w:rFonts w:ascii="Times New Roman" w:hAnsi="Times New Roman" w:cs="Times New Roman"/>
          <w:i/>
          <w:sz w:val="24"/>
          <w:szCs w:val="24"/>
          <w:lang w:val="en-US"/>
        </w:rPr>
        <w:t xml:space="preserve">Rosario, </w:t>
      </w:r>
      <w:r w:rsidR="00B73D47">
        <w:rPr>
          <w:rFonts w:ascii="Times New Roman" w:hAnsi="Times New Roman" w:cs="Times New Roman"/>
          <w:sz w:val="24"/>
          <w:szCs w:val="24"/>
          <w:lang w:val="en-US"/>
        </w:rPr>
        <w:t xml:space="preserve">and </w:t>
      </w:r>
      <w:proofErr w:type="spellStart"/>
      <w:r w:rsidR="00B73D47">
        <w:rPr>
          <w:rFonts w:ascii="Times New Roman" w:hAnsi="Times New Roman" w:cs="Times New Roman"/>
          <w:i/>
          <w:sz w:val="24"/>
          <w:szCs w:val="24"/>
          <w:lang w:val="en-US"/>
        </w:rPr>
        <w:t>Jenness</w:t>
      </w:r>
      <w:proofErr w:type="spellEnd"/>
      <w:r w:rsidR="00B73D47">
        <w:rPr>
          <w:rFonts w:ascii="Times New Roman" w:hAnsi="Times New Roman" w:cs="Times New Roman"/>
          <w:sz w:val="24"/>
          <w:szCs w:val="24"/>
          <w:lang w:val="en-US"/>
        </w:rPr>
        <w:t>)</w:t>
      </w:r>
      <w:r>
        <w:rPr>
          <w:rFonts w:ascii="Times New Roman" w:hAnsi="Times New Roman" w:cs="Times New Roman"/>
          <w:sz w:val="24"/>
          <w:szCs w:val="24"/>
          <w:lang w:val="en-US"/>
        </w:rPr>
        <w:t>, and which are part of a broader query into the necessary terms for legitimate democratic politics</w:t>
      </w:r>
      <w:r w:rsidR="00B73D47">
        <w:rPr>
          <w:rFonts w:ascii="Times New Roman" w:hAnsi="Times New Roman" w:cs="Times New Roman"/>
          <w:sz w:val="24"/>
          <w:szCs w:val="24"/>
          <w:lang w:val="en-US"/>
        </w:rPr>
        <w:t xml:space="preserve">. In readily dismissing them in </w:t>
      </w:r>
      <w:proofErr w:type="spellStart"/>
      <w:r w:rsidR="00B73D47">
        <w:rPr>
          <w:rFonts w:ascii="Times New Roman" w:hAnsi="Times New Roman" w:cs="Times New Roman"/>
          <w:i/>
          <w:sz w:val="24"/>
          <w:szCs w:val="24"/>
          <w:lang w:val="en-US"/>
        </w:rPr>
        <w:t>Tashjian</w:t>
      </w:r>
      <w:proofErr w:type="spellEnd"/>
      <w:r w:rsidR="00B73D47">
        <w:rPr>
          <w:rFonts w:ascii="Times New Roman" w:hAnsi="Times New Roman" w:cs="Times New Roman"/>
          <w:sz w:val="24"/>
          <w:szCs w:val="24"/>
          <w:lang w:val="en-US"/>
        </w:rPr>
        <w:t xml:space="preserve">, the Court </w:t>
      </w:r>
      <w:r>
        <w:rPr>
          <w:rFonts w:ascii="Times New Roman" w:hAnsi="Times New Roman" w:cs="Times New Roman"/>
          <w:sz w:val="24"/>
          <w:szCs w:val="24"/>
          <w:lang w:val="en-US"/>
        </w:rPr>
        <w:t>affirmed</w:t>
      </w:r>
      <w:r w:rsidR="00B73D47">
        <w:rPr>
          <w:rFonts w:ascii="Times New Roman" w:hAnsi="Times New Roman" w:cs="Times New Roman"/>
          <w:sz w:val="24"/>
          <w:szCs w:val="24"/>
          <w:lang w:val="en-US"/>
        </w:rPr>
        <w:t xml:space="preserve"> its protectiveness of party self-determination</w:t>
      </w:r>
      <w:r w:rsidR="00BB1633">
        <w:rPr>
          <w:rFonts w:ascii="Times New Roman" w:hAnsi="Times New Roman" w:cs="Times New Roman"/>
          <w:sz w:val="24"/>
          <w:szCs w:val="24"/>
          <w:lang w:val="en-US"/>
        </w:rPr>
        <w:t>, understood through the associational right</w:t>
      </w:r>
      <w:r w:rsidR="00AB46FA">
        <w:rPr>
          <w:rFonts w:ascii="Times New Roman" w:hAnsi="Times New Roman" w:cs="Times New Roman"/>
          <w:sz w:val="24"/>
          <w:szCs w:val="24"/>
          <w:lang w:val="en-US"/>
        </w:rPr>
        <w:t>.</w:t>
      </w:r>
    </w:p>
    <w:p w:rsidR="00D26B0A" w:rsidRDefault="0040189C"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At the beginning of the 2000s, another wave of cases reg</w:t>
      </w:r>
      <w:r w:rsidR="003B5E03">
        <w:rPr>
          <w:rFonts w:ascii="Times New Roman" w:hAnsi="Times New Roman" w:cs="Times New Roman"/>
          <w:sz w:val="24"/>
          <w:szCs w:val="24"/>
          <w:lang w:val="en-US"/>
        </w:rPr>
        <w:t xml:space="preserve">arding state regulation of voter affiliation and primary participation worked its way through the Supreme Court. In </w:t>
      </w:r>
      <w:r w:rsidR="003B5E03">
        <w:rPr>
          <w:rFonts w:ascii="Times New Roman" w:hAnsi="Times New Roman" w:cs="Times New Roman"/>
          <w:i/>
          <w:sz w:val="24"/>
          <w:szCs w:val="24"/>
          <w:lang w:val="en-US"/>
        </w:rPr>
        <w:t>California v. Jones</w:t>
      </w:r>
      <w:r w:rsidR="003B5E03">
        <w:rPr>
          <w:rFonts w:ascii="Times New Roman" w:hAnsi="Times New Roman" w:cs="Times New Roman"/>
          <w:sz w:val="24"/>
          <w:szCs w:val="24"/>
          <w:lang w:val="en-US"/>
        </w:rPr>
        <w:t>, a st</w:t>
      </w:r>
      <w:r w:rsidR="001539B3">
        <w:rPr>
          <w:rFonts w:ascii="Times New Roman" w:hAnsi="Times New Roman" w:cs="Times New Roman"/>
          <w:sz w:val="24"/>
          <w:szCs w:val="24"/>
          <w:lang w:val="en-US"/>
        </w:rPr>
        <w:t>ate law (appr</w:t>
      </w:r>
      <w:bookmarkStart w:id="0" w:name="_GoBack"/>
      <w:bookmarkEnd w:id="0"/>
      <w:r w:rsidR="001539B3">
        <w:rPr>
          <w:rFonts w:ascii="Times New Roman" w:hAnsi="Times New Roman" w:cs="Times New Roman"/>
          <w:sz w:val="24"/>
          <w:szCs w:val="24"/>
          <w:lang w:val="en-US"/>
        </w:rPr>
        <w:t>oved by referendum</w:t>
      </w:r>
      <w:r w:rsidR="003B5E03">
        <w:rPr>
          <w:rFonts w:ascii="Times New Roman" w:hAnsi="Times New Roman" w:cs="Times New Roman"/>
          <w:sz w:val="24"/>
          <w:szCs w:val="24"/>
          <w:lang w:val="en-US"/>
        </w:rPr>
        <w:t>) dictated blanket primaries, with the explicit goal of encouraging moderation of political views as candidates drifted towards the mean to appeal to all voters.</w:t>
      </w:r>
      <w:r w:rsidR="003B5E03">
        <w:rPr>
          <w:rStyle w:val="FootnoteReference"/>
          <w:rFonts w:ascii="Times New Roman" w:hAnsi="Times New Roman" w:cs="Times New Roman"/>
          <w:sz w:val="24"/>
          <w:szCs w:val="24"/>
          <w:lang w:val="en-US"/>
        </w:rPr>
        <w:footnoteReference w:id="37"/>
      </w:r>
      <w:r w:rsidR="003B5E03">
        <w:rPr>
          <w:rFonts w:ascii="Times New Roman" w:hAnsi="Times New Roman" w:cs="Times New Roman"/>
          <w:sz w:val="24"/>
          <w:szCs w:val="24"/>
          <w:lang w:val="en-US"/>
        </w:rPr>
        <w:t xml:space="preserve"> In finding </w:t>
      </w:r>
      <w:r w:rsidR="005C0C9F">
        <w:rPr>
          <w:rFonts w:ascii="Times New Roman" w:hAnsi="Times New Roman" w:cs="Times New Roman"/>
          <w:sz w:val="24"/>
          <w:szCs w:val="24"/>
          <w:lang w:val="en-US"/>
        </w:rPr>
        <w:t>the measure a constitutional violation, the Court indicated that the “right to exclude” (in this case, non-party members) in the nomination process is a central aspect of the right to association.</w:t>
      </w:r>
      <w:r w:rsidR="009C0D92">
        <w:rPr>
          <w:rStyle w:val="FootnoteReference"/>
          <w:rFonts w:ascii="Times New Roman" w:hAnsi="Times New Roman" w:cs="Times New Roman"/>
          <w:sz w:val="24"/>
          <w:szCs w:val="24"/>
          <w:lang w:val="en-US"/>
        </w:rPr>
        <w:footnoteReference w:id="38"/>
      </w:r>
      <w:r w:rsidR="00C3384B">
        <w:rPr>
          <w:rFonts w:ascii="Times New Roman" w:hAnsi="Times New Roman" w:cs="Times New Roman"/>
          <w:sz w:val="24"/>
          <w:szCs w:val="24"/>
          <w:lang w:val="en-US"/>
        </w:rPr>
        <w:t xml:space="preserve"> The various structural</w:t>
      </w:r>
      <w:r w:rsidR="009C0D92">
        <w:rPr>
          <w:rFonts w:ascii="Times New Roman" w:hAnsi="Times New Roman" w:cs="Times New Roman"/>
          <w:sz w:val="24"/>
          <w:szCs w:val="24"/>
          <w:lang w:val="en-US"/>
        </w:rPr>
        <w:t xml:space="preserve"> interests asserted by those advocating for the measure were dismissed as lacking constitutional heft, especially given the lack of narrow tailoring in the measure.</w:t>
      </w:r>
      <w:r w:rsidR="009C0D92">
        <w:rPr>
          <w:rStyle w:val="FootnoteReference"/>
          <w:rFonts w:ascii="Times New Roman" w:hAnsi="Times New Roman" w:cs="Times New Roman"/>
          <w:sz w:val="24"/>
          <w:szCs w:val="24"/>
          <w:lang w:val="en-US"/>
        </w:rPr>
        <w:footnoteReference w:id="39"/>
      </w:r>
      <w:r w:rsidR="00D26B0A">
        <w:rPr>
          <w:rFonts w:ascii="Times New Roman" w:hAnsi="Times New Roman" w:cs="Times New Roman"/>
          <w:sz w:val="24"/>
          <w:szCs w:val="24"/>
          <w:lang w:val="en-US"/>
        </w:rPr>
        <w:t xml:space="preserve"> Together with </w:t>
      </w:r>
      <w:proofErr w:type="spellStart"/>
      <w:r w:rsidR="00D26B0A">
        <w:rPr>
          <w:rFonts w:ascii="Times New Roman" w:hAnsi="Times New Roman" w:cs="Times New Roman"/>
          <w:i/>
          <w:sz w:val="24"/>
          <w:szCs w:val="24"/>
          <w:lang w:val="en-US"/>
        </w:rPr>
        <w:t>Tashjian</w:t>
      </w:r>
      <w:proofErr w:type="spellEnd"/>
      <w:r w:rsidR="00D26B0A">
        <w:rPr>
          <w:rFonts w:ascii="Times New Roman" w:hAnsi="Times New Roman" w:cs="Times New Roman"/>
          <w:sz w:val="24"/>
          <w:szCs w:val="24"/>
          <w:lang w:val="en-US"/>
        </w:rPr>
        <w:t xml:space="preserve">, it establishes a general right of parties to determine their own </w:t>
      </w:r>
      <w:r w:rsidR="00B555F5">
        <w:rPr>
          <w:rFonts w:ascii="Times New Roman" w:hAnsi="Times New Roman" w:cs="Times New Roman"/>
          <w:sz w:val="24"/>
          <w:szCs w:val="24"/>
          <w:lang w:val="en-US"/>
        </w:rPr>
        <w:t>composition</w:t>
      </w:r>
      <w:r w:rsidR="00D26B0A">
        <w:rPr>
          <w:rFonts w:ascii="Times New Roman" w:hAnsi="Times New Roman" w:cs="Times New Roman"/>
          <w:sz w:val="24"/>
          <w:szCs w:val="24"/>
          <w:lang w:val="en-US"/>
        </w:rPr>
        <w:t>;</w:t>
      </w:r>
      <w:r w:rsidR="00D26B0A">
        <w:rPr>
          <w:rStyle w:val="FootnoteReference"/>
          <w:rFonts w:ascii="Times New Roman" w:hAnsi="Times New Roman" w:cs="Times New Roman"/>
          <w:sz w:val="24"/>
          <w:szCs w:val="24"/>
          <w:lang w:val="en-US"/>
        </w:rPr>
        <w:footnoteReference w:id="40"/>
      </w:r>
      <w:r w:rsidR="00D26B0A">
        <w:rPr>
          <w:rFonts w:ascii="Times New Roman" w:hAnsi="Times New Roman" w:cs="Times New Roman"/>
          <w:sz w:val="24"/>
          <w:szCs w:val="24"/>
          <w:lang w:val="en-US"/>
        </w:rPr>
        <w:t xml:space="preserve"> whether it is by preferring a more expansive or more restrictive</w:t>
      </w:r>
      <w:r w:rsidR="00A75D7C">
        <w:rPr>
          <w:rFonts w:ascii="Times New Roman" w:hAnsi="Times New Roman" w:cs="Times New Roman"/>
          <w:sz w:val="24"/>
          <w:szCs w:val="24"/>
          <w:lang w:val="en-US"/>
        </w:rPr>
        <w:t xml:space="preserve"> approach</w:t>
      </w:r>
      <w:r w:rsidR="00686F12">
        <w:rPr>
          <w:rFonts w:ascii="Times New Roman" w:hAnsi="Times New Roman" w:cs="Times New Roman"/>
          <w:sz w:val="24"/>
          <w:szCs w:val="24"/>
          <w:lang w:val="en-US"/>
        </w:rPr>
        <w:t xml:space="preserve"> to determining the</w:t>
      </w:r>
      <w:r w:rsidR="00A75D7C">
        <w:rPr>
          <w:rFonts w:ascii="Times New Roman" w:hAnsi="Times New Roman" w:cs="Times New Roman"/>
          <w:sz w:val="24"/>
          <w:szCs w:val="24"/>
          <w:lang w:val="en-US"/>
        </w:rPr>
        <w:t xml:space="preserve"> content of the party’s identity, </w:t>
      </w:r>
      <w:r w:rsidR="00686F12">
        <w:rPr>
          <w:rFonts w:ascii="Times New Roman" w:hAnsi="Times New Roman" w:cs="Times New Roman"/>
          <w:sz w:val="24"/>
          <w:szCs w:val="24"/>
          <w:lang w:val="en-US"/>
        </w:rPr>
        <w:t xml:space="preserve">it is fundamentally the </w:t>
      </w:r>
      <w:r w:rsidR="00686F12">
        <w:rPr>
          <w:rFonts w:ascii="Times New Roman" w:hAnsi="Times New Roman" w:cs="Times New Roman"/>
          <w:sz w:val="24"/>
          <w:szCs w:val="24"/>
          <w:lang w:val="en-US"/>
        </w:rPr>
        <w:lastRenderedPageBreak/>
        <w:t xml:space="preserve">right of those who comprise the association, not the government. </w:t>
      </w:r>
      <w:r w:rsidR="00B555F5">
        <w:rPr>
          <w:rFonts w:ascii="Times New Roman" w:hAnsi="Times New Roman" w:cs="Times New Roman"/>
          <w:sz w:val="24"/>
          <w:szCs w:val="24"/>
          <w:lang w:val="en-US"/>
        </w:rPr>
        <w:t xml:space="preserve">This right is not absolute, however. </w:t>
      </w:r>
      <w:r w:rsidR="00467448">
        <w:rPr>
          <w:rFonts w:ascii="Times New Roman" w:hAnsi="Times New Roman" w:cs="Times New Roman"/>
          <w:sz w:val="24"/>
          <w:szCs w:val="24"/>
          <w:lang w:val="en-US"/>
        </w:rPr>
        <w:t xml:space="preserve">In </w:t>
      </w:r>
      <w:r w:rsidR="00467448">
        <w:rPr>
          <w:rFonts w:ascii="Times New Roman" w:hAnsi="Times New Roman" w:cs="Times New Roman"/>
          <w:i/>
          <w:sz w:val="24"/>
          <w:szCs w:val="24"/>
          <w:lang w:val="en-US"/>
        </w:rPr>
        <w:t>Clingman v. Beaver</w:t>
      </w:r>
      <w:r w:rsidR="00467448">
        <w:rPr>
          <w:rFonts w:ascii="Times New Roman" w:hAnsi="Times New Roman" w:cs="Times New Roman"/>
          <w:sz w:val="24"/>
          <w:szCs w:val="24"/>
          <w:lang w:val="en-US"/>
        </w:rPr>
        <w:t xml:space="preserve">, </w:t>
      </w:r>
      <w:r w:rsidR="002F1DF7">
        <w:rPr>
          <w:rFonts w:ascii="Times New Roman" w:hAnsi="Times New Roman" w:cs="Times New Roman"/>
          <w:sz w:val="24"/>
          <w:szCs w:val="24"/>
          <w:lang w:val="en-US"/>
        </w:rPr>
        <w:t>the Court refused to strike down</w:t>
      </w:r>
      <w:r w:rsidR="00467448">
        <w:rPr>
          <w:rFonts w:ascii="Times New Roman" w:hAnsi="Times New Roman" w:cs="Times New Roman"/>
          <w:sz w:val="24"/>
          <w:szCs w:val="24"/>
          <w:lang w:val="en-US"/>
        </w:rPr>
        <w:t xml:space="preserve"> </w:t>
      </w:r>
      <w:r w:rsidR="000E7D13">
        <w:rPr>
          <w:rFonts w:ascii="Times New Roman" w:hAnsi="Times New Roman" w:cs="Times New Roman"/>
          <w:sz w:val="24"/>
          <w:szCs w:val="24"/>
          <w:lang w:val="en-US"/>
        </w:rPr>
        <w:t>a state statute requiring a</w:t>
      </w:r>
      <w:r w:rsidR="00467448">
        <w:rPr>
          <w:rFonts w:ascii="Times New Roman" w:hAnsi="Times New Roman" w:cs="Times New Roman"/>
          <w:sz w:val="24"/>
          <w:szCs w:val="24"/>
          <w:lang w:val="en-US"/>
        </w:rPr>
        <w:t xml:space="preserve"> semi-closed </w:t>
      </w:r>
      <w:r w:rsidR="000E7D13">
        <w:rPr>
          <w:rFonts w:ascii="Times New Roman" w:hAnsi="Times New Roman" w:cs="Times New Roman"/>
          <w:sz w:val="24"/>
          <w:szCs w:val="24"/>
          <w:lang w:val="en-US"/>
        </w:rPr>
        <w:t>primary</w:t>
      </w:r>
      <w:r w:rsidR="00732EDA">
        <w:rPr>
          <w:rFonts w:ascii="Times New Roman" w:hAnsi="Times New Roman" w:cs="Times New Roman"/>
          <w:sz w:val="24"/>
          <w:szCs w:val="24"/>
          <w:lang w:val="en-US"/>
        </w:rPr>
        <w:t xml:space="preserve"> (ostensibly justified by typical anti-raiding and anti-fragmentation rationales)</w:t>
      </w:r>
      <w:r w:rsidR="000E7D13">
        <w:rPr>
          <w:rFonts w:ascii="Times New Roman" w:hAnsi="Times New Roman" w:cs="Times New Roman"/>
          <w:sz w:val="24"/>
          <w:szCs w:val="24"/>
          <w:lang w:val="en-US"/>
        </w:rPr>
        <w:t>;</w:t>
      </w:r>
      <w:r w:rsidR="00732EDA">
        <w:rPr>
          <w:rStyle w:val="FootnoteReference"/>
          <w:rFonts w:ascii="Times New Roman" w:hAnsi="Times New Roman" w:cs="Times New Roman"/>
          <w:sz w:val="24"/>
          <w:szCs w:val="24"/>
          <w:lang w:val="en-US"/>
        </w:rPr>
        <w:footnoteReference w:id="41"/>
      </w:r>
      <w:r w:rsidR="000E7D13">
        <w:rPr>
          <w:rFonts w:ascii="Times New Roman" w:hAnsi="Times New Roman" w:cs="Times New Roman"/>
          <w:sz w:val="24"/>
          <w:szCs w:val="24"/>
          <w:lang w:val="en-US"/>
        </w:rPr>
        <w:t xml:space="preserve"> voters registered as independents were permitted to vote in any primary they wished, but voters registered with a party could only vote in that party’s primary. The Court conclude</w:t>
      </w:r>
      <w:r w:rsidR="00732EDA">
        <w:rPr>
          <w:rFonts w:ascii="Times New Roman" w:hAnsi="Times New Roman" w:cs="Times New Roman"/>
          <w:sz w:val="24"/>
          <w:szCs w:val="24"/>
          <w:lang w:val="en-US"/>
        </w:rPr>
        <w:t>d that (in contrast with the mandated closed primary at issue in</w:t>
      </w:r>
      <w:r w:rsidR="000E7D13">
        <w:rPr>
          <w:rFonts w:ascii="Times New Roman" w:hAnsi="Times New Roman" w:cs="Times New Roman"/>
          <w:sz w:val="24"/>
          <w:szCs w:val="24"/>
          <w:lang w:val="en-US"/>
        </w:rPr>
        <w:t xml:space="preserve"> </w:t>
      </w:r>
      <w:proofErr w:type="spellStart"/>
      <w:r w:rsidR="000E7D13">
        <w:rPr>
          <w:rFonts w:ascii="Times New Roman" w:hAnsi="Times New Roman" w:cs="Times New Roman"/>
          <w:i/>
          <w:sz w:val="24"/>
          <w:szCs w:val="24"/>
          <w:lang w:val="en-US"/>
        </w:rPr>
        <w:t>Tashjian</w:t>
      </w:r>
      <w:proofErr w:type="spellEnd"/>
      <w:r w:rsidR="000E7D13">
        <w:rPr>
          <w:rFonts w:ascii="Times New Roman" w:hAnsi="Times New Roman" w:cs="Times New Roman"/>
          <w:sz w:val="24"/>
          <w:szCs w:val="24"/>
          <w:lang w:val="en-US"/>
        </w:rPr>
        <w:t>) the burden on association was relatively light,</w:t>
      </w:r>
      <w:r w:rsidR="00732EDA">
        <w:rPr>
          <w:rFonts w:ascii="Times New Roman" w:hAnsi="Times New Roman" w:cs="Times New Roman"/>
          <w:sz w:val="24"/>
          <w:szCs w:val="24"/>
          <w:lang w:val="en-US"/>
        </w:rPr>
        <w:t xml:space="preserve"> especially since parties could still recruit and communicate with voters freely, thus determining terms of their own association; the only associational impairment was that parties could not seek to associate, ironically enough, with voters who had actively selected to associate with </w:t>
      </w:r>
      <w:r w:rsidR="00732EDA">
        <w:rPr>
          <w:rFonts w:ascii="Times New Roman" w:hAnsi="Times New Roman" w:cs="Times New Roman"/>
          <w:i/>
          <w:sz w:val="24"/>
          <w:szCs w:val="24"/>
          <w:lang w:val="en-US"/>
        </w:rPr>
        <w:t xml:space="preserve">another </w:t>
      </w:r>
      <w:r w:rsidR="00732EDA">
        <w:rPr>
          <w:rFonts w:ascii="Times New Roman" w:hAnsi="Times New Roman" w:cs="Times New Roman"/>
          <w:sz w:val="24"/>
          <w:szCs w:val="24"/>
          <w:lang w:val="en-US"/>
        </w:rPr>
        <w:t>party.</w:t>
      </w:r>
      <w:r w:rsidR="00732EDA">
        <w:rPr>
          <w:rStyle w:val="FootnoteReference"/>
          <w:rFonts w:ascii="Times New Roman" w:hAnsi="Times New Roman" w:cs="Times New Roman"/>
          <w:sz w:val="24"/>
          <w:szCs w:val="24"/>
          <w:lang w:val="en-US"/>
        </w:rPr>
        <w:footnoteReference w:id="42"/>
      </w:r>
      <w:r w:rsidR="00732EDA">
        <w:rPr>
          <w:rFonts w:ascii="Times New Roman" w:hAnsi="Times New Roman" w:cs="Times New Roman"/>
          <w:sz w:val="24"/>
          <w:szCs w:val="24"/>
          <w:lang w:val="en-US"/>
        </w:rPr>
        <w:t xml:space="preserve"> </w:t>
      </w:r>
      <w:r w:rsidR="000934DF">
        <w:rPr>
          <w:rFonts w:ascii="Times New Roman" w:hAnsi="Times New Roman" w:cs="Times New Roman"/>
          <w:sz w:val="24"/>
          <w:szCs w:val="24"/>
          <w:lang w:val="en-US"/>
        </w:rPr>
        <w:t xml:space="preserve">Likewise, in </w:t>
      </w:r>
      <w:r w:rsidR="00F661D2">
        <w:rPr>
          <w:rFonts w:ascii="Times New Roman" w:hAnsi="Times New Roman" w:cs="Times New Roman"/>
          <w:i/>
          <w:sz w:val="24"/>
          <w:szCs w:val="24"/>
          <w:lang w:val="en-US"/>
        </w:rPr>
        <w:t>Washington State Grange v. Washington State Republican Party</w:t>
      </w:r>
      <w:r w:rsidR="00F661D2">
        <w:rPr>
          <w:rFonts w:ascii="Times New Roman" w:hAnsi="Times New Roman" w:cs="Times New Roman"/>
          <w:sz w:val="24"/>
          <w:szCs w:val="24"/>
          <w:lang w:val="en-US"/>
        </w:rPr>
        <w:t>, a state primary design that allowed candidates to self-designate as whichever party they wished, and then moved the top two vote-getters to a general election survived a facial challenge brought by the state Republican party. The Court, in effect, said that the only harm suggested was confusion of voters, which</w:t>
      </w:r>
      <w:r w:rsidR="00554E8B">
        <w:rPr>
          <w:rFonts w:ascii="Times New Roman" w:hAnsi="Times New Roman" w:cs="Times New Roman"/>
          <w:sz w:val="24"/>
          <w:szCs w:val="24"/>
          <w:lang w:val="en-US"/>
        </w:rPr>
        <w:t>, in the absence of evidence such confusion was only a hypothetical possibility,</w:t>
      </w:r>
      <w:r w:rsidR="00F661D2">
        <w:rPr>
          <w:rFonts w:ascii="Times New Roman" w:hAnsi="Times New Roman" w:cs="Times New Roman"/>
          <w:sz w:val="24"/>
          <w:szCs w:val="24"/>
          <w:lang w:val="en-US"/>
        </w:rPr>
        <w:t xml:space="preserve"> was not strong enough to activate </w:t>
      </w:r>
      <w:r w:rsidR="004976FD">
        <w:rPr>
          <w:rFonts w:ascii="Times New Roman" w:hAnsi="Times New Roman" w:cs="Times New Roman"/>
          <w:sz w:val="24"/>
          <w:szCs w:val="24"/>
          <w:lang w:val="en-US"/>
        </w:rPr>
        <w:t>strict scrutiny</w:t>
      </w:r>
      <w:r w:rsidR="00554E8B">
        <w:rPr>
          <w:rFonts w:ascii="Times New Roman" w:hAnsi="Times New Roman" w:cs="Times New Roman"/>
          <w:sz w:val="24"/>
          <w:szCs w:val="24"/>
          <w:lang w:val="en-US"/>
        </w:rPr>
        <w:t>.</w:t>
      </w:r>
      <w:r w:rsidR="004976FD">
        <w:rPr>
          <w:rStyle w:val="FootnoteReference"/>
          <w:rFonts w:ascii="Times New Roman" w:hAnsi="Times New Roman" w:cs="Times New Roman"/>
          <w:sz w:val="24"/>
          <w:szCs w:val="24"/>
          <w:lang w:val="en-US"/>
        </w:rPr>
        <w:footnoteReference w:id="43"/>
      </w:r>
      <w:r w:rsidR="004976FD">
        <w:rPr>
          <w:rFonts w:ascii="Times New Roman" w:hAnsi="Times New Roman" w:cs="Times New Roman"/>
          <w:sz w:val="24"/>
          <w:szCs w:val="24"/>
          <w:lang w:val="en-US"/>
        </w:rPr>
        <w:t xml:space="preserve"> </w:t>
      </w:r>
      <w:r w:rsidR="00554E8B">
        <w:rPr>
          <w:rFonts w:ascii="Times New Roman" w:hAnsi="Times New Roman" w:cs="Times New Roman"/>
          <w:sz w:val="24"/>
          <w:szCs w:val="24"/>
          <w:lang w:val="en-US"/>
        </w:rPr>
        <w:t>I</w:t>
      </w:r>
      <w:r w:rsidR="001E73E6">
        <w:rPr>
          <w:rFonts w:ascii="Times New Roman" w:hAnsi="Times New Roman" w:cs="Times New Roman"/>
          <w:sz w:val="24"/>
          <w:szCs w:val="24"/>
          <w:lang w:val="en-US"/>
        </w:rPr>
        <w:t>n the absence of such constitutional burden, a state’s right to regulate its own affairs will</w:t>
      </w:r>
      <w:r w:rsidR="00CD2427">
        <w:rPr>
          <w:rFonts w:ascii="Times New Roman" w:hAnsi="Times New Roman" w:cs="Times New Roman"/>
          <w:sz w:val="24"/>
          <w:szCs w:val="24"/>
          <w:lang w:val="en-US"/>
        </w:rPr>
        <w:t xml:space="preserve"> justify “reasonable, nondiscriminatory restrictions”</w:t>
      </w:r>
      <w:r w:rsidR="001E73E6">
        <w:rPr>
          <w:rFonts w:ascii="Times New Roman" w:hAnsi="Times New Roman" w:cs="Times New Roman"/>
          <w:sz w:val="24"/>
          <w:szCs w:val="24"/>
          <w:lang w:val="en-US"/>
        </w:rPr>
        <w:t>.</w:t>
      </w:r>
      <w:r w:rsidR="00CD2427">
        <w:rPr>
          <w:rStyle w:val="FootnoteReference"/>
          <w:rFonts w:ascii="Times New Roman" w:hAnsi="Times New Roman" w:cs="Times New Roman"/>
          <w:sz w:val="24"/>
          <w:szCs w:val="24"/>
          <w:lang w:val="en-US"/>
        </w:rPr>
        <w:footnoteReference w:id="44"/>
      </w:r>
      <w:r w:rsidR="002811EB">
        <w:rPr>
          <w:rFonts w:ascii="Times New Roman" w:hAnsi="Times New Roman" w:cs="Times New Roman"/>
          <w:sz w:val="24"/>
          <w:szCs w:val="24"/>
          <w:lang w:val="en-US"/>
        </w:rPr>
        <w:t xml:space="preserve"> </w:t>
      </w:r>
      <w:r w:rsidR="002811EB">
        <w:rPr>
          <w:rFonts w:ascii="Times New Roman" w:hAnsi="Times New Roman" w:cs="Times New Roman"/>
          <w:i/>
          <w:sz w:val="24"/>
          <w:szCs w:val="24"/>
          <w:lang w:val="en-US"/>
        </w:rPr>
        <w:t>Washington State Grange</w:t>
      </w:r>
      <w:r w:rsidR="002811EB">
        <w:rPr>
          <w:rFonts w:ascii="Times New Roman" w:hAnsi="Times New Roman" w:cs="Times New Roman"/>
          <w:sz w:val="24"/>
          <w:szCs w:val="24"/>
          <w:lang w:val="en-US"/>
        </w:rPr>
        <w:t xml:space="preserve"> suggests the Court will be hesitant to invalidate a “popularly enacted election process” that on its face imposes no heavy constitutional burden, and has “never been carried out.”</w:t>
      </w:r>
      <w:r w:rsidR="002811EB">
        <w:rPr>
          <w:rStyle w:val="FootnoteReference"/>
          <w:rFonts w:ascii="Times New Roman" w:hAnsi="Times New Roman" w:cs="Times New Roman"/>
          <w:sz w:val="24"/>
          <w:szCs w:val="24"/>
          <w:lang w:val="en-US"/>
        </w:rPr>
        <w:footnoteReference w:id="45"/>
      </w:r>
    </w:p>
    <w:p w:rsidR="00673F5F" w:rsidRDefault="00673F5F"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Throughout the development of the jurisprudence, the Court has made various postulations regarding the viable operation of politics as well as appropriate norms of democratic practice. </w:t>
      </w:r>
      <w:r w:rsidR="000B2197">
        <w:rPr>
          <w:rFonts w:ascii="Times New Roman" w:hAnsi="Times New Roman" w:cs="Times New Roman"/>
          <w:sz w:val="24"/>
          <w:szCs w:val="24"/>
          <w:lang w:val="en-US"/>
        </w:rPr>
        <w:t xml:space="preserve">This touches on both the explicit constitutional weighting and the assessments of the various burdens, as well as the interpretation of countervailing state interests. For example, the </w:t>
      </w:r>
      <w:r w:rsidR="000B2197">
        <w:rPr>
          <w:rFonts w:ascii="Times New Roman" w:hAnsi="Times New Roman" w:cs="Times New Roman"/>
          <w:i/>
          <w:sz w:val="24"/>
          <w:szCs w:val="24"/>
          <w:lang w:val="en-US"/>
        </w:rPr>
        <w:t>Rosario/</w:t>
      </w:r>
      <w:proofErr w:type="spellStart"/>
      <w:r w:rsidR="000B2197">
        <w:rPr>
          <w:rFonts w:ascii="Times New Roman" w:hAnsi="Times New Roman" w:cs="Times New Roman"/>
          <w:i/>
          <w:sz w:val="24"/>
          <w:szCs w:val="24"/>
          <w:lang w:val="en-US"/>
        </w:rPr>
        <w:t>Kusper</w:t>
      </w:r>
      <w:proofErr w:type="spellEnd"/>
      <w:r w:rsidR="000B2197">
        <w:rPr>
          <w:rFonts w:ascii="Times New Roman" w:hAnsi="Times New Roman" w:cs="Times New Roman"/>
          <w:i/>
          <w:sz w:val="24"/>
          <w:szCs w:val="24"/>
          <w:lang w:val="en-US"/>
        </w:rPr>
        <w:t xml:space="preserve"> </w:t>
      </w:r>
      <w:r w:rsidR="000B2197">
        <w:rPr>
          <w:rFonts w:ascii="Times New Roman" w:hAnsi="Times New Roman" w:cs="Times New Roman"/>
          <w:sz w:val="24"/>
          <w:szCs w:val="24"/>
          <w:lang w:val="en-US"/>
        </w:rPr>
        <w:t xml:space="preserve">pairing is based on a theory of what level of preemptive autonomous action is appropriate for voters to sustain appropriate party coherence. Likewise the tolerance of the anti-splintering rationale advanced in </w:t>
      </w:r>
      <w:proofErr w:type="spellStart"/>
      <w:r w:rsidR="000B2197">
        <w:rPr>
          <w:rFonts w:ascii="Times New Roman" w:hAnsi="Times New Roman" w:cs="Times New Roman"/>
          <w:i/>
          <w:sz w:val="24"/>
          <w:szCs w:val="24"/>
          <w:lang w:val="en-US"/>
        </w:rPr>
        <w:t>Storer</w:t>
      </w:r>
      <w:proofErr w:type="spellEnd"/>
      <w:r w:rsidR="000B2197">
        <w:rPr>
          <w:rFonts w:ascii="Times New Roman" w:hAnsi="Times New Roman" w:cs="Times New Roman"/>
          <w:i/>
          <w:sz w:val="24"/>
          <w:szCs w:val="24"/>
          <w:lang w:val="en-US"/>
        </w:rPr>
        <w:t xml:space="preserve"> </w:t>
      </w:r>
      <w:r w:rsidR="000B2197">
        <w:rPr>
          <w:rFonts w:ascii="Times New Roman" w:hAnsi="Times New Roman" w:cs="Times New Roman"/>
          <w:sz w:val="24"/>
          <w:szCs w:val="24"/>
          <w:lang w:val="en-US"/>
        </w:rPr>
        <w:t xml:space="preserve">suggests intrinsic value of party coherence. And most notably in the current law, the valuation of party self-selection in the primary process weights rule-based group coherence over collective determination of access to political process. The result is a functional, albeit fragmentary and obscurely presented, political theory. </w:t>
      </w:r>
    </w:p>
    <w:p w:rsidR="00B474C7" w:rsidRDefault="006A0138" w:rsidP="00B234C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660A5E">
        <w:rPr>
          <w:rFonts w:ascii="Times New Roman" w:hAnsi="Times New Roman" w:cs="Times New Roman"/>
          <w:sz w:val="24"/>
          <w:szCs w:val="24"/>
          <w:lang w:val="en-US"/>
        </w:rPr>
        <w:t xml:space="preserve">II. </w:t>
      </w:r>
      <w:r w:rsidR="00B474C7">
        <w:rPr>
          <w:rFonts w:ascii="Times New Roman" w:hAnsi="Times New Roman" w:cs="Times New Roman"/>
          <w:sz w:val="24"/>
          <w:szCs w:val="24"/>
          <w:lang w:val="en-US"/>
        </w:rPr>
        <w:t>Dr</w:t>
      </w:r>
      <w:r w:rsidR="0031539A">
        <w:rPr>
          <w:rFonts w:ascii="Times New Roman" w:hAnsi="Times New Roman" w:cs="Times New Roman"/>
          <w:sz w:val="24"/>
          <w:szCs w:val="24"/>
          <w:lang w:val="en-US"/>
        </w:rPr>
        <w:t xml:space="preserve">ifting Astray by Association: Party Protection and Its </w:t>
      </w:r>
      <w:r w:rsidR="00F43137">
        <w:rPr>
          <w:rFonts w:ascii="Times New Roman" w:hAnsi="Times New Roman" w:cs="Times New Roman"/>
          <w:sz w:val="24"/>
          <w:szCs w:val="24"/>
          <w:lang w:val="en-US"/>
        </w:rPr>
        <w:t>Analytic</w:t>
      </w:r>
      <w:r w:rsidR="0031539A">
        <w:rPr>
          <w:rFonts w:ascii="Times New Roman" w:hAnsi="Times New Roman" w:cs="Times New Roman"/>
          <w:sz w:val="24"/>
          <w:szCs w:val="24"/>
          <w:lang w:val="en-US"/>
        </w:rPr>
        <w:t xml:space="preserve"> Limits</w:t>
      </w:r>
    </w:p>
    <w:p w:rsidR="00554E8B" w:rsidRPr="00F4790C" w:rsidRDefault="000B2197"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That political theory </w:t>
      </w:r>
      <w:r w:rsidR="00EB7B9A">
        <w:rPr>
          <w:rFonts w:ascii="Times New Roman" w:hAnsi="Times New Roman" w:cs="Times New Roman"/>
          <w:sz w:val="24"/>
          <w:szCs w:val="24"/>
          <w:lang w:val="en-US"/>
        </w:rPr>
        <w:t>consist</w:t>
      </w:r>
      <w:r>
        <w:rPr>
          <w:rFonts w:ascii="Times New Roman" w:hAnsi="Times New Roman" w:cs="Times New Roman"/>
          <w:sz w:val="24"/>
          <w:szCs w:val="24"/>
          <w:lang w:val="en-US"/>
        </w:rPr>
        <w:t>s</w:t>
      </w:r>
      <w:r w:rsidR="00EB7B9A">
        <w:rPr>
          <w:rFonts w:ascii="Times New Roman" w:hAnsi="Times New Roman" w:cs="Times New Roman"/>
          <w:sz w:val="24"/>
          <w:szCs w:val="24"/>
          <w:lang w:val="en-US"/>
        </w:rPr>
        <w:t xml:space="preserve"> in </w:t>
      </w:r>
      <w:r w:rsidR="00CD2427">
        <w:rPr>
          <w:rFonts w:ascii="Times New Roman" w:hAnsi="Times New Roman" w:cs="Times New Roman"/>
          <w:sz w:val="24"/>
          <w:szCs w:val="24"/>
          <w:lang w:val="en-US"/>
        </w:rPr>
        <w:t>the interplay of two broad principles in the assessment of primaries: a constitutional right of voters (and thus, by extension, parties) to set the terms of their own association; and the interest of states in managing electoral process</w:t>
      </w:r>
      <w:r w:rsidR="00554E8B">
        <w:rPr>
          <w:rFonts w:ascii="Times New Roman" w:hAnsi="Times New Roman" w:cs="Times New Roman"/>
          <w:sz w:val="24"/>
          <w:szCs w:val="24"/>
          <w:lang w:val="en-US"/>
        </w:rPr>
        <w:t>, which are, ironically enough, often assessed by if they facilitate the functioning appropriate terms of party integrity</w:t>
      </w:r>
      <w:r w:rsidR="00CD2427">
        <w:rPr>
          <w:rFonts w:ascii="Times New Roman" w:hAnsi="Times New Roman" w:cs="Times New Roman"/>
          <w:sz w:val="24"/>
          <w:szCs w:val="24"/>
          <w:lang w:val="en-US"/>
        </w:rPr>
        <w:t xml:space="preserve">. </w:t>
      </w:r>
      <w:r w:rsidR="00EF1AA9">
        <w:rPr>
          <w:rFonts w:ascii="Times New Roman" w:hAnsi="Times New Roman" w:cs="Times New Roman"/>
          <w:sz w:val="24"/>
          <w:szCs w:val="24"/>
          <w:lang w:val="en-US"/>
        </w:rPr>
        <w:t>While challenges to a law are phrased in terms of constitutional rights, even the state interests used to justify regulation typically involve the same substantive enquiry regarding the impact on party coherence and continuity.</w:t>
      </w:r>
      <w:r w:rsidR="00EF1AA9">
        <w:rPr>
          <w:rStyle w:val="FootnoteReference"/>
          <w:rFonts w:ascii="Times New Roman" w:hAnsi="Times New Roman" w:cs="Times New Roman"/>
          <w:sz w:val="24"/>
          <w:szCs w:val="24"/>
          <w:lang w:val="en-US"/>
        </w:rPr>
        <w:footnoteReference w:id="46"/>
      </w:r>
      <w:r w:rsidR="00EF1AA9">
        <w:rPr>
          <w:rFonts w:ascii="Times New Roman" w:hAnsi="Times New Roman" w:cs="Times New Roman"/>
          <w:sz w:val="24"/>
          <w:szCs w:val="24"/>
          <w:lang w:val="en-US"/>
        </w:rPr>
        <w:t xml:space="preserve"> T</w:t>
      </w:r>
      <w:r w:rsidR="00554E8B">
        <w:rPr>
          <w:rFonts w:ascii="Times New Roman" w:hAnsi="Times New Roman" w:cs="Times New Roman"/>
          <w:sz w:val="24"/>
          <w:szCs w:val="24"/>
          <w:lang w:val="en-US"/>
        </w:rPr>
        <w:t xml:space="preserve">he Court’s first broad forays into primary regulation may have been inspired by a broad desire to maximize electoral access and break down structures that impair legitimate democratic expression (much as one person one vote sought to generally protect a type of voting equality), </w:t>
      </w:r>
      <w:r w:rsidR="00EF1AA9">
        <w:rPr>
          <w:rFonts w:ascii="Times New Roman" w:hAnsi="Times New Roman" w:cs="Times New Roman"/>
          <w:sz w:val="24"/>
          <w:szCs w:val="24"/>
          <w:lang w:val="en-US"/>
        </w:rPr>
        <w:t xml:space="preserve">but </w:t>
      </w:r>
      <w:r w:rsidR="00554E8B">
        <w:rPr>
          <w:rFonts w:ascii="Times New Roman" w:hAnsi="Times New Roman" w:cs="Times New Roman"/>
          <w:sz w:val="24"/>
          <w:szCs w:val="24"/>
          <w:lang w:val="en-US"/>
        </w:rPr>
        <w:t xml:space="preserve">the sweep of the Court’s analysis – and imagination – has </w:t>
      </w:r>
      <w:r w:rsidR="00554E8B">
        <w:rPr>
          <w:rFonts w:ascii="Times New Roman" w:hAnsi="Times New Roman" w:cs="Times New Roman"/>
          <w:sz w:val="24"/>
          <w:szCs w:val="24"/>
          <w:lang w:val="en-US"/>
        </w:rPr>
        <w:lastRenderedPageBreak/>
        <w:t xml:space="preserve">narrowed. Its approach to primary regulation has become dominated by one question – does a law help or harm the ability of citizens to sustain parties as associations? </w:t>
      </w:r>
    </w:p>
    <w:p w:rsidR="00DB1DBE" w:rsidRDefault="00F4790C"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This narrowing has had two substantive effects. The first has been to clip the extent of jurisprudential analysis to only</w:t>
      </w:r>
      <w:r w:rsidR="005E24B0">
        <w:rPr>
          <w:rFonts w:ascii="Times New Roman" w:hAnsi="Times New Roman" w:cs="Times New Roman"/>
          <w:sz w:val="24"/>
          <w:szCs w:val="24"/>
          <w:lang w:val="en-US"/>
        </w:rPr>
        <w:t xml:space="preserve"> primarily</w:t>
      </w:r>
      <w:r>
        <w:rPr>
          <w:rFonts w:ascii="Times New Roman" w:hAnsi="Times New Roman" w:cs="Times New Roman"/>
          <w:sz w:val="24"/>
          <w:szCs w:val="24"/>
          <w:lang w:val="en-US"/>
        </w:rPr>
        <w:t xml:space="preserve"> enquire into the effect on </w:t>
      </w:r>
      <w:r w:rsidRPr="00E55FB3">
        <w:rPr>
          <w:rFonts w:ascii="Times New Roman" w:hAnsi="Times New Roman" w:cs="Times New Roman"/>
          <w:sz w:val="24"/>
          <w:szCs w:val="24"/>
          <w:lang w:val="en-US"/>
        </w:rPr>
        <w:t>parties</w:t>
      </w:r>
      <w:r>
        <w:rPr>
          <w:rFonts w:ascii="Times New Roman" w:hAnsi="Times New Roman" w:cs="Times New Roman"/>
          <w:sz w:val="24"/>
          <w:szCs w:val="24"/>
          <w:lang w:val="en-US"/>
        </w:rPr>
        <w:t>, rather than the broader impact on democratic access and fairness.</w:t>
      </w:r>
      <w:r>
        <w:rPr>
          <w:rStyle w:val="FootnoteReference"/>
          <w:rFonts w:ascii="Times New Roman" w:hAnsi="Times New Roman" w:cs="Times New Roman"/>
          <w:sz w:val="24"/>
          <w:szCs w:val="24"/>
          <w:lang w:val="en-US"/>
        </w:rPr>
        <w:footnoteReference w:id="47"/>
      </w:r>
      <w:r>
        <w:rPr>
          <w:rFonts w:ascii="Times New Roman" w:hAnsi="Times New Roman" w:cs="Times New Roman"/>
          <w:sz w:val="24"/>
          <w:szCs w:val="24"/>
          <w:lang w:val="en-US"/>
        </w:rPr>
        <w:t xml:space="preserve"> </w:t>
      </w:r>
      <w:r w:rsidR="00DB1DBE">
        <w:rPr>
          <w:rFonts w:ascii="Times New Roman" w:hAnsi="Times New Roman" w:cs="Times New Roman"/>
          <w:sz w:val="24"/>
          <w:szCs w:val="24"/>
          <w:lang w:val="en-US"/>
        </w:rPr>
        <w:t xml:space="preserve">Correspondingly, the second trend has been a drift away from the generality of fairness in democracy in the Court’s reasoning. These two trends seem linked. The exclusive focus on associational rights has resulting in legal thinking drifting from the broader interest in political fairness that characterized the initial entry into the political thicket. </w:t>
      </w:r>
    </w:p>
    <w:p w:rsidR="00DB1DBE" w:rsidRDefault="00884352"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This focus on parties (both as the primary locus of constitutional interest, and as the primary basis for justifying </w:t>
      </w:r>
      <w:r w:rsidR="0040121C">
        <w:rPr>
          <w:rFonts w:ascii="Times New Roman" w:hAnsi="Times New Roman" w:cs="Times New Roman"/>
          <w:sz w:val="24"/>
          <w:szCs w:val="24"/>
          <w:lang w:val="en-US"/>
        </w:rPr>
        <w:t>a constitutional burden)</w:t>
      </w:r>
      <w:r>
        <w:rPr>
          <w:rFonts w:ascii="Times New Roman" w:hAnsi="Times New Roman" w:cs="Times New Roman"/>
          <w:sz w:val="24"/>
          <w:szCs w:val="24"/>
          <w:lang w:val="en-US"/>
        </w:rPr>
        <w:t xml:space="preserve"> and associational rights</w:t>
      </w:r>
      <w:r w:rsidR="0040121C">
        <w:rPr>
          <w:rFonts w:ascii="Times New Roman" w:hAnsi="Times New Roman" w:cs="Times New Roman"/>
          <w:sz w:val="24"/>
          <w:szCs w:val="24"/>
          <w:lang w:val="en-US"/>
        </w:rPr>
        <w:t xml:space="preserve"> is particularly peculiar given major parties’ structural </w:t>
      </w:r>
      <w:r w:rsidR="00E55FB3">
        <w:rPr>
          <w:rFonts w:ascii="Times New Roman" w:hAnsi="Times New Roman" w:cs="Times New Roman"/>
          <w:sz w:val="24"/>
          <w:szCs w:val="24"/>
          <w:lang w:val="en-US"/>
        </w:rPr>
        <w:t>centrality</w:t>
      </w:r>
      <w:r w:rsidR="0040121C">
        <w:rPr>
          <w:rFonts w:ascii="Times New Roman" w:hAnsi="Times New Roman" w:cs="Times New Roman"/>
          <w:sz w:val="24"/>
          <w:szCs w:val="24"/>
          <w:lang w:val="en-US"/>
        </w:rPr>
        <w:t xml:space="preserve"> and political dominance. </w:t>
      </w:r>
      <w:r w:rsidR="00E55FB3">
        <w:rPr>
          <w:rFonts w:ascii="Times New Roman" w:hAnsi="Times New Roman" w:cs="Times New Roman"/>
          <w:sz w:val="24"/>
          <w:szCs w:val="24"/>
          <w:lang w:val="en-US"/>
        </w:rPr>
        <w:t xml:space="preserve">In an influential account, </w:t>
      </w:r>
      <w:r w:rsidR="0040121C">
        <w:rPr>
          <w:rFonts w:ascii="Times New Roman" w:hAnsi="Times New Roman" w:cs="Times New Roman"/>
          <w:sz w:val="24"/>
          <w:szCs w:val="24"/>
          <w:lang w:val="en-US"/>
        </w:rPr>
        <w:t xml:space="preserve">Leon Epstein characterized parties as “public utilities” rather than </w:t>
      </w:r>
      <w:r w:rsidR="00E55FB3">
        <w:rPr>
          <w:rFonts w:ascii="Times New Roman" w:hAnsi="Times New Roman" w:cs="Times New Roman"/>
          <w:sz w:val="24"/>
          <w:szCs w:val="24"/>
          <w:lang w:val="en-US"/>
        </w:rPr>
        <w:t>typical</w:t>
      </w:r>
      <w:r w:rsidR="0040121C">
        <w:rPr>
          <w:rFonts w:ascii="Times New Roman" w:hAnsi="Times New Roman" w:cs="Times New Roman"/>
          <w:sz w:val="24"/>
          <w:szCs w:val="24"/>
          <w:lang w:val="en-US"/>
        </w:rPr>
        <w:t xml:space="preserve"> private organizations on account of their close and mutually beneficial relationship to governance, their functional integration with the public apparatus, and generally open-facing civic character.</w:t>
      </w:r>
      <w:r w:rsidR="0040121C">
        <w:rPr>
          <w:rStyle w:val="FootnoteReference"/>
          <w:rFonts w:ascii="Times New Roman" w:hAnsi="Times New Roman" w:cs="Times New Roman"/>
          <w:sz w:val="24"/>
          <w:szCs w:val="24"/>
          <w:lang w:val="en-US"/>
        </w:rPr>
        <w:footnoteReference w:id="48"/>
      </w:r>
      <w:r w:rsidR="0040121C">
        <w:rPr>
          <w:rFonts w:ascii="Times New Roman" w:hAnsi="Times New Roman" w:cs="Times New Roman"/>
          <w:sz w:val="24"/>
          <w:szCs w:val="24"/>
          <w:lang w:val="en-US"/>
        </w:rPr>
        <w:t xml:space="preserve"> </w:t>
      </w:r>
      <w:r w:rsidR="00A70AF1">
        <w:rPr>
          <w:rFonts w:ascii="Times New Roman" w:hAnsi="Times New Roman" w:cs="Times New Roman"/>
          <w:sz w:val="24"/>
          <w:szCs w:val="24"/>
          <w:lang w:val="en-US"/>
        </w:rPr>
        <w:t xml:space="preserve">Given the modern nature of US politics, it is scarcely possible to imagine it operating without major parties possessing significant authority. </w:t>
      </w:r>
      <w:r w:rsidR="006C0A0B">
        <w:rPr>
          <w:rFonts w:ascii="Times New Roman" w:hAnsi="Times New Roman" w:cs="Times New Roman"/>
          <w:sz w:val="24"/>
          <w:szCs w:val="24"/>
          <w:lang w:val="en-US"/>
        </w:rPr>
        <w:t xml:space="preserve">Scholars have further emphasized that the influence and stature of major parties means that they are scarcely the sort of institution that </w:t>
      </w:r>
      <w:r w:rsidR="006C0A0B">
        <w:rPr>
          <w:rFonts w:ascii="Times New Roman" w:hAnsi="Times New Roman" w:cs="Times New Roman"/>
          <w:sz w:val="24"/>
          <w:szCs w:val="24"/>
          <w:lang w:val="en-US"/>
        </w:rPr>
        <w:lastRenderedPageBreak/>
        <w:t>needs judicial protection from state action.</w:t>
      </w:r>
      <w:r w:rsidR="006C0A0B">
        <w:rPr>
          <w:rStyle w:val="FootnoteReference"/>
          <w:rFonts w:ascii="Times New Roman" w:hAnsi="Times New Roman" w:cs="Times New Roman"/>
          <w:sz w:val="24"/>
          <w:szCs w:val="24"/>
          <w:lang w:val="en-US"/>
        </w:rPr>
        <w:footnoteReference w:id="49"/>
      </w:r>
      <w:r w:rsidR="006C0A0B">
        <w:rPr>
          <w:rFonts w:ascii="Times New Roman" w:hAnsi="Times New Roman" w:cs="Times New Roman"/>
          <w:sz w:val="24"/>
          <w:szCs w:val="24"/>
          <w:lang w:val="en-US"/>
        </w:rPr>
        <w:t xml:space="preserve"> </w:t>
      </w:r>
      <w:r w:rsidR="00873EFE">
        <w:rPr>
          <w:rFonts w:ascii="Times New Roman" w:hAnsi="Times New Roman" w:cs="Times New Roman"/>
          <w:sz w:val="24"/>
          <w:szCs w:val="24"/>
          <w:lang w:val="en-US"/>
        </w:rPr>
        <w:t xml:space="preserve">While the Supreme Court has rejected protection of two-party dominance as a legitimate state interest and indicated a (bounded) interest in ensuring that minor parties retain some viability, its substantive and doctrinal concern with association as the fundamental interest activated by primary design </w:t>
      </w:r>
      <w:r w:rsidR="00156DEF">
        <w:rPr>
          <w:rFonts w:ascii="Times New Roman" w:hAnsi="Times New Roman" w:cs="Times New Roman"/>
          <w:sz w:val="24"/>
          <w:szCs w:val="24"/>
          <w:lang w:val="en-US"/>
        </w:rPr>
        <w:t>mean that political parties remain the locus of constitutional protection.</w:t>
      </w:r>
      <w:r w:rsidR="009E3298">
        <w:rPr>
          <w:rFonts w:ascii="Times New Roman" w:hAnsi="Times New Roman" w:cs="Times New Roman"/>
          <w:sz w:val="24"/>
          <w:szCs w:val="24"/>
          <w:lang w:val="en-US"/>
        </w:rPr>
        <w:t xml:space="preserve"> </w:t>
      </w:r>
      <w:r w:rsidR="00DB1DBE">
        <w:rPr>
          <w:rFonts w:ascii="Times New Roman" w:hAnsi="Times New Roman" w:cs="Times New Roman"/>
          <w:sz w:val="24"/>
          <w:szCs w:val="24"/>
          <w:lang w:val="en-US"/>
        </w:rPr>
        <w:t xml:space="preserve">And ironically enough, in </w:t>
      </w:r>
      <w:r w:rsidR="00DB1DBE">
        <w:rPr>
          <w:rFonts w:ascii="Times New Roman" w:hAnsi="Times New Roman" w:cs="Times New Roman"/>
          <w:i/>
          <w:sz w:val="24"/>
          <w:szCs w:val="24"/>
          <w:lang w:val="en-US"/>
        </w:rPr>
        <w:t xml:space="preserve">Clingman, </w:t>
      </w:r>
      <w:r w:rsidR="00DB1DBE">
        <w:rPr>
          <w:rFonts w:ascii="Times New Roman" w:hAnsi="Times New Roman" w:cs="Times New Roman"/>
          <w:sz w:val="24"/>
          <w:szCs w:val="24"/>
          <w:lang w:val="en-US"/>
        </w:rPr>
        <w:t xml:space="preserve">where the </w:t>
      </w:r>
      <w:r w:rsidR="005402B0">
        <w:rPr>
          <w:rFonts w:ascii="Times New Roman" w:hAnsi="Times New Roman" w:cs="Times New Roman"/>
          <w:sz w:val="24"/>
          <w:szCs w:val="24"/>
          <w:lang w:val="en-US"/>
        </w:rPr>
        <w:t xml:space="preserve">law was challenged by a minor parties as being especially disadvantageous to minor parties, the Court was broadly unsympathetic (and cited political realities that would be of greater </w:t>
      </w:r>
      <w:r w:rsidR="00A105B2">
        <w:rPr>
          <w:rFonts w:ascii="Times New Roman" w:hAnsi="Times New Roman" w:cs="Times New Roman"/>
          <w:sz w:val="24"/>
          <w:szCs w:val="24"/>
          <w:lang w:val="en-US"/>
        </w:rPr>
        <w:t>benefit</w:t>
      </w:r>
      <w:r w:rsidR="005402B0">
        <w:rPr>
          <w:rFonts w:ascii="Times New Roman" w:hAnsi="Times New Roman" w:cs="Times New Roman"/>
          <w:sz w:val="24"/>
          <w:szCs w:val="24"/>
          <w:lang w:val="en-US"/>
        </w:rPr>
        <w:t xml:space="preserve"> to a major party</w:t>
      </w:r>
      <w:r w:rsidR="00A105B2">
        <w:rPr>
          <w:rFonts w:ascii="Times New Roman" w:hAnsi="Times New Roman" w:cs="Times New Roman"/>
          <w:sz w:val="24"/>
          <w:szCs w:val="24"/>
          <w:lang w:val="en-US"/>
        </w:rPr>
        <w:t xml:space="preserve"> if they were trying to bring such a claim</w:t>
      </w:r>
      <w:r w:rsidR="005402B0">
        <w:rPr>
          <w:rFonts w:ascii="Times New Roman" w:hAnsi="Times New Roman" w:cs="Times New Roman"/>
          <w:sz w:val="24"/>
          <w:szCs w:val="24"/>
          <w:lang w:val="en-US"/>
        </w:rPr>
        <w:t>).</w:t>
      </w:r>
    </w:p>
    <w:p w:rsidR="0000199B" w:rsidRPr="00B63B44" w:rsidRDefault="00511C13"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That treatment of primaries has come to service already well-positioned and quasi-public major parties is particularly paradoxical given that </w:t>
      </w:r>
      <w:r w:rsidR="00075248">
        <w:rPr>
          <w:rFonts w:ascii="Times New Roman" w:hAnsi="Times New Roman" w:cs="Times New Roman"/>
          <w:sz w:val="24"/>
          <w:szCs w:val="24"/>
          <w:lang w:val="en-US"/>
        </w:rPr>
        <w:t xml:space="preserve">the ultimate </w:t>
      </w:r>
      <w:r>
        <w:rPr>
          <w:rFonts w:ascii="Times New Roman" w:hAnsi="Times New Roman" w:cs="Times New Roman"/>
          <w:sz w:val="24"/>
          <w:szCs w:val="24"/>
          <w:lang w:val="en-US"/>
        </w:rPr>
        <w:t>purpose</w:t>
      </w:r>
      <w:r w:rsidR="00075248">
        <w:rPr>
          <w:rFonts w:ascii="Times New Roman" w:hAnsi="Times New Roman" w:cs="Times New Roman"/>
          <w:sz w:val="24"/>
          <w:szCs w:val="24"/>
          <w:lang w:val="en-US"/>
        </w:rPr>
        <w:t xml:space="preserve"> of judicial </w:t>
      </w:r>
      <w:r>
        <w:rPr>
          <w:rFonts w:ascii="Times New Roman" w:hAnsi="Times New Roman" w:cs="Times New Roman"/>
          <w:sz w:val="24"/>
          <w:szCs w:val="24"/>
          <w:lang w:val="en-US"/>
        </w:rPr>
        <w:t>review</w:t>
      </w:r>
      <w:r w:rsidR="00075248">
        <w:rPr>
          <w:rFonts w:ascii="Times New Roman" w:hAnsi="Times New Roman" w:cs="Times New Roman"/>
          <w:sz w:val="24"/>
          <w:szCs w:val="24"/>
          <w:lang w:val="en-US"/>
        </w:rPr>
        <w:t xml:space="preserve"> of election law</w:t>
      </w:r>
      <w:r>
        <w:rPr>
          <w:rFonts w:ascii="Times New Roman" w:hAnsi="Times New Roman" w:cs="Times New Roman"/>
          <w:sz w:val="24"/>
          <w:szCs w:val="24"/>
          <w:lang w:val="en-US"/>
        </w:rPr>
        <w:t xml:space="preserve"> </w:t>
      </w:r>
      <w:r w:rsidR="00075248">
        <w:rPr>
          <w:rFonts w:ascii="Times New Roman" w:hAnsi="Times New Roman" w:cs="Times New Roman"/>
          <w:sz w:val="24"/>
          <w:szCs w:val="24"/>
          <w:lang w:val="en-US"/>
        </w:rPr>
        <w:t xml:space="preserve">is to </w:t>
      </w:r>
      <w:r w:rsidR="006325D5">
        <w:rPr>
          <w:rFonts w:ascii="Times New Roman" w:hAnsi="Times New Roman" w:cs="Times New Roman"/>
          <w:sz w:val="24"/>
          <w:szCs w:val="24"/>
          <w:lang w:val="en-US"/>
        </w:rPr>
        <w:t>protect the broader f</w:t>
      </w:r>
      <w:r w:rsidR="00CF24B7">
        <w:rPr>
          <w:rFonts w:ascii="Times New Roman" w:hAnsi="Times New Roman" w:cs="Times New Roman"/>
          <w:sz w:val="24"/>
          <w:szCs w:val="24"/>
          <w:lang w:val="en-US"/>
        </w:rPr>
        <w:t xml:space="preserve">airness of democratic practice. </w:t>
      </w:r>
      <w:r w:rsidR="00803956">
        <w:rPr>
          <w:rFonts w:ascii="Times New Roman" w:hAnsi="Times New Roman" w:cs="Times New Roman"/>
          <w:sz w:val="24"/>
          <w:szCs w:val="24"/>
          <w:lang w:val="en-US"/>
        </w:rPr>
        <w:t xml:space="preserve">Earlier cases regarding primary regulation and ballot access reflected this general political interest more strongly. </w:t>
      </w:r>
      <w:r w:rsidR="00735AD7">
        <w:rPr>
          <w:rFonts w:ascii="Times New Roman" w:hAnsi="Times New Roman" w:cs="Times New Roman"/>
          <w:sz w:val="24"/>
          <w:szCs w:val="24"/>
          <w:lang w:val="en-US"/>
        </w:rPr>
        <w:t>This is elegantly illustrated by the relationship between write-in votes an</w:t>
      </w:r>
      <w:r w:rsidR="00184ED1">
        <w:rPr>
          <w:rFonts w:ascii="Times New Roman" w:hAnsi="Times New Roman" w:cs="Times New Roman"/>
          <w:sz w:val="24"/>
          <w:szCs w:val="24"/>
          <w:lang w:val="en-US"/>
        </w:rPr>
        <w:t xml:space="preserve">d access to the general ballot: in </w:t>
      </w:r>
      <w:r w:rsidR="00184ED1">
        <w:rPr>
          <w:rFonts w:ascii="Times New Roman" w:hAnsi="Times New Roman" w:cs="Times New Roman"/>
          <w:i/>
          <w:sz w:val="24"/>
          <w:szCs w:val="24"/>
          <w:lang w:val="en-US"/>
        </w:rPr>
        <w:t>Williams</w:t>
      </w:r>
      <w:r w:rsidR="00184ED1">
        <w:rPr>
          <w:rFonts w:ascii="Times New Roman" w:hAnsi="Times New Roman" w:cs="Times New Roman"/>
          <w:sz w:val="24"/>
          <w:szCs w:val="24"/>
          <w:lang w:val="en-US"/>
        </w:rPr>
        <w:t xml:space="preserve"> and </w:t>
      </w:r>
      <w:proofErr w:type="spellStart"/>
      <w:r w:rsidR="00184ED1">
        <w:rPr>
          <w:rFonts w:ascii="Times New Roman" w:hAnsi="Times New Roman" w:cs="Times New Roman"/>
          <w:i/>
          <w:sz w:val="24"/>
          <w:szCs w:val="24"/>
          <w:lang w:val="en-US"/>
        </w:rPr>
        <w:t>Jenness</w:t>
      </w:r>
      <w:proofErr w:type="spellEnd"/>
      <w:r w:rsidR="00F5294E">
        <w:rPr>
          <w:rFonts w:ascii="Times New Roman" w:hAnsi="Times New Roman" w:cs="Times New Roman"/>
          <w:sz w:val="24"/>
          <w:szCs w:val="24"/>
          <w:lang w:val="en-US"/>
        </w:rPr>
        <w:t xml:space="preserve">, the availability of write-in votes was scrutinized by the Court in determining if an electoral setup was so </w:t>
      </w:r>
      <w:r w:rsidR="00AF3934">
        <w:rPr>
          <w:rFonts w:ascii="Times New Roman" w:hAnsi="Times New Roman" w:cs="Times New Roman"/>
          <w:sz w:val="24"/>
          <w:szCs w:val="24"/>
          <w:lang w:val="en-US"/>
        </w:rPr>
        <w:t xml:space="preserve">constraining as to be unconstitutional. </w:t>
      </w:r>
      <w:r w:rsidR="00A02FD9">
        <w:rPr>
          <w:rFonts w:ascii="Times New Roman" w:hAnsi="Times New Roman" w:cs="Times New Roman"/>
          <w:sz w:val="24"/>
          <w:szCs w:val="24"/>
          <w:lang w:val="en-US"/>
        </w:rPr>
        <w:t xml:space="preserve">This had a pendent analysis in </w:t>
      </w:r>
      <w:r w:rsidR="00A02FD9">
        <w:rPr>
          <w:rFonts w:ascii="Times New Roman" w:hAnsi="Times New Roman" w:cs="Times New Roman"/>
          <w:i/>
          <w:sz w:val="24"/>
          <w:szCs w:val="24"/>
          <w:lang w:val="en-US"/>
        </w:rPr>
        <w:t xml:space="preserve">Burdick v. </w:t>
      </w:r>
      <w:proofErr w:type="spellStart"/>
      <w:r w:rsidR="00A02FD9">
        <w:rPr>
          <w:rFonts w:ascii="Times New Roman" w:hAnsi="Times New Roman" w:cs="Times New Roman"/>
          <w:i/>
          <w:sz w:val="24"/>
          <w:szCs w:val="24"/>
          <w:lang w:val="en-US"/>
        </w:rPr>
        <w:t>Takushi</w:t>
      </w:r>
      <w:proofErr w:type="spellEnd"/>
      <w:r w:rsidR="00A02FD9">
        <w:rPr>
          <w:rFonts w:ascii="Times New Roman" w:hAnsi="Times New Roman" w:cs="Times New Roman"/>
          <w:sz w:val="24"/>
          <w:szCs w:val="24"/>
          <w:lang w:val="en-US"/>
        </w:rPr>
        <w:t>,</w:t>
      </w:r>
      <w:r w:rsidR="00A02FD9">
        <w:rPr>
          <w:rStyle w:val="FootnoteReference"/>
          <w:rFonts w:ascii="Times New Roman" w:hAnsi="Times New Roman" w:cs="Times New Roman"/>
          <w:sz w:val="24"/>
          <w:szCs w:val="24"/>
          <w:lang w:val="en-US"/>
        </w:rPr>
        <w:footnoteReference w:id="50"/>
      </w:r>
      <w:r w:rsidR="00A02FD9">
        <w:rPr>
          <w:rFonts w:ascii="Times New Roman" w:hAnsi="Times New Roman" w:cs="Times New Roman"/>
          <w:sz w:val="24"/>
          <w:szCs w:val="24"/>
          <w:lang w:val="en-US"/>
        </w:rPr>
        <w:t xml:space="preserve"> </w:t>
      </w:r>
      <w:r w:rsidR="00AF76AA">
        <w:rPr>
          <w:rFonts w:ascii="Times New Roman" w:hAnsi="Times New Roman" w:cs="Times New Roman"/>
          <w:sz w:val="24"/>
          <w:szCs w:val="24"/>
          <w:lang w:val="en-US"/>
        </w:rPr>
        <w:t xml:space="preserve">where the Court upheld a </w:t>
      </w:r>
      <w:r w:rsidR="00071539">
        <w:rPr>
          <w:rFonts w:ascii="Times New Roman" w:hAnsi="Times New Roman" w:cs="Times New Roman"/>
          <w:sz w:val="24"/>
          <w:szCs w:val="24"/>
          <w:lang w:val="en-US"/>
        </w:rPr>
        <w:t xml:space="preserve">state </w:t>
      </w:r>
      <w:r w:rsidR="00AF76AA">
        <w:rPr>
          <w:rFonts w:ascii="Times New Roman" w:hAnsi="Times New Roman" w:cs="Times New Roman"/>
          <w:sz w:val="24"/>
          <w:szCs w:val="24"/>
          <w:lang w:val="en-US"/>
        </w:rPr>
        <w:t xml:space="preserve">ban on </w:t>
      </w:r>
      <w:r w:rsidR="00071539">
        <w:rPr>
          <w:rFonts w:ascii="Times New Roman" w:hAnsi="Times New Roman" w:cs="Times New Roman"/>
          <w:sz w:val="24"/>
          <w:szCs w:val="24"/>
          <w:lang w:val="en-US"/>
        </w:rPr>
        <w:t xml:space="preserve">general election </w:t>
      </w:r>
      <w:r w:rsidR="00AF76AA">
        <w:rPr>
          <w:rFonts w:ascii="Times New Roman" w:hAnsi="Times New Roman" w:cs="Times New Roman"/>
          <w:sz w:val="24"/>
          <w:szCs w:val="24"/>
          <w:lang w:val="en-US"/>
        </w:rPr>
        <w:t>write-in votes because of the</w:t>
      </w:r>
      <w:r w:rsidR="00071539">
        <w:rPr>
          <w:rFonts w:ascii="Times New Roman" w:hAnsi="Times New Roman" w:cs="Times New Roman"/>
          <w:sz w:val="24"/>
          <w:szCs w:val="24"/>
          <w:lang w:val="en-US"/>
        </w:rPr>
        <w:t xml:space="preserve"> logistical</w:t>
      </w:r>
      <w:r w:rsidR="00AF76AA">
        <w:rPr>
          <w:rFonts w:ascii="Times New Roman" w:hAnsi="Times New Roman" w:cs="Times New Roman"/>
          <w:sz w:val="24"/>
          <w:szCs w:val="24"/>
          <w:lang w:val="en-US"/>
        </w:rPr>
        <w:t xml:space="preserve"> ease</w:t>
      </w:r>
      <w:r w:rsidR="00071539">
        <w:rPr>
          <w:rFonts w:ascii="Times New Roman" w:hAnsi="Times New Roman" w:cs="Times New Roman"/>
          <w:sz w:val="24"/>
          <w:szCs w:val="24"/>
          <w:lang w:val="en-US"/>
        </w:rPr>
        <w:t xml:space="preserve"> </w:t>
      </w:r>
      <w:r w:rsidR="00AF76AA">
        <w:rPr>
          <w:rFonts w:ascii="Times New Roman" w:hAnsi="Times New Roman" w:cs="Times New Roman"/>
          <w:sz w:val="24"/>
          <w:szCs w:val="24"/>
          <w:lang w:val="en-US"/>
        </w:rPr>
        <w:t>by which candidate</w:t>
      </w:r>
      <w:r w:rsidR="00071539">
        <w:rPr>
          <w:rFonts w:ascii="Times New Roman" w:hAnsi="Times New Roman" w:cs="Times New Roman"/>
          <w:sz w:val="24"/>
          <w:szCs w:val="24"/>
          <w:lang w:val="en-US"/>
        </w:rPr>
        <w:t xml:space="preserve">s could gain access to the ballot. </w:t>
      </w:r>
      <w:r w:rsidR="00234804">
        <w:rPr>
          <w:rFonts w:ascii="Times New Roman" w:hAnsi="Times New Roman" w:cs="Times New Roman"/>
          <w:sz w:val="24"/>
          <w:szCs w:val="24"/>
          <w:lang w:val="en-US"/>
        </w:rPr>
        <w:t>The Court in these cases</w:t>
      </w:r>
      <w:r w:rsidR="00B63B44">
        <w:rPr>
          <w:rFonts w:ascii="Times New Roman" w:hAnsi="Times New Roman" w:cs="Times New Roman"/>
          <w:sz w:val="24"/>
          <w:szCs w:val="24"/>
          <w:lang w:val="en-US"/>
        </w:rPr>
        <w:t xml:space="preserve"> appropriately</w:t>
      </w:r>
      <w:r w:rsidR="00234804">
        <w:rPr>
          <w:rFonts w:ascii="Times New Roman" w:hAnsi="Times New Roman" w:cs="Times New Roman"/>
          <w:sz w:val="24"/>
          <w:szCs w:val="24"/>
          <w:lang w:val="en-US"/>
        </w:rPr>
        <w:t xml:space="preserve"> considered rights of both association and liberty</w:t>
      </w:r>
      <w:r w:rsidR="00B63B44">
        <w:rPr>
          <w:rFonts w:ascii="Times New Roman" w:hAnsi="Times New Roman" w:cs="Times New Roman"/>
          <w:sz w:val="24"/>
          <w:szCs w:val="24"/>
          <w:lang w:val="en-US"/>
        </w:rPr>
        <w:t>.</w:t>
      </w:r>
      <w:r w:rsidR="00234804">
        <w:rPr>
          <w:rStyle w:val="FootnoteReference"/>
          <w:rFonts w:ascii="Times New Roman" w:hAnsi="Times New Roman" w:cs="Times New Roman"/>
          <w:sz w:val="24"/>
          <w:szCs w:val="24"/>
          <w:lang w:val="en-US"/>
        </w:rPr>
        <w:footnoteReference w:id="51"/>
      </w:r>
      <w:r w:rsidR="00B63B44">
        <w:rPr>
          <w:rFonts w:ascii="Times New Roman" w:hAnsi="Times New Roman" w:cs="Times New Roman"/>
          <w:sz w:val="24"/>
          <w:szCs w:val="24"/>
          <w:lang w:val="en-US"/>
        </w:rPr>
        <w:t xml:space="preserve"> The underlying question was the viability of the measure at issue </w:t>
      </w:r>
      <w:r w:rsidR="00B63B44">
        <w:rPr>
          <w:rFonts w:ascii="Times New Roman" w:hAnsi="Times New Roman" w:cs="Times New Roman"/>
          <w:i/>
          <w:sz w:val="24"/>
          <w:szCs w:val="24"/>
          <w:lang w:val="en-US"/>
        </w:rPr>
        <w:t xml:space="preserve">given the broader configuration of the state electoral regime. </w:t>
      </w:r>
      <w:r w:rsidR="00B63B44">
        <w:rPr>
          <w:rFonts w:ascii="Times New Roman" w:hAnsi="Times New Roman" w:cs="Times New Roman"/>
          <w:sz w:val="24"/>
          <w:szCs w:val="24"/>
          <w:lang w:val="en-US"/>
        </w:rPr>
        <w:t xml:space="preserve">In </w:t>
      </w:r>
      <w:r w:rsidR="00B63B44">
        <w:rPr>
          <w:rFonts w:ascii="Times New Roman" w:hAnsi="Times New Roman" w:cs="Times New Roman"/>
          <w:i/>
          <w:sz w:val="24"/>
          <w:szCs w:val="24"/>
          <w:lang w:val="en-US"/>
        </w:rPr>
        <w:t xml:space="preserve">Williams </w:t>
      </w:r>
      <w:r w:rsidR="00B63B44">
        <w:rPr>
          <w:rFonts w:ascii="Times New Roman" w:hAnsi="Times New Roman" w:cs="Times New Roman"/>
          <w:sz w:val="24"/>
          <w:szCs w:val="24"/>
          <w:lang w:val="en-US"/>
        </w:rPr>
        <w:t xml:space="preserve">and </w:t>
      </w:r>
      <w:proofErr w:type="spellStart"/>
      <w:r w:rsidR="00B63B44">
        <w:rPr>
          <w:rFonts w:ascii="Times New Roman" w:hAnsi="Times New Roman" w:cs="Times New Roman"/>
          <w:i/>
          <w:sz w:val="24"/>
          <w:szCs w:val="24"/>
          <w:lang w:val="en-US"/>
        </w:rPr>
        <w:t>Jenness</w:t>
      </w:r>
      <w:proofErr w:type="spellEnd"/>
      <w:r w:rsidR="00B63B44">
        <w:rPr>
          <w:rFonts w:ascii="Times New Roman" w:hAnsi="Times New Roman" w:cs="Times New Roman"/>
          <w:i/>
          <w:sz w:val="24"/>
          <w:szCs w:val="24"/>
          <w:lang w:val="en-US"/>
        </w:rPr>
        <w:t xml:space="preserve"> </w:t>
      </w:r>
      <w:r w:rsidR="00B63B44">
        <w:rPr>
          <w:rFonts w:ascii="Times New Roman" w:hAnsi="Times New Roman" w:cs="Times New Roman"/>
          <w:sz w:val="24"/>
          <w:szCs w:val="24"/>
          <w:lang w:val="en-US"/>
        </w:rPr>
        <w:t xml:space="preserve">the constitutionality of restrictions on ballot </w:t>
      </w:r>
      <w:r w:rsidR="00B63B44">
        <w:rPr>
          <w:rFonts w:ascii="Times New Roman" w:hAnsi="Times New Roman" w:cs="Times New Roman"/>
          <w:sz w:val="24"/>
          <w:szCs w:val="24"/>
          <w:lang w:val="en-US"/>
        </w:rPr>
        <w:lastRenderedPageBreak/>
        <w:t xml:space="preserve">access turned on the broader ability of voters to express their preferences at the polls, with the ability to freely express a write-in candidate being a pivotal element; in </w:t>
      </w:r>
      <w:r w:rsidR="00B63B44">
        <w:rPr>
          <w:rFonts w:ascii="Times New Roman" w:hAnsi="Times New Roman" w:cs="Times New Roman"/>
          <w:i/>
          <w:sz w:val="24"/>
          <w:szCs w:val="24"/>
          <w:lang w:val="en-US"/>
        </w:rPr>
        <w:t xml:space="preserve">Burdick </w:t>
      </w:r>
      <w:r w:rsidR="00B63B44">
        <w:rPr>
          <w:rFonts w:ascii="Times New Roman" w:hAnsi="Times New Roman" w:cs="Times New Roman"/>
          <w:sz w:val="24"/>
          <w:szCs w:val="24"/>
          <w:lang w:val="en-US"/>
        </w:rPr>
        <w:t xml:space="preserve">the constitutionality of a write-in ban required a like contextualizing analysis, and thus considering accessibility of access to the general ballot through other means. In constitutional terms, the comprehensiveness of this analysis necessitated considering </w:t>
      </w:r>
      <w:r w:rsidR="00A73E67">
        <w:rPr>
          <w:rFonts w:ascii="Times New Roman" w:hAnsi="Times New Roman" w:cs="Times New Roman"/>
          <w:sz w:val="24"/>
          <w:szCs w:val="24"/>
          <w:lang w:val="en-US"/>
        </w:rPr>
        <w:t>how the regime impacted</w:t>
      </w:r>
      <w:r w:rsidR="00B63B44">
        <w:rPr>
          <w:rFonts w:ascii="Times New Roman" w:hAnsi="Times New Roman" w:cs="Times New Roman"/>
          <w:sz w:val="24"/>
          <w:szCs w:val="24"/>
          <w:lang w:val="en-US"/>
        </w:rPr>
        <w:t xml:space="preserve"> </w:t>
      </w:r>
      <w:r w:rsidR="00B63B44" w:rsidRPr="00A73E67">
        <w:rPr>
          <w:rFonts w:ascii="Times New Roman" w:hAnsi="Times New Roman" w:cs="Times New Roman"/>
          <w:sz w:val="24"/>
          <w:szCs w:val="24"/>
          <w:lang w:val="en-US"/>
        </w:rPr>
        <w:t>equal ability to express political preferences</w:t>
      </w:r>
      <w:r w:rsidR="00B63B44">
        <w:rPr>
          <w:rFonts w:ascii="Times New Roman" w:hAnsi="Times New Roman" w:cs="Times New Roman"/>
          <w:sz w:val="24"/>
          <w:szCs w:val="24"/>
          <w:lang w:val="en-US"/>
        </w:rPr>
        <w:t xml:space="preserve"> for</w:t>
      </w:r>
      <w:r w:rsidR="00A73E67">
        <w:rPr>
          <w:rFonts w:ascii="Times New Roman" w:hAnsi="Times New Roman" w:cs="Times New Roman"/>
          <w:sz w:val="24"/>
          <w:szCs w:val="24"/>
          <w:lang w:val="en-US"/>
        </w:rPr>
        <w:t xml:space="preserve"> each voter as well as the effect on the ability of voters to </w:t>
      </w:r>
      <w:r w:rsidR="00B63B44" w:rsidRPr="00A73E67">
        <w:rPr>
          <w:rFonts w:ascii="Times New Roman" w:hAnsi="Times New Roman" w:cs="Times New Roman"/>
          <w:sz w:val="24"/>
          <w:szCs w:val="24"/>
          <w:lang w:val="en-US"/>
        </w:rPr>
        <w:t>achieve coordination with other voters to maximize political efficacy</w:t>
      </w:r>
      <w:r w:rsidR="00B63B44">
        <w:rPr>
          <w:rFonts w:ascii="Times New Roman" w:hAnsi="Times New Roman" w:cs="Times New Roman"/>
          <w:sz w:val="24"/>
          <w:szCs w:val="24"/>
          <w:lang w:val="en-US"/>
        </w:rPr>
        <w:t>.</w:t>
      </w:r>
      <w:r w:rsidR="00A73E67">
        <w:rPr>
          <w:rFonts w:ascii="Times New Roman" w:hAnsi="Times New Roman" w:cs="Times New Roman"/>
          <w:sz w:val="24"/>
          <w:szCs w:val="24"/>
          <w:lang w:val="en-US"/>
        </w:rPr>
        <w:t xml:space="preserve"> Thus both Fourteenth Amendment equal protection liberty and First Amendment associational interests </w:t>
      </w:r>
      <w:r w:rsidR="000F6AF4">
        <w:rPr>
          <w:rFonts w:ascii="Times New Roman" w:hAnsi="Times New Roman" w:cs="Times New Roman"/>
          <w:sz w:val="24"/>
          <w:szCs w:val="24"/>
          <w:lang w:val="en-US"/>
        </w:rPr>
        <w:t>were appropriately considered</w:t>
      </w:r>
      <w:r w:rsidR="00A73E67">
        <w:rPr>
          <w:rFonts w:ascii="Times New Roman" w:hAnsi="Times New Roman" w:cs="Times New Roman"/>
          <w:sz w:val="24"/>
          <w:szCs w:val="24"/>
          <w:lang w:val="en-US"/>
        </w:rPr>
        <w:t xml:space="preserve">. </w:t>
      </w:r>
    </w:p>
    <w:p w:rsidR="00B46F1F" w:rsidRDefault="000F6AF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Yet the generality of the Court’s review has faded with time, and it has developed something of an associational tunnel vision, as is particularly clear in the primary affiliation cases. This crabbed constitutional view has led to neglect of the underlying question: how should the expression of democratic will occur during the primary process? Primaries are important precisely because in a democracy of large scale and </w:t>
      </w:r>
      <w:r w:rsidR="005C619D">
        <w:rPr>
          <w:rFonts w:ascii="Times New Roman" w:hAnsi="Times New Roman" w:cs="Times New Roman"/>
          <w:sz w:val="24"/>
          <w:szCs w:val="24"/>
          <w:lang w:val="en-US"/>
        </w:rPr>
        <w:t xml:space="preserve">with </w:t>
      </w:r>
      <w:r>
        <w:rPr>
          <w:rFonts w:ascii="Times New Roman" w:hAnsi="Times New Roman" w:cs="Times New Roman"/>
          <w:sz w:val="24"/>
          <w:szCs w:val="24"/>
          <w:lang w:val="en-US"/>
        </w:rPr>
        <w:t>a dizzying array of candidates, some form of pre-selection is necessary prior to general elections. The American system has evolved to rely on the ‘public utilities’ of parties for this pre-selection, with certain administrative facilitation and oversight provided by state governments.</w:t>
      </w:r>
      <w:r>
        <w:rPr>
          <w:rStyle w:val="FootnoteReference"/>
          <w:rFonts w:ascii="Times New Roman" w:hAnsi="Times New Roman" w:cs="Times New Roman"/>
          <w:sz w:val="24"/>
          <w:szCs w:val="24"/>
          <w:lang w:val="en-US"/>
        </w:rPr>
        <w:footnoteReference w:id="52"/>
      </w:r>
      <w:r>
        <w:rPr>
          <w:rFonts w:ascii="Times New Roman" w:hAnsi="Times New Roman" w:cs="Times New Roman"/>
          <w:sz w:val="24"/>
          <w:szCs w:val="24"/>
          <w:lang w:val="en-US"/>
        </w:rPr>
        <w:t xml:space="preserve"> If the primary process works well is ultimately a question that devolves upon deeper questions regarding legitimate and effective democratic process</w:t>
      </w:r>
      <w:r w:rsidR="00B46F1F">
        <w:rPr>
          <w:rFonts w:ascii="Times New Roman" w:hAnsi="Times New Roman" w:cs="Times New Roman"/>
          <w:sz w:val="24"/>
          <w:szCs w:val="24"/>
          <w:lang w:val="en-US"/>
        </w:rPr>
        <w:t>; yet</w:t>
      </w:r>
      <w:r>
        <w:rPr>
          <w:rFonts w:ascii="Times New Roman" w:hAnsi="Times New Roman" w:cs="Times New Roman"/>
          <w:sz w:val="24"/>
          <w:szCs w:val="24"/>
          <w:lang w:val="en-US"/>
        </w:rPr>
        <w:t xml:space="preserve"> the evolution of the law has somehow led to prioritiz</w:t>
      </w:r>
      <w:r w:rsidR="00B46F1F">
        <w:rPr>
          <w:rFonts w:ascii="Times New Roman" w:hAnsi="Times New Roman" w:cs="Times New Roman"/>
          <w:sz w:val="24"/>
          <w:szCs w:val="24"/>
          <w:lang w:val="en-US"/>
        </w:rPr>
        <w:t>ation of associational aspects of this question.</w:t>
      </w:r>
      <w:r>
        <w:rPr>
          <w:rStyle w:val="FootnoteReference"/>
          <w:rFonts w:ascii="Times New Roman" w:hAnsi="Times New Roman" w:cs="Times New Roman"/>
          <w:sz w:val="24"/>
          <w:szCs w:val="24"/>
          <w:lang w:val="en-US"/>
        </w:rPr>
        <w:footnoteReference w:id="53"/>
      </w:r>
      <w:r>
        <w:rPr>
          <w:rFonts w:ascii="Times New Roman" w:hAnsi="Times New Roman" w:cs="Times New Roman"/>
          <w:sz w:val="24"/>
          <w:szCs w:val="24"/>
          <w:lang w:val="en-US"/>
        </w:rPr>
        <w:t xml:space="preserve"> </w:t>
      </w:r>
      <w:r w:rsidR="00B46F1F">
        <w:rPr>
          <w:rFonts w:ascii="Times New Roman" w:hAnsi="Times New Roman" w:cs="Times New Roman"/>
          <w:sz w:val="24"/>
          <w:szCs w:val="24"/>
          <w:lang w:val="en-US"/>
        </w:rPr>
        <w:t xml:space="preserve">Yet ironically enough the associational gloss itself tends </w:t>
      </w:r>
      <w:r w:rsidR="00B46F1F">
        <w:rPr>
          <w:rFonts w:ascii="Times New Roman" w:hAnsi="Times New Roman" w:cs="Times New Roman"/>
          <w:sz w:val="24"/>
          <w:szCs w:val="24"/>
          <w:lang w:val="en-US"/>
        </w:rPr>
        <w:lastRenderedPageBreak/>
        <w:t xml:space="preserve">to </w:t>
      </w:r>
      <w:r w:rsidR="0015099B">
        <w:rPr>
          <w:rFonts w:ascii="Times New Roman" w:hAnsi="Times New Roman" w:cs="Times New Roman"/>
          <w:sz w:val="24"/>
          <w:szCs w:val="24"/>
          <w:lang w:val="en-US"/>
        </w:rPr>
        <w:t>benefit</w:t>
      </w:r>
      <w:r w:rsidR="00B46F1F">
        <w:rPr>
          <w:rFonts w:ascii="Times New Roman" w:hAnsi="Times New Roman" w:cs="Times New Roman"/>
          <w:sz w:val="24"/>
          <w:szCs w:val="24"/>
          <w:lang w:val="en-US"/>
        </w:rPr>
        <w:t xml:space="preserve"> powerful quasi-state actors who are likely least in need of protection </w:t>
      </w:r>
      <w:r w:rsidR="00995D33">
        <w:rPr>
          <w:rFonts w:ascii="Times New Roman" w:hAnsi="Times New Roman" w:cs="Times New Roman"/>
          <w:sz w:val="24"/>
          <w:szCs w:val="24"/>
          <w:lang w:val="en-US"/>
        </w:rPr>
        <w:t xml:space="preserve">from government action. </w:t>
      </w:r>
    </w:p>
    <w:p w:rsidR="000F6AF4" w:rsidRDefault="000F6AF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distortive consequences of the Court’s proclivity for associational analysis manifest in cases such as </w:t>
      </w:r>
      <w:r>
        <w:rPr>
          <w:rFonts w:ascii="Times New Roman" w:hAnsi="Times New Roman" w:cs="Times New Roman"/>
          <w:i/>
          <w:sz w:val="24"/>
          <w:szCs w:val="24"/>
          <w:lang w:val="en-US"/>
        </w:rPr>
        <w:t>Torres Lopez</w:t>
      </w:r>
      <w:r w:rsidR="00BC03EC">
        <w:rPr>
          <w:rFonts w:ascii="Times New Roman" w:hAnsi="Times New Roman" w:cs="Times New Roman"/>
          <w:sz w:val="24"/>
          <w:szCs w:val="24"/>
          <w:lang w:val="en-US"/>
        </w:rPr>
        <w:t>, in which a primary candidate argued a party’s internal selection procedures too heavily favored insiders. The Court did not merely dismiss the claim (which may have been a substantively valid outcome); it suggested that</w:t>
      </w:r>
      <w:r>
        <w:rPr>
          <w:rFonts w:ascii="Times New Roman" w:hAnsi="Times New Roman" w:cs="Times New Roman"/>
          <w:sz w:val="24"/>
          <w:szCs w:val="24"/>
          <w:lang w:val="en-US"/>
        </w:rPr>
        <w:t xml:space="preserve"> elite </w:t>
      </w:r>
      <w:r w:rsidR="00BC03EC">
        <w:rPr>
          <w:rFonts w:ascii="Times New Roman" w:hAnsi="Times New Roman" w:cs="Times New Roman"/>
          <w:sz w:val="24"/>
          <w:szCs w:val="24"/>
          <w:lang w:val="en-US"/>
        </w:rPr>
        <w:t xml:space="preserve">or insider </w:t>
      </w:r>
      <w:r>
        <w:rPr>
          <w:rFonts w:ascii="Times New Roman" w:hAnsi="Times New Roman" w:cs="Times New Roman"/>
          <w:sz w:val="24"/>
          <w:szCs w:val="24"/>
          <w:lang w:val="en-US"/>
        </w:rPr>
        <w:t>domination within a party</w:t>
      </w:r>
      <w:r w:rsidR="00BC03EC">
        <w:rPr>
          <w:rFonts w:ascii="Times New Roman" w:hAnsi="Times New Roman" w:cs="Times New Roman"/>
          <w:sz w:val="24"/>
          <w:szCs w:val="24"/>
          <w:lang w:val="en-US"/>
        </w:rPr>
        <w:t xml:space="preserve"> is not a matter of general justiciability</w:t>
      </w:r>
      <w:r>
        <w:rPr>
          <w:rFonts w:ascii="Times New Roman" w:hAnsi="Times New Roman" w:cs="Times New Roman"/>
          <w:sz w:val="24"/>
          <w:szCs w:val="24"/>
          <w:lang w:val="en-US"/>
        </w:rPr>
        <w:t xml:space="preserve">. The wrong asserted by the claimant can only be so readily dismissed if there are alternate mechanisms available by which she could seek to achieve political self-actualization, not merely (or even primarily) for her own end, but for the benefit of rank-and-file voters whose political will might be overly channeled or constrained by elite party control. Opportunities for genuine voter control of the selection of candidates seems a crucial part of primary legitimacy; else the process becomes nothing other than a means of elite conflict. The question of </w:t>
      </w:r>
      <w:r w:rsidRPr="00D65245">
        <w:rPr>
          <w:rFonts w:ascii="Times New Roman" w:hAnsi="Times New Roman" w:cs="Times New Roman"/>
          <w:i/>
          <w:sz w:val="24"/>
          <w:szCs w:val="24"/>
          <w:lang w:val="en-US"/>
        </w:rPr>
        <w:t>Torres Lopez</w:t>
      </w:r>
      <w:r>
        <w:rPr>
          <w:rFonts w:ascii="Times New Roman" w:hAnsi="Times New Roman" w:cs="Times New Roman"/>
          <w:sz w:val="24"/>
          <w:szCs w:val="24"/>
          <w:lang w:val="en-US"/>
        </w:rPr>
        <w:t xml:space="preserve"> should not be if the plaintiff’s asserted harm can be conceptualized as associational, but rather if she invokes a general failure of primaries as an aspect of democracy that is appropriately solved by judicial intervention.</w:t>
      </w:r>
    </w:p>
    <w:p w:rsidR="000F6AF4" w:rsidRDefault="000F6AF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Scholars have not been blind to the fact that the Court’s analysis of primaries has been dissatisfying. Some have noticed the oddness of the Court adopting a constitutional posture that protects parties, who, in addition to being among the most powerful and politically savvy of entities, have a uniquely close relationship to the state; as such the Court’s drift towards rights protection that prizes party integrity, given they can likely fend for themselves, is a curious </w:t>
      </w:r>
      <w:r>
        <w:rPr>
          <w:rFonts w:ascii="Times New Roman" w:hAnsi="Times New Roman" w:cs="Times New Roman"/>
          <w:sz w:val="24"/>
          <w:szCs w:val="24"/>
          <w:lang w:val="en-US"/>
        </w:rPr>
        <w:lastRenderedPageBreak/>
        <w:t>move.</w:t>
      </w:r>
      <w:r>
        <w:rPr>
          <w:rStyle w:val="FootnoteReference"/>
          <w:rFonts w:ascii="Times New Roman" w:hAnsi="Times New Roman" w:cs="Times New Roman"/>
          <w:sz w:val="24"/>
          <w:szCs w:val="24"/>
          <w:lang w:val="en-US"/>
        </w:rPr>
        <w:footnoteReference w:id="54"/>
      </w:r>
      <w:r>
        <w:rPr>
          <w:rFonts w:ascii="Times New Roman" w:hAnsi="Times New Roman" w:cs="Times New Roman"/>
          <w:sz w:val="24"/>
          <w:szCs w:val="24"/>
          <w:lang w:val="en-US"/>
        </w:rPr>
        <w:t xml:space="preserve"> It can be usefully contrasted with J.H. Ely’s influential argument</w:t>
      </w:r>
      <w:r>
        <w:rPr>
          <w:rStyle w:val="FootnoteReference"/>
          <w:rFonts w:ascii="Times New Roman" w:hAnsi="Times New Roman" w:cs="Times New Roman"/>
          <w:sz w:val="24"/>
          <w:szCs w:val="24"/>
          <w:lang w:val="en-US"/>
        </w:rPr>
        <w:footnoteReference w:id="55"/>
      </w:r>
      <w:r>
        <w:rPr>
          <w:rFonts w:ascii="Times New Roman" w:hAnsi="Times New Roman" w:cs="Times New Roman"/>
          <w:sz w:val="24"/>
          <w:szCs w:val="24"/>
          <w:lang w:val="en-US"/>
        </w:rPr>
        <w:t xml:space="preserve"> that judicial application of constitutional principles is justified when it protects structurally vulnerable groups in a democracy; yet in a two-party system, the major parties “</w:t>
      </w:r>
      <w:r>
        <w:rPr>
          <w:rFonts w:ascii="Times New Roman" w:hAnsi="Times New Roman" w:cs="Times New Roman"/>
          <w:i/>
          <w:sz w:val="24"/>
          <w:szCs w:val="24"/>
          <w:lang w:val="en-US"/>
        </w:rPr>
        <w:t>are</w:t>
      </w:r>
      <w:r>
        <w:rPr>
          <w:rFonts w:ascii="Times New Roman" w:hAnsi="Times New Roman" w:cs="Times New Roman"/>
          <w:sz w:val="24"/>
          <w:szCs w:val="24"/>
          <w:lang w:val="en-US"/>
        </w:rPr>
        <w:t xml:space="preserve"> the dominant groups, and the Court has…no reason to believe that they are incapable of fending for themselves through the political process.”</w:t>
      </w:r>
      <w:r>
        <w:rPr>
          <w:rStyle w:val="FootnoteReference"/>
          <w:rFonts w:ascii="Times New Roman" w:hAnsi="Times New Roman" w:cs="Times New Roman"/>
          <w:sz w:val="24"/>
          <w:szCs w:val="24"/>
          <w:lang w:val="en-US"/>
        </w:rPr>
        <w:footnoteReference w:id="56"/>
      </w:r>
      <w:r>
        <w:rPr>
          <w:rFonts w:ascii="Times New Roman" w:hAnsi="Times New Roman" w:cs="Times New Roman"/>
          <w:sz w:val="24"/>
          <w:szCs w:val="24"/>
          <w:lang w:val="en-US"/>
        </w:rPr>
        <w:t xml:space="preserve"> Others have observed the failure of the Court to consistently advance theoretical foundations for their profoundly political intervention; Samuel Issacharoff has more specifically stated the Court has omitted “any recognition of a thick right of autonomy that a party many claim against adverse state regulation.”</w:t>
      </w:r>
      <w:r>
        <w:rPr>
          <w:rStyle w:val="FootnoteReference"/>
          <w:rFonts w:ascii="Times New Roman" w:hAnsi="Times New Roman" w:cs="Times New Roman"/>
          <w:sz w:val="24"/>
          <w:szCs w:val="24"/>
          <w:lang w:val="en-US"/>
        </w:rPr>
        <w:footnoteReference w:id="57"/>
      </w:r>
      <w:r>
        <w:rPr>
          <w:rFonts w:ascii="Times New Roman" w:hAnsi="Times New Roman" w:cs="Times New Roman"/>
          <w:sz w:val="24"/>
          <w:szCs w:val="24"/>
          <w:lang w:val="en-US"/>
        </w:rPr>
        <w:t xml:space="preserve"> These high-theoretical approaches have generally advanced philosophical or social scientific principles as the new fulcrum for judicial regulation of primaries. As advanced by Issacharoff,</w:t>
      </w:r>
      <w:r>
        <w:rPr>
          <w:rStyle w:val="FootnoteReference"/>
          <w:rFonts w:ascii="Times New Roman" w:hAnsi="Times New Roman" w:cs="Times New Roman"/>
          <w:sz w:val="24"/>
          <w:szCs w:val="24"/>
          <w:lang w:val="en-US"/>
        </w:rPr>
        <w:footnoteReference w:id="58"/>
      </w:r>
      <w:r>
        <w:rPr>
          <w:rFonts w:ascii="Times New Roman" w:hAnsi="Times New Roman" w:cs="Times New Roman"/>
          <w:sz w:val="24"/>
          <w:szCs w:val="24"/>
          <w:lang w:val="en-US"/>
        </w:rPr>
        <w:t xml:space="preserve"> Michael Kang,</w:t>
      </w:r>
      <w:r>
        <w:rPr>
          <w:rStyle w:val="FootnoteReference"/>
          <w:rFonts w:ascii="Times New Roman" w:hAnsi="Times New Roman" w:cs="Times New Roman"/>
          <w:sz w:val="24"/>
          <w:szCs w:val="24"/>
          <w:lang w:val="en-US"/>
        </w:rPr>
        <w:footnoteReference w:id="59"/>
      </w:r>
      <w:r>
        <w:rPr>
          <w:rFonts w:ascii="Times New Roman" w:hAnsi="Times New Roman" w:cs="Times New Roman"/>
          <w:sz w:val="24"/>
          <w:szCs w:val="24"/>
          <w:lang w:val="en-US"/>
        </w:rPr>
        <w:t xml:space="preserve"> and Nathaniel </w:t>
      </w:r>
      <w:proofErr w:type="spellStart"/>
      <w:r>
        <w:rPr>
          <w:rFonts w:ascii="Times New Roman" w:hAnsi="Times New Roman" w:cs="Times New Roman"/>
          <w:sz w:val="24"/>
          <w:szCs w:val="24"/>
          <w:lang w:val="en-US"/>
        </w:rPr>
        <w:t>Persily</w:t>
      </w:r>
      <w:proofErr w:type="spell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0"/>
      </w:r>
      <w:r>
        <w:rPr>
          <w:rFonts w:ascii="Times New Roman" w:hAnsi="Times New Roman" w:cs="Times New Roman"/>
          <w:sz w:val="24"/>
          <w:szCs w:val="24"/>
          <w:lang w:val="en-US"/>
        </w:rPr>
        <w:t xml:space="preserve"> adopting postures that facilitate effective party competition may be the most popular structural value, though others have advanced more general models.</w:t>
      </w:r>
      <w:r>
        <w:rPr>
          <w:rStyle w:val="FootnoteReference"/>
          <w:rFonts w:ascii="Times New Roman" w:hAnsi="Times New Roman" w:cs="Times New Roman"/>
          <w:sz w:val="24"/>
          <w:szCs w:val="24"/>
          <w:lang w:val="en-US"/>
        </w:rPr>
        <w:footnoteReference w:id="61"/>
      </w:r>
    </w:p>
    <w:p w:rsidR="00CE2E5A" w:rsidRDefault="000F6AF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Given that primaries are a fundamental part of the mechanism by which individual will and collective preferences are transformed into electoral outcomes, such a generally structuralist </w:t>
      </w:r>
      <w:r>
        <w:rPr>
          <w:rFonts w:ascii="Times New Roman" w:hAnsi="Times New Roman" w:cs="Times New Roman"/>
          <w:sz w:val="24"/>
          <w:szCs w:val="24"/>
          <w:lang w:val="en-US"/>
        </w:rPr>
        <w:lastRenderedPageBreak/>
        <w:t>spirit is wholly appropriate. Perhaps more curious is the broader acceptance of First Amendment associational rights as the fitting lens for judicial evaluation of such primary design.</w:t>
      </w:r>
      <w:r>
        <w:rPr>
          <w:rStyle w:val="FootnoteReference"/>
          <w:rFonts w:ascii="Times New Roman" w:hAnsi="Times New Roman" w:cs="Times New Roman"/>
          <w:sz w:val="24"/>
          <w:szCs w:val="24"/>
          <w:lang w:val="en-US"/>
        </w:rPr>
        <w:footnoteReference w:id="62"/>
      </w:r>
      <w:r>
        <w:rPr>
          <w:rFonts w:ascii="Times New Roman" w:hAnsi="Times New Roman" w:cs="Times New Roman"/>
          <w:sz w:val="24"/>
          <w:szCs w:val="24"/>
          <w:lang w:val="en-US"/>
        </w:rPr>
        <w:t xml:space="preserve"> Even Issacharoff’s analysis of the associational right with regards to regulation of political parties, while recognizing the dilemma facing courts given that parties possess both public and private attributes,</w:t>
      </w:r>
      <w:r>
        <w:rPr>
          <w:rStyle w:val="FootnoteReference"/>
          <w:rFonts w:ascii="Times New Roman" w:hAnsi="Times New Roman" w:cs="Times New Roman"/>
          <w:sz w:val="24"/>
          <w:szCs w:val="24"/>
          <w:lang w:val="en-US"/>
        </w:rPr>
        <w:footnoteReference w:id="63"/>
      </w:r>
      <w:r>
        <w:rPr>
          <w:rFonts w:ascii="Times New Roman" w:hAnsi="Times New Roman" w:cs="Times New Roman"/>
          <w:sz w:val="24"/>
          <w:szCs w:val="24"/>
          <w:lang w:val="en-US"/>
        </w:rPr>
        <w:t xml:space="preserve"> does not challenge the basic reliance on association rights.</w:t>
      </w:r>
      <w:r w:rsidR="00A669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Yet for the reasons this </w:t>
      </w:r>
      <w:r w:rsidR="00657A2F">
        <w:rPr>
          <w:rFonts w:ascii="Times New Roman" w:hAnsi="Times New Roman" w:cs="Times New Roman"/>
          <w:sz w:val="24"/>
          <w:szCs w:val="24"/>
          <w:lang w:val="en-US"/>
        </w:rPr>
        <w:t>piece</w:t>
      </w:r>
      <w:r>
        <w:rPr>
          <w:rFonts w:ascii="Times New Roman" w:hAnsi="Times New Roman" w:cs="Times New Roman"/>
          <w:sz w:val="24"/>
          <w:szCs w:val="24"/>
          <w:lang w:val="en-US"/>
        </w:rPr>
        <w:t xml:space="preserve"> has revealed, associational rights are an odd fit as the foundational basis for considering party primaries. Associational rights make parties the </w:t>
      </w:r>
      <w:r>
        <w:rPr>
          <w:rFonts w:ascii="Times New Roman" w:hAnsi="Times New Roman" w:cs="Times New Roman"/>
          <w:i/>
          <w:sz w:val="24"/>
          <w:szCs w:val="24"/>
          <w:lang w:val="en-US"/>
        </w:rPr>
        <w:t>sine qua non</w:t>
      </w:r>
      <w:r>
        <w:rPr>
          <w:rFonts w:ascii="Times New Roman" w:hAnsi="Times New Roman" w:cs="Times New Roman"/>
          <w:sz w:val="24"/>
          <w:szCs w:val="24"/>
          <w:lang w:val="en-US"/>
        </w:rPr>
        <w:t xml:space="preserve"> of assessing primary regulation, and tend to exclude other political considerations that might contribute to a fuller conceptualization of how primary regulations impact democratic efficacy. Even if the scholarly turn towards functionalist analysis is accepted, the role of precedent and the gravitational influence of relying on associational rights would likely continue to induce judges to orient their analysis of primary regulation around their effect on parties. Yet this interest in primary regulation is only legitimate as a facet of broader judicial remit to advance fair terms for democratic politics. </w:t>
      </w:r>
    </w:p>
    <w:p w:rsidR="000F6AF4" w:rsidRDefault="000F6AF4"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jurisprudence would be better served – in terms of both substance and clarity – by primary reference to a right </w:t>
      </w:r>
      <w:r w:rsidR="0094445A">
        <w:rPr>
          <w:rFonts w:ascii="Times New Roman" w:hAnsi="Times New Roman" w:cs="Times New Roman"/>
          <w:sz w:val="24"/>
          <w:szCs w:val="24"/>
          <w:lang w:val="en-US"/>
        </w:rPr>
        <w:t>more generally deployable to serve</w:t>
      </w:r>
      <w:r>
        <w:rPr>
          <w:rFonts w:ascii="Times New Roman" w:hAnsi="Times New Roman" w:cs="Times New Roman"/>
          <w:sz w:val="24"/>
          <w:szCs w:val="24"/>
          <w:lang w:val="en-US"/>
        </w:rPr>
        <w:t xml:space="preserve"> popular autonomy, rather than autonomy as filtered through dominant institutions in the political process.</w:t>
      </w:r>
      <w:r w:rsidR="00CE2E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not to say that judicial assessment of primaries should consist of unvarnished judicial imposition of terms of democratic institutional design. Such an approach would raise a host of problems, including problems of standing and justiciability and contravening the political question doctrine. More generally, it would threaten to turn the courts into purely political institutions, which would both </w:t>
      </w:r>
      <w:r>
        <w:rPr>
          <w:rFonts w:ascii="Times New Roman" w:hAnsi="Times New Roman" w:cs="Times New Roman"/>
          <w:sz w:val="24"/>
          <w:szCs w:val="24"/>
          <w:lang w:val="en-US"/>
        </w:rPr>
        <w:lastRenderedPageBreak/>
        <w:t>raise a theoretical problem of non-democratic rule and expose courts to the risk of institutional retaliation by the intrinsically more powerful legislature and executive;</w:t>
      </w:r>
      <w:r>
        <w:rPr>
          <w:rStyle w:val="FootnoteReference"/>
          <w:rFonts w:ascii="Times New Roman" w:hAnsi="Times New Roman" w:cs="Times New Roman"/>
          <w:sz w:val="24"/>
          <w:szCs w:val="24"/>
          <w:lang w:val="en-US"/>
        </w:rPr>
        <w:footnoteReference w:id="64"/>
      </w:r>
      <w:r>
        <w:rPr>
          <w:rFonts w:ascii="Times New Roman" w:hAnsi="Times New Roman" w:cs="Times New Roman"/>
          <w:sz w:val="24"/>
          <w:szCs w:val="24"/>
          <w:lang w:val="en-US"/>
        </w:rPr>
        <w:t xml:space="preserve"> both of these possibilities would weaken the rule of law. Any such risks can be mitigated, however, by continuing to interpret the legality of primary regulation through the matrix of constitutional rights. The questi</w:t>
      </w:r>
      <w:r w:rsidR="00D22955">
        <w:rPr>
          <w:rFonts w:ascii="Times New Roman" w:hAnsi="Times New Roman" w:cs="Times New Roman"/>
          <w:sz w:val="24"/>
          <w:szCs w:val="24"/>
          <w:lang w:val="en-US"/>
        </w:rPr>
        <w:t>on, subsequently, is what right</w:t>
      </w:r>
      <w:r>
        <w:rPr>
          <w:rFonts w:ascii="Times New Roman" w:hAnsi="Times New Roman" w:cs="Times New Roman"/>
          <w:sz w:val="24"/>
          <w:szCs w:val="24"/>
          <w:lang w:val="en-US"/>
        </w:rPr>
        <w:t xml:space="preserve"> offer</w:t>
      </w:r>
      <w:r w:rsidR="00D22955">
        <w:rPr>
          <w:rFonts w:ascii="Times New Roman" w:hAnsi="Times New Roman" w:cs="Times New Roman"/>
          <w:sz w:val="24"/>
          <w:szCs w:val="24"/>
          <w:lang w:val="en-US"/>
        </w:rPr>
        <w:t>s</w:t>
      </w:r>
      <w:r>
        <w:rPr>
          <w:rFonts w:ascii="Times New Roman" w:hAnsi="Times New Roman" w:cs="Times New Roman"/>
          <w:sz w:val="24"/>
          <w:szCs w:val="24"/>
          <w:lang w:val="en-US"/>
        </w:rPr>
        <w:t xml:space="preserve"> the most appropriate framework. </w:t>
      </w:r>
    </w:p>
    <w:p w:rsidR="00E9262D" w:rsidRDefault="007C18D1" w:rsidP="00B234C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6A0138">
        <w:rPr>
          <w:rFonts w:ascii="Times New Roman" w:hAnsi="Times New Roman" w:cs="Times New Roman"/>
          <w:sz w:val="24"/>
          <w:szCs w:val="24"/>
          <w:lang w:val="en-US"/>
        </w:rPr>
        <w:t>V</w:t>
      </w:r>
      <w:r w:rsidR="00E9262D">
        <w:rPr>
          <w:rFonts w:ascii="Times New Roman" w:hAnsi="Times New Roman" w:cs="Times New Roman"/>
          <w:sz w:val="24"/>
          <w:szCs w:val="24"/>
          <w:lang w:val="en-US"/>
        </w:rPr>
        <w:t xml:space="preserve">. </w:t>
      </w:r>
      <w:r w:rsidR="002D5924">
        <w:rPr>
          <w:rFonts w:ascii="Times New Roman" w:hAnsi="Times New Roman" w:cs="Times New Roman"/>
          <w:sz w:val="24"/>
          <w:szCs w:val="24"/>
          <w:lang w:val="en-US"/>
        </w:rPr>
        <w:t xml:space="preserve">A Thought Experiment in </w:t>
      </w:r>
      <w:r>
        <w:rPr>
          <w:rFonts w:ascii="Times New Roman" w:hAnsi="Times New Roman" w:cs="Times New Roman"/>
          <w:sz w:val="24"/>
          <w:szCs w:val="24"/>
          <w:lang w:val="en-US"/>
        </w:rPr>
        <w:t>Renewing Judicial Over</w:t>
      </w:r>
      <w:r w:rsidR="00D22955">
        <w:rPr>
          <w:rFonts w:ascii="Times New Roman" w:hAnsi="Times New Roman" w:cs="Times New Roman"/>
          <w:sz w:val="24"/>
          <w:szCs w:val="24"/>
          <w:lang w:val="en-US"/>
        </w:rPr>
        <w:t xml:space="preserve">sight of Primaries: A Return to </w:t>
      </w:r>
      <w:r w:rsidR="002D5924">
        <w:rPr>
          <w:rFonts w:ascii="Times New Roman" w:hAnsi="Times New Roman" w:cs="Times New Roman"/>
          <w:sz w:val="24"/>
          <w:szCs w:val="24"/>
          <w:lang w:val="en-US"/>
        </w:rPr>
        <w:t>Equal Protection</w:t>
      </w:r>
    </w:p>
    <w:p w:rsidR="00A72DBE" w:rsidRDefault="009E1C23"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most </w:t>
      </w:r>
      <w:r w:rsidR="00A03871">
        <w:rPr>
          <w:rFonts w:ascii="Times New Roman" w:hAnsi="Times New Roman" w:cs="Times New Roman"/>
          <w:sz w:val="24"/>
          <w:szCs w:val="24"/>
          <w:lang w:val="en-US"/>
        </w:rPr>
        <w:t>straightforward</w:t>
      </w:r>
      <w:r>
        <w:rPr>
          <w:rFonts w:ascii="Times New Roman" w:hAnsi="Times New Roman" w:cs="Times New Roman"/>
          <w:sz w:val="24"/>
          <w:szCs w:val="24"/>
          <w:lang w:val="en-US"/>
        </w:rPr>
        <w:t xml:space="preserve"> </w:t>
      </w:r>
      <w:r w:rsidR="0036172D">
        <w:rPr>
          <w:rFonts w:ascii="Times New Roman" w:hAnsi="Times New Roman" w:cs="Times New Roman"/>
          <w:sz w:val="24"/>
          <w:szCs w:val="24"/>
          <w:lang w:val="en-US"/>
        </w:rPr>
        <w:t>way to shake off the dogmatic focus on associational rights is to turn to</w:t>
      </w:r>
      <w:r w:rsidR="00A03871">
        <w:rPr>
          <w:rFonts w:ascii="Times New Roman" w:hAnsi="Times New Roman" w:cs="Times New Roman"/>
          <w:sz w:val="24"/>
          <w:szCs w:val="24"/>
          <w:lang w:val="en-US"/>
        </w:rPr>
        <w:t xml:space="preserve"> the equal protection clause. </w:t>
      </w:r>
      <w:r w:rsidR="00C91242">
        <w:rPr>
          <w:rFonts w:ascii="Times New Roman" w:hAnsi="Times New Roman" w:cs="Times New Roman"/>
          <w:sz w:val="24"/>
          <w:szCs w:val="24"/>
          <w:lang w:val="en-US"/>
        </w:rPr>
        <w:t xml:space="preserve">This is not the only right that could perform this function; Michael McConnell has argued that the political thicket would have been better entered by </w:t>
      </w:r>
      <w:r w:rsidR="00C91F60">
        <w:rPr>
          <w:rFonts w:ascii="Times New Roman" w:hAnsi="Times New Roman" w:cs="Times New Roman"/>
          <w:sz w:val="24"/>
          <w:szCs w:val="24"/>
          <w:lang w:val="en-US"/>
        </w:rPr>
        <w:t>republican government effected through the</w:t>
      </w:r>
      <w:r w:rsidR="00C91242">
        <w:rPr>
          <w:rFonts w:ascii="Times New Roman" w:hAnsi="Times New Roman" w:cs="Times New Roman"/>
          <w:sz w:val="24"/>
          <w:szCs w:val="24"/>
          <w:lang w:val="en-US"/>
        </w:rPr>
        <w:t xml:space="preserve"> Guaranty Clause,</w:t>
      </w:r>
      <w:r w:rsidR="00C91242">
        <w:rPr>
          <w:rStyle w:val="FootnoteReference"/>
          <w:rFonts w:ascii="Times New Roman" w:hAnsi="Times New Roman" w:cs="Times New Roman"/>
          <w:sz w:val="24"/>
          <w:szCs w:val="24"/>
          <w:lang w:val="en-US"/>
        </w:rPr>
        <w:footnoteReference w:id="65"/>
      </w:r>
      <w:r w:rsidR="00C91242">
        <w:rPr>
          <w:rFonts w:ascii="Times New Roman" w:hAnsi="Times New Roman" w:cs="Times New Roman"/>
          <w:sz w:val="24"/>
          <w:szCs w:val="24"/>
          <w:lang w:val="en-US"/>
        </w:rPr>
        <w:t xml:space="preserve"> and it might be possible, through a ‘thick’ conception of political rights, to adapt substantive due process to this purpose. </w:t>
      </w:r>
      <w:r w:rsidR="00C91F60">
        <w:rPr>
          <w:rFonts w:ascii="Times New Roman" w:hAnsi="Times New Roman" w:cs="Times New Roman"/>
          <w:sz w:val="24"/>
          <w:szCs w:val="24"/>
          <w:lang w:val="en-US"/>
        </w:rPr>
        <w:t>It would also be possible to stretch the concept of association to cover integrity of governance generally, though this would involve distortion of the concept</w:t>
      </w:r>
      <w:r w:rsidR="004B0F64">
        <w:rPr>
          <w:rFonts w:ascii="Times New Roman" w:hAnsi="Times New Roman" w:cs="Times New Roman"/>
          <w:sz w:val="24"/>
          <w:szCs w:val="24"/>
          <w:lang w:val="en-US"/>
        </w:rPr>
        <w:t xml:space="preserve"> as it stands in the doctrine</w:t>
      </w:r>
      <w:r w:rsidR="00C91F60">
        <w:rPr>
          <w:rFonts w:ascii="Times New Roman" w:hAnsi="Times New Roman" w:cs="Times New Roman"/>
          <w:sz w:val="24"/>
          <w:szCs w:val="24"/>
          <w:lang w:val="en-US"/>
        </w:rPr>
        <w:t xml:space="preserve">. </w:t>
      </w:r>
      <w:r w:rsidR="00301255">
        <w:rPr>
          <w:rFonts w:ascii="Times New Roman" w:hAnsi="Times New Roman" w:cs="Times New Roman"/>
          <w:sz w:val="24"/>
          <w:szCs w:val="24"/>
          <w:lang w:val="en-US"/>
        </w:rPr>
        <w:t xml:space="preserve">Yet </w:t>
      </w:r>
      <w:r w:rsidR="002C1424">
        <w:rPr>
          <w:rFonts w:ascii="Times New Roman" w:hAnsi="Times New Roman" w:cs="Times New Roman"/>
          <w:sz w:val="24"/>
          <w:szCs w:val="24"/>
          <w:lang w:val="en-US"/>
        </w:rPr>
        <w:t xml:space="preserve">‘political’ </w:t>
      </w:r>
      <w:r w:rsidR="00714512">
        <w:rPr>
          <w:rFonts w:ascii="Times New Roman" w:hAnsi="Times New Roman" w:cs="Times New Roman"/>
          <w:sz w:val="24"/>
          <w:szCs w:val="24"/>
          <w:lang w:val="en-US"/>
        </w:rPr>
        <w:t xml:space="preserve">equal protection has a number of virtues to recommend it: </w:t>
      </w:r>
      <w:r w:rsidR="00737849">
        <w:rPr>
          <w:rFonts w:ascii="Times New Roman" w:hAnsi="Times New Roman" w:cs="Times New Roman"/>
          <w:sz w:val="24"/>
          <w:szCs w:val="24"/>
          <w:lang w:val="en-US"/>
        </w:rPr>
        <w:t>it has an established legacy</w:t>
      </w:r>
      <w:r w:rsidR="00C91F60">
        <w:rPr>
          <w:rFonts w:ascii="Times New Roman" w:hAnsi="Times New Roman" w:cs="Times New Roman"/>
          <w:sz w:val="24"/>
          <w:szCs w:val="24"/>
          <w:lang w:val="en-US"/>
        </w:rPr>
        <w:t xml:space="preserve"> in the regulation of politics</w:t>
      </w:r>
      <w:r w:rsidR="00737849">
        <w:rPr>
          <w:rFonts w:ascii="Times New Roman" w:hAnsi="Times New Roman" w:cs="Times New Roman"/>
          <w:sz w:val="24"/>
          <w:szCs w:val="24"/>
          <w:lang w:val="en-US"/>
        </w:rPr>
        <w:t xml:space="preserve">, including, before the Court adopted a narrower approach to regulation, in the context of primaries; and it has a natural relationship to democratic process regarding the issue of how to assess the appropriate government treatment of electoral procedure. </w:t>
      </w:r>
      <w:r w:rsidR="00CE2266">
        <w:rPr>
          <w:rFonts w:ascii="Times New Roman" w:hAnsi="Times New Roman" w:cs="Times New Roman"/>
          <w:sz w:val="24"/>
          <w:szCs w:val="24"/>
          <w:lang w:val="en-US"/>
        </w:rPr>
        <w:t xml:space="preserve">Democracy is </w:t>
      </w:r>
      <w:r w:rsidR="00C91F60">
        <w:rPr>
          <w:rFonts w:ascii="Times New Roman" w:hAnsi="Times New Roman" w:cs="Times New Roman"/>
          <w:sz w:val="24"/>
          <w:szCs w:val="24"/>
          <w:lang w:val="en-US"/>
        </w:rPr>
        <w:t xml:space="preserve">distinguished as a political system </w:t>
      </w:r>
      <w:r w:rsidR="00CE2266">
        <w:rPr>
          <w:rFonts w:ascii="Times New Roman" w:hAnsi="Times New Roman" w:cs="Times New Roman"/>
          <w:sz w:val="24"/>
          <w:szCs w:val="24"/>
          <w:lang w:val="en-US"/>
        </w:rPr>
        <w:t xml:space="preserve">by </w:t>
      </w:r>
      <w:r w:rsidR="00B849C0">
        <w:rPr>
          <w:rFonts w:ascii="Times New Roman" w:hAnsi="Times New Roman" w:cs="Times New Roman"/>
          <w:sz w:val="24"/>
          <w:szCs w:val="24"/>
          <w:lang w:val="en-US"/>
        </w:rPr>
        <w:t>a</w:t>
      </w:r>
      <w:r w:rsidR="00CE2266">
        <w:rPr>
          <w:rFonts w:ascii="Times New Roman" w:hAnsi="Times New Roman" w:cs="Times New Roman"/>
          <w:sz w:val="24"/>
          <w:szCs w:val="24"/>
          <w:lang w:val="en-US"/>
        </w:rPr>
        <w:t xml:space="preserve"> commitment to </w:t>
      </w:r>
      <w:r w:rsidR="00E7514A">
        <w:rPr>
          <w:rFonts w:ascii="Times New Roman" w:hAnsi="Times New Roman" w:cs="Times New Roman"/>
          <w:sz w:val="24"/>
          <w:szCs w:val="24"/>
          <w:lang w:val="en-US"/>
        </w:rPr>
        <w:t xml:space="preserve">a certain type of structural </w:t>
      </w:r>
      <w:r w:rsidR="00CE2266">
        <w:rPr>
          <w:rFonts w:ascii="Times New Roman" w:hAnsi="Times New Roman" w:cs="Times New Roman"/>
          <w:sz w:val="24"/>
          <w:szCs w:val="24"/>
          <w:lang w:val="en-US"/>
        </w:rPr>
        <w:t>equa</w:t>
      </w:r>
      <w:r w:rsidR="00B849C0">
        <w:rPr>
          <w:rFonts w:ascii="Times New Roman" w:hAnsi="Times New Roman" w:cs="Times New Roman"/>
          <w:sz w:val="24"/>
          <w:szCs w:val="24"/>
          <w:lang w:val="en-US"/>
        </w:rPr>
        <w:t xml:space="preserve">lity of citizen political power. How this equality must be realized has been the subject of vast and </w:t>
      </w:r>
      <w:r w:rsidR="00B849C0">
        <w:rPr>
          <w:rFonts w:ascii="Times New Roman" w:hAnsi="Times New Roman" w:cs="Times New Roman"/>
          <w:sz w:val="24"/>
          <w:szCs w:val="24"/>
          <w:lang w:val="en-US"/>
        </w:rPr>
        <w:lastRenderedPageBreak/>
        <w:t>contentious debate, but before the court</w:t>
      </w:r>
      <w:r w:rsidR="00CE2266">
        <w:rPr>
          <w:rFonts w:ascii="Times New Roman" w:hAnsi="Times New Roman" w:cs="Times New Roman"/>
          <w:sz w:val="24"/>
          <w:szCs w:val="24"/>
          <w:lang w:val="en-US"/>
        </w:rPr>
        <w:t xml:space="preserve"> the principle of non-discrimination in the equal protection clause is the most natural mechanism for fully exploring this.</w:t>
      </w:r>
    </w:p>
    <w:p w:rsidR="00CE2266" w:rsidRDefault="00B849C0"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Of course, many have observed that the attempts by the Supreme Court to develop the equal protection clause into a coherent vehicle for </w:t>
      </w:r>
      <w:r w:rsidR="001C3F3E">
        <w:rPr>
          <w:rFonts w:ascii="Times New Roman" w:hAnsi="Times New Roman" w:cs="Times New Roman"/>
          <w:sz w:val="24"/>
          <w:szCs w:val="24"/>
          <w:lang w:val="en-US"/>
        </w:rPr>
        <w:t>protecting democracy have been theoretically underdeveloped</w:t>
      </w:r>
      <w:r w:rsidR="001C3F3E">
        <w:rPr>
          <w:rStyle w:val="FootnoteReference"/>
          <w:rFonts w:ascii="Times New Roman" w:hAnsi="Times New Roman" w:cs="Times New Roman"/>
          <w:sz w:val="24"/>
          <w:szCs w:val="24"/>
          <w:lang w:val="en-US"/>
        </w:rPr>
        <w:footnoteReference w:id="66"/>
      </w:r>
      <w:r w:rsidR="001C3F3E">
        <w:rPr>
          <w:rFonts w:ascii="Times New Roman" w:hAnsi="Times New Roman" w:cs="Times New Roman"/>
          <w:sz w:val="24"/>
          <w:szCs w:val="24"/>
          <w:lang w:val="en-US"/>
        </w:rPr>
        <w:t xml:space="preserve"> and at worst practically self-defeating.</w:t>
      </w:r>
      <w:r w:rsidR="001C3F3E">
        <w:rPr>
          <w:rStyle w:val="FootnoteReference"/>
          <w:rFonts w:ascii="Times New Roman" w:hAnsi="Times New Roman" w:cs="Times New Roman"/>
          <w:sz w:val="24"/>
          <w:szCs w:val="24"/>
          <w:lang w:val="en-US"/>
        </w:rPr>
        <w:footnoteReference w:id="67"/>
      </w:r>
      <w:r w:rsidR="001C3F3E">
        <w:rPr>
          <w:rFonts w:ascii="Times New Roman" w:hAnsi="Times New Roman" w:cs="Times New Roman"/>
          <w:sz w:val="24"/>
          <w:szCs w:val="24"/>
          <w:lang w:val="en-US"/>
        </w:rPr>
        <w:t xml:space="preserve"> </w:t>
      </w:r>
      <w:r w:rsidR="00BA50B7">
        <w:rPr>
          <w:rFonts w:ascii="Times New Roman" w:hAnsi="Times New Roman" w:cs="Times New Roman"/>
          <w:sz w:val="24"/>
          <w:szCs w:val="24"/>
          <w:lang w:val="en-US"/>
        </w:rPr>
        <w:t xml:space="preserve">One major aspect of the deficiency in its judicial implementation has been what Heather </w:t>
      </w:r>
      <w:proofErr w:type="spellStart"/>
      <w:r w:rsidR="00BA50B7">
        <w:rPr>
          <w:rFonts w:ascii="Times New Roman" w:hAnsi="Times New Roman" w:cs="Times New Roman"/>
          <w:sz w:val="24"/>
          <w:szCs w:val="24"/>
          <w:lang w:val="en-US"/>
        </w:rPr>
        <w:t>Gerken</w:t>
      </w:r>
      <w:proofErr w:type="spellEnd"/>
      <w:r w:rsidR="00BA50B7">
        <w:rPr>
          <w:rFonts w:ascii="Times New Roman" w:hAnsi="Times New Roman" w:cs="Times New Roman"/>
          <w:sz w:val="24"/>
          <w:szCs w:val="24"/>
          <w:lang w:val="en-US"/>
        </w:rPr>
        <w:t xml:space="preserve"> </w:t>
      </w:r>
      <w:r w:rsidR="002159E0">
        <w:rPr>
          <w:rFonts w:ascii="Times New Roman" w:hAnsi="Times New Roman" w:cs="Times New Roman"/>
          <w:sz w:val="24"/>
          <w:szCs w:val="24"/>
          <w:lang w:val="en-US"/>
        </w:rPr>
        <w:t xml:space="preserve">has </w:t>
      </w:r>
      <w:r w:rsidR="000966CE">
        <w:rPr>
          <w:rFonts w:ascii="Times New Roman" w:hAnsi="Times New Roman" w:cs="Times New Roman"/>
          <w:sz w:val="24"/>
          <w:szCs w:val="24"/>
          <w:lang w:val="en-US"/>
        </w:rPr>
        <w:t>suggest</w:t>
      </w:r>
      <w:r w:rsidR="002159E0">
        <w:rPr>
          <w:rFonts w:ascii="Times New Roman" w:hAnsi="Times New Roman" w:cs="Times New Roman"/>
          <w:sz w:val="24"/>
          <w:szCs w:val="24"/>
          <w:lang w:val="en-US"/>
        </w:rPr>
        <w:t>ed</w:t>
      </w:r>
      <w:r w:rsidR="000966CE">
        <w:rPr>
          <w:rFonts w:ascii="Times New Roman" w:hAnsi="Times New Roman" w:cs="Times New Roman"/>
          <w:sz w:val="24"/>
          <w:szCs w:val="24"/>
          <w:lang w:val="en-US"/>
        </w:rPr>
        <w:t xml:space="preserve"> is</w:t>
      </w:r>
      <w:r w:rsidR="004D2E55">
        <w:rPr>
          <w:rFonts w:ascii="Times New Roman" w:hAnsi="Times New Roman" w:cs="Times New Roman"/>
          <w:sz w:val="24"/>
          <w:szCs w:val="24"/>
          <w:lang w:val="en-US"/>
        </w:rPr>
        <w:t xml:space="preserve"> a lack of mid-range theory:</w:t>
      </w:r>
      <w:r w:rsidR="004D2E55">
        <w:rPr>
          <w:rStyle w:val="FootnoteReference"/>
          <w:rFonts w:ascii="Times New Roman" w:hAnsi="Times New Roman" w:cs="Times New Roman"/>
          <w:sz w:val="24"/>
          <w:szCs w:val="24"/>
          <w:lang w:val="en-US"/>
        </w:rPr>
        <w:footnoteReference w:id="68"/>
      </w:r>
      <w:r w:rsidR="004D2E55">
        <w:rPr>
          <w:rFonts w:ascii="Times New Roman" w:hAnsi="Times New Roman" w:cs="Times New Roman"/>
          <w:sz w:val="24"/>
          <w:szCs w:val="24"/>
          <w:lang w:val="en-US"/>
        </w:rPr>
        <w:t xml:space="preserve"> an explanation of what deeper political aim or vision of democratic structure the Court hopes to achieve through the application of one-person, one-vote. </w:t>
      </w:r>
      <w:r w:rsidR="00830FAD">
        <w:rPr>
          <w:rFonts w:ascii="Times New Roman" w:hAnsi="Times New Roman" w:cs="Times New Roman"/>
          <w:sz w:val="24"/>
          <w:szCs w:val="24"/>
          <w:lang w:val="en-US"/>
        </w:rPr>
        <w:t xml:space="preserve">Indeed, in </w:t>
      </w:r>
      <w:proofErr w:type="spellStart"/>
      <w:r w:rsidR="00830FAD">
        <w:rPr>
          <w:rFonts w:ascii="Times New Roman" w:hAnsi="Times New Roman" w:cs="Times New Roman"/>
          <w:i/>
          <w:sz w:val="24"/>
          <w:szCs w:val="24"/>
          <w:lang w:val="en-US"/>
        </w:rPr>
        <w:t>Storer</w:t>
      </w:r>
      <w:proofErr w:type="spellEnd"/>
      <w:r w:rsidR="00830FAD">
        <w:rPr>
          <w:rFonts w:ascii="Times New Roman" w:hAnsi="Times New Roman" w:cs="Times New Roman"/>
          <w:sz w:val="24"/>
          <w:szCs w:val="24"/>
          <w:lang w:val="en-US"/>
        </w:rPr>
        <w:t xml:space="preserve"> the Court seemed to con</w:t>
      </w:r>
      <w:r w:rsidR="0067391F">
        <w:rPr>
          <w:rFonts w:ascii="Times New Roman" w:hAnsi="Times New Roman" w:cs="Times New Roman"/>
          <w:sz w:val="24"/>
          <w:szCs w:val="24"/>
          <w:lang w:val="en-US"/>
        </w:rPr>
        <w:t xml:space="preserve">cede the intractability of answering the middle theory problem </w:t>
      </w:r>
      <w:r w:rsidR="00830FAD">
        <w:rPr>
          <w:rFonts w:ascii="Times New Roman" w:hAnsi="Times New Roman" w:cs="Times New Roman"/>
          <w:sz w:val="24"/>
          <w:szCs w:val="24"/>
          <w:lang w:val="en-US"/>
        </w:rPr>
        <w:t xml:space="preserve">with its </w:t>
      </w:r>
      <w:r w:rsidR="0067391F">
        <w:rPr>
          <w:rFonts w:ascii="Times New Roman" w:hAnsi="Times New Roman" w:cs="Times New Roman"/>
          <w:sz w:val="24"/>
          <w:szCs w:val="24"/>
          <w:lang w:val="en-US"/>
        </w:rPr>
        <w:t xml:space="preserve">hand-waving </w:t>
      </w:r>
      <w:r w:rsidR="00830FAD">
        <w:rPr>
          <w:rFonts w:ascii="Times New Roman" w:hAnsi="Times New Roman" w:cs="Times New Roman"/>
          <w:sz w:val="24"/>
          <w:szCs w:val="24"/>
          <w:lang w:val="en-US"/>
        </w:rPr>
        <w:t>denial of any “litmus-paper” test for a state regulation (in the primary context) passing constitutional muster.</w:t>
      </w:r>
    </w:p>
    <w:p w:rsidR="00830FAD" w:rsidRDefault="00830FAD"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Yet if the challenge of offering a more rigorous account of </w:t>
      </w:r>
      <w:r w:rsidR="0067391F">
        <w:rPr>
          <w:rFonts w:ascii="Times New Roman" w:hAnsi="Times New Roman" w:cs="Times New Roman"/>
          <w:sz w:val="24"/>
          <w:szCs w:val="24"/>
          <w:lang w:val="en-US"/>
        </w:rPr>
        <w:t xml:space="preserve">what role the equal protection clause ought to perform in the political thicket were to deserve a more persistent or sincere consideration, the delimited role and structured character of primary analysis might offer a helpful point of entry. </w:t>
      </w:r>
      <w:r w:rsidRPr="0067391F">
        <w:rPr>
          <w:rFonts w:ascii="Times New Roman" w:hAnsi="Times New Roman" w:cs="Times New Roman"/>
          <w:sz w:val="24"/>
          <w:szCs w:val="24"/>
          <w:lang w:val="en-US"/>
        </w:rPr>
        <w:t xml:space="preserve">Performing an equal protection </w:t>
      </w:r>
      <w:r w:rsidR="0067391F" w:rsidRPr="0067391F">
        <w:rPr>
          <w:rFonts w:ascii="Times New Roman" w:hAnsi="Times New Roman" w:cs="Times New Roman"/>
          <w:sz w:val="24"/>
          <w:szCs w:val="24"/>
          <w:lang w:val="en-US"/>
        </w:rPr>
        <w:t>of primaries would require</w:t>
      </w:r>
      <w:r w:rsidRPr="0067391F">
        <w:rPr>
          <w:rFonts w:ascii="Times New Roman" w:hAnsi="Times New Roman" w:cs="Times New Roman"/>
          <w:sz w:val="24"/>
          <w:szCs w:val="24"/>
          <w:lang w:val="en-US"/>
        </w:rPr>
        <w:t xml:space="preserve"> juggling of a complex constellation of factors and entities: the right of voters to realize their equal political autonomy; the right of the state (as ultimately empowered by voters) to set terms of self-rule; and the right of parties to facilitate the realization of voter will</w:t>
      </w:r>
      <w:r w:rsidR="00F97A8B">
        <w:rPr>
          <w:rFonts w:ascii="Times New Roman" w:hAnsi="Times New Roman" w:cs="Times New Roman"/>
          <w:sz w:val="24"/>
          <w:szCs w:val="24"/>
          <w:lang w:val="en-US"/>
        </w:rPr>
        <w:t xml:space="preserve">, even as they often occupy a state like space in some aspects of the political process. </w:t>
      </w:r>
      <w:r w:rsidR="002214B9">
        <w:rPr>
          <w:rFonts w:ascii="Times New Roman" w:hAnsi="Times New Roman" w:cs="Times New Roman"/>
          <w:sz w:val="24"/>
          <w:szCs w:val="24"/>
          <w:lang w:val="en-US"/>
        </w:rPr>
        <w:t xml:space="preserve">Yet that the Court would have to engaged in such </w:t>
      </w:r>
      <w:r w:rsidR="002214B9">
        <w:rPr>
          <w:rFonts w:ascii="Times New Roman" w:hAnsi="Times New Roman" w:cs="Times New Roman"/>
          <w:sz w:val="24"/>
          <w:szCs w:val="24"/>
          <w:lang w:val="en-US"/>
        </w:rPr>
        <w:lastRenderedPageBreak/>
        <w:t xml:space="preserve">an analysis that would explicitly take account of these structures might in fact </w:t>
      </w:r>
      <w:r w:rsidR="002214B9">
        <w:rPr>
          <w:rFonts w:ascii="Times New Roman" w:hAnsi="Times New Roman" w:cs="Times New Roman"/>
          <w:i/>
          <w:sz w:val="24"/>
          <w:szCs w:val="24"/>
          <w:lang w:val="en-US"/>
        </w:rPr>
        <w:t>facilitate</w:t>
      </w:r>
      <w:r w:rsidR="00E7514A">
        <w:rPr>
          <w:rFonts w:ascii="Times New Roman" w:hAnsi="Times New Roman" w:cs="Times New Roman"/>
          <w:sz w:val="24"/>
          <w:szCs w:val="24"/>
          <w:lang w:val="en-US"/>
        </w:rPr>
        <w:t xml:space="preserve"> the development of richer theorization of how the equal protection clause applies to politic</w:t>
      </w:r>
      <w:r w:rsidR="00FD5C84">
        <w:rPr>
          <w:rFonts w:ascii="Times New Roman" w:hAnsi="Times New Roman" w:cs="Times New Roman"/>
          <w:sz w:val="24"/>
          <w:szCs w:val="24"/>
          <w:lang w:val="en-US"/>
        </w:rPr>
        <w:t>al structure</w:t>
      </w:r>
      <w:r w:rsidR="002214B9">
        <w:rPr>
          <w:rFonts w:ascii="Times New Roman" w:hAnsi="Times New Roman" w:cs="Times New Roman"/>
          <w:sz w:val="24"/>
          <w:szCs w:val="24"/>
          <w:lang w:val="en-US"/>
        </w:rPr>
        <w:t xml:space="preserve">. In an opaque and fragmentary manner, this has already occurred in the existing </w:t>
      </w:r>
      <w:r w:rsidR="00E7514A">
        <w:rPr>
          <w:rFonts w:ascii="Times New Roman" w:hAnsi="Times New Roman" w:cs="Times New Roman"/>
          <w:sz w:val="24"/>
          <w:szCs w:val="24"/>
          <w:lang w:val="en-US"/>
        </w:rPr>
        <w:t>case law</w:t>
      </w:r>
      <w:r w:rsidR="002214B9">
        <w:rPr>
          <w:rFonts w:ascii="Times New Roman" w:hAnsi="Times New Roman" w:cs="Times New Roman"/>
          <w:sz w:val="24"/>
          <w:szCs w:val="24"/>
          <w:lang w:val="en-US"/>
        </w:rPr>
        <w:t xml:space="preserve"> – while the Court has overvalued the associational right to form parties and only developed a partial account of countervailing state interests (which, themselves, treat</w:t>
      </w:r>
      <w:r w:rsidR="006D22FF">
        <w:rPr>
          <w:rFonts w:ascii="Times New Roman" w:hAnsi="Times New Roman" w:cs="Times New Roman"/>
          <w:sz w:val="24"/>
          <w:szCs w:val="24"/>
          <w:lang w:val="en-US"/>
        </w:rPr>
        <w:t xml:space="preserve"> party integrity</w:t>
      </w:r>
      <w:r w:rsidR="002214B9">
        <w:rPr>
          <w:rFonts w:ascii="Times New Roman" w:hAnsi="Times New Roman" w:cs="Times New Roman"/>
          <w:sz w:val="24"/>
          <w:szCs w:val="24"/>
          <w:lang w:val="en-US"/>
        </w:rPr>
        <w:t xml:space="preserve"> as the driving consideration)</w:t>
      </w:r>
      <w:r w:rsidR="006D22FF">
        <w:rPr>
          <w:rStyle w:val="FootnoteReference"/>
          <w:rFonts w:ascii="Times New Roman" w:hAnsi="Times New Roman" w:cs="Times New Roman"/>
          <w:sz w:val="24"/>
          <w:szCs w:val="24"/>
          <w:lang w:val="en-US"/>
        </w:rPr>
        <w:footnoteReference w:id="69"/>
      </w:r>
      <w:r w:rsidR="006D22FF">
        <w:rPr>
          <w:rFonts w:ascii="Times New Roman" w:hAnsi="Times New Roman" w:cs="Times New Roman"/>
          <w:sz w:val="24"/>
          <w:szCs w:val="24"/>
          <w:lang w:val="en-US"/>
        </w:rPr>
        <w:t>, it has at least developed aspects of a theory of political operation in the context of primary regulation.</w:t>
      </w:r>
    </w:p>
    <w:p w:rsidR="006D22FF" w:rsidRDefault="000B710B"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Thus, the very factor that makes primary regulation challenging – the presence of multiple types of actors, one of which (parties) has ambiguous status as both effecting unconstitutional action and deserving constitutional protection – makes it an appropriate candidate for clarifying the role of equal protection in electoral design. </w:t>
      </w:r>
      <w:r w:rsidR="00203F0F">
        <w:rPr>
          <w:rFonts w:ascii="Times New Roman" w:hAnsi="Times New Roman" w:cs="Times New Roman"/>
          <w:sz w:val="24"/>
          <w:szCs w:val="24"/>
          <w:lang w:val="en-US"/>
        </w:rPr>
        <w:t>The substantive complexity would discipline the Court to engage with the substantive questions that would answer the clamor for mid-range theory. The treatment of association in the existing jurisprudence has shown this will take place; however, the associational gloss has resulted in less comprehensive norms guiding the law’s priorities. Equal protection analysis, conversely, would require direct confrontation with the question of the form of democratic equality that the law has so far evaded.</w:t>
      </w:r>
    </w:p>
    <w:p w:rsidR="00D26674" w:rsidRPr="00B61281" w:rsidRDefault="004E4A1B"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There is arguably a deeper theoretical </w:t>
      </w:r>
      <w:r w:rsidR="0045365E">
        <w:rPr>
          <w:rFonts w:ascii="Times New Roman" w:hAnsi="Times New Roman" w:cs="Times New Roman"/>
          <w:sz w:val="24"/>
          <w:szCs w:val="24"/>
          <w:lang w:val="en-US"/>
        </w:rPr>
        <w:t xml:space="preserve">reason to </w:t>
      </w:r>
      <w:r w:rsidR="000B420B">
        <w:rPr>
          <w:rFonts w:ascii="Times New Roman" w:hAnsi="Times New Roman" w:cs="Times New Roman"/>
          <w:sz w:val="24"/>
          <w:szCs w:val="24"/>
          <w:lang w:val="en-US"/>
        </w:rPr>
        <w:t>embrace the equal protecti</w:t>
      </w:r>
      <w:r w:rsidR="002D787A">
        <w:rPr>
          <w:rFonts w:ascii="Times New Roman" w:hAnsi="Times New Roman" w:cs="Times New Roman"/>
          <w:sz w:val="24"/>
          <w:szCs w:val="24"/>
          <w:lang w:val="en-US"/>
        </w:rPr>
        <w:t xml:space="preserve">on clause to assess the design of an electoral practice as important as primaries. While the principle of association certainly may have </w:t>
      </w:r>
      <w:r w:rsidR="00D26674">
        <w:rPr>
          <w:rFonts w:ascii="Times New Roman" w:hAnsi="Times New Roman" w:cs="Times New Roman"/>
          <w:sz w:val="24"/>
          <w:szCs w:val="24"/>
          <w:lang w:val="en-US"/>
        </w:rPr>
        <w:t xml:space="preserve">first-order value, its </w:t>
      </w:r>
      <w:r w:rsidR="00C7342C">
        <w:rPr>
          <w:rFonts w:ascii="Times New Roman" w:hAnsi="Times New Roman" w:cs="Times New Roman"/>
          <w:sz w:val="24"/>
          <w:szCs w:val="24"/>
          <w:lang w:val="en-US"/>
        </w:rPr>
        <w:t>greatest</w:t>
      </w:r>
      <w:r w:rsidR="00D26674">
        <w:rPr>
          <w:rFonts w:ascii="Times New Roman" w:hAnsi="Times New Roman" w:cs="Times New Roman"/>
          <w:sz w:val="24"/>
          <w:szCs w:val="24"/>
          <w:lang w:val="en-US"/>
        </w:rPr>
        <w:t xml:space="preserve"> importance</w:t>
      </w:r>
      <w:r w:rsidR="00C7342C">
        <w:rPr>
          <w:rFonts w:ascii="Times New Roman" w:hAnsi="Times New Roman" w:cs="Times New Roman"/>
          <w:sz w:val="24"/>
          <w:szCs w:val="24"/>
          <w:lang w:val="en-US"/>
        </w:rPr>
        <w:t xml:space="preserve"> in the political sphere</w:t>
      </w:r>
      <w:r w:rsidR="00D26674">
        <w:rPr>
          <w:rFonts w:ascii="Times New Roman" w:hAnsi="Times New Roman" w:cs="Times New Roman"/>
          <w:sz w:val="24"/>
          <w:szCs w:val="24"/>
          <w:lang w:val="en-US"/>
        </w:rPr>
        <w:t xml:space="preserve"> – and the central importance the Court has assigned in its reasoning – is as a</w:t>
      </w:r>
      <w:r w:rsidR="008C3FA8">
        <w:rPr>
          <w:rFonts w:ascii="Times New Roman" w:hAnsi="Times New Roman" w:cs="Times New Roman"/>
          <w:sz w:val="24"/>
          <w:szCs w:val="24"/>
          <w:lang w:val="en-US"/>
        </w:rPr>
        <w:t xml:space="preserve"> tool for expressing political views. And due to its importance in coalition-forming and view development, </w:t>
      </w:r>
      <w:r w:rsidR="008C3FA8">
        <w:rPr>
          <w:rFonts w:ascii="Times New Roman" w:hAnsi="Times New Roman" w:cs="Times New Roman"/>
          <w:sz w:val="24"/>
          <w:szCs w:val="24"/>
          <w:lang w:val="en-US"/>
        </w:rPr>
        <w:lastRenderedPageBreak/>
        <w:t xml:space="preserve">association is certainly necessary for a large-scale democracy to function, and thus a Court should protect it as a right. But the relevant type of political equality in electoral process is both deontologically foundational to democracy, and uncompromisingly essential to its realization. In effect, associational rights are facultative of democratic process – but equality is obligatory. Of course, the equal protection clause </w:t>
      </w:r>
      <w:r w:rsidR="00B61281">
        <w:rPr>
          <w:rFonts w:ascii="Times New Roman" w:hAnsi="Times New Roman" w:cs="Times New Roman"/>
          <w:sz w:val="24"/>
          <w:szCs w:val="24"/>
          <w:lang w:val="en-US"/>
        </w:rPr>
        <w:t xml:space="preserve">does not guarantee </w:t>
      </w:r>
      <w:r w:rsidR="00B61281">
        <w:rPr>
          <w:rFonts w:ascii="Times New Roman" w:hAnsi="Times New Roman" w:cs="Times New Roman"/>
          <w:i/>
          <w:sz w:val="24"/>
          <w:szCs w:val="24"/>
          <w:lang w:val="en-US"/>
        </w:rPr>
        <w:t>general</w:t>
      </w:r>
      <w:r w:rsidR="00B61281">
        <w:rPr>
          <w:rFonts w:ascii="Times New Roman" w:hAnsi="Times New Roman" w:cs="Times New Roman"/>
          <w:sz w:val="24"/>
          <w:szCs w:val="24"/>
          <w:lang w:val="en-US"/>
        </w:rPr>
        <w:t xml:space="preserve"> or universal equality; typically it protects against suspect classes. The challenge with primary regulation – and arguably with partisan gerrymandering as well – is that it seems difficult to classify political status (whether party affiliation or status as a dissatisfied ‘outsider’ with regards to a given party) as a suspect class. Thus, applying the equal protection clause to primaries will require significant conceptual innovation. Yet this is precisely the source of the benefits of this approach</w:t>
      </w:r>
      <w:r w:rsidR="00670A82">
        <w:rPr>
          <w:rFonts w:ascii="Times New Roman" w:hAnsi="Times New Roman" w:cs="Times New Roman"/>
          <w:sz w:val="24"/>
          <w:szCs w:val="24"/>
          <w:lang w:val="en-US"/>
        </w:rPr>
        <w:t>.</w:t>
      </w:r>
      <w:r w:rsidR="00B61281">
        <w:rPr>
          <w:rFonts w:ascii="Times New Roman" w:hAnsi="Times New Roman" w:cs="Times New Roman"/>
          <w:sz w:val="24"/>
          <w:szCs w:val="24"/>
          <w:lang w:val="en-US"/>
        </w:rPr>
        <w:t xml:space="preserve"> </w:t>
      </w:r>
      <w:r w:rsidR="00670A82">
        <w:rPr>
          <w:rFonts w:ascii="Times New Roman" w:hAnsi="Times New Roman" w:cs="Times New Roman"/>
          <w:sz w:val="24"/>
          <w:szCs w:val="24"/>
          <w:lang w:val="en-US"/>
        </w:rPr>
        <w:t>I</w:t>
      </w:r>
      <w:r w:rsidR="00B61281">
        <w:rPr>
          <w:rFonts w:ascii="Times New Roman" w:hAnsi="Times New Roman" w:cs="Times New Roman"/>
          <w:sz w:val="24"/>
          <w:szCs w:val="24"/>
          <w:lang w:val="en-US"/>
        </w:rPr>
        <w:t>t w</w:t>
      </w:r>
      <w:r w:rsidR="00670A82">
        <w:rPr>
          <w:rFonts w:ascii="Times New Roman" w:hAnsi="Times New Roman" w:cs="Times New Roman"/>
          <w:sz w:val="24"/>
          <w:szCs w:val="24"/>
          <w:lang w:val="en-US"/>
        </w:rPr>
        <w:t>ould</w:t>
      </w:r>
      <w:r w:rsidR="00B61281">
        <w:rPr>
          <w:rFonts w:ascii="Times New Roman" w:hAnsi="Times New Roman" w:cs="Times New Roman"/>
          <w:sz w:val="24"/>
          <w:szCs w:val="24"/>
          <w:lang w:val="en-US"/>
        </w:rPr>
        <w:t xml:space="preserve"> both force the Court to adopt a more thorough and well-reasoned perspective towards primary regulation rather than one that only protects a slice of the structural concerns, and will likely push towards a more general </w:t>
      </w:r>
      <w:r w:rsidR="00670A82">
        <w:rPr>
          <w:rFonts w:ascii="Times New Roman" w:hAnsi="Times New Roman" w:cs="Times New Roman"/>
          <w:sz w:val="24"/>
          <w:szCs w:val="24"/>
          <w:lang w:val="en-US"/>
        </w:rPr>
        <w:t>interpretation of how the equal protection clause should be interpreted in the electoral design context (a project valuable for partisan gerrymandering and one-person one-vote as well).</w:t>
      </w:r>
    </w:p>
    <w:p w:rsidR="00920C9D" w:rsidRDefault="00B81D5F"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This innovation would of course retain</w:t>
      </w:r>
      <w:r w:rsidR="00971AC0">
        <w:rPr>
          <w:rFonts w:ascii="Times New Roman" w:hAnsi="Times New Roman" w:cs="Times New Roman"/>
          <w:sz w:val="24"/>
          <w:szCs w:val="24"/>
          <w:lang w:val="en-US"/>
        </w:rPr>
        <w:t xml:space="preserve"> </w:t>
      </w:r>
      <w:r w:rsidR="00ED34F4">
        <w:rPr>
          <w:rFonts w:ascii="Times New Roman" w:hAnsi="Times New Roman" w:cs="Times New Roman"/>
          <w:sz w:val="24"/>
          <w:szCs w:val="24"/>
          <w:lang w:val="en-US"/>
        </w:rPr>
        <w:t xml:space="preserve">protection of </w:t>
      </w:r>
      <w:r w:rsidR="00971AC0">
        <w:rPr>
          <w:rFonts w:ascii="Times New Roman" w:hAnsi="Times New Roman" w:cs="Times New Roman"/>
          <w:sz w:val="24"/>
          <w:szCs w:val="24"/>
          <w:lang w:val="en-US"/>
        </w:rPr>
        <w:t>o</w:t>
      </w:r>
      <w:r w:rsidR="002C1424">
        <w:rPr>
          <w:rFonts w:ascii="Times New Roman" w:hAnsi="Times New Roman" w:cs="Times New Roman"/>
          <w:sz w:val="24"/>
          <w:szCs w:val="24"/>
          <w:lang w:val="en-US"/>
        </w:rPr>
        <w:t xml:space="preserve">ther constitutional </w:t>
      </w:r>
      <w:r w:rsidR="00ED34F4">
        <w:rPr>
          <w:rFonts w:ascii="Times New Roman" w:hAnsi="Times New Roman" w:cs="Times New Roman"/>
          <w:sz w:val="24"/>
          <w:szCs w:val="24"/>
          <w:lang w:val="en-US"/>
        </w:rPr>
        <w:t>rights</w:t>
      </w:r>
      <w:r w:rsidR="002C1424">
        <w:rPr>
          <w:rFonts w:ascii="Times New Roman" w:hAnsi="Times New Roman" w:cs="Times New Roman"/>
          <w:sz w:val="24"/>
          <w:szCs w:val="24"/>
          <w:lang w:val="en-US"/>
        </w:rPr>
        <w:t xml:space="preserve">. When a government regulation overly impairs the ability of a group of voters to organize (or, for that matter, has racial animus), it will face a high level of scrutiny by the appropriate constitutional right. Relying on equal protection as an another standard grounds for assessing primary organization, however, will force the Court to consider the broader political principles, and their more general ramifications, it wishes to advance as an institution, and what aspect of democratic practice deserve legal protections. It may also produce conflicts between differing principles, as the advancement of ‘political’ equal protection and of associational opportunities might come </w:t>
      </w:r>
      <w:r w:rsidR="002C1424">
        <w:rPr>
          <w:rFonts w:ascii="Times New Roman" w:hAnsi="Times New Roman" w:cs="Times New Roman"/>
          <w:sz w:val="24"/>
          <w:szCs w:val="24"/>
          <w:lang w:val="en-US"/>
        </w:rPr>
        <w:lastRenderedPageBreak/>
        <w:t>into points of conflict. Yet this is nothing new in election law, as is apparent in the race-and-districting jurisprudence; and in the case of</w:t>
      </w:r>
      <w:r w:rsidR="00920C9D">
        <w:rPr>
          <w:rFonts w:ascii="Times New Roman" w:hAnsi="Times New Roman" w:cs="Times New Roman"/>
          <w:sz w:val="24"/>
          <w:szCs w:val="24"/>
          <w:lang w:val="en-US"/>
        </w:rPr>
        <w:t xml:space="preserve"> tension between</w:t>
      </w:r>
      <w:r w:rsidR="002C1424">
        <w:rPr>
          <w:rFonts w:ascii="Times New Roman" w:hAnsi="Times New Roman" w:cs="Times New Roman"/>
          <w:sz w:val="24"/>
          <w:szCs w:val="24"/>
          <w:lang w:val="en-US"/>
        </w:rPr>
        <w:t xml:space="preserve"> equal protection and association, it could well clarify </w:t>
      </w:r>
      <w:r w:rsidR="00920C9D">
        <w:rPr>
          <w:rFonts w:ascii="Times New Roman" w:hAnsi="Times New Roman" w:cs="Times New Roman"/>
          <w:sz w:val="24"/>
          <w:szCs w:val="24"/>
          <w:lang w:val="en-US"/>
        </w:rPr>
        <w:t xml:space="preserve">the </w:t>
      </w:r>
      <w:r w:rsidR="00920C9D">
        <w:rPr>
          <w:rFonts w:ascii="Times New Roman" w:hAnsi="Times New Roman" w:cs="Times New Roman"/>
          <w:i/>
          <w:sz w:val="24"/>
          <w:szCs w:val="24"/>
          <w:lang w:val="en-US"/>
        </w:rPr>
        <w:t>ultimate</w:t>
      </w:r>
      <w:r w:rsidR="00920C9D">
        <w:rPr>
          <w:rFonts w:ascii="Times New Roman" w:hAnsi="Times New Roman" w:cs="Times New Roman"/>
          <w:sz w:val="24"/>
          <w:szCs w:val="24"/>
          <w:lang w:val="en-US"/>
        </w:rPr>
        <w:t xml:space="preserve"> values which the Court ought to advance when plunging into the political thicket. Indeed, as Ronald Dworkin would observe in his analysis of hard cases, it is the very defining feature of judging that it involves making, and justifying, difficult decisions between such competing values.</w:t>
      </w:r>
      <w:r w:rsidR="00920C9D">
        <w:rPr>
          <w:rStyle w:val="FootnoteReference"/>
          <w:rFonts w:ascii="Times New Roman" w:hAnsi="Times New Roman" w:cs="Times New Roman"/>
          <w:sz w:val="24"/>
          <w:szCs w:val="24"/>
          <w:lang w:val="en-US"/>
        </w:rPr>
        <w:footnoteReference w:id="70"/>
      </w:r>
    </w:p>
    <w:p w:rsidR="00920C9D" w:rsidRPr="00FD739E" w:rsidRDefault="00920C9D"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While the evolution of the </w:t>
      </w:r>
      <w:r w:rsidR="00D217A3">
        <w:rPr>
          <w:rFonts w:ascii="Times New Roman" w:hAnsi="Times New Roman" w:cs="Times New Roman"/>
          <w:sz w:val="24"/>
          <w:szCs w:val="24"/>
          <w:lang w:val="en-US"/>
        </w:rPr>
        <w:t xml:space="preserve">law itself in response to the </w:t>
      </w:r>
      <w:r w:rsidR="00C67F7C">
        <w:rPr>
          <w:rFonts w:ascii="Times New Roman" w:hAnsi="Times New Roman" w:cs="Times New Roman"/>
          <w:sz w:val="24"/>
          <w:szCs w:val="24"/>
          <w:lang w:val="en-US"/>
        </w:rPr>
        <w:t>re-</w:t>
      </w:r>
      <w:r w:rsidR="00D217A3">
        <w:rPr>
          <w:rFonts w:ascii="Times New Roman" w:hAnsi="Times New Roman" w:cs="Times New Roman"/>
          <w:sz w:val="24"/>
          <w:szCs w:val="24"/>
          <w:lang w:val="en-US"/>
        </w:rPr>
        <w:t xml:space="preserve">introduction of the equal protection clause might be difficult to predict with precision – it is the job of the Courts, after all – two general trends seem to present themselves. The first is that a focus on equal protection would force the Court to moderate its focus on parties as the sole locus of constitutional assessment of primary regulation. Yet given that parties in the two-party system are typically powerful, savvy entities with </w:t>
      </w:r>
      <w:proofErr w:type="gramStart"/>
      <w:r w:rsidR="00D217A3">
        <w:rPr>
          <w:rFonts w:ascii="Times New Roman" w:hAnsi="Times New Roman" w:cs="Times New Roman"/>
          <w:sz w:val="24"/>
          <w:szCs w:val="24"/>
          <w:lang w:val="en-US"/>
        </w:rPr>
        <w:t>sufficient</w:t>
      </w:r>
      <w:proofErr w:type="gramEnd"/>
      <w:r w:rsidR="00D217A3">
        <w:rPr>
          <w:rFonts w:ascii="Times New Roman" w:hAnsi="Times New Roman" w:cs="Times New Roman"/>
          <w:sz w:val="24"/>
          <w:szCs w:val="24"/>
          <w:lang w:val="en-US"/>
        </w:rPr>
        <w:t xml:space="preserve"> </w:t>
      </w:r>
      <w:r w:rsidR="00D217A3" w:rsidRPr="00FD739E">
        <w:rPr>
          <w:rFonts w:ascii="Times New Roman" w:hAnsi="Times New Roman" w:cs="Times New Roman"/>
          <w:sz w:val="24"/>
          <w:szCs w:val="24"/>
          <w:lang w:val="en-US"/>
        </w:rPr>
        <w:t xml:space="preserve">institutional and structural resources such that judicial protection may not be necessary, this seems like far from a problematic development. Secondly, and perhaps predictably, a focus </w:t>
      </w:r>
      <w:r w:rsidR="00FD739E" w:rsidRPr="00FD739E">
        <w:rPr>
          <w:rFonts w:ascii="Times New Roman" w:hAnsi="Times New Roman" w:cs="Times New Roman"/>
          <w:sz w:val="24"/>
          <w:szCs w:val="24"/>
          <w:lang w:val="en-US"/>
        </w:rPr>
        <w:t xml:space="preserve">on equal protection would unsettled some of the particular doctrinal outcomes. For example, </w:t>
      </w:r>
      <w:r w:rsidR="00FD739E">
        <w:rPr>
          <w:rFonts w:ascii="Times New Roman" w:hAnsi="Times New Roman" w:cs="Times New Roman"/>
          <w:sz w:val="24"/>
          <w:szCs w:val="24"/>
          <w:lang w:val="en-US"/>
        </w:rPr>
        <w:t xml:space="preserve">in </w:t>
      </w:r>
      <w:r w:rsidR="00FD739E">
        <w:rPr>
          <w:rFonts w:ascii="Times New Roman" w:hAnsi="Times New Roman" w:cs="Times New Roman"/>
          <w:i/>
          <w:sz w:val="24"/>
          <w:szCs w:val="24"/>
          <w:lang w:val="en-US"/>
        </w:rPr>
        <w:t xml:space="preserve">Jones </w:t>
      </w:r>
      <w:r w:rsidR="00FD739E" w:rsidRPr="00FD739E">
        <w:rPr>
          <w:rFonts w:ascii="Times New Roman" w:hAnsi="Times New Roman" w:cs="Times New Roman"/>
          <w:sz w:val="24"/>
          <w:szCs w:val="24"/>
          <w:lang w:val="en-US"/>
        </w:rPr>
        <w:t xml:space="preserve">the Court considered if a state could justify mandated blanket primaries on the grounds that it would broaden access to the relevant elections where a single party is dominant. </w:t>
      </w:r>
      <w:r w:rsidR="00FD739E">
        <w:rPr>
          <w:rFonts w:ascii="Times New Roman" w:hAnsi="Times New Roman" w:cs="Times New Roman"/>
          <w:sz w:val="24"/>
          <w:szCs w:val="24"/>
        </w:rPr>
        <w:t>While</w:t>
      </w:r>
      <w:r w:rsidR="00FD739E" w:rsidRPr="00FD739E">
        <w:rPr>
          <w:rFonts w:ascii="Times New Roman" w:hAnsi="Times New Roman" w:cs="Times New Roman"/>
          <w:sz w:val="24"/>
          <w:szCs w:val="24"/>
        </w:rPr>
        <w:t xml:space="preserve"> it brushed aside the inability “to participate in what amounts to the determinative election” by recharacterizing the interest in associative terms</w:t>
      </w:r>
      <w:r w:rsidR="00FD739E">
        <w:rPr>
          <w:rFonts w:ascii="Times New Roman" w:hAnsi="Times New Roman" w:cs="Times New Roman"/>
          <w:sz w:val="24"/>
          <w:szCs w:val="24"/>
        </w:rPr>
        <w:t>,</w:t>
      </w:r>
      <w:r w:rsidR="00FD739E" w:rsidRPr="00FD739E">
        <w:rPr>
          <w:rStyle w:val="FootnoteReference"/>
          <w:rFonts w:ascii="Times New Roman" w:hAnsi="Times New Roman" w:cs="Times New Roman"/>
          <w:sz w:val="24"/>
          <w:szCs w:val="24"/>
        </w:rPr>
        <w:footnoteReference w:id="71"/>
      </w:r>
      <w:r w:rsidR="00FD739E">
        <w:rPr>
          <w:rFonts w:ascii="Times New Roman" w:hAnsi="Times New Roman" w:cs="Times New Roman"/>
          <w:sz w:val="24"/>
          <w:szCs w:val="24"/>
        </w:rPr>
        <w:t xml:space="preserve"> the question might be raised if equal access to determinative elections might be supported by equal protection – particularly if other elements, such as a delay (even a moderate one) in registration as sustained </w:t>
      </w:r>
      <w:r w:rsidR="00FD739E">
        <w:rPr>
          <w:rFonts w:ascii="Times New Roman" w:hAnsi="Times New Roman" w:cs="Times New Roman"/>
          <w:sz w:val="24"/>
          <w:szCs w:val="24"/>
        </w:rPr>
        <w:lastRenderedPageBreak/>
        <w:t xml:space="preserve">in </w:t>
      </w:r>
      <w:r w:rsidR="00FD739E">
        <w:rPr>
          <w:rFonts w:ascii="Times New Roman" w:hAnsi="Times New Roman" w:cs="Times New Roman"/>
          <w:i/>
          <w:sz w:val="24"/>
          <w:szCs w:val="24"/>
        </w:rPr>
        <w:t>Rosario</w:t>
      </w:r>
      <w:r w:rsidR="00FD739E">
        <w:rPr>
          <w:rFonts w:ascii="Times New Roman" w:hAnsi="Times New Roman" w:cs="Times New Roman"/>
          <w:sz w:val="24"/>
          <w:szCs w:val="24"/>
        </w:rPr>
        <w:t xml:space="preserve"> are present. A focus on equal protection might thus result in greater approbation of certain types of political arrangements – though the ultimately answers would require substantive engagement with some political realities. For example, if blanket primaries ultimately </w:t>
      </w:r>
      <w:r w:rsidR="00FD739E">
        <w:rPr>
          <w:rFonts w:ascii="Times New Roman" w:hAnsi="Times New Roman" w:cs="Times New Roman"/>
          <w:i/>
          <w:sz w:val="24"/>
          <w:szCs w:val="24"/>
        </w:rPr>
        <w:t>did</w:t>
      </w:r>
      <w:r w:rsidR="00FD739E">
        <w:rPr>
          <w:rFonts w:ascii="Times New Roman" w:hAnsi="Times New Roman" w:cs="Times New Roman"/>
          <w:sz w:val="24"/>
          <w:szCs w:val="24"/>
        </w:rPr>
        <w:t xml:space="preserve"> unsettle or disrupt expression of preferences by impairing effective selection of candidates in a two-party system, it might comprise an equal election harm as well as raise associational concerns. But the very need to face the substance that already so influences the jurisprudence would be a virtue of greater reflection on equal protection concerns.</w:t>
      </w:r>
    </w:p>
    <w:p w:rsidR="004B42E6" w:rsidRDefault="004B42E6" w:rsidP="00B234C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 Conclusion: </w:t>
      </w:r>
      <w:r w:rsidR="001840D2">
        <w:rPr>
          <w:rFonts w:ascii="Times New Roman" w:hAnsi="Times New Roman" w:cs="Times New Roman"/>
          <w:sz w:val="24"/>
          <w:szCs w:val="24"/>
          <w:lang w:val="en-US"/>
        </w:rPr>
        <w:t>Judicial Politicking as Business as Usual, or the Transformative Potential of the Courts?</w:t>
      </w:r>
    </w:p>
    <w:p w:rsidR="0079413F" w:rsidRDefault="00C741B6"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An apologist to the switch to associational rights might argue that the feature this piece has critiqued is, in fact, a virtue: it transformed the Courts from an entity that </w:t>
      </w:r>
      <w:r w:rsidR="00EE57D5">
        <w:rPr>
          <w:rFonts w:ascii="Times New Roman" w:hAnsi="Times New Roman" w:cs="Times New Roman"/>
          <w:sz w:val="24"/>
          <w:szCs w:val="24"/>
          <w:lang w:val="en-US"/>
        </w:rPr>
        <w:t>simply worked at the margins of politics to one that has the potential to reshape the heart of party contestation. The engagement with major party politics that has accompanied the associational lens allows the Court to act as a mainline institutional player in the structuring of elections, and in determining the character of parties. This is precisely the type of engagement that some of the leading lights in election law have called for in both general</w:t>
      </w:r>
      <w:r w:rsidR="00EE57D5">
        <w:rPr>
          <w:rStyle w:val="FootnoteReference"/>
          <w:rFonts w:ascii="Times New Roman" w:hAnsi="Times New Roman" w:cs="Times New Roman"/>
          <w:sz w:val="24"/>
          <w:szCs w:val="24"/>
          <w:lang w:val="en-US"/>
        </w:rPr>
        <w:footnoteReference w:id="72"/>
      </w:r>
      <w:r w:rsidR="00EE57D5">
        <w:rPr>
          <w:rFonts w:ascii="Times New Roman" w:hAnsi="Times New Roman" w:cs="Times New Roman"/>
          <w:sz w:val="24"/>
          <w:szCs w:val="24"/>
          <w:lang w:val="en-US"/>
        </w:rPr>
        <w:t xml:space="preserve"> and specific terms.</w:t>
      </w:r>
      <w:r w:rsidR="00EE57D5">
        <w:rPr>
          <w:rStyle w:val="FootnoteReference"/>
          <w:rFonts w:ascii="Times New Roman" w:hAnsi="Times New Roman" w:cs="Times New Roman"/>
          <w:sz w:val="24"/>
          <w:szCs w:val="24"/>
          <w:lang w:val="en-US"/>
        </w:rPr>
        <w:footnoteReference w:id="73"/>
      </w:r>
      <w:r w:rsidR="00EE57D5">
        <w:rPr>
          <w:rFonts w:ascii="Times New Roman" w:hAnsi="Times New Roman" w:cs="Times New Roman"/>
          <w:sz w:val="24"/>
          <w:szCs w:val="24"/>
          <w:lang w:val="en-US"/>
        </w:rPr>
        <w:t xml:space="preserve"> If Courts are engaging with primaries to debate appropriate conditions of party formation (as in </w:t>
      </w:r>
      <w:r w:rsidR="00EE57D5">
        <w:rPr>
          <w:rFonts w:ascii="Times New Roman" w:hAnsi="Times New Roman" w:cs="Times New Roman"/>
          <w:i/>
          <w:sz w:val="24"/>
          <w:szCs w:val="24"/>
          <w:lang w:val="en-US"/>
        </w:rPr>
        <w:t>Clingman</w:t>
      </w:r>
      <w:r w:rsidR="00EE57D5">
        <w:rPr>
          <w:rFonts w:ascii="Times New Roman" w:hAnsi="Times New Roman" w:cs="Times New Roman"/>
          <w:sz w:val="24"/>
          <w:szCs w:val="24"/>
          <w:lang w:val="en-US"/>
        </w:rPr>
        <w:t xml:space="preserve">, </w:t>
      </w:r>
      <w:proofErr w:type="spellStart"/>
      <w:r w:rsidR="00EE57D5">
        <w:rPr>
          <w:rFonts w:ascii="Times New Roman" w:hAnsi="Times New Roman" w:cs="Times New Roman"/>
          <w:i/>
          <w:sz w:val="24"/>
          <w:szCs w:val="24"/>
          <w:lang w:val="en-US"/>
        </w:rPr>
        <w:t>Tashjian</w:t>
      </w:r>
      <w:proofErr w:type="spellEnd"/>
      <w:r w:rsidR="00EE57D5">
        <w:rPr>
          <w:rFonts w:ascii="Times New Roman" w:hAnsi="Times New Roman" w:cs="Times New Roman"/>
          <w:sz w:val="24"/>
          <w:szCs w:val="24"/>
          <w:lang w:val="en-US"/>
        </w:rPr>
        <w:t xml:space="preserve">, and </w:t>
      </w:r>
      <w:r w:rsidR="00EE57D5">
        <w:rPr>
          <w:rFonts w:ascii="Times New Roman" w:hAnsi="Times New Roman" w:cs="Times New Roman"/>
          <w:i/>
          <w:sz w:val="24"/>
          <w:szCs w:val="24"/>
          <w:lang w:val="en-US"/>
        </w:rPr>
        <w:t>Washington State Grange</w:t>
      </w:r>
      <w:r w:rsidR="00EE57D5">
        <w:rPr>
          <w:rFonts w:ascii="Times New Roman" w:hAnsi="Times New Roman" w:cs="Times New Roman"/>
          <w:sz w:val="24"/>
          <w:szCs w:val="24"/>
          <w:lang w:val="en-US"/>
        </w:rPr>
        <w:t xml:space="preserve">), they are engaged in the meaty questions of </w:t>
      </w:r>
      <w:r w:rsidR="00C2069E">
        <w:rPr>
          <w:rFonts w:ascii="Times New Roman" w:hAnsi="Times New Roman" w:cs="Times New Roman"/>
          <w:sz w:val="24"/>
          <w:szCs w:val="24"/>
          <w:lang w:val="en-US"/>
        </w:rPr>
        <w:t xml:space="preserve">politics that allows for practical judicial structuring (whether or not critics might agree with the substantive outcomes of any particular such engagement). Conversely, the earlier, equal-protection-question engagement </w:t>
      </w:r>
      <w:r w:rsidR="00C2069E">
        <w:rPr>
          <w:rFonts w:ascii="Times New Roman" w:hAnsi="Times New Roman" w:cs="Times New Roman"/>
          <w:sz w:val="24"/>
          <w:szCs w:val="24"/>
          <w:lang w:val="en-US"/>
        </w:rPr>
        <w:lastRenderedPageBreak/>
        <w:t xml:space="preserve">had less direct substantive force, insofar as it operated at the margins simply to prevent formal exclusion (as in </w:t>
      </w:r>
      <w:r w:rsidR="00C2069E">
        <w:rPr>
          <w:rFonts w:ascii="Times New Roman" w:hAnsi="Times New Roman" w:cs="Times New Roman"/>
          <w:i/>
          <w:sz w:val="24"/>
          <w:szCs w:val="24"/>
          <w:lang w:val="en-US"/>
        </w:rPr>
        <w:t>Williams</w:t>
      </w:r>
      <w:r w:rsidR="00C2069E">
        <w:rPr>
          <w:rFonts w:ascii="Times New Roman" w:hAnsi="Times New Roman" w:cs="Times New Roman"/>
          <w:sz w:val="24"/>
          <w:szCs w:val="24"/>
          <w:lang w:val="en-US"/>
        </w:rPr>
        <w:t xml:space="preserve"> and </w:t>
      </w:r>
      <w:proofErr w:type="spellStart"/>
      <w:r w:rsidR="00C2069E">
        <w:rPr>
          <w:rFonts w:ascii="Times New Roman" w:hAnsi="Times New Roman" w:cs="Times New Roman"/>
          <w:i/>
          <w:sz w:val="24"/>
          <w:szCs w:val="24"/>
          <w:lang w:val="en-US"/>
        </w:rPr>
        <w:t>Jenness</w:t>
      </w:r>
      <w:proofErr w:type="spellEnd"/>
      <w:r w:rsidR="00C2069E">
        <w:rPr>
          <w:rFonts w:ascii="Times New Roman" w:hAnsi="Times New Roman" w:cs="Times New Roman"/>
          <w:sz w:val="24"/>
          <w:szCs w:val="24"/>
          <w:lang w:val="en-US"/>
        </w:rPr>
        <w:t>).</w:t>
      </w:r>
    </w:p>
    <w:p w:rsidR="00C2069E" w:rsidRDefault="00C2069E"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Underlying this argument is an acceptance of business as usual in politics. As the Court has used the associational lens to regulate major party politics, it has implicitly accepted the basic political structures that dominate contemporary electoral process. The relevance of its engagement as an institutional player in major party structuring is to some degree premised on the dominance of such parties. To obtain such immediate relevance, the Court must internalize the status quo</w:t>
      </w:r>
      <w:r w:rsidR="00C85457">
        <w:rPr>
          <w:rFonts w:ascii="Times New Roman" w:hAnsi="Times New Roman" w:cs="Times New Roman"/>
          <w:sz w:val="24"/>
          <w:szCs w:val="24"/>
          <w:lang w:val="en-US"/>
        </w:rPr>
        <w:t>.</w:t>
      </w:r>
    </w:p>
    <w:p w:rsidR="00832C30" w:rsidRDefault="00C85457"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Such a judicial posture mitigates the transformative </w:t>
      </w:r>
      <w:r w:rsidR="00851E95">
        <w:rPr>
          <w:rFonts w:ascii="Times New Roman" w:hAnsi="Times New Roman" w:cs="Times New Roman"/>
          <w:sz w:val="24"/>
          <w:szCs w:val="24"/>
          <w:lang w:val="en-US"/>
        </w:rPr>
        <w:t>capacity</w:t>
      </w:r>
      <w:r>
        <w:rPr>
          <w:rFonts w:ascii="Times New Roman" w:hAnsi="Times New Roman" w:cs="Times New Roman"/>
          <w:sz w:val="24"/>
          <w:szCs w:val="24"/>
          <w:lang w:val="en-US"/>
        </w:rPr>
        <w:t xml:space="preserve"> of judicial intervention</w:t>
      </w:r>
      <w:r w:rsidR="00851E95">
        <w:rPr>
          <w:rFonts w:ascii="Times New Roman" w:hAnsi="Times New Roman" w:cs="Times New Roman"/>
          <w:sz w:val="24"/>
          <w:szCs w:val="24"/>
          <w:lang w:val="en-US"/>
        </w:rPr>
        <w:t>. By intervening in a manner that accepts the broad contours of existing political structures, it minimizes the radical potential of judicial lawmaking. This</w:t>
      </w:r>
      <w:r>
        <w:rPr>
          <w:rFonts w:ascii="Times New Roman" w:hAnsi="Times New Roman" w:cs="Times New Roman"/>
          <w:sz w:val="24"/>
          <w:szCs w:val="24"/>
          <w:lang w:val="en-US"/>
        </w:rPr>
        <w:t xml:space="preserve"> potential that was, ironically, more apparent at least in principle when the Court was deploying the equal protection clause to break up racial monopolies and ensure outsider access to machines.</w:t>
      </w:r>
      <w:r w:rsidR="00832C30">
        <w:rPr>
          <w:rFonts w:ascii="Times New Roman" w:hAnsi="Times New Roman" w:cs="Times New Roman"/>
          <w:sz w:val="24"/>
          <w:szCs w:val="24"/>
          <w:lang w:val="en-US"/>
        </w:rPr>
        <w:t xml:space="preserve"> </w:t>
      </w:r>
      <w:r w:rsidR="00851E95">
        <w:rPr>
          <w:rFonts w:ascii="Times New Roman" w:hAnsi="Times New Roman" w:cs="Times New Roman"/>
          <w:sz w:val="24"/>
          <w:szCs w:val="24"/>
          <w:lang w:val="en-US"/>
        </w:rPr>
        <w:t xml:space="preserve">Thus, even as the switch from the equal protection clause </w:t>
      </w:r>
      <w:r w:rsidR="00832C30">
        <w:rPr>
          <w:rFonts w:ascii="Times New Roman" w:hAnsi="Times New Roman" w:cs="Times New Roman"/>
          <w:sz w:val="24"/>
          <w:szCs w:val="24"/>
          <w:lang w:val="en-US"/>
        </w:rPr>
        <w:t>to associational rights seemingly allowed the Court to become a more central player in the day to day struggles among established political institutions, it may have defanged the Court of its ability to introduce radically new principles or patterns into elections.</w:t>
      </w:r>
      <w:r w:rsidR="006414D1">
        <w:rPr>
          <w:rFonts w:ascii="Times New Roman" w:hAnsi="Times New Roman" w:cs="Times New Roman"/>
          <w:sz w:val="24"/>
          <w:szCs w:val="24"/>
          <w:lang w:val="en-US"/>
        </w:rPr>
        <w:t xml:space="preserve"> This may be because equality, compared to association, is itself an extraordinarily contestable concept, and can serve as a playing field for fundamental normative disputes.</w:t>
      </w:r>
      <w:r w:rsidR="006414D1">
        <w:rPr>
          <w:rStyle w:val="FootnoteReference"/>
          <w:rFonts w:ascii="Times New Roman" w:hAnsi="Times New Roman" w:cs="Times New Roman"/>
          <w:sz w:val="24"/>
          <w:szCs w:val="24"/>
          <w:lang w:val="en-US"/>
        </w:rPr>
        <w:footnoteReference w:id="74"/>
      </w:r>
    </w:p>
    <w:p w:rsidR="00C85457" w:rsidRPr="00C2069E" w:rsidRDefault="00832C30"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Thus, querying which constitutional doctrine should serve as the Supreme Court’s lodestar in assessing party primaries may well lead to a much deeper question: what is the appropriate </w:t>
      </w:r>
      <w:r>
        <w:rPr>
          <w:rFonts w:ascii="Times New Roman" w:hAnsi="Times New Roman" w:cs="Times New Roman"/>
          <w:sz w:val="24"/>
          <w:szCs w:val="24"/>
          <w:lang w:val="en-US"/>
        </w:rPr>
        <w:lastRenderedPageBreak/>
        <w:t>high-level institutional role for the Court? Ought it to enter politics as another agonist participant in power struggles (a role that might raise concerns given the emergence of the Court as a locus of partisan conflict)? Ought it adopt a minimalist approach in the context of voting, as it seemed to prior to the voting rights revolution, allowing democratic struggle to play out on its own terms? Or should its unique institutional posture lead it to play a unique and occasionally disruptive (or rejuvenating) role in politics, as it seemed to at the inception of modern voting law?</w:t>
      </w:r>
    </w:p>
    <w:p w:rsidR="001840D2" w:rsidRPr="00C67F7C" w:rsidRDefault="00C67F7C" w:rsidP="00B234C1">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b/>
          <w:i/>
          <w:sz w:val="24"/>
          <w:szCs w:val="24"/>
          <w:lang w:val="en-US"/>
        </w:rPr>
        <w:t>if concordant with other pieces in symposium, draw lesson from failure of reformers to adequately advance a relatively cautious argument regarding judicial intervention in partisan gerrymandering?</w:t>
      </w:r>
      <w:r>
        <w:rPr>
          <w:rFonts w:ascii="Times New Roman" w:hAnsi="Times New Roman" w:cs="Times New Roman"/>
          <w:sz w:val="24"/>
          <w:szCs w:val="24"/>
          <w:lang w:val="en-US"/>
        </w:rPr>
        <w:t>]</w:t>
      </w:r>
    </w:p>
    <w:p w:rsidR="00D21F2B" w:rsidRDefault="00D21F2B" w:rsidP="00B234C1">
      <w:pPr>
        <w:spacing w:line="480" w:lineRule="auto"/>
        <w:rPr>
          <w:rFonts w:ascii="Times New Roman" w:hAnsi="Times New Roman" w:cs="Times New Roman"/>
          <w:i/>
          <w:sz w:val="24"/>
          <w:szCs w:val="24"/>
          <w:lang w:val="en-US"/>
        </w:rPr>
      </w:pPr>
    </w:p>
    <w:sectPr w:rsidR="00D21F2B" w:rsidSect="003F3AEE">
      <w:head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74" w:rsidRDefault="00800974" w:rsidP="004F6008">
      <w:pPr>
        <w:spacing w:after="0" w:line="240" w:lineRule="auto"/>
      </w:pPr>
      <w:r>
        <w:separator/>
      </w:r>
    </w:p>
  </w:endnote>
  <w:endnote w:type="continuationSeparator" w:id="0">
    <w:p w:rsidR="00800974" w:rsidRDefault="00800974" w:rsidP="004F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74" w:rsidRDefault="00800974" w:rsidP="004F6008">
      <w:pPr>
        <w:spacing w:after="0" w:line="240" w:lineRule="auto"/>
      </w:pPr>
      <w:r>
        <w:separator/>
      </w:r>
    </w:p>
  </w:footnote>
  <w:footnote w:type="continuationSeparator" w:id="0">
    <w:p w:rsidR="00800974" w:rsidRDefault="00800974" w:rsidP="004F6008">
      <w:pPr>
        <w:spacing w:after="0" w:line="240" w:lineRule="auto"/>
      </w:pPr>
      <w:r>
        <w:continuationSeparator/>
      </w:r>
    </w:p>
  </w:footnote>
  <w:footnote w:id="1">
    <w:p w:rsidR="001D0C1C" w:rsidRPr="00732837" w:rsidRDefault="001D0C1C">
      <w:pPr>
        <w:pStyle w:val="FootnoteText"/>
        <w:rPr>
          <w:rFonts w:ascii="Times New Roman" w:hAnsi="Times New Roman"/>
        </w:rPr>
      </w:pPr>
      <w:r w:rsidRPr="00732837">
        <w:rPr>
          <w:rStyle w:val="FootnoteReference"/>
          <w:rFonts w:ascii="Times New Roman" w:hAnsi="Times New Roman"/>
        </w:rPr>
        <w:t>*</w:t>
      </w:r>
      <w:r w:rsidRPr="00732837">
        <w:rPr>
          <w:rFonts w:ascii="Times New Roman" w:hAnsi="Times New Roman"/>
        </w:rPr>
        <w:t xml:space="preserve"> Associate Professor of Public Law, Southampton Law School</w:t>
      </w:r>
    </w:p>
  </w:footnote>
  <w:footnote w:id="2">
    <w:p w:rsidR="00D65D75" w:rsidRPr="00732837" w:rsidRDefault="00D65D75">
      <w:pPr>
        <w:pStyle w:val="FootnoteText"/>
        <w:rPr>
          <w:rFonts w:ascii="Times New Roman" w:hAnsi="Times New Roman"/>
        </w:rPr>
      </w:pPr>
      <w:r w:rsidRPr="00732837">
        <w:rPr>
          <w:rStyle w:val="FootnoteReference"/>
          <w:rFonts w:ascii="Times New Roman" w:hAnsi="Times New Roman"/>
        </w:rPr>
        <w:footnoteRef/>
      </w:r>
      <w:r w:rsidRPr="00732837">
        <w:rPr>
          <w:rFonts w:ascii="Times New Roman" w:hAnsi="Times New Roman"/>
        </w:rPr>
        <w:t xml:space="preserve"> 364 U.S. 339 (1960).</w:t>
      </w:r>
    </w:p>
  </w:footnote>
  <w:footnote w:id="3">
    <w:p w:rsidR="00D65D75" w:rsidRPr="00732837" w:rsidRDefault="00D65D75">
      <w:pPr>
        <w:pStyle w:val="FootnoteText"/>
        <w:rPr>
          <w:rFonts w:ascii="Times New Roman" w:hAnsi="Times New Roman"/>
        </w:rPr>
      </w:pPr>
      <w:r w:rsidRPr="00732837">
        <w:rPr>
          <w:rStyle w:val="FootnoteReference"/>
          <w:rFonts w:ascii="Times New Roman" w:hAnsi="Times New Roman"/>
        </w:rPr>
        <w:footnoteRef/>
      </w:r>
      <w:r w:rsidRPr="00732837">
        <w:rPr>
          <w:rFonts w:ascii="Times New Roman" w:hAnsi="Times New Roman"/>
        </w:rPr>
        <w:t xml:space="preserve"> 478 U.S. 109 (1986). Of course, as </w:t>
      </w:r>
      <w:proofErr w:type="spellStart"/>
      <w:r w:rsidRPr="00732837">
        <w:rPr>
          <w:rFonts w:ascii="Times New Roman" w:hAnsi="Times New Roman"/>
          <w:i/>
        </w:rPr>
        <w:t>Rucho</w:t>
      </w:r>
      <w:proofErr w:type="spellEnd"/>
      <w:r w:rsidRPr="00732837">
        <w:rPr>
          <w:rFonts w:ascii="Times New Roman" w:hAnsi="Times New Roman"/>
          <w:i/>
        </w:rPr>
        <w:t xml:space="preserve"> v. Common Cause</w:t>
      </w:r>
      <w:r w:rsidRPr="00732837">
        <w:rPr>
          <w:rFonts w:ascii="Times New Roman" w:hAnsi="Times New Roman"/>
        </w:rPr>
        <w:t xml:space="preserve"> ___ S. Ct. ___ (2019) has indicated, the quest partisan gerrymandering may well have been only sound and fury, as a thin conservative majority deemed the practice non-justiciable; and before the Supreme Court, no single partisan gerrymander was never deemed unconstitutional (including in </w:t>
      </w:r>
      <w:r w:rsidRPr="00732837">
        <w:rPr>
          <w:rFonts w:ascii="Times New Roman" w:hAnsi="Times New Roman"/>
          <w:i/>
        </w:rPr>
        <w:t>Davis</w:t>
      </w:r>
      <w:r w:rsidRPr="00732837">
        <w:rPr>
          <w:rFonts w:ascii="Times New Roman" w:hAnsi="Times New Roman"/>
        </w:rPr>
        <w:t xml:space="preserve"> itself).</w:t>
      </w:r>
    </w:p>
  </w:footnote>
  <w:footnote w:id="4">
    <w:p w:rsidR="00D65D75" w:rsidRPr="00732837" w:rsidRDefault="00D65D75" w:rsidP="00DB0160">
      <w:pPr>
        <w:pStyle w:val="FootnoteText"/>
        <w:rPr>
          <w:rFonts w:ascii="Times New Roman" w:hAnsi="Times New Roman"/>
        </w:rPr>
      </w:pPr>
      <w:r w:rsidRPr="00732837">
        <w:rPr>
          <w:rStyle w:val="FootnoteReference"/>
          <w:rFonts w:ascii="Times New Roman" w:hAnsi="Times New Roman"/>
        </w:rPr>
        <w:footnoteRef/>
      </w:r>
      <w:r w:rsidRPr="00732837">
        <w:rPr>
          <w:rFonts w:ascii="Times New Roman" w:hAnsi="Times New Roman"/>
        </w:rPr>
        <w:t xml:space="preserve"> This is not to say this trend was immediately apparent. The initial one-person one-vote jurisprudence did not clearly identify a constitutional provision to support the principle, and it was only “[f]</w:t>
      </w:r>
      <w:proofErr w:type="spellStart"/>
      <w:r w:rsidRPr="00732837">
        <w:rPr>
          <w:rFonts w:ascii="Times New Roman" w:hAnsi="Times New Roman"/>
        </w:rPr>
        <w:t>uture</w:t>
      </w:r>
      <w:proofErr w:type="spellEnd"/>
      <w:r w:rsidRPr="00732837">
        <w:rPr>
          <w:rFonts w:ascii="Times New Roman" w:hAnsi="Times New Roman"/>
        </w:rPr>
        <w:t xml:space="preserve"> cases [that] placed the right to vote squarely within the Fourteenth Amendment’s Equal Protection Clause.” Joshua A. Douglas, </w:t>
      </w:r>
      <w:r w:rsidRPr="00732837">
        <w:rPr>
          <w:rFonts w:ascii="Times New Roman" w:hAnsi="Times New Roman"/>
          <w:i/>
        </w:rPr>
        <w:t>The Right to Vote Under State Constitutions</w:t>
      </w:r>
      <w:r w:rsidRPr="00732837">
        <w:rPr>
          <w:rFonts w:ascii="Times New Roman" w:hAnsi="Times New Roman"/>
        </w:rPr>
        <w:t xml:space="preserve">, 67 </w:t>
      </w:r>
      <w:proofErr w:type="spellStart"/>
      <w:r w:rsidRPr="00732837">
        <w:rPr>
          <w:rFonts w:ascii="Times New Roman" w:hAnsi="Times New Roman"/>
        </w:rPr>
        <w:t>Vand</w:t>
      </w:r>
      <w:proofErr w:type="spellEnd"/>
      <w:r w:rsidRPr="00732837">
        <w:rPr>
          <w:rFonts w:ascii="Times New Roman" w:hAnsi="Times New Roman"/>
        </w:rPr>
        <w:t xml:space="preserve">. L. Rev. 89 (2014). Likewise, it was only over time that the Fourteenth Amendment, rather than the Fifteenth, became the linchpin of the prohibition against racial discrimination (as it was Justice Whittaker’s concurrence that invoked the Fourteenth Amendment). See </w:t>
      </w:r>
      <w:r w:rsidRPr="00732837">
        <w:rPr>
          <w:rFonts w:ascii="Times New Roman" w:hAnsi="Times New Roman"/>
          <w:smallCaps/>
        </w:rPr>
        <w:t xml:space="preserve">Samuel Issacharoff, Pamela S. </w:t>
      </w:r>
      <w:proofErr w:type="spellStart"/>
      <w:r w:rsidRPr="00732837">
        <w:rPr>
          <w:rFonts w:ascii="Times New Roman" w:hAnsi="Times New Roman"/>
          <w:smallCaps/>
        </w:rPr>
        <w:t>Karlan</w:t>
      </w:r>
      <w:proofErr w:type="spellEnd"/>
      <w:r w:rsidRPr="00732837">
        <w:rPr>
          <w:rFonts w:ascii="Times New Roman" w:hAnsi="Times New Roman"/>
          <w:smallCaps/>
        </w:rPr>
        <w:t xml:space="preserve">, and Richard H. </w:t>
      </w:r>
      <w:proofErr w:type="spellStart"/>
      <w:r w:rsidRPr="00732837">
        <w:rPr>
          <w:rFonts w:ascii="Times New Roman" w:hAnsi="Times New Roman"/>
          <w:smallCaps/>
        </w:rPr>
        <w:t>Pildes</w:t>
      </w:r>
      <w:proofErr w:type="spellEnd"/>
      <w:r w:rsidRPr="00732837">
        <w:rPr>
          <w:rFonts w:ascii="Times New Roman" w:hAnsi="Times New Roman"/>
          <w:smallCaps/>
        </w:rPr>
        <w:t>, The Law of Democracy 575 (2012).</w:t>
      </w:r>
    </w:p>
  </w:footnote>
  <w:footnote w:id="5">
    <w:p w:rsidR="00D65D75" w:rsidRPr="00732837" w:rsidRDefault="00D65D75">
      <w:pPr>
        <w:pStyle w:val="FootnoteText"/>
        <w:rPr>
          <w:rFonts w:ascii="Times New Roman" w:hAnsi="Times New Roman"/>
        </w:rPr>
      </w:pPr>
      <w:r w:rsidRPr="00732837">
        <w:rPr>
          <w:rStyle w:val="FootnoteReference"/>
          <w:rFonts w:ascii="Times New Roman" w:hAnsi="Times New Roman"/>
        </w:rPr>
        <w:footnoteRef/>
      </w:r>
      <w:r w:rsidRPr="00732837">
        <w:rPr>
          <w:rFonts w:ascii="Times New Roman" w:hAnsi="Times New Roman"/>
        </w:rPr>
        <w:t xml:space="preserve"> 369 U.S. 186 (1962).</w:t>
      </w:r>
    </w:p>
  </w:footnote>
  <w:footnote w:id="6">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proofErr w:type="spellStart"/>
      <w:r w:rsidRPr="00732837">
        <w:rPr>
          <w:rFonts w:ascii="Times New Roman" w:hAnsi="Times New Roman" w:cs="Times New Roman"/>
          <w:i/>
        </w:rPr>
        <w:t>Gomillion</w:t>
      </w:r>
      <w:proofErr w:type="spellEnd"/>
      <w:r w:rsidRPr="00732837">
        <w:rPr>
          <w:rFonts w:ascii="Times New Roman" w:hAnsi="Times New Roman" w:cs="Times New Roman"/>
          <w:i/>
        </w:rPr>
        <w:t xml:space="preserve"> v. Lightfoot</w:t>
      </w:r>
      <w:r w:rsidRPr="00732837">
        <w:rPr>
          <w:rFonts w:ascii="Times New Roman" w:hAnsi="Times New Roman" w:cs="Times New Roman"/>
        </w:rPr>
        <w:t>, 364 U.S. 339 (1960).</w:t>
      </w:r>
    </w:p>
  </w:footnote>
  <w:footnote w:id="7">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For a seminal history of the evolution of racial anti-discrimination law applied to primaries, see </w:t>
      </w:r>
      <w:r w:rsidRPr="00732837">
        <w:rPr>
          <w:rFonts w:ascii="Times New Roman" w:hAnsi="Times New Roman" w:cs="Times New Roman"/>
          <w:smallCaps/>
        </w:rPr>
        <w:t xml:space="preserve">Leon Epstein, Political Parties in the American </w:t>
      </w:r>
      <w:proofErr w:type="spellStart"/>
      <w:r w:rsidRPr="00732837">
        <w:rPr>
          <w:rFonts w:ascii="Times New Roman" w:hAnsi="Times New Roman" w:cs="Times New Roman"/>
          <w:smallCaps/>
        </w:rPr>
        <w:t>Mold</w:t>
      </w:r>
      <w:proofErr w:type="spellEnd"/>
      <w:r w:rsidRPr="00732837">
        <w:rPr>
          <w:rFonts w:ascii="Times New Roman" w:hAnsi="Times New Roman" w:cs="Times New Roman"/>
        </w:rPr>
        <w:t xml:space="preserve"> (1986), 174-79.</w:t>
      </w:r>
    </w:p>
  </w:footnote>
  <w:footnote w:id="8">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321 U.S. 649 (1944).</w:t>
      </w:r>
    </w:p>
  </w:footnote>
  <w:footnote w:id="9">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345 U.S. 461 (1953).</w:t>
      </w:r>
    </w:p>
  </w:footnote>
  <w:footnote w:id="10">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Baker v. </w:t>
      </w:r>
      <w:proofErr w:type="spellStart"/>
      <w:r w:rsidRPr="00732837">
        <w:rPr>
          <w:rFonts w:ascii="Times New Roman" w:hAnsi="Times New Roman" w:cs="Times New Roman"/>
        </w:rPr>
        <w:t>Carr</w:t>
      </w:r>
      <w:proofErr w:type="spellEnd"/>
      <w:r w:rsidRPr="00732837">
        <w:rPr>
          <w:rFonts w:ascii="Times New Roman" w:hAnsi="Times New Roman" w:cs="Times New Roman"/>
        </w:rPr>
        <w:t>, 369 U.S. 186 (1962).</w:t>
      </w:r>
    </w:p>
  </w:footnote>
  <w:footnote w:id="11">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See</w:t>
      </w:r>
      <w:r w:rsidRPr="00732837">
        <w:rPr>
          <w:rFonts w:ascii="Times New Roman" w:hAnsi="Times New Roman" w:cs="Times New Roman"/>
        </w:rPr>
        <w:t xml:space="preserve"> Oliver Hall, </w:t>
      </w:r>
      <w:r w:rsidRPr="00732837">
        <w:rPr>
          <w:rFonts w:ascii="Times New Roman" w:hAnsi="Times New Roman" w:cs="Times New Roman"/>
          <w:i/>
        </w:rPr>
        <w:t>Death by a Thousand Signatures: The Rise of Restrictive Ballot Access Laws and the Decline of Electoral Competition in the United States</w:t>
      </w:r>
      <w:r w:rsidRPr="00732837">
        <w:rPr>
          <w:rFonts w:ascii="Times New Roman" w:hAnsi="Times New Roman" w:cs="Times New Roman"/>
        </w:rPr>
        <w:t xml:space="preserve">, 29 Seattle U. L. Rev. 407, 424 (2006) (observing that while there had been one Supreme Court case regarding ballot access, </w:t>
      </w:r>
      <w:r w:rsidRPr="00732837">
        <w:rPr>
          <w:rFonts w:ascii="Times New Roman" w:hAnsi="Times New Roman" w:cs="Times New Roman"/>
          <w:i/>
        </w:rPr>
        <w:t>MacDougall v. Green</w:t>
      </w:r>
      <w:r w:rsidRPr="00732837">
        <w:rPr>
          <w:rFonts w:ascii="Times New Roman" w:hAnsi="Times New Roman" w:cs="Times New Roman"/>
        </w:rPr>
        <w:t xml:space="preserve">, 335 U.S. 281 (1948), it has largely been left behind by precedent; moreover it was overruled in part by a case that implemented one-person one-vote, </w:t>
      </w:r>
      <w:r w:rsidRPr="00732837">
        <w:rPr>
          <w:rFonts w:ascii="Times New Roman" w:hAnsi="Times New Roman" w:cs="Times New Roman"/>
          <w:i/>
        </w:rPr>
        <w:t>Moore v. Ogilvie</w:t>
      </w:r>
      <w:r w:rsidRPr="00732837">
        <w:rPr>
          <w:rFonts w:ascii="Times New Roman" w:hAnsi="Times New Roman" w:cs="Times New Roman"/>
        </w:rPr>
        <w:t>, 394 U.S. 814 (1969).</w:t>
      </w:r>
    </w:p>
  </w:footnote>
  <w:footnote w:id="12">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393 U.S. 23 (1968). </w:t>
      </w:r>
    </w:p>
  </w:footnote>
  <w:footnote w:id="13">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at 30.</w:t>
      </w:r>
    </w:p>
  </w:footnote>
  <w:footnote w:id="14">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Art 2 s 1; </w:t>
      </w:r>
      <w:r w:rsidRPr="00732837">
        <w:rPr>
          <w:rFonts w:ascii="Times New Roman" w:hAnsi="Times New Roman" w:cs="Times New Roman"/>
          <w:i/>
        </w:rPr>
        <w:t>Rhodes</w:t>
      </w:r>
      <w:r w:rsidRPr="00732837">
        <w:rPr>
          <w:rFonts w:ascii="Times New Roman" w:hAnsi="Times New Roman" w:cs="Times New Roman"/>
        </w:rPr>
        <w:t xml:space="preserve"> at 26-29.</w:t>
      </w:r>
    </w:p>
  </w:footnote>
  <w:footnote w:id="15">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Williams</w:t>
      </w:r>
      <w:r w:rsidRPr="00732837">
        <w:rPr>
          <w:rFonts w:ascii="Times New Roman" w:hAnsi="Times New Roman" w:cs="Times New Roman"/>
        </w:rPr>
        <w:t xml:space="preserve"> at 31-32.</w:t>
      </w:r>
    </w:p>
  </w:footnote>
  <w:footnote w:id="16">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at 34.</w:t>
      </w:r>
    </w:p>
  </w:footnote>
  <w:footnote w:id="17">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405 U.S. 134 (1972).</w:t>
      </w:r>
    </w:p>
  </w:footnote>
  <w:footnote w:id="18">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403 U.S. 431 (1971).</w:t>
      </w:r>
    </w:p>
  </w:footnote>
  <w:footnote w:id="19">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proofErr w:type="gramStart"/>
      <w:r w:rsidRPr="00732837">
        <w:rPr>
          <w:rFonts w:ascii="Times New Roman" w:hAnsi="Times New Roman" w:cs="Times New Roman"/>
        </w:rPr>
        <w:t>In particular, unlike</w:t>
      </w:r>
      <w:proofErr w:type="gramEnd"/>
      <w:r w:rsidRPr="00732837">
        <w:rPr>
          <w:rFonts w:ascii="Times New Roman" w:hAnsi="Times New Roman" w:cs="Times New Roman"/>
        </w:rPr>
        <w:t xml:space="preserve"> the electoral scheme at issue in </w:t>
      </w:r>
      <w:r w:rsidRPr="00732837">
        <w:rPr>
          <w:rFonts w:ascii="Times New Roman" w:hAnsi="Times New Roman" w:cs="Times New Roman"/>
          <w:i/>
        </w:rPr>
        <w:t>Williams</w:t>
      </w:r>
      <w:r w:rsidRPr="00732837">
        <w:rPr>
          <w:rFonts w:ascii="Times New Roman" w:hAnsi="Times New Roman" w:cs="Times New Roman"/>
        </w:rPr>
        <w:t xml:space="preserve">, in </w:t>
      </w:r>
      <w:proofErr w:type="spellStart"/>
      <w:r w:rsidRPr="00732837">
        <w:rPr>
          <w:rFonts w:ascii="Times New Roman" w:hAnsi="Times New Roman" w:cs="Times New Roman"/>
          <w:i/>
        </w:rPr>
        <w:t>Jennes</w:t>
      </w:r>
      <w:r w:rsidRPr="00732837">
        <w:rPr>
          <w:rFonts w:ascii="Times New Roman" w:hAnsi="Times New Roman" w:cs="Times New Roman"/>
        </w:rPr>
        <w:t>s</w:t>
      </w:r>
      <w:proofErr w:type="spellEnd"/>
      <w:r w:rsidRPr="00732837">
        <w:rPr>
          <w:rFonts w:ascii="Times New Roman" w:hAnsi="Times New Roman" w:cs="Times New Roman"/>
        </w:rPr>
        <w:t xml:space="preserve"> there were no restrictions on write-in votes. 403 U.S. at 438.</w:t>
      </w:r>
    </w:p>
  </w:footnote>
  <w:footnote w:id="20">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405 U.S. at 141. Indeed, the Court’s own reasoning teed it up for an associational wrong when it observed “laws that affect candidates always have at least some, theoretical correlative effect on voters”, </w:t>
      </w:r>
      <w:r w:rsidRPr="00732837">
        <w:rPr>
          <w:rFonts w:ascii="Times New Roman" w:hAnsi="Times New Roman" w:cs="Times New Roman"/>
          <w:i/>
        </w:rPr>
        <w:t>id</w:t>
      </w:r>
      <w:r w:rsidRPr="00732837">
        <w:rPr>
          <w:rFonts w:ascii="Times New Roman" w:hAnsi="Times New Roman" w:cs="Times New Roman"/>
        </w:rPr>
        <w:t xml:space="preserve"> at 143. </w:t>
      </w:r>
    </w:p>
  </w:footnote>
  <w:footnote w:id="21">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Williams, </w:t>
      </w:r>
      <w:r w:rsidRPr="00732837">
        <w:rPr>
          <w:rFonts w:ascii="Times New Roman" w:hAnsi="Times New Roman" w:cs="Times New Roman"/>
        </w:rPr>
        <w:t xml:space="preserve">393 U.S. at 34 (looking to the “totality” of the restrictive effect of laws to determine if the cost is justified by political circumstances); </w:t>
      </w:r>
      <w:r w:rsidRPr="00732837">
        <w:rPr>
          <w:rFonts w:ascii="Times New Roman" w:hAnsi="Times New Roman" w:cs="Times New Roman"/>
          <w:i/>
        </w:rPr>
        <w:t>Bullock</w:t>
      </w:r>
      <w:r w:rsidRPr="00732837">
        <w:rPr>
          <w:rFonts w:ascii="Times New Roman" w:hAnsi="Times New Roman" w:cs="Times New Roman"/>
        </w:rPr>
        <w:t>, 405 U.S. at 146 (monetary constraints through filing limits “ill-fitting” to winnowing of candidates).</w:t>
      </w:r>
    </w:p>
  </w:footnote>
  <w:footnote w:id="22">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410 U.S. 752 (1973).</w:t>
      </w:r>
    </w:p>
  </w:footnote>
  <w:footnote w:id="23">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at 760.</w:t>
      </w:r>
    </w:p>
  </w:footnote>
  <w:footnote w:id="24">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414 U.S. 51, 60-61 (1973).</w:t>
      </w:r>
    </w:p>
  </w:footnote>
  <w:footnote w:id="25">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415 U.S. 724 (1974) at 730 (internal citation omitted). For a critique of ‘sore loser’ laws such as those upheld in </w:t>
      </w:r>
      <w:proofErr w:type="spellStart"/>
      <w:r w:rsidRPr="00732837">
        <w:rPr>
          <w:rFonts w:ascii="Times New Roman" w:hAnsi="Times New Roman" w:cs="Times New Roman"/>
          <w:i/>
        </w:rPr>
        <w:t>Storer</w:t>
      </w:r>
      <w:proofErr w:type="spellEnd"/>
      <w:r w:rsidRPr="00732837">
        <w:rPr>
          <w:rFonts w:ascii="Times New Roman" w:hAnsi="Times New Roman" w:cs="Times New Roman"/>
        </w:rPr>
        <w:t xml:space="preserve">, see Michael S. Kang, </w:t>
      </w:r>
      <w:r w:rsidRPr="00732837">
        <w:rPr>
          <w:rFonts w:ascii="Times New Roman" w:hAnsi="Times New Roman" w:cs="Times New Roman"/>
          <w:i/>
        </w:rPr>
        <w:t>Sore Loser Laws and Democratic Contestation</w:t>
      </w:r>
      <w:r w:rsidRPr="00732837">
        <w:rPr>
          <w:rFonts w:ascii="Times New Roman" w:hAnsi="Times New Roman" w:cs="Times New Roman"/>
        </w:rPr>
        <w:t>, 99 Geo. L. J. 1013 (2011).</w:t>
      </w:r>
    </w:p>
  </w:footnote>
  <w:footnote w:id="26">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Cousins</w:t>
      </w:r>
      <w:r w:rsidRPr="00732837">
        <w:rPr>
          <w:rFonts w:ascii="Times New Roman" w:hAnsi="Times New Roman" w:cs="Times New Roman"/>
        </w:rPr>
        <w:t>, 419 U.S. 477, 489 (1975).</w:t>
      </w:r>
    </w:p>
  </w:footnote>
  <w:footnote w:id="27">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Democratic Party v. La Follette</w:t>
      </w:r>
      <w:r w:rsidRPr="00732837">
        <w:rPr>
          <w:rFonts w:ascii="Times New Roman" w:hAnsi="Times New Roman" w:cs="Times New Roman"/>
        </w:rPr>
        <w:t>, 450 U.S. 107, 124 (1981).</w:t>
      </w:r>
    </w:p>
  </w:footnote>
  <w:footnote w:id="28">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lang w:val="en-US"/>
        </w:rPr>
        <w:t>489 U.S. 214 (1989)</w:t>
      </w:r>
    </w:p>
  </w:footnote>
  <w:footnote w:id="29">
    <w:p w:rsidR="00D65D75" w:rsidRPr="00732837" w:rsidRDefault="00D65D75" w:rsidP="0082314B">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California v. Jones, 530 U.S. at 576 n. 6. </w:t>
      </w:r>
    </w:p>
  </w:footnote>
  <w:footnote w:id="30">
    <w:p w:rsidR="00D65D75" w:rsidRPr="00732837" w:rsidRDefault="00D65D75" w:rsidP="0082314B">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Burt </w:t>
      </w:r>
      <w:proofErr w:type="spellStart"/>
      <w:r w:rsidRPr="00732837">
        <w:rPr>
          <w:rFonts w:ascii="Times New Roman" w:hAnsi="Times New Roman" w:cs="Times New Roman"/>
        </w:rPr>
        <w:t>Neuborne</w:t>
      </w:r>
      <w:proofErr w:type="spellEnd"/>
      <w:r w:rsidRPr="00732837">
        <w:rPr>
          <w:rFonts w:ascii="Times New Roman" w:hAnsi="Times New Roman" w:cs="Times New Roman"/>
        </w:rPr>
        <w:t xml:space="preserve">, </w:t>
      </w:r>
      <w:r w:rsidRPr="00732837">
        <w:rPr>
          <w:rFonts w:ascii="Times New Roman" w:hAnsi="Times New Roman" w:cs="Times New Roman"/>
          <w:i/>
        </w:rPr>
        <w:t>Felix Frankfurter’s Revenge: An Accidental Democracy Built by Judges</w:t>
      </w:r>
      <w:r w:rsidRPr="00732837">
        <w:rPr>
          <w:rFonts w:ascii="Times New Roman" w:hAnsi="Times New Roman" w:cs="Times New Roman"/>
        </w:rPr>
        <w:t>, at 638</w:t>
      </w:r>
    </w:p>
  </w:footnote>
  <w:footnote w:id="31">
    <w:p w:rsidR="00D65D75" w:rsidRPr="00732837" w:rsidRDefault="00D65D75" w:rsidP="0082314B">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Washington State Grange v. Washington Republican Party</w:t>
      </w:r>
      <w:r w:rsidRPr="00732837">
        <w:rPr>
          <w:rFonts w:ascii="Times New Roman" w:hAnsi="Times New Roman" w:cs="Times New Roman"/>
        </w:rPr>
        <w:t>, 552 U.S. 442 (2008).</w:t>
      </w:r>
    </w:p>
  </w:footnote>
  <w:footnote w:id="32">
    <w:p w:rsidR="00D65D75" w:rsidRPr="00732837" w:rsidRDefault="00D65D75" w:rsidP="002F5631">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Ironically enough, a decade prior to </w:t>
      </w:r>
      <w:proofErr w:type="spellStart"/>
      <w:r w:rsidRPr="00732837">
        <w:rPr>
          <w:rFonts w:ascii="Times New Roman" w:hAnsi="Times New Roman" w:cs="Times New Roman"/>
          <w:i/>
        </w:rPr>
        <w:t>Tashjian</w:t>
      </w:r>
      <w:proofErr w:type="spellEnd"/>
      <w:r w:rsidRPr="00732837">
        <w:rPr>
          <w:rFonts w:ascii="Times New Roman" w:hAnsi="Times New Roman" w:cs="Times New Roman"/>
        </w:rPr>
        <w:t xml:space="preserve"> the Supreme Court summarily upheld the same statute against a challenge by an independent voter; the key being in that case the Republican Party and state government agreed regarding the desirability of a closed primary. </w:t>
      </w:r>
      <w:r w:rsidRPr="00732837">
        <w:rPr>
          <w:rFonts w:ascii="Times New Roman" w:hAnsi="Times New Roman" w:cs="Times New Roman"/>
          <w:i/>
        </w:rPr>
        <w:t>Nader v. Schaffer</w:t>
      </w:r>
      <w:r w:rsidRPr="00732837">
        <w:rPr>
          <w:rFonts w:ascii="Times New Roman" w:hAnsi="Times New Roman" w:cs="Times New Roman"/>
        </w:rPr>
        <w:t xml:space="preserve">, 417 </w:t>
      </w:r>
      <w:proofErr w:type="spellStart"/>
      <w:r w:rsidRPr="00732837">
        <w:rPr>
          <w:rFonts w:ascii="Times New Roman" w:hAnsi="Times New Roman" w:cs="Times New Roman"/>
        </w:rPr>
        <w:t>F.Supp</w:t>
      </w:r>
      <w:proofErr w:type="spellEnd"/>
      <w:r w:rsidRPr="00732837">
        <w:rPr>
          <w:rFonts w:ascii="Times New Roman" w:hAnsi="Times New Roman" w:cs="Times New Roman"/>
        </w:rPr>
        <w:t xml:space="preserve">. 837 (Conn.), summarily aff'd, 429 U.S. 989, 97 </w:t>
      </w:r>
      <w:proofErr w:type="spellStart"/>
      <w:r w:rsidRPr="00732837">
        <w:rPr>
          <w:rFonts w:ascii="Times New Roman" w:hAnsi="Times New Roman" w:cs="Times New Roman"/>
        </w:rPr>
        <w:t>S.Ct</w:t>
      </w:r>
      <w:proofErr w:type="spellEnd"/>
      <w:r w:rsidRPr="00732837">
        <w:rPr>
          <w:rFonts w:ascii="Times New Roman" w:hAnsi="Times New Roman" w:cs="Times New Roman"/>
        </w:rPr>
        <w:t>. 516, 50 L.Ed.2d 602 (1976).</w:t>
      </w:r>
    </w:p>
  </w:footnote>
  <w:footnote w:id="33">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479 U.S. 208, 215-216 (1986).</w:t>
      </w:r>
    </w:p>
  </w:footnote>
  <w:footnote w:id="34">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at 219-224.</w:t>
      </w:r>
    </w:p>
  </w:footnote>
  <w:footnote w:id="35">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xml:space="preserve"> at 220.</w:t>
      </w:r>
    </w:p>
  </w:footnote>
  <w:footnote w:id="36">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Id. </w:t>
      </w:r>
      <w:r w:rsidRPr="00732837">
        <w:rPr>
          <w:rFonts w:ascii="Times New Roman" w:hAnsi="Times New Roman" w:cs="Times New Roman"/>
        </w:rPr>
        <w:t>at 223.</w:t>
      </w:r>
    </w:p>
  </w:footnote>
  <w:footnote w:id="37">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530 U.S. 567, 570 (2000).</w:t>
      </w:r>
    </w:p>
  </w:footnote>
  <w:footnote w:id="38">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at 575-576.</w:t>
      </w:r>
    </w:p>
  </w:footnote>
  <w:footnote w:id="39">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Id. </w:t>
      </w:r>
      <w:r w:rsidRPr="00732837">
        <w:rPr>
          <w:rFonts w:ascii="Times New Roman" w:hAnsi="Times New Roman" w:cs="Times New Roman"/>
        </w:rPr>
        <w:t>at 584-86.</w:t>
      </w:r>
    </w:p>
  </w:footnote>
  <w:footnote w:id="40">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That parties truly deserve such constitutional protection (as if they were voters who could suffer government oppression) has been critiqued. See </w:t>
      </w:r>
      <w:proofErr w:type="spellStart"/>
      <w:r w:rsidRPr="00732837">
        <w:rPr>
          <w:rFonts w:ascii="Times New Roman" w:hAnsi="Times New Roman" w:cs="Times New Roman"/>
        </w:rPr>
        <w:t>Hasen</w:t>
      </w:r>
      <w:proofErr w:type="spellEnd"/>
      <w:r w:rsidRPr="00732837">
        <w:rPr>
          <w:rFonts w:ascii="Times New Roman" w:hAnsi="Times New Roman" w:cs="Times New Roman"/>
        </w:rPr>
        <w:t xml:space="preserve">, </w:t>
      </w:r>
      <w:r w:rsidRPr="00732837">
        <w:rPr>
          <w:rFonts w:ascii="Times New Roman" w:hAnsi="Times New Roman" w:cs="Times New Roman"/>
          <w:i/>
        </w:rPr>
        <w:t xml:space="preserve">Do the Parties or the People Own the Electoral Process, </w:t>
      </w:r>
      <w:r w:rsidRPr="00732837">
        <w:rPr>
          <w:rFonts w:ascii="Times New Roman" w:hAnsi="Times New Roman" w:cs="Times New Roman"/>
        </w:rPr>
        <w:t xml:space="preserve">Penn. L. Rev. </w:t>
      </w:r>
    </w:p>
  </w:footnote>
  <w:footnote w:id="41">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544 U.S. 581, 594-96 (2005).</w:t>
      </w:r>
    </w:p>
  </w:footnote>
  <w:footnote w:id="42">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Id. </w:t>
      </w:r>
      <w:r w:rsidRPr="00732837">
        <w:rPr>
          <w:rFonts w:ascii="Times New Roman" w:hAnsi="Times New Roman" w:cs="Times New Roman"/>
        </w:rPr>
        <w:t xml:space="preserve">at 589. One must also wonder if the fact that the challenging party was a minor party was of relevance to the Court’s reasoning. </w:t>
      </w:r>
    </w:p>
  </w:footnote>
  <w:footnote w:id="43">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552 U.S. 442, 455-457 (2008).</w:t>
      </w:r>
    </w:p>
  </w:footnote>
  <w:footnote w:id="44">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at 451.</w:t>
      </w:r>
    </w:p>
  </w:footnote>
  <w:footnote w:id="45">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Id</w:t>
      </w:r>
      <w:r w:rsidRPr="00732837">
        <w:rPr>
          <w:rFonts w:ascii="Times New Roman" w:hAnsi="Times New Roman" w:cs="Times New Roman"/>
        </w:rPr>
        <w:t>. at 458.</w:t>
      </w:r>
    </w:p>
  </w:footnote>
  <w:footnote w:id="46">
    <w:p w:rsidR="00D65D75" w:rsidRPr="00732837" w:rsidRDefault="00D65D75" w:rsidP="00EF1AA9">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e.g., </w:t>
      </w:r>
      <w:r w:rsidRPr="00732837">
        <w:rPr>
          <w:rFonts w:ascii="Times New Roman" w:hAnsi="Times New Roman" w:cs="Times New Roman"/>
          <w:i/>
        </w:rPr>
        <w:t>Clingman</w:t>
      </w:r>
      <w:r w:rsidRPr="00732837">
        <w:rPr>
          <w:rFonts w:ascii="Times New Roman" w:hAnsi="Times New Roman" w:cs="Times New Roman"/>
        </w:rPr>
        <w:t xml:space="preserve"> at 595.</w:t>
      </w:r>
    </w:p>
  </w:footnote>
  <w:footnote w:id="47">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e.g., </w:t>
      </w:r>
      <w:r w:rsidRPr="00732837">
        <w:rPr>
          <w:rFonts w:ascii="Times New Roman" w:hAnsi="Times New Roman" w:cs="Times New Roman"/>
          <w:i/>
        </w:rPr>
        <w:t>Torres-Lopez</w:t>
      </w:r>
      <w:r w:rsidRPr="00732837">
        <w:rPr>
          <w:rFonts w:ascii="Times New Roman" w:hAnsi="Times New Roman" w:cs="Times New Roman"/>
        </w:rPr>
        <w:t xml:space="preserve">; another example from a related domain is </w:t>
      </w:r>
      <w:r w:rsidRPr="00732837">
        <w:rPr>
          <w:rFonts w:ascii="Times New Roman" w:hAnsi="Times New Roman" w:cs="Times New Roman"/>
          <w:i/>
        </w:rPr>
        <w:t>Timmons</w:t>
      </w:r>
      <w:r w:rsidRPr="00732837">
        <w:rPr>
          <w:rFonts w:ascii="Times New Roman" w:hAnsi="Times New Roman" w:cs="Times New Roman"/>
        </w:rPr>
        <w:t>, 520 U.S. 351, 359 (1997) which performed only an associational analysis to conclude that a state fusion ban survived constitutional review, even as it cited cases invoking political freedom more generally</w:t>
      </w:r>
    </w:p>
  </w:footnote>
  <w:footnote w:id="48">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This terminology has been widely adopted by leading scholars of law and parties; </w:t>
      </w:r>
      <w:proofErr w:type="spellStart"/>
      <w:r w:rsidRPr="00732837">
        <w:rPr>
          <w:rFonts w:ascii="Times New Roman" w:hAnsi="Times New Roman" w:cs="Times New Roman"/>
        </w:rPr>
        <w:t>Persily</w:t>
      </w:r>
      <w:proofErr w:type="spellEnd"/>
      <w:r w:rsidRPr="00732837">
        <w:rPr>
          <w:rFonts w:ascii="Times New Roman" w:hAnsi="Times New Roman" w:cs="Times New Roman"/>
        </w:rPr>
        <w:t xml:space="preserve">; Nancy L. Rosenblum, </w:t>
      </w:r>
      <w:r w:rsidRPr="00732837">
        <w:rPr>
          <w:rFonts w:ascii="Times New Roman" w:hAnsi="Times New Roman" w:cs="Times New Roman"/>
          <w:i/>
        </w:rPr>
        <w:t>Primus Inter Pares: Political Parties and Civil Society</w:t>
      </w:r>
      <w:r w:rsidRPr="00732837">
        <w:rPr>
          <w:rFonts w:ascii="Times New Roman" w:hAnsi="Times New Roman" w:cs="Times New Roman"/>
        </w:rPr>
        <w:t xml:space="preserve">, 75 Chicago-Kent L. Rev. 493; Daniel Hayes Lowenstein, </w:t>
      </w:r>
      <w:r w:rsidRPr="00732837">
        <w:rPr>
          <w:rFonts w:ascii="Times New Roman" w:hAnsi="Times New Roman" w:cs="Times New Roman"/>
          <w:i/>
        </w:rPr>
        <w:t xml:space="preserve">Associational Rights of Major Political Parties: A </w:t>
      </w:r>
      <w:proofErr w:type="spellStart"/>
      <w:r w:rsidRPr="00732837">
        <w:rPr>
          <w:rFonts w:ascii="Times New Roman" w:hAnsi="Times New Roman" w:cs="Times New Roman"/>
          <w:i/>
        </w:rPr>
        <w:t>Skeptical</w:t>
      </w:r>
      <w:proofErr w:type="spellEnd"/>
      <w:r w:rsidRPr="00732837">
        <w:rPr>
          <w:rFonts w:ascii="Times New Roman" w:hAnsi="Times New Roman" w:cs="Times New Roman"/>
          <w:i/>
        </w:rPr>
        <w:t xml:space="preserve"> Inquiry</w:t>
      </w:r>
      <w:r w:rsidRPr="00732837">
        <w:rPr>
          <w:rFonts w:ascii="Times New Roman" w:hAnsi="Times New Roman" w:cs="Times New Roman"/>
        </w:rPr>
        <w:t xml:space="preserve"> Texas Law Review, Vol. 71, Issue 7 (June 1993), pp. 1741</w:t>
      </w:r>
    </w:p>
  </w:footnote>
  <w:footnote w:id="49">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e.g., Nathaniel </w:t>
      </w:r>
      <w:proofErr w:type="spellStart"/>
      <w:r w:rsidRPr="00732837">
        <w:rPr>
          <w:rFonts w:ascii="Times New Roman" w:hAnsi="Times New Roman" w:cs="Times New Roman"/>
        </w:rPr>
        <w:t>Persily</w:t>
      </w:r>
      <w:proofErr w:type="spellEnd"/>
      <w:r w:rsidRPr="00732837">
        <w:rPr>
          <w:rFonts w:ascii="Times New Roman" w:hAnsi="Times New Roman" w:cs="Times New Roman"/>
        </w:rPr>
        <w:t xml:space="preserve">, </w:t>
      </w:r>
      <w:proofErr w:type="gramStart"/>
      <w:r w:rsidRPr="00732837">
        <w:rPr>
          <w:rFonts w:ascii="Times New Roman" w:hAnsi="Times New Roman" w:cs="Times New Roman"/>
          <w:i/>
        </w:rPr>
        <w:t>Toward</w:t>
      </w:r>
      <w:proofErr w:type="gramEnd"/>
      <w:r w:rsidRPr="00732837">
        <w:rPr>
          <w:rFonts w:ascii="Times New Roman" w:hAnsi="Times New Roman" w:cs="Times New Roman"/>
          <w:i/>
        </w:rPr>
        <w:t xml:space="preserve"> a Functional </w:t>
      </w:r>
      <w:proofErr w:type="spellStart"/>
      <w:r w:rsidRPr="00732837">
        <w:rPr>
          <w:rFonts w:ascii="Times New Roman" w:hAnsi="Times New Roman" w:cs="Times New Roman"/>
          <w:i/>
        </w:rPr>
        <w:t>Defense</w:t>
      </w:r>
      <w:proofErr w:type="spellEnd"/>
      <w:r w:rsidRPr="00732837">
        <w:rPr>
          <w:rFonts w:ascii="Times New Roman" w:hAnsi="Times New Roman" w:cs="Times New Roman"/>
          <w:i/>
        </w:rPr>
        <w:t xml:space="preserve"> of Political Party Autonomy</w:t>
      </w:r>
      <w:r w:rsidRPr="00732837">
        <w:rPr>
          <w:rFonts w:ascii="Times New Roman" w:hAnsi="Times New Roman" w:cs="Times New Roman"/>
        </w:rPr>
        <w:t xml:space="preserve">, 76 N.Y.U. L. Rev. 750 (2001); Richard L. </w:t>
      </w:r>
      <w:proofErr w:type="spellStart"/>
      <w:r w:rsidRPr="00732837">
        <w:rPr>
          <w:rFonts w:ascii="Times New Roman" w:hAnsi="Times New Roman" w:cs="Times New Roman"/>
        </w:rPr>
        <w:t>Hasen</w:t>
      </w:r>
      <w:proofErr w:type="spellEnd"/>
      <w:r w:rsidRPr="00732837">
        <w:rPr>
          <w:rFonts w:ascii="Times New Roman" w:hAnsi="Times New Roman" w:cs="Times New Roman"/>
        </w:rPr>
        <w:t xml:space="preserve">, </w:t>
      </w:r>
      <w:r w:rsidRPr="00732837">
        <w:rPr>
          <w:rFonts w:ascii="Times New Roman" w:hAnsi="Times New Roman" w:cs="Times New Roman"/>
          <w:i/>
        </w:rPr>
        <w:t>Do the Parties or the People Own the Electoral Process?</w:t>
      </w:r>
      <w:r w:rsidRPr="00732837">
        <w:rPr>
          <w:rFonts w:ascii="Times New Roman" w:hAnsi="Times New Roman" w:cs="Times New Roman"/>
        </w:rPr>
        <w:t xml:space="preserve"> 149 U. Pa. L. Rev. 815 (2001).</w:t>
      </w:r>
    </w:p>
  </w:footnote>
  <w:footnote w:id="50">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504 U.S. 428 (1992).</w:t>
      </w:r>
    </w:p>
  </w:footnote>
  <w:footnote w:id="51">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Burdick </w:t>
      </w:r>
      <w:r w:rsidRPr="00732837">
        <w:rPr>
          <w:rFonts w:ascii="Times New Roman" w:hAnsi="Times New Roman" w:cs="Times New Roman"/>
        </w:rPr>
        <w:t xml:space="preserve">observed the “limited burden on voters’ rights to make free choices and to associate politically through the vote.” </w:t>
      </w:r>
      <w:r w:rsidRPr="00732837">
        <w:rPr>
          <w:rFonts w:ascii="Times New Roman" w:hAnsi="Times New Roman" w:cs="Times New Roman"/>
          <w:i/>
        </w:rPr>
        <w:t xml:space="preserve">Id. </w:t>
      </w:r>
      <w:r w:rsidRPr="00732837">
        <w:rPr>
          <w:rFonts w:ascii="Times New Roman" w:hAnsi="Times New Roman" w:cs="Times New Roman"/>
        </w:rPr>
        <w:t>at 439.</w:t>
      </w:r>
    </w:p>
  </w:footnote>
  <w:footnote w:id="52">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Epstein</w:t>
      </w:r>
      <w:r w:rsidR="00732837">
        <w:rPr>
          <w:rFonts w:ascii="Times New Roman" w:hAnsi="Times New Roman" w:cs="Times New Roman"/>
        </w:rPr>
        <w:t>, supra note x</w:t>
      </w:r>
      <w:r w:rsidRPr="00732837">
        <w:rPr>
          <w:rFonts w:ascii="Times New Roman" w:hAnsi="Times New Roman" w:cs="Times New Roman"/>
        </w:rPr>
        <w:t xml:space="preserve"> at 162-167 for a description of the introduction of the Australian ballot and how it attempted to curb some of the excesses of machine politics.</w:t>
      </w:r>
    </w:p>
  </w:footnote>
  <w:footnote w:id="53">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Samuel Issacharoff, </w:t>
      </w:r>
      <w:r w:rsidRPr="00732837">
        <w:rPr>
          <w:rFonts w:ascii="Times New Roman" w:hAnsi="Times New Roman" w:cs="Times New Roman"/>
          <w:i/>
        </w:rPr>
        <w:t xml:space="preserve">Private Parties with Public Purposes: Political Parties, Associational \Freedoms, and Partisan Competition, </w:t>
      </w:r>
      <w:r w:rsidRPr="00732837">
        <w:rPr>
          <w:rFonts w:ascii="Times New Roman" w:hAnsi="Times New Roman" w:cs="Times New Roman"/>
        </w:rPr>
        <w:t>101 Colum. L. Rev. 275, 290 (2001) (describing the emergence of a ‘structural’ view of the First Amendment?)</w:t>
      </w:r>
    </w:p>
  </w:footnote>
  <w:footnote w:id="54">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See, e.g., </w:t>
      </w:r>
      <w:r w:rsidRPr="00732837">
        <w:rPr>
          <w:rFonts w:ascii="Times New Roman" w:hAnsi="Times New Roman" w:cs="Times New Roman"/>
        </w:rPr>
        <w:t xml:space="preserve">Richard L. </w:t>
      </w:r>
      <w:proofErr w:type="spellStart"/>
      <w:r w:rsidRPr="00732837">
        <w:rPr>
          <w:rFonts w:ascii="Times New Roman" w:hAnsi="Times New Roman" w:cs="Times New Roman"/>
        </w:rPr>
        <w:t>Hasen</w:t>
      </w:r>
      <w:proofErr w:type="spellEnd"/>
      <w:r w:rsidRPr="00732837">
        <w:rPr>
          <w:rFonts w:ascii="Times New Roman" w:hAnsi="Times New Roman" w:cs="Times New Roman"/>
        </w:rPr>
        <w:t xml:space="preserve">, supra note x, at 815 (“courts generally should not protect the two major political parties, the Democrats and Republicans, except from interference in each party’s internal governance and from one party’s attempt to gain partisan advantage over the other”). </w:t>
      </w:r>
    </w:p>
  </w:footnote>
  <w:footnote w:id="55">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smallCaps/>
        </w:rPr>
        <w:t>John Hart Ely, Democracy and Distrust</w:t>
      </w:r>
      <w:r w:rsidRPr="00732837">
        <w:rPr>
          <w:rFonts w:ascii="Times New Roman" w:hAnsi="Times New Roman" w:cs="Times New Roman"/>
        </w:rPr>
        <w:t xml:space="preserve"> 101 (1980).</w:t>
      </w:r>
    </w:p>
  </w:footnote>
  <w:footnote w:id="56">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Davis v. </w:t>
      </w:r>
      <w:proofErr w:type="spellStart"/>
      <w:r w:rsidRPr="00732837">
        <w:rPr>
          <w:rFonts w:ascii="Times New Roman" w:hAnsi="Times New Roman" w:cs="Times New Roman"/>
          <w:i/>
        </w:rPr>
        <w:t>Bandemer</w:t>
      </w:r>
      <w:proofErr w:type="spellEnd"/>
      <w:r w:rsidRPr="00732837">
        <w:rPr>
          <w:rFonts w:ascii="Times New Roman" w:hAnsi="Times New Roman" w:cs="Times New Roman"/>
          <w:i/>
        </w:rPr>
        <w:t xml:space="preserve">, </w:t>
      </w:r>
      <w:r w:rsidRPr="00732837">
        <w:rPr>
          <w:rFonts w:ascii="Times New Roman" w:hAnsi="Times New Roman" w:cs="Times New Roman"/>
        </w:rPr>
        <w:t>478 U.S. 109, 152 (1986) (Ginsburg, concurring) (discussing the related problem of judicial intervention in partisan gerrymandering).</w:t>
      </w:r>
    </w:p>
  </w:footnote>
  <w:footnote w:id="57">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Supra</w:t>
      </w:r>
      <w:r w:rsidRPr="00732837">
        <w:rPr>
          <w:rFonts w:ascii="Times New Roman" w:hAnsi="Times New Roman" w:cs="Times New Roman"/>
        </w:rPr>
        <w:t xml:space="preserve"> note x at 288. </w:t>
      </w:r>
    </w:p>
  </w:footnote>
  <w:footnote w:id="58">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Id. </w:t>
      </w:r>
      <w:r w:rsidRPr="00732837">
        <w:rPr>
          <w:rFonts w:ascii="Times New Roman" w:hAnsi="Times New Roman" w:cs="Times New Roman"/>
        </w:rPr>
        <w:t xml:space="preserve">at 300. </w:t>
      </w:r>
    </w:p>
  </w:footnote>
  <w:footnote w:id="59">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Michael Kang, </w:t>
      </w:r>
      <w:r w:rsidRPr="00732837">
        <w:rPr>
          <w:rFonts w:ascii="Times New Roman" w:hAnsi="Times New Roman" w:cs="Times New Roman"/>
          <w:i/>
        </w:rPr>
        <w:t>Sore Loser Laws</w:t>
      </w:r>
      <w:r w:rsidRPr="00732837">
        <w:rPr>
          <w:rFonts w:ascii="Times New Roman" w:hAnsi="Times New Roman" w:cs="Times New Roman"/>
        </w:rPr>
        <w:t xml:space="preserve">, 99 Geo. L. J. 1013, 1025, 1059 (2011) (challenging the purported anti-factionalist benefits of sore loser laws by failing to give </w:t>
      </w:r>
      <w:proofErr w:type="gramStart"/>
      <w:r w:rsidRPr="00732837">
        <w:rPr>
          <w:rFonts w:ascii="Times New Roman" w:hAnsi="Times New Roman" w:cs="Times New Roman"/>
        </w:rPr>
        <w:t>sufficient</w:t>
      </w:r>
      <w:proofErr w:type="gramEnd"/>
      <w:r w:rsidRPr="00732837">
        <w:rPr>
          <w:rFonts w:ascii="Times New Roman" w:hAnsi="Times New Roman" w:cs="Times New Roman"/>
        </w:rPr>
        <w:t xml:space="preserve"> leverage to continuing negotiating with primary winners during intraparty candidate selection).</w:t>
      </w:r>
    </w:p>
  </w:footnote>
  <w:footnote w:id="60">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 xml:space="preserve">Supra </w:t>
      </w:r>
      <w:r w:rsidRPr="00732837">
        <w:rPr>
          <w:rFonts w:ascii="Times New Roman" w:hAnsi="Times New Roman" w:cs="Times New Roman"/>
        </w:rPr>
        <w:t xml:space="preserve">note x at 753 (arguing for a functional </w:t>
      </w:r>
      <w:proofErr w:type="spellStart"/>
      <w:r w:rsidRPr="00732837">
        <w:rPr>
          <w:rFonts w:ascii="Times New Roman" w:hAnsi="Times New Roman" w:cs="Times New Roman"/>
        </w:rPr>
        <w:t>defense</w:t>
      </w:r>
      <w:proofErr w:type="spellEnd"/>
      <w:r w:rsidRPr="00732837">
        <w:rPr>
          <w:rFonts w:ascii="Times New Roman" w:hAnsi="Times New Roman" w:cs="Times New Roman"/>
        </w:rPr>
        <w:t xml:space="preserve"> of party organizational autonomy on the grounds that it enhances competition and ensures a voice for vulnerable groups).</w:t>
      </w:r>
    </w:p>
  </w:footnote>
  <w:footnote w:id="61">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w:t>
      </w:r>
      <w:r w:rsidRPr="00732837">
        <w:rPr>
          <w:rFonts w:ascii="Times New Roman" w:hAnsi="Times New Roman" w:cs="Times New Roman"/>
          <w:i/>
        </w:rPr>
        <w:t>See, e.g.</w:t>
      </w:r>
      <w:r w:rsidRPr="00732837">
        <w:rPr>
          <w:rFonts w:ascii="Times New Roman" w:hAnsi="Times New Roman" w:cs="Times New Roman"/>
        </w:rPr>
        <w:t xml:space="preserve">, Nathaniel </w:t>
      </w:r>
      <w:proofErr w:type="spellStart"/>
      <w:r w:rsidRPr="00732837">
        <w:rPr>
          <w:rFonts w:ascii="Times New Roman" w:hAnsi="Times New Roman" w:cs="Times New Roman"/>
        </w:rPr>
        <w:t>Persilty</w:t>
      </w:r>
      <w:proofErr w:type="spellEnd"/>
      <w:r w:rsidRPr="00732837">
        <w:rPr>
          <w:rFonts w:ascii="Times New Roman" w:hAnsi="Times New Roman" w:cs="Times New Roman"/>
        </w:rPr>
        <w:t xml:space="preserve"> &amp; Bruce E. Cain, </w:t>
      </w:r>
      <w:r w:rsidRPr="00732837">
        <w:rPr>
          <w:rFonts w:ascii="Times New Roman" w:hAnsi="Times New Roman" w:cs="Times New Roman"/>
          <w:i/>
        </w:rPr>
        <w:t>The Legal Status of Political Parties: A Reassessment of Competing Paradigms</w:t>
      </w:r>
      <w:r w:rsidRPr="00732837">
        <w:rPr>
          <w:rFonts w:ascii="Times New Roman" w:hAnsi="Times New Roman" w:cs="Times New Roman"/>
        </w:rPr>
        <w:t xml:space="preserve">, 100 Colum. L. Rev. 775, 796 (arguing for particularized application of differing paradigms to address </w:t>
      </w:r>
      <w:proofErr w:type="gramStart"/>
      <w:r w:rsidRPr="00732837">
        <w:rPr>
          <w:rFonts w:ascii="Times New Roman" w:hAnsi="Times New Roman" w:cs="Times New Roman"/>
        </w:rPr>
        <w:t>particular legal</w:t>
      </w:r>
      <w:proofErr w:type="gramEnd"/>
      <w:r w:rsidRPr="00732837">
        <w:rPr>
          <w:rFonts w:ascii="Times New Roman" w:hAnsi="Times New Roman" w:cs="Times New Roman"/>
        </w:rPr>
        <w:t xml:space="preserve"> contexts); Michael S. Kang, </w:t>
      </w:r>
      <w:r w:rsidRPr="00732837">
        <w:rPr>
          <w:rFonts w:ascii="Times New Roman" w:hAnsi="Times New Roman" w:cs="Times New Roman"/>
          <w:i/>
        </w:rPr>
        <w:t>The Hydraulics and Politics of Party Regulation</w:t>
      </w:r>
      <w:r w:rsidRPr="00732837">
        <w:rPr>
          <w:rFonts w:ascii="Times New Roman" w:hAnsi="Times New Roman" w:cs="Times New Roman"/>
        </w:rPr>
        <w:t xml:space="preserve">, 91 Iowa L. Rev. 131, 173-174 (arguing courts should adopt a more generalized structuralist view of managing political conflict). For a review of these theories, see Michael R. </w:t>
      </w:r>
      <w:proofErr w:type="spellStart"/>
      <w:r w:rsidRPr="00732837">
        <w:rPr>
          <w:rFonts w:ascii="Times New Roman" w:hAnsi="Times New Roman" w:cs="Times New Roman"/>
        </w:rPr>
        <w:t>Dimino</w:t>
      </w:r>
      <w:proofErr w:type="spellEnd"/>
      <w:r w:rsidRPr="00732837">
        <w:rPr>
          <w:rFonts w:ascii="Times New Roman" w:hAnsi="Times New Roman" w:cs="Times New Roman"/>
        </w:rPr>
        <w:t xml:space="preserve">, Sr., </w:t>
      </w:r>
      <w:r w:rsidRPr="00732837">
        <w:rPr>
          <w:rFonts w:ascii="Times New Roman" w:hAnsi="Times New Roman" w:cs="Times New Roman"/>
          <w:i/>
        </w:rPr>
        <w:t>It’s My Party and I’ll Do What I Want To: Political Parties, Unconstitutional Conditions, and the Freedom of Association</w:t>
      </w:r>
      <w:r w:rsidRPr="00732837">
        <w:rPr>
          <w:rFonts w:ascii="Times New Roman" w:hAnsi="Times New Roman" w:cs="Times New Roman"/>
        </w:rPr>
        <w:t>, 12 First. Amend. L. Rev. 65, 92 (2013).</w:t>
      </w:r>
    </w:p>
  </w:footnote>
  <w:footnote w:id="62">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e.g., </w:t>
      </w:r>
      <w:proofErr w:type="spellStart"/>
      <w:r w:rsidRPr="00732837">
        <w:rPr>
          <w:rFonts w:ascii="Times New Roman" w:hAnsi="Times New Roman" w:cs="Times New Roman"/>
        </w:rPr>
        <w:t>Persily</w:t>
      </w:r>
      <w:proofErr w:type="spellEnd"/>
      <w:r w:rsidRPr="00732837">
        <w:rPr>
          <w:rFonts w:ascii="Times New Roman" w:hAnsi="Times New Roman" w:cs="Times New Roman"/>
        </w:rPr>
        <w:t xml:space="preserve">, </w:t>
      </w:r>
      <w:r w:rsidRPr="00732837">
        <w:rPr>
          <w:rFonts w:ascii="Times New Roman" w:hAnsi="Times New Roman" w:cs="Times New Roman"/>
          <w:i/>
        </w:rPr>
        <w:t>supra</w:t>
      </w:r>
      <w:r w:rsidRPr="00732837">
        <w:rPr>
          <w:rFonts w:ascii="Times New Roman" w:hAnsi="Times New Roman" w:cs="Times New Roman"/>
        </w:rPr>
        <w:t xml:space="preserve"> note x, at 816 (“the First </w:t>
      </w:r>
      <w:proofErr w:type="spellStart"/>
      <w:r w:rsidRPr="00732837">
        <w:rPr>
          <w:rFonts w:ascii="Times New Roman" w:hAnsi="Times New Roman" w:cs="Times New Roman"/>
        </w:rPr>
        <w:t>Amednemtn</w:t>
      </w:r>
      <w:proofErr w:type="spellEnd"/>
      <w:r w:rsidRPr="00732837">
        <w:rPr>
          <w:rFonts w:ascii="Times New Roman" w:hAnsi="Times New Roman" w:cs="Times New Roman"/>
        </w:rPr>
        <w:t xml:space="preserve"> remains the most legitimate source for analogous principles of autonomy and association”). </w:t>
      </w:r>
    </w:p>
  </w:footnote>
  <w:footnote w:id="63">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Issacharoff, </w:t>
      </w:r>
      <w:r w:rsidRPr="00732837">
        <w:rPr>
          <w:rFonts w:ascii="Times New Roman" w:hAnsi="Times New Roman" w:cs="Times New Roman"/>
          <w:i/>
        </w:rPr>
        <w:t>supra</w:t>
      </w:r>
      <w:r w:rsidRPr="00732837">
        <w:rPr>
          <w:rFonts w:ascii="Times New Roman" w:hAnsi="Times New Roman" w:cs="Times New Roman"/>
        </w:rPr>
        <w:t xml:space="preserve"> note x, at 294.</w:t>
      </w:r>
    </w:p>
  </w:footnote>
  <w:footnote w:id="64">
    <w:p w:rsidR="00D65D75" w:rsidRPr="00732837" w:rsidRDefault="00D65D75" w:rsidP="000F6AF4">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generally </w:t>
      </w:r>
      <w:r w:rsidRPr="00732837">
        <w:rPr>
          <w:rFonts w:ascii="Times New Roman" w:hAnsi="Times New Roman"/>
          <w:smallCaps/>
        </w:rPr>
        <w:t xml:space="preserve">Alexander Bickel, The Least Dangerous </w:t>
      </w:r>
      <w:proofErr w:type="gramStart"/>
      <w:r w:rsidRPr="00732837">
        <w:rPr>
          <w:rFonts w:ascii="Times New Roman" w:hAnsi="Times New Roman"/>
          <w:smallCaps/>
        </w:rPr>
        <w:t>Branch</w:t>
      </w:r>
      <w:r w:rsidRPr="00732837">
        <w:rPr>
          <w:rFonts w:ascii="Times New Roman" w:hAnsi="Times New Roman"/>
        </w:rPr>
        <w:t>(</w:t>
      </w:r>
      <w:proofErr w:type="gramEnd"/>
      <w:r w:rsidRPr="00732837">
        <w:rPr>
          <w:rFonts w:ascii="Times New Roman" w:hAnsi="Times New Roman"/>
        </w:rPr>
        <w:t>1962)</w:t>
      </w:r>
    </w:p>
  </w:footnote>
  <w:footnote w:id="65">
    <w:p w:rsidR="00D65D75" w:rsidRPr="00732837" w:rsidRDefault="00D65D75" w:rsidP="0067494E">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Michael W. McConnell, </w:t>
      </w:r>
      <w:r w:rsidRPr="00732837">
        <w:rPr>
          <w:rFonts w:ascii="Times New Roman" w:hAnsi="Times New Roman" w:cs="Times New Roman"/>
          <w:i/>
        </w:rPr>
        <w:t>The Redistricting Cases: Original Mistakes and Current Consequences</w:t>
      </w:r>
      <w:r w:rsidRPr="00732837">
        <w:rPr>
          <w:rFonts w:ascii="Times New Roman" w:hAnsi="Times New Roman" w:cs="Times New Roman"/>
        </w:rPr>
        <w:t xml:space="preserve">, 24 </w:t>
      </w:r>
      <w:proofErr w:type="spellStart"/>
      <w:r w:rsidRPr="00732837">
        <w:rPr>
          <w:rFonts w:ascii="Times New Roman" w:hAnsi="Times New Roman" w:cs="Times New Roman"/>
        </w:rPr>
        <w:t>Harv</w:t>
      </w:r>
      <w:proofErr w:type="spellEnd"/>
      <w:r w:rsidRPr="00732837">
        <w:rPr>
          <w:rFonts w:ascii="Times New Roman" w:hAnsi="Times New Roman" w:cs="Times New Roman"/>
        </w:rPr>
        <w:t>. J.L.</w:t>
      </w:r>
    </w:p>
    <w:p w:rsidR="00D65D75" w:rsidRPr="00732837" w:rsidRDefault="00D65D75" w:rsidP="0067494E">
      <w:pPr>
        <w:pStyle w:val="FootnoteText"/>
        <w:rPr>
          <w:rFonts w:ascii="Times New Roman" w:hAnsi="Times New Roman" w:cs="Times New Roman"/>
        </w:rPr>
      </w:pPr>
      <w:r w:rsidRPr="00732837">
        <w:rPr>
          <w:rFonts w:ascii="Times New Roman" w:hAnsi="Times New Roman" w:cs="Times New Roman"/>
        </w:rPr>
        <w:t xml:space="preserve">&amp; Pub. </w:t>
      </w:r>
      <w:proofErr w:type="spellStart"/>
      <w:r w:rsidRPr="00732837">
        <w:rPr>
          <w:rFonts w:ascii="Times New Roman" w:hAnsi="Times New Roman" w:cs="Times New Roman"/>
        </w:rPr>
        <w:t>Pol’y</w:t>
      </w:r>
      <w:proofErr w:type="spellEnd"/>
      <w:r w:rsidRPr="00732837">
        <w:rPr>
          <w:rFonts w:ascii="Times New Roman" w:hAnsi="Times New Roman" w:cs="Times New Roman"/>
        </w:rPr>
        <w:t xml:space="preserve"> 103, 105–07 (2000)</w:t>
      </w:r>
    </w:p>
  </w:footnote>
  <w:footnote w:id="66">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e.g., Sanford </w:t>
      </w:r>
      <w:r w:rsidRPr="00732837">
        <w:rPr>
          <w:rFonts w:ascii="Times New Roman" w:hAnsi="Times New Roman"/>
        </w:rPr>
        <w:t xml:space="preserve">Levinson, </w:t>
      </w:r>
      <w:r w:rsidRPr="00732837">
        <w:rPr>
          <w:rFonts w:ascii="Times New Roman" w:hAnsi="Times New Roman"/>
          <w:i/>
        </w:rPr>
        <w:t>One Person, One Vote: Mantra in Search of a Meaning</w:t>
      </w:r>
      <w:r w:rsidRPr="00732837">
        <w:rPr>
          <w:rFonts w:ascii="Times New Roman" w:hAnsi="Times New Roman"/>
        </w:rPr>
        <w:t xml:space="preserve">, 80 N.C. L. Rev. 1269 (2002); Heather K.  </w:t>
      </w:r>
      <w:proofErr w:type="spellStart"/>
      <w:r w:rsidRPr="00732837">
        <w:rPr>
          <w:rFonts w:ascii="Times New Roman" w:hAnsi="Times New Roman"/>
        </w:rPr>
        <w:t>Gerken</w:t>
      </w:r>
      <w:proofErr w:type="spellEnd"/>
      <w:r w:rsidRPr="00732837">
        <w:rPr>
          <w:rFonts w:ascii="Times New Roman" w:hAnsi="Times New Roman"/>
        </w:rPr>
        <w:t xml:space="preserve">, </w:t>
      </w:r>
      <w:r w:rsidRPr="00732837">
        <w:rPr>
          <w:rFonts w:ascii="Times New Roman" w:hAnsi="Times New Roman"/>
          <w:i/>
        </w:rPr>
        <w:t>The Costs and Causes of Minimalism in Voting Cases</w:t>
      </w:r>
      <w:r w:rsidRPr="00732837">
        <w:rPr>
          <w:rFonts w:ascii="Times New Roman" w:hAnsi="Times New Roman"/>
        </w:rPr>
        <w:t xml:space="preserve">: Baker v. </w:t>
      </w:r>
      <w:proofErr w:type="spellStart"/>
      <w:r w:rsidRPr="00732837">
        <w:rPr>
          <w:rFonts w:ascii="Times New Roman" w:hAnsi="Times New Roman"/>
        </w:rPr>
        <w:t>Carr</w:t>
      </w:r>
      <w:proofErr w:type="spellEnd"/>
      <w:r w:rsidRPr="00732837">
        <w:rPr>
          <w:rFonts w:ascii="Times New Roman" w:hAnsi="Times New Roman"/>
        </w:rPr>
        <w:t xml:space="preserve"> </w:t>
      </w:r>
      <w:r w:rsidRPr="00732837">
        <w:rPr>
          <w:rFonts w:ascii="Times New Roman" w:hAnsi="Times New Roman"/>
          <w:i/>
        </w:rPr>
        <w:t>and its Progeny</w:t>
      </w:r>
      <w:r w:rsidRPr="00732837">
        <w:rPr>
          <w:rFonts w:ascii="Times New Roman" w:hAnsi="Times New Roman"/>
        </w:rPr>
        <w:t>, 80 N.C. L. Rev. 1411 (2002).</w:t>
      </w:r>
    </w:p>
  </w:footnote>
  <w:footnote w:id="67">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e.g., Richard H. </w:t>
      </w:r>
      <w:proofErr w:type="spellStart"/>
      <w:r w:rsidRPr="00732837">
        <w:rPr>
          <w:rFonts w:ascii="Times New Roman" w:hAnsi="Times New Roman" w:cs="Times New Roman"/>
        </w:rPr>
        <w:t>Pildes</w:t>
      </w:r>
      <w:proofErr w:type="spellEnd"/>
      <w:r w:rsidRPr="00732837">
        <w:rPr>
          <w:rFonts w:ascii="Times New Roman" w:hAnsi="Times New Roman" w:cs="Times New Roman"/>
        </w:rPr>
        <w:t xml:space="preserve">, </w:t>
      </w:r>
      <w:r w:rsidRPr="00732837">
        <w:rPr>
          <w:rFonts w:ascii="Times New Roman" w:hAnsi="Times New Roman" w:cs="Times New Roman"/>
          <w:i/>
        </w:rPr>
        <w:t xml:space="preserve">Is Voting Rights Law Now at War with Itself? Social Science and Voting Rights in the 2000s, </w:t>
      </w:r>
      <w:r w:rsidRPr="00732837">
        <w:rPr>
          <w:rFonts w:ascii="Times New Roman" w:hAnsi="Times New Roman" w:cs="Times New Roman"/>
        </w:rPr>
        <w:t xml:space="preserve">80 N.C. L. Rev. 1517 (2002). </w:t>
      </w:r>
    </w:p>
  </w:footnote>
  <w:footnote w:id="68">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Heather K. </w:t>
      </w:r>
      <w:proofErr w:type="spellStart"/>
      <w:r w:rsidRPr="00732837">
        <w:rPr>
          <w:rFonts w:ascii="Times New Roman" w:hAnsi="Times New Roman" w:cs="Times New Roman"/>
        </w:rPr>
        <w:t>Gerken</w:t>
      </w:r>
      <w:proofErr w:type="spellEnd"/>
      <w:r w:rsidRPr="00732837">
        <w:rPr>
          <w:rFonts w:ascii="Times New Roman" w:hAnsi="Times New Roman" w:cs="Times New Roman"/>
        </w:rPr>
        <w:t xml:space="preserve">, </w:t>
      </w:r>
      <w:r w:rsidRPr="00732837">
        <w:rPr>
          <w:rFonts w:ascii="Times New Roman" w:hAnsi="Times New Roman" w:cs="Times New Roman"/>
          <w:i/>
        </w:rPr>
        <w:t>Lost in the Political Thicket: The Court, Election Law, and the Doctrinal Interregnum</w:t>
      </w:r>
      <w:r w:rsidRPr="00732837">
        <w:rPr>
          <w:rFonts w:ascii="Times New Roman" w:hAnsi="Times New Roman" w:cs="Times New Roman"/>
        </w:rPr>
        <w:t>, 153 U. Pa. L. Rev. 503 (2004).</w:t>
      </w:r>
    </w:p>
  </w:footnote>
  <w:footnote w:id="69">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e.g., </w:t>
      </w:r>
      <w:r w:rsidRPr="00732837">
        <w:rPr>
          <w:rFonts w:ascii="Times New Roman" w:hAnsi="Times New Roman" w:cs="Times New Roman"/>
          <w:i/>
        </w:rPr>
        <w:t>Timmons</w:t>
      </w:r>
      <w:r w:rsidRPr="00732837">
        <w:rPr>
          <w:rFonts w:ascii="Times New Roman" w:hAnsi="Times New Roman" w:cs="Times New Roman"/>
        </w:rPr>
        <w:t xml:space="preserve">, 520 U.S. at 367; </w:t>
      </w:r>
      <w:r w:rsidRPr="00732837">
        <w:rPr>
          <w:rFonts w:ascii="Times New Roman" w:hAnsi="Times New Roman" w:cs="Times New Roman"/>
          <w:i/>
        </w:rPr>
        <w:t>Clingman</w:t>
      </w:r>
      <w:r w:rsidRPr="00732837">
        <w:rPr>
          <w:rFonts w:ascii="Times New Roman" w:hAnsi="Times New Roman" w:cs="Times New Roman"/>
        </w:rPr>
        <w:t>, 544 U.S. at 596.</w:t>
      </w:r>
    </w:p>
  </w:footnote>
  <w:footnote w:id="70">
    <w:p w:rsidR="00D65D75" w:rsidRPr="00732837" w:rsidRDefault="00D65D75">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See Dworkin, </w:t>
      </w:r>
      <w:r w:rsidRPr="00732837">
        <w:rPr>
          <w:rFonts w:ascii="Times New Roman" w:hAnsi="Times New Roman" w:cs="Times New Roman"/>
          <w:i/>
        </w:rPr>
        <w:t>supra</w:t>
      </w:r>
      <w:r w:rsidRPr="00732837">
        <w:rPr>
          <w:rFonts w:ascii="Times New Roman" w:hAnsi="Times New Roman" w:cs="Times New Roman"/>
        </w:rPr>
        <w:t xml:space="preserve"> note x. For a discussion of the types of weighing that equality of political access and associational rights might bring into conflict, see John D. </w:t>
      </w:r>
      <w:proofErr w:type="spellStart"/>
      <w:r w:rsidRPr="00732837">
        <w:rPr>
          <w:rFonts w:ascii="Times New Roman" w:hAnsi="Times New Roman" w:cs="Times New Roman"/>
        </w:rPr>
        <w:t>Inazu</w:t>
      </w:r>
      <w:proofErr w:type="spellEnd"/>
      <w:r w:rsidRPr="00732837">
        <w:rPr>
          <w:rFonts w:ascii="Times New Roman" w:hAnsi="Times New Roman" w:cs="Times New Roman"/>
        </w:rPr>
        <w:t xml:space="preserve">, </w:t>
      </w:r>
      <w:r w:rsidRPr="00732837">
        <w:rPr>
          <w:rFonts w:ascii="Times New Roman" w:hAnsi="Times New Roman" w:cs="Times New Roman"/>
          <w:i/>
        </w:rPr>
        <w:t>The Unsettling “Well-settled Law of Freedom of Association</w:t>
      </w:r>
      <w:r w:rsidRPr="00732837">
        <w:rPr>
          <w:rFonts w:ascii="Times New Roman" w:hAnsi="Times New Roman" w:cs="Times New Roman"/>
        </w:rPr>
        <w:t>, 43 Conn. L. Rev. 149, 153 (2010); though the White Primaries cases might bound how effectively at least major parties would be able to engage in discriminatory association.</w:t>
      </w:r>
    </w:p>
  </w:footnote>
  <w:footnote w:id="71">
    <w:p w:rsidR="00D65D75" w:rsidRPr="00732837" w:rsidRDefault="00D65D75" w:rsidP="00FD739E">
      <w:pPr>
        <w:pStyle w:val="FootnoteText"/>
        <w:rPr>
          <w:rFonts w:ascii="Times New Roman" w:hAnsi="Times New Roman" w:cs="Times New Roman"/>
        </w:rPr>
      </w:pPr>
      <w:r w:rsidRPr="00732837">
        <w:rPr>
          <w:rStyle w:val="FootnoteReference"/>
          <w:rFonts w:ascii="Times New Roman" w:hAnsi="Times New Roman" w:cs="Times New Roman"/>
        </w:rPr>
        <w:footnoteRef/>
      </w:r>
      <w:r w:rsidRPr="00732837">
        <w:rPr>
          <w:rFonts w:ascii="Times New Roman" w:hAnsi="Times New Roman" w:cs="Times New Roman"/>
        </w:rPr>
        <w:t xml:space="preserve"> 530 U.S. at 583.</w:t>
      </w:r>
    </w:p>
  </w:footnote>
  <w:footnote w:id="72">
    <w:p w:rsidR="00D65D75" w:rsidRPr="00732837" w:rsidRDefault="00D65D75">
      <w:pPr>
        <w:pStyle w:val="FootnoteText"/>
        <w:rPr>
          <w:rFonts w:ascii="Times New Roman" w:hAnsi="Times New Roman"/>
        </w:rPr>
      </w:pPr>
      <w:r w:rsidRPr="00732837">
        <w:rPr>
          <w:rStyle w:val="FootnoteReference"/>
          <w:rFonts w:ascii="Times New Roman" w:hAnsi="Times New Roman"/>
        </w:rPr>
        <w:footnoteRef/>
      </w:r>
      <w:r w:rsidRPr="00732837">
        <w:rPr>
          <w:rFonts w:ascii="Times New Roman" w:hAnsi="Times New Roman"/>
        </w:rPr>
        <w:t xml:space="preserve"> Samuel Issacharoff &amp; Richard H. </w:t>
      </w:r>
      <w:proofErr w:type="spellStart"/>
      <w:r w:rsidRPr="00732837">
        <w:rPr>
          <w:rFonts w:ascii="Times New Roman" w:hAnsi="Times New Roman"/>
        </w:rPr>
        <w:t>Pildes</w:t>
      </w:r>
      <w:proofErr w:type="spellEnd"/>
      <w:r w:rsidRPr="00732837">
        <w:rPr>
          <w:rFonts w:ascii="Times New Roman" w:hAnsi="Times New Roman"/>
        </w:rPr>
        <w:t xml:space="preserve">, </w:t>
      </w:r>
      <w:r w:rsidRPr="00732837">
        <w:rPr>
          <w:rFonts w:ascii="Times New Roman" w:hAnsi="Times New Roman"/>
          <w:i/>
        </w:rPr>
        <w:t>Law and the Political Process: Politics as Markets: Partisan Lockups of Democratic Process</w:t>
      </w:r>
      <w:r w:rsidRPr="00732837">
        <w:rPr>
          <w:rFonts w:ascii="Times New Roman" w:hAnsi="Times New Roman"/>
        </w:rPr>
        <w:t>, 50 Stan. L. Rev. 643, 681 (1998) (arguing that Courts should uniquely develop a theory of ‘partisan political competition’).</w:t>
      </w:r>
    </w:p>
  </w:footnote>
  <w:footnote w:id="73">
    <w:p w:rsidR="00D65D75" w:rsidRPr="00732837" w:rsidRDefault="00D65D75" w:rsidP="00EE57D5">
      <w:pPr>
        <w:pStyle w:val="FootnoteText"/>
        <w:rPr>
          <w:rFonts w:ascii="Times New Roman" w:hAnsi="Times New Roman"/>
        </w:rPr>
      </w:pPr>
      <w:r w:rsidRPr="00732837">
        <w:rPr>
          <w:rStyle w:val="FootnoteReference"/>
          <w:rFonts w:ascii="Times New Roman" w:hAnsi="Times New Roman"/>
        </w:rPr>
        <w:footnoteRef/>
      </w:r>
      <w:r w:rsidRPr="00732837">
        <w:rPr>
          <w:rFonts w:ascii="Times New Roman" w:hAnsi="Times New Roman"/>
        </w:rPr>
        <w:t xml:space="preserve"> Samuel Issacharoff, </w:t>
      </w:r>
      <w:r w:rsidRPr="00732837">
        <w:rPr>
          <w:rFonts w:ascii="Times New Roman" w:hAnsi="Times New Roman"/>
          <w:i/>
        </w:rPr>
        <w:t>Outsourcing Politics: The Hostile Takeover of Our Hollowed-Out Political Parties</w:t>
      </w:r>
      <w:r w:rsidRPr="00732837">
        <w:rPr>
          <w:rFonts w:ascii="Times New Roman" w:hAnsi="Times New Roman"/>
        </w:rPr>
        <w:t xml:space="preserve">, 54 </w:t>
      </w:r>
      <w:proofErr w:type="spellStart"/>
      <w:r w:rsidRPr="00732837">
        <w:rPr>
          <w:rFonts w:ascii="Times New Roman" w:hAnsi="Times New Roman"/>
        </w:rPr>
        <w:t>Hous</w:t>
      </w:r>
      <w:proofErr w:type="spellEnd"/>
      <w:r w:rsidRPr="00732837">
        <w:rPr>
          <w:rFonts w:ascii="Times New Roman" w:hAnsi="Times New Roman"/>
        </w:rPr>
        <w:t>. L. Rev. 845 (2017).</w:t>
      </w:r>
    </w:p>
  </w:footnote>
  <w:footnote w:id="74">
    <w:p w:rsidR="00D65D75" w:rsidRPr="00732837" w:rsidRDefault="00D65D75">
      <w:pPr>
        <w:pStyle w:val="FootnoteText"/>
        <w:rPr>
          <w:rFonts w:ascii="Times New Roman" w:hAnsi="Times New Roman"/>
        </w:rPr>
      </w:pPr>
      <w:r w:rsidRPr="00732837">
        <w:rPr>
          <w:rStyle w:val="FootnoteReference"/>
          <w:rFonts w:ascii="Times New Roman" w:hAnsi="Times New Roman"/>
        </w:rPr>
        <w:footnoteRef/>
      </w:r>
      <w:r w:rsidRPr="00732837">
        <w:rPr>
          <w:rFonts w:ascii="Times New Roman" w:hAnsi="Times New Roman"/>
        </w:rPr>
        <w:t xml:space="preserve"> For some examples of how equality can be a battleground, see, e.g., Reva B. Siegal, </w:t>
      </w:r>
      <w:r w:rsidRPr="00732837">
        <w:rPr>
          <w:rFonts w:ascii="Times New Roman" w:hAnsi="Times New Roman"/>
          <w:i/>
        </w:rPr>
        <w:t>Equality Divided</w:t>
      </w:r>
      <w:r w:rsidRPr="00732837">
        <w:rPr>
          <w:rFonts w:ascii="Times New Roman" w:hAnsi="Times New Roman"/>
        </w:rPr>
        <w:t xml:space="preserve">, 127 </w:t>
      </w:r>
      <w:proofErr w:type="spellStart"/>
      <w:r w:rsidRPr="00732837">
        <w:rPr>
          <w:rFonts w:ascii="Times New Roman" w:hAnsi="Times New Roman"/>
        </w:rPr>
        <w:t>Harv</w:t>
      </w:r>
      <w:proofErr w:type="spellEnd"/>
      <w:r w:rsidRPr="00732837">
        <w:rPr>
          <w:rFonts w:ascii="Times New Roman" w:hAnsi="Times New Roman"/>
        </w:rPr>
        <w:t xml:space="preserve">. L. Rev. 1, 4 (2013); Cass R. Sunstein, </w:t>
      </w:r>
      <w:r w:rsidRPr="00732837">
        <w:rPr>
          <w:rFonts w:ascii="Times New Roman" w:hAnsi="Times New Roman"/>
          <w:i/>
        </w:rPr>
        <w:t>Political Equality and Unintended Consequences</w:t>
      </w:r>
      <w:r w:rsidRPr="00732837">
        <w:rPr>
          <w:rFonts w:ascii="Times New Roman" w:hAnsi="Times New Roman"/>
        </w:rPr>
        <w:t>, 94 Colum. L. Rev. 1390, 1392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609249"/>
      <w:docPartObj>
        <w:docPartGallery w:val="Page Numbers (Top of Page)"/>
        <w:docPartUnique/>
      </w:docPartObj>
    </w:sdtPr>
    <w:sdtEndPr>
      <w:rPr>
        <w:noProof/>
      </w:rPr>
    </w:sdtEndPr>
    <w:sdtContent>
      <w:p w:rsidR="00D65D75" w:rsidRDefault="00D65D7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D65D75" w:rsidRDefault="00D65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0C55"/>
    <w:multiLevelType w:val="hybridMultilevel"/>
    <w:tmpl w:val="87C895D4"/>
    <w:lvl w:ilvl="0" w:tplc="E90E56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3D32D2"/>
    <w:multiLevelType w:val="hybridMultilevel"/>
    <w:tmpl w:val="C3EA8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98"/>
    <w:rsid w:val="0000199B"/>
    <w:rsid w:val="00001D23"/>
    <w:rsid w:val="00007778"/>
    <w:rsid w:val="000163B2"/>
    <w:rsid w:val="00017805"/>
    <w:rsid w:val="00040AF8"/>
    <w:rsid w:val="00042E6C"/>
    <w:rsid w:val="00044755"/>
    <w:rsid w:val="000530A6"/>
    <w:rsid w:val="00056862"/>
    <w:rsid w:val="000625D2"/>
    <w:rsid w:val="0006629F"/>
    <w:rsid w:val="00067B99"/>
    <w:rsid w:val="00071539"/>
    <w:rsid w:val="00072E58"/>
    <w:rsid w:val="00075248"/>
    <w:rsid w:val="000766BF"/>
    <w:rsid w:val="00087864"/>
    <w:rsid w:val="00091FC1"/>
    <w:rsid w:val="000934DF"/>
    <w:rsid w:val="00095931"/>
    <w:rsid w:val="000966CE"/>
    <w:rsid w:val="00097432"/>
    <w:rsid w:val="000A1F69"/>
    <w:rsid w:val="000B2197"/>
    <w:rsid w:val="000B420B"/>
    <w:rsid w:val="000B6243"/>
    <w:rsid w:val="000B710B"/>
    <w:rsid w:val="000E0B94"/>
    <w:rsid w:val="000E18FD"/>
    <w:rsid w:val="000E2E4A"/>
    <w:rsid w:val="000E7D13"/>
    <w:rsid w:val="000F5914"/>
    <w:rsid w:val="000F6AF4"/>
    <w:rsid w:val="001168CB"/>
    <w:rsid w:val="00120334"/>
    <w:rsid w:val="00123164"/>
    <w:rsid w:val="001239A6"/>
    <w:rsid w:val="0012454D"/>
    <w:rsid w:val="001263AA"/>
    <w:rsid w:val="001268FB"/>
    <w:rsid w:val="00126CB5"/>
    <w:rsid w:val="00127493"/>
    <w:rsid w:val="001347FA"/>
    <w:rsid w:val="0014584D"/>
    <w:rsid w:val="0015099B"/>
    <w:rsid w:val="00152327"/>
    <w:rsid w:val="00152AFF"/>
    <w:rsid w:val="001539B3"/>
    <w:rsid w:val="00156DEF"/>
    <w:rsid w:val="00164F86"/>
    <w:rsid w:val="001657F4"/>
    <w:rsid w:val="00165A6E"/>
    <w:rsid w:val="00167724"/>
    <w:rsid w:val="0017121F"/>
    <w:rsid w:val="001725FD"/>
    <w:rsid w:val="00176364"/>
    <w:rsid w:val="001806AC"/>
    <w:rsid w:val="001840D2"/>
    <w:rsid w:val="00184ED1"/>
    <w:rsid w:val="001B17D8"/>
    <w:rsid w:val="001B486C"/>
    <w:rsid w:val="001B7199"/>
    <w:rsid w:val="001C1380"/>
    <w:rsid w:val="001C3F3E"/>
    <w:rsid w:val="001C605E"/>
    <w:rsid w:val="001C7DCB"/>
    <w:rsid w:val="001D0C1C"/>
    <w:rsid w:val="001D176D"/>
    <w:rsid w:val="001D51B5"/>
    <w:rsid w:val="001E2EDE"/>
    <w:rsid w:val="001E73E6"/>
    <w:rsid w:val="001F4C58"/>
    <w:rsid w:val="001F6B18"/>
    <w:rsid w:val="001F7019"/>
    <w:rsid w:val="00203F0F"/>
    <w:rsid w:val="0020638D"/>
    <w:rsid w:val="002159E0"/>
    <w:rsid w:val="00215EDB"/>
    <w:rsid w:val="0022099F"/>
    <w:rsid w:val="002214B9"/>
    <w:rsid w:val="002264B9"/>
    <w:rsid w:val="00227778"/>
    <w:rsid w:val="00230B76"/>
    <w:rsid w:val="00230CC7"/>
    <w:rsid w:val="00231212"/>
    <w:rsid w:val="00231CA2"/>
    <w:rsid w:val="00234804"/>
    <w:rsid w:val="00237C59"/>
    <w:rsid w:val="00241DEE"/>
    <w:rsid w:val="002502DF"/>
    <w:rsid w:val="00256A7E"/>
    <w:rsid w:val="00262320"/>
    <w:rsid w:val="00265B64"/>
    <w:rsid w:val="00265DD7"/>
    <w:rsid w:val="00265F32"/>
    <w:rsid w:val="0027199C"/>
    <w:rsid w:val="00273349"/>
    <w:rsid w:val="002745BB"/>
    <w:rsid w:val="002811EB"/>
    <w:rsid w:val="002846F5"/>
    <w:rsid w:val="00285BD1"/>
    <w:rsid w:val="0029018C"/>
    <w:rsid w:val="00294393"/>
    <w:rsid w:val="00296669"/>
    <w:rsid w:val="002A745F"/>
    <w:rsid w:val="002B0257"/>
    <w:rsid w:val="002B6D36"/>
    <w:rsid w:val="002B7C97"/>
    <w:rsid w:val="002C1424"/>
    <w:rsid w:val="002C1866"/>
    <w:rsid w:val="002C5441"/>
    <w:rsid w:val="002D4888"/>
    <w:rsid w:val="002D5924"/>
    <w:rsid w:val="002D787A"/>
    <w:rsid w:val="002F0F78"/>
    <w:rsid w:val="002F1DF7"/>
    <w:rsid w:val="002F5631"/>
    <w:rsid w:val="002F77E0"/>
    <w:rsid w:val="00301255"/>
    <w:rsid w:val="0030781E"/>
    <w:rsid w:val="003102AA"/>
    <w:rsid w:val="0031539A"/>
    <w:rsid w:val="003228AA"/>
    <w:rsid w:val="00324C97"/>
    <w:rsid w:val="0032775D"/>
    <w:rsid w:val="00333231"/>
    <w:rsid w:val="00335D4C"/>
    <w:rsid w:val="003514E1"/>
    <w:rsid w:val="00354A6C"/>
    <w:rsid w:val="00360CB3"/>
    <w:rsid w:val="0036172D"/>
    <w:rsid w:val="00363A46"/>
    <w:rsid w:val="00363C86"/>
    <w:rsid w:val="00363D30"/>
    <w:rsid w:val="00373296"/>
    <w:rsid w:val="00375C71"/>
    <w:rsid w:val="00382594"/>
    <w:rsid w:val="00393FE0"/>
    <w:rsid w:val="003A2970"/>
    <w:rsid w:val="003A3219"/>
    <w:rsid w:val="003A7FD2"/>
    <w:rsid w:val="003B3521"/>
    <w:rsid w:val="003B5E03"/>
    <w:rsid w:val="003C049F"/>
    <w:rsid w:val="003C7801"/>
    <w:rsid w:val="003D60B9"/>
    <w:rsid w:val="003E15F5"/>
    <w:rsid w:val="003E5D11"/>
    <w:rsid w:val="003F096F"/>
    <w:rsid w:val="003F3AEE"/>
    <w:rsid w:val="0040121C"/>
    <w:rsid w:val="0040189C"/>
    <w:rsid w:val="004024C7"/>
    <w:rsid w:val="0040415A"/>
    <w:rsid w:val="004076E7"/>
    <w:rsid w:val="00407B71"/>
    <w:rsid w:val="00422CA1"/>
    <w:rsid w:val="0042405F"/>
    <w:rsid w:val="00425192"/>
    <w:rsid w:val="00432471"/>
    <w:rsid w:val="00436614"/>
    <w:rsid w:val="00437EEC"/>
    <w:rsid w:val="004417B7"/>
    <w:rsid w:val="00441F60"/>
    <w:rsid w:val="00442D64"/>
    <w:rsid w:val="00447ADF"/>
    <w:rsid w:val="00447FA2"/>
    <w:rsid w:val="0045365E"/>
    <w:rsid w:val="00467448"/>
    <w:rsid w:val="00474E3E"/>
    <w:rsid w:val="00475D31"/>
    <w:rsid w:val="00483326"/>
    <w:rsid w:val="00485D29"/>
    <w:rsid w:val="00490BA3"/>
    <w:rsid w:val="00490C20"/>
    <w:rsid w:val="00492381"/>
    <w:rsid w:val="00495D3E"/>
    <w:rsid w:val="004976FD"/>
    <w:rsid w:val="0049774C"/>
    <w:rsid w:val="004A529B"/>
    <w:rsid w:val="004A687A"/>
    <w:rsid w:val="004A7F98"/>
    <w:rsid w:val="004B0740"/>
    <w:rsid w:val="004B0F64"/>
    <w:rsid w:val="004B42E6"/>
    <w:rsid w:val="004B7739"/>
    <w:rsid w:val="004C2E96"/>
    <w:rsid w:val="004D2E55"/>
    <w:rsid w:val="004D61D8"/>
    <w:rsid w:val="004D73DE"/>
    <w:rsid w:val="004E4A1B"/>
    <w:rsid w:val="004E5635"/>
    <w:rsid w:val="004F5D2E"/>
    <w:rsid w:val="004F6008"/>
    <w:rsid w:val="00503C5D"/>
    <w:rsid w:val="00503D71"/>
    <w:rsid w:val="00511C13"/>
    <w:rsid w:val="00513679"/>
    <w:rsid w:val="00516DA4"/>
    <w:rsid w:val="00523104"/>
    <w:rsid w:val="0053756F"/>
    <w:rsid w:val="00537958"/>
    <w:rsid w:val="005402B0"/>
    <w:rsid w:val="005421BD"/>
    <w:rsid w:val="0055204C"/>
    <w:rsid w:val="00554E8B"/>
    <w:rsid w:val="00557AE6"/>
    <w:rsid w:val="00564956"/>
    <w:rsid w:val="00565FCA"/>
    <w:rsid w:val="0057161D"/>
    <w:rsid w:val="00571B3B"/>
    <w:rsid w:val="00575E2F"/>
    <w:rsid w:val="00586C49"/>
    <w:rsid w:val="005A2E10"/>
    <w:rsid w:val="005A369D"/>
    <w:rsid w:val="005A6F19"/>
    <w:rsid w:val="005A7EDB"/>
    <w:rsid w:val="005B5A6E"/>
    <w:rsid w:val="005C0C9F"/>
    <w:rsid w:val="005C2324"/>
    <w:rsid w:val="005C619D"/>
    <w:rsid w:val="005C7396"/>
    <w:rsid w:val="005D178E"/>
    <w:rsid w:val="005D429B"/>
    <w:rsid w:val="005D651B"/>
    <w:rsid w:val="005E19B2"/>
    <w:rsid w:val="005E24B0"/>
    <w:rsid w:val="005E7B49"/>
    <w:rsid w:val="005E7B74"/>
    <w:rsid w:val="005F0770"/>
    <w:rsid w:val="005F4B25"/>
    <w:rsid w:val="005F6DEF"/>
    <w:rsid w:val="005F79C2"/>
    <w:rsid w:val="00601F9A"/>
    <w:rsid w:val="00605382"/>
    <w:rsid w:val="00605834"/>
    <w:rsid w:val="006075E1"/>
    <w:rsid w:val="006107DB"/>
    <w:rsid w:val="00617952"/>
    <w:rsid w:val="00624A37"/>
    <w:rsid w:val="006325D5"/>
    <w:rsid w:val="00634B9D"/>
    <w:rsid w:val="00636345"/>
    <w:rsid w:val="00637972"/>
    <w:rsid w:val="006414D1"/>
    <w:rsid w:val="00644E73"/>
    <w:rsid w:val="00652759"/>
    <w:rsid w:val="0065761B"/>
    <w:rsid w:val="00657A2F"/>
    <w:rsid w:val="00660A5E"/>
    <w:rsid w:val="0066553E"/>
    <w:rsid w:val="00670A82"/>
    <w:rsid w:val="0067391F"/>
    <w:rsid w:val="00673B38"/>
    <w:rsid w:val="00673F5F"/>
    <w:rsid w:val="0067494E"/>
    <w:rsid w:val="0067581D"/>
    <w:rsid w:val="0067794C"/>
    <w:rsid w:val="006803BA"/>
    <w:rsid w:val="00680459"/>
    <w:rsid w:val="00686595"/>
    <w:rsid w:val="00686F12"/>
    <w:rsid w:val="0069546C"/>
    <w:rsid w:val="006979F1"/>
    <w:rsid w:val="006A0138"/>
    <w:rsid w:val="006A0A29"/>
    <w:rsid w:val="006B1348"/>
    <w:rsid w:val="006B39A5"/>
    <w:rsid w:val="006B4107"/>
    <w:rsid w:val="006B4CE9"/>
    <w:rsid w:val="006B5646"/>
    <w:rsid w:val="006C0A0B"/>
    <w:rsid w:val="006C6167"/>
    <w:rsid w:val="006D1AB7"/>
    <w:rsid w:val="006D22FF"/>
    <w:rsid w:val="006D696B"/>
    <w:rsid w:val="006E2F45"/>
    <w:rsid w:val="006E2F9A"/>
    <w:rsid w:val="006E7BE6"/>
    <w:rsid w:val="006F32A3"/>
    <w:rsid w:val="006F3A2C"/>
    <w:rsid w:val="007021D5"/>
    <w:rsid w:val="00702467"/>
    <w:rsid w:val="007037E1"/>
    <w:rsid w:val="00705F13"/>
    <w:rsid w:val="00713697"/>
    <w:rsid w:val="00714512"/>
    <w:rsid w:val="00724E77"/>
    <w:rsid w:val="0072504F"/>
    <w:rsid w:val="00732837"/>
    <w:rsid w:val="00732EDA"/>
    <w:rsid w:val="00735AD7"/>
    <w:rsid w:val="007375FD"/>
    <w:rsid w:val="00737849"/>
    <w:rsid w:val="00744262"/>
    <w:rsid w:val="00745DC9"/>
    <w:rsid w:val="007619A2"/>
    <w:rsid w:val="007624B0"/>
    <w:rsid w:val="007656CB"/>
    <w:rsid w:val="00765D41"/>
    <w:rsid w:val="0077325F"/>
    <w:rsid w:val="0077463C"/>
    <w:rsid w:val="00774683"/>
    <w:rsid w:val="00780EA7"/>
    <w:rsid w:val="007843E0"/>
    <w:rsid w:val="00786588"/>
    <w:rsid w:val="00791ADD"/>
    <w:rsid w:val="0079413F"/>
    <w:rsid w:val="00796DCA"/>
    <w:rsid w:val="007A0D71"/>
    <w:rsid w:val="007A1629"/>
    <w:rsid w:val="007A359D"/>
    <w:rsid w:val="007A3AFE"/>
    <w:rsid w:val="007A73DF"/>
    <w:rsid w:val="007A796A"/>
    <w:rsid w:val="007B10FA"/>
    <w:rsid w:val="007B5FA9"/>
    <w:rsid w:val="007C18D1"/>
    <w:rsid w:val="007C2118"/>
    <w:rsid w:val="007D75E5"/>
    <w:rsid w:val="007E14E2"/>
    <w:rsid w:val="007E5113"/>
    <w:rsid w:val="007E57FE"/>
    <w:rsid w:val="00800974"/>
    <w:rsid w:val="00803956"/>
    <w:rsid w:val="00804BF2"/>
    <w:rsid w:val="00806B08"/>
    <w:rsid w:val="00811DB2"/>
    <w:rsid w:val="00812B55"/>
    <w:rsid w:val="00815878"/>
    <w:rsid w:val="0082314B"/>
    <w:rsid w:val="0082532B"/>
    <w:rsid w:val="00830FAD"/>
    <w:rsid w:val="008311A3"/>
    <w:rsid w:val="00831C8D"/>
    <w:rsid w:val="00832C30"/>
    <w:rsid w:val="00837D31"/>
    <w:rsid w:val="00851E95"/>
    <w:rsid w:val="00860CE4"/>
    <w:rsid w:val="00865450"/>
    <w:rsid w:val="00870BB6"/>
    <w:rsid w:val="00871752"/>
    <w:rsid w:val="00873EFE"/>
    <w:rsid w:val="008813B1"/>
    <w:rsid w:val="008828E5"/>
    <w:rsid w:val="00884352"/>
    <w:rsid w:val="00887AFE"/>
    <w:rsid w:val="00890AC4"/>
    <w:rsid w:val="00895ED2"/>
    <w:rsid w:val="00897841"/>
    <w:rsid w:val="008A4503"/>
    <w:rsid w:val="008A691C"/>
    <w:rsid w:val="008B0171"/>
    <w:rsid w:val="008B6ADD"/>
    <w:rsid w:val="008C1DA6"/>
    <w:rsid w:val="008C3FA8"/>
    <w:rsid w:val="008D5172"/>
    <w:rsid w:val="008D51F0"/>
    <w:rsid w:val="008F16D4"/>
    <w:rsid w:val="00906BEC"/>
    <w:rsid w:val="00907287"/>
    <w:rsid w:val="009158B0"/>
    <w:rsid w:val="00920C9D"/>
    <w:rsid w:val="00931ED2"/>
    <w:rsid w:val="009377B2"/>
    <w:rsid w:val="0094027C"/>
    <w:rsid w:val="00940BC2"/>
    <w:rsid w:val="0094445A"/>
    <w:rsid w:val="0095039A"/>
    <w:rsid w:val="009645B5"/>
    <w:rsid w:val="00971AC0"/>
    <w:rsid w:val="009755ED"/>
    <w:rsid w:val="009757D6"/>
    <w:rsid w:val="00975CE2"/>
    <w:rsid w:val="009806F2"/>
    <w:rsid w:val="00995D33"/>
    <w:rsid w:val="009A2429"/>
    <w:rsid w:val="009A5434"/>
    <w:rsid w:val="009A6112"/>
    <w:rsid w:val="009B1078"/>
    <w:rsid w:val="009B223D"/>
    <w:rsid w:val="009B28F1"/>
    <w:rsid w:val="009B31D7"/>
    <w:rsid w:val="009B5739"/>
    <w:rsid w:val="009C0D92"/>
    <w:rsid w:val="009D0D4F"/>
    <w:rsid w:val="009D2A9F"/>
    <w:rsid w:val="009D5316"/>
    <w:rsid w:val="009D5698"/>
    <w:rsid w:val="009D5F30"/>
    <w:rsid w:val="009E04B6"/>
    <w:rsid w:val="009E1C23"/>
    <w:rsid w:val="009E2249"/>
    <w:rsid w:val="009E3298"/>
    <w:rsid w:val="009F171E"/>
    <w:rsid w:val="009F668E"/>
    <w:rsid w:val="00A02FD9"/>
    <w:rsid w:val="00A03871"/>
    <w:rsid w:val="00A105B2"/>
    <w:rsid w:val="00A108C4"/>
    <w:rsid w:val="00A10D26"/>
    <w:rsid w:val="00A17D17"/>
    <w:rsid w:val="00A25DD3"/>
    <w:rsid w:val="00A30C7B"/>
    <w:rsid w:val="00A31827"/>
    <w:rsid w:val="00A36707"/>
    <w:rsid w:val="00A41AC9"/>
    <w:rsid w:val="00A43040"/>
    <w:rsid w:val="00A44F40"/>
    <w:rsid w:val="00A462BA"/>
    <w:rsid w:val="00A508E9"/>
    <w:rsid w:val="00A612F1"/>
    <w:rsid w:val="00A62D62"/>
    <w:rsid w:val="00A6402C"/>
    <w:rsid w:val="00A64861"/>
    <w:rsid w:val="00A650DE"/>
    <w:rsid w:val="00A6691D"/>
    <w:rsid w:val="00A70283"/>
    <w:rsid w:val="00A70AF1"/>
    <w:rsid w:val="00A72DBE"/>
    <w:rsid w:val="00A73E02"/>
    <w:rsid w:val="00A73E67"/>
    <w:rsid w:val="00A7570F"/>
    <w:rsid w:val="00A75D7C"/>
    <w:rsid w:val="00A81772"/>
    <w:rsid w:val="00A8235B"/>
    <w:rsid w:val="00A833FE"/>
    <w:rsid w:val="00A853F5"/>
    <w:rsid w:val="00A86751"/>
    <w:rsid w:val="00A922E8"/>
    <w:rsid w:val="00A92F5D"/>
    <w:rsid w:val="00AA405C"/>
    <w:rsid w:val="00AA71AA"/>
    <w:rsid w:val="00AB29A7"/>
    <w:rsid w:val="00AB3D0F"/>
    <w:rsid w:val="00AB46FA"/>
    <w:rsid w:val="00AC0344"/>
    <w:rsid w:val="00AD1A80"/>
    <w:rsid w:val="00AD2BB8"/>
    <w:rsid w:val="00AD3022"/>
    <w:rsid w:val="00AD30E1"/>
    <w:rsid w:val="00AD7588"/>
    <w:rsid w:val="00AD7C98"/>
    <w:rsid w:val="00AE1ED6"/>
    <w:rsid w:val="00AF20D9"/>
    <w:rsid w:val="00AF3934"/>
    <w:rsid w:val="00AF76AA"/>
    <w:rsid w:val="00B0029B"/>
    <w:rsid w:val="00B0694C"/>
    <w:rsid w:val="00B14DE2"/>
    <w:rsid w:val="00B16558"/>
    <w:rsid w:val="00B165AB"/>
    <w:rsid w:val="00B22FF7"/>
    <w:rsid w:val="00B2331E"/>
    <w:rsid w:val="00B234C1"/>
    <w:rsid w:val="00B3159D"/>
    <w:rsid w:val="00B31A16"/>
    <w:rsid w:val="00B35F30"/>
    <w:rsid w:val="00B36E85"/>
    <w:rsid w:val="00B3721C"/>
    <w:rsid w:val="00B41009"/>
    <w:rsid w:val="00B42C55"/>
    <w:rsid w:val="00B4519A"/>
    <w:rsid w:val="00B46F1F"/>
    <w:rsid w:val="00B474C7"/>
    <w:rsid w:val="00B555F5"/>
    <w:rsid w:val="00B61281"/>
    <w:rsid w:val="00B62308"/>
    <w:rsid w:val="00B63B44"/>
    <w:rsid w:val="00B677E2"/>
    <w:rsid w:val="00B70070"/>
    <w:rsid w:val="00B70428"/>
    <w:rsid w:val="00B73D47"/>
    <w:rsid w:val="00B750D1"/>
    <w:rsid w:val="00B81D5F"/>
    <w:rsid w:val="00B827AC"/>
    <w:rsid w:val="00B849C0"/>
    <w:rsid w:val="00B87CF1"/>
    <w:rsid w:val="00B94E8E"/>
    <w:rsid w:val="00BA17E4"/>
    <w:rsid w:val="00BA239B"/>
    <w:rsid w:val="00BA50B7"/>
    <w:rsid w:val="00BA673D"/>
    <w:rsid w:val="00BA6CBE"/>
    <w:rsid w:val="00BA7183"/>
    <w:rsid w:val="00BA729B"/>
    <w:rsid w:val="00BB1633"/>
    <w:rsid w:val="00BB5B33"/>
    <w:rsid w:val="00BB7095"/>
    <w:rsid w:val="00BC03EC"/>
    <w:rsid w:val="00BC4654"/>
    <w:rsid w:val="00BD0CC5"/>
    <w:rsid w:val="00BD49F5"/>
    <w:rsid w:val="00BD65C4"/>
    <w:rsid w:val="00BD6B12"/>
    <w:rsid w:val="00BE463A"/>
    <w:rsid w:val="00BE5C52"/>
    <w:rsid w:val="00BE7633"/>
    <w:rsid w:val="00BF10C2"/>
    <w:rsid w:val="00BF24A3"/>
    <w:rsid w:val="00BF66D4"/>
    <w:rsid w:val="00C00083"/>
    <w:rsid w:val="00C103C9"/>
    <w:rsid w:val="00C161A2"/>
    <w:rsid w:val="00C166FC"/>
    <w:rsid w:val="00C176F6"/>
    <w:rsid w:val="00C2069E"/>
    <w:rsid w:val="00C20E9B"/>
    <w:rsid w:val="00C231CC"/>
    <w:rsid w:val="00C23DD8"/>
    <w:rsid w:val="00C27DDC"/>
    <w:rsid w:val="00C3384B"/>
    <w:rsid w:val="00C359DB"/>
    <w:rsid w:val="00C4215A"/>
    <w:rsid w:val="00C463EA"/>
    <w:rsid w:val="00C47B00"/>
    <w:rsid w:val="00C554AB"/>
    <w:rsid w:val="00C607D8"/>
    <w:rsid w:val="00C612D1"/>
    <w:rsid w:val="00C67F7C"/>
    <w:rsid w:val="00C7342C"/>
    <w:rsid w:val="00C741B6"/>
    <w:rsid w:val="00C75228"/>
    <w:rsid w:val="00C830D6"/>
    <w:rsid w:val="00C85457"/>
    <w:rsid w:val="00C86412"/>
    <w:rsid w:val="00C8759B"/>
    <w:rsid w:val="00C9084D"/>
    <w:rsid w:val="00C91242"/>
    <w:rsid w:val="00C91EC5"/>
    <w:rsid w:val="00C91F60"/>
    <w:rsid w:val="00CB2F2E"/>
    <w:rsid w:val="00CB4233"/>
    <w:rsid w:val="00CB53EF"/>
    <w:rsid w:val="00CB639C"/>
    <w:rsid w:val="00CC21EC"/>
    <w:rsid w:val="00CD2427"/>
    <w:rsid w:val="00CD28F7"/>
    <w:rsid w:val="00CD58C8"/>
    <w:rsid w:val="00CE03C7"/>
    <w:rsid w:val="00CE2266"/>
    <w:rsid w:val="00CE2E5A"/>
    <w:rsid w:val="00CE303A"/>
    <w:rsid w:val="00CF0F60"/>
    <w:rsid w:val="00CF24B7"/>
    <w:rsid w:val="00CF4B6F"/>
    <w:rsid w:val="00CF5934"/>
    <w:rsid w:val="00D06E11"/>
    <w:rsid w:val="00D10937"/>
    <w:rsid w:val="00D10D18"/>
    <w:rsid w:val="00D1413F"/>
    <w:rsid w:val="00D15654"/>
    <w:rsid w:val="00D20161"/>
    <w:rsid w:val="00D217A3"/>
    <w:rsid w:val="00D21F2B"/>
    <w:rsid w:val="00D22955"/>
    <w:rsid w:val="00D251F2"/>
    <w:rsid w:val="00D26674"/>
    <w:rsid w:val="00D26B0A"/>
    <w:rsid w:val="00D304E9"/>
    <w:rsid w:val="00D432F6"/>
    <w:rsid w:val="00D47288"/>
    <w:rsid w:val="00D47B62"/>
    <w:rsid w:val="00D509C4"/>
    <w:rsid w:val="00D56ADF"/>
    <w:rsid w:val="00D65245"/>
    <w:rsid w:val="00D65D75"/>
    <w:rsid w:val="00D66D6A"/>
    <w:rsid w:val="00D73806"/>
    <w:rsid w:val="00D749EC"/>
    <w:rsid w:val="00D7556C"/>
    <w:rsid w:val="00D7706F"/>
    <w:rsid w:val="00D82B98"/>
    <w:rsid w:val="00D839F3"/>
    <w:rsid w:val="00D90D94"/>
    <w:rsid w:val="00D94353"/>
    <w:rsid w:val="00D9669A"/>
    <w:rsid w:val="00DA5FA0"/>
    <w:rsid w:val="00DB0160"/>
    <w:rsid w:val="00DB1DBE"/>
    <w:rsid w:val="00DB21E8"/>
    <w:rsid w:val="00DB6E39"/>
    <w:rsid w:val="00DC064D"/>
    <w:rsid w:val="00DC0A84"/>
    <w:rsid w:val="00DC0C13"/>
    <w:rsid w:val="00DC58D4"/>
    <w:rsid w:val="00DC6360"/>
    <w:rsid w:val="00DC64EE"/>
    <w:rsid w:val="00DD1E30"/>
    <w:rsid w:val="00DD406B"/>
    <w:rsid w:val="00DD7917"/>
    <w:rsid w:val="00DE243A"/>
    <w:rsid w:val="00DF0701"/>
    <w:rsid w:val="00DF57A9"/>
    <w:rsid w:val="00DF667E"/>
    <w:rsid w:val="00E00721"/>
    <w:rsid w:val="00E0414F"/>
    <w:rsid w:val="00E15E82"/>
    <w:rsid w:val="00E218F3"/>
    <w:rsid w:val="00E34192"/>
    <w:rsid w:val="00E3640E"/>
    <w:rsid w:val="00E36CC1"/>
    <w:rsid w:val="00E4791A"/>
    <w:rsid w:val="00E508BB"/>
    <w:rsid w:val="00E50C65"/>
    <w:rsid w:val="00E52619"/>
    <w:rsid w:val="00E52DDE"/>
    <w:rsid w:val="00E55FB3"/>
    <w:rsid w:val="00E56862"/>
    <w:rsid w:val="00E577AA"/>
    <w:rsid w:val="00E62EB7"/>
    <w:rsid w:val="00E6659F"/>
    <w:rsid w:val="00E7514A"/>
    <w:rsid w:val="00E817D1"/>
    <w:rsid w:val="00E84FAF"/>
    <w:rsid w:val="00E9070E"/>
    <w:rsid w:val="00E9262D"/>
    <w:rsid w:val="00E94736"/>
    <w:rsid w:val="00EA4057"/>
    <w:rsid w:val="00EA7B61"/>
    <w:rsid w:val="00EB33C9"/>
    <w:rsid w:val="00EB5242"/>
    <w:rsid w:val="00EB751E"/>
    <w:rsid w:val="00EB7B9A"/>
    <w:rsid w:val="00EC597C"/>
    <w:rsid w:val="00ED2282"/>
    <w:rsid w:val="00ED325E"/>
    <w:rsid w:val="00ED3434"/>
    <w:rsid w:val="00ED34F4"/>
    <w:rsid w:val="00ED61F2"/>
    <w:rsid w:val="00ED6AD8"/>
    <w:rsid w:val="00EE03DA"/>
    <w:rsid w:val="00EE57D5"/>
    <w:rsid w:val="00EF1AA9"/>
    <w:rsid w:val="00EF2534"/>
    <w:rsid w:val="00EF67AB"/>
    <w:rsid w:val="00EF79BA"/>
    <w:rsid w:val="00F0168F"/>
    <w:rsid w:val="00F02655"/>
    <w:rsid w:val="00F07F21"/>
    <w:rsid w:val="00F10362"/>
    <w:rsid w:val="00F12127"/>
    <w:rsid w:val="00F26561"/>
    <w:rsid w:val="00F27402"/>
    <w:rsid w:val="00F37F7B"/>
    <w:rsid w:val="00F43137"/>
    <w:rsid w:val="00F4790C"/>
    <w:rsid w:val="00F50605"/>
    <w:rsid w:val="00F5294E"/>
    <w:rsid w:val="00F54DB9"/>
    <w:rsid w:val="00F5637D"/>
    <w:rsid w:val="00F661D2"/>
    <w:rsid w:val="00F741FC"/>
    <w:rsid w:val="00F8614B"/>
    <w:rsid w:val="00F97A8B"/>
    <w:rsid w:val="00FA5FD5"/>
    <w:rsid w:val="00FB1543"/>
    <w:rsid w:val="00FC4F5C"/>
    <w:rsid w:val="00FD07C3"/>
    <w:rsid w:val="00FD258E"/>
    <w:rsid w:val="00FD4383"/>
    <w:rsid w:val="00FD4408"/>
    <w:rsid w:val="00FD5C84"/>
    <w:rsid w:val="00FD739E"/>
    <w:rsid w:val="00FD7432"/>
    <w:rsid w:val="00FE4F79"/>
    <w:rsid w:val="00FE60B8"/>
    <w:rsid w:val="00FF20BD"/>
    <w:rsid w:val="00FF3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C248"/>
  <w15:chartTrackingRefBased/>
  <w15:docId w15:val="{9B8A55DB-3DB0-452F-A2E4-E13F9856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493"/>
    <w:pPr>
      <w:ind w:left="720"/>
      <w:contextualSpacing/>
    </w:pPr>
  </w:style>
  <w:style w:type="paragraph" w:styleId="FootnoteText">
    <w:name w:val="footnote text"/>
    <w:basedOn w:val="Normal"/>
    <w:link w:val="FootnoteTextChar"/>
    <w:uiPriority w:val="99"/>
    <w:unhideWhenUsed/>
    <w:rsid w:val="004F6008"/>
    <w:pPr>
      <w:spacing w:after="0" w:line="240" w:lineRule="auto"/>
    </w:pPr>
    <w:rPr>
      <w:sz w:val="20"/>
      <w:szCs w:val="20"/>
    </w:rPr>
  </w:style>
  <w:style w:type="character" w:customStyle="1" w:styleId="FootnoteTextChar">
    <w:name w:val="Footnote Text Char"/>
    <w:basedOn w:val="DefaultParagraphFont"/>
    <w:link w:val="FootnoteText"/>
    <w:uiPriority w:val="99"/>
    <w:rsid w:val="004F6008"/>
    <w:rPr>
      <w:sz w:val="20"/>
      <w:szCs w:val="20"/>
    </w:rPr>
  </w:style>
  <w:style w:type="character" w:styleId="FootnoteReference">
    <w:name w:val="footnote reference"/>
    <w:basedOn w:val="DefaultParagraphFont"/>
    <w:uiPriority w:val="99"/>
    <w:semiHidden/>
    <w:unhideWhenUsed/>
    <w:rsid w:val="004F6008"/>
    <w:rPr>
      <w:vertAlign w:val="superscript"/>
    </w:rPr>
  </w:style>
  <w:style w:type="paragraph" w:styleId="BalloonText">
    <w:name w:val="Balloon Text"/>
    <w:basedOn w:val="Normal"/>
    <w:link w:val="BalloonTextChar"/>
    <w:uiPriority w:val="99"/>
    <w:semiHidden/>
    <w:unhideWhenUsed/>
    <w:rsid w:val="00490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20"/>
    <w:rPr>
      <w:rFonts w:ascii="Segoe UI" w:hAnsi="Segoe UI" w:cs="Segoe UI"/>
      <w:sz w:val="18"/>
      <w:szCs w:val="18"/>
    </w:rPr>
  </w:style>
  <w:style w:type="paragraph" w:styleId="Header">
    <w:name w:val="header"/>
    <w:basedOn w:val="Normal"/>
    <w:link w:val="HeaderChar"/>
    <w:uiPriority w:val="99"/>
    <w:unhideWhenUsed/>
    <w:rsid w:val="00511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C13"/>
  </w:style>
  <w:style w:type="paragraph" w:styleId="Footer">
    <w:name w:val="footer"/>
    <w:basedOn w:val="Normal"/>
    <w:link w:val="FooterChar"/>
    <w:uiPriority w:val="99"/>
    <w:unhideWhenUsed/>
    <w:rsid w:val="00511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C13"/>
  </w:style>
  <w:style w:type="character" w:styleId="Hyperlink">
    <w:name w:val="Hyperlink"/>
    <w:basedOn w:val="DefaultParagraphFont"/>
    <w:uiPriority w:val="99"/>
    <w:unhideWhenUsed/>
    <w:rsid w:val="00F43137"/>
    <w:rPr>
      <w:color w:val="0563C1" w:themeColor="hyperlink"/>
      <w:u w:val="single"/>
    </w:rPr>
  </w:style>
  <w:style w:type="character" w:customStyle="1" w:styleId="UnresolvedMention1">
    <w:name w:val="Unresolved Mention1"/>
    <w:basedOn w:val="DefaultParagraphFont"/>
    <w:uiPriority w:val="99"/>
    <w:semiHidden/>
    <w:unhideWhenUsed/>
    <w:rsid w:val="00F431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0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2A53-57CC-4307-9F59-F5D5A7CC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7597</Words>
  <Characters>43303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dc:creator>
  <cp:keywords/>
  <dc:description/>
  <cp:lastModifiedBy>Eisler J.</cp:lastModifiedBy>
  <cp:revision>4</cp:revision>
  <cp:lastPrinted>2019-08-03T14:51:00Z</cp:lastPrinted>
  <dcterms:created xsi:type="dcterms:W3CDTF">2019-08-06T14:27:00Z</dcterms:created>
  <dcterms:modified xsi:type="dcterms:W3CDTF">2019-08-06T14:31:00Z</dcterms:modified>
</cp:coreProperties>
</file>