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A75" w:rsidRPr="000F3DBC" w:rsidRDefault="001E7A75" w:rsidP="000F3DBC">
      <w:pPr>
        <w:jc w:val="center"/>
        <w:rPr>
          <w:rFonts w:ascii="Times New Roman" w:eastAsia="SimSun" w:hAnsi="Times New Roman" w:cs="SimSun"/>
          <w:color w:val="000000"/>
          <w:kern w:val="0"/>
          <w:sz w:val="36"/>
          <w:szCs w:val="36"/>
        </w:rPr>
      </w:pPr>
      <w:bookmarkStart w:id="0" w:name="OLE_LINK1"/>
      <w:bookmarkStart w:id="1" w:name="OLE_LINK2"/>
      <w:bookmarkStart w:id="2" w:name="_GoBack"/>
      <w:bookmarkEnd w:id="2"/>
    </w:p>
    <w:p w:rsidR="001E7A75" w:rsidRPr="000F3DBC" w:rsidRDefault="001E7A75" w:rsidP="000F3DBC">
      <w:pPr>
        <w:widowControl/>
        <w:spacing w:line="0" w:lineRule="atLeast"/>
        <w:jc w:val="left"/>
        <w:rPr>
          <w:rFonts w:ascii="Times New Roman" w:eastAsia="SimSun" w:hAnsi="Times New Roman" w:cs="Times New Roman"/>
          <w:kern w:val="0"/>
          <w:sz w:val="36"/>
          <w:szCs w:val="36"/>
          <w:lang w:eastAsia="en-US"/>
        </w:rPr>
      </w:pPr>
    </w:p>
    <w:p w:rsidR="001E7A75" w:rsidRPr="000F3DBC" w:rsidRDefault="001E7A75" w:rsidP="000F3DBC">
      <w:pPr>
        <w:widowControl/>
        <w:spacing w:line="0" w:lineRule="atLeast"/>
        <w:jc w:val="left"/>
        <w:rPr>
          <w:rFonts w:ascii="Times New Roman" w:eastAsia="SimSun" w:hAnsi="Times New Roman" w:cs="Times New Roman"/>
          <w:kern w:val="0"/>
          <w:sz w:val="36"/>
          <w:szCs w:val="36"/>
          <w:lang w:eastAsia="en-US"/>
        </w:rPr>
      </w:pPr>
    </w:p>
    <w:p w:rsidR="001E7A75" w:rsidRPr="000F3DBC" w:rsidRDefault="001E7A75" w:rsidP="000F3DBC">
      <w:pPr>
        <w:widowControl/>
        <w:spacing w:line="0" w:lineRule="atLeast"/>
        <w:jc w:val="center"/>
        <w:rPr>
          <w:rFonts w:ascii="Times New Roman" w:eastAsia="SimSun" w:hAnsi="Times New Roman" w:cs="Times New Roman"/>
          <w:kern w:val="0"/>
          <w:sz w:val="36"/>
          <w:szCs w:val="36"/>
          <w:lang w:eastAsia="en-US"/>
        </w:rPr>
      </w:pPr>
      <w:r w:rsidRPr="000F3DBC">
        <w:rPr>
          <w:rFonts w:ascii="Times New Roman" w:eastAsia="SimSun" w:hAnsi="Times New Roman" w:cs="Times New Roman"/>
          <w:kern w:val="0"/>
          <w:sz w:val="36"/>
          <w:szCs w:val="36"/>
          <w:lang w:eastAsia="en-US"/>
        </w:rPr>
        <w:t>Supplementary Materials for</w:t>
      </w:r>
    </w:p>
    <w:p w:rsidR="001E7A75" w:rsidRPr="000F3DBC" w:rsidRDefault="001E7A75" w:rsidP="000F3DBC">
      <w:pPr>
        <w:widowControl/>
        <w:spacing w:line="0" w:lineRule="atLeast"/>
        <w:jc w:val="left"/>
        <w:rPr>
          <w:rFonts w:ascii="Times New Roman" w:eastAsia="SimSun" w:hAnsi="Times New Roman" w:cs="Times New Roman"/>
          <w:kern w:val="0"/>
          <w:sz w:val="36"/>
          <w:szCs w:val="36"/>
          <w:lang w:eastAsia="en-US"/>
        </w:rPr>
      </w:pPr>
    </w:p>
    <w:p w:rsidR="001E7A75" w:rsidRPr="000F3DBC" w:rsidRDefault="001E7A75" w:rsidP="000F3DBC">
      <w:pPr>
        <w:widowControl/>
        <w:spacing w:line="0" w:lineRule="atLeast"/>
        <w:jc w:val="left"/>
        <w:rPr>
          <w:rFonts w:ascii="Times New Roman" w:eastAsia="SimSun" w:hAnsi="Times New Roman" w:cs="Times New Roman"/>
          <w:kern w:val="0"/>
          <w:sz w:val="36"/>
          <w:szCs w:val="36"/>
          <w:lang w:eastAsia="en-US"/>
        </w:rPr>
      </w:pPr>
    </w:p>
    <w:p w:rsidR="001E7A75" w:rsidRPr="000F3DBC" w:rsidRDefault="001E7A75" w:rsidP="000F3DBC">
      <w:pPr>
        <w:widowControl/>
        <w:jc w:val="left"/>
        <w:rPr>
          <w:rFonts w:ascii="Times New Roman" w:eastAsia="SimSun" w:hAnsi="Times New Roman" w:cs="Times New Roman"/>
          <w:b/>
          <w:kern w:val="0"/>
          <w:sz w:val="24"/>
          <w:szCs w:val="20"/>
          <w:lang w:eastAsia="en-US"/>
        </w:rPr>
      </w:pPr>
    </w:p>
    <w:p w:rsidR="001E7A75" w:rsidRPr="000F3DBC" w:rsidRDefault="001E7A75" w:rsidP="000F3DBC">
      <w:pPr>
        <w:widowControl/>
        <w:jc w:val="center"/>
        <w:rPr>
          <w:rFonts w:ascii="Times New Roman" w:eastAsia="SimSun" w:hAnsi="Times New Roman" w:cs="Times New Roman"/>
          <w:b/>
          <w:kern w:val="0"/>
          <w:sz w:val="28"/>
          <w:szCs w:val="28"/>
          <w:lang w:eastAsia="en-US"/>
        </w:rPr>
      </w:pPr>
      <w:r w:rsidRPr="00E52A3C">
        <w:rPr>
          <w:rFonts w:ascii="Times New Roman" w:eastAsia="SimSun" w:hAnsi="Times New Roman" w:cs="Times New Roman"/>
          <w:b/>
          <w:kern w:val="0"/>
          <w:sz w:val="28"/>
          <w:szCs w:val="28"/>
          <w:lang w:eastAsia="en-US"/>
        </w:rPr>
        <w:t>Guided-wave Optical Biosensors Based on Refractometric Sensing Schemes: A Review</w:t>
      </w:r>
    </w:p>
    <w:p w:rsidR="001E7A75" w:rsidRPr="000F3DBC" w:rsidRDefault="001E7A75" w:rsidP="000F3DBC">
      <w:pPr>
        <w:widowControl/>
        <w:jc w:val="left"/>
        <w:rPr>
          <w:rFonts w:ascii="Times New Roman" w:eastAsia="SimSun" w:hAnsi="Times New Roman" w:cs="Times New Roman"/>
          <w:kern w:val="0"/>
          <w:sz w:val="28"/>
          <w:szCs w:val="28"/>
          <w:lang w:eastAsia="en-US"/>
        </w:rPr>
      </w:pPr>
    </w:p>
    <w:p w:rsidR="001E7A75" w:rsidRPr="000F3DBC" w:rsidRDefault="001E7A75" w:rsidP="000F3DBC">
      <w:pPr>
        <w:widowControl/>
        <w:ind w:firstLine="720"/>
        <w:jc w:val="center"/>
        <w:rPr>
          <w:rFonts w:ascii="Times New Roman" w:eastAsia="Times New Roman" w:hAnsi="Times New Roman" w:cs="Times New Roman"/>
          <w:kern w:val="0"/>
          <w:sz w:val="22"/>
          <w:szCs w:val="24"/>
          <w:lang w:eastAsia="en-US"/>
        </w:rPr>
      </w:pPr>
      <w:proofErr w:type="spellStart"/>
      <w:r w:rsidRPr="00E52A3C">
        <w:rPr>
          <w:rFonts w:ascii="Times New Roman" w:eastAsia="Times New Roman" w:hAnsi="Times New Roman" w:cs="Times New Roman"/>
          <w:kern w:val="0"/>
          <w:sz w:val="22"/>
          <w:szCs w:val="24"/>
          <w:lang w:eastAsia="en-US"/>
        </w:rPr>
        <w:t>Yangyang</w:t>
      </w:r>
      <w:proofErr w:type="spellEnd"/>
      <w:r w:rsidRPr="00E52A3C">
        <w:rPr>
          <w:rFonts w:ascii="Times New Roman" w:eastAsia="Times New Roman" w:hAnsi="Times New Roman" w:cs="Times New Roman"/>
          <w:kern w:val="0"/>
          <w:sz w:val="22"/>
          <w:szCs w:val="24"/>
          <w:lang w:eastAsia="en-US"/>
        </w:rPr>
        <w:t xml:space="preserve"> Chen1,2, Jinchuan Liu1, </w:t>
      </w:r>
      <w:proofErr w:type="spellStart"/>
      <w:r w:rsidRPr="00E52A3C">
        <w:rPr>
          <w:rFonts w:ascii="Times New Roman" w:eastAsia="Times New Roman" w:hAnsi="Times New Roman" w:cs="Times New Roman"/>
          <w:kern w:val="0"/>
          <w:sz w:val="22"/>
          <w:szCs w:val="24"/>
          <w:lang w:eastAsia="en-US"/>
        </w:rPr>
        <w:t>Zhenchuan</w:t>
      </w:r>
      <w:proofErr w:type="spellEnd"/>
      <w:r w:rsidRPr="00E52A3C">
        <w:rPr>
          <w:rFonts w:ascii="Times New Roman" w:eastAsia="Times New Roman" w:hAnsi="Times New Roman" w:cs="Times New Roman"/>
          <w:kern w:val="0"/>
          <w:sz w:val="22"/>
          <w:szCs w:val="24"/>
          <w:lang w:eastAsia="en-US"/>
        </w:rPr>
        <w:t xml:space="preserve"> Yang2, James S Wilkinson3*, Xiaohong Zhou1,4**</w:t>
      </w:r>
    </w:p>
    <w:p w:rsidR="001E7A75" w:rsidRPr="000F3DBC" w:rsidRDefault="001E7A75" w:rsidP="000F3DBC">
      <w:pPr>
        <w:widowControl/>
        <w:jc w:val="center"/>
        <w:rPr>
          <w:rFonts w:ascii="Times New Roman" w:eastAsia="SimSun" w:hAnsi="Times New Roman" w:cs="SimSun"/>
          <w:color w:val="000000"/>
          <w:kern w:val="0"/>
          <w:sz w:val="22"/>
          <w:vertAlign w:val="superscript"/>
        </w:rPr>
      </w:pPr>
    </w:p>
    <w:p w:rsidR="001E7A75" w:rsidRPr="000F3DBC" w:rsidRDefault="001E7A75" w:rsidP="000F3DBC">
      <w:pPr>
        <w:jc w:val="center"/>
        <w:rPr>
          <w:rFonts w:ascii="Times New Roman" w:eastAsia="SimSun" w:hAnsi="Times New Roman" w:cs="SimSun"/>
          <w:color w:val="000000"/>
          <w:kern w:val="0"/>
          <w:sz w:val="22"/>
        </w:rPr>
      </w:pPr>
      <w:r w:rsidRPr="000F3DBC">
        <w:rPr>
          <w:rFonts w:ascii="Times New Roman" w:eastAsia="SimSun" w:hAnsi="Times New Roman" w:cs="SimSun"/>
          <w:color w:val="000000"/>
          <w:kern w:val="0"/>
          <w:sz w:val="22"/>
        </w:rPr>
        <w:t>*</w:t>
      </w:r>
      <w:r w:rsidRPr="003C0830">
        <w:rPr>
          <w:rFonts w:ascii="Times New Roman" w:eastAsia="SimSun" w:hAnsi="Times New Roman" w:cs="SimSun"/>
          <w:color w:val="000000"/>
          <w:kern w:val="0"/>
          <w:sz w:val="22"/>
        </w:rPr>
        <w:t>Corresponding authors: *jsw@soton.ac.uk; **xhzhou@mail.tsinghua.edu.cn</w:t>
      </w:r>
    </w:p>
    <w:p w:rsidR="001E7A75" w:rsidRPr="000F3DBC" w:rsidRDefault="001E7A75" w:rsidP="000F3DBC">
      <w:pPr>
        <w:widowControl/>
        <w:jc w:val="left"/>
        <w:rPr>
          <w:rFonts w:ascii="Times New Roman" w:eastAsia="SimSun" w:hAnsi="Times New Roman" w:cs="Times New Roman"/>
          <w:kern w:val="0"/>
          <w:sz w:val="24"/>
          <w:szCs w:val="20"/>
          <w:lang w:eastAsia="en-US"/>
        </w:rPr>
      </w:pPr>
    </w:p>
    <w:p w:rsidR="001E7A75" w:rsidRPr="000F3DBC" w:rsidRDefault="001E7A75" w:rsidP="000F3DBC">
      <w:pPr>
        <w:widowControl/>
        <w:jc w:val="left"/>
        <w:rPr>
          <w:rFonts w:ascii="Times New Roman" w:eastAsia="SimSun" w:hAnsi="Times New Roman" w:cs="Times New Roman"/>
          <w:b/>
          <w:kern w:val="0"/>
          <w:sz w:val="24"/>
          <w:szCs w:val="20"/>
          <w:lang w:eastAsia="en-US"/>
        </w:rPr>
      </w:pPr>
    </w:p>
    <w:p w:rsidR="001E7A75" w:rsidRPr="008E62C5" w:rsidRDefault="001E7A75" w:rsidP="000F3DBC">
      <w:pPr>
        <w:widowControl/>
        <w:jc w:val="left"/>
        <w:rPr>
          <w:rFonts w:ascii="Times New Roman" w:eastAsia="SimSun" w:hAnsi="Times New Roman" w:cs="Times New Roman"/>
          <w:b/>
          <w:kern w:val="0"/>
          <w:sz w:val="24"/>
          <w:szCs w:val="24"/>
          <w:lang w:eastAsia="en-US"/>
        </w:rPr>
      </w:pPr>
      <w:r w:rsidRPr="008E62C5">
        <w:rPr>
          <w:rFonts w:ascii="Times New Roman" w:eastAsia="SimSun" w:hAnsi="Times New Roman" w:cs="Times New Roman"/>
          <w:b/>
          <w:kern w:val="0"/>
          <w:sz w:val="24"/>
          <w:szCs w:val="24"/>
          <w:lang w:eastAsia="en-US"/>
        </w:rPr>
        <w:t>This file includes:</w:t>
      </w:r>
    </w:p>
    <w:p w:rsidR="001E7A75" w:rsidRPr="008B3183"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Note S</w:t>
      </w:r>
      <w:r w:rsidRPr="0020182D">
        <w:rPr>
          <w:rFonts w:ascii="Times New Roman" w:eastAsia="SimSun" w:hAnsi="Times New Roman" w:cs="Times New Roman"/>
          <w:b/>
          <w:kern w:val="0"/>
          <w:sz w:val="24"/>
          <w:szCs w:val="24"/>
        </w:rPr>
        <w:t>1</w:t>
      </w:r>
      <w:r w:rsidRPr="008B3183">
        <w:rPr>
          <w:rFonts w:ascii="Times New Roman" w:eastAsia="Times New Roman" w:hAnsi="Times New Roman" w:cs="Times New Roman"/>
          <w:kern w:val="0"/>
          <w:sz w:val="24"/>
          <w:szCs w:val="24"/>
          <w:lang w:eastAsia="en-US"/>
        </w:rPr>
        <w:t xml:space="preserve">. </w:t>
      </w:r>
      <w:r>
        <w:rPr>
          <w:rFonts w:ascii="Times New Roman" w:eastAsia="Times New Roman" w:hAnsi="Times New Roman" w:cs="Times New Roman"/>
          <w:kern w:val="0"/>
          <w:sz w:val="24"/>
          <w:szCs w:val="24"/>
          <w:lang w:eastAsia="en-US"/>
        </w:rPr>
        <w:t>Overview of principles</w:t>
      </w:r>
      <w:r w:rsidRPr="008B3183">
        <w:rPr>
          <w:rFonts w:ascii="Times New Roman" w:eastAsia="Times New Roman" w:hAnsi="Times New Roman" w:cs="Times New Roman"/>
          <w:kern w:val="0"/>
          <w:sz w:val="24"/>
          <w:szCs w:val="24"/>
          <w:lang w:eastAsia="en-US"/>
        </w:rPr>
        <w:t>.</w:t>
      </w:r>
    </w:p>
    <w:p w:rsidR="001E7A75" w:rsidRPr="008B3183"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Note S</w:t>
      </w:r>
      <w:r w:rsidRPr="0020182D">
        <w:rPr>
          <w:rFonts w:ascii="Times New Roman" w:eastAsia="SimSun" w:hAnsi="Times New Roman" w:cs="Times New Roman"/>
          <w:b/>
          <w:kern w:val="0"/>
          <w:sz w:val="24"/>
          <w:szCs w:val="24"/>
        </w:rPr>
        <w:t>2</w:t>
      </w:r>
      <w:r w:rsidRPr="008B3183">
        <w:rPr>
          <w:rFonts w:ascii="Times New Roman" w:eastAsia="Times New Roman" w:hAnsi="Times New Roman" w:cs="Times New Roman"/>
          <w:kern w:val="0"/>
          <w:sz w:val="24"/>
          <w:szCs w:val="24"/>
          <w:lang w:eastAsia="en-US"/>
        </w:rPr>
        <w:t>.</w:t>
      </w:r>
      <w:r>
        <w:rPr>
          <w:rFonts w:ascii="Times New Roman" w:eastAsia="Times New Roman" w:hAnsi="Times New Roman" w:cs="Times New Roman"/>
          <w:kern w:val="0"/>
          <w:sz w:val="24"/>
          <w:szCs w:val="24"/>
          <w:lang w:eastAsia="en-US"/>
        </w:rPr>
        <w:t xml:space="preserve"> </w:t>
      </w:r>
      <w:r w:rsidRPr="002668C1">
        <w:rPr>
          <w:rFonts w:ascii="Times New Roman" w:eastAsia="Times New Roman" w:hAnsi="Times New Roman" w:cs="Times New Roman"/>
          <w:kern w:val="0"/>
          <w:sz w:val="24"/>
          <w:szCs w:val="24"/>
          <w:lang w:eastAsia="en-US"/>
        </w:rPr>
        <w:t>Basic principle of SP, coupling methods to excite SPs and resonance conditions</w:t>
      </w:r>
      <w:r w:rsidRPr="008B3183">
        <w:rPr>
          <w:rFonts w:ascii="Times New Roman" w:eastAsia="Times New Roman" w:hAnsi="Times New Roman" w:cs="Times New Roman"/>
          <w:kern w:val="0"/>
          <w:sz w:val="24"/>
          <w:szCs w:val="24"/>
          <w:lang w:eastAsia="en-US"/>
        </w:rPr>
        <w:t>.</w:t>
      </w:r>
    </w:p>
    <w:p w:rsidR="001E7A75" w:rsidRPr="008B3183"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Note S3</w:t>
      </w:r>
      <w:r w:rsidRPr="008B3183">
        <w:rPr>
          <w:rFonts w:ascii="Times New Roman" w:eastAsia="Times New Roman" w:hAnsi="Times New Roman" w:cs="Times New Roman"/>
          <w:kern w:val="0"/>
          <w:sz w:val="24"/>
          <w:szCs w:val="24"/>
          <w:lang w:eastAsia="en-US"/>
        </w:rPr>
        <w:t>.</w:t>
      </w:r>
      <w:r>
        <w:rPr>
          <w:rFonts w:ascii="Times New Roman" w:eastAsia="Times New Roman" w:hAnsi="Times New Roman" w:cs="Times New Roman"/>
          <w:kern w:val="0"/>
          <w:sz w:val="24"/>
          <w:szCs w:val="24"/>
          <w:lang w:eastAsia="en-US"/>
        </w:rPr>
        <w:t xml:space="preserve"> O</w:t>
      </w:r>
      <w:r w:rsidRPr="003864CA">
        <w:rPr>
          <w:rFonts w:ascii="Times New Roman" w:eastAsia="Times New Roman" w:hAnsi="Times New Roman" w:cs="Times New Roman"/>
          <w:kern w:val="0"/>
          <w:sz w:val="24"/>
          <w:szCs w:val="24"/>
          <w:lang w:eastAsia="en-US"/>
        </w:rPr>
        <w:t>ptimum choice of material and geometry of NPs</w:t>
      </w:r>
      <w:r>
        <w:rPr>
          <w:rFonts w:ascii="Times New Roman" w:eastAsia="Times New Roman" w:hAnsi="Times New Roman" w:cs="Times New Roman"/>
          <w:kern w:val="0"/>
          <w:sz w:val="24"/>
          <w:szCs w:val="24"/>
          <w:lang w:eastAsia="en-US"/>
        </w:rPr>
        <w:t xml:space="preserve"> on performance enhancement of LSPR</w:t>
      </w:r>
      <w:r w:rsidRPr="008B3183">
        <w:rPr>
          <w:rFonts w:ascii="Times New Roman" w:eastAsia="Times New Roman" w:hAnsi="Times New Roman" w:cs="Times New Roman"/>
          <w:kern w:val="0"/>
          <w:sz w:val="24"/>
          <w:szCs w:val="24"/>
          <w:lang w:eastAsia="en-US"/>
        </w:rPr>
        <w:t>.</w:t>
      </w:r>
    </w:p>
    <w:p w:rsidR="001E7A75" w:rsidRPr="008B3183"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Note S4</w:t>
      </w:r>
      <w:r w:rsidRPr="006E064B">
        <w:rPr>
          <w:rFonts w:ascii="Times New Roman" w:eastAsia="Times New Roman" w:hAnsi="Times New Roman" w:cs="Times New Roman"/>
          <w:kern w:val="0"/>
          <w:sz w:val="24"/>
          <w:szCs w:val="24"/>
          <w:lang w:eastAsia="en-US"/>
        </w:rPr>
        <w:t>.</w:t>
      </w:r>
      <w:r>
        <w:rPr>
          <w:rFonts w:ascii="Times New Roman" w:eastAsia="Times New Roman" w:hAnsi="Times New Roman" w:cs="Times New Roman"/>
          <w:kern w:val="0"/>
          <w:sz w:val="24"/>
          <w:szCs w:val="24"/>
          <w:lang w:eastAsia="en-US"/>
        </w:rPr>
        <w:t xml:space="preserve"> </w:t>
      </w:r>
      <w:proofErr w:type="spellStart"/>
      <w:r w:rsidRPr="00CD4870">
        <w:rPr>
          <w:rFonts w:ascii="Times New Roman" w:eastAsia="Times New Roman" w:hAnsi="Times New Roman" w:cs="Times New Roman"/>
          <w:kern w:val="0"/>
          <w:sz w:val="24"/>
          <w:szCs w:val="24"/>
          <w:lang w:eastAsia="en-US"/>
        </w:rPr>
        <w:t>Physisorbed</w:t>
      </w:r>
      <w:proofErr w:type="spellEnd"/>
      <w:r w:rsidRPr="00CD4870">
        <w:rPr>
          <w:rFonts w:ascii="Times New Roman" w:eastAsia="Times New Roman" w:hAnsi="Times New Roman" w:cs="Times New Roman"/>
          <w:kern w:val="0"/>
          <w:sz w:val="24"/>
          <w:szCs w:val="24"/>
          <w:lang w:eastAsia="en-US"/>
        </w:rPr>
        <w:t xml:space="preserve"> surface functionalization</w:t>
      </w:r>
      <w:r w:rsidRPr="008B3183">
        <w:rPr>
          <w:rFonts w:ascii="Times New Roman" w:eastAsia="Times New Roman" w:hAnsi="Times New Roman" w:cs="Times New Roman"/>
          <w:kern w:val="0"/>
          <w:sz w:val="24"/>
          <w:szCs w:val="24"/>
          <w:lang w:eastAsia="en-US"/>
        </w:rPr>
        <w:t>.</w:t>
      </w:r>
    </w:p>
    <w:p w:rsidR="001E7A75" w:rsidRPr="008B3183"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Note S5</w:t>
      </w:r>
      <w:r w:rsidRPr="006E064B">
        <w:rPr>
          <w:rFonts w:ascii="Times New Roman" w:eastAsia="Times New Roman" w:hAnsi="Times New Roman" w:cs="Times New Roman"/>
          <w:kern w:val="0"/>
          <w:sz w:val="24"/>
          <w:szCs w:val="24"/>
          <w:lang w:eastAsia="en-US"/>
        </w:rPr>
        <w:t>.</w:t>
      </w:r>
      <w:r>
        <w:rPr>
          <w:rFonts w:ascii="Times New Roman" w:eastAsia="Times New Roman" w:hAnsi="Times New Roman" w:cs="Times New Roman"/>
          <w:kern w:val="0"/>
          <w:sz w:val="24"/>
          <w:szCs w:val="24"/>
          <w:lang w:eastAsia="en-US"/>
        </w:rPr>
        <w:t xml:space="preserve"> </w:t>
      </w:r>
      <w:r w:rsidRPr="00E13702">
        <w:rPr>
          <w:rFonts w:ascii="Times New Roman" w:eastAsia="Times New Roman" w:hAnsi="Times New Roman" w:cs="Times New Roman"/>
          <w:kern w:val="0"/>
          <w:sz w:val="24"/>
          <w:szCs w:val="24"/>
          <w:lang w:eastAsia="en-US"/>
        </w:rPr>
        <w:t>Example of surface functionalization on silica</w:t>
      </w:r>
      <w:r w:rsidRPr="008B3183">
        <w:rPr>
          <w:rFonts w:ascii="Times New Roman" w:eastAsia="Times New Roman" w:hAnsi="Times New Roman" w:cs="Times New Roman"/>
          <w:kern w:val="0"/>
          <w:sz w:val="24"/>
          <w:szCs w:val="24"/>
          <w:lang w:eastAsia="en-US"/>
        </w:rPr>
        <w:t>.</w:t>
      </w:r>
    </w:p>
    <w:p w:rsidR="001E7A75" w:rsidRPr="006E064B"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Note S6</w:t>
      </w:r>
      <w:r w:rsidRPr="006E064B">
        <w:rPr>
          <w:rFonts w:ascii="Times New Roman" w:eastAsia="Times New Roman" w:hAnsi="Times New Roman" w:cs="Times New Roman"/>
          <w:kern w:val="0"/>
          <w:sz w:val="24"/>
          <w:szCs w:val="24"/>
          <w:lang w:eastAsia="en-US"/>
        </w:rPr>
        <w:t>.</w:t>
      </w:r>
      <w:r>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 xml:space="preserve">Selective surface functionalization of a silicon nitride-based </w:t>
      </w:r>
      <w:proofErr w:type="spellStart"/>
      <w:r w:rsidRPr="006E064B">
        <w:rPr>
          <w:rFonts w:ascii="Times New Roman" w:eastAsia="Times New Roman" w:hAnsi="Times New Roman" w:cs="Times New Roman"/>
          <w:kern w:val="0"/>
          <w:sz w:val="24"/>
          <w:szCs w:val="24"/>
          <w:lang w:eastAsia="en-US"/>
        </w:rPr>
        <w:t>nanosubstrate</w:t>
      </w:r>
      <w:proofErr w:type="spellEnd"/>
      <w:r w:rsidRPr="008B3183">
        <w:rPr>
          <w:rFonts w:ascii="Times New Roman" w:eastAsia="Times New Roman" w:hAnsi="Times New Roman" w:cs="Times New Roman"/>
          <w:kern w:val="0"/>
          <w:sz w:val="24"/>
          <w:szCs w:val="24"/>
          <w:lang w:eastAsia="en-US"/>
        </w:rPr>
        <w:t>.</w:t>
      </w:r>
    </w:p>
    <w:p w:rsidR="001E7A75" w:rsidRPr="000F3DBC" w:rsidRDefault="001E7A75" w:rsidP="0020182D">
      <w:pPr>
        <w:widowControl/>
        <w:spacing w:beforeLines="20" w:before="62"/>
        <w:ind w:leftChars="300" w:left="630"/>
        <w:jc w:val="left"/>
        <w:rPr>
          <w:rFonts w:ascii="Times New Roman" w:eastAsia="SimSun" w:hAnsi="Times New Roman" w:cs="Times New Roman"/>
          <w:kern w:val="0"/>
          <w:sz w:val="24"/>
          <w:szCs w:val="24"/>
          <w:lang w:eastAsia="en-US"/>
        </w:rPr>
      </w:pP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S1</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Schematic illustration of total internal reflection</w:t>
      </w:r>
      <w:r w:rsidRPr="00882359">
        <w:rPr>
          <w:rFonts w:ascii="Times New Roman" w:eastAsia="Times New Roman" w:hAnsi="Times New Roman" w:cs="Times New Roman"/>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S2</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 xml:space="preserve">(a) Modal electric field distributions of the first two TE </w:t>
      </w:r>
      <w:proofErr w:type="spellStart"/>
      <w:r w:rsidRPr="006E064B">
        <w:rPr>
          <w:rFonts w:ascii="Times New Roman" w:eastAsia="Times New Roman" w:hAnsi="Times New Roman" w:cs="Times New Roman"/>
          <w:kern w:val="0"/>
          <w:sz w:val="24"/>
          <w:szCs w:val="24"/>
          <w:lang w:eastAsia="en-US"/>
        </w:rPr>
        <w:t>polarised</w:t>
      </w:r>
      <w:proofErr w:type="spellEnd"/>
      <w:r w:rsidRPr="006E064B">
        <w:rPr>
          <w:rFonts w:ascii="Times New Roman" w:eastAsia="Times New Roman" w:hAnsi="Times New Roman" w:cs="Times New Roman"/>
          <w:kern w:val="0"/>
          <w:sz w:val="24"/>
          <w:szCs w:val="24"/>
          <w:lang w:eastAsia="en-US"/>
        </w:rPr>
        <w:t xml:space="preserve"> modes; (b) Modal effective indices for the first three modes in both </w:t>
      </w:r>
      <w:proofErr w:type="spellStart"/>
      <w:r w:rsidRPr="006E064B">
        <w:rPr>
          <w:rFonts w:ascii="Times New Roman" w:eastAsia="Times New Roman" w:hAnsi="Times New Roman" w:cs="Times New Roman"/>
          <w:kern w:val="0"/>
          <w:sz w:val="24"/>
          <w:szCs w:val="24"/>
          <w:lang w:eastAsia="en-US"/>
        </w:rPr>
        <w:t>polarisations</w:t>
      </w:r>
      <w:proofErr w:type="spellEnd"/>
      <w:r w:rsidRPr="006E064B">
        <w:rPr>
          <w:rFonts w:ascii="Times New Roman" w:eastAsia="Times New Roman" w:hAnsi="Times New Roman" w:cs="Times New Roman"/>
          <w:kern w:val="0"/>
          <w:sz w:val="24"/>
          <w:szCs w:val="24"/>
          <w:lang w:eastAsia="en-US"/>
        </w:rPr>
        <w:t xml:space="preserve"> vs </w:t>
      </w:r>
      <w:proofErr w:type="spellStart"/>
      <w:r w:rsidRPr="0020182D">
        <w:rPr>
          <w:rFonts w:ascii="Times New Roman" w:eastAsia="Times New Roman" w:hAnsi="Times New Roman" w:cs="Times New Roman"/>
          <w:i/>
          <w:kern w:val="0"/>
          <w:sz w:val="24"/>
          <w:szCs w:val="24"/>
          <w:lang w:eastAsia="en-US"/>
        </w:rPr>
        <w:t>t</w:t>
      </w:r>
      <w:r w:rsidRPr="0020182D">
        <w:rPr>
          <w:rFonts w:ascii="Times New Roman" w:eastAsia="Times New Roman" w:hAnsi="Times New Roman" w:cs="Times New Roman"/>
          <w:kern w:val="0"/>
          <w:sz w:val="24"/>
          <w:szCs w:val="24"/>
          <w:vertAlign w:val="subscript"/>
          <w:lang w:eastAsia="en-US"/>
        </w:rPr>
        <w:t>norm</w:t>
      </w:r>
      <w:proofErr w:type="spellEnd"/>
      <w:r w:rsidRPr="006E064B">
        <w:rPr>
          <w:rFonts w:ascii="Times New Roman" w:eastAsia="Times New Roman" w:hAnsi="Times New Roman" w:cs="Times New Roman"/>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S3</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Interrogation modes of commercial SPR devices.</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S4</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Coupling methods to excite SPs: (a) prism, (b) waveguide, and (c) grating coupling</w:t>
      </w:r>
      <w:r w:rsidRPr="00882359">
        <w:rPr>
          <w:rFonts w:ascii="Times New Roman" w:eastAsia="Times New Roman" w:hAnsi="Times New Roman" w:cs="Times New Roman"/>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S5</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Different materials, structures and applications of SPR-based biosensors</w:t>
      </w:r>
      <w:r w:rsidRPr="00882359">
        <w:rPr>
          <w:rFonts w:ascii="Times New Roman" w:eastAsia="Times New Roman" w:hAnsi="Times New Roman" w:cs="Times New Roman"/>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lastRenderedPageBreak/>
        <w:t>Figure S6</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Absorption (red), extinction (black), and scattering (blue) spectra</w:t>
      </w:r>
      <w:r>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 xml:space="preserve">simulated for </w:t>
      </w:r>
      <w:proofErr w:type="spellStart"/>
      <w:r w:rsidRPr="006E064B">
        <w:rPr>
          <w:rFonts w:ascii="Times New Roman" w:eastAsia="Times New Roman" w:hAnsi="Times New Roman" w:cs="Times New Roman"/>
          <w:kern w:val="0"/>
          <w:sz w:val="24"/>
          <w:szCs w:val="24"/>
          <w:lang w:eastAsia="en-US"/>
        </w:rPr>
        <w:t>AgNPs</w:t>
      </w:r>
      <w:proofErr w:type="spellEnd"/>
      <w:r w:rsidRPr="006E064B">
        <w:rPr>
          <w:rFonts w:ascii="Times New Roman" w:eastAsia="Times New Roman" w:hAnsi="Times New Roman" w:cs="Times New Roman"/>
          <w:kern w:val="0"/>
          <w:sz w:val="24"/>
          <w:szCs w:val="24"/>
          <w:lang w:eastAsia="en-US"/>
        </w:rPr>
        <w:t xml:space="preserve"> with various shapes using discrete dipole approximation method</w:t>
      </w:r>
      <w:r w:rsidRPr="00882359">
        <w:rPr>
          <w:rFonts w:ascii="Times New Roman" w:eastAsia="Times New Roman" w:hAnsi="Times New Roman" w:cs="Times New Roman"/>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S7</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Illustratio</w:t>
      </w:r>
      <w:r w:rsidRPr="006E064B">
        <w:rPr>
          <w:rFonts w:ascii="Times New Roman" w:eastAsia="Times New Roman" w:hAnsi="Times New Roman" w:cs="Times New Roman" w:hint="eastAsia"/>
          <w:kern w:val="0"/>
          <w:sz w:val="24"/>
          <w:szCs w:val="24"/>
          <w:lang w:eastAsia="en-US"/>
        </w:rPr>
        <w:t>n</w:t>
      </w:r>
      <w:r w:rsidRPr="006E064B">
        <w:rPr>
          <w:rFonts w:ascii="Times New Roman" w:eastAsia="Times New Roman" w:hAnsi="Times New Roman" w:cs="Times New Roman"/>
          <w:kern w:val="0"/>
          <w:sz w:val="24"/>
          <w:szCs w:val="24"/>
          <w:lang w:eastAsia="en-US"/>
        </w:rPr>
        <w:t xml:space="preserve"> of PC categories utilized for biosensors: (a) 1D PCs, (b) PC slabs, (c) PC waveguides, and (d) PC microcavities</w:t>
      </w:r>
      <w:r w:rsidRPr="006E064B">
        <w:rPr>
          <w:rFonts w:ascii="Times New Roman" w:eastAsia="Times New Roman" w:hAnsi="Times New Roman" w:cs="Times New Roman" w:hint="eastAsia"/>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S8</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S</w:t>
      </w:r>
      <w:r w:rsidRPr="006E064B">
        <w:rPr>
          <w:rFonts w:ascii="Times New Roman" w:eastAsia="Times New Roman" w:hAnsi="Times New Roman" w:cs="Times New Roman" w:hint="eastAsia"/>
          <w:kern w:val="0"/>
          <w:sz w:val="24"/>
          <w:szCs w:val="24"/>
          <w:lang w:eastAsia="en-US"/>
        </w:rPr>
        <w:t>chematic illustration</w:t>
      </w:r>
      <w:r w:rsidRPr="006E064B">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hint="eastAsia"/>
          <w:kern w:val="0"/>
          <w:sz w:val="24"/>
          <w:szCs w:val="24"/>
          <w:lang w:eastAsia="en-US"/>
        </w:rPr>
        <w:t>of</w:t>
      </w:r>
      <w:r w:rsidRPr="006E064B">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hint="eastAsia"/>
          <w:kern w:val="0"/>
          <w:sz w:val="24"/>
          <w:szCs w:val="24"/>
          <w:lang w:eastAsia="en-US"/>
        </w:rPr>
        <w:t xml:space="preserve">the chemical </w:t>
      </w:r>
      <w:r w:rsidRPr="006E064B">
        <w:rPr>
          <w:rFonts w:ascii="Times New Roman" w:eastAsia="Times New Roman" w:hAnsi="Times New Roman" w:cs="Times New Roman"/>
          <w:kern w:val="0"/>
          <w:sz w:val="24"/>
          <w:szCs w:val="24"/>
          <w:lang w:eastAsia="en-US"/>
        </w:rPr>
        <w:t xml:space="preserve">structure </w:t>
      </w:r>
      <w:r w:rsidRPr="006E064B">
        <w:rPr>
          <w:rFonts w:ascii="Times New Roman" w:eastAsia="Times New Roman" w:hAnsi="Times New Roman" w:cs="Times New Roman" w:hint="eastAsia"/>
          <w:kern w:val="0"/>
          <w:sz w:val="24"/>
          <w:szCs w:val="24"/>
          <w:lang w:eastAsia="en-US"/>
        </w:rPr>
        <w:t>and</w:t>
      </w:r>
      <w:r w:rsidRPr="006E064B">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hint="eastAsia"/>
          <w:kern w:val="0"/>
          <w:sz w:val="24"/>
          <w:szCs w:val="24"/>
          <w:lang w:eastAsia="en-US"/>
        </w:rPr>
        <w:t>fabrication</w:t>
      </w:r>
      <w:r w:rsidRPr="006E064B">
        <w:rPr>
          <w:rFonts w:ascii="Times New Roman" w:eastAsia="Times New Roman" w:hAnsi="Times New Roman" w:cs="Times New Roman"/>
          <w:kern w:val="0"/>
          <w:sz w:val="24"/>
          <w:szCs w:val="24"/>
          <w:lang w:eastAsia="en-US"/>
        </w:rPr>
        <w:t xml:space="preserve"> of the poly[(N-(2-hydroxypropyl) </w:t>
      </w:r>
      <w:proofErr w:type="spellStart"/>
      <w:r w:rsidRPr="006E064B">
        <w:rPr>
          <w:rFonts w:ascii="Times New Roman" w:eastAsia="Times New Roman" w:hAnsi="Times New Roman" w:cs="Times New Roman"/>
          <w:kern w:val="0"/>
          <w:sz w:val="24"/>
          <w:szCs w:val="24"/>
          <w:lang w:eastAsia="en-US"/>
        </w:rPr>
        <w:t>mechacrylamide</w:t>
      </w:r>
      <w:proofErr w:type="spellEnd"/>
      <w:r w:rsidRPr="006E064B">
        <w:rPr>
          <w:rFonts w:ascii="Times New Roman" w:eastAsia="Times New Roman" w:hAnsi="Times New Roman" w:cs="Times New Roman"/>
          <w:kern w:val="0"/>
          <w:sz w:val="24"/>
          <w:szCs w:val="24"/>
          <w:lang w:eastAsia="en-US"/>
        </w:rPr>
        <w:t>)-co</w:t>
      </w:r>
      <w:proofErr w:type="gramStart"/>
      <w:r w:rsidRPr="006E064B">
        <w:rPr>
          <w:rFonts w:ascii="Times New Roman" w:eastAsia="Times New Roman" w:hAnsi="Times New Roman" w:cs="Times New Roman"/>
          <w:kern w:val="0"/>
          <w:sz w:val="24"/>
          <w:szCs w:val="24"/>
          <w:lang w:eastAsia="en-US"/>
        </w:rPr>
        <w:t>-(</w:t>
      </w:r>
      <w:proofErr w:type="spellStart"/>
      <w:proofErr w:type="gramEnd"/>
      <w:r w:rsidRPr="006E064B">
        <w:rPr>
          <w:rFonts w:ascii="Times New Roman" w:eastAsia="Times New Roman" w:hAnsi="Times New Roman" w:cs="Times New Roman"/>
          <w:kern w:val="0"/>
          <w:sz w:val="24"/>
          <w:szCs w:val="24"/>
          <w:lang w:eastAsia="en-US"/>
        </w:rPr>
        <w:t>carboxybetaine</w:t>
      </w:r>
      <w:proofErr w:type="spellEnd"/>
      <w:r w:rsidRPr="006E064B">
        <w:rPr>
          <w:rFonts w:ascii="Times New Roman" w:eastAsia="Times New Roman" w:hAnsi="Times New Roman" w:cs="Times New Roman"/>
          <w:kern w:val="0"/>
          <w:sz w:val="24"/>
          <w:szCs w:val="24"/>
          <w:lang w:eastAsia="en-US"/>
        </w:rPr>
        <w:t xml:space="preserve"> </w:t>
      </w:r>
      <w:proofErr w:type="spellStart"/>
      <w:r w:rsidRPr="006E064B">
        <w:rPr>
          <w:rFonts w:ascii="Times New Roman" w:eastAsia="Times New Roman" w:hAnsi="Times New Roman" w:cs="Times New Roman"/>
          <w:kern w:val="0"/>
          <w:sz w:val="24"/>
          <w:szCs w:val="24"/>
          <w:lang w:eastAsia="en-US"/>
        </w:rPr>
        <w:t>methacrylamide</w:t>
      </w:r>
      <w:proofErr w:type="spellEnd"/>
      <w:r w:rsidRPr="006E064B">
        <w:rPr>
          <w:rFonts w:ascii="Times New Roman" w:eastAsia="Times New Roman" w:hAnsi="Times New Roman" w:cs="Times New Roman"/>
          <w:kern w:val="0"/>
          <w:sz w:val="24"/>
          <w:szCs w:val="24"/>
          <w:lang w:eastAsia="en-US"/>
        </w:rPr>
        <w:t xml:space="preserve">)] polymer brush (left) and </w:t>
      </w:r>
      <w:r w:rsidRPr="006E064B">
        <w:rPr>
          <w:rFonts w:ascii="Times New Roman" w:eastAsia="Times New Roman" w:hAnsi="Times New Roman" w:cs="Times New Roman" w:hint="eastAsia"/>
          <w:kern w:val="0"/>
          <w:sz w:val="24"/>
          <w:szCs w:val="24"/>
          <w:lang w:eastAsia="en-US"/>
        </w:rPr>
        <w:t>the</w:t>
      </w:r>
      <w:r w:rsidRPr="006E064B">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hint="eastAsia"/>
          <w:kern w:val="0"/>
          <w:sz w:val="24"/>
          <w:szCs w:val="24"/>
          <w:lang w:eastAsia="en-US"/>
        </w:rPr>
        <w:t>post-modification</w:t>
      </w:r>
      <w:r w:rsidRPr="006E064B">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hint="eastAsia"/>
          <w:kern w:val="0"/>
          <w:sz w:val="24"/>
          <w:szCs w:val="24"/>
          <w:lang w:eastAsia="en-US"/>
        </w:rPr>
        <w:t>of</w:t>
      </w:r>
      <w:r w:rsidRPr="006E064B">
        <w:rPr>
          <w:rFonts w:ascii="Times New Roman" w:eastAsia="Times New Roman" w:hAnsi="Times New Roman" w:cs="Times New Roman"/>
          <w:kern w:val="0"/>
          <w:sz w:val="24"/>
          <w:szCs w:val="24"/>
          <w:lang w:eastAsia="en-US"/>
        </w:rPr>
        <w:t xml:space="preserve"> protein receptor </w:t>
      </w:r>
      <w:r w:rsidRPr="006E064B">
        <w:rPr>
          <w:rFonts w:ascii="Times New Roman" w:eastAsia="Times New Roman" w:hAnsi="Times New Roman" w:cs="Times New Roman" w:hint="eastAsia"/>
          <w:kern w:val="0"/>
          <w:sz w:val="24"/>
          <w:szCs w:val="24"/>
          <w:lang w:eastAsia="en-US"/>
        </w:rPr>
        <w:t>onto</w:t>
      </w:r>
      <w:r w:rsidRPr="006E064B">
        <w:rPr>
          <w:rFonts w:ascii="Times New Roman" w:eastAsia="Times New Roman" w:hAnsi="Times New Roman" w:cs="Times New Roman"/>
          <w:kern w:val="0"/>
          <w:sz w:val="24"/>
          <w:szCs w:val="24"/>
          <w:lang w:eastAsia="en-US"/>
        </w:rPr>
        <w:t xml:space="preserve"> gold surface with tethered brush (right)</w:t>
      </w:r>
      <w:r w:rsidRPr="00882359">
        <w:rPr>
          <w:rFonts w:ascii="Times New Roman" w:eastAsia="Times New Roman" w:hAnsi="Times New Roman" w:cs="Times New Roman"/>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S9</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Surface functionalization of mesoporous silica glass materials with various functional groups</w:t>
      </w:r>
      <w:r w:rsidRPr="00882359">
        <w:rPr>
          <w:rFonts w:ascii="Times New Roman" w:eastAsia="Times New Roman" w:hAnsi="Times New Roman" w:cs="Times New Roman"/>
          <w:kern w:val="0"/>
          <w:sz w:val="24"/>
          <w:szCs w:val="24"/>
          <w:lang w:eastAsia="en-US"/>
        </w:rPr>
        <w:t>.</w:t>
      </w:r>
    </w:p>
    <w:p w:rsidR="001E7A75" w:rsidRPr="00882359"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S10</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 xml:space="preserve">Schematic of surface functionalization for microRNA detection, including </w:t>
      </w:r>
      <w:proofErr w:type="spellStart"/>
      <w:r w:rsidRPr="006E064B">
        <w:rPr>
          <w:rFonts w:ascii="Times New Roman" w:eastAsia="Times New Roman" w:hAnsi="Times New Roman" w:cs="Times New Roman"/>
          <w:kern w:val="0"/>
          <w:sz w:val="24"/>
          <w:szCs w:val="24"/>
          <w:lang w:eastAsia="en-US"/>
        </w:rPr>
        <w:t>silanization</w:t>
      </w:r>
      <w:proofErr w:type="spellEnd"/>
      <w:r w:rsidRPr="006E064B">
        <w:rPr>
          <w:rFonts w:ascii="Times New Roman" w:eastAsia="Times New Roman" w:hAnsi="Times New Roman" w:cs="Times New Roman"/>
          <w:kern w:val="0"/>
          <w:sz w:val="24"/>
          <w:szCs w:val="24"/>
          <w:lang w:eastAsia="en-US"/>
        </w:rPr>
        <w:t xml:space="preserve"> of APTES, </w:t>
      </w:r>
      <w:r w:rsidRPr="006E064B">
        <w:rPr>
          <w:rFonts w:ascii="Times New Roman" w:eastAsia="Times New Roman" w:hAnsi="Times New Roman" w:cs="Times New Roman" w:hint="eastAsia"/>
          <w:kern w:val="0"/>
          <w:sz w:val="24"/>
          <w:szCs w:val="24"/>
          <w:lang w:eastAsia="en-US"/>
        </w:rPr>
        <w:t>treatment</w:t>
      </w:r>
      <w:r w:rsidRPr="006E064B">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hint="eastAsia"/>
          <w:kern w:val="0"/>
          <w:sz w:val="24"/>
          <w:szCs w:val="24"/>
          <w:lang w:eastAsia="en-US"/>
        </w:rPr>
        <w:t>with</w:t>
      </w:r>
      <w:r w:rsidRPr="006E064B">
        <w:rPr>
          <w:rFonts w:ascii="Times New Roman" w:eastAsia="Times New Roman" w:hAnsi="Times New Roman" w:cs="Times New Roman"/>
          <w:kern w:val="0"/>
          <w:sz w:val="24"/>
          <w:szCs w:val="24"/>
          <w:lang w:eastAsia="en-US"/>
        </w:rPr>
        <w:t xml:space="preserve"> glutaraldehyde, </w:t>
      </w:r>
      <w:r w:rsidRPr="006E064B">
        <w:rPr>
          <w:rFonts w:ascii="Times New Roman" w:eastAsia="Times New Roman" w:hAnsi="Times New Roman" w:cs="Times New Roman" w:hint="eastAsia"/>
          <w:kern w:val="0"/>
          <w:sz w:val="24"/>
          <w:szCs w:val="24"/>
          <w:lang w:eastAsia="en-US"/>
        </w:rPr>
        <w:t>c</w:t>
      </w:r>
      <w:r w:rsidRPr="006E064B">
        <w:rPr>
          <w:rFonts w:ascii="Times New Roman" w:eastAsia="Times New Roman" w:hAnsi="Times New Roman" w:cs="Times New Roman"/>
          <w:kern w:val="0"/>
          <w:sz w:val="24"/>
          <w:szCs w:val="24"/>
          <w:lang w:eastAsia="en-US"/>
        </w:rPr>
        <w:t>ovalen</w:t>
      </w:r>
      <w:r w:rsidRPr="006E064B">
        <w:rPr>
          <w:rFonts w:ascii="Times New Roman" w:eastAsia="Times New Roman" w:hAnsi="Times New Roman" w:cs="Times New Roman" w:hint="eastAsia"/>
          <w:kern w:val="0"/>
          <w:sz w:val="24"/>
          <w:szCs w:val="24"/>
          <w:lang w:eastAsia="en-US"/>
        </w:rPr>
        <w:t>t</w:t>
      </w:r>
      <w:r w:rsidRPr="006E064B">
        <w:rPr>
          <w:rFonts w:ascii="Times New Roman" w:eastAsia="Times New Roman" w:hAnsi="Times New Roman" w:cs="Times New Roman"/>
          <w:kern w:val="0"/>
          <w:sz w:val="24"/>
          <w:szCs w:val="24"/>
          <w:lang w:eastAsia="en-US"/>
        </w:rPr>
        <w:t xml:space="preserve"> functionalization of amine-modified DNA probes and </w:t>
      </w:r>
      <w:r w:rsidRPr="006E064B">
        <w:rPr>
          <w:rFonts w:ascii="Times New Roman" w:eastAsia="Times New Roman" w:hAnsi="Times New Roman" w:cs="Times New Roman" w:hint="eastAsia"/>
          <w:kern w:val="0"/>
          <w:sz w:val="24"/>
          <w:szCs w:val="24"/>
          <w:lang w:eastAsia="en-US"/>
        </w:rPr>
        <w:t>detection</w:t>
      </w:r>
      <w:r w:rsidRPr="006E064B">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hint="eastAsia"/>
          <w:kern w:val="0"/>
          <w:sz w:val="24"/>
          <w:szCs w:val="24"/>
          <w:lang w:eastAsia="en-US"/>
        </w:rPr>
        <w:t>of</w:t>
      </w:r>
      <w:r w:rsidRPr="006E064B">
        <w:rPr>
          <w:rFonts w:ascii="Times New Roman" w:eastAsia="Times New Roman" w:hAnsi="Times New Roman" w:cs="Times New Roman"/>
          <w:kern w:val="0"/>
          <w:sz w:val="24"/>
          <w:szCs w:val="24"/>
          <w:lang w:eastAsia="en-US"/>
        </w:rPr>
        <w:t xml:space="preserve"> miRNA </w:t>
      </w:r>
      <w:r w:rsidRPr="006E064B">
        <w:rPr>
          <w:rFonts w:ascii="Times New Roman" w:eastAsia="Times New Roman" w:hAnsi="Times New Roman" w:cs="Times New Roman" w:hint="eastAsia"/>
          <w:kern w:val="0"/>
          <w:sz w:val="24"/>
          <w:szCs w:val="24"/>
          <w:lang w:eastAsia="en-US"/>
        </w:rPr>
        <w:t>by</w:t>
      </w:r>
      <w:r w:rsidRPr="006E064B">
        <w:rPr>
          <w:rFonts w:ascii="Times New Roman" w:eastAsia="Times New Roman" w:hAnsi="Times New Roman" w:cs="Times New Roman"/>
          <w:kern w:val="0"/>
          <w:sz w:val="24"/>
          <w:szCs w:val="24"/>
          <w:lang w:eastAsia="en-US"/>
        </w:rPr>
        <w:t xml:space="preserve"> hybridization</w:t>
      </w:r>
      <w:r w:rsidRPr="00882359">
        <w:rPr>
          <w:rFonts w:ascii="Times New Roman" w:eastAsia="Times New Roman" w:hAnsi="Times New Roman" w:cs="Times New Roman"/>
          <w:kern w:val="0"/>
          <w:sz w:val="24"/>
          <w:szCs w:val="24"/>
          <w:lang w:eastAsia="en-US"/>
        </w:rPr>
        <w:t>.</w:t>
      </w:r>
    </w:p>
    <w:p w:rsidR="001E7A75" w:rsidRPr="006E064B"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S11</w:t>
      </w:r>
      <w:r w:rsidRPr="006E064B">
        <w:rPr>
          <w:rFonts w:ascii="Times New Roman" w:eastAsia="Times New Roman" w:hAnsi="Times New Roman" w:cs="Times New Roman"/>
          <w:kern w:val="0"/>
          <w:sz w:val="24"/>
          <w:szCs w:val="24"/>
          <w:lang w:eastAsia="en-US"/>
        </w:rPr>
        <w:t>. Schematic representation of biochemically modified silicon substrates by utilizing the linkers of APTES and glutaraldehyde</w:t>
      </w:r>
      <w:r w:rsidRPr="00882359">
        <w:rPr>
          <w:rFonts w:ascii="Times New Roman" w:eastAsia="Times New Roman" w:hAnsi="Times New Roman" w:cs="Times New Roman"/>
          <w:kern w:val="0"/>
          <w:sz w:val="24"/>
          <w:szCs w:val="24"/>
          <w:lang w:eastAsia="en-US"/>
        </w:rPr>
        <w:t>.</w:t>
      </w:r>
    </w:p>
    <w:p w:rsidR="001E7A75" w:rsidRPr="006E064B" w:rsidRDefault="001E7A75" w:rsidP="0020182D">
      <w:pPr>
        <w:widowControl/>
        <w:spacing w:beforeLines="20" w:before="62"/>
        <w:ind w:leftChars="300" w:left="630"/>
        <w:jc w:val="left"/>
        <w:rPr>
          <w:rFonts w:ascii="Times New Roman" w:eastAsia="Times New Roman" w:hAnsi="Times New Roman" w:cs="Times New Roman"/>
          <w:kern w:val="0"/>
          <w:sz w:val="24"/>
          <w:szCs w:val="24"/>
          <w:lang w:eastAsia="en-US"/>
        </w:rPr>
      </w:pPr>
      <w:r w:rsidRPr="0020182D">
        <w:rPr>
          <w:rFonts w:ascii="Times New Roman" w:eastAsia="Times New Roman" w:hAnsi="Times New Roman" w:cs="Times New Roman"/>
          <w:b/>
          <w:kern w:val="0"/>
          <w:sz w:val="24"/>
          <w:szCs w:val="24"/>
          <w:lang w:eastAsia="en-US"/>
        </w:rPr>
        <w:t>Figure S12</w:t>
      </w:r>
      <w:r w:rsidRPr="00882359">
        <w:rPr>
          <w:rFonts w:ascii="Times New Roman" w:eastAsia="Times New Roman" w:hAnsi="Times New Roman" w:cs="Times New Roman"/>
          <w:kern w:val="0"/>
          <w:sz w:val="24"/>
          <w:szCs w:val="24"/>
          <w:lang w:eastAsia="en-US"/>
        </w:rPr>
        <w:t xml:space="preserve">. </w:t>
      </w:r>
      <w:r w:rsidRPr="006E064B">
        <w:rPr>
          <w:rFonts w:ascii="Times New Roman" w:eastAsia="Times New Roman" w:hAnsi="Times New Roman" w:cs="Times New Roman"/>
          <w:kern w:val="0"/>
          <w:sz w:val="24"/>
          <w:szCs w:val="24"/>
          <w:lang w:eastAsia="en-US"/>
        </w:rPr>
        <w:t>Chemical reaction mechanism for the direct glutaraldehyde modiﬁcation of silicon nitride surface</w:t>
      </w:r>
      <w:r w:rsidRPr="00882359">
        <w:rPr>
          <w:rFonts w:ascii="Times New Roman" w:eastAsia="Times New Roman" w:hAnsi="Times New Roman" w:cs="Times New Roman"/>
          <w:kern w:val="0"/>
          <w:sz w:val="24"/>
          <w:szCs w:val="24"/>
          <w:lang w:eastAsia="en-US"/>
        </w:rPr>
        <w:t>.</w:t>
      </w:r>
    </w:p>
    <w:p w:rsidR="001E7A75" w:rsidRPr="000F3DBC" w:rsidRDefault="001E7A75" w:rsidP="000F3DBC">
      <w:pPr>
        <w:widowControl/>
        <w:jc w:val="left"/>
        <w:rPr>
          <w:rFonts w:ascii="Arial" w:eastAsia="SimSun" w:hAnsi="Arial" w:cs="Arial"/>
          <w:b/>
          <w:color w:val="000000"/>
          <w:kern w:val="0"/>
          <w:sz w:val="24"/>
        </w:rPr>
      </w:pPr>
      <w:r w:rsidRPr="000F3DBC">
        <w:rPr>
          <w:rFonts w:ascii="Arial" w:eastAsia="SimSun" w:hAnsi="Arial" w:cs="Arial"/>
          <w:b/>
          <w:color w:val="000000"/>
          <w:kern w:val="0"/>
          <w:sz w:val="24"/>
        </w:rPr>
        <w:br w:type="page"/>
      </w:r>
    </w:p>
    <w:p w:rsidR="001E7A75" w:rsidRDefault="001E7A75" w:rsidP="000F3DBC">
      <w:pPr>
        <w:spacing w:beforeLines="100" w:before="312" w:afterLines="50" w:after="156"/>
        <w:rPr>
          <w:rFonts w:ascii="Arial" w:eastAsia="SimSun" w:hAnsi="Arial" w:cs="Arial"/>
          <w:b/>
          <w:color w:val="000000"/>
          <w:kern w:val="0"/>
          <w:sz w:val="24"/>
        </w:rPr>
      </w:pPr>
      <w:r>
        <w:rPr>
          <w:rFonts w:ascii="Arial" w:eastAsia="SimSun" w:hAnsi="Arial" w:cs="Arial"/>
          <w:b/>
          <w:color w:val="000000"/>
          <w:kern w:val="0"/>
          <w:sz w:val="24"/>
        </w:rPr>
        <w:lastRenderedPageBreak/>
        <w:t>Note S1 Overview of principle</w:t>
      </w:r>
      <w:r>
        <w:rPr>
          <w:rFonts w:ascii="Arial" w:eastAsia="SimSun" w:hAnsi="Arial" w:cs="Arial" w:hint="eastAsia"/>
          <w:b/>
          <w:color w:val="000000"/>
          <w:kern w:val="0"/>
          <w:sz w:val="24"/>
        </w:rPr>
        <w:t>s</w:t>
      </w:r>
    </w:p>
    <w:p w:rsidR="001E7A75" w:rsidRPr="0050442A" w:rsidRDefault="001E7A75" w:rsidP="0050442A">
      <w:pPr>
        <w:widowControl/>
        <w:jc w:val="left"/>
        <w:rPr>
          <w:rFonts w:ascii="Times New Roman" w:eastAsia="SimSun" w:hAnsi="Times New Roman" w:cs="Times New Roman"/>
          <w:b/>
          <w:color w:val="000000"/>
          <w:kern w:val="0"/>
          <w:szCs w:val="21"/>
        </w:rPr>
      </w:pPr>
      <w:r w:rsidRPr="0050442A">
        <w:rPr>
          <w:rFonts w:ascii="Times New Roman" w:eastAsia="SimSun" w:hAnsi="Times New Roman" w:cs="Times New Roman"/>
          <w:b/>
          <w:color w:val="000000"/>
          <w:kern w:val="0"/>
          <w:szCs w:val="21"/>
        </w:rPr>
        <w:t>1 Sensitivity and limit of detection (</w:t>
      </w:r>
      <w:proofErr w:type="spellStart"/>
      <w:r w:rsidRPr="0050442A">
        <w:rPr>
          <w:rFonts w:ascii="Times New Roman" w:eastAsia="SimSun" w:hAnsi="Times New Roman" w:cs="Times New Roman"/>
          <w:b/>
          <w:color w:val="000000"/>
          <w:kern w:val="0"/>
          <w:szCs w:val="21"/>
        </w:rPr>
        <w:t>LoD</w:t>
      </w:r>
      <w:proofErr w:type="spellEnd"/>
      <w:r w:rsidRPr="0050442A">
        <w:rPr>
          <w:rFonts w:ascii="Times New Roman" w:eastAsia="SimSun" w:hAnsi="Times New Roman" w:cs="Times New Roman"/>
          <w:b/>
          <w:color w:val="000000"/>
          <w:kern w:val="0"/>
          <w:szCs w:val="21"/>
        </w:rPr>
        <w:t>)</w:t>
      </w:r>
    </w:p>
    <w:p w:rsidR="001E7A75" w:rsidRPr="0050442A" w:rsidRDefault="001E7A75" w:rsidP="0050442A">
      <w:pPr>
        <w:widowControl/>
        <w:spacing w:beforeLines="25" w:before="78"/>
        <w:rPr>
          <w:rFonts w:ascii="Times New Roman" w:hAnsi="Times New Roman" w:cs="Times New Roman"/>
        </w:rPr>
      </w:pPr>
      <w:r w:rsidRPr="0050442A">
        <w:rPr>
          <w:rFonts w:ascii="Times New Roman" w:hAnsi="Times New Roman" w:cs="Times New Roman"/>
        </w:rPr>
        <w:t xml:space="preserve">Refractometric optical biosensors exploit the phase change caused by the product of a change in RI (or effective RI) and the propagation length (or effective propagation length). The change in RI typically comes about by partially replacing a (usually aqueous) matrix with higher-index target molecules bound to a film of receptor molecules attached to the transducer surface. The phase change (and hence sensitivity) may be increased with the increase in the propagation length at the expense of compactness or by using a multi-pass or resonant configuration, which may lead to smaller footprint, lower sample volume and greater ease of miniaturization and </w:t>
      </w:r>
      <w:proofErr w:type="spellStart"/>
      <w:r w:rsidRPr="0050442A">
        <w:rPr>
          <w:rFonts w:ascii="Times New Roman" w:hAnsi="Times New Roman" w:cs="Times New Roman"/>
        </w:rPr>
        <w:t>multisensor</w:t>
      </w:r>
      <w:proofErr w:type="spellEnd"/>
      <w:r w:rsidRPr="0050442A">
        <w:rPr>
          <w:rFonts w:ascii="Times New Roman" w:hAnsi="Times New Roman" w:cs="Times New Roman"/>
        </w:rPr>
        <w:t xml:space="preserve"> integration for multiplexing. This phase change must be transformed into a signal measurable on a photodetector, detector array or spectrum </w:t>
      </w:r>
      <w:proofErr w:type="spellStart"/>
      <w:r w:rsidRPr="0050442A">
        <w:rPr>
          <w:rFonts w:ascii="Times New Roman" w:hAnsi="Times New Roman" w:cs="Times New Roman"/>
        </w:rPr>
        <w:t>analyser</w:t>
      </w:r>
      <w:proofErr w:type="spellEnd"/>
      <w:r w:rsidRPr="0050442A">
        <w:rPr>
          <w:rFonts w:ascii="Times New Roman" w:hAnsi="Times New Roman" w:cs="Times New Roman"/>
        </w:rPr>
        <w:t xml:space="preserve">, as an intensity, angle or spectral change, respectively. The role of the transducer then reduces to providing high sensitivity to small changes in RI with small footprint. In biosensors, the </w:t>
      </w:r>
      <w:proofErr w:type="spellStart"/>
      <w:r w:rsidRPr="0050442A">
        <w:rPr>
          <w:rFonts w:ascii="Times New Roman" w:hAnsi="Times New Roman" w:cs="Times New Roman"/>
        </w:rPr>
        <w:t>LoD</w:t>
      </w:r>
      <w:proofErr w:type="spellEnd"/>
      <w:r w:rsidRPr="0050442A">
        <w:rPr>
          <w:rFonts w:ascii="Times New Roman" w:hAnsi="Times New Roman" w:cs="Times New Roman"/>
        </w:rPr>
        <w:t xml:space="preserve"> is generally defined as the minimum detectable concentration of the target in the presence of noise and other fluctuations, and quantified as the concentration which yields a signal three times the standard deviation of blank measurements (containing no target). Comparison between biosensors is complicated by the very many different </w:t>
      </w:r>
      <w:bookmarkStart w:id="3" w:name="_Hlk17883632"/>
      <w:r w:rsidRPr="0050442A">
        <w:rPr>
          <w:rFonts w:ascii="Times New Roman" w:hAnsi="Times New Roman" w:cs="Times New Roman"/>
        </w:rPr>
        <w:t>analytical</w:t>
      </w:r>
      <w:bookmarkEnd w:id="3"/>
      <w:r w:rsidRPr="0050442A">
        <w:rPr>
          <w:rFonts w:ascii="Times New Roman" w:hAnsi="Times New Roman" w:cs="Times New Roman"/>
        </w:rPr>
        <w:t xml:space="preserve"> targets, protocols and operating regimes used. Refractometric transducer evaluation may be achieved independently of optimization of the surface chemistry and assay protocols by maximizing the signal in response to either bulk solution RI changes or to thin film RI or thickness changes, enabling simple device comparisons</w:t>
      </w:r>
      <w:r w:rsidR="00AA31CE">
        <w:rPr>
          <w:rFonts w:ascii="Times New Roman" w:hAnsi="Times New Roman" w:cs="Times New Roman"/>
        </w:rPr>
        <w:t xml:space="preserve"> </w:t>
      </w:r>
      <w:r>
        <w:rPr>
          <w:rFonts w:ascii="Times New Roman" w:hAnsi="Times New Roman" w:cs="Times New Roman"/>
          <w:noProof/>
        </w:rPr>
        <w:t>(Lambeck 1992)</w:t>
      </w:r>
      <w:r w:rsidRPr="0050442A">
        <w:rPr>
          <w:rFonts w:ascii="Times New Roman" w:hAnsi="Times New Roman" w:cs="Times New Roman"/>
        </w:rPr>
        <w:t>. Equivalently, as protein monolayers generally have rather similar refractive indices and densities, a minimum detectable surface density of bound molecules (</w:t>
      </w:r>
      <w:proofErr w:type="spellStart"/>
      <w:r w:rsidRPr="0050442A">
        <w:rPr>
          <w:rFonts w:ascii="Times New Roman" w:hAnsi="Times New Roman" w:cs="Times New Roman"/>
        </w:rPr>
        <w:t>pg</w:t>
      </w:r>
      <w:proofErr w:type="spellEnd"/>
      <w:r w:rsidRPr="0050442A">
        <w:rPr>
          <w:rFonts w:ascii="Times New Roman" w:hAnsi="Times New Roman" w:cs="Times New Roman"/>
        </w:rPr>
        <w:t>/mm</w:t>
      </w:r>
      <w:r w:rsidRPr="0050442A">
        <w:rPr>
          <w:rFonts w:ascii="Times New Roman" w:hAnsi="Times New Roman" w:cs="Times New Roman"/>
          <w:vertAlign w:val="superscript"/>
        </w:rPr>
        <w:t>2</w:t>
      </w:r>
      <w:r w:rsidRPr="0050442A">
        <w:rPr>
          <w:rFonts w:ascii="Times New Roman" w:hAnsi="Times New Roman" w:cs="Times New Roman"/>
        </w:rPr>
        <w:t>) is sometimes used for comparisons.</w:t>
      </w:r>
    </w:p>
    <w:p w:rsidR="001E7A75" w:rsidRPr="0050442A" w:rsidRDefault="001E7A75" w:rsidP="0050442A">
      <w:pPr>
        <w:widowControl/>
        <w:spacing w:beforeLines="25" w:before="78"/>
        <w:rPr>
          <w:rFonts w:ascii="Times New Roman" w:hAnsi="Times New Roman" w:cs="Times New Roman"/>
        </w:rPr>
      </w:pPr>
      <w:r w:rsidRPr="0050442A">
        <w:rPr>
          <w:rFonts w:ascii="Times New Roman" w:hAnsi="Times New Roman" w:cs="Times New Roman"/>
        </w:rPr>
        <w:t>Instrumental detection limit can then be defined as the change in RI, thickness or surface density which results in a signal change of three times the system noise. Noise reduction, though sometimes neglected, is thus as important as sensitivity enhancement. While noise reduction is often independent of the transducer (</w:t>
      </w:r>
      <w:proofErr w:type="spellStart"/>
      <w:r w:rsidRPr="0050442A">
        <w:rPr>
          <w:rFonts w:ascii="Times New Roman" w:hAnsi="Times New Roman" w:cs="Times New Roman"/>
        </w:rPr>
        <w:t>eg</w:t>
      </w:r>
      <w:proofErr w:type="spellEnd"/>
      <w:r w:rsidRPr="0050442A">
        <w:rPr>
          <w:rFonts w:ascii="Times New Roman" w:hAnsi="Times New Roman" w:cs="Times New Roman"/>
        </w:rPr>
        <w:t xml:space="preserve"> reducing noise bandwidth or using phase-sensitive detection) some sources of noise and fluctuations should be considered in the transducer design (</w:t>
      </w:r>
      <w:proofErr w:type="spellStart"/>
      <w:r w:rsidRPr="0050442A">
        <w:rPr>
          <w:rFonts w:ascii="Times New Roman" w:hAnsi="Times New Roman" w:cs="Times New Roman"/>
        </w:rPr>
        <w:t>eg</w:t>
      </w:r>
      <w:proofErr w:type="spellEnd"/>
      <w:r w:rsidRPr="0050442A">
        <w:rPr>
          <w:rFonts w:ascii="Times New Roman" w:hAnsi="Times New Roman" w:cs="Times New Roman"/>
        </w:rPr>
        <w:t xml:space="preserve"> signal power dependent shot noise, and thermal fluctuations and light source fluctuations which may potentially be compensated on chip).</w:t>
      </w:r>
    </w:p>
    <w:p w:rsidR="001E7A75" w:rsidRPr="0050442A" w:rsidRDefault="001E7A75" w:rsidP="0050442A">
      <w:pPr>
        <w:widowControl/>
        <w:spacing w:beforeLines="25" w:before="78"/>
        <w:jc w:val="left"/>
        <w:rPr>
          <w:rFonts w:ascii="Times New Roman" w:eastAsia="SimSun" w:hAnsi="Times New Roman" w:cs="Times New Roman"/>
          <w:b/>
          <w:color w:val="000000"/>
          <w:kern w:val="0"/>
          <w:szCs w:val="21"/>
        </w:rPr>
      </w:pPr>
      <w:r w:rsidRPr="0050442A">
        <w:rPr>
          <w:rFonts w:ascii="Times New Roman" w:eastAsia="SimSun" w:hAnsi="Times New Roman" w:cs="Times New Roman"/>
          <w:b/>
          <w:color w:val="000000"/>
          <w:kern w:val="0"/>
          <w:szCs w:val="21"/>
        </w:rPr>
        <w:t xml:space="preserve">2 </w:t>
      </w:r>
      <w:bookmarkStart w:id="4" w:name="_Hlk13596143"/>
      <w:r w:rsidRPr="0050442A">
        <w:rPr>
          <w:rFonts w:ascii="Times New Roman" w:eastAsia="SimSun" w:hAnsi="Times New Roman" w:cs="Times New Roman"/>
          <w:b/>
          <w:color w:val="000000"/>
          <w:kern w:val="0"/>
          <w:szCs w:val="21"/>
        </w:rPr>
        <w:t xml:space="preserve">Evanescent wave </w:t>
      </w:r>
      <w:proofErr w:type="gramStart"/>
      <w:r w:rsidRPr="0050442A">
        <w:rPr>
          <w:rFonts w:ascii="Times New Roman" w:eastAsia="SimSun" w:hAnsi="Times New Roman" w:cs="Times New Roman"/>
          <w:b/>
          <w:color w:val="000000"/>
          <w:kern w:val="0"/>
          <w:szCs w:val="21"/>
        </w:rPr>
        <w:t>transduction</w:t>
      </w:r>
      <w:bookmarkEnd w:id="4"/>
      <w:proofErr w:type="gramEnd"/>
    </w:p>
    <w:p w:rsidR="001E7A75" w:rsidRPr="0050442A" w:rsidRDefault="001E7A75" w:rsidP="0050442A">
      <w:pPr>
        <w:widowControl/>
        <w:spacing w:beforeLines="25" w:before="78"/>
        <w:rPr>
          <w:rFonts w:ascii="Times New Roman" w:hAnsi="Times New Roman" w:cs="Times New Roman"/>
        </w:rPr>
      </w:pPr>
      <w:r w:rsidRPr="0050442A">
        <w:rPr>
          <w:rFonts w:ascii="Times New Roman" w:hAnsi="Times New Roman" w:cs="Times New Roman"/>
        </w:rPr>
        <w:t xml:space="preserve">In most refractometric transducers, an evanescent wave approach is used, as in the case of conventional ATR (attenuated total reflection) elements. Light incident from the transducer medium on its interface with a target of lower RI is totally reflected but undergoes a phase change which is dependent on the RI of the solution to be </w:t>
      </w:r>
      <w:proofErr w:type="spellStart"/>
      <w:r w:rsidRPr="0050442A">
        <w:rPr>
          <w:rFonts w:ascii="Times New Roman" w:hAnsi="Times New Roman" w:cs="Times New Roman"/>
        </w:rPr>
        <w:t>analysed</w:t>
      </w:r>
      <w:proofErr w:type="spellEnd"/>
      <w:r w:rsidRPr="0050442A">
        <w:rPr>
          <w:rFonts w:ascii="Times New Roman" w:hAnsi="Times New Roman" w:cs="Times New Roman"/>
        </w:rPr>
        <w:t xml:space="preserve"> within the evanescent field.</w:t>
      </w:r>
    </w:p>
    <w:p w:rsidR="001E7A75" w:rsidRPr="00715B57" w:rsidRDefault="001E7A75" w:rsidP="004675AE">
      <w:pPr>
        <w:spacing w:line="480" w:lineRule="auto"/>
        <w:jc w:val="center"/>
        <w:rPr>
          <w:rFonts w:cs="Times New Roman"/>
          <w:bCs/>
          <w:szCs w:val="28"/>
        </w:rPr>
      </w:pPr>
      <w:r>
        <w:rPr>
          <w:noProof/>
        </w:rPr>
        <w:lastRenderedPageBreak/>
        <w:drawing>
          <wp:inline distT="0" distB="0" distL="0" distR="0" wp14:anchorId="213F99EE" wp14:editId="420EBCE8">
            <wp:extent cx="2675255" cy="18154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5255" cy="1815465"/>
                    </a:xfrm>
                    <a:prstGeom prst="rect">
                      <a:avLst/>
                    </a:prstGeom>
                    <a:noFill/>
                    <a:ln>
                      <a:noFill/>
                    </a:ln>
                  </pic:spPr>
                </pic:pic>
              </a:graphicData>
            </a:graphic>
          </wp:inline>
        </w:drawing>
      </w:r>
    </w:p>
    <w:p w:rsidR="001E7A75" w:rsidRPr="0050442A" w:rsidRDefault="001E7A75" w:rsidP="004675AE">
      <w:pPr>
        <w:spacing w:line="480" w:lineRule="auto"/>
        <w:rPr>
          <w:rFonts w:ascii="Times New Roman" w:hAnsi="Times New Roman" w:cs="Times New Roman"/>
          <w:b/>
          <w:bCs/>
          <w:szCs w:val="28"/>
        </w:rPr>
      </w:pPr>
      <w:r w:rsidRPr="0050442A">
        <w:rPr>
          <w:rFonts w:ascii="Times New Roman" w:hAnsi="Times New Roman" w:cs="Times New Roman"/>
          <w:b/>
          <w:bCs/>
          <w:szCs w:val="28"/>
        </w:rPr>
        <w:t>Figure S1</w:t>
      </w:r>
      <w:r w:rsidRPr="0050442A">
        <w:rPr>
          <w:rFonts w:ascii="Times New Roman" w:hAnsi="Times New Roman" w:cs="Times New Roman"/>
          <w:bCs/>
          <w:szCs w:val="28"/>
        </w:rPr>
        <w:t>.</w:t>
      </w:r>
      <w:r w:rsidRPr="0050442A">
        <w:rPr>
          <w:rFonts w:ascii="Times New Roman" w:hAnsi="Times New Roman" w:cs="Times New Roman"/>
          <w:b/>
          <w:bCs/>
          <w:szCs w:val="28"/>
        </w:rPr>
        <w:t xml:space="preserve"> </w:t>
      </w:r>
      <w:r w:rsidRPr="0050442A">
        <w:rPr>
          <w:rFonts w:ascii="Times New Roman" w:hAnsi="Times New Roman" w:cs="Times New Roman"/>
          <w:bCs/>
          <w:szCs w:val="28"/>
        </w:rPr>
        <w:t>Schematic illustration of total internal reflection.</w:t>
      </w:r>
    </w:p>
    <w:p w:rsidR="001E7A75" w:rsidRDefault="001E7A75" w:rsidP="007074A4">
      <w:pPr>
        <w:widowControl/>
        <w:rPr>
          <w:rFonts w:ascii="Times New Roman" w:hAnsi="Times New Roman" w:cs="Times New Roman"/>
          <w:noProof/>
        </w:rPr>
      </w:pPr>
      <w:r w:rsidRPr="0050442A">
        <w:rPr>
          <w:rFonts w:ascii="Times New Roman" w:hAnsi="Times New Roman" w:cs="Times New Roman"/>
        </w:rPr>
        <w:t xml:space="preserve">The evanescent wave, shown in </w:t>
      </w:r>
      <w:r w:rsidRPr="0050442A">
        <w:rPr>
          <w:rFonts w:ascii="Times New Roman" w:hAnsi="Times New Roman" w:cs="Times New Roman"/>
          <w:b/>
        </w:rPr>
        <w:t xml:space="preserve">Figure </w:t>
      </w:r>
      <w:r>
        <w:rPr>
          <w:rFonts w:ascii="Times New Roman" w:hAnsi="Times New Roman" w:cs="Times New Roman"/>
          <w:b/>
        </w:rPr>
        <w:t>S</w:t>
      </w:r>
      <w:r w:rsidRPr="0050442A">
        <w:rPr>
          <w:rFonts w:ascii="Times New Roman" w:hAnsi="Times New Roman" w:cs="Times New Roman"/>
          <w:b/>
        </w:rPr>
        <w:t>2</w:t>
      </w:r>
      <w:r w:rsidRPr="0050442A">
        <w:rPr>
          <w:rFonts w:ascii="Times New Roman" w:hAnsi="Times New Roman" w:cs="Times New Roman"/>
        </w:rPr>
        <w:t xml:space="preserve">, propagates along the interface and decays in the </w:t>
      </w:r>
      <w:r w:rsidRPr="0050442A">
        <w:rPr>
          <w:rFonts w:ascii="Times New Roman" w:hAnsi="Times New Roman" w:cs="Times New Roman"/>
          <w:i/>
        </w:rPr>
        <w:t>z</w:t>
      </w:r>
      <w:r w:rsidRPr="0050442A">
        <w:rPr>
          <w:rFonts w:ascii="Times New Roman" w:hAnsi="Times New Roman" w:cs="Times New Roman"/>
        </w:rPr>
        <w:t xml:space="preserve"> direction normal to the interface, accompanied by an intensity penetration depth given by</w:t>
      </w:r>
      <w:r w:rsidR="00AA31CE">
        <w:rPr>
          <w:rFonts w:ascii="Times New Roman" w:hAnsi="Times New Roman" w:cs="Times New Roman"/>
        </w:rPr>
        <w:t xml:space="preserve"> </w:t>
      </w:r>
      <w:r>
        <w:rPr>
          <w:rFonts w:ascii="Times New Roman" w:hAnsi="Times New Roman" w:cs="Times New Roman"/>
          <w:noProof/>
        </w:rPr>
        <w:t>(Andrade et al. 1985)</w:t>
      </w:r>
    </w:p>
    <w:p w:rsidR="001E7A75" w:rsidRPr="0050442A" w:rsidRDefault="001E7A75" w:rsidP="007074A4">
      <w:pPr>
        <w:widowControl/>
        <w:ind w:left="420" w:firstLine="420"/>
        <w:rPr>
          <w:rFonts w:ascii="Times New Roman" w:hAnsi="Times New Roman" w:cs="Times New Roman"/>
        </w:rPr>
      </w:pPr>
      <w:r w:rsidRPr="0050442A">
        <w:rPr>
          <w:rFonts w:ascii="Times New Roman" w:hAnsi="Times New Roman" w:cs="Times New Roman"/>
          <w:position w:val="-16"/>
        </w:rPr>
        <w:object w:dxaOrig="22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1.75pt" o:ole="">
            <v:imagedata r:id="rId8" o:title=""/>
          </v:shape>
          <o:OLEObject Type="Embed" ProgID="Equation.DSMT4" ShapeID="_x0000_i1025" DrawAspect="Content" ObjectID="_1632029124" r:id="rId9"/>
        </w:object>
      </w:r>
      <w:r w:rsidRPr="0050442A">
        <w:rPr>
          <w:rFonts w:ascii="Times New Roman" w:hAnsi="Times New Roman" w:cs="Times New Roman"/>
        </w:rPr>
        <w:t xml:space="preserve"> where </w:t>
      </w:r>
      <w:r w:rsidRPr="0050442A">
        <w:rPr>
          <w:rFonts w:ascii="Times New Roman" w:hAnsi="Times New Roman" w:cs="Times New Roman"/>
          <w:position w:val="-24"/>
        </w:rPr>
        <w:object w:dxaOrig="2680" w:dyaOrig="620">
          <v:shape id="_x0000_i1026" type="#_x0000_t75" style="width:134.25pt;height:30.75pt" o:ole="">
            <v:imagedata r:id="rId10" o:title=""/>
          </v:shape>
          <o:OLEObject Type="Embed" ProgID="Equation.DSMT4" ShapeID="_x0000_i1026" DrawAspect="Content" ObjectID="_1632029125" r:id="rId11"/>
        </w:object>
      </w:r>
      <w:r w:rsidRPr="0050442A">
        <w:rPr>
          <w:rFonts w:ascii="Times New Roman" w:hAnsi="Times New Roman" w:cs="Times New Roman"/>
        </w:rPr>
        <w:tab/>
      </w:r>
      <w:r w:rsidRPr="0050442A">
        <w:rPr>
          <w:rFonts w:ascii="Times New Roman" w:hAnsi="Times New Roman" w:cs="Times New Roman"/>
        </w:rPr>
        <w:tab/>
      </w:r>
      <w:r w:rsidRPr="0050442A">
        <w:rPr>
          <w:rFonts w:ascii="Times New Roman" w:hAnsi="Times New Roman" w:cs="Times New Roman"/>
        </w:rPr>
        <w:tab/>
      </w:r>
      <w:proofErr w:type="spellStart"/>
      <w:r w:rsidRPr="0050442A">
        <w:rPr>
          <w:rFonts w:ascii="Times New Roman" w:hAnsi="Times New Roman" w:cs="Times New Roman"/>
        </w:rPr>
        <w:t>Eqn</w:t>
      </w:r>
      <w:proofErr w:type="spellEnd"/>
      <w:r w:rsidRPr="0050442A">
        <w:rPr>
          <w:rFonts w:ascii="Times New Roman" w:hAnsi="Times New Roman" w:cs="Times New Roman"/>
        </w:rPr>
        <w:t xml:space="preserve"> (2.1)</w:t>
      </w:r>
    </w:p>
    <w:p w:rsidR="001E7A75" w:rsidRPr="0050442A" w:rsidRDefault="001E7A75" w:rsidP="0050442A">
      <w:pPr>
        <w:spacing w:beforeLines="25" w:before="78"/>
        <w:rPr>
          <w:rFonts w:ascii="Times New Roman" w:hAnsi="Times New Roman" w:cs="Times New Roman"/>
        </w:rPr>
      </w:pPr>
      <w:r w:rsidRPr="0050442A">
        <w:rPr>
          <w:rFonts w:ascii="Times New Roman" w:hAnsi="Times New Roman" w:cs="Times New Roman"/>
        </w:rPr>
        <w:t xml:space="preserve">where </w:t>
      </w:r>
      <w:r w:rsidRPr="0050442A">
        <w:rPr>
          <w:rFonts w:ascii="Times New Roman" w:hAnsi="Times New Roman" w:cs="Times New Roman"/>
          <w:i/>
        </w:rPr>
        <w:t>I</w:t>
      </w:r>
      <w:r w:rsidRPr="0050442A">
        <w:rPr>
          <w:rFonts w:ascii="Times New Roman" w:hAnsi="Times New Roman" w:cs="Times New Roman"/>
          <w:vertAlign w:val="subscript"/>
        </w:rPr>
        <w:t>0</w:t>
      </w:r>
      <w:r w:rsidRPr="0050442A">
        <w:rPr>
          <w:rFonts w:ascii="Times New Roman" w:hAnsi="Times New Roman" w:cs="Times New Roman"/>
        </w:rPr>
        <w:t xml:space="preserve"> is the surface intensity, </w:t>
      </w:r>
      <w:r w:rsidRPr="0050442A">
        <w:rPr>
          <w:rFonts w:ascii="Times New Roman" w:hAnsi="Times New Roman" w:cs="Times New Roman"/>
          <w:i/>
        </w:rPr>
        <w:t>n</w:t>
      </w:r>
      <w:r w:rsidRPr="0050442A">
        <w:rPr>
          <w:rFonts w:ascii="Times New Roman" w:hAnsi="Times New Roman" w:cs="Times New Roman"/>
          <w:vertAlign w:val="subscript"/>
        </w:rPr>
        <w:t>1</w:t>
      </w:r>
      <w:r w:rsidRPr="0050442A">
        <w:rPr>
          <w:rFonts w:ascii="Times New Roman" w:hAnsi="Times New Roman" w:cs="Times New Roman"/>
        </w:rPr>
        <w:t xml:space="preserve"> and </w:t>
      </w:r>
      <w:r w:rsidRPr="0050442A">
        <w:rPr>
          <w:rFonts w:ascii="Times New Roman" w:hAnsi="Times New Roman" w:cs="Times New Roman"/>
          <w:i/>
        </w:rPr>
        <w:t>n</w:t>
      </w:r>
      <w:r w:rsidRPr="0050442A">
        <w:rPr>
          <w:rFonts w:ascii="Times New Roman" w:hAnsi="Times New Roman" w:cs="Times New Roman"/>
          <w:vertAlign w:val="subscript"/>
        </w:rPr>
        <w:t>2</w:t>
      </w:r>
      <w:r w:rsidRPr="0050442A">
        <w:rPr>
          <w:rFonts w:ascii="Times New Roman" w:hAnsi="Times New Roman" w:cs="Times New Roman"/>
        </w:rPr>
        <w:t xml:space="preserve"> are the refractive indices of target sample and transducer medium, respectively, </w:t>
      </w:r>
      <w:r w:rsidRPr="0050442A">
        <w:rPr>
          <w:rFonts w:ascii="Times New Roman" w:hAnsi="Times New Roman" w:cs="Times New Roman"/>
          <w:i/>
        </w:rPr>
        <w:t>λ</w:t>
      </w:r>
      <w:r w:rsidRPr="0050442A">
        <w:rPr>
          <w:rFonts w:ascii="Times New Roman" w:hAnsi="Times New Roman" w:cs="Times New Roman"/>
        </w:rPr>
        <w:t xml:space="preserve"> is the operating wavelength. Evanescent interrogation is convenient for biosensors because (i) receptor molecules can be robustly and controllably assembled on the transducer surface, (ii) the light probes a thin region near the transducer surface and does not go across, often turbid, the bulk sample matrix, (iii) the intensity distribution close to the surface can be very precisely controlled and (iv) multiple reflections can be used to build up the phase change on reflection</w:t>
      </w:r>
      <w:r w:rsidR="00AA31CE">
        <w:rPr>
          <w:rFonts w:ascii="Times New Roman" w:hAnsi="Times New Roman" w:cs="Times New Roman"/>
        </w:rPr>
        <w:t xml:space="preserve"> </w:t>
      </w:r>
      <w:r>
        <w:rPr>
          <w:rFonts w:ascii="Times New Roman" w:hAnsi="Times New Roman" w:cs="Times New Roman"/>
          <w:noProof/>
        </w:rPr>
        <w:t>(Brandenburg et al. 2000)</w:t>
      </w:r>
      <w:r w:rsidRPr="0050442A">
        <w:rPr>
          <w:rFonts w:ascii="Times New Roman" w:hAnsi="Times New Roman" w:cs="Times New Roman"/>
        </w:rPr>
        <w:t>, which is dependent on the RI of the thin film or bulk medium in the evanescent field</w:t>
      </w:r>
      <w:r w:rsidRPr="0050442A">
        <w:rPr>
          <w:rFonts w:ascii="Times New Roman" w:hAnsi="Times New Roman" w:cs="Times New Roman"/>
          <w:bCs/>
        </w:rPr>
        <w:t>.</w:t>
      </w:r>
    </w:p>
    <w:p w:rsidR="001E7A75" w:rsidRPr="0050442A" w:rsidRDefault="001E7A75" w:rsidP="0050442A">
      <w:pPr>
        <w:widowControl/>
        <w:spacing w:beforeLines="25" w:before="78"/>
        <w:jc w:val="left"/>
        <w:rPr>
          <w:rFonts w:ascii="Times New Roman" w:eastAsia="SimSun" w:hAnsi="Times New Roman" w:cs="Times New Roman"/>
          <w:b/>
          <w:color w:val="000000"/>
          <w:kern w:val="0"/>
          <w:szCs w:val="21"/>
        </w:rPr>
      </w:pPr>
      <w:r w:rsidRPr="0050442A">
        <w:rPr>
          <w:rFonts w:ascii="Times New Roman" w:eastAsia="SimSun" w:hAnsi="Times New Roman" w:cs="Times New Roman"/>
          <w:b/>
          <w:color w:val="000000"/>
          <w:kern w:val="0"/>
          <w:szCs w:val="21"/>
        </w:rPr>
        <w:t xml:space="preserve">3 </w:t>
      </w:r>
      <w:bookmarkStart w:id="5" w:name="_Hlk13596159"/>
      <w:r w:rsidRPr="0050442A">
        <w:rPr>
          <w:rFonts w:ascii="Times New Roman" w:eastAsia="SimSun" w:hAnsi="Times New Roman" w:cs="Times New Roman"/>
          <w:b/>
          <w:color w:val="000000"/>
          <w:kern w:val="0"/>
          <w:szCs w:val="21"/>
        </w:rPr>
        <w:t>Optical waveguides as transducers</w:t>
      </w:r>
      <w:bookmarkEnd w:id="5"/>
    </w:p>
    <w:p w:rsidR="001E7A75" w:rsidRPr="0050442A" w:rsidRDefault="001E7A75" w:rsidP="0050442A">
      <w:pPr>
        <w:spacing w:beforeLines="25" w:before="78"/>
        <w:rPr>
          <w:rFonts w:ascii="Times New Roman" w:hAnsi="Times New Roman" w:cs="Times New Roman"/>
        </w:rPr>
      </w:pPr>
      <w:r w:rsidRPr="0050442A">
        <w:rPr>
          <w:rFonts w:ascii="Times New Roman" w:hAnsi="Times New Roman" w:cs="Times New Roman"/>
        </w:rPr>
        <w:t>Transformation of an expensive and bulky ATR element into a highly sensitive, miniaturized transducer with an intensity output (including intensity vs angle or vs wavelength) rather than a phase output is often achieved using monomode optical waveguides. Specifically, these allow precise control of intensity distribution over the surface yielding high stability, maximization of the number of reflections per unit length for high contrast waveguide designs, long interaction lengths by photolithographic path definition, integration of interferometric structures to transform phase changes into intensity changes, and of reference branches to compensate source fluctuations. More generally, in principle they can be massively produced cheaply using microelectronic fabrication techniques and offer a robust “solid-state” approach and ready multisensor integration.</w:t>
      </w:r>
    </w:p>
    <w:p w:rsidR="001E7A75" w:rsidRPr="0050442A" w:rsidRDefault="001E7A75" w:rsidP="0050442A">
      <w:pPr>
        <w:spacing w:beforeLines="25" w:before="78"/>
        <w:rPr>
          <w:rFonts w:ascii="Times New Roman" w:hAnsi="Times New Roman" w:cs="Times New Roman"/>
        </w:rPr>
      </w:pPr>
      <w:r w:rsidRPr="0050442A">
        <w:rPr>
          <w:rFonts w:ascii="Times New Roman" w:hAnsi="Times New Roman" w:cs="Times New Roman"/>
        </w:rPr>
        <w:t xml:space="preserve">In its simplest form, an optical waveguide comprises a high-RI dielectric film deposited on a low-RI substrate. Rays can be trapped by total internal reflection at both of the film-substrate and the film-solution interfaces. The number of reflections per unit length increases as the film thickness reduces, increasing sensitivity to RI changes at the surface. As the film becomes very thin, this ray picture breaks down and an electromagnetic analysis of the waveguide modes must be performed. The highest sensitivity to surface RI changes occurs for waveguides which only support one propagating mode and, for thin-film detection, whose thickness and indices (film and substrate) are optimized for maximum intensity at the waveguide surface. The electromagnetic analysis of these </w:t>
      </w:r>
      <w:r w:rsidRPr="0050442A">
        <w:rPr>
          <w:rFonts w:ascii="Times New Roman" w:hAnsi="Times New Roman" w:cs="Times New Roman"/>
        </w:rPr>
        <w:lastRenderedPageBreak/>
        <w:t xml:space="preserve">structures yields a modal field distribution across the waveguide, with a cosine dependence across the film and exponential decay (evanescent field) in the substrate and the dielectric medium to be analysed, as shown in </w:t>
      </w:r>
      <w:r w:rsidRPr="0050442A">
        <w:rPr>
          <w:rFonts w:ascii="Times New Roman" w:hAnsi="Times New Roman" w:cs="Times New Roman"/>
          <w:b/>
        </w:rPr>
        <w:t xml:space="preserve">Figure </w:t>
      </w:r>
      <w:r>
        <w:rPr>
          <w:rFonts w:ascii="Times New Roman" w:hAnsi="Times New Roman" w:cs="Times New Roman"/>
          <w:b/>
        </w:rPr>
        <w:t>S2</w:t>
      </w:r>
      <w:r w:rsidRPr="0050442A">
        <w:rPr>
          <w:rFonts w:ascii="Times New Roman" w:hAnsi="Times New Roman" w:cs="Times New Roman"/>
          <w:b/>
        </w:rPr>
        <w:t>a</w:t>
      </w:r>
      <w:r w:rsidRPr="0050442A">
        <w:rPr>
          <w:rFonts w:ascii="Times New Roman" w:hAnsi="Times New Roman" w:cs="Times New Roman"/>
        </w:rPr>
        <w:t xml:space="preserve">. It also yields the effective RI of the mode, </w:t>
      </w:r>
      <w:r w:rsidRPr="0050442A">
        <w:rPr>
          <w:rFonts w:ascii="Times New Roman" w:hAnsi="Times New Roman" w:cs="Times New Roman"/>
          <w:i/>
        </w:rPr>
        <w:t>n</w:t>
      </w:r>
      <w:r w:rsidRPr="0050442A">
        <w:rPr>
          <w:rFonts w:ascii="Times New Roman" w:hAnsi="Times New Roman" w:cs="Times New Roman"/>
          <w:i/>
          <w:vertAlign w:val="subscript"/>
        </w:rPr>
        <w:t>eff</w:t>
      </w:r>
      <w:r w:rsidRPr="0050442A">
        <w:rPr>
          <w:rFonts w:ascii="Times New Roman" w:hAnsi="Times New Roman" w:cs="Times New Roman"/>
        </w:rPr>
        <w:t xml:space="preserve">, which gives the phase velocity as </w:t>
      </w:r>
      <w:r w:rsidRPr="0050442A">
        <w:rPr>
          <w:rFonts w:ascii="Times New Roman" w:hAnsi="Times New Roman" w:cs="Times New Roman"/>
          <w:i/>
        </w:rPr>
        <w:t>v</w:t>
      </w:r>
      <w:r w:rsidRPr="0050442A">
        <w:rPr>
          <w:rFonts w:ascii="Times New Roman" w:hAnsi="Times New Roman" w:cs="Times New Roman"/>
          <w:i/>
          <w:vertAlign w:val="subscript"/>
        </w:rPr>
        <w:t>p</w:t>
      </w:r>
      <w:r w:rsidRPr="0050442A">
        <w:rPr>
          <w:rFonts w:ascii="Times New Roman" w:hAnsi="Times New Roman" w:cs="Times New Roman"/>
        </w:rPr>
        <w:t xml:space="preserve"> = </w:t>
      </w:r>
      <w:r w:rsidRPr="0050442A">
        <w:rPr>
          <w:rFonts w:ascii="Times New Roman" w:hAnsi="Times New Roman" w:cs="Times New Roman"/>
          <w:i/>
        </w:rPr>
        <w:t>c</w:t>
      </w:r>
      <w:r w:rsidRPr="0050442A">
        <w:rPr>
          <w:rFonts w:ascii="Times New Roman" w:hAnsi="Times New Roman" w:cs="Times New Roman"/>
        </w:rPr>
        <w:t>/</w:t>
      </w:r>
      <w:r w:rsidRPr="0050442A">
        <w:rPr>
          <w:rFonts w:ascii="Times New Roman" w:hAnsi="Times New Roman" w:cs="Times New Roman"/>
          <w:i/>
        </w:rPr>
        <w:t>n</w:t>
      </w:r>
      <w:r w:rsidRPr="0050442A">
        <w:rPr>
          <w:rFonts w:ascii="Times New Roman" w:hAnsi="Times New Roman" w:cs="Times New Roman"/>
          <w:i/>
          <w:vertAlign w:val="subscript"/>
        </w:rPr>
        <w:t>eff</w:t>
      </w:r>
      <w:r w:rsidRPr="0050442A">
        <w:rPr>
          <w:rFonts w:ascii="Times New Roman" w:hAnsi="Times New Roman" w:cs="Times New Roman"/>
        </w:rPr>
        <w:t xml:space="preserve">. In approximate terms, the effective index is an average of the physical refractive indices of the waveguide core, waeguide substrate and target solution, weighted according to the proportion of power travelling in each medium. The effective index for a typical waveguide structure </w:t>
      </w:r>
      <w:r w:rsidRPr="0050442A">
        <w:rPr>
          <w:rFonts w:ascii="Times New Roman" w:hAnsi="Times New Roman" w:cs="Times New Roman"/>
          <w:i/>
        </w:rPr>
        <w:t>vs</w:t>
      </w:r>
      <w:r w:rsidRPr="0050442A">
        <w:rPr>
          <w:rFonts w:ascii="Times New Roman" w:hAnsi="Times New Roman" w:cs="Times New Roman"/>
        </w:rPr>
        <w:t xml:space="preserve"> core thickness normalized to wavelength (</w:t>
      </w:r>
      <w:r w:rsidRPr="0050442A">
        <w:rPr>
          <w:rFonts w:ascii="Times New Roman" w:hAnsi="Times New Roman" w:cs="Times New Roman"/>
          <w:i/>
        </w:rPr>
        <w:t>t</w:t>
      </w:r>
      <w:r w:rsidRPr="0050442A">
        <w:rPr>
          <w:rFonts w:ascii="Times New Roman" w:hAnsi="Times New Roman" w:cs="Times New Roman"/>
          <w:i/>
          <w:vertAlign w:val="subscript"/>
        </w:rPr>
        <w:t>norm</w:t>
      </w:r>
      <w:r w:rsidRPr="0050442A">
        <w:rPr>
          <w:rFonts w:ascii="Times New Roman" w:hAnsi="Times New Roman" w:cs="Times New Roman"/>
        </w:rPr>
        <w:t xml:space="preserve"> = </w:t>
      </w:r>
      <w:r w:rsidRPr="0050442A">
        <w:rPr>
          <w:rFonts w:ascii="Times New Roman" w:hAnsi="Times New Roman" w:cs="Times New Roman"/>
          <w:i/>
        </w:rPr>
        <w:t>a</w:t>
      </w:r>
      <w:r w:rsidRPr="0050442A">
        <w:rPr>
          <w:rFonts w:ascii="Times New Roman" w:hAnsi="Times New Roman" w:cs="Times New Roman"/>
        </w:rPr>
        <w:t>/</w:t>
      </w:r>
      <w:r w:rsidRPr="0050442A">
        <w:rPr>
          <w:rFonts w:ascii="Times New Roman" w:hAnsi="Times New Roman" w:cs="Times New Roman"/>
          <w:i/>
        </w:rPr>
        <w:t>λ</w:t>
      </w:r>
      <w:r w:rsidRPr="0050442A">
        <w:rPr>
          <w:rFonts w:ascii="Times New Roman" w:hAnsi="Times New Roman" w:cs="Times New Roman"/>
        </w:rPr>
        <w:t xml:space="preserve">) is shown in </w:t>
      </w:r>
      <w:r w:rsidRPr="0050442A">
        <w:rPr>
          <w:rFonts w:ascii="Times New Roman" w:hAnsi="Times New Roman" w:cs="Times New Roman"/>
          <w:b/>
        </w:rPr>
        <w:t xml:space="preserve">Figure </w:t>
      </w:r>
      <w:r>
        <w:rPr>
          <w:rFonts w:ascii="Times New Roman" w:hAnsi="Times New Roman" w:cs="Times New Roman"/>
          <w:b/>
        </w:rPr>
        <w:t>S2</w:t>
      </w:r>
      <w:r w:rsidRPr="0050442A">
        <w:rPr>
          <w:rFonts w:ascii="Times New Roman" w:hAnsi="Times New Roman" w:cs="Times New Roman"/>
          <w:b/>
        </w:rPr>
        <w:t>b</w:t>
      </w:r>
      <w:r w:rsidRPr="0050442A">
        <w:rPr>
          <w:rFonts w:ascii="Times New Roman" w:hAnsi="Times New Roman" w:cs="Times New Roman"/>
        </w:rPr>
        <w:t>.</w:t>
      </w:r>
    </w:p>
    <w:p w:rsidR="001E7A75" w:rsidRDefault="001E7A75" w:rsidP="0050442A">
      <w:pPr>
        <w:spacing w:line="480" w:lineRule="auto"/>
        <w:jc w:val="left"/>
        <w:rPr>
          <w:noProof/>
        </w:rPr>
      </w:pPr>
      <w:r>
        <w:rPr>
          <w:noProof/>
        </w:rPr>
        <w:drawing>
          <wp:inline distT="0" distB="0" distL="0" distR="0" wp14:anchorId="64F7ED3C" wp14:editId="16B668C6">
            <wp:extent cx="5234410" cy="2006221"/>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3806" cy="2028986"/>
                    </a:xfrm>
                    <a:prstGeom prst="rect">
                      <a:avLst/>
                    </a:prstGeom>
                    <a:noFill/>
                    <a:ln>
                      <a:noFill/>
                    </a:ln>
                  </pic:spPr>
                </pic:pic>
              </a:graphicData>
            </a:graphic>
          </wp:inline>
        </w:drawing>
      </w:r>
    </w:p>
    <w:p w:rsidR="001E7A75" w:rsidRPr="0050442A" w:rsidRDefault="001E7A75" w:rsidP="0050442A">
      <w:pPr>
        <w:rPr>
          <w:rFonts w:ascii="Times New Roman" w:hAnsi="Times New Roman" w:cs="Times New Roman"/>
          <w:lang w:val="en-GB"/>
        </w:rPr>
      </w:pPr>
      <w:r w:rsidRPr="0050442A">
        <w:rPr>
          <w:rFonts w:ascii="Times New Roman" w:hAnsi="Times New Roman" w:cs="Times New Roman"/>
          <w:noProof/>
        </w:rPr>
        <mc:AlternateContent>
          <mc:Choice Requires="wps">
            <w:drawing>
              <wp:anchor distT="45720" distB="45720" distL="114300" distR="114300" simplePos="0" relativeHeight="251659264" behindDoc="0" locked="0" layoutInCell="0" allowOverlap="1" wp14:anchorId="159F745C" wp14:editId="55237D93">
                <wp:simplePos x="0" y="0"/>
                <wp:positionH relativeFrom="column">
                  <wp:posOffset>-5352415</wp:posOffset>
                </wp:positionH>
                <wp:positionV relativeFrom="paragraph">
                  <wp:posOffset>351155</wp:posOffset>
                </wp:positionV>
                <wp:extent cx="2242185" cy="0"/>
                <wp:effectExtent l="10160" t="55880" r="14605" b="5842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2185" cy="0"/>
                        </a:xfrm>
                        <a:prstGeom prst="straightConnector1">
                          <a:avLst/>
                        </a:prstGeom>
                        <a:noFill/>
                        <a:ln w="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01248B7" id="_x0000_t32" coordsize="21600,21600" o:spt="32" o:oned="t" path="m,l21600,21600e" filled="f">
                <v:path arrowok="t" fillok="f" o:connecttype="none"/>
                <o:lock v:ext="edit" shapetype="t"/>
              </v:shapetype>
              <v:shape id="直接箭头连接符 33" o:spid="_x0000_s1026" type="#_x0000_t32" style="position:absolute;left:0;text-align:left;margin-left:-421.45pt;margin-top:27.65pt;width:176.55pt;height: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lUQIAAGgEAAAOAAAAZHJzL2Uyb0RvYy54bWysVM1uEzEQviPxDpbv6Wa325KusqnQbsKl&#10;QKSWB3Bsb9bCa1u2m02EeAVeAIkTcAJOvfM0UB6DsfMDLReEyMEZezzffDPzecfn606iFbdOaFXi&#10;9GiIEVdUM6GWJX5xNRuMMHKeKEakVrzEG+7w+eThg3FvCp7pVkvGLQIQ5YrelLj13hRJ4mjLO+KO&#10;tOEKnI22HfGwtcuEWdIDeieTbDg8TXptmbGacufgtN468STiNw2n/nnTOO6RLDFw83G1cV2ENZmM&#10;SbG0xLSC7miQf2DREaEg6QGqJp6gayv+gOoEtdrpxh9R3SW6aQTlsQaoJh3eq+ayJYbHWqA5zhza&#10;5P4fLH22mlskWImPjzFSpIMZ3b69+f7mw+2Xz9/e3/z4+i7Ynz4i8EOzeuMKiKnU3IZy6VpdmgtN&#10;XzqkdNUSteSR9NXGAFAaIpI7IWHjDKRc9E81gzvk2uvYuXVjuwAJPUHrOKDNYUB87RGFwyzLs3R0&#10;ghHd+xJS7AONdf4J1x0KRomdt0QsW19ppUAG2qYxDVldOB9okWIfELIqPRNSRjVIhfqQORw7LQUL&#10;nrixy0UlLVqRIKb4iwXeu2b1tWIRqeWETXe2J0KCjXzsjLcCeiU5Dqk6zjCSHN5PsLbcpAoZoW5g&#10;u7O2enp1NjybjqajfJBnp9NBPqzrweNZlQ9OZ+mjk/q4rqo6fR3Ip3nRCsa4Cvz32k7zv9PO7pVt&#10;VXlQ96FLyV302E4gu/+PpOPgw6y3qllotpnbUF3QAMg5Xt49vfBeft/HW78+EJOfAAAA//8DAFBL&#10;AwQUAAYACAAAACEA62vdpOEAAAALAQAADwAAAGRycy9kb3ducmV2LnhtbEyPTU/DMAyG70j8h8hI&#10;3LqUtZu60nTi88AOIAYXbmlj2mqNU5psK/x6jDjA0faj189brCfbiwOOvnOk4GIWg0CqnemoUfD6&#10;ch9lIHzQZHTvCBV8ood1eXpS6Ny4Iz3jYRsawSHkc62gDWHIpfR1i1b7mRuQ+PbuRqsDj2MjzaiP&#10;HG57OY/jpbS6I/7Q6gFvWqx3271VkMrsKblLdrc4vm0evx6qj3p5rZU6P5uuLkEEnMIfDD/6rA4l&#10;O1VuT8aLXkGUpfMVswoWiwQEE1GarbhN9buRZSH/dyi/AQAA//8DAFBLAQItABQABgAIAAAAIQC2&#10;gziS/gAAAOEBAAATAAAAAAAAAAAAAAAAAAAAAABbQ29udGVudF9UeXBlc10ueG1sUEsBAi0AFAAG&#10;AAgAAAAhADj9If/WAAAAlAEAAAsAAAAAAAAAAAAAAAAALwEAAF9yZWxzLy5yZWxzUEsBAi0AFAAG&#10;AAgAAAAhAPP+VmVRAgAAaAQAAA4AAAAAAAAAAAAAAAAALgIAAGRycy9lMm9Eb2MueG1sUEsBAi0A&#10;FAAGAAgAAAAhAOtr3aThAAAACwEAAA8AAAAAAAAAAAAAAAAAqwQAAGRycy9kb3ducmV2LnhtbFBL&#10;BQYAAAAABAAEAPMAAAC5BQAAAAA=&#10;" o:allowincell="f" strokeweight="0">
                <v:stroke endarrow="block"/>
              </v:shape>
            </w:pict>
          </mc:Fallback>
        </mc:AlternateContent>
      </w:r>
      <w:r w:rsidRPr="0050442A">
        <w:rPr>
          <w:rFonts w:ascii="Times New Roman" w:hAnsi="Times New Roman" w:cs="Times New Roman"/>
          <w:b/>
          <w:lang w:val="en-GB"/>
        </w:rPr>
        <w:t>Figure S2</w:t>
      </w:r>
      <w:r w:rsidRPr="0050442A">
        <w:rPr>
          <w:rFonts w:ascii="Times New Roman" w:hAnsi="Times New Roman" w:cs="Times New Roman"/>
          <w:lang w:val="en-GB"/>
        </w:rPr>
        <w:t xml:space="preserve">. (a) Modal electric field distributions of the first two TE polarised modes; (b) Modal effective indices for the first three modes in both polarisations </w:t>
      </w:r>
      <w:r w:rsidRPr="0050442A">
        <w:rPr>
          <w:rFonts w:ascii="Times New Roman" w:hAnsi="Times New Roman" w:cs="Times New Roman"/>
          <w:i/>
          <w:lang w:val="en-GB"/>
        </w:rPr>
        <w:t>vs</w:t>
      </w:r>
      <w:r w:rsidRPr="0050442A">
        <w:rPr>
          <w:rFonts w:ascii="Times New Roman" w:hAnsi="Times New Roman" w:cs="Times New Roman"/>
          <w:lang w:val="en-GB"/>
        </w:rPr>
        <w:t xml:space="preserve"> </w:t>
      </w:r>
      <w:r w:rsidRPr="0050442A">
        <w:rPr>
          <w:rFonts w:ascii="Times New Roman" w:hAnsi="Times New Roman" w:cs="Times New Roman"/>
          <w:i/>
          <w:lang w:val="en-GB"/>
        </w:rPr>
        <w:t>t</w:t>
      </w:r>
      <w:r w:rsidRPr="0050442A">
        <w:rPr>
          <w:rFonts w:ascii="Times New Roman" w:hAnsi="Times New Roman" w:cs="Times New Roman"/>
          <w:i/>
          <w:vertAlign w:val="subscript"/>
          <w:lang w:val="en-GB"/>
        </w:rPr>
        <w:t>norm</w:t>
      </w:r>
      <w:r w:rsidRPr="0050442A">
        <w:rPr>
          <w:rFonts w:ascii="Times New Roman" w:hAnsi="Times New Roman" w:cs="Times New Roman"/>
          <w:lang w:val="en-GB"/>
        </w:rPr>
        <w:t xml:space="preserve">. Substrate, core and target indices are 1.51, 2.03 and 1.33, respectively. Note that in this case the waveguide is monomode for </w:t>
      </w:r>
      <w:r w:rsidRPr="0050442A">
        <w:rPr>
          <w:rFonts w:ascii="Times New Roman" w:hAnsi="Times New Roman" w:cs="Times New Roman"/>
          <w:i/>
          <w:lang w:val="en-GB"/>
        </w:rPr>
        <w:t>t</w:t>
      </w:r>
      <w:r w:rsidRPr="0050442A">
        <w:rPr>
          <w:rFonts w:ascii="Times New Roman" w:hAnsi="Times New Roman" w:cs="Times New Roman"/>
          <w:i/>
          <w:vertAlign w:val="subscript"/>
          <w:lang w:val="en-GB"/>
        </w:rPr>
        <w:t>norm</w:t>
      </w:r>
      <w:r w:rsidRPr="0050442A">
        <w:rPr>
          <w:rFonts w:ascii="Times New Roman" w:hAnsi="Times New Roman" w:cs="Times New Roman"/>
          <w:lang w:val="en-GB"/>
        </w:rPr>
        <w:t xml:space="preserve"> between approximately 0.45 and 7.3.</w:t>
      </w:r>
    </w:p>
    <w:p w:rsidR="001E7A75" w:rsidRDefault="001E7A75" w:rsidP="0050442A">
      <w:pPr>
        <w:spacing w:beforeLines="50" w:before="156"/>
        <w:rPr>
          <w:rFonts w:ascii="Times New Roman" w:hAnsi="Times New Roman" w:cs="Times New Roman"/>
        </w:rPr>
      </w:pPr>
      <w:r w:rsidRPr="0050442A">
        <w:rPr>
          <w:rFonts w:ascii="Times New Roman" w:hAnsi="Times New Roman" w:cs="Times New Roman"/>
        </w:rPr>
        <w:t xml:space="preserve">In terms of a ray description, the angle </w:t>
      </w:r>
      <w:r w:rsidRPr="0050442A">
        <w:rPr>
          <w:rFonts w:ascii="Times New Roman" w:hAnsi="Times New Roman" w:cs="Times New Roman"/>
          <w:i/>
        </w:rPr>
        <w:t>θ</w:t>
      </w:r>
      <w:r w:rsidRPr="0050442A">
        <w:rPr>
          <w:rFonts w:ascii="Times New Roman" w:hAnsi="Times New Roman" w:cs="Times New Roman"/>
        </w:rPr>
        <w:t xml:space="preserve"> in </w:t>
      </w:r>
      <w:r w:rsidRPr="0050442A">
        <w:rPr>
          <w:rFonts w:ascii="Times New Roman" w:hAnsi="Times New Roman" w:cs="Times New Roman"/>
          <w:b/>
        </w:rPr>
        <w:t>Figure S1</w:t>
      </w:r>
      <w:r w:rsidRPr="0050442A">
        <w:rPr>
          <w:rFonts w:ascii="Times New Roman" w:hAnsi="Times New Roman" w:cs="Times New Roman"/>
        </w:rPr>
        <w:t xml:space="preserve"> is associated with the effective index by </w:t>
      </w:r>
      <w:r w:rsidRPr="0050442A">
        <w:rPr>
          <w:rFonts w:ascii="Times New Roman" w:hAnsi="Times New Roman" w:cs="Times New Roman"/>
          <w:i/>
        </w:rPr>
        <w:t>n</w:t>
      </w:r>
      <w:r w:rsidRPr="0050442A">
        <w:rPr>
          <w:rFonts w:ascii="Times New Roman" w:hAnsi="Times New Roman" w:cs="Times New Roman"/>
          <w:i/>
          <w:vertAlign w:val="subscript"/>
        </w:rPr>
        <w:t>eff</w:t>
      </w:r>
      <w:r w:rsidRPr="0050442A">
        <w:rPr>
          <w:rFonts w:ascii="Times New Roman" w:hAnsi="Times New Roman" w:cs="Times New Roman"/>
        </w:rPr>
        <w:t xml:space="preserve"> = </w:t>
      </w:r>
      <w:r w:rsidRPr="0050442A">
        <w:rPr>
          <w:rFonts w:ascii="Times New Roman" w:hAnsi="Times New Roman" w:cs="Times New Roman"/>
          <w:i/>
        </w:rPr>
        <w:t>n</w:t>
      </w:r>
      <w:r w:rsidRPr="0050442A">
        <w:rPr>
          <w:rFonts w:ascii="Times New Roman" w:hAnsi="Times New Roman" w:cs="Times New Roman"/>
          <w:vertAlign w:val="subscript"/>
        </w:rPr>
        <w:t>2</w:t>
      </w:r>
      <w:r w:rsidRPr="0050442A">
        <w:rPr>
          <w:rFonts w:ascii="Times New Roman" w:hAnsi="Times New Roman" w:cs="Times New Roman"/>
        </w:rPr>
        <w:t xml:space="preserve"> sin(</w:t>
      </w:r>
      <w:r w:rsidRPr="0050442A">
        <w:rPr>
          <w:rFonts w:ascii="Times New Roman" w:hAnsi="Times New Roman" w:cs="Times New Roman"/>
          <w:i/>
        </w:rPr>
        <w:t>θ</w:t>
      </w:r>
      <w:r w:rsidRPr="0050442A">
        <w:rPr>
          <w:rFonts w:ascii="Times New Roman" w:hAnsi="Times New Roman" w:cs="Times New Roman"/>
        </w:rPr>
        <w:t>), so that the penetration depth of the evanescent field increases with the decreased film thickness and effective index. This interplay contributes in a maximum in surface intensity (for a given modal power) at a specific thickness, and high RI films yield higher surface intensity and shorter penetration depth, rendering them ideal for refractometry of thin biological films at their surfaces. Perhaps the most significant benefits of waveguide transducers are that, (i) despite the small fraction of the modal field interacting with the biological film, a very strong interaction may be achieved by confining the optical fields tightly at the surface, without diffraction, over centimetres of length while the biological film is likely nanometers in thickness, and (ii) that this may be easily wrapped into a sub mm</w:t>
      </w:r>
      <w:r w:rsidRPr="0050442A">
        <w:rPr>
          <w:rFonts w:ascii="Times New Roman" w:hAnsi="Times New Roman" w:cs="Times New Roman"/>
          <w:vertAlign w:val="superscript"/>
        </w:rPr>
        <w:t>2</w:t>
      </w:r>
      <w:r w:rsidRPr="0050442A">
        <w:rPr>
          <w:rFonts w:ascii="Times New Roman" w:hAnsi="Times New Roman" w:cs="Times New Roman"/>
        </w:rPr>
        <w:t xml:space="preserve"> area</w:t>
      </w:r>
      <w:r>
        <w:rPr>
          <w:rFonts w:ascii="Times New Roman" w:hAnsi="Times New Roman" w:cs="Times New Roman"/>
        </w:rPr>
        <w:t xml:space="preserve"> </w:t>
      </w:r>
      <w:r>
        <w:rPr>
          <w:rFonts w:ascii="Times New Roman" w:hAnsi="Times New Roman" w:cs="Times New Roman"/>
          <w:bCs/>
          <w:noProof/>
          <w:szCs w:val="28"/>
        </w:rPr>
        <w:t>(Liu et al. 2013)</w:t>
      </w:r>
      <w:r w:rsidRPr="0050442A">
        <w:rPr>
          <w:rFonts w:ascii="Times New Roman" w:hAnsi="Times New Roman" w:cs="Times New Roman"/>
        </w:rPr>
        <w:t>. Despite their name, the majority of monomode planar waveguides support one independent mode in each of two polarisations, having different field distributions and effective indices. Normally waveguide transducers are designed to operate in one of these polarisations alone.</w:t>
      </w:r>
    </w:p>
    <w:p w:rsidR="001E7A75" w:rsidRDefault="001E7A75">
      <w:pPr>
        <w:widowControl/>
        <w:jc w:val="left"/>
        <w:rPr>
          <w:rFonts w:ascii="Times New Roman" w:hAnsi="Times New Roman" w:cs="Times New Roman"/>
        </w:rPr>
      </w:pPr>
      <w:r>
        <w:rPr>
          <w:rFonts w:ascii="Times New Roman" w:hAnsi="Times New Roman" w:cs="Times New Roman"/>
        </w:rPr>
        <w:br w:type="page"/>
      </w:r>
    </w:p>
    <w:p w:rsidR="001E7A75" w:rsidRPr="008A4012" w:rsidRDefault="001E7A75" w:rsidP="00420527">
      <w:pPr>
        <w:spacing w:beforeLines="100" w:before="312" w:afterLines="50" w:after="156"/>
        <w:rPr>
          <w:rFonts w:ascii="Arial" w:eastAsia="SimSun" w:hAnsi="Arial" w:cs="Arial"/>
          <w:b/>
          <w:color w:val="000000" w:themeColor="text1"/>
          <w:kern w:val="0"/>
          <w:sz w:val="24"/>
        </w:rPr>
      </w:pPr>
      <w:r w:rsidRPr="008A4012">
        <w:rPr>
          <w:rFonts w:ascii="Arial" w:eastAsia="SimSun" w:hAnsi="Arial" w:cs="Arial"/>
          <w:b/>
          <w:color w:val="000000" w:themeColor="text1"/>
          <w:kern w:val="0"/>
          <w:sz w:val="24"/>
        </w:rPr>
        <w:lastRenderedPageBreak/>
        <w:t>Note S</w:t>
      </w:r>
      <w:r w:rsidRPr="008A4012">
        <w:rPr>
          <w:rFonts w:ascii="Arial" w:eastAsia="SimSun" w:hAnsi="Arial" w:cs="Arial" w:hint="eastAsia"/>
          <w:b/>
          <w:color w:val="000000" w:themeColor="text1"/>
          <w:kern w:val="0"/>
          <w:sz w:val="24"/>
        </w:rPr>
        <w:t>2</w:t>
      </w:r>
      <w:r w:rsidRPr="008A4012">
        <w:rPr>
          <w:rFonts w:ascii="Arial" w:eastAsia="SimSun" w:hAnsi="Arial" w:cs="Arial"/>
          <w:b/>
          <w:color w:val="000000" w:themeColor="text1"/>
          <w:kern w:val="0"/>
          <w:sz w:val="24"/>
        </w:rPr>
        <w:t xml:space="preserve"> Basic principle of SP, coupling methods to excite SPs and resonance conditions</w:t>
      </w:r>
    </w:p>
    <w:p w:rsidR="001E7A75" w:rsidRPr="008A4012" w:rsidRDefault="001E7A75" w:rsidP="002668C1">
      <w:pPr>
        <w:spacing w:beforeLines="50" w:before="156"/>
        <w:rPr>
          <w:rFonts w:ascii="Times New Roman" w:hAnsi="Times New Roman" w:cs="Times New Roman"/>
          <w:b/>
          <w:color w:val="000000" w:themeColor="text1"/>
        </w:rPr>
      </w:pPr>
      <w:r w:rsidRPr="008A4012">
        <w:rPr>
          <w:rFonts w:ascii="Times New Roman" w:hAnsi="Times New Roman" w:cs="Times New Roman"/>
          <w:b/>
          <w:color w:val="000000" w:themeColor="text1"/>
        </w:rPr>
        <w:t>1 Basic principle of SP</w:t>
      </w:r>
    </w:p>
    <w:p w:rsidR="001E7A75" w:rsidRPr="008A4012" w:rsidRDefault="001E7A75" w:rsidP="00D529C6">
      <w:pPr>
        <w:spacing w:beforeLines="25" w:before="78"/>
        <w:rPr>
          <w:rFonts w:ascii="Times New Roman" w:hAnsi="Times New Roman" w:cs="Times New Roman"/>
          <w:color w:val="000000" w:themeColor="text1"/>
          <w:szCs w:val="28"/>
        </w:rPr>
      </w:pPr>
      <w:r w:rsidRPr="008A4012">
        <w:rPr>
          <w:rFonts w:ascii="Times New Roman" w:hAnsi="Times New Roman" w:cs="Times New Roman"/>
          <w:color w:val="000000" w:themeColor="text1"/>
          <w:szCs w:val="28"/>
        </w:rPr>
        <w:t xml:space="preserve">The effective index of the SP that propagates along the interface of metal and a semi-infinite dielectric medium, </w:t>
      </w:r>
      <w:r w:rsidRPr="008A4012">
        <w:rPr>
          <w:rFonts w:ascii="Times New Roman" w:hAnsi="Times New Roman" w:cs="Times New Roman"/>
          <w:i/>
          <w:color w:val="000000" w:themeColor="text1"/>
          <w:szCs w:val="28"/>
        </w:rPr>
        <w:t>n</w:t>
      </w:r>
      <w:r w:rsidRPr="008A4012">
        <w:rPr>
          <w:rFonts w:ascii="Times New Roman" w:hAnsi="Times New Roman" w:cs="Times New Roman"/>
          <w:i/>
          <w:color w:val="000000" w:themeColor="text1"/>
          <w:szCs w:val="28"/>
          <w:vertAlign w:val="subscript"/>
        </w:rPr>
        <w:t>sp</w:t>
      </w:r>
      <w:r w:rsidRPr="008A4012">
        <w:rPr>
          <w:rFonts w:ascii="Times New Roman" w:hAnsi="Times New Roman" w:cs="Times New Roman"/>
          <w:color w:val="000000" w:themeColor="text1"/>
          <w:szCs w:val="28"/>
        </w:rPr>
        <w:t>, is given by</w:t>
      </w:r>
      <w:r w:rsidR="00AA31CE" w:rsidRPr="008A4012">
        <w:rPr>
          <w:rFonts w:ascii="Times New Roman" w:hAnsi="Times New Roman" w:cs="Times New Roman"/>
          <w:color w:val="000000" w:themeColor="text1"/>
          <w:szCs w:val="28"/>
        </w:rPr>
        <w:t xml:space="preserve"> </w:t>
      </w:r>
      <w:r w:rsidRPr="008A4012">
        <w:rPr>
          <w:rFonts w:ascii="Times New Roman" w:hAnsi="Times New Roman" w:cs="Times New Roman"/>
          <w:noProof/>
          <w:color w:val="000000" w:themeColor="text1"/>
          <w:szCs w:val="28"/>
        </w:rPr>
        <w:t>(Homola et al. 1999)</w:t>
      </w:r>
      <w:r w:rsidRPr="008A4012">
        <w:rPr>
          <w:rFonts w:ascii="Times New Roman" w:hAnsi="Times New Roman" w:cs="Times New Roman"/>
          <w:color w:val="000000" w:themeColor="text1"/>
          <w:szCs w:val="28"/>
        </w:rPr>
        <w:t>:</w:t>
      </w:r>
    </w:p>
    <w:tbl>
      <w:tblPr>
        <w:tblpPr w:leftFromText="180" w:rightFromText="180" w:vertAnchor="text" w:tblpXSpec="center" w:tblpY="1"/>
        <w:tblOverlap w:val="never"/>
        <w:tblW w:w="5000" w:type="pct"/>
        <w:tblLook w:val="04A0" w:firstRow="1" w:lastRow="0" w:firstColumn="1" w:lastColumn="0" w:noHBand="0" w:noVBand="1"/>
      </w:tblPr>
      <w:tblGrid>
        <w:gridCol w:w="1246"/>
        <w:gridCol w:w="5814"/>
        <w:gridCol w:w="1246"/>
      </w:tblGrid>
      <w:tr w:rsidR="008A4012" w:rsidRPr="008A4012" w:rsidTr="00BF1795">
        <w:tc>
          <w:tcPr>
            <w:tcW w:w="750" w:type="pct"/>
            <w:shd w:val="clear" w:color="auto" w:fill="auto"/>
            <w:tcMar>
              <w:left w:w="0" w:type="dxa"/>
              <w:right w:w="0" w:type="dxa"/>
            </w:tcMar>
            <w:vAlign w:val="center"/>
          </w:tcPr>
          <w:p w:rsidR="001E7A75" w:rsidRPr="008A4012" w:rsidRDefault="001E7A75" w:rsidP="00BF1795">
            <w:pPr>
              <w:keepNext/>
              <w:suppressLineNumbers/>
              <w:spacing w:line="480" w:lineRule="auto"/>
              <w:textAlignment w:val="center"/>
              <w:rPr>
                <w:rFonts w:ascii="Times New Roman" w:hAnsi="Times New Roman" w:cs="Times New Roman"/>
                <w:color w:val="000000" w:themeColor="text1"/>
                <w:szCs w:val="21"/>
              </w:rPr>
            </w:pPr>
            <w:r w:rsidRPr="008A4012">
              <w:rPr>
                <w:rFonts w:ascii="Times New Roman" w:hAnsi="Times New Roman" w:cs="Times New Roman"/>
                <w:color w:val="000000" w:themeColor="text1"/>
                <w:szCs w:val="21"/>
              </w:rPr>
              <w:t xml:space="preserve">                         </w:t>
            </w:r>
          </w:p>
        </w:tc>
        <w:tc>
          <w:tcPr>
            <w:tcW w:w="3500" w:type="pct"/>
            <w:shd w:val="clear" w:color="auto" w:fill="auto"/>
            <w:tcMar>
              <w:left w:w="0" w:type="dxa"/>
              <w:right w:w="0" w:type="dxa"/>
            </w:tcMar>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4"/>
            </w:tblGrid>
            <w:tr w:rsidR="008A4012" w:rsidRPr="008A4012" w:rsidTr="00BF1795">
              <w:trPr>
                <w:jc w:val="center"/>
              </w:trPr>
              <w:tc>
                <w:tcPr>
                  <w:tcW w:w="6811" w:type="dxa"/>
                  <w:tcBorders>
                    <w:top w:val="nil"/>
                    <w:left w:val="nil"/>
                    <w:bottom w:val="nil"/>
                    <w:right w:val="nil"/>
                  </w:tcBorders>
                  <w:shd w:val="clear" w:color="auto" w:fill="auto"/>
                  <w:vAlign w:val="center"/>
                </w:tcPr>
                <w:p w:rsidR="001E7A75" w:rsidRPr="008A4012" w:rsidRDefault="001E7A75" w:rsidP="007E0C9E">
                  <w:pPr>
                    <w:keepNext/>
                    <w:framePr w:hSpace="180" w:wrap="around" w:vAnchor="text" w:hAnchor="text" w:xAlign="center" w:y="1"/>
                    <w:suppressLineNumbers/>
                    <w:spacing w:line="480" w:lineRule="auto"/>
                    <w:suppressOverlap/>
                    <w:jc w:val="center"/>
                    <w:textAlignment w:val="center"/>
                    <w:rPr>
                      <w:rFonts w:ascii="Times New Roman" w:hAnsi="Times New Roman" w:cs="Times New Roman"/>
                      <w:color w:val="000000" w:themeColor="text1"/>
                      <w:szCs w:val="21"/>
                    </w:rPr>
                  </w:pPr>
                  <w:r w:rsidRPr="008A4012">
                    <w:rPr>
                      <w:rFonts w:ascii="Times New Roman" w:hAnsi="Times New Roman" w:cs="Times New Roman"/>
                      <w:color w:val="000000" w:themeColor="text1"/>
                      <w:szCs w:val="21"/>
                    </w:rPr>
                    <w:object w:dxaOrig="1460" w:dyaOrig="760">
                      <v:shape id="_x0000_i1027" type="#_x0000_t75" style="width:72.75pt;height:38.25pt" o:ole="">
                        <v:imagedata r:id="rId13" o:title=""/>
                      </v:shape>
                      <o:OLEObject Type="Embed" ProgID="Equation.DSMT4" ShapeID="_x0000_i1027" DrawAspect="Content" ObjectID="_1632029126" r:id="rId14"/>
                    </w:object>
                  </w:r>
                  <w:r w:rsidRPr="008A4012">
                    <w:rPr>
                      <w:rFonts w:ascii="Times New Roman" w:hAnsi="Times New Roman" w:cs="Times New Roman"/>
                      <w:color w:val="000000" w:themeColor="text1"/>
                      <w:szCs w:val="21"/>
                    </w:rPr>
                    <w:t>,</w:t>
                  </w:r>
                </w:p>
              </w:tc>
            </w:tr>
          </w:tbl>
          <w:p w:rsidR="001E7A75" w:rsidRPr="008A4012" w:rsidRDefault="001E7A75" w:rsidP="00BF1795">
            <w:pPr>
              <w:keepNext/>
              <w:suppressLineNumbers/>
              <w:tabs>
                <w:tab w:val="center" w:pos="3410"/>
                <w:tab w:val="right" w:pos="6820"/>
              </w:tabs>
              <w:spacing w:line="480" w:lineRule="auto"/>
              <w:textAlignment w:val="bottom"/>
              <w:rPr>
                <w:rFonts w:ascii="Times New Roman" w:hAnsi="Times New Roman" w:cs="Times New Roman"/>
                <w:color w:val="000000" w:themeColor="text1"/>
                <w:szCs w:val="21"/>
              </w:rPr>
            </w:pPr>
          </w:p>
        </w:tc>
        <w:tc>
          <w:tcPr>
            <w:tcW w:w="750" w:type="pct"/>
            <w:shd w:val="clear" w:color="auto" w:fill="auto"/>
            <w:tcMar>
              <w:left w:w="0" w:type="dxa"/>
              <w:right w:w="0" w:type="dxa"/>
            </w:tcMar>
            <w:vAlign w:val="center"/>
          </w:tcPr>
          <w:p w:rsidR="001E7A75" w:rsidRPr="008A4012" w:rsidRDefault="001E7A75" w:rsidP="00BF1795">
            <w:pPr>
              <w:keepNext/>
              <w:suppressLineNumbers/>
              <w:spacing w:line="480" w:lineRule="auto"/>
              <w:jc w:val="right"/>
              <w:textAlignment w:val="center"/>
              <w:rPr>
                <w:rFonts w:ascii="Times New Roman" w:hAnsi="Times New Roman" w:cs="Times New Roman"/>
                <w:color w:val="000000" w:themeColor="text1"/>
                <w:szCs w:val="21"/>
              </w:rPr>
            </w:pPr>
            <w:r w:rsidRPr="008A4012">
              <w:rPr>
                <w:rFonts w:ascii="Times New Roman" w:hAnsi="Times New Roman" w:cs="Times New Roman"/>
                <w:color w:val="000000" w:themeColor="text1"/>
                <w:szCs w:val="21"/>
              </w:rPr>
              <w:t>Eqn (2.</w:t>
            </w:r>
            <w:r w:rsidRPr="008A4012">
              <w:rPr>
                <w:rFonts w:ascii="Times New Roman" w:hAnsi="Times New Roman" w:cs="Times New Roman" w:hint="eastAsia"/>
                <w:color w:val="000000" w:themeColor="text1"/>
                <w:szCs w:val="21"/>
              </w:rPr>
              <w:t>2</w:t>
            </w:r>
            <w:r w:rsidRPr="008A4012">
              <w:rPr>
                <w:rFonts w:ascii="Times New Roman" w:hAnsi="Times New Roman" w:cs="Times New Roman"/>
                <w:color w:val="000000" w:themeColor="text1"/>
                <w:szCs w:val="21"/>
              </w:rPr>
              <w:t>)</w:t>
            </w:r>
          </w:p>
        </w:tc>
      </w:tr>
    </w:tbl>
    <w:p w:rsidR="001E7A75" w:rsidRPr="00D529C6" w:rsidRDefault="001E7A75" w:rsidP="00D529C6">
      <w:pPr>
        <w:textAlignment w:val="center"/>
        <w:rPr>
          <w:rFonts w:ascii="Times New Roman" w:hAnsi="Times New Roman" w:cs="Times New Roman"/>
          <w:szCs w:val="21"/>
        </w:rPr>
      </w:pPr>
      <w:r w:rsidRPr="008A4012">
        <w:rPr>
          <w:rFonts w:ascii="Times New Roman" w:hAnsi="Times New Roman" w:cs="Times New Roman"/>
          <w:color w:val="000000" w:themeColor="text1"/>
          <w:szCs w:val="21"/>
        </w:rPr>
        <w:t xml:space="preserve">Where </w:t>
      </w:r>
      <w:proofErr w:type="spellStart"/>
      <w:r w:rsidRPr="008A4012">
        <w:rPr>
          <w:rFonts w:ascii="Times New Roman" w:hAnsi="Times New Roman" w:cs="Times New Roman"/>
          <w:i/>
          <w:color w:val="000000" w:themeColor="text1"/>
          <w:szCs w:val="21"/>
        </w:rPr>
        <w:t>ε</w:t>
      </w:r>
      <w:r w:rsidRPr="008A4012">
        <w:rPr>
          <w:rFonts w:ascii="Times New Roman" w:hAnsi="Times New Roman" w:cs="Times New Roman"/>
          <w:i/>
          <w:color w:val="000000" w:themeColor="text1"/>
          <w:szCs w:val="21"/>
          <w:vertAlign w:val="subscript"/>
        </w:rPr>
        <w:t>s</w:t>
      </w:r>
      <w:proofErr w:type="spellEnd"/>
      <w:r w:rsidRPr="008A4012">
        <w:rPr>
          <w:rFonts w:ascii="Times New Roman" w:hAnsi="Times New Roman" w:cs="Times New Roman"/>
          <w:color w:val="000000" w:themeColor="text1"/>
          <w:szCs w:val="21"/>
        </w:rPr>
        <w:t xml:space="preserve"> represents the dielectric constant of the dielectric medium. and </w:t>
      </w:r>
      <w:r w:rsidRPr="008A4012">
        <w:rPr>
          <w:rFonts w:ascii="Times New Roman" w:hAnsi="Times New Roman" w:cs="Times New Roman"/>
          <w:i/>
          <w:color w:val="000000" w:themeColor="text1"/>
          <w:szCs w:val="21"/>
        </w:rPr>
        <w:t>ε</w:t>
      </w:r>
      <w:r w:rsidRPr="008A4012">
        <w:rPr>
          <w:rFonts w:ascii="Times New Roman" w:hAnsi="Times New Roman" w:cs="Times New Roman"/>
          <w:i/>
          <w:color w:val="000000" w:themeColor="text1"/>
          <w:szCs w:val="21"/>
          <w:vertAlign w:val="subscript"/>
        </w:rPr>
        <w:t>m</w:t>
      </w:r>
      <w:r w:rsidRPr="008A4012">
        <w:rPr>
          <w:rFonts w:ascii="Times New Roman" w:hAnsi="Times New Roman" w:cs="Times New Roman"/>
          <w:color w:val="000000" w:themeColor="text1"/>
          <w:szCs w:val="21"/>
        </w:rPr>
        <w:t xml:space="preserve"> represents the dielectric constant of metal (</w:t>
      </w:r>
      <w:r w:rsidRPr="008A4012">
        <w:rPr>
          <w:rFonts w:ascii="Times New Roman" w:hAnsi="Times New Roman" w:cs="Times New Roman"/>
          <w:i/>
          <w:color w:val="000000" w:themeColor="text1"/>
          <w:szCs w:val="21"/>
        </w:rPr>
        <w:t>ε</w:t>
      </w:r>
      <w:r w:rsidRPr="008A4012">
        <w:rPr>
          <w:rFonts w:ascii="Times New Roman" w:hAnsi="Times New Roman" w:cs="Times New Roman"/>
          <w:i/>
          <w:color w:val="000000" w:themeColor="text1"/>
          <w:szCs w:val="21"/>
          <w:vertAlign w:val="subscript"/>
        </w:rPr>
        <w:t>m</w:t>
      </w:r>
      <w:r w:rsidRPr="008A4012">
        <w:rPr>
          <w:rFonts w:ascii="Times New Roman" w:hAnsi="Times New Roman" w:cs="Times New Roman"/>
          <w:color w:val="000000" w:themeColor="text1"/>
          <w:szCs w:val="21"/>
        </w:rPr>
        <w:t>=</w:t>
      </w:r>
      <w:r w:rsidRPr="008A4012">
        <w:rPr>
          <w:rFonts w:ascii="Times New Roman" w:hAnsi="Times New Roman" w:cs="Times New Roman"/>
          <w:i/>
          <w:color w:val="000000" w:themeColor="text1"/>
          <w:szCs w:val="21"/>
        </w:rPr>
        <w:t>ε</w:t>
      </w:r>
      <w:r w:rsidRPr="008A4012">
        <w:rPr>
          <w:rFonts w:ascii="Times New Roman" w:hAnsi="Times New Roman" w:cs="Times New Roman"/>
          <w:i/>
          <w:color w:val="000000" w:themeColor="text1"/>
          <w:szCs w:val="21"/>
          <w:vertAlign w:val="subscript"/>
        </w:rPr>
        <w:t>mr</w:t>
      </w:r>
      <w:r w:rsidRPr="008A4012">
        <w:rPr>
          <w:rFonts w:ascii="Times New Roman" w:hAnsi="Times New Roman" w:cs="Times New Roman"/>
          <w:color w:val="000000" w:themeColor="text1"/>
          <w:szCs w:val="21"/>
        </w:rPr>
        <w:t>+</w:t>
      </w:r>
      <w:r w:rsidRPr="008A4012">
        <w:rPr>
          <w:rFonts w:ascii="Times New Roman" w:hAnsi="Times New Roman" w:cs="Times New Roman"/>
          <w:i/>
          <w:color w:val="000000" w:themeColor="text1"/>
          <w:szCs w:val="21"/>
        </w:rPr>
        <w:t>iε</w:t>
      </w:r>
      <w:r w:rsidRPr="008A4012">
        <w:rPr>
          <w:rFonts w:ascii="Times New Roman" w:hAnsi="Times New Roman" w:cs="Times New Roman"/>
          <w:i/>
          <w:color w:val="000000" w:themeColor="text1"/>
          <w:szCs w:val="21"/>
          <w:vertAlign w:val="subscript"/>
        </w:rPr>
        <w:t>mi</w:t>
      </w:r>
      <w:r w:rsidRPr="008A4012">
        <w:rPr>
          <w:rFonts w:ascii="Times New Roman" w:hAnsi="Times New Roman" w:cs="Times New Roman"/>
          <w:color w:val="000000" w:themeColor="text1"/>
          <w:szCs w:val="21"/>
        </w:rPr>
        <w:t xml:space="preserve">). The velocity of the mode is given by </w:t>
      </w:r>
      <w:r w:rsidRPr="008A4012">
        <w:rPr>
          <w:rFonts w:ascii="Times New Roman" w:hAnsi="Times New Roman" w:cs="Times New Roman"/>
          <w:i/>
          <w:color w:val="000000" w:themeColor="text1"/>
          <w:szCs w:val="21"/>
        </w:rPr>
        <w:t>v</w:t>
      </w:r>
      <w:r w:rsidRPr="008A4012">
        <w:rPr>
          <w:rFonts w:ascii="Times New Roman" w:hAnsi="Times New Roman" w:cs="Times New Roman"/>
          <w:i/>
          <w:color w:val="000000" w:themeColor="text1"/>
          <w:szCs w:val="21"/>
          <w:vertAlign w:val="subscript"/>
        </w:rPr>
        <w:t>p</w:t>
      </w:r>
      <w:r w:rsidRPr="008A4012">
        <w:rPr>
          <w:rFonts w:ascii="Times New Roman" w:hAnsi="Times New Roman" w:cs="Times New Roman"/>
          <w:i/>
          <w:color w:val="000000" w:themeColor="text1"/>
          <w:szCs w:val="21"/>
        </w:rPr>
        <w:t xml:space="preserve"> </w:t>
      </w:r>
      <w:r w:rsidRPr="008A4012">
        <w:rPr>
          <w:rFonts w:ascii="Times New Roman" w:hAnsi="Times New Roman" w:cs="Times New Roman"/>
          <w:color w:val="000000" w:themeColor="text1"/>
          <w:szCs w:val="21"/>
        </w:rPr>
        <w:t xml:space="preserve">= </w:t>
      </w:r>
      <w:r w:rsidRPr="008A4012">
        <w:rPr>
          <w:rFonts w:ascii="Times New Roman" w:hAnsi="Times New Roman" w:cs="Times New Roman"/>
          <w:i/>
          <w:color w:val="000000" w:themeColor="text1"/>
          <w:szCs w:val="21"/>
        </w:rPr>
        <w:t>c</w:t>
      </w:r>
      <w:r w:rsidRPr="008A4012">
        <w:rPr>
          <w:rFonts w:ascii="Times New Roman" w:hAnsi="Times New Roman" w:cs="Times New Roman"/>
          <w:color w:val="000000" w:themeColor="text1"/>
          <w:szCs w:val="21"/>
        </w:rPr>
        <w:t>/Re{</w:t>
      </w:r>
      <w:r w:rsidRPr="008A4012">
        <w:rPr>
          <w:rFonts w:ascii="Times New Roman" w:hAnsi="Times New Roman" w:cs="Times New Roman"/>
          <w:i/>
          <w:color w:val="000000" w:themeColor="text1"/>
          <w:szCs w:val="21"/>
        </w:rPr>
        <w:t>n</w:t>
      </w:r>
      <w:r w:rsidRPr="008A4012">
        <w:rPr>
          <w:rFonts w:ascii="Times New Roman" w:hAnsi="Times New Roman" w:cs="Times New Roman"/>
          <w:i/>
          <w:color w:val="000000" w:themeColor="text1"/>
          <w:szCs w:val="21"/>
          <w:vertAlign w:val="subscript"/>
        </w:rPr>
        <w:t>sp</w:t>
      </w:r>
      <w:r w:rsidRPr="008A4012">
        <w:rPr>
          <w:rFonts w:ascii="Times New Roman" w:hAnsi="Times New Roman" w:cs="Times New Roman"/>
          <w:color w:val="000000" w:themeColor="text1"/>
          <w:szCs w:val="21"/>
        </w:rPr>
        <w:t xml:space="preserve">}; </w:t>
      </w:r>
      <w:r w:rsidRPr="008A4012">
        <w:rPr>
          <w:rFonts w:ascii="Times New Roman" w:hAnsi="Times New Roman" w:cs="Times New Roman"/>
          <w:i/>
          <w:color w:val="000000" w:themeColor="text1"/>
          <w:szCs w:val="21"/>
        </w:rPr>
        <w:t>n</w:t>
      </w:r>
      <w:r w:rsidRPr="008A4012">
        <w:rPr>
          <w:rFonts w:ascii="Times New Roman" w:hAnsi="Times New Roman" w:cs="Times New Roman"/>
          <w:i/>
          <w:color w:val="000000" w:themeColor="text1"/>
          <w:szCs w:val="21"/>
          <w:vertAlign w:val="subscript"/>
        </w:rPr>
        <w:t>sp</w:t>
      </w:r>
      <w:r w:rsidRPr="008A4012">
        <w:rPr>
          <w:rFonts w:ascii="Times New Roman" w:hAnsi="Times New Roman" w:cs="Times New Roman"/>
          <w:color w:val="000000" w:themeColor="text1"/>
          <w:szCs w:val="21"/>
        </w:rPr>
        <w:t xml:space="preserve"> is complex because </w:t>
      </w:r>
      <w:r w:rsidRPr="008A4012">
        <w:rPr>
          <w:rFonts w:ascii="Times New Roman" w:hAnsi="Times New Roman" w:cs="Times New Roman"/>
          <w:i/>
          <w:color w:val="000000" w:themeColor="text1"/>
          <w:szCs w:val="21"/>
        </w:rPr>
        <w:t>ε</w:t>
      </w:r>
      <w:r w:rsidRPr="008A4012">
        <w:rPr>
          <w:rFonts w:ascii="Times New Roman" w:hAnsi="Times New Roman" w:cs="Times New Roman"/>
          <w:i/>
          <w:color w:val="000000" w:themeColor="text1"/>
          <w:szCs w:val="21"/>
          <w:vertAlign w:val="subscript"/>
        </w:rPr>
        <w:t>m</w:t>
      </w:r>
      <w:r w:rsidRPr="008A4012">
        <w:rPr>
          <w:rFonts w:ascii="Times New Roman" w:hAnsi="Times New Roman" w:cs="Times New Roman"/>
          <w:color w:val="000000" w:themeColor="text1"/>
          <w:szCs w:val="21"/>
        </w:rPr>
        <w:t xml:space="preserve"> is complex for an (absorbing) metal. For the SP to exist the metal must exhibit a negative real part of permittivity. SP waves only exist in the TM or p-polarisation with the magnetic field in the plane of the interface. As the effective index of the SP is greater than unity, light cannot escape to free-space, nor be coupled into the SP directly from free-space. Thus, excitation of SP modes requires an enhancement of the wave vector component of the incident light that is in parallel with the interface to match that of SPs (</w:t>
      </w:r>
      <w:r w:rsidRPr="008A4012">
        <w:rPr>
          <w:rFonts w:ascii="Times New Roman" w:hAnsi="Times New Roman" w:cs="Times New Roman"/>
          <w:i/>
          <w:color w:val="000000" w:themeColor="text1"/>
          <w:szCs w:val="21"/>
        </w:rPr>
        <w:t>k</w:t>
      </w:r>
      <w:r w:rsidRPr="008A4012">
        <w:rPr>
          <w:rFonts w:ascii="Times New Roman" w:hAnsi="Times New Roman" w:cs="Times New Roman"/>
          <w:i/>
          <w:color w:val="000000" w:themeColor="text1"/>
          <w:szCs w:val="21"/>
          <w:vertAlign w:val="subscript"/>
        </w:rPr>
        <w:t>sp</w:t>
      </w:r>
      <w:r w:rsidRPr="008A4012">
        <w:rPr>
          <w:rFonts w:ascii="Times New Roman" w:hAnsi="Times New Roman" w:cs="Times New Roman"/>
          <w:i/>
          <w:color w:val="000000" w:themeColor="text1"/>
          <w:szCs w:val="21"/>
        </w:rPr>
        <w:t xml:space="preserve"> = k</w:t>
      </w:r>
      <w:r w:rsidRPr="008A4012">
        <w:rPr>
          <w:rFonts w:ascii="Times New Roman" w:hAnsi="Times New Roman" w:cs="Times New Roman"/>
          <w:color w:val="000000" w:themeColor="text1"/>
          <w:szCs w:val="21"/>
          <w:vertAlign w:val="subscript"/>
        </w:rPr>
        <w:t>0</w:t>
      </w:r>
      <w:r w:rsidRPr="008A4012">
        <w:rPr>
          <w:rFonts w:ascii="Times New Roman" w:hAnsi="Times New Roman" w:cs="Times New Roman"/>
          <w:i/>
          <w:color w:val="000000" w:themeColor="text1"/>
          <w:szCs w:val="21"/>
        </w:rPr>
        <w:t>n</w:t>
      </w:r>
      <w:r w:rsidRPr="008A4012">
        <w:rPr>
          <w:rFonts w:ascii="Times New Roman" w:hAnsi="Times New Roman" w:cs="Times New Roman"/>
          <w:i/>
          <w:color w:val="000000" w:themeColor="text1"/>
          <w:szCs w:val="21"/>
          <w:vertAlign w:val="subscript"/>
        </w:rPr>
        <w:t>sp</w:t>
      </w:r>
      <w:r w:rsidRPr="008A4012">
        <w:rPr>
          <w:rFonts w:ascii="Times New Roman" w:hAnsi="Times New Roman" w:cs="Times New Roman"/>
          <w:i/>
          <w:color w:val="000000" w:themeColor="text1"/>
          <w:szCs w:val="21"/>
        </w:rPr>
        <w:t>, k</w:t>
      </w:r>
      <w:r w:rsidRPr="008A4012">
        <w:rPr>
          <w:rFonts w:ascii="Times New Roman" w:hAnsi="Times New Roman" w:cs="Times New Roman"/>
          <w:color w:val="000000" w:themeColor="text1"/>
          <w:szCs w:val="21"/>
          <w:vertAlign w:val="subscript"/>
        </w:rPr>
        <w:t>0</w:t>
      </w:r>
      <w:r w:rsidRPr="008A4012">
        <w:rPr>
          <w:rFonts w:ascii="Times New Roman" w:hAnsi="Times New Roman" w:cs="Times New Roman"/>
          <w:i/>
          <w:color w:val="000000" w:themeColor="text1"/>
          <w:szCs w:val="21"/>
          <w:vertAlign w:val="subscript"/>
        </w:rPr>
        <w:t xml:space="preserve"> </w:t>
      </w:r>
      <w:r w:rsidRPr="008A4012">
        <w:rPr>
          <w:rFonts w:ascii="Times New Roman" w:hAnsi="Times New Roman" w:cs="Times New Roman"/>
          <w:color w:val="000000" w:themeColor="text1"/>
          <w:szCs w:val="21"/>
        </w:rPr>
        <w:t>denotes the free space wave number,</w:t>
      </w:r>
      <w:r w:rsidRPr="008A4012">
        <w:rPr>
          <w:rFonts w:ascii="Times New Roman" w:hAnsi="Times New Roman" w:cs="Times New Roman"/>
          <w:i/>
          <w:color w:val="000000" w:themeColor="text1"/>
          <w:szCs w:val="21"/>
        </w:rPr>
        <w:t xml:space="preserve"> k</w:t>
      </w:r>
      <w:r w:rsidRPr="008A4012">
        <w:rPr>
          <w:rFonts w:ascii="Times New Roman" w:hAnsi="Times New Roman" w:cs="Times New Roman"/>
          <w:i/>
          <w:color w:val="000000" w:themeColor="text1"/>
          <w:szCs w:val="21"/>
          <w:vertAlign w:val="subscript"/>
        </w:rPr>
        <w:t>sp</w:t>
      </w:r>
      <w:r w:rsidRPr="008A4012">
        <w:rPr>
          <w:rFonts w:ascii="Times New Roman" w:hAnsi="Times New Roman" w:cs="Times New Roman"/>
          <w:color w:val="000000" w:themeColor="text1"/>
          <w:szCs w:val="21"/>
        </w:rPr>
        <w:t xml:space="preserve"> is the propagation constant of the SP wave). To excite the SP, several strategies, such as prism, waveguide or optical grating coupling, have been adopted. </w:t>
      </w:r>
      <w:r w:rsidRPr="008A4012">
        <w:rPr>
          <w:rFonts w:ascii="Times New Roman" w:hAnsi="Times New Roman" w:cs="Times New Roman"/>
          <w:b/>
          <w:color w:val="000000" w:themeColor="text1"/>
          <w:szCs w:val="21"/>
        </w:rPr>
        <w:t>Figure S3</w:t>
      </w:r>
      <w:r w:rsidRPr="008A4012">
        <w:rPr>
          <w:rFonts w:ascii="Times New Roman" w:hAnsi="Times New Roman" w:cs="Times New Roman"/>
          <w:color w:val="000000" w:themeColor="text1"/>
          <w:szCs w:val="21"/>
        </w:rPr>
        <w:t xml:space="preserve"> shows the m</w:t>
      </w:r>
      <w:r w:rsidRPr="00D529C6">
        <w:rPr>
          <w:rFonts w:ascii="Times New Roman" w:hAnsi="Times New Roman" w:cs="Times New Roman"/>
          <w:szCs w:val="21"/>
        </w:rPr>
        <w:t>ost common configuration</w:t>
      </w:r>
      <w:r>
        <w:rPr>
          <w:rFonts w:ascii="Times New Roman" w:hAnsi="Times New Roman" w:cs="Times New Roman"/>
          <w:szCs w:val="21"/>
        </w:rPr>
        <w:t xml:space="preserve"> </w:t>
      </w:r>
      <w:r w:rsidRPr="00D529C6">
        <w:rPr>
          <w:rFonts w:ascii="Times New Roman" w:hAnsi="Times New Roman" w:cs="Times New Roman"/>
          <w:szCs w:val="21"/>
        </w:rPr>
        <w:t xml:space="preserve">(Kretschmann) where a thin metal film is deposited at the bottom of the prism. If the prism RI, </w:t>
      </w:r>
      <w:r w:rsidRPr="00D529C6">
        <w:rPr>
          <w:rFonts w:ascii="Times New Roman" w:hAnsi="Times New Roman" w:cs="Times New Roman"/>
          <w:i/>
          <w:szCs w:val="21"/>
        </w:rPr>
        <w:t>n</w:t>
      </w:r>
      <w:r w:rsidRPr="00D529C6">
        <w:rPr>
          <w:rFonts w:ascii="Times New Roman" w:hAnsi="Times New Roman" w:cs="Times New Roman"/>
          <w:i/>
          <w:szCs w:val="21"/>
          <w:vertAlign w:val="subscript"/>
        </w:rPr>
        <w:t>p</w:t>
      </w:r>
      <w:r w:rsidRPr="00D529C6">
        <w:rPr>
          <w:rFonts w:ascii="Times New Roman" w:hAnsi="Times New Roman" w:cs="Times New Roman"/>
          <w:szCs w:val="21"/>
        </w:rPr>
        <w:t xml:space="preserve">, is higher than </w:t>
      </w:r>
      <w:r w:rsidRPr="00D529C6">
        <w:rPr>
          <w:rFonts w:ascii="Times New Roman" w:hAnsi="Times New Roman" w:cs="Times New Roman"/>
          <w:i/>
          <w:szCs w:val="21"/>
        </w:rPr>
        <w:t>n</w:t>
      </w:r>
      <w:r w:rsidRPr="00D529C6">
        <w:rPr>
          <w:rFonts w:ascii="Times New Roman" w:hAnsi="Times New Roman" w:cs="Times New Roman"/>
          <w:i/>
          <w:szCs w:val="21"/>
          <w:vertAlign w:val="subscript"/>
        </w:rPr>
        <w:t>sp</w:t>
      </w:r>
      <w:r w:rsidRPr="00D529C6">
        <w:rPr>
          <w:rFonts w:ascii="Times New Roman" w:hAnsi="Times New Roman" w:cs="Times New Roman"/>
          <w:szCs w:val="21"/>
        </w:rPr>
        <w:t xml:space="preserve"> , then velocity matching is achieved when</w:t>
      </w:r>
      <w:r w:rsidR="00AA31CE">
        <w:rPr>
          <w:rFonts w:ascii="Times New Roman" w:hAnsi="Times New Roman" w:cs="Times New Roman"/>
          <w:szCs w:val="21"/>
        </w:rPr>
        <w:t xml:space="preserve"> </w:t>
      </w:r>
      <w:r>
        <w:rPr>
          <w:rFonts w:ascii="Times New Roman" w:hAnsi="Times New Roman" w:cs="Times New Roman"/>
          <w:noProof/>
          <w:szCs w:val="21"/>
        </w:rPr>
        <w:t>(Fan et al. 2008)</w:t>
      </w:r>
      <w:r w:rsidRPr="00D529C6">
        <w:rPr>
          <w:rFonts w:ascii="Times New Roman" w:hAnsi="Times New Roman" w:cs="Times New Roman"/>
          <w:szCs w:val="21"/>
        </w:rPr>
        <w:t>:</w:t>
      </w:r>
    </w:p>
    <w:tbl>
      <w:tblPr>
        <w:tblW w:w="5000" w:type="pct"/>
        <w:tblLook w:val="04A0" w:firstRow="1" w:lastRow="0" w:firstColumn="1" w:lastColumn="0" w:noHBand="0" w:noVBand="1"/>
      </w:tblPr>
      <w:tblGrid>
        <w:gridCol w:w="1246"/>
        <w:gridCol w:w="5814"/>
        <w:gridCol w:w="1246"/>
      </w:tblGrid>
      <w:tr w:rsidR="001E7A75" w:rsidRPr="00D529C6" w:rsidTr="00BF1795">
        <w:tc>
          <w:tcPr>
            <w:tcW w:w="750" w:type="pct"/>
            <w:shd w:val="clear" w:color="auto" w:fill="auto"/>
            <w:tcMar>
              <w:left w:w="0" w:type="dxa"/>
              <w:right w:w="0" w:type="dxa"/>
            </w:tcMar>
            <w:vAlign w:val="center"/>
          </w:tcPr>
          <w:p w:rsidR="001E7A75" w:rsidRPr="00D529C6" w:rsidRDefault="001E7A75" w:rsidP="00BF1795">
            <w:pPr>
              <w:keepNext/>
              <w:suppressLineNumbers/>
              <w:spacing w:line="480" w:lineRule="auto"/>
              <w:textAlignment w:val="center"/>
              <w:rPr>
                <w:rFonts w:ascii="Times New Roman" w:hAnsi="Times New Roman" w:cs="Times New Roman"/>
                <w:szCs w:val="21"/>
              </w:rPr>
            </w:pPr>
          </w:p>
        </w:tc>
        <w:tc>
          <w:tcPr>
            <w:tcW w:w="3500" w:type="pct"/>
            <w:shd w:val="clear" w:color="auto" w:fill="auto"/>
            <w:tcMar>
              <w:left w:w="0" w:type="dxa"/>
              <w:right w:w="0" w:type="dxa"/>
            </w:tcMar>
            <w:vAlign w:val="center"/>
          </w:tcPr>
          <w:p w:rsidR="001E7A75" w:rsidRPr="00D529C6" w:rsidRDefault="001E7A75" w:rsidP="00BF1795">
            <w:pPr>
              <w:keepNext/>
              <w:suppressLineNumbers/>
              <w:spacing w:line="480" w:lineRule="auto"/>
              <w:jc w:val="center"/>
              <w:textAlignment w:val="center"/>
              <w:rPr>
                <w:rFonts w:ascii="Times New Roman" w:hAnsi="Times New Roman" w:cs="Times New Roman"/>
                <w:szCs w:val="21"/>
              </w:rPr>
            </w:pPr>
            <w:r w:rsidRPr="00D529C6">
              <w:rPr>
                <w:rFonts w:ascii="Times New Roman" w:hAnsi="Times New Roman" w:cs="Times New Roman"/>
                <w:szCs w:val="21"/>
              </w:rPr>
              <w:fldChar w:fldCharType="begin"/>
            </w:r>
            <w:r w:rsidRPr="00D529C6">
              <w:rPr>
                <w:rFonts w:ascii="Times New Roman" w:hAnsi="Times New Roman" w:cs="Times New Roman"/>
                <w:szCs w:val="21"/>
              </w:rPr>
              <w:instrText xml:space="preserve"> QUOTE </w:instrText>
            </w:r>
            <w:r w:rsidR="007E0C9E">
              <w:rPr>
                <w:rFonts w:ascii="Times New Roman" w:hAnsi="Times New Roman" w:cs="Times New Roman"/>
                <w:szCs w:val="21"/>
              </w:rPr>
              <w:pict>
                <v:shape id="_x0000_i1028" type="#_x0000_t75" style="width:104.25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1&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10F9E&quot;/&gt;&lt;wsp:rsid wsp:val=&quot;000048FB&quot;/&gt;&lt;wsp:rsid wsp:val=&quot;00006E60&quot;/&gt;&lt;wsp:rsid wsp:val=&quot;000073A8&quot;/&gt;&lt;wsp:rsid wsp:val=&quot;00011568&quot;/&gt;&lt;wsp:rsid wsp:val=&quot;000150C0&quot;/&gt;&lt;wsp:rsid wsp:val=&quot;00015D51&quot;/&gt;&lt;wsp:rsid wsp:val=&quot;0002519F&quot;/&gt;&lt;wsp:rsid wsp:val=&quot;00025B5B&quot;/&gt;&lt;wsp:rsid wsp:val=&quot;00032FB5&quot;/&gt;&lt;wsp:rsid wsp:val=&quot;000340F5&quot;/&gt;&lt;wsp:rsid wsp:val=&quot;000343B1&quot;/&gt;&lt;wsp:rsid wsp:val=&quot;000358DF&quot;/&gt;&lt;wsp:rsid wsp:val=&quot;0003617C&quot;/&gt;&lt;wsp:rsid wsp:val=&quot;000367A2&quot;/&gt;&lt;wsp:rsid wsp:val=&quot;0004229B&quot;/&gt;&lt;wsp:rsid wsp:val=&quot;00051E32&quot;/&gt;&lt;wsp:rsid wsp:val=&quot;00057926&quot;/&gt;&lt;wsp:rsid wsp:val=&quot;00061786&quot;/&gt;&lt;wsp:rsid wsp:val=&quot;00063C49&quot;/&gt;&lt;wsp:rsid wsp:val=&quot;00064AE8&quot;/&gt;&lt;wsp:rsid wsp:val=&quot;00066584&quot;/&gt;&lt;wsp:rsid wsp:val=&quot;00066E9D&quot;/&gt;&lt;wsp:rsid wsp:val=&quot;00070092&quot;/&gt;&lt;wsp:rsid wsp:val=&quot;000715FF&quot;/&gt;&lt;wsp:rsid wsp:val=&quot;000716A7&quot;/&gt;&lt;wsp:rsid wsp:val=&quot;00074488&quot;/&gt;&lt;wsp:rsid wsp:val=&quot;00074ACF&quot;/&gt;&lt;wsp:rsid wsp:val=&quot;00074BC4&quot;/&gt;&lt;wsp:rsid wsp:val=&quot;0007795D&quot;/&gt;&lt;wsp:rsid wsp:val=&quot;00081A16&quot;/&gt;&lt;wsp:rsid wsp:val=&quot;0008200D&quot;/&gt;&lt;wsp:rsid wsp:val=&quot;00084589&quot;/&gt;&lt;wsp:rsid wsp:val=&quot;0008549F&quot;/&gt;&lt;wsp:rsid wsp:val=&quot;00092250&quot;/&gt;&lt;wsp:rsid wsp:val=&quot;000A1997&quot;/&gt;&lt;wsp:rsid wsp:val=&quot;000A2CCA&quot;/&gt;&lt;wsp:rsid wsp:val=&quot;000B0823&quot;/&gt;&lt;wsp:rsid wsp:val=&quot;000B1BE9&quot;/&gt;&lt;wsp:rsid wsp:val=&quot;000B37DB&quot;/&gt;&lt;wsp:rsid wsp:val=&quot;000B4BF0&quot;/&gt;&lt;wsp:rsid wsp:val=&quot;000B50D8&quot;/&gt;&lt;wsp:rsid wsp:val=&quot;000B5629&quot;/&gt;&lt;wsp:rsid wsp:val=&quot;000B6BE4&quot;/&gt;&lt;wsp:rsid wsp:val=&quot;000B70D7&quot;/&gt;&lt;wsp:rsid wsp:val=&quot;000B70E9&quot;/&gt;&lt;wsp:rsid wsp:val=&quot;000C084B&quot;/&gt;&lt;wsp:rsid wsp:val=&quot;000C203C&quot;/&gt;&lt;wsp:rsid wsp:val=&quot;000C28E8&quot;/&gt;&lt;wsp:rsid wsp:val=&quot;000C3748&quot;/&gt;&lt;wsp:rsid wsp:val=&quot;000C376D&quot;/&gt;&lt;wsp:rsid wsp:val=&quot;000D0E3B&quot;/&gt;&lt;wsp:rsid wsp:val=&quot;000D59EC&quot;/&gt;&lt;wsp:rsid wsp:val=&quot;000D7164&quot;/&gt;&lt;wsp:rsid wsp:val=&quot;000D77DB&quot;/&gt;&lt;wsp:rsid wsp:val=&quot;000E11FC&quot;/&gt;&lt;wsp:rsid wsp:val=&quot;000E1699&quot;/&gt;&lt;wsp:rsid wsp:val=&quot;000E1A21&quot;/&gt;&lt;wsp:rsid wsp:val=&quot;000E1ED5&quot;/&gt;&lt;wsp:rsid wsp:val=&quot;000E20D0&quot;/&gt;&lt;wsp:rsid wsp:val=&quot;000E3CD5&quot;/&gt;&lt;wsp:rsid wsp:val=&quot;000E43F7&quot;/&gt;&lt;wsp:rsid wsp:val=&quot;000E7C4B&quot;/&gt;&lt;wsp:rsid wsp:val=&quot;000F6382&quot;/&gt;&lt;wsp:rsid wsp:val=&quot;000F6AC7&quot;/&gt;&lt;wsp:rsid wsp:val=&quot;001029EA&quot;/&gt;&lt;wsp:rsid wsp:val=&quot;001038FF&quot;/&gt;&lt;wsp:rsid wsp:val=&quot;00104C4A&quot;/&gt;&lt;wsp:rsid wsp:val=&quot;00110682&quot;/&gt;&lt;wsp:rsid wsp:val=&quot;00110E3F&quot;/&gt;&lt;wsp:rsid wsp:val=&quot;0011132D&quot;/&gt;&lt;wsp:rsid wsp:val=&quot;00112A15&quot;/&gt;&lt;wsp:rsid wsp:val=&quot;001222DF&quot;/&gt;&lt;wsp:rsid wsp:val=&quot;00123F1B&quot;/&gt;&lt;wsp:rsid wsp:val=&quot;0012640D&quot;/&gt;&lt;wsp:rsid wsp:val=&quot;0012696C&quot;/&gt;&lt;wsp:rsid wsp:val=&quot;00137481&quot;/&gt;&lt;wsp:rsid wsp:val=&quot;00140189&quot;/&gt;&lt;wsp:rsid wsp:val=&quot;00140A71&quot;/&gt;&lt;wsp:rsid wsp:val=&quot;001417BA&quot;/&gt;&lt;wsp:rsid wsp:val=&quot;00146E59&quot;/&gt;&lt;wsp:rsid wsp:val=&quot;001476CE&quot;/&gt;&lt;wsp:rsid wsp:val=&quot;00154814&quot;/&gt;&lt;wsp:rsid wsp:val=&quot;00155C5E&quot;/&gt;&lt;wsp:rsid wsp:val=&quot;00162887&quot;/&gt;&lt;wsp:rsid wsp:val=&quot;00162E5F&quot;/&gt;&lt;wsp:rsid wsp:val=&quot;00163BC1&quot;/&gt;&lt;wsp:rsid wsp:val=&quot;00163F9D&quot;/&gt;&lt;wsp:rsid wsp:val=&quot;00175D9F&quot;/&gt;&lt;wsp:rsid wsp:val=&quot;00176BE0&quot;/&gt;&lt;wsp:rsid wsp:val=&quot;0018278C&quot;/&gt;&lt;wsp:rsid wsp:val=&quot;00182E5C&quot;/&gt;&lt;wsp:rsid wsp:val=&quot;00183910&quot;/&gt;&lt;wsp:rsid wsp:val=&quot;001846EA&quot;/&gt;&lt;wsp:rsid wsp:val=&quot;0019094A&quot;/&gt;&lt;wsp:rsid wsp:val=&quot;001926FD&quot;/&gt;&lt;wsp:rsid wsp:val=&quot;00192AE4&quot;/&gt;&lt;wsp:rsid wsp:val=&quot;00192DDE&quot;/&gt;&lt;wsp:rsid wsp:val=&quot;00196439&quot;/&gt;&lt;wsp:rsid wsp:val=&quot;00197313&quot;/&gt;&lt;wsp:rsid wsp:val=&quot;00197B07&quot;/&gt;&lt;wsp:rsid wsp:val=&quot;001A08E5&quot;/&gt;&lt;wsp:rsid wsp:val=&quot;001B0C75&quot;/&gt;&lt;wsp:rsid wsp:val=&quot;001B4D67&quot;/&gt;&lt;wsp:rsid wsp:val=&quot;001B64C8&quot;/&gt;&lt;wsp:rsid wsp:val=&quot;001C3DBF&quot;/&gt;&lt;wsp:rsid wsp:val=&quot;001D0266&quot;/&gt;&lt;wsp:rsid wsp:val=&quot;001D2209&quot;/&gt;&lt;wsp:rsid wsp:val=&quot;001D76CB&quot;/&gt;&lt;wsp:rsid wsp:val=&quot;001E2212&quot;/&gt;&lt;wsp:rsid wsp:val=&quot;001E2C06&quot;/&gt;&lt;wsp:rsid wsp:val=&quot;001E6310&quot;/&gt;&lt;wsp:rsid wsp:val=&quot;001E7E68&quot;/&gt;&lt;wsp:rsid wsp:val=&quot;001F1D02&quot;/&gt;&lt;wsp:rsid wsp:val=&quot;001F5279&quot;/&gt;&lt;wsp:rsid wsp:val=&quot;002006BF&quot;/&gt;&lt;wsp:rsid wsp:val=&quot;0020096A&quot;/&gt;&lt;wsp:rsid wsp:val=&quot;002015DA&quot;/&gt;&lt;wsp:rsid wsp:val=&quot;00202142&quot;/&gt;&lt;wsp:rsid wsp:val=&quot;00205207&quot;/&gt;&lt;wsp:rsid wsp:val=&quot;002052B9&quot;/&gt;&lt;wsp:rsid wsp:val=&quot;002059E3&quot;/&gt;&lt;wsp:rsid wsp:val=&quot;00206369&quot;/&gt;&lt;wsp:rsid wsp:val=&quot;00206525&quot;/&gt;&lt;wsp:rsid wsp:val=&quot;002066AE&quot;/&gt;&lt;wsp:rsid wsp:val=&quot;002105EA&quot;/&gt;&lt;wsp:rsid wsp:val=&quot;00211F16&quot;/&gt;&lt;wsp:rsid wsp:val=&quot;002132DC&quot;/&gt;&lt;wsp:rsid wsp:val=&quot;002141DA&quot;/&gt;&lt;wsp:rsid wsp:val=&quot;002169DD&quot;/&gt;&lt;wsp:rsid wsp:val=&quot;002174C7&quot;/&gt;&lt;wsp:rsid wsp:val=&quot;002233A7&quot;/&gt;&lt;wsp:rsid wsp:val=&quot;002315A3&quot;/&gt;&lt;wsp:rsid wsp:val=&quot;00231A2B&quot;/&gt;&lt;wsp:rsid wsp:val=&quot;00232AEC&quot;/&gt;&lt;wsp:rsid wsp:val=&quot;0023655C&quot;/&gt;&lt;wsp:rsid wsp:val=&quot;00243E61&quot;/&gt;&lt;wsp:rsid wsp:val=&quot;0024563A&quot;/&gt;&lt;wsp:rsid wsp:val=&quot;00246193&quot;/&gt;&lt;wsp:rsid wsp:val=&quot;0024628E&quot;/&gt;&lt;wsp:rsid wsp:val=&quot;00252381&quot;/&gt;&lt;wsp:rsid wsp:val=&quot;00253DF6&quot;/&gt;&lt;wsp:rsid wsp:val=&quot;00256112&quot;/&gt;&lt;wsp:rsid wsp:val=&quot;00260DD1&quot;/&gt;&lt;wsp:rsid wsp:val=&quot;002616CD&quot;/&gt;&lt;wsp:rsid wsp:val=&quot;0026210C&quot;/&gt;&lt;wsp:rsid wsp:val=&quot;002653C2&quot;/&gt;&lt;wsp:rsid wsp:val=&quot;00271778&quot;/&gt;&lt;wsp:rsid wsp:val=&quot;00272A8C&quot;/&gt;&lt;wsp:rsid wsp:val=&quot;0028073A&quot;/&gt;&lt;wsp:rsid wsp:val=&quot;00282B4E&quot;/&gt;&lt;wsp:rsid wsp:val=&quot;00283B94&quot;/&gt;&lt;wsp:rsid wsp:val=&quot;00291C74&quot;/&gt;&lt;wsp:rsid wsp:val=&quot;002935B3&quot;/&gt;&lt;wsp:rsid wsp:val=&quot;002974BD&quot;/&gt;&lt;wsp:rsid wsp:val=&quot;002A18C3&quot;/&gt;&lt;wsp:rsid wsp:val=&quot;002A2A36&quot;/&gt;&lt;wsp:rsid wsp:val=&quot;002A2CBD&quot;/&gt;&lt;wsp:rsid wsp:val=&quot;002A7297&quot;/&gt;&lt;wsp:rsid wsp:val=&quot;002B334D&quot;/&gt;&lt;wsp:rsid wsp:val=&quot;002B558F&quot;/&gt;&lt;wsp:rsid wsp:val=&quot;002B6815&quot;/&gt;&lt;wsp:rsid wsp:val=&quot;002C1565&quot;/&gt;&lt;wsp:rsid wsp:val=&quot;002C2919&quot;/&gt;&lt;wsp:rsid wsp:val=&quot;002C528A&quot;/&gt;&lt;wsp:rsid wsp:val=&quot;002D2452&quot;/&gt;&lt;wsp:rsid wsp:val=&quot;002D4E78&quot;/&gt;&lt;wsp:rsid wsp:val=&quot;002D6644&quot;/&gt;&lt;wsp:rsid wsp:val=&quot;002E3508&quot;/&gt;&lt;wsp:rsid wsp:val=&quot;002E5DAA&quot;/&gt;&lt;wsp:rsid wsp:val=&quot;002E6D94&quot;/&gt;&lt;wsp:rsid wsp:val=&quot;002F04ED&quot;/&gt;&lt;wsp:rsid wsp:val=&quot;002F0B7B&quot;/&gt;&lt;wsp:rsid wsp:val=&quot;002F5984&quot;/&gt;&lt;wsp:rsid wsp:val=&quot;002F795C&quot;/&gt;&lt;wsp:rsid wsp:val=&quot;00307F98&quot;/&gt;&lt;wsp:rsid wsp:val=&quot;00310541&quot;/&gt;&lt;wsp:rsid wsp:val=&quot;00311973&quot;/&gt;&lt;wsp:rsid wsp:val=&quot;00312060&quot;/&gt;&lt;wsp:rsid wsp:val=&quot;00312448&quot;/&gt;&lt;wsp:rsid wsp:val=&quot;00312FDB&quot;/&gt;&lt;wsp:rsid wsp:val=&quot;00316F88&quot;/&gt;&lt;wsp:rsid wsp:val=&quot;00321D61&quot;/&gt;&lt;wsp:rsid wsp:val=&quot;0032389B&quot;/&gt;&lt;wsp:rsid wsp:val=&quot;00323C87&quot;/&gt;&lt;wsp:rsid wsp:val=&quot;00323DF5&quot;/&gt;&lt;wsp:rsid wsp:val=&quot;00326BF3&quot;/&gt;&lt;wsp:rsid wsp:val=&quot;00326CCD&quot;/&gt;&lt;wsp:rsid wsp:val=&quot;00333D7B&quot;/&gt;&lt;wsp:rsid wsp:val=&quot;0033645B&quot;/&gt;&lt;wsp:rsid wsp:val=&quot;00340B3D&quot;/&gt;&lt;wsp:rsid wsp:val=&quot;003424C7&quot;/&gt;&lt;wsp:rsid wsp:val=&quot;003463FB&quot;/&gt;&lt;wsp:rsid wsp:val=&quot;00347047&quot;/&gt;&lt;wsp:rsid wsp:val=&quot;0035179E&quot;/&gt;&lt;wsp:rsid wsp:val=&quot;00352CA9&quot;/&gt;&lt;wsp:rsid wsp:val=&quot;00353370&quot;/&gt;&lt;wsp:rsid wsp:val=&quot;00356365&quot;/&gt;&lt;wsp:rsid wsp:val=&quot;00357D83&quot;/&gt;&lt;wsp:rsid wsp:val=&quot;0036012A&quot;/&gt;&lt;wsp:rsid wsp:val=&quot;00361DA0&quot;/&gt;&lt;wsp:rsid wsp:val=&quot;00366587&quot;/&gt;&lt;wsp:rsid wsp:val=&quot;00373DF6&quot;/&gt;&lt;wsp:rsid wsp:val=&quot;00374E7E&quot;/&gt;&lt;wsp:rsid wsp:val=&quot;0037773C&quot;/&gt;&lt;wsp:rsid wsp:val=&quot;00381D71&quot;/&gt;&lt;wsp:rsid wsp:val=&quot;003834B7&quot;/&gt;&lt;wsp:rsid wsp:val=&quot;003846B2&quot;/&gt;&lt;wsp:rsid wsp:val=&quot;00385D84&quot;/&gt;&lt;wsp:rsid wsp:val=&quot;00386DD2&quot;/&gt;&lt;wsp:rsid wsp:val=&quot;00394DE7&quot;/&gt;&lt;wsp:rsid wsp:val=&quot;00395658&quot;/&gt;&lt;wsp:rsid wsp:val=&quot;0039794E&quot;/&gt;&lt;wsp:rsid wsp:val=&quot;00397CAD&quot;/&gt;&lt;wsp:rsid wsp:val=&quot;003A1EC7&quot;/&gt;&lt;wsp:rsid wsp:val=&quot;003A2223&quot;/&gt;&lt;wsp:rsid wsp:val=&quot;003A4001&quot;/&gt;&lt;wsp:rsid wsp:val=&quot;003A515B&quot;/&gt;&lt;wsp:rsid wsp:val=&quot;003B0C68&quot;/&gt;&lt;wsp:rsid wsp:val=&quot;003B0FB3&quot;/&gt;&lt;wsp:rsid wsp:val=&quot;003B15C0&quot;/&gt;&lt;wsp:rsid wsp:val=&quot;003B1DDD&quot;/&gt;&lt;wsp:rsid wsp:val=&quot;003B203F&quot;/&gt;&lt;wsp:rsid wsp:val=&quot;003B5354&quot;/&gt;&lt;wsp:rsid wsp:val=&quot;003B54C7&quot;/&gt;&lt;wsp:rsid wsp:val=&quot;003B7053&quot;/&gt;&lt;wsp:rsid wsp:val=&quot;003C1520&quot;/&gt;&lt;wsp:rsid wsp:val=&quot;003C3B14&quot;/&gt;&lt;wsp:rsid wsp:val=&quot;003C5266&quot;/&gt;&lt;wsp:rsid wsp:val=&quot;003D1377&quot;/&gt;&lt;wsp:rsid wsp:val=&quot;003D16D4&quot;/&gt;&lt;wsp:rsid wsp:val=&quot;003D5494&quot;/&gt;&lt;wsp:rsid wsp:val=&quot;003D5DDE&quot;/&gt;&lt;wsp:rsid wsp:val=&quot;003E0139&quot;/&gt;&lt;wsp:rsid wsp:val=&quot;003E0ED5&quot;/&gt;&lt;wsp:rsid wsp:val=&quot;003E2668&quot;/&gt;&lt;wsp:rsid wsp:val=&quot;003E2A97&quot;/&gt;&lt;wsp:rsid wsp:val=&quot;003E5F0A&quot;/&gt;&lt;wsp:rsid wsp:val=&quot;003E78A5&quot;/&gt;&lt;wsp:rsid wsp:val=&quot;003F2B39&quot;/&gt;&lt;wsp:rsid wsp:val=&quot;00400A83&quot;/&gt;&lt;wsp:rsid wsp:val=&quot;00401DB6&quot;/&gt;&lt;wsp:rsid wsp:val=&quot;00402A12&quot;/&gt;&lt;wsp:rsid wsp:val=&quot;00404856&quot;/&gt;&lt;wsp:rsid wsp:val=&quot;004072B3&quot;/&gt;&lt;wsp:rsid wsp:val=&quot;00407EBD&quot;/&gt;&lt;wsp:rsid wsp:val=&quot;00410F9E&quot;/&gt;&lt;wsp:rsid wsp:val=&quot;004112CA&quot;/&gt;&lt;wsp:rsid wsp:val=&quot;00412DB0&quot;/&gt;&lt;wsp:rsid wsp:val=&quot;00417F12&quot;/&gt;&lt;wsp:rsid wsp:val=&quot;004216F4&quot;/&gt;&lt;wsp:rsid wsp:val=&quot;00421AF5&quot;/&gt;&lt;wsp:rsid wsp:val=&quot;0042341D&quot;/&gt;&lt;wsp:rsid wsp:val=&quot;00423ED7&quot;/&gt;&lt;wsp:rsid wsp:val=&quot;0042487A&quot;/&gt;&lt;wsp:rsid wsp:val=&quot;004254B9&quot;/&gt;&lt;wsp:rsid wsp:val=&quot;004312F0&quot;/&gt;&lt;wsp:rsid wsp:val=&quot;00431711&quot;/&gt;&lt;wsp:rsid wsp:val=&quot;00436674&quot;/&gt;&lt;wsp:rsid wsp:val=&quot;00437343&quot;/&gt;&lt;wsp:rsid wsp:val=&quot;004420A4&quot;/&gt;&lt;wsp:rsid wsp:val=&quot;004421B4&quot;/&gt;&lt;wsp:rsid wsp:val=&quot;0044769C&quot;/&gt;&lt;wsp:rsid wsp:val=&quot;00447B2A&quot;/&gt;&lt;wsp:rsid wsp:val=&quot;00447EFF&quot;/&gt;&lt;wsp:rsid wsp:val=&quot;00451475&quot;/&gt;&lt;wsp:rsid wsp:val=&quot;004542EF&quot;/&gt;&lt;wsp:rsid wsp:val=&quot;0046720F&quot;/&gt;&lt;wsp:rsid wsp:val=&quot;0047185D&quot;/&gt;&lt;wsp:rsid wsp:val=&quot;0047230B&quot;/&gt;&lt;wsp:rsid wsp:val=&quot;00472927&quot;/&gt;&lt;wsp:rsid wsp:val=&quot;00472C0A&quot;/&gt;&lt;wsp:rsid wsp:val=&quot;0047533E&quot;/&gt;&lt;wsp:rsid wsp:val=&quot;00476855&quot;/&gt;&lt;wsp:rsid wsp:val=&quot;004856E4&quot;/&gt;&lt;wsp:rsid wsp:val=&quot;004869B5&quot;/&gt;&lt;wsp:rsid wsp:val=&quot;00487E6C&quot;/&gt;&lt;wsp:rsid wsp:val=&quot;00491082&quot;/&gt;&lt;wsp:rsid wsp:val=&quot;004977E5&quot;/&gt;&lt;wsp:rsid wsp:val=&quot;004A0E05&quot;/&gt;&lt;wsp:rsid wsp:val=&quot;004A19E3&quot;/&gt;&lt;wsp:rsid wsp:val=&quot;004A55FE&quot;/&gt;&lt;wsp:rsid wsp:val=&quot;004B5D92&quot;/&gt;&lt;wsp:rsid wsp:val=&quot;004B5DBA&quot;/&gt;&lt;wsp:rsid wsp:val=&quot;004B7F7D&quot;/&gt;&lt;wsp:rsid wsp:val=&quot;004C3883&quot;/&gt;&lt;wsp:rsid wsp:val=&quot;004C4D7B&quot;/&gt;&lt;wsp:rsid wsp:val=&quot;004C683B&quot;/&gt;&lt;wsp:rsid wsp:val=&quot;004D1026&quot;/&gt;&lt;wsp:rsid wsp:val=&quot;004D3A4A&quot;/&gt;&lt;wsp:rsid wsp:val=&quot;004D4219&quot;/&gt;&lt;wsp:rsid wsp:val=&quot;004E0BC6&quot;/&gt;&lt;wsp:rsid wsp:val=&quot;004E108E&quot;/&gt;&lt;wsp:rsid wsp:val=&quot;004E227D&quot;/&gt;&lt;wsp:rsid wsp:val=&quot;004E3D70&quot;/&gt;&lt;wsp:rsid wsp:val=&quot;004E51E2&quot;/&gt;&lt;wsp:rsid wsp:val=&quot;004E53CE&quot;/&gt;&lt;wsp:rsid wsp:val=&quot;004E5671&quot;/&gt;&lt;wsp:rsid wsp:val=&quot;004E684C&quot;/&gt;&lt;wsp:rsid wsp:val=&quot;004F0FDE&quot;/&gt;&lt;wsp:rsid wsp:val=&quot;004F29C2&quot;/&gt;&lt;wsp:rsid wsp:val=&quot;004F2EA9&quot;/&gt;&lt;wsp:rsid wsp:val=&quot;004F5BC5&quot;/&gt;&lt;wsp:rsid wsp:val=&quot;00504DDE&quot;/&gt;&lt;wsp:rsid wsp:val=&quot;00506B45&quot;/&gt;&lt;wsp:rsid wsp:val=&quot;00511A5B&quot;/&gt;&lt;wsp:rsid wsp:val=&quot;00512B39&quot;/&gt;&lt;wsp:rsid wsp:val=&quot;0051407A&quot;/&gt;&lt;wsp:rsid wsp:val=&quot;005152DB&quot;/&gt;&lt;wsp:rsid wsp:val=&quot;0051794A&quot;/&gt;&lt;wsp:rsid wsp:val=&quot;00522954&quot;/&gt;&lt;wsp:rsid wsp:val=&quot;00527B3B&quot;/&gt;&lt;wsp:rsid wsp:val=&quot;00530C13&quot;/&gt;&lt;wsp:rsid wsp:val=&quot;00530E27&quot;/&gt;&lt;wsp:rsid wsp:val=&quot;00531D3C&quot;/&gt;&lt;wsp:rsid wsp:val=&quot;00532162&quot;/&gt;&lt;wsp:rsid wsp:val=&quot;00540500&quot;/&gt;&lt;wsp:rsid wsp:val=&quot;00547A21&quot;/&gt;&lt;wsp:rsid wsp:val=&quot;00547D8C&quot;/&gt;&lt;wsp:rsid wsp:val=&quot;00547DF7&quot;/&gt;&lt;wsp:rsid wsp:val=&quot;005513FD&quot;/&gt;&lt;wsp:rsid wsp:val=&quot;00552117&quot;/&gt;&lt;wsp:rsid wsp:val=&quot;00552DAB&quot;/&gt;&lt;wsp:rsid wsp:val=&quot;005577AB&quot;/&gt;&lt;wsp:rsid wsp:val=&quot;0056060D&quot;/&gt;&lt;wsp:rsid wsp:val=&quot;0056060F&quot;/&gt;&lt;wsp:rsid wsp:val=&quot;00563709&quot;/&gt;&lt;wsp:rsid wsp:val=&quot;0056433F&quot;/&gt;&lt;wsp:rsid wsp:val=&quot;00565B10&quot;/&gt;&lt;wsp:rsid wsp:val=&quot;00566856&quot;/&gt;&lt;wsp:rsid wsp:val=&quot;00566F0C&quot;/&gt;&lt;wsp:rsid wsp:val=&quot;00567124&quot;/&gt;&lt;wsp:rsid wsp:val=&quot;00567128&quot;/&gt;&lt;wsp:rsid wsp:val=&quot;00571C04&quot;/&gt;&lt;wsp:rsid wsp:val=&quot;0057474F&quot;/&gt;&lt;wsp:rsid wsp:val=&quot;00574A2D&quot;/&gt;&lt;wsp:rsid wsp:val=&quot;00576F3C&quot;/&gt;&lt;wsp:rsid wsp:val=&quot;005773EA&quot;/&gt;&lt;wsp:rsid wsp:val=&quot;005803AA&quot;/&gt;&lt;wsp:rsid wsp:val=&quot;00584EC2&quot;/&gt;&lt;wsp:rsid wsp:val=&quot;005902AC&quot;/&gt;&lt;wsp:rsid wsp:val=&quot;0059221F&quot;/&gt;&lt;wsp:rsid wsp:val=&quot;00596461&quot;/&gt;&lt;wsp:rsid wsp:val=&quot;0059695C&quot;/&gt;&lt;wsp:rsid wsp:val=&quot;005A1380&quot;/&gt;&lt;wsp:rsid wsp:val=&quot;005A1822&quot;/&gt;&lt;wsp:rsid wsp:val=&quot;005A1D3D&quot;/&gt;&lt;wsp:rsid wsp:val=&quot;005A5830&quot;/&gt;&lt;wsp:rsid wsp:val=&quot;005A7AFC&quot;/&gt;&lt;wsp:rsid wsp:val=&quot;005B15B4&quot;/&gt;&lt;wsp:rsid wsp:val=&quot;005B4B45&quot;/&gt;&lt;wsp:rsid wsp:val=&quot;005B5D49&quot;/&gt;&lt;wsp:rsid wsp:val=&quot;005B6972&quot;/&gt;&lt;wsp:rsid wsp:val=&quot;005B70DF&quot;/&gt;&lt;wsp:rsid wsp:val=&quot;005B7AF6&quot;/&gt;&lt;wsp:rsid wsp:val=&quot;005C0CA8&quot;/&gt;&lt;wsp:rsid wsp:val=&quot;005C5803&quot;/&gt;&lt;wsp:rsid wsp:val=&quot;005D54A6&quot;/&gt;&lt;wsp:rsid wsp:val=&quot;005D630A&quot;/&gt;&lt;wsp:rsid wsp:val=&quot;005E2B82&quot;/&gt;&lt;wsp:rsid wsp:val=&quot;005E6EAC&quot;/&gt;&lt;wsp:rsid wsp:val=&quot;005F06B4&quot;/&gt;&lt;wsp:rsid wsp:val=&quot;00600ED6&quot;/&gt;&lt;wsp:rsid wsp:val=&quot;00601580&quot;/&gt;&lt;wsp:rsid wsp:val=&quot;00603D67&quot;/&gt;&lt;wsp:rsid wsp:val=&quot;00612002&quot;/&gt;&lt;wsp:rsid wsp:val=&quot;00612B9F&quot;/&gt;&lt;wsp:rsid wsp:val=&quot;00613B10&quot;/&gt;&lt;wsp:rsid wsp:val=&quot;0061736F&quot;/&gt;&lt;wsp:rsid wsp:val=&quot;006174A7&quot;/&gt;&lt;wsp:rsid wsp:val=&quot;00623724&quot;/&gt;&lt;wsp:rsid wsp:val=&quot;00626BC3&quot;/&gt;&lt;wsp:rsid wsp:val=&quot;00630B03&quot;/&gt;&lt;wsp:rsid wsp:val=&quot;0063270A&quot;/&gt;&lt;wsp:rsid wsp:val=&quot;00635CB8&quot;/&gt;&lt;wsp:rsid wsp:val=&quot;006372D5&quot;/&gt;&lt;wsp:rsid wsp:val=&quot;00641A45&quot;/&gt;&lt;wsp:rsid wsp:val=&quot;006479E6&quot;/&gt;&lt;wsp:rsid wsp:val=&quot;006517DE&quot;/&gt;&lt;wsp:rsid wsp:val=&quot;006526D2&quot;/&gt;&lt;wsp:rsid wsp:val=&quot;0065465B&quot;/&gt;&lt;wsp:rsid wsp:val=&quot;00654ACE&quot;/&gt;&lt;wsp:rsid wsp:val=&quot;00660A01&quot;/&gt;&lt;wsp:rsid wsp:val=&quot;0066247F&quot;/&gt;&lt;wsp:rsid wsp:val=&quot;00663A8D&quot;/&gt;&lt;wsp:rsid wsp:val=&quot;006648ED&quot;/&gt;&lt;wsp:rsid wsp:val=&quot;006706D2&quot;/&gt;&lt;wsp:rsid wsp:val=&quot;006724A1&quot;/&gt;&lt;wsp:rsid wsp:val=&quot;006752E3&quot;/&gt;&lt;wsp:rsid wsp:val=&quot;00676867&quot;/&gt;&lt;wsp:rsid wsp:val=&quot;00676E0F&quot;/&gt;&lt;wsp:rsid wsp:val=&quot;006808D5&quot;/&gt;&lt;wsp:rsid wsp:val=&quot;00683541&quot;/&gt;&lt;wsp:rsid wsp:val=&quot;00686361&quot;/&gt;&lt;wsp:rsid wsp:val=&quot;00693874&quot;/&gt;&lt;wsp:rsid wsp:val=&quot;0069443B&quot;/&gt;&lt;wsp:rsid wsp:val=&quot;0069772F&quot;/&gt;&lt;wsp:rsid wsp:val=&quot;006A15BB&quot;/&gt;&lt;wsp:rsid wsp:val=&quot;006A2BA7&quot;/&gt;&lt;wsp:rsid wsp:val=&quot;006A4424&quot;/&gt;&lt;wsp:rsid wsp:val=&quot;006A4477&quot;/&gt;&lt;wsp:rsid wsp:val=&quot;006A6896&quot;/&gt;&lt;wsp:rsid wsp:val=&quot;006A7DC8&quot;/&gt;&lt;wsp:rsid wsp:val=&quot;006B4E14&quot;/&gt;&lt;wsp:rsid wsp:val=&quot;006B6454&quot;/&gt;&lt;wsp:rsid wsp:val=&quot;006C2675&quot;/&gt;&lt;wsp:rsid wsp:val=&quot;006C2E47&quot;/&gt;&lt;wsp:rsid wsp:val=&quot;006D0401&quot;/&gt;&lt;wsp:rsid wsp:val=&quot;006D238B&quot;/&gt;&lt;wsp:rsid wsp:val=&quot;006D2620&quot;/&gt;&lt;wsp:rsid wsp:val=&quot;006D53CA&quot;/&gt;&lt;wsp:rsid wsp:val=&quot;006D6871&quot;/&gt;&lt;wsp:rsid wsp:val=&quot;006E0EB2&quot;/&gt;&lt;wsp:rsid wsp:val=&quot;006E143E&quot;/&gt;&lt;wsp:rsid wsp:val=&quot;006E2C79&quot;/&gt;&lt;wsp:rsid wsp:val=&quot;006E34BE&quot;/&gt;&lt;wsp:rsid wsp:val=&quot;006E6593&quot;/&gt;&lt;wsp:rsid wsp:val=&quot;006F3DE5&quot;/&gt;&lt;wsp:rsid wsp:val=&quot;006F4F19&quot;/&gt;&lt;wsp:rsid wsp:val=&quot;006F5917&quot;/&gt;&lt;wsp:rsid wsp:val=&quot;00704FE7&quot;/&gt;&lt;wsp:rsid wsp:val=&quot;007204F8&quot;/&gt;&lt;wsp:rsid wsp:val=&quot;007217F7&quot;/&gt;&lt;wsp:rsid wsp:val=&quot;0072644E&quot;/&gt;&lt;wsp:rsid wsp:val=&quot;007324C6&quot;/&gt;&lt;wsp:rsid wsp:val=&quot;007336C1&quot;/&gt;&lt;wsp:rsid wsp:val=&quot;00734B96&quot;/&gt;&lt;wsp:rsid wsp:val=&quot;00734BDE&quot;/&gt;&lt;wsp:rsid wsp:val=&quot;007353BC&quot;/&gt;&lt;wsp:rsid wsp:val=&quot;00735B91&quot;/&gt;&lt;wsp:rsid wsp:val=&quot;00736034&quot;/&gt;&lt;wsp:rsid wsp:val=&quot;00737B44&quot;/&gt;&lt;wsp:rsid wsp:val=&quot;007404B6&quot;/&gt;&lt;wsp:rsid wsp:val=&quot;00740A86&quot;/&gt;&lt;wsp:rsid wsp:val=&quot;00744E53&quot;/&gt;&lt;wsp:rsid wsp:val=&quot;00746F5B&quot;/&gt;&lt;wsp:rsid wsp:val=&quot;007619C2&quot;/&gt;&lt;wsp:rsid wsp:val=&quot;007652D1&quot;/&gt;&lt;wsp:rsid wsp:val=&quot;007662BE&quot;/&gt;&lt;wsp:rsid wsp:val=&quot;00773C54&quot;/&gt;&lt;wsp:rsid wsp:val=&quot;00774B58&quot;/&gt;&lt;wsp:rsid wsp:val=&quot;00774C8F&quot;/&gt;&lt;wsp:rsid wsp:val=&quot;007751C5&quot;/&gt;&lt;wsp:rsid wsp:val=&quot;00783BCE&quot;/&gt;&lt;wsp:rsid wsp:val=&quot;007855B9&quot;/&gt;&lt;wsp:rsid wsp:val=&quot;0078686E&quot;/&gt;&lt;wsp:rsid wsp:val=&quot;00790C0D&quot;/&gt;&lt;wsp:rsid wsp:val=&quot;00793A4F&quot;/&gt;&lt;wsp:rsid wsp:val=&quot;00797379&quot;/&gt;&lt;wsp:rsid wsp:val=&quot;007976F5&quot;/&gt;&lt;wsp:rsid wsp:val=&quot;007A20B6&quot;/&gt;&lt;wsp:rsid wsp:val=&quot;007A3AC2&quot;/&gt;&lt;wsp:rsid wsp:val=&quot;007A498B&quot;/&gt;&lt;wsp:rsid wsp:val=&quot;007A59AB&quot;/&gt;&lt;wsp:rsid wsp:val=&quot;007A61AB&quot;/&gt;&lt;wsp:rsid wsp:val=&quot;007A6EA1&quot;/&gt;&lt;wsp:rsid wsp:val=&quot;007A7175&quot;/&gt;&lt;wsp:rsid wsp:val=&quot;007B0689&quot;/&gt;&lt;wsp:rsid wsp:val=&quot;007B3E40&quot;/&gt;&lt;wsp:rsid wsp:val=&quot;007B557A&quot;/&gt;&lt;wsp:rsid wsp:val=&quot;007C2FD2&quot;/&gt;&lt;wsp:rsid wsp:val=&quot;007C7757&quot;/&gt;&lt;wsp:rsid wsp:val=&quot;007D5BE3&quot;/&gt;&lt;wsp:rsid wsp:val=&quot;007E5636&quot;/&gt;&lt;wsp:rsid wsp:val=&quot;007E6498&quot;/&gt;&lt;wsp:rsid wsp:val=&quot;007F2F6F&quot;/&gt;&lt;wsp:rsid wsp:val=&quot;007F7C58&quot;/&gt;&lt;wsp:rsid wsp:val=&quot;00802A93&quot;/&gt;&lt;wsp:rsid wsp:val=&quot;00803A34&quot;/&gt;&lt;wsp:rsid wsp:val=&quot;00804FA2&quot;/&gt;&lt;wsp:rsid wsp:val=&quot;00805659&quot;/&gt;&lt;wsp:rsid wsp:val=&quot;00807909&quot;/&gt;&lt;wsp:rsid wsp:val=&quot;00807C45&quot;/&gt;&lt;wsp:rsid wsp:val=&quot;00807CA1&quot;/&gt;&lt;wsp:rsid wsp:val=&quot;00810858&quot;/&gt;&lt;wsp:rsid wsp:val=&quot;0081129E&quot;/&gt;&lt;wsp:rsid wsp:val=&quot;0081393D&quot;/&gt;&lt;wsp:rsid wsp:val=&quot;00813DEA&quot;/&gt;&lt;wsp:rsid wsp:val=&quot;008147B4&quot;/&gt;&lt;wsp:rsid wsp:val=&quot;00817159&quot;/&gt;&lt;wsp:rsid wsp:val=&quot;0081715B&quot;/&gt;&lt;wsp:rsid wsp:val=&quot;00821C98&quot;/&gt;&lt;wsp:rsid wsp:val=&quot;008267F9&quot;/&gt;&lt;wsp:rsid wsp:val=&quot;00827021&quot;/&gt;&lt;wsp:rsid wsp:val=&quot;008308A3&quot;/&gt;&lt;wsp:rsid wsp:val=&quot;00837F08&quot;/&gt;&lt;wsp:rsid wsp:val=&quot;00842892&quot;/&gt;&lt;wsp:rsid wsp:val=&quot;008472A7&quot;/&gt;&lt;wsp:rsid wsp:val=&quot;00850C17&quot;/&gt;&lt;wsp:rsid wsp:val=&quot;00860A9B&quot;/&gt;&lt;wsp:rsid wsp:val=&quot;0086270E&quot;/&gt;&lt;wsp:rsid wsp:val=&quot;0086456E&quot;/&gt;&lt;wsp:rsid wsp:val=&quot;008663E2&quot;/&gt;&lt;wsp:rsid wsp:val=&quot;008670ED&quot;/&gt;&lt;wsp:rsid wsp:val=&quot;0087504B&quot;/&gt;&lt;wsp:rsid wsp:val=&quot;00875C12&quot;/&gt;&lt;wsp:rsid wsp:val=&quot;00876EE4&quot;/&gt;&lt;wsp:rsid wsp:val=&quot;00883C1D&quot;/&gt;&lt;wsp:rsid wsp:val=&quot;0088586D&quot;/&gt;&lt;wsp:rsid wsp:val=&quot;008871EC&quot;/&gt;&lt;wsp:rsid wsp:val=&quot;00887400&quot;/&gt;&lt;wsp:rsid wsp:val=&quot;008922B9&quot;/&gt;&lt;wsp:rsid wsp:val=&quot;008954D5&quot;/&gt;&lt;wsp:rsid wsp:val=&quot;0089567C&quot;/&gt;&lt;wsp:rsid wsp:val=&quot;008A197D&quot;/&gt;&lt;wsp:rsid wsp:val=&quot;008A380A&quot;/&gt;&lt;wsp:rsid wsp:val=&quot;008A3AC4&quot;/&gt;&lt;wsp:rsid wsp:val=&quot;008A3C6C&quot;/&gt;&lt;wsp:rsid wsp:val=&quot;008A5962&quot;/&gt;&lt;wsp:rsid wsp:val=&quot;008B00C2&quot;/&gt;&lt;wsp:rsid wsp:val=&quot;008B326A&quot;/&gt;&lt;wsp:rsid wsp:val=&quot;008B574C&quot;/&gt;&lt;wsp:rsid wsp:val=&quot;008C05A0&quot;/&gt;&lt;wsp:rsid wsp:val=&quot;008C5449&quot;/&gt;&lt;wsp:rsid wsp:val=&quot;008C5F86&quot;/&gt;&lt;wsp:rsid wsp:val=&quot;008D20DC&quot;/&gt;&lt;wsp:rsid wsp:val=&quot;008D7BAF&quot;/&gt;&lt;wsp:rsid wsp:val=&quot;008E2BE0&quot;/&gt;&lt;wsp:rsid wsp:val=&quot;008E4220&quot;/&gt;&lt;wsp:rsid wsp:val=&quot;008F369A&quot;/&gt;&lt;wsp:rsid wsp:val=&quot;008F420C&quot;/&gt;&lt;wsp:rsid wsp:val=&quot;008F7BA0&quot;/&gt;&lt;wsp:rsid wsp:val=&quot;00901515&quot;/&gt;&lt;wsp:rsid wsp:val=&quot;00901EA4&quot;/&gt;&lt;wsp:rsid wsp:val=&quot;00914DA9&quot;/&gt;&lt;wsp:rsid wsp:val=&quot;00915A38&quot;/&gt;&lt;wsp:rsid wsp:val=&quot;009203AD&quot;/&gt;&lt;wsp:rsid wsp:val=&quot;00932146&quot;/&gt;&lt;wsp:rsid wsp:val=&quot;009352BD&quot;/&gt;&lt;wsp:rsid wsp:val=&quot;009352F5&quot;/&gt;&lt;wsp:rsid wsp:val=&quot;00935429&quot;/&gt;&lt;wsp:rsid wsp:val=&quot;009375D0&quot;/&gt;&lt;wsp:rsid wsp:val=&quot;0094299B&quot;/&gt;&lt;wsp:rsid wsp:val=&quot;00942C0E&quot;/&gt;&lt;wsp:rsid wsp:val=&quot;009448C2&quot;/&gt;&lt;wsp:rsid wsp:val=&quot;0094633F&quot;/&gt;&lt;wsp:rsid wsp:val=&quot;009467A3&quot;/&gt;&lt;wsp:rsid wsp:val=&quot;00954557&quot;/&gt;&lt;wsp:rsid wsp:val=&quot;00954909&quot;/&gt;&lt;wsp:rsid wsp:val=&quot;0095524E&quot;/&gt;&lt;wsp:rsid wsp:val=&quot;00956597&quot;/&gt;&lt;wsp:rsid wsp:val=&quot;00957B93&quot;/&gt;&lt;wsp:rsid wsp:val=&quot;009612C0&quot;/&gt;&lt;wsp:rsid wsp:val=&quot;0096230B&quot;/&gt;&lt;wsp:rsid wsp:val=&quot;00962AFB&quot;/&gt;&lt;wsp:rsid wsp:val=&quot;009634B4&quot;/&gt;&lt;wsp:rsid wsp:val=&quot;009635FD&quot;/&gt;&lt;wsp:rsid wsp:val=&quot;00964279&quot;/&gt;&lt;wsp:rsid wsp:val=&quot;00965423&quot;/&gt;&lt;wsp:rsid wsp:val=&quot;009672EE&quot;/&gt;&lt;wsp:rsid wsp:val=&quot;00967D83&quot;/&gt;&lt;wsp:rsid wsp:val=&quot;0097132D&quot;/&gt;&lt;wsp:rsid wsp:val=&quot;009746A1&quot;/&gt;&lt;wsp:rsid wsp:val=&quot;0097537C&quot;/&gt;&lt;wsp:rsid wsp:val=&quot;00975CBA&quot;/&gt;&lt;wsp:rsid wsp:val=&quot;00980395&quot;/&gt;&lt;wsp:rsid wsp:val=&quot;009805A2&quot;/&gt;&lt;wsp:rsid wsp:val=&quot;00980B97&quot;/&gt;&lt;wsp:rsid wsp:val=&quot;00987C8E&quot;/&gt;&lt;wsp:rsid wsp:val=&quot;00997488&quot;/&gt;&lt;wsp:rsid wsp:val=&quot;009B5CF9&quot;/&gt;&lt;wsp:rsid wsp:val=&quot;009C3B84&quot;/&gt;&lt;wsp:rsid wsp:val=&quot;009C4155&quot;/&gt;&lt;wsp:rsid wsp:val=&quot;009D4539&quot;/&gt;&lt;wsp:rsid wsp:val=&quot;009D5E41&quot;/&gt;&lt;wsp:rsid wsp:val=&quot;009D7925&quot;/&gt;&lt;wsp:rsid wsp:val=&quot;009E2507&quot;/&gt;&lt;wsp:rsid wsp:val=&quot;009E3360&quot;/&gt;&lt;wsp:rsid wsp:val=&quot;009E3676&quot;/&gt;&lt;wsp:rsid wsp:val=&quot;009E6C42&quot;/&gt;&lt;wsp:rsid wsp:val=&quot;009F05BA&quot;/&gt;&lt;wsp:rsid wsp:val=&quot;009F6139&quot;/&gt;&lt;wsp:rsid wsp:val=&quot;009F6CB9&quot;/&gt;&lt;wsp:rsid wsp:val=&quot;00A00006&quot;/&gt;&lt;wsp:rsid wsp:val=&quot;00A003F1&quot;/&gt;&lt;wsp:rsid wsp:val=&quot;00A0220C&quot;/&gt;&lt;wsp:rsid wsp:val=&quot;00A03173&quot;/&gt;&lt;wsp:rsid wsp:val=&quot;00A101C0&quot;/&gt;&lt;wsp:rsid wsp:val=&quot;00A10CE1&quot;/&gt;&lt;wsp:rsid wsp:val=&quot;00A1225C&quot;/&gt;&lt;wsp:rsid wsp:val=&quot;00A1567C&quot;/&gt;&lt;wsp:rsid wsp:val=&quot;00A16425&quot;/&gt;&lt;wsp:rsid wsp:val=&quot;00A307AA&quot;/&gt;&lt;wsp:rsid wsp:val=&quot;00A32D87&quot;/&gt;&lt;wsp:rsid wsp:val=&quot;00A32EF2&quot;/&gt;&lt;wsp:rsid wsp:val=&quot;00A33959&quot;/&gt;&lt;wsp:rsid wsp:val=&quot;00A4092A&quot;/&gt;&lt;wsp:rsid wsp:val=&quot;00A426FF&quot;/&gt;&lt;wsp:rsid wsp:val=&quot;00A43783&quot;/&gt;&lt;wsp:rsid wsp:val=&quot;00A45018&quot;/&gt;&lt;wsp:rsid wsp:val=&quot;00A45B03&quot;/&gt;&lt;wsp:rsid wsp:val=&quot;00A468F0&quot;/&gt;&lt;wsp:rsid wsp:val=&quot;00A51113&quot;/&gt;&lt;wsp:rsid wsp:val=&quot;00A51F11&quot;/&gt;&lt;wsp:rsid wsp:val=&quot;00A53F63&quot;/&gt;&lt;wsp:rsid wsp:val=&quot;00A557EA&quot;/&gt;&lt;wsp:rsid wsp:val=&quot;00A56587&quot;/&gt;&lt;wsp:rsid wsp:val=&quot;00A5778A&quot;/&gt;&lt;wsp:rsid wsp:val=&quot;00A6096E&quot;/&gt;&lt;wsp:rsid wsp:val=&quot;00A609F1&quot;/&gt;&lt;wsp:rsid wsp:val=&quot;00A61370&quot;/&gt;&lt;wsp:rsid wsp:val=&quot;00A61FB8&quot;/&gt;&lt;wsp:rsid wsp:val=&quot;00A6378F&quot;/&gt;&lt;wsp:rsid wsp:val=&quot;00A64EC3&quot;/&gt;&lt;wsp:rsid wsp:val=&quot;00A650D1&quot;/&gt;&lt;wsp:rsid wsp:val=&quot;00A65FA7&quot;/&gt;&lt;wsp:rsid wsp:val=&quot;00A6788A&quot;/&gt;&lt;wsp:rsid wsp:val=&quot;00A67C64&quot;/&gt;&lt;wsp:rsid wsp:val=&quot;00A72379&quot;/&gt;&lt;wsp:rsid wsp:val=&quot;00A77587&quot;/&gt;&lt;wsp:rsid wsp:val=&quot;00A805B2&quot;/&gt;&lt;wsp:rsid wsp:val=&quot;00A82F33&quot;/&gt;&lt;wsp:rsid wsp:val=&quot;00A864D7&quot;/&gt;&lt;wsp:rsid wsp:val=&quot;00A86D91&quot;/&gt;&lt;wsp:rsid wsp:val=&quot;00A87928&quot;/&gt;&lt;wsp:rsid wsp:val=&quot;00A96420&quot;/&gt;&lt;wsp:rsid wsp:val=&quot;00AA1382&quot;/&gt;&lt;wsp:rsid wsp:val=&quot;00AA193E&quot;/&gt;&lt;wsp:rsid wsp:val=&quot;00AA2ACD&quot;/&gt;&lt;wsp:rsid wsp:val=&quot;00AA5E67&quot;/&gt;&lt;wsp:rsid wsp:val=&quot;00AB066E&quot;/&gt;&lt;wsp:rsid wsp:val=&quot;00AB140F&quot;/&gt;&lt;wsp:rsid wsp:val=&quot;00AB187B&quot;/&gt;&lt;wsp:rsid wsp:val=&quot;00AB2007&quot;/&gt;&lt;wsp:rsid wsp:val=&quot;00AB2336&quot;/&gt;&lt;wsp:rsid wsp:val=&quot;00AB2E29&quot;/&gt;&lt;wsp:rsid wsp:val=&quot;00AB62A4&quot;/&gt;&lt;wsp:rsid wsp:val=&quot;00AB78FF&quot;/&gt;&lt;wsp:rsid wsp:val=&quot;00AC163F&quot;/&gt;&lt;wsp:rsid wsp:val=&quot;00AC32BF&quot;/&gt;&lt;wsp:rsid wsp:val=&quot;00AC4973&quot;/&gt;&lt;wsp:rsid wsp:val=&quot;00AD07F5&quot;/&gt;&lt;wsp:rsid wsp:val=&quot;00AD122E&quot;/&gt;&lt;wsp:rsid wsp:val=&quot;00AD1312&quot;/&gt;&lt;wsp:rsid wsp:val=&quot;00AD4677&quot;/&gt;&lt;wsp:rsid wsp:val=&quot;00AE67F6&quot;/&gt;&lt;wsp:rsid wsp:val=&quot;00AF10DE&quot;/&gt;&lt;wsp:rsid wsp:val=&quot;00AF24CE&quot;/&gt;&lt;wsp:rsid wsp:val=&quot;00B05105&quot;/&gt;&lt;wsp:rsid wsp:val=&quot;00B06444&quot;/&gt;&lt;wsp:rsid wsp:val=&quot;00B1070F&quot;/&gt;&lt;wsp:rsid wsp:val=&quot;00B11D17&quot;/&gt;&lt;wsp:rsid wsp:val=&quot;00B120A2&quot;/&gt;&lt;wsp:rsid wsp:val=&quot;00B16365&quot;/&gt;&lt;wsp:rsid wsp:val=&quot;00B16DA3&quot;/&gt;&lt;wsp:rsid wsp:val=&quot;00B1725C&quot;/&gt;&lt;wsp:rsid wsp:val=&quot;00B17266&quot;/&gt;&lt;wsp:rsid wsp:val=&quot;00B212AD&quot;/&gt;&lt;wsp:rsid wsp:val=&quot;00B23F28&quot;/&gt;&lt;wsp:rsid wsp:val=&quot;00B30E79&quot;/&gt;&lt;wsp:rsid wsp:val=&quot;00B3456C&quot;/&gt;&lt;wsp:rsid wsp:val=&quot;00B43FA7&quot;/&gt;&lt;wsp:rsid wsp:val=&quot;00B46351&quot;/&gt;&lt;wsp:rsid wsp:val=&quot;00B509EF&quot;/&gt;&lt;wsp:rsid wsp:val=&quot;00B559E7&quot;/&gt;&lt;wsp:rsid wsp:val=&quot;00B56326&quot;/&gt;&lt;wsp:rsid wsp:val=&quot;00B579EE&quot;/&gt;&lt;wsp:rsid wsp:val=&quot;00B606EC&quot;/&gt;&lt;wsp:rsid wsp:val=&quot;00B61D74&quot;/&gt;&lt;wsp:rsid wsp:val=&quot;00B62ACD&quot;/&gt;&lt;wsp:rsid wsp:val=&quot;00B63DCE&quot;/&gt;&lt;wsp:rsid wsp:val=&quot;00B67B38&quot;/&gt;&lt;wsp:rsid wsp:val=&quot;00B706F4&quot;/&gt;&lt;wsp:rsid wsp:val=&quot;00B71352&quot;/&gt;&lt;wsp:rsid wsp:val=&quot;00B71E81&quot;/&gt;&lt;wsp:rsid wsp:val=&quot;00B71F27&quot;/&gt;&lt;wsp:rsid wsp:val=&quot;00B727B0&quot;/&gt;&lt;wsp:rsid wsp:val=&quot;00B748E7&quot;/&gt;&lt;wsp:rsid wsp:val=&quot;00B748FF&quot;/&gt;&lt;wsp:rsid wsp:val=&quot;00B769CB&quot;/&gt;&lt;wsp:rsid wsp:val=&quot;00B771B0&quot;/&gt;&lt;wsp:rsid wsp:val=&quot;00B809E7&quot;/&gt;&lt;wsp:rsid wsp:val=&quot;00B82C2D&quot;/&gt;&lt;wsp:rsid wsp:val=&quot;00B86BEE&quot;/&gt;&lt;wsp:rsid wsp:val=&quot;00B87141&quot;/&gt;&lt;wsp:rsid wsp:val=&quot;00B878D0&quot;/&gt;&lt;wsp:rsid wsp:val=&quot;00B91296&quot;/&gt;&lt;wsp:rsid wsp:val=&quot;00B97C35&quot;/&gt;&lt;wsp:rsid wsp:val=&quot;00BA0FF7&quot;/&gt;&lt;wsp:rsid wsp:val=&quot;00BA6495&quot;/&gt;&lt;wsp:rsid wsp:val=&quot;00BB754F&quot;/&gt;&lt;wsp:rsid wsp:val=&quot;00BC29E2&quot;/&gt;&lt;wsp:rsid wsp:val=&quot;00BC37FC&quot;/&gt;&lt;wsp:rsid wsp:val=&quot;00BC5E24&quot;/&gt;&lt;wsp:rsid wsp:val=&quot;00BC67C8&quot;/&gt;&lt;wsp:rsid wsp:val=&quot;00BC736B&quot;/&gt;&lt;wsp:rsid wsp:val=&quot;00BD253F&quot;/&gt;&lt;wsp:rsid wsp:val=&quot;00BD3528&quot;/&gt;&lt;wsp:rsid wsp:val=&quot;00BD3AD8&quot;/&gt;&lt;wsp:rsid wsp:val=&quot;00BE64AE&quot;/&gt;&lt;wsp:rsid wsp:val=&quot;00BE7B95&quot;/&gt;&lt;wsp:rsid wsp:val=&quot;00BF40BF&quot;/&gt;&lt;wsp:rsid wsp:val=&quot;00BF6D76&quot;/&gt;&lt;wsp:rsid wsp:val=&quot;00BF73D6&quot;/&gt;&lt;wsp:rsid wsp:val=&quot;00C005B9&quot;/&gt;&lt;wsp:rsid wsp:val=&quot;00C02B8B&quot;/&gt;&lt;wsp:rsid wsp:val=&quot;00C1487A&quot;/&gt;&lt;wsp:rsid wsp:val=&quot;00C153A9&quot;/&gt;&lt;wsp:rsid wsp:val=&quot;00C31D46&quot;/&gt;&lt;wsp:rsid wsp:val=&quot;00C32A65&quot;/&gt;&lt;wsp:rsid wsp:val=&quot;00C35C4C&quot;/&gt;&lt;wsp:rsid wsp:val=&quot;00C3686D&quot;/&gt;&lt;wsp:rsid wsp:val=&quot;00C47283&quot;/&gt;&lt;wsp:rsid wsp:val=&quot;00C547EA&quot;/&gt;&lt;wsp:rsid wsp:val=&quot;00C5635C&quot;/&gt;&lt;wsp:rsid wsp:val=&quot;00C61148&quot;/&gt;&lt;wsp:rsid wsp:val=&quot;00C66042&quot;/&gt;&lt;wsp:rsid wsp:val=&quot;00C66BE1&quot;/&gt;&lt;wsp:rsid wsp:val=&quot;00C6766E&quot;/&gt;&lt;wsp:rsid wsp:val=&quot;00C67811&quot;/&gt;&lt;wsp:rsid wsp:val=&quot;00C67969&quot;/&gt;&lt;wsp:rsid wsp:val=&quot;00C73F74&quot;/&gt;&lt;wsp:rsid wsp:val=&quot;00C74764&quot;/&gt;&lt;wsp:rsid wsp:val=&quot;00C76AD9&quot;/&gt;&lt;wsp:rsid wsp:val=&quot;00C77FEB&quot;/&gt;&lt;wsp:rsid wsp:val=&quot;00C80A50&quot;/&gt;&lt;wsp:rsid wsp:val=&quot;00C822F5&quot;/&gt;&lt;wsp:rsid wsp:val=&quot;00C851BB&quot;/&gt;&lt;wsp:rsid wsp:val=&quot;00C85B54&quot;/&gt;&lt;wsp:rsid wsp:val=&quot;00C87EF4&quot;/&gt;&lt;wsp:rsid wsp:val=&quot;00C9024C&quot;/&gt;&lt;wsp:rsid wsp:val=&quot;00CA3682&quot;/&gt;&lt;wsp:rsid wsp:val=&quot;00CA586C&quot;/&gt;&lt;wsp:rsid wsp:val=&quot;00CA7865&quot;/&gt;&lt;wsp:rsid wsp:val=&quot;00CB0EC3&quot;/&gt;&lt;wsp:rsid wsp:val=&quot;00CB114A&quot;/&gt;&lt;wsp:rsid wsp:val=&quot;00CB4ED1&quot;/&gt;&lt;wsp:rsid wsp:val=&quot;00CB79A4&quot;/&gt;&lt;wsp:rsid wsp:val=&quot;00CC03BD&quot;/&gt;&lt;wsp:rsid wsp:val=&quot;00CC217F&quot;/&gt;&lt;wsp:rsid wsp:val=&quot;00CD23E2&quot;/&gt;&lt;wsp:rsid wsp:val=&quot;00CD3F6D&quot;/&gt;&lt;wsp:rsid wsp:val=&quot;00CD79CC&quot;/&gt;&lt;wsp:rsid wsp:val=&quot;00CE0086&quot;/&gt;&lt;wsp:rsid wsp:val=&quot;00CE2FA1&quot;/&gt;&lt;wsp:rsid wsp:val=&quot;00CE5BB7&quot;/&gt;&lt;wsp:rsid wsp:val=&quot;00CE6479&quot;/&gt;&lt;wsp:rsid wsp:val=&quot;00CE764A&quot;/&gt;&lt;wsp:rsid wsp:val=&quot;00CF0798&quot;/&gt;&lt;wsp:rsid wsp:val=&quot;00CF0C76&quot;/&gt;&lt;wsp:rsid wsp:val=&quot;00CF127C&quot;/&gt;&lt;wsp:rsid wsp:val=&quot;00CF2C92&quot;/&gt;&lt;wsp:rsid wsp:val=&quot;00CF33E7&quot;/&gt;&lt;wsp:rsid wsp:val=&quot;00CF592C&quot;/&gt;&lt;wsp:rsid wsp:val=&quot;00CF5B6B&quot;/&gt;&lt;wsp:rsid wsp:val=&quot;00CF63B7&quot;/&gt;&lt;wsp:rsid wsp:val=&quot;00CF694F&quot;/&gt;&lt;wsp:rsid wsp:val=&quot;00CF6BE2&quot;/&gt;&lt;wsp:rsid wsp:val=&quot;00D00E8E&quot;/&gt;&lt;wsp:rsid wsp:val=&quot;00D0127F&quot;/&gt;&lt;wsp:rsid wsp:val=&quot;00D01853&quot;/&gt;&lt;wsp:rsid wsp:val=&quot;00D03D99&quot;/&gt;&lt;wsp:rsid wsp:val=&quot;00D04034&quot;/&gt;&lt;wsp:rsid wsp:val=&quot;00D050F0&quot;/&gt;&lt;wsp:rsid wsp:val=&quot;00D1245C&quot;/&gt;&lt;wsp:rsid wsp:val=&quot;00D14735&quot;/&gt;&lt;wsp:rsid wsp:val=&quot;00D163E9&quot;/&gt;&lt;wsp:rsid wsp:val=&quot;00D1721F&quot;/&gt;&lt;wsp:rsid wsp:val=&quot;00D21753&quot;/&gt;&lt;wsp:rsid wsp:val=&quot;00D24A12&quot;/&gt;&lt;wsp:rsid wsp:val=&quot;00D37AAD&quot;/&gt;&lt;wsp:rsid wsp:val=&quot;00D418C3&quot;/&gt;&lt;wsp:rsid wsp:val=&quot;00D421DB&quot;/&gt;&lt;wsp:rsid wsp:val=&quot;00D44D17&quot;/&gt;&lt;wsp:rsid wsp:val=&quot;00D44D1D&quot;/&gt;&lt;wsp:rsid wsp:val=&quot;00D50FF1&quot;/&gt;&lt;wsp:rsid wsp:val=&quot;00D530A6&quot;/&gt;&lt;wsp:rsid wsp:val=&quot;00D53B4D&quot;/&gt;&lt;wsp:rsid wsp:val=&quot;00D55DFB&quot;/&gt;&lt;wsp:rsid wsp:val=&quot;00D561D3&quot;/&gt;&lt;wsp:rsid wsp:val=&quot;00D56B72&quot;/&gt;&lt;wsp:rsid wsp:val=&quot;00D578CD&quot;/&gt;&lt;wsp:rsid wsp:val=&quot;00D678E6&quot;/&gt;&lt;wsp:rsid wsp:val=&quot;00D718FA&quot;/&gt;&lt;wsp:rsid wsp:val=&quot;00D73506&quot;/&gt;&lt;wsp:rsid wsp:val=&quot;00D743D0&quot;/&gt;&lt;wsp:rsid wsp:val=&quot;00D74705&quot;/&gt;&lt;wsp:rsid wsp:val=&quot;00D75C8C&quot;/&gt;&lt;wsp:rsid wsp:val=&quot;00D7609B&quot;/&gt;&lt;wsp:rsid wsp:val=&quot;00D76877&quot;/&gt;&lt;wsp:rsid wsp:val=&quot;00D8118A&quot;/&gt;&lt;wsp:rsid wsp:val=&quot;00D8453F&quot;/&gt;&lt;wsp:rsid wsp:val=&quot;00D8468E&quot;/&gt;&lt;wsp:rsid wsp:val=&quot;00D870F5&quot;/&gt;&lt;wsp:rsid wsp:val=&quot;00D93C29&quot;/&gt;&lt;wsp:rsid wsp:val=&quot;00D97D42&quot;/&gt;&lt;wsp:rsid wsp:val=&quot;00DA06E1&quot;/&gt;&lt;wsp:rsid wsp:val=&quot;00DA1A22&quot;/&gt;&lt;wsp:rsid wsp:val=&quot;00DB158D&quot;/&gt;&lt;wsp:rsid wsp:val=&quot;00DB2390&quot;/&gt;&lt;wsp:rsid wsp:val=&quot;00DB2942&quot;/&gt;&lt;wsp:rsid wsp:val=&quot;00DB4863&quot;/&gt;&lt;wsp:rsid wsp:val=&quot;00DB5018&quot;/&gt;&lt;wsp:rsid wsp:val=&quot;00DB73C3&quot;/&gt;&lt;wsp:rsid wsp:val=&quot;00DD18AE&quot;/&gt;&lt;wsp:rsid wsp:val=&quot;00DD475B&quot;/&gt;&lt;wsp:rsid wsp:val=&quot;00DD70E4&quot;/&gt;&lt;wsp:rsid wsp:val=&quot;00DE627B&quot;/&gt;&lt;wsp:rsid wsp:val=&quot;00DE7071&quot;/&gt;&lt;wsp:rsid wsp:val=&quot;00DF2028&quot;/&gt;&lt;wsp:rsid wsp:val=&quot;00DF234D&quot;/&gt;&lt;wsp:rsid wsp:val=&quot;00DF488F&quot;/&gt;&lt;wsp:rsid wsp:val=&quot;00DF5742&quot;/&gt;&lt;wsp:rsid wsp:val=&quot;00E002F5&quot;/&gt;&lt;wsp:rsid wsp:val=&quot;00E018FA&quot;/&gt;&lt;wsp:rsid wsp:val=&quot;00E021B9&quot;/&gt;&lt;wsp:rsid wsp:val=&quot;00E02A1F&quot;/&gt;&lt;wsp:rsid wsp:val=&quot;00E02E4F&quot;/&gt;&lt;wsp:rsid wsp:val=&quot;00E04E4A&quot;/&gt;&lt;wsp:rsid wsp:val=&quot;00E05108&quot;/&gt;&lt;wsp:rsid wsp:val=&quot;00E0642E&quot;/&gt;&lt;wsp:rsid wsp:val=&quot;00E10879&quot;/&gt;&lt;wsp:rsid wsp:val=&quot;00E168CA&quot;/&gt;&lt;wsp:rsid wsp:val=&quot;00E217EA&quot;/&gt;&lt;wsp:rsid wsp:val=&quot;00E23172&quot;/&gt;&lt;wsp:rsid wsp:val=&quot;00E23720&quot;/&gt;&lt;wsp:rsid wsp:val=&quot;00E260AF&quot;/&gt;&lt;wsp:rsid wsp:val=&quot;00E30E56&quot;/&gt;&lt;wsp:rsid wsp:val=&quot;00E31AA5&quot;/&gt;&lt;wsp:rsid wsp:val=&quot;00E330E5&quot;/&gt;&lt;wsp:rsid wsp:val=&quot;00E33673&quot;/&gt;&lt;wsp:rsid wsp:val=&quot;00E34E0E&quot;/&gt;&lt;wsp:rsid wsp:val=&quot;00E40080&quot;/&gt;&lt;wsp:rsid wsp:val=&quot;00E425D1&quot;/&gt;&lt;wsp:rsid wsp:val=&quot;00E4260F&quot;/&gt;&lt;wsp:rsid wsp:val=&quot;00E466FA&quot;/&gt;&lt;wsp:rsid wsp:val=&quot;00E47C7B&quot;/&gt;&lt;wsp:rsid wsp:val=&quot;00E555FA&quot;/&gt;&lt;wsp:rsid wsp:val=&quot;00E630BC&quot;/&gt;&lt;wsp:rsid wsp:val=&quot;00E63801&quot;/&gt;&lt;wsp:rsid wsp:val=&quot;00E651BD&quot;/&gt;&lt;wsp:rsid wsp:val=&quot;00E65DC7&quot;/&gt;&lt;wsp:rsid wsp:val=&quot;00E65F34&quot;/&gt;&lt;wsp:rsid wsp:val=&quot;00E6790B&quot;/&gt;&lt;wsp:rsid wsp:val=&quot;00E67F04&quot;/&gt;&lt;wsp:rsid wsp:val=&quot;00E70135&quot;/&gt;&lt;wsp:rsid wsp:val=&quot;00E729C9&quot;/&gt;&lt;wsp:rsid wsp:val=&quot;00E73B24&quot;/&gt;&lt;wsp:rsid wsp:val=&quot;00E85350&quot;/&gt;&lt;wsp:rsid wsp:val=&quot;00E86764&quot;/&gt;&lt;wsp:rsid wsp:val=&quot;00E91432&quot;/&gt;&lt;wsp:rsid wsp:val=&quot;00E9186B&quot;/&gt;&lt;wsp:rsid wsp:val=&quot;00E92F26&quot;/&gt;&lt;wsp:rsid wsp:val=&quot;00E93348&quot;/&gt;&lt;wsp:rsid wsp:val=&quot;00E9478F&quot;/&gt;&lt;wsp:rsid wsp:val=&quot;00E95E51&quot;/&gt;&lt;wsp:rsid wsp:val=&quot;00E963A2&quot;/&gt;&lt;wsp:rsid wsp:val=&quot;00E9676A&quot;/&gt;&lt;wsp:rsid wsp:val=&quot;00E96A7B&quot;/&gt;&lt;wsp:rsid wsp:val=&quot;00E978BF&quot;/&gt;&lt;wsp:rsid wsp:val=&quot;00E97CB6&quot;/&gt;&lt;wsp:rsid wsp:val=&quot;00EA175C&quot;/&gt;&lt;wsp:rsid wsp:val=&quot;00EA7157&quot;/&gt;&lt;wsp:rsid wsp:val=&quot;00EB41AF&quot;/&gt;&lt;wsp:rsid wsp:val=&quot;00EB4FAB&quot;/&gt;&lt;wsp:rsid wsp:val=&quot;00EC2E90&quot;/&gt;&lt;wsp:rsid wsp:val=&quot;00EC320D&quot;/&gt;&lt;wsp:rsid wsp:val=&quot;00EC50AC&quot;/&gt;&lt;wsp:rsid wsp:val=&quot;00ED0B7D&quot;/&gt;&lt;wsp:rsid wsp:val=&quot;00ED17A7&quot;/&gt;&lt;wsp:rsid wsp:val=&quot;00EE57D7&quot;/&gt;&lt;wsp:rsid wsp:val=&quot;00EE623D&quot;/&gt;&lt;wsp:rsid wsp:val=&quot;00EF07FB&quot;/&gt;&lt;wsp:rsid wsp:val=&quot;00EF0D39&quot;/&gt;&lt;wsp:rsid wsp:val=&quot;00EF1CF6&quot;/&gt;&lt;wsp:rsid wsp:val=&quot;00EF2ADD&quot;/&gt;&lt;wsp:rsid wsp:val=&quot;00F040F4&quot;/&gt;&lt;wsp:rsid wsp:val=&quot;00F1561E&quot;/&gt;&lt;wsp:rsid wsp:val=&quot;00F16855&quot;/&gt;&lt;wsp:rsid wsp:val=&quot;00F21860&quot;/&gt;&lt;wsp:rsid wsp:val=&quot;00F24020&quot;/&gt;&lt;wsp:rsid wsp:val=&quot;00F24E01&quot;/&gt;&lt;wsp:rsid wsp:val=&quot;00F25397&quot;/&gt;&lt;wsp:rsid wsp:val=&quot;00F25572&quot;/&gt;&lt;wsp:rsid wsp:val=&quot;00F32EA6&quot;/&gt;&lt;wsp:rsid wsp:val=&quot;00F376A2&quot;/&gt;&lt;wsp:rsid wsp:val=&quot;00F406F9&quot;/&gt;&lt;wsp:rsid wsp:val=&quot;00F452F7&quot;/&gt;&lt;wsp:rsid wsp:val=&quot;00F4589F&quot;/&gt;&lt;wsp:rsid wsp:val=&quot;00F460F0&quot;/&gt;&lt;wsp:rsid wsp:val=&quot;00F47C1A&quot;/&gt;&lt;wsp:rsid wsp:val=&quot;00F57927&quot;/&gt;&lt;wsp:rsid wsp:val=&quot;00F57A9D&quot;/&gt;&lt;wsp:rsid wsp:val=&quot;00F6097E&quot;/&gt;&lt;wsp:rsid wsp:val=&quot;00F619C5&quot;/&gt;&lt;wsp:rsid wsp:val=&quot;00F645F3&quot;/&gt;&lt;wsp:rsid wsp:val=&quot;00F655A6&quot;/&gt;&lt;wsp:rsid wsp:val=&quot;00F67742&quot;/&gt;&lt;wsp:rsid wsp:val=&quot;00F7744B&quot;/&gt;&lt;wsp:rsid wsp:val=&quot;00F836D6&quot;/&gt;&lt;wsp:rsid wsp:val=&quot;00F83E2E&quot;/&gt;&lt;wsp:rsid wsp:val=&quot;00F8641A&quot;/&gt;&lt;wsp:rsid wsp:val=&quot;00F905C7&quot;/&gt;&lt;wsp:rsid wsp:val=&quot;00F933DC&quot;/&gt;&lt;wsp:rsid wsp:val=&quot;00F9424C&quot;/&gt;&lt;wsp:rsid wsp:val=&quot;00F94CA8&quot;/&gt;&lt;wsp:rsid wsp:val=&quot;00F97D91&quot;/&gt;&lt;wsp:rsid wsp:val=&quot;00FA1A61&quot;/&gt;&lt;wsp:rsid wsp:val=&quot;00FA231D&quot;/&gt;&lt;wsp:rsid wsp:val=&quot;00FA34BD&quot;/&gt;&lt;wsp:rsid wsp:val=&quot;00FA75F2&quot;/&gt;&lt;wsp:rsid wsp:val=&quot;00FA7CBA&quot;/&gt;&lt;wsp:rsid wsp:val=&quot;00FB2B24&quot;/&gt;&lt;wsp:rsid wsp:val=&quot;00FB3903&quot;/&gt;&lt;wsp:rsid wsp:val=&quot;00FB6D3E&quot;/&gt;&lt;wsp:rsid wsp:val=&quot;00FB74E2&quot;/&gt;&lt;wsp:rsid wsp:val=&quot;00FC09FC&quot;/&gt;&lt;wsp:rsid wsp:val=&quot;00FC0A45&quot;/&gt;&lt;wsp:rsid wsp:val=&quot;00FC198B&quot;/&gt;&lt;wsp:rsid wsp:val=&quot;00FC21CE&quot;/&gt;&lt;wsp:rsid wsp:val=&quot;00FC2C5D&quot;/&gt;&lt;wsp:rsid wsp:val=&quot;00FC3EEB&quot;/&gt;&lt;wsp:rsid wsp:val=&quot;00FC4D8F&quot;/&gt;&lt;wsp:rsid wsp:val=&quot;00FC55A7&quot;/&gt;&lt;wsp:rsid wsp:val=&quot;00FC768D&quot;/&gt;&lt;wsp:rsid wsp:val=&quot;00FD31E8&quot;/&gt;&lt;wsp:rsid wsp:val=&quot;00FD658E&quot;/&gt;&lt;wsp:rsid wsp:val=&quot;00FD7D3F&quot;/&gt;&lt;wsp:rsid wsp:val=&quot;00FE1830&quot;/&gt;&lt;wsp:rsid wsp:val=&quot;00FE4D5F&quot;/&gt;&lt;wsp:rsid wsp:val=&quot;00FE7860&quot;/&gt;&lt;wsp:rsid wsp:val=&quot;00FF0E27&quot;/&gt;&lt;/wsp:rsids&gt;&lt;/w:docPr&gt;&lt;w:body&gt;&lt;w:p wsp:rsidR=&quot;00000000&quot; wsp:rsidRDefault=&quot;00F32EA6&quot;&gt;&lt;m:oMathPara&gt;&lt;m:oMath&gt;&lt;m:r&gt;&lt;w:rPr&gt;&lt;w:rFonts w:ascii=&quot;Cambria Math&quot; w:h-ansi=&quot;Cambria Math&quot;/&gt;&lt;wx:font wx:val=&quot;Cambria Math&quot;/&gt;&lt;w:i/&gt;&lt;w:kern w:val=&quot;0&quot;/&gt;&lt;w:sz w:val=&quot;24&quot;/&gt;&lt;w:sz-cs w:val=&quot;24&quot;/&gt;&lt;/w:rPr&gt;&lt;m:t&gt;I&lt;/m:t&gt;&lt;/m:r&gt;&lt;m:r&gt;&lt;m:rPr&gt;&lt;m:sty m:val=&quot;p&quot;/&gt;&lt;/m:rPr&gt;&lt;w:rPr&gt;&lt;w:rFonts w:ascii=&quot;Cambria Math&quot; w:h-ansi=&quot;Cambria Math&quot;/&gt;&lt;wx:font wx:val=&quot;Cambria Math&quot;/&gt;&lt;w:kern w:val=&quot;0&quot;/&gt;&lt;w:sz w:val=&quot;24&quot;/&gt;&lt;w:sz-cs w:val=&quot;24&quot;/&gt;&lt;/w:rPr&gt;&lt;m:t&gt;(&lt;/m:t&gt;&lt;/m:r&gt;&lt;m:r&gt;&lt;w:rPr&gt;&lt;w:rFonts w:ascii=&quot;Cambria Math&quot; w:h-ansi=&quot;Cambria Math&quot;/&gt;&lt;wx:font wx:val=&quot;Cambria Math&quot;/&gt;&lt;w:i/&gt;&lt;w:kern w:val=&quot;0&quot;/&gt;&lt;w:sz w:val=&quot;24&quot;/&gt;&lt;w:sz-cs w:val=&quot;24&quot;/&gt;&lt;/w:rPr&gt;&lt;m:t&gt;z&lt;/m:t&gt;&lt;/m:r&gt;&lt;m:r&gt;&lt;m:rPr&gt;&lt;m:sty m:val=&quot;p&quot;/&gt;&lt;/m:rPr&gt;&lt;w:rPr&gt;&lt;w:rFonts w:ascii=&quot;Cambria Math&quot; w:h-ansi=&quot;Cambria Math&quot;/&gt;&lt;wx:font wx:val=&quot;Cambria Math&quot;/&gt;&lt;w:kern w:val=&quot;0&quot;/&gt;&lt;w:sz w:val=&quot;24&quot;/&gt;&lt;w:sz-cs w:val=&quot;24&quot;/&gt;&lt;/w:rPr&gt;&lt;m:t&gt;)&lt;/m:t&gt;&lt;/m:r&gt;&lt;m:box&gt;&lt;m:boxPr&gt;&lt;m:opEmu m:val=&quot;on&quot;/&gt;&lt;m:ctrlPr&gt;&lt;w:rPr&gt;&lt;w:rFonts w:ascii=&quot;Cambria Math&quot; w:h-ansi=&quot;Cambria Math&quot;/&gt;&lt;wx:font wx:val=&quot;Cambria Math&quot;/&gt;&lt;w:kern w:val=&quot;0&quot;/&gt;&lt;w:sz w:val=&quot;24&quot;/&gt;&lt;w:sz-cs w:val=&quot;24&quot;/&gt;&lt;/w:rPr&gt;&lt;/m:ctrlPr&gt;&lt;/m:boxPr&gt;&lt;m:e&gt;&lt;m:r&gt;&lt;m:rPr&gt;&lt;m:sty m:val=&quot;p&quot;/&gt;&lt;/m:rPr&gt;&lt;w:rPr&gt;&lt;w:rFonts w:ascii=&quot;Cambria Math&quot; w:h-ansi=&quot;Cambria Math&quot;/&gt;&lt;wx:font wx:val=&quot;Cambria Math&quot;/&gt;&lt;w:kern w:val=&quot;0&quot;/&gt;&lt;w:sz w:val=&quot;24&quot;/&gt;&lt;w:sz-cs w:val=&quot;24&quot;/&gt;&lt;/w:rPr&gt;&lt;m:t&gt;=&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I&lt;/m:t&gt;&lt;/m:r&gt;&lt;/m:e&gt;&lt;m:sub&gt;&lt;m:r&gt;&lt;m:rPr&gt;&lt;m:sty m:val=&quot;p&quot;/&gt;&lt;/m:rPr&gt;&lt;w:rPr&gt;&lt;w:rFonts w:ascii=&quot;Cambria Math&quot; w:h-ansi=&quot;Cambria Math&quot;/&gt;&lt;wx:font wx:val=&quot;Cambria Math&quot;/&gt;&lt;w:kern w:val=&quot;0&quot;/&gt;&lt;w:sz w:val=&quot;24&quot;/&gt;&lt;w:sz-cs w:val=&quot;24&quot;/&gt;&lt;/w:rPr&gt;&lt;m:t&gt;0&lt;/m:t&gt;&lt;/m:r&gt;&lt;/m:sub&gt;&lt;/m:sSub&gt;&lt;m:r&gt;&lt;m:rPr&gt;&lt;m:sty m:val=&quot;p&quot;/&gt;&lt;/m:rPr&gt;&lt;w:rPr&gt;&lt;w:rFonts w:ascii=&quot;Cambria Math&quot; w:h-ansi=&quot;Cambria Math&quot;/&gt;&lt;wx:font wx:val=&quot;Cambria Math&quot;/&gt;&lt;w:kern w:val=&quot;0&quot;/&gt;&lt;w:sz w:val=&quot;24&quot;/&gt;&lt;w:sz-cs w:val=&quot;24&quot;/&gt;&lt;/w:rPr&gt;&lt;m:t&gt;exp??-&lt;/m:t&gt;&lt;/m:r&gt;&lt;m:r&gt;&lt;w:rPr&gt;&lt;w:rFonts w:ascii=&quot;Cambria Math&quot; w:h-ansi=&quot;Cambria Math&quot;/&gt;&lt;wx:font wx:val=&quot;Cambria Math&quot;/&gt;&lt;w:i/&gt;&lt;w:kern w:val=&quot;0&quot;/&gt;&lt;w:sz w:val=&quot;24&quot;/&gt;&lt;w:sz-cs w:val=&quot;24&quot;/&gt;&lt;/w:rPr&gt;&lt;m:t&gt;z&lt;/m:t&gt;&lt;/m:r&gt;&lt;m:r&gt;&lt;m:rPr&gt;&lt;m:sty m:val=&quot;p&quot;/&gt;&lt;/m:rPr&gt;&lt;w:rPr&gt;exxxxxxxxxxxx&lt;w:rFonts w:ascii=&quot;Cambria Math&quot; w:h-ansi=&quot;Cambria Math&quot;/&gt;&lt;wx:font wx:val=&quot;Cambria Math&quot;/&gt;&lt;w:kern w:val=&quot;0&quot;/&gt;&lt;w:sz w:val=&quot;24&quot;/&gt;&lt;w:sz-cs w:val=&quot;24&quot;/&gt;&lt;/w:rPr&gt;&lt;m:t&gt;/&lt;/m:t&gt;&lt;/m:r&gt;&lt;m:r&gt;&lt;w:rPr&gt;&lt;w:rFonts w:ascii=&quot;Cambria Math&quot; w:h-ansi=&quot;Cambria Math&quot;/&gt;&lt;wx:font wx:val=&quot;Cambria Math&quot;/&gt;&lt;w:i/&gt;&lt;w:kern w:val=&quot;0&quot;/&gt;&lt;w:sz w:val=&quot;24&quot;/&gt;&lt;w:sz-cs w:val=&quot;24&quot;/&gt;&lt;/w:rPr&gt;&lt;m:t&gt;d&lt;/m:t&gt;&lt;/m:r&gt;&lt;m:r&gt;&lt;m:rPr&gt;&lt;m:sty m:val=&quot;p&quot;/&gt;&lt;/m:rPr&gt;&lt;w:rPr&gt;&lt;w:rFonts w:ascii=&quot;Cambria Math&quot; w:h-ansi=&quot;Cambria Math&quot;/&gt;&lt;wx:font wx:val=&quot;Cambria Math&quot;/&gt;&lt;w:kern w:val=&quot;0&quot;/&gt;&lt;w:sz w:val=&quot;24&quot;/&gt;&lt;w:sz-cs w:val=&quot;24&quot;/&gt;&lt;/w:rPr&gt;&lt;m:t&gt;)&lt;/m:t&gt;&lt;/m:r&gt;&lt;/m:e&gt;&lt;/m:box&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sidRPr="00D529C6">
              <w:rPr>
                <w:rFonts w:ascii="Times New Roman" w:hAnsi="Times New Roman" w:cs="Times New Roman"/>
                <w:szCs w:val="21"/>
              </w:rPr>
              <w:instrText xml:space="preserve"> </w:instrText>
            </w:r>
            <w:r w:rsidRPr="00D529C6">
              <w:rPr>
                <w:rFonts w:ascii="Times New Roman" w:hAnsi="Times New Roman" w:cs="Times New Roman"/>
                <w:szCs w:val="21"/>
              </w:rPr>
              <w:fldChar w:fldCharType="separate"/>
            </w:r>
            <w:r w:rsidRPr="00D529C6">
              <w:rPr>
                <w:rFonts w:ascii="Times New Roman" w:hAnsi="Times New Roman" w:cs="Times New Roman"/>
                <w:szCs w:val="21"/>
              </w:rPr>
              <w:fldChar w:fldCharType="begin"/>
            </w:r>
            <w:r w:rsidRPr="00D529C6">
              <w:rPr>
                <w:rFonts w:ascii="Times New Roman" w:hAnsi="Times New Roman" w:cs="Times New Roman"/>
                <w:szCs w:val="21"/>
              </w:rPr>
              <w:instrText xml:space="preserve"> QUOTE </w:instrText>
            </w:r>
            <w:r w:rsidR="007E0C9E">
              <w:rPr>
                <w:rFonts w:ascii="Times New Roman" w:hAnsi="Times New Roman" w:cs="Times New Roman"/>
                <w:position w:val="-22"/>
                <w:szCs w:val="21"/>
              </w:rPr>
              <w:pict>
                <v:shape id="_x0000_i1029" type="#_x0000_t75" style="width:147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1&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10F9E&quot;/&gt;&lt;wsp:rsid wsp:val=&quot;000048FB&quot;/&gt;&lt;wsp:rsid wsp:val=&quot;00006E60&quot;/&gt;&lt;wsp:rsid wsp:val=&quot;000073A8&quot;/&gt;&lt;wsp:rsid wsp:val=&quot;00011568&quot;/&gt;&lt;wsp:rsid wsp:val=&quot;000150C0&quot;/&gt;&lt;wsp:rsid wsp:val=&quot;00015D51&quot;/&gt;&lt;wsp:rsid wsp:val=&quot;0002519F&quot;/&gt;&lt;wsp:rsid wsp:val=&quot;00025B5B&quot;/&gt;&lt;wsp:rsid wsp:val=&quot;00032FB5&quot;/&gt;&lt;wsp:rsid wsp:val=&quot;000340F5&quot;/&gt;&lt;wsp:rsid wsp:val=&quot;000343B1&quot;/&gt;&lt;wsp:rsid wsp:val=&quot;000358DF&quot;/&gt;&lt;wsp:rsid wsp:val=&quot;0003617C&quot;/&gt;&lt;wsp:rsid wsp:val=&quot;000367A2&quot;/&gt;&lt;wsp:rsid wsp:val=&quot;0004229B&quot;/&gt;&lt;wsp:rsid wsp:val=&quot;00051E32&quot;/&gt;&lt;wsp:rsid wsp:val=&quot;00057926&quot;/&gt;&lt;wsp:rsid wsp:val=&quot;00061786&quot;/&gt;&lt;wsp:rsid wsp:val=&quot;00063C49&quot;/&gt;&lt;wsp:rsid wsp:val=&quot;00064AE8&quot;/&gt;&lt;wsp:rsid wsp:val=&quot;00066584&quot;/&gt;&lt;wsp:rsid wsp:val=&quot;00066E9D&quot;/&gt;&lt;wsp:rsid wsp:val=&quot;00070092&quot;/&gt;&lt;wsp:rsid wsp:val=&quot;000715FF&quot;/&gt;&lt;wsp:rsid wsp:val=&quot;000716A7&quot;/&gt;&lt;wsp:rsid wsp:val=&quot;00074488&quot;/&gt;&lt;wsp:rsid wsp:val=&quot;00074ACF&quot;/&gt;&lt;wsp:rsid wsp:val=&quot;00074BC4&quot;/&gt;&lt;wsp:rsid wsp:val=&quot;0007795D&quot;/&gt;&lt;wsp:rsid wsp:val=&quot;00081A16&quot;/&gt;&lt;wsp:rsid wsp:val=&quot;0008200D&quot;/&gt;&lt;wsp:rsid wsp:val=&quot;00084589&quot;/&gt;&lt;wsp:rsid wsp:val=&quot;0008549F&quot;/&gt;&lt;wsp:rsid wsp:val=&quot;00092250&quot;/&gt;&lt;wsp:rsid wsp:val=&quot;000A1997&quot;/&gt;&lt;wsp:rsid wsp:val=&quot;000A2CCA&quot;/&gt;&lt;wsp:rsid wsp:val=&quot;000B0823&quot;/&gt;&lt;wsp:rsid wsp:val=&quot;000B1BE9&quot;/&gt;&lt;wsp:rsid wsp:val=&quot;000B37DB&quot;/&gt;&lt;wsp:rsid wsp:val=&quot;000B4BF0&quot;/&gt;&lt;wsp:rsid wsp:val=&quot;000B50D8&quot;/&gt;&lt;wsp:rsid wsp:val=&quot;000B5629&quot;/&gt;&lt;wsp:rsid wsp:val=&quot;000B6BE4&quot;/&gt;&lt;wsp:rsid wsp:val=&quot;000B70D7&quot;/&gt;&lt;wsp:rsid wsp:val=&quot;000B70E9&quot;/&gt;&lt;wsp:rsid wsp:val=&quot;000C084B&quot;/&gt;&lt;wsp:rsid wsp:val=&quot;000C203C&quot;/&gt;&lt;wsp:rsid wsp:val=&quot;000C28E8&quot;/&gt;&lt;wsp:rsid wsp:val=&quot;000C3748&quot;/&gt;&lt;wsp:rsid wsp:val=&quot;000C376D&quot;/&gt;&lt;wsp:rsid wsp:val=&quot;000D0E3B&quot;/&gt;&lt;wsp:rsid wsp:val=&quot;000D59EC&quot;/&gt;&lt;wsp:rsid wsp:val=&quot;000D7164&quot;/&gt;&lt;wsp:rsid wsp:val=&quot;000D77DB&quot;/&gt;&lt;wsp:rsid wsp:val=&quot;000E11FC&quot;/&gt;&lt;wsp:rsid wsp:val=&quot;000E1699&quot;/&gt;&lt;wsp:rsid wsp:val=&quot;000E1A21&quot;/&gt;&lt;wsp:rsid wsp:val=&quot;000E1ED5&quot;/&gt;&lt;wsp:rsid wsp:val=&quot;000E20D0&quot;/&gt;&lt;wsp:rsid wsp:val=&quot;000E3CD5&quot;/&gt;&lt;wsp:rsid wsp:val=&quot;000E43F7&quot;/&gt;&lt;wsp:rsid wsp:val=&quot;000E7C4B&quot;/&gt;&lt;wsp:rsid wsp:val=&quot;000F6382&quot;/&gt;&lt;wsp:rsid wsp:val=&quot;000F6AC7&quot;/&gt;&lt;wsp:rsid wsp:val=&quot;001029EA&quot;/&gt;&lt;wsp:rsid wsp:val=&quot;001038FF&quot;/&gt;&lt;wsp:rsid wsp:val=&quot;00104C4A&quot;/&gt;&lt;wsp:rsid wsp:val=&quot;00110682&quot;/&gt;&lt;wsp:rsid wsp:val=&quot;00110E3F&quot;/&gt;&lt;wsp:rsid wsp:val=&quot;0011132D&quot;/&gt;&lt;wsp:rsid wsp:val=&quot;00112A15&quot;/&gt;&lt;wsp:rsid wsp:val=&quot;001222DF&quot;/&gt;&lt;wsp:rsid wsp:val=&quot;00123F1B&quot;/&gt;&lt;wsp:rsid wsp:val=&quot;0012640D&quot;/&gt;&lt;wsp:rsid wsp:val=&quot;0012696C&quot;/&gt;&lt;wsp:rsid wsp:val=&quot;00137481&quot;/&gt;&lt;wsp:rsid wsp:val=&quot;00140189&quot;/&gt;&lt;wsp:rsid wsp:val=&quot;00140A71&quot;/&gt;&lt;wsp:rsid wsp:val=&quot;001417BA&quot;/&gt;&lt;wsp:rsid wsp:val=&quot;00146E59&quot;/&gt;&lt;wsp:rsid wsp:val=&quot;001476CE&quot;/&gt;&lt;wsp:rsid wsp:val=&quot;00154814&quot;/&gt;&lt;wsp:rsid wsp:val=&quot;00155C5E&quot;/&gt;&lt;wsp:rsid wsp:val=&quot;00162887&quot;/&gt;&lt;wsp:rsid wsp:val=&quot;00162E5F&quot;/&gt;&lt;wsp:rsid wsp:val=&quot;00163BC1&quot;/&gt;&lt;wsp:rsid wsp:val=&quot;00163F9D&quot;/&gt;&lt;wsp:rsid wsp:val=&quot;00175D9F&quot;/&gt;&lt;wsp:rsid wsp:val=&quot;00176BE0&quot;/&gt;&lt;wsp:rsid wsp:val=&quot;0018278C&quot;/&gt;&lt;wsp:rsid wsp:val=&quot;00182E5C&quot;/&gt;&lt;wsp:rsid wsp:val=&quot;00183910&quot;/&gt;&lt;wsp:rsid wsp:val=&quot;001846EA&quot;/&gt;&lt;wsp:rsid wsp:val=&quot;0019094A&quot;/&gt;&lt;wsp:rsid wsp:val=&quot;001926FD&quot;/&gt;&lt;wsp:rsid wsp:val=&quot;00192AE4&quot;/&gt;&lt;wsp:rsid wsp:val=&quot;00192DDE&quot;/&gt;&lt;wsp:rsid wsp:val=&quot;00196439&quot;/&gt;&lt;wsp:rsid wsp:val=&quot;00197313&quot;/&gt;&lt;wsp:rsid wsp:val=&quot;00197B07&quot;/&gt;&lt;wsp:rsid wsp:val=&quot;001A08E5&quot;/&gt;&lt;wsp:rsid wsp:val=&quot;001B0C75&quot;/&gt;&lt;wsp:rsid wsp:val=&quot;001B4D67&quot;/&gt;&lt;wsp:rsid wsp:val=&quot;001B64C8&quot;/&gt;&lt;wsp:rsid wsp:val=&quot;001C3DBF&quot;/&gt;&lt;wsp:rsid wsp:val=&quot;001D0266&quot;/&gt;&lt;wsp:rsid wsp:val=&quot;001D2209&quot;/&gt;&lt;wsp:rsid wsp:val=&quot;001D76CB&quot;/&gt;&lt;wsp:rsid wsp:val=&quot;001E2212&quot;/&gt;&lt;wsp:rsid wsp:val=&quot;001E2C06&quot;/&gt;&lt;wsp:rsid wsp:val=&quot;001E6310&quot;/&gt;&lt;wsp:rsid wsp:val=&quot;001E7E68&quot;/&gt;&lt;wsp:rsid wsp:val=&quot;001F1D02&quot;/&gt;&lt;wsp:rsid wsp:val=&quot;001F5279&quot;/&gt;&lt;wsp:rsid wsp:val=&quot;002006BF&quot;/&gt;&lt;wsp:rsid wsp:val=&quot;0020096A&quot;/&gt;&lt;wsp:rsid wsp:val=&quot;002015DA&quot;/&gt;&lt;wsp:rsid wsp:val=&quot;00202142&quot;/&gt;&lt;wsp:rsid wsp:val=&quot;00205207&quot;/&gt;&lt;wsp:rsid wsp:val=&quot;002052B9&quot;/&gt;&lt;wsp:rsid wsp:val=&quot;002059E3&quot;/&gt;&lt;wsp:rsid wsp:val=&quot;00206369&quot;/&gt;&lt;wsp:rsid wsp:val=&quot;00206525&quot;/&gt;&lt;wsp:rsid wsp:val=&quot;002066AE&quot;/&gt;&lt;wsp:rsid wsp:val=&quot;002105EA&quot;/&gt;&lt;wsp:rsid wsp:val=&quot;00211F16&quot;/&gt;&lt;wsp:rsid wsp:val=&quot;002132DC&quot;/&gt;&lt;wsp:rsid wsp:val=&quot;002141DA&quot;/&gt;&lt;wsp:rsid wsp:val=&quot;002169DD&quot;/&gt;&lt;wsp:rsid wsp:val=&quot;002174C7&quot;/&gt;&lt;wsp:rsid wsp:val=&quot;002233A7&quot;/&gt;&lt;wsp:rsid wsp:val=&quot;002315A3&quot;/&gt;&lt;wsp:rsid wsp:val=&quot;00231A2B&quot;/&gt;&lt;wsp:rsid wsp:val=&quot;00232AEC&quot;/&gt;&lt;wsp:rsid wsp:val=&quot;0023655C&quot;/&gt;&lt;wsp:rsid wsp:val=&quot;00243E61&quot;/&gt;&lt;wsp:rsid wsp:val=&quot;0024563A&quot;/&gt;&lt;wsp:rsid wsp:val=&quot;00246193&quot;/&gt;&lt;wsp:rsid wsp:val=&quot;0024628E&quot;/&gt;&lt;wsp:rsid wsp:val=&quot;00252381&quot;/&gt;&lt;wsp:rsid wsp:val=&quot;00253DF6&quot;/&gt;&lt;wsp:rsid wsp:val=&quot;00256112&quot;/&gt;&lt;wsp:rsid wsp:val=&quot;00260DD1&quot;/&gt;&lt;wsp:rsid wsp:val=&quot;002616CD&quot;/&gt;&lt;wsp:rsid wsp:val=&quot;0026210C&quot;/&gt;&lt;wsp:rsid wsp:val=&quot;002653C2&quot;/&gt;&lt;wsp:rsid wsp:val=&quot;00271778&quot;/&gt;&lt;wsp:rsid wsp:val=&quot;00272A8C&quot;/&gt;&lt;wsp:rsid wsp:val=&quot;0028073A&quot;/&gt;&lt;wsp:rsid wsp:val=&quot;00282B4E&quot;/&gt;&lt;wsp:rsid wsp:val=&quot;00283B94&quot;/&gt;&lt;wsp:rsid wsp:val=&quot;00291C74&quot;/&gt;&lt;wsp:rsid wsp:val=&quot;002935B3&quot;/&gt;&lt;wsp:rsid wsp:val=&quot;002974BD&quot;/&gt;&lt;wsp:rsid wsp:val=&quot;002A18C3&quot;/&gt;&lt;wsp:rsid wsp:val=&quot;002A2A36&quot;/&gt;&lt;wsp:rsid wsp:val=&quot;002A2CBD&quot;/&gt;&lt;wsp:rsid wsp:val=&quot;002A7297&quot;/&gt;&lt;wsp:rsid wsp:val=&quot;002B334D&quot;/&gt;&lt;wsp:rsid wsp:val=&quot;002B558F&quot;/&gt;&lt;wsp:rsid wsp:val=&quot;002B6815&quot;/&gt;&lt;wsp:rsid wsp:val=&quot;002C1565&quot;/&gt;&lt;wsp:rsid wsp:val=&quot;002C2919&quot;/&gt;&lt;wsp:rsid wsp:val=&quot;002C528A&quot;/&gt;&lt;wsp:rsid wsp:val=&quot;002D2452&quot;/&gt;&lt;wsp:rsid wsp:val=&quot;002D4E78&quot;/&gt;&lt;wsp:rsid wsp:val=&quot;002D6644&quot;/&gt;&lt;wsp:rsid wsp:val=&quot;002E3508&quot;/&gt;&lt;wsp:rsid wsp:val=&quot;002E5DAA&quot;/&gt;&lt;wsp:rsid wsp:val=&quot;002E6D94&quot;/&gt;&lt;wsp:rsid wsp:val=&quot;002F04ED&quot;/&gt;&lt;wsp:rsid wsp:val=&quot;002F0B7B&quot;/&gt;&lt;wsp:rsid wsp:val=&quot;002F5984&quot;/&gt;&lt;wsp:rsid wsp:val=&quot;002F795C&quot;/&gt;&lt;wsp:rsid wsp:val=&quot;00307F98&quot;/&gt;&lt;wsp:rsid wsp:val=&quot;00310541&quot;/&gt;&lt;wsp:rsid wsp:val=&quot;00311973&quot;/&gt;&lt;wsp:rsid wsp:val=&quot;00312060&quot;/&gt;&lt;wsp:rsid wsp:val=&quot;00312448&quot;/&gt;&lt;wsp:rsid wsp:val=&quot;00312FDB&quot;/&gt;&lt;wsp:rsid wsp:val=&quot;00316F88&quot;/&gt;&lt;wsp:rsid wsp:val=&quot;00321D61&quot;/&gt;&lt;wsp:rsid wsp:val=&quot;0032389B&quot;/&gt;&lt;wsp:rsid wsp:val=&quot;00323C87&quot;/&gt;&lt;wsp:rsid wsp:val=&quot;00323DF5&quot;/&gt;&lt;wsp:rsid wsp:val=&quot;00326BF3&quot;/&gt;&lt;wsp:rsid wsp:val=&quot;00326CCD&quot;/&gt;&lt;wsp:rsid wsp:val=&quot;00333D7B&quot;/&gt;&lt;wsp:rsid wsp:val=&quot;0033645B&quot;/&gt;&lt;wsp:rsid wsp:val=&quot;00340B3D&quot;/&gt;&lt;wsp:rsid wsp:val=&quot;003424C7&quot;/&gt;&lt;wsp:rsid wsp:val=&quot;003463FB&quot;/&gt;&lt;wsp:rsid wsp:val=&quot;00347047&quot;/&gt;&lt;wsp:rsid wsp:val=&quot;0035179E&quot;/&gt;&lt;wsp:rsid wsp:val=&quot;00352CA9&quot;/&gt;&lt;wsp:rsid wsp:val=&quot;00353370&quot;/&gt;&lt;wsp:rsid wsp:val=&quot;00356365&quot;/&gt;&lt;wsp:rsid wsp:val=&quot;00357D83&quot;/&gt;&lt;wsp:rsid wsp:val=&quot;0036012A&quot;/&gt;&lt;wsp:rsid wsp:val=&quot;00361DA0&quot;/&gt;&lt;wsp:rsid wsp:val=&quot;00366587&quot;/&gt;&lt;wsp:rsid wsp:val=&quot;00373DF6&quot;/&gt;&lt;wsp:rsid wsp:val=&quot;00374E7E&quot;/&gt;&lt;wsp:rsid wsp:val=&quot;0037773C&quot;/&gt;&lt;wsp:rsid wsp:val=&quot;00381D71&quot;/&gt;&lt;wsp:rsid wsp:val=&quot;003834B7&quot;/&gt;&lt;wsp:rsid wsp:val=&quot;003846B2&quot;/&gt;&lt;wsp:rsid wsp:val=&quot;00385D84&quot;/&gt;&lt;wsp:rsid wsp:val=&quot;00386DD2&quot;/&gt;&lt;wsp:rsid wsp:val=&quot;00394DE7&quot;/&gt;&lt;wsp:rsid wsp:val=&quot;00395658&quot;/&gt;&lt;wsp:rsid wsp:val=&quot;0039794E&quot;/&gt;&lt;wsp:rsid wsp:val=&quot;00397CAD&quot;/&gt;&lt;wsp:rsid wsp:val=&quot;003A1EC7&quot;/&gt;&lt;wsp:rsid wsp:val=&quot;003A2223&quot;/&gt;&lt;wsp:rsid wsp:val=&quot;003A4001&quot;/&gt;&lt;wsp:rsid wsp:val=&quot;003A515B&quot;/&gt;&lt;wsp:rsid wsp:val=&quot;003B0C68&quot;/&gt;&lt;wsp:rsid wsp:val=&quot;003B0FB3&quot;/&gt;&lt;wsp:rsid wsp:val=&quot;003B15C0&quot;/&gt;&lt;wsp:rsid wsp:val=&quot;003B1DDD&quot;/&gt;&lt;wsp:rsid wsp:val=&quot;003B203F&quot;/&gt;&lt;wsp:rsid wsp:val=&quot;003B5354&quot;/&gt;&lt;wsp:rsid wsp:val=&quot;003B54C7&quot;/&gt;&lt;wsp:rsid wsp:val=&quot;003B7053&quot;/&gt;&lt;wsp:rsid wsp:val=&quot;003C1520&quot;/&gt;&lt;wsp:rsid wsp:val=&quot;003C3B14&quot;/&gt;&lt;wsp:rsid wsp:val=&quot;003C5266&quot;/&gt;&lt;wsp:rsid wsp:val=&quot;003D1377&quot;/&gt;&lt;wsp:rsid wsp:val=&quot;003D16D4&quot;/&gt;&lt;wsp:rsid wsp:val=&quot;003D5494&quot;/&gt;&lt;wsp:rsid wsp:val=&quot;003D5DDE&quot;/&gt;&lt;wsp:rsid wsp:val=&quot;003E0139&quot;/&gt;&lt;wsp:rsid wsp:val=&quot;003E0ED5&quot;/&gt;&lt;wsp:rsid wsp:val=&quot;003E2668&quot;/&gt;&lt;wsp:rsid wsp:val=&quot;003E2A97&quot;/&gt;&lt;wsp:rsid wsp:val=&quot;003E5F0A&quot;/&gt;&lt;wsp:rsid wsp:val=&quot;003E78A5&quot;/&gt;&lt;wsp:rsid wsp:val=&quot;003F2B39&quot;/&gt;&lt;wsp:rsid wsp:val=&quot;00400A83&quot;/&gt;&lt;wsp:rsid wsp:val=&quot;00401DB6&quot;/&gt;&lt;wsp:rsid wsp:val=&quot;00402A12&quot;/&gt;&lt;wsp:rsid wsp:val=&quot;00404856&quot;/&gt;&lt;wsp:rsid wsp:val=&quot;004072B3&quot;/&gt;&lt;wsp:rsid wsp:val=&quot;00407EBD&quot;/&gt;&lt;wsp:rsid wsp:val=&quot;00410F9E&quot;/&gt;&lt;wsp:rsid wsp:val=&quot;004112CA&quot;/&gt;&lt;wsp:rsid wsp:val=&quot;00412DB0&quot;/&gt;&lt;wsp:rsid wsp:val=&quot;00417F12&quot;/&gt;&lt;wsp:rsid wsp:val=&quot;004216F4&quot;/&gt;&lt;wsp:rsid wsp:val=&quot;00421AF5&quot;/&gt;&lt;wsp:rsid wsp:val=&quot;0042341D&quot;/&gt;&lt;wsp:rsid wsp:val=&quot;00423ED7&quot;/&gt;&lt;wsp:rsid wsp:val=&quot;0042487A&quot;/&gt;&lt;wsp:rsid wsp:val=&quot;004254B9&quot;/&gt;&lt;wsp:rsid wsp:val=&quot;004312F0&quot;/&gt;&lt;wsp:rsid wsp:val=&quot;00431711&quot;/&gt;&lt;wsp:rsid wsp:val=&quot;00436674&quot;/&gt;&lt;wsp:rsid wsp:val=&quot;00437343&quot;/&gt;&lt;wsp:rsid wsp:val=&quot;004420A4&quot;/&gt;&lt;wsp:rsid wsp:val=&quot;004421B4&quot;/&gt;&lt;wsp:rsid wsp:val=&quot;0044769C&quot;/&gt;&lt;wsp:rsid wsp:val=&quot;00447B2A&quot;/&gt;&lt;wsp:rsid wsp:val=&quot;00447EFF&quot;/&gt;&lt;wsp:rsid wsp:val=&quot;00451475&quot;/&gt;&lt;wsp:rsid wsp:val=&quot;004542EF&quot;/&gt;&lt;wsp:rsid wsp:val=&quot;0046720F&quot;/&gt;&lt;wsp:rsid wsp:val=&quot;0047185D&quot;/&gt;&lt;wsp:rsid wsp:val=&quot;0047230B&quot;/&gt;&lt;wsp:rsid wsp:val=&quot;00472927&quot;/&gt;&lt;wsp:rsid wsp:val=&quot;00472C0A&quot;/&gt;&lt;wsp:rsid wsp:val=&quot;0047533E&quot;/&gt;&lt;wsp:rsid wsp:val=&quot;00476855&quot;/&gt;&lt;wsp:rsid wsp:val=&quot;004856E4&quot;/&gt;&lt;wsp:rsid wsp:val=&quot;004869B5&quot;/&gt;&lt;wsp:rsid wsp:val=&quot;00487E6C&quot;/&gt;&lt;wsp:rsid wsp:val=&quot;00491082&quot;/&gt;&lt;wsp:rsid wsp:val=&quot;004977E5&quot;/&gt;&lt;wsp:rsid wsp:val=&quot;004A0E05&quot;/&gt;&lt;wsp:rsid wsp:val=&quot;004A19E3&quot;/&gt;&lt;wsp:rsid wsp:val=&quot;004A55FE&quot;/&gt;&lt;wsp:rsid wsp:val=&quot;004B5D92&quot;/&gt;&lt;wsp:rsid wsp:val=&quot;004B5DBA&quot;/&gt;&lt;wsp:rsid wsp:val=&quot;004B7F7D&quot;/&gt;&lt;wsp:rsid wsp:val=&quot;004C3883&quot;/&gt;&lt;wsp:rsid wsp:val=&quot;004C4D7B&quot;/&gt;&lt;wsp:rsid wsp:val=&quot;004C683B&quot;/&gt;&lt;wsp:rsid wsp:val=&quot;004D1026&quot;/&gt;&lt;wsp:rsid wsp:val=&quot;004D3A4A&quot;/&gt;&lt;wsp:rsid wsp:val=&quot;004D4219&quot;/&gt;&lt;wsp:rsid wsp:val=&quot;004E0BC6&quot;/&gt;&lt;wsp:rsid wsp:val=&quot;004E108E&quot;/&gt;&lt;wsp:rsid wsp:val=&quot;004E227D&quot;/&gt;&lt;wsp:rsid wsp:val=&quot;004E3D70&quot;/&gt;&lt;wsp:rsid wsp:val=&quot;004E51E2&quot;/&gt;&lt;wsp:rsid wsp:val=&quot;004E53CE&quot;/&gt;&lt;wsp:rsid wsp:val=&quot;004E5671&quot;/&gt;&lt;wsp:rsid wsp:val=&quot;004E684C&quot;/&gt;&lt;wsp:rsid wsp:val=&quot;004F0FDE&quot;/&gt;&lt;wsp:rsid wsp:val=&quot;004F29C2&quot;/&gt;&lt;wsp:rsid wsp:val=&quot;004F2EA9&quot;/&gt;&lt;wsp:rsid wsp:val=&quot;004F5BC5&quot;/&gt;&lt;wsp:rsid wsp:val=&quot;00504DDE&quot;/&gt;&lt;wsp:rsid wsp:val=&quot;00506B45&quot;/&gt;&lt;wsp:rsid wsp:val=&quot;00511A5B&quot;/&gt;&lt;wsp:rsid wsp:val=&quot;00512B39&quot;/&gt;&lt;wsp:rsid wsp:val=&quot;0051407A&quot;/&gt;&lt;wsp:rsid wsp:val=&quot;005152DB&quot;/&gt;&lt;wsp:rsid wsp:val=&quot;0051794A&quot;/&gt;&lt;wsp:rsid wsp:val=&quot;00522954&quot;/&gt;&lt;wsp:rsid wsp:val=&quot;00527B3B&quot;/&gt;&lt;wsp:rsid wsp:val=&quot;00530C13&quot;/&gt;&lt;wsp:rsid wsp:val=&quot;00530E27&quot;/&gt;&lt;wsp:rsid wsp:val=&quot;00531D3C&quot;/&gt;&lt;wsp:rsid wsp:val=&quot;00532162&quot;/&gt;&lt;wsp:rsid wsp:val=&quot;00540500&quot;/&gt;&lt;wsp:rsid wsp:val=&quot;00547A21&quot;/&gt;&lt;wsp:rsid wsp:val=&quot;00547D8C&quot;/&gt;&lt;wsp:rsid wsp:val=&quot;00547DF7&quot;/&gt;&lt;wsp:rsid wsp:val=&quot;005513FD&quot;/&gt;&lt;wsp:rsid wsp:val=&quot;00552117&quot;/&gt;&lt;wsp:rsid wsp:val=&quot;00552DAB&quot;/&gt;&lt;wsp:rsid wsp:val=&quot;005577AB&quot;/&gt;&lt;wsp:rsid wsp:val=&quot;0056060D&quot;/&gt;&lt;wsp:rsid wsp:val=&quot;0056060F&quot;/&gt;&lt;wsp:rsid wsp:val=&quot;00563709&quot;/&gt;&lt;wsp:rsid wsp:val=&quot;0056433F&quot;/&gt;&lt;wsp:rsid wsp:val=&quot;00565B10&quot;/&gt;&lt;wsp:rsid wsp:val=&quot;00566856&quot;/&gt;&lt;wsp:rsid wsp:val=&quot;00566F0C&quot;/&gt;&lt;wsp:rsid wsp:val=&quot;00567124&quot;/&gt;&lt;wsp:rsid wsp:val=&quot;00567128&quot;/&gt;&lt;wsp:rsid wsp:val=&quot;00571C04&quot;/&gt;&lt;wsp:rsid wsp:val=&quot;0057474F&quot;/&gt;&lt;wsp:rsid wsp:val=&quot;00574A2D&quot;/&gt;&lt;wsp:rsid wsp:val=&quot;00576F3C&quot;/&gt;&lt;wsp:rsid wsp:val=&quot;005773EA&quot;/&gt;&lt;wsp:rsid wsp:val=&quot;005803AA&quot;/&gt;&lt;wsp:rsid wsp:val=&quot;00584EC2&quot;/&gt;&lt;wsp:rsid wsp:val=&quot;005902AC&quot;/&gt;&lt;wsp:rsid wsp:val=&quot;0059221F&quot;/&gt;&lt;wsp:rsid wsp:val=&quot;00596461&quot;/&gt;&lt;wsp:rsid wsp:val=&quot;0059695C&quot;/&gt;&lt;wsp:rsid wsp:val=&quot;005A1380&quot;/&gt;&lt;wsp:rsid wsp:val=&quot;005A1822&quot;/&gt;&lt;wsp:rsid wsp:val=&quot;005A1D3D&quot;/&gt;&lt;wsp:rsid wsp:val=&quot;005A5830&quot;/&gt;&lt;wsp:rsid wsp:val=&quot;005A7AFC&quot;/&gt;&lt;wsp:rsid wsp:val=&quot;005B15B4&quot;/&gt;&lt;wsp:rsid wsp:val=&quot;005B4B45&quot;/&gt;&lt;wsp:rsid wsp:val=&quot;005B5D49&quot;/&gt;&lt;wsp:rsid wsp:val=&quot;005B6972&quot;/&gt;&lt;wsp:rsid wsp:val=&quot;005B70DF&quot;/&gt;&lt;wsp:rsid wsp:val=&quot;005B7AF6&quot;/&gt;&lt;wsp:rsid wsp:val=&quot;005C0CA8&quot;/&gt;&lt;wsp:rsid wsp:val=&quot;005C5803&quot;/&gt;&lt;wsp:rsid wsp:val=&quot;005D54A6&quot;/&gt;&lt;wsp:rsid wsp:val=&quot;005D630A&quot;/&gt;&lt;wsp:rsid wsp:val=&quot;005E2B82&quot;/&gt;&lt;wsp:rsid wsp:val=&quot;005E6EAC&quot;/&gt;&lt;wsp:rsid wsp:val=&quot;005F06B4&quot;/&gt;&lt;wsp:rsid wsp:val=&quot;00600ED6&quot;/&gt;&lt;wsp:rsid wsp:val=&quot;00601580&quot;/&gt;&lt;wsp:rsid wsp:val=&quot;00603D67&quot;/&gt;&lt;wsp:rsid wsp:val=&quot;00612002&quot;/&gt;&lt;wsp:rsid wsp:val=&quot;00612B9F&quot;/&gt;&lt;wsp:rsid wsp:val=&quot;00613B10&quot;/&gt;&lt;wsp:rsid wsp:val=&quot;0061736F&quot;/&gt;&lt;wsp:rsid wsp:val=&quot;006174A7&quot;/&gt;&lt;wsp:rsid wsp:val=&quot;00623724&quot;/&gt;&lt;wsp:rsid wsp:val=&quot;00626BC3&quot;/&gt;&lt;wsp:rsid wsp:val=&quot;00630B03&quot;/&gt;&lt;wsp:rsid wsp:val=&quot;0063270A&quot;/&gt;&lt;wsp:rsid wsp:val=&quot;00635CB8&quot;/&gt;&lt;wsp:rsid wsp:val=&quot;006372D5&quot;/&gt;&lt;wsp:rsid wsp:val=&quot;00641A45&quot;/&gt;&lt;wsp:rsid wsp:val=&quot;006479E6&quot;/&gt;&lt;wsp:rsid wsp:val=&quot;006517DE&quot;/&gt;&lt;wsp:rsid wsp:val=&quot;006526D2&quot;/&gt;&lt;wsp:rsid wsp:val=&quot;0065465B&quot;/&gt;&lt;wsp:rsid wsp:val=&quot;00654ACE&quot;/&gt;&lt;wsp:rsid wsp:val=&quot;00660A01&quot;/&gt;&lt;wsp:rsid wsp:val=&quot;0066247F&quot;/&gt;&lt;wsp:rsid wsp:val=&quot;00663A8D&quot;/&gt;&lt;wsp:rsid wsp:val=&quot;006648ED&quot;/&gt;&lt;wsp:rsid wsp:val=&quot;006706D2&quot;/&gt;&lt;wsp:rsid wsp:val=&quot;006724A1&quot;/&gt;&lt;wsp:rsid wsp:val=&quot;006752E3&quot;/&gt;&lt;wsp:rsid wsp:val=&quot;00676867&quot;/&gt;&lt;wsp:rsid wsp:val=&quot;00676E0F&quot;/&gt;&lt;wsp:rsid wsp:val=&quot;006808D5&quot;/&gt;&lt;wsp:rsid wsp:val=&quot;00683541&quot;/&gt;&lt;wsp:rsid wsp:val=&quot;00686361&quot;/&gt;&lt;wsp:rsid wsp:val=&quot;00693874&quot;/&gt;&lt;wsp:rsid wsp:val=&quot;0069443B&quot;/&gt;&lt;wsp:rsid wsp:val=&quot;0069772F&quot;/&gt;&lt;wsp:rsid wsp:val=&quot;006A15BB&quot;/&gt;&lt;wsp:rsid wsp:val=&quot;006A2BA7&quot;/&gt;&lt;wsp:rsid wsp:val=&quot;006A4424&quot;/&gt;&lt;wsp:rsid wsp:val=&quot;006A4477&quot;/&gt;&lt;wsp:rsid wsp:val=&quot;006A6896&quot;/&gt;&lt;wsp:rsid wsp:val=&quot;006A7DC8&quot;/&gt;&lt;wsp:rsid wsp:val=&quot;006B4E14&quot;/&gt;&lt;wsp:rsid wsp:val=&quot;006B6454&quot;/&gt;&lt;wsp:rsid wsp:val=&quot;006C2675&quot;/&gt;&lt;wsp:rsid wsp:val=&quot;006C2E47&quot;/&gt;&lt;wsp:rsid wsp:val=&quot;006D0401&quot;/&gt;&lt;wsp:rsid wsp:val=&quot;006D238B&quot;/&gt;&lt;wsp:rsid wsp:val=&quot;006D2620&quot;/&gt;&lt;wsp:rsid wsp:val=&quot;006D53CA&quot;/&gt;&lt;wsp:rsid wsp:val=&quot;006D6871&quot;/&gt;&lt;wsp:rsid wsp:val=&quot;006E0EB2&quot;/&gt;&lt;wsp:rsid wsp:val=&quot;006E143E&quot;/&gt;&lt;wsp:rsid wsp:val=&quot;006E2C79&quot;/&gt;&lt;wsp:rsid wsp:val=&quot;006E34BE&quot;/&gt;&lt;wsp:rsid wsp:val=&quot;006E6593&quot;/&gt;&lt;wsp:rsid wsp:val=&quot;006F3DE5&quot;/&gt;&lt;wsp:rsid wsp:val=&quot;006F4F19&quot;/&gt;&lt;wsp:rsid wsp:val=&quot;006F5917&quot;/&gt;&lt;wsp:rsid wsp:val=&quot;00704FE7&quot;/&gt;&lt;wsp:rsid wsp:val=&quot;007204F8&quot;/&gt;&lt;wsp:rsid wsp:val=&quot;007217F7&quot;/&gt;&lt;wsp:rsid wsp:val=&quot;0072644E&quot;/&gt;&lt;wsp:rsid wsp:val=&quot;007324C6&quot;/&gt;&lt;wsp:rsid wsp:val=&quot;007336C1&quot;/&gt;&lt;wsp:rsid wsp:val=&quot;00734B96&quot;/&gt;&lt;wsp:rsid wsp:val=&quot;00734BDE&quot;/&gt;&lt;wsp:rsid wsp:val=&quot;007353BC&quot;/&gt;&lt;wsp:rsid wsp:val=&quot;00735B91&quot;/&gt;&lt;wsp:rsid wsp:val=&quot;00736034&quot;/&gt;&lt;wsp:rsid wsp:val=&quot;00737B44&quot;/&gt;&lt;wsp:rsid wsp:val=&quot;007404B6&quot;/&gt;&lt;wsp:rsid wsp:val=&quot;00740A86&quot;/&gt;&lt;wsp:rsid wsp:val=&quot;00744E53&quot;/&gt;&lt;wsp:rsid wsp:val=&quot;00746F5B&quot;/&gt;&lt;wsp:rsid wsp:val=&quot;007619C2&quot;/&gt;&lt;wsp:rsid wsp:val=&quot;007652D1&quot;/&gt;&lt;wsp:rsid wsp:val=&quot;007662BE&quot;/&gt;&lt;wsp:rsid wsp:val=&quot;00773C54&quot;/&gt;&lt;wsp:rsid wsp:val=&quot;00774B58&quot;/&gt;&lt;wsp:rsid wsp:val=&quot;00774C8F&quot;/&gt;&lt;wsp:rsid wsp:val=&quot;007751C5&quot;/&gt;&lt;wsp:rsid wsp:val=&quot;00783BCE&quot;/&gt;&lt;wsp:rsid wsp:val=&quot;007855B9&quot;/&gt;&lt;wsp:rsid wsp:val=&quot;0078686E&quot;/&gt;&lt;wsp:rsid wsp:val=&quot;00790C0D&quot;/&gt;&lt;wsp:rsid wsp:val=&quot;00793A4F&quot;/&gt;&lt;wsp:rsid wsp:val=&quot;00797379&quot;/&gt;&lt;wsp:rsid wsp:val=&quot;007976F5&quot;/&gt;&lt;wsp:rsid wsp:val=&quot;007A20B6&quot;/&gt;&lt;wsp:rsid wsp:val=&quot;007A3AC2&quot;/&gt;&lt;wsp:rsid wsp:val=&quot;007A498B&quot;/&gt;&lt;wsp:rsid wsp:val=&quot;007A59AB&quot;/&gt;&lt;wsp:rsid wsp:val=&quot;007A61AB&quot;/&gt;&lt;wsp:rsid wsp:val=&quot;007A6EA1&quot;/&gt;&lt;wsp:rsid wsp:val=&quot;007A7175&quot;/&gt;&lt;wsp:rsid wsp:val=&quot;007B0689&quot;/&gt;&lt;wsp:rsid wsp:val=&quot;007B3E40&quot;/&gt;&lt;wsp:rsid wsp:val=&quot;007B557A&quot;/&gt;&lt;wsp:rsid wsp:val=&quot;007C2FD2&quot;/&gt;&lt;wsp:rsid wsp:val=&quot;007C7757&quot;/&gt;&lt;wsp:rsid wsp:val=&quot;007D5BE3&quot;/&gt;&lt;wsp:rsid wsp:val=&quot;007E5636&quot;/&gt;&lt;wsp:rsid wsp:val=&quot;007E6498&quot;/&gt;&lt;wsp:rsid wsp:val=&quot;007F2F6F&quot;/&gt;&lt;wsp:rsid wsp:val=&quot;007F7C58&quot;/&gt;&lt;wsp:rsid wsp:val=&quot;00802A93&quot;/&gt;&lt;wsp:rsid wsp:val=&quot;00803A34&quot;/&gt;&lt;wsp:rsid wsp:val=&quot;00804FA2&quot;/&gt;&lt;wsp:rsid wsp:val=&quot;00805659&quot;/&gt;&lt;wsp:rsid wsp:val=&quot;00807909&quot;/&gt;&lt;wsp:rsid wsp:val=&quot;00807C45&quot;/&gt;&lt;wsp:rsid wsp:val=&quot;00807CA1&quot;/&gt;&lt;wsp:rsid wsp:val=&quot;00810858&quot;/&gt;&lt;wsp:rsid wsp:val=&quot;0081129E&quot;/&gt;&lt;wsp:rsid wsp:val=&quot;0081393D&quot;/&gt;&lt;wsp:rsid wsp:val=&quot;00813DEA&quot;/&gt;&lt;wsp:rsid wsp:val=&quot;008147B4&quot;/&gt;&lt;wsp:rsid wsp:val=&quot;00817159&quot;/&gt;&lt;wsp:rsid wsp:val=&quot;0081715B&quot;/&gt;&lt;wsp:rsid wsp:val=&quot;00821C98&quot;/&gt;&lt;wsp:rsid wsp:val=&quot;008267F9&quot;/&gt;&lt;wsp:rsid wsp:val=&quot;00827021&quot;/&gt;&lt;wsp:rsid wsp:val=&quot;008308A3&quot;/&gt;&lt;wsp:rsid wsp:val=&quot;00837F08&quot;/&gt;&lt;wsp:rsid wsp:val=&quot;00842892&quot;/&gt;&lt;wsp:rsid wsp:val=&quot;008472A7&quot;/&gt;&lt;wsp:rsid wsp:val=&quot;00850C17&quot;/&gt;&lt;wsp:rsid wsp:val=&quot;0085133D&quot;/&gt;&lt;wsp:rsid wsp:val=&quot;00860A9B&quot;/&gt;&lt;wsp:rsid wsp:val=&quot;0086270E&quot;/&gt;&lt;wsp:rsid wsp:val=&quot;0086456E&quot;/&gt;&lt;wsp:rsid wsp:val=&quot;008663E2&quot;/&gt;&lt;wsp:rsid wsp:val=&quot;008670ED&quot;/&gt;&lt;wsp:rsid wsp:val=&quot;0087504B&quot;/&gt;&lt;wsp:rsid wsp:val=&quot;00875C12&quot;/&gt;&lt;wsp:rsid wsp:val=&quot;00876EE4&quot;/&gt;&lt;wsp:rsid wsp:val=&quot;00883C1D&quot;/&gt;&lt;wsp:rsid wsp:val=&quot;0088586D&quot;/&gt;&lt;wsp:rsid wsp:val=&quot;008871EC&quot;/&gt;&lt;wsp:rsid wsp:val=&quot;00887400&quot;/&gt;&lt;wsp:rsid wsp:val=&quot;008922B9&quot;/&gt;&lt;wsp:rsid wsp:val=&quot;008954D5&quot;/&gt;&lt;wsp:rsid wsp:val=&quot;0089567C&quot;/&gt;&lt;wsp:rsid wsp:val=&quot;008A197D&quot;/&gt;&lt;wsp:rsid wsp:val=&quot;008A380A&quot;/&gt;&lt;wsp:rsid wsp:val=&quot;008A3AC4&quot;/&gt;&lt;wsp:rsid wsp:val=&quot;008A3C6C&quot;/&gt;&lt;wsp:rsid wsp:val=&quot;008A5962&quot;/&gt;&lt;wsp:rsid wsp:val=&quot;008B00C2&quot;/&gt;&lt;wsp:rsid wsp:val=&quot;008B326A&quot;/&gt;&lt;wsp:rsid wsp:val=&quot;008B574C&quot;/&gt;&lt;wsp:rsid wsp:val=&quot;008C05A0&quot;/&gt;&lt;wsp:rsid wsp:val=&quot;008C5449&quot;/&gt;&lt;wsp:rsid wsp:val=&quot;008C5F86&quot;/&gt;&lt;wsp:rsid wsp:val=&quot;008D20DC&quot;/&gt;&lt;wsp:rsid wsp:val=&quot;008D7BAF&quot;/&gt;&lt;wsp:rsid wsp:val=&quot;008E2BE0&quot;/&gt;&lt;wsp:rsid wsp:val=&quot;008E4220&quot;/&gt;&lt;wsp:rsid wsp:val=&quot;008F369A&quot;/&gt;&lt;wsp:rsid wsp:val=&quot;008F420C&quot;/&gt;&lt;wsp:rsid wsp:val=&quot;008F7BA0&quot;/&gt;&lt;wsp:rsid wsp:val=&quot;00901515&quot;/&gt;&lt;wsp:rsid wsp:val=&quot;00901EA4&quot;/&gt;&lt;wsp:rsid wsp:val=&quot;00914DA9&quot;/&gt;&lt;wsp:rsid wsp:val=&quot;00915A38&quot;/&gt;&lt;wsp:rsid wsp:val=&quot;009203AD&quot;/&gt;&lt;wsp:rsid wsp:val=&quot;00932146&quot;/&gt;&lt;wsp:rsid wsp:val=&quot;009352BD&quot;/&gt;&lt;wsp:rsid wsp:val=&quot;009352F5&quot;/&gt;&lt;wsp:rsid wsp:val=&quot;00935429&quot;/&gt;&lt;wsp:rsid wsp:val=&quot;009375D0&quot;/&gt;&lt;wsp:rsid wsp:val=&quot;0094299B&quot;/&gt;&lt;wsp:rsid wsp:val=&quot;00942C0E&quot;/&gt;&lt;wsp:rsid wsp:val=&quot;009448C2&quot;/&gt;&lt;wsp:rsid wsp:val=&quot;0094633F&quot;/&gt;&lt;wsp:rsid wsp:val=&quot;009467A3&quot;/&gt;&lt;wsp:rsid wsp:val=&quot;00954557&quot;/&gt;&lt;wsp:rsid wsp:val=&quot;00954909&quot;/&gt;&lt;wsp:rsid wsp:val=&quot;0095524E&quot;/&gt;&lt;wsp:rsid wsp:val=&quot;00956597&quot;/&gt;&lt;wsp:rsid wsp:val=&quot;00957B93&quot;/&gt;&lt;wsp:rsid wsp:val=&quot;009612C0&quot;/&gt;&lt;wsp:rsid wsp:val=&quot;0096230B&quot;/&gt;&lt;wsp:rsid wsp:val=&quot;00962AFB&quot;/&gt;&lt;wsp:rsid wsp:val=&quot;009634B4&quot;/&gt;&lt;wsp:rsid wsp:val=&quot;009635FD&quot;/&gt;&lt;wsp:rsid wsp:val=&quot;00964279&quot;/&gt;&lt;wsp:rsid wsp:val=&quot;00965423&quot;/&gt;&lt;wsp:rsid wsp:val=&quot;009672EE&quot;/&gt;&lt;wsp:rsid wsp:val=&quot;00967D83&quot;/&gt;&lt;wsp:rsid wsp:val=&quot;0097132D&quot;/&gt;&lt;wsp:rsid wsp:val=&quot;009746A1&quot;/&gt;&lt;wsp:rsid wsp:val=&quot;0097537C&quot;/&gt;&lt;wsp:rsid wsp:val=&quot;00975CBA&quot;/&gt;&lt;wsp:rsid wsp:val=&quot;00980395&quot;/&gt;&lt;wsp:rsid wsp:val=&quot;009805A2&quot;/&gt;&lt;wsp:rsid wsp:val=&quot;00980B97&quot;/&gt;&lt;wsp:rsid wsp:val=&quot;00987C8E&quot;/&gt;&lt;wsp:rsid wsp:val=&quot;00997488&quot;/&gt;&lt;wsp:rsid wsp:val=&quot;009B5CF9&quot;/&gt;&lt;wsp:rsid wsp:val=&quot;009C3B84&quot;/&gt;&lt;wsp:rsid wsp:val=&quot;009C4155&quot;/&gt;&lt;wsp:rsid wsp:val=&quot;009D4539&quot;/&gt;&lt;wsp:rsid wsp:val=&quot;009D5E41&quot;/&gt;&lt;wsp:rsid wsp:val=&quot;009D7925&quot;/&gt;&lt;wsp:rsid wsp:val=&quot;009E2507&quot;/&gt;&lt;wsp:rsid wsp:val=&quot;009E3360&quot;/&gt;&lt;wsp:rsid wsp:val=&quot;009E3676&quot;/&gt;&lt;wsp:rsid wsp:val=&quot;009E6C42&quot;/&gt;&lt;wsp:rsid wsp:val=&quot;009F05BA&quot;/&gt;&lt;wsp:rsid wsp:val=&quot;009F6139&quot;/&gt;&lt;wsp:rsid wsp:val=&quot;009F6CB9&quot;/&gt;&lt;wsp:rsid wsp:val=&quot;00A00006&quot;/&gt;&lt;wsp:rsid wsp:val=&quot;00A003F1&quot;/&gt;&lt;wsp:rsid wsp:val=&quot;00A0220C&quot;/&gt;&lt;wsp:rsid wsp:val=&quot;00A03173&quot;/&gt;&lt;wsp:rsid wsp:val=&quot;00A101C0&quot;/&gt;&lt;wsp:rsid wsp:val=&quot;00A10CE1&quot;/&gt;&lt;wsp:rsid wsp:val=&quot;00A1225C&quot;/&gt;&lt;wsp:rsid wsp:val=&quot;00A1567C&quot;/&gt;&lt;wsp:rsid wsp:val=&quot;00A16425&quot;/&gt;&lt;wsp:rsid wsp:val=&quot;00A307AA&quot;/&gt;&lt;wsp:rsid wsp:val=&quot;00A32D87&quot;/&gt;&lt;wsp:rsid wsp:val=&quot;00A32EF2&quot;/&gt;&lt;wsp:rsid wsp:val=&quot;00A33959&quot;/&gt;&lt;wsp:rsid wsp:val=&quot;00A4092A&quot;/&gt;&lt;wsp:rsid wsp:val=&quot;00A426FF&quot;/&gt;&lt;wsp:rsid wsp:val=&quot;00A43783&quot;/&gt;&lt;wsp:rsid wsp:val=&quot;00A45018&quot;/&gt;&lt;wsp:rsid wsp:val=&quot;00A45B03&quot;/&gt;&lt;wsp:rsid wsp:val=&quot;00A468F0&quot;/&gt;&lt;wsp:rsid wsp:val=&quot;00A51113&quot;/&gt;&lt;wsp:rsid wsp:val=&quot;00A51F11&quot;/&gt;&lt;wsp:rsid wsp:val=&quot;00A53F63&quot;/&gt;&lt;wsp:rsid wsp:val=&quot;00A557EA&quot;/&gt;&lt;wsp:rsid wsp:val=&quot;00A56587&quot;/&gt;&lt;wsp:rsid wsp:val=&quot;00A5778A&quot;/&gt;&lt;wsp:rsid wsp:val=&quot;00A6096E&quot;/&gt;&lt;wsp:rsid wsp:val=&quot;00A609F1&quot;/&gt;&lt;wsp:rsid wsp:val=&quot;00A61370&quot;/&gt;&lt;wsp:rsid wsp:val=&quot;00A61FB8&quot;/&gt;&lt;wsp:rsid wsp:val=&quot;00A6378F&quot;/&gt;&lt;wsp:rsid wsp:val=&quot;00A64EC3&quot;/&gt;&lt;wsp:rsid wsp:val=&quot;00A650D1&quot;/&gt;&lt;wsp:rsid wsp:val=&quot;00A65FA7&quot;/&gt;&lt;wsp:rsid wsp:val=&quot;00A6788A&quot;/&gt;&lt;wsp:rsid wsp:val=&quot;00A67C64&quot;/&gt;&lt;wsp:rsid wsp:val=&quot;00A72379&quot;/&gt;&lt;wsp:rsid wsp:val=&quot;00A77587&quot;/&gt;&lt;wsp:rsid wsp:val=&quot;00A805B2&quot;/&gt;&lt;wsp:rsid wsp:val=&quot;00A82F33&quot;/&gt;&lt;wsp:rsid wsp:val=&quot;00A864D7&quot;/&gt;&lt;wsp:rsid wsp:val=&quot;00A86D91&quot;/&gt;&lt;wsp:rsid wsp:val=&quot;00A87928&quot;/&gt;&lt;wsp:rsid wsp:val=&quot;00A96420&quot;/&gt;&lt;wsp:rsid wsp:val=&quot;00AA1382&quot;/&gt;&lt;wsp:rsid wsp:val=&quot;00AA193E&quot;/&gt;&lt;wsp:rsid wsp:val=&quot;00AA2ACD&quot;/&gt;&lt;wsp:rsid wsp:val=&quot;00AA5E67&quot;/&gt;&lt;wsp:rsid wsp:val=&quot;00AB066E&quot;/&gt;&lt;wsp:rsid wsp:val=&quot;00AB140F&quot;/&gt;&lt;wsp:rsid wsp:val=&quot;00AB187B&quot;/&gt;&lt;wsp:rsid wsp:val=&quot;00AB2007&quot;/&gt;&lt;wsp:rsid wsp:val=&quot;00AB2336&quot;/&gt;&lt;wsp:rsid wsp:val=&quot;00AB2E29&quot;/&gt;&lt;wsp:rsid wsp:val=&quot;00AB62A4&quot;/&gt;&lt;wsp:rsid wsp:val=&quot;00AB78FF&quot;/&gt;&lt;wsp:rsid wsp:val=&quot;00AC163F&quot;/&gt;&lt;wsp:rsid wsp:val=&quot;00AC32BF&quot;/&gt;&lt;wsp:rsid wsp:val=&quot;00AC4973&quot;/&gt;&lt;wsp:rsid wsp:val=&quot;00AD07F5&quot;/&gt;&lt;wsp:rsid wsp:val=&quot;00AD122E&quot;/&gt;&lt;wsp:rsid wsp:val=&quot;00AD1312&quot;/&gt;&lt;wsp:rsid wsp:val=&quot;00AD4677&quot;/&gt;&lt;wsp:rsid wsp:val=&quot;00AE67F6&quot;/&gt;&lt;wsp:rsid wsp:val=&quot;00AF10DE&quot;/&gt;&lt;wsp:rsid wsp:val=&quot;00AF24CE&quot;/&gt;&lt;wsp:rsid wsp:val=&quot;00B05105&quot;/&gt;&lt;wsp:rsid wsp:val=&quot;00B06444&quot;/&gt;&lt;wsp:rsid wsp:val=&quot;00B1070F&quot;/&gt;&lt;wsp:rsid wsp:val=&quot;00B11D17&quot;/&gt;&lt;wsp:rsid wsp:val=&quot;00B120A2&quot;/&gt;&lt;wsp:rsid wsp:val=&quot;00B16365&quot;/&gt;&lt;wsp:rsid wsp:val=&quot;00B16DA3&quot;/&gt;&lt;wsp:rsid wsp:val=&quot;00B1725C&quot;/&gt;&lt;wsp:rsid wsp:val=&quot;00B17266&quot;/&gt;&lt;wsp:rsid wsp:val=&quot;00B212AD&quot;/&gt;&lt;wsp:rsid wsp:val=&quot;00B23F28&quot;/&gt;&lt;wsp:rsid wsp:val=&quot;00B30E79&quot;/&gt;&lt;wsp:rsid wsp:val=&quot;00B3456C&quot;/&gt;&lt;wsp:rsid wsp:val=&quot;00B43FA7&quot;/&gt;&lt;wsp:rsid wsp:val=&quot;00B46351&quot;/&gt;&lt;wsp:rsid wsp:val=&quot;00B509EF&quot;/&gt;&lt;wsp:rsid wsp:val=&quot;00B559E7&quot;/&gt;&lt;wsp:rsid wsp:val=&quot;00B56326&quot;/&gt;&lt;wsp:rsid wsp:val=&quot;00B579EE&quot;/&gt;&lt;wsp:rsid wsp:val=&quot;00B606EC&quot;/&gt;&lt;wsp:rsid wsp:val=&quot;00B61D74&quot;/&gt;&lt;wsp:rsid wsp:val=&quot;00B62ACD&quot;/&gt;&lt;wsp:rsid wsp:val=&quot;00B63DCE&quot;/&gt;&lt;wsp:rsid wsp:val=&quot;00B67B38&quot;/&gt;&lt;wsp:rsid wsp:val=&quot;00B706F4&quot;/&gt;&lt;wsp:rsid wsp:val=&quot;00B71352&quot;/&gt;&lt;wsp:rsid wsp:val=&quot;00B71E81&quot;/&gt;&lt;wsp:rsid wsp:val=&quot;00B71F27&quot;/&gt;&lt;wsp:rsid wsp:val=&quot;00B727B0&quot;/&gt;&lt;wsp:rsid wsp:val=&quot;00B748E7&quot;/&gt;&lt;wsp:rsid wsp:val=&quot;00B748FF&quot;/&gt;&lt;wsp:rsid wsp:val=&quot;00B769CB&quot;/&gt;&lt;wsp:rsid wsp:val=&quot;00B771B0&quot;/&gt;&lt;wsp:rsid wsp:val=&quot;00B809E7&quot;/&gt;&lt;wsp:rsid wsp:val=&quot;00B82C2D&quot;/&gt;&lt;wsp:rsid wsp:val=&quot;00B86BEE&quot;/&gt;&lt;wsp:rsid wsp:val=&quot;00B87141&quot;/&gt;&lt;wsp:rsid wsp:val=&quot;00B878D0&quot;/&gt;&lt;wsp:rsid wsp:val=&quot;00B91296&quot;/&gt;&lt;wsp:rsid wsp:val=&quot;00B97C35&quot;/&gt;&lt;wsp:rsid wsp:val=&quot;00BA0FF7&quot;/&gt;&lt;wsp:rsid wsp:val=&quot;00BA6495&quot;/&gt;&lt;wsp:rsid wsp:val=&quot;00BB754F&quot;/&gt;&lt;wsp:rsid wsp:val=&quot;00BC29E2&quot;/&gt;&lt;wsp:rsid wsp:val=&quot;00BC37FC&quot;/&gt;&lt;wsp:rsid wsp:val=&quot;00BC5E24&quot;/&gt;&lt;wsp:rsid wsp:val=&quot;00BC67C8&quot;/&gt;&lt;wsp:rsid wsp:val=&quot;00BC736B&quot;/&gt;&lt;wsp:rsid wsp:val=&quot;00BD253F&quot;/&gt;&lt;wsp:rsid wsp:val=&quot;00BD3528&quot;/&gt;&lt;wsp:rsid wsp:val=&quot;00BD3AD8&quot;/&gt;&lt;wsp:rsid wsp:val=&quot;00BE64AE&quot;/&gt;&lt;wsp:rsid wsp:val=&quot;00BE7B95&quot;/&gt;&lt;wsp:rsid wsp:val=&quot;00BF40BF&quot;/&gt;&lt;wsp:rsid wsp:val=&quot;00BF6D76&quot;/&gt;&lt;wsp:rsid wsp:val=&quot;00BF73D6&quot;/&gt;&lt;wsp:rsid wsp:val=&quot;00C005B9&quot;/&gt;&lt;wsp:rsid wsp:val=&quot;00C02B8B&quot;/&gt;&lt;wsp:rsid wsp:val=&quot;00C1487A&quot;/&gt;&lt;wsp:rsid wsp:val=&quot;00C153A9&quot;/&gt;&lt;wsp:rsid wsp:val=&quot;00C31D46&quot;/&gt;&lt;wsp:rsid wsp:val=&quot;00C32A65&quot;/&gt;&lt;wsp:rsid wsp:val=&quot;00C35C4C&quot;/&gt;&lt;wsp:rsid wsp:val=&quot;00C3686D&quot;/&gt;&lt;wsp:rsid wsp:val=&quot;00C47283&quot;/&gt;&lt;wsp:rsid wsp:val=&quot;00C547EA&quot;/&gt;&lt;wsp:rsid wsp:val=&quot;00C5635C&quot;/&gt;&lt;wsp:rsid wsp:val=&quot;00C61148&quot;/&gt;&lt;wsp:rsid wsp:val=&quot;00C66042&quot;/&gt;&lt;wsp:rsid wsp:val=&quot;00C66BE1&quot;/&gt;&lt;wsp:rsid wsp:val=&quot;00C6766E&quot;/&gt;&lt;wsp:rsid wsp:val=&quot;00C67811&quot;/&gt;&lt;wsp:rsid wsp:val=&quot;00C67969&quot;/&gt;&lt;wsp:rsid wsp:val=&quot;00C73F74&quot;/&gt;&lt;wsp:rsid wsp:val=&quot;00C74764&quot;/&gt;&lt;wsp:rsid wsp:val=&quot;00C76AD9&quot;/&gt;&lt;wsp:rsid wsp:val=&quot;00C77FEB&quot;/&gt;&lt;wsp:rsid wsp:val=&quot;00C80A50&quot;/&gt;&lt;wsp:rsid wsp:val=&quot;00C822F5&quot;/&gt;&lt;wsp:rsid wsp:val=&quot;00C851BB&quot;/&gt;&lt;wsp:rsid wsp:val=&quot;00C85B54&quot;/&gt;&lt;wsp:rsid wsp:val=&quot;00C87EF4&quot;/&gt;&lt;wsp:rsid wsp:val=&quot;00C9024C&quot;/&gt;&lt;wsp:rsid wsp:val=&quot;00CA3682&quot;/&gt;&lt;wsp:rsid wsp:val=&quot;00CA586C&quot;/&gt;&lt;wsp:rsid wsp:val=&quot;00CA7865&quot;/&gt;&lt;wsp:rsid wsp:val=&quot;00CB0EC3&quot;/&gt;&lt;wsp:rsid wsp:val=&quot;00CB114A&quot;/&gt;&lt;wsp:rsid wsp:val=&quot;00CB4ED1&quot;/&gt;&lt;wsp:rsid wsp:val=&quot;00CB79A4&quot;/&gt;&lt;wsp:rsid wsp:val=&quot;00CC03BD&quot;/&gt;&lt;wsp:rsid wsp:val=&quot;00CC217F&quot;/&gt;&lt;wsp:rsid wsp:val=&quot;00CD23E2&quot;/&gt;&lt;wsp:rsid wsp:val=&quot;00CD3F6D&quot;/&gt;&lt;wsp:rsid wsp:val=&quot;00CD79CC&quot;/&gt;&lt;wsp:rsid wsp:val=&quot;00CE0086&quot;/&gt;&lt;wsp:rsid wsp:val=&quot;00CE2FA1&quot;/&gt;&lt;wsp:rsid wsp:val=&quot;00CE5BB7&quot;/&gt;&lt;wsp:rsid wsp:val=&quot;00CE6479&quot;/&gt;&lt;wsp:rsid wsp:val=&quot;00CE764A&quot;/&gt;&lt;wsp:rsid wsp:val=&quot;00CF0798&quot;/&gt;&lt;wsp:rsid wsp:val=&quot;00CF0C76&quot;/&gt;&lt;wsp:rsid wsp:val=&quot;00CF127C&quot;/&gt;&lt;wsp:rsid wsp:val=&quot;00CF2C92&quot;/&gt;&lt;wsp:rsid wsp:val=&quot;00CF33E7&quot;/&gt;&lt;wsp:rsid wsp:val=&quot;00CF592C&quot;/&gt;&lt;wsp:rsid wsp:val=&quot;00CF5B6B&quot;/&gt;&lt;wsp:rsid wsp:val=&quot;00CF63B7&quot;/&gt;&lt;wsp:rsid wsp:val=&quot;00CF694F&quot;/&gt;&lt;wsp:rsid wsp:val=&quot;00CF6BE2&quot;/&gt;&lt;wsp:rsid wsp:val=&quot;00D00E8E&quot;/&gt;&lt;wsp:rsid wsp:val=&quot;00D0127F&quot;/&gt;&lt;wsp:rsid wsp:val=&quot;00D01853&quot;/&gt;&lt;wsp:rsid wsp:val=&quot;00D03D99&quot;/&gt;&lt;wsp:rsid wsp:val=&quot;00D04034&quot;/&gt;&lt;wsp:rsid wsp:val=&quot;00D050F0&quot;/&gt;&lt;wsp:rsid wsp:val=&quot;00D1245C&quot;/&gt;&lt;wsp:rsid wsp:val=&quot;00D14735&quot;/&gt;&lt;wsp:rsid wsp:val=&quot;00D163E9&quot;/&gt;&lt;wsp:rsid wsp:val=&quot;00D1721F&quot;/&gt;&lt;wsp:rsid wsp:val=&quot;00D21753&quot;/&gt;&lt;wsp:rsid wsp:val=&quot;00D24A12&quot;/&gt;&lt;wsp:rsid wsp:val=&quot;00D37AAD&quot;/&gt;&lt;wsp:rsid wsp:val=&quot;00D418C3&quot;/&gt;&lt;wsp:rsid wsp:val=&quot;00D421DB&quot;/&gt;&lt;wsp:rsid wsp:val=&quot;00D44D17&quot;/&gt;&lt;wsp:rsid wsp:val=&quot;00D44D1D&quot;/&gt;&lt;wsp:rsid wsp:val=&quot;00D50FF1&quot;/&gt;&lt;wsp:rsid wsp:val=&quot;00D530A6&quot;/&gt;&lt;wsp:rsid wsp:val=&quot;00D53B4D&quot;/&gt;&lt;wsp:rsid wsp:val=&quot;00D55DFB&quot;/&gt;&lt;wsp:rsid wsp:val=&quot;00D561D3&quot;/&gt;&lt;wsp:rsid wsp:val=&quot;00D56B72&quot;/&gt;&lt;wsp:rsid wsp:val=&quot;00D578CD&quot;/&gt;&lt;wsp:rsid wsp:val=&quot;00D678E6&quot;/&gt;&lt;wsp:rsid wsp:val=&quot;00D718FA&quot;/&gt;&lt;wsp:rsid wsp:val=&quot;00D73506&quot;/&gt;&lt;wsp:rsid wsp:val=&quot;00D743D0&quot;/&gt;&lt;wsp:rsid wsp:val=&quot;00D74705&quot;/&gt;&lt;wsp:rsid wsp:val=&quot;00D75C8C&quot;/&gt;&lt;wsp:rsid wsp:val=&quot;00D7609B&quot;/&gt;&lt;wsp:rsid wsp:val=&quot;00D76877&quot;/&gt;&lt;wsp:rsid wsp:val=&quot;00D8118A&quot;/&gt;&lt;wsp:rsid wsp:val=&quot;00D8453F&quot;/&gt;&lt;wsp:rsid wsp:val=&quot;00D8468E&quot;/&gt;&lt;wsp:rsid wsp:val=&quot;00D870F5&quot;/&gt;&lt;wsp:rsid wsp:val=&quot;00D93C29&quot;/&gt;&lt;wsp:rsid wsp:val=&quot;00D97D42&quot;/&gt;&lt;wsp:rsid wsp:val=&quot;00DA06E1&quot;/&gt;&lt;wsp:rsid wsp:val=&quot;00DA1A22&quot;/&gt;&lt;wsp:rsid wsp:val=&quot;00DB158D&quot;/&gt;&lt;wsp:rsid wsp:val=&quot;00DB2390&quot;/&gt;&lt;wsp:rsid wsp:val=&quot;00DB2942&quot;/&gt;&lt;wsp:rsid wsp:val=&quot;00DB4863&quot;/&gt;&lt;wsp:rsid wsp:val=&quot;00DB5018&quot;/&gt;&lt;wsp:rsid wsp:val=&quot;00DB73C3&quot;/&gt;&lt;wsp:rsid wsp:val=&quot;00DD18AE&quot;/&gt;&lt;wsp:rsid wsp:val=&quot;00DD475B&quot;/&gt;&lt;wsp:rsid wsp:val=&quot;00DD70E4&quot;/&gt;&lt;wsp:rsid wsp:val=&quot;00DE627B&quot;/&gt;&lt;wsp:rsid wsp:val=&quot;00DE7071&quot;/&gt;&lt;wsp:rsid wsp:val=&quot;00DF2028&quot;/&gt;&lt;wsp:rsid wsp:val=&quot;00DF234D&quot;/&gt;&lt;wsp:rsid wsp:val=&quot;00DF488F&quot;/&gt;&lt;wsp:rsid wsp:val=&quot;00DF5742&quot;/&gt;&lt;wsp:rsid wsp:val=&quot;00E002F5&quot;/&gt;&lt;wsp:rsid wsp:val=&quot;00E018FA&quot;/&gt;&lt;wsp:rsid wsp:val=&quot;00E021B9&quot;/&gt;&lt;wsp:rsid wsp:val=&quot;00E02A1F&quot;/&gt;&lt;wsp:rsid wsp:val=&quot;00E02E4F&quot;/&gt;&lt;wsp:rsid wsp:val=&quot;00E04E4A&quot;/&gt;&lt;wsp:rsid wsp:val=&quot;00E05108&quot;/&gt;&lt;wsp:rsid wsp:val=&quot;00E0642E&quot;/&gt;&lt;wsp:rsid wsp:val=&quot;00E10879&quot;/&gt;&lt;wsp:rsid wsp:val=&quot;00E168CA&quot;/&gt;&lt;wsp:rsid wsp:val=&quot;00E217EA&quot;/&gt;&lt;wsp:rsid wsp:val=&quot;00E23172&quot;/&gt;&lt;wsp:rsid wsp:val=&quot;00E23720&quot;/&gt;&lt;wsp:rsid wsp:val=&quot;00E260AF&quot;/&gt;&lt;wsp:rsid wsp:val=&quot;00E30E56&quot;/&gt;&lt;wsp:rsid wsp:val=&quot;00E31AA5&quot;/&gt;&lt;wsp:rsid wsp:val=&quot;00E330E5&quot;/&gt;&lt;wsp:rsid wsp:val=&quot;00E33673&quot;/&gt;&lt;wsp:rsid wsp:val=&quot;00E34E0E&quot;/&gt;&lt;wsp:rsid wsp:val=&quot;00E40080&quot;/&gt;&lt;wsp:rsid wsp:val=&quot;00E425D1&quot;/&gt;&lt;wsp:rsid wsp:val=&quot;00E4260F&quot;/&gt;&lt;wsp:rsid wsp:val=&quot;00E466FA&quot;/&gt;&lt;wsp:rsid wsp:val=&quot;00E47C7B&quot;/&gt;&lt;wsp:rsid wsp:val=&quot;00E555FA&quot;/&gt;&lt;wsp:rsid wsp:val=&quot;00E630BC&quot;/&gt;&lt;wsp:rsid wsp:val=&quot;00E63801&quot;/&gt;&lt;wsp:rsid wsp:val=&quot;00E651BD&quot;/&gt;&lt;wsp:rsid wsp:val=&quot;00E65DC7&quot;/&gt;&lt;wsp:rsid wsp:val=&quot;00E65F34&quot;/&gt;&lt;wsp:rsid wsp:val=&quot;00E6790B&quot;/&gt;&lt;wsp:rsid wsp:val=&quot;00E67F04&quot;/&gt;&lt;wsp:rsid wsp:val=&quot;00E70135&quot;/&gt;&lt;wsp:rsid wsp:val=&quot;00E729C9&quot;/&gt;&lt;wsp:rsid wsp:val=&quot;00E73B24&quot;/&gt;&lt;wsp:rsid wsp:val=&quot;00E85350&quot;/&gt;&lt;wsp:rsid wsp:val=&quot;00E86764&quot;/&gt;&lt;wsp:rsid wsp:val=&quot;00E91432&quot;/&gt;&lt;wsp:rsid wsp:val=&quot;00E9186B&quot;/&gt;&lt;wsp:rsid wsp:val=&quot;00E92F26&quot;/&gt;&lt;wsp:rsid wsp:val=&quot;00E93348&quot;/&gt;&lt;wsp:rsid wsp:val=&quot;00E9478F&quot;/&gt;&lt;wsp:rsid wsp:val=&quot;00E95E51&quot;/&gt;&lt;wsp:rsid wsp:val=&quot;00E963A2&quot;/&gt;&lt;wsp:rsid wsp:val=&quot;00E9676A&quot;/&gt;&lt;wsp:rsid wsp:val=&quot;00E96A7B&quot;/&gt;&lt;wsp:rsid wsp:val=&quot;00E978BF&quot;/&gt;&lt;wsp:rsid wsp:val=&quot;00E97CB6&quot;/&gt;&lt;wsp:rsid wsp:val=&quot;00EA175C&quot;/&gt;&lt;wsp:rsid wsp:val=&quot;00EA7157&quot;/&gt;&lt;wsp:rsid wsp:val=&quot;00EB41AF&quot;/&gt;&lt;wsp:rsid wsp:val=&quot;00EB4FAB&quot;/&gt;&lt;wsp:rsid wsp:val=&quot;00EC2E90&quot;/&gt;&lt;wsp:rsid wsp:val=&quot;00EC320D&quot;/&gt;&lt;wsp:rsid wsp:val=&quot;00EC50AC&quot;/&gt;&lt;wsp:rsid wsp:val=&quot;00ED0B7D&quot;/&gt;&lt;wsp:rsid wsp:val=&quot;00ED17A7&quot;/&gt;&lt;wsp:rsid wsp:val=&quot;00EE57D7&quot;/&gt;&lt;wsp:rsid wsp:val=&quot;00EE623D&quot;/&gt;&lt;wsp:rsid wsp:val=&quot;00EF07FB&quot;/&gt;&lt;wsp:rsid wsp:val=&quot;00EF0D39&quot;/&gt;&lt;wsp:rsid wsp:val=&quot;00EF1CF6&quot;/&gt;&lt;wsp:rsid wsp:val=&quot;00EF2ADD&quot;/&gt;&lt;wsp:rsid wsp:val=&quot;00F040F4&quot;/&gt;&lt;wsp:rsid wsp:val=&quot;00F1561E&quot;/&gt;&lt;wsp:rsid wsp:val=&quot;00F16855&quot;/&gt;&lt;wsp:rsid wsp:val=&quot;00F21860&quot;/&gt;&lt;wsp:rsid wsp:val=&quot;00F24020&quot;/&gt;&lt;wsp:rsid wsp:val=&quot;00F24E01&quot;/&gt;&lt;wsp:rsid wsp:val=&quot;00F25397&quot;/&gt;&lt;wsp:rsid wsp:val=&quot;00F25572&quot;/&gt;&lt;wsp:rsid wsp:val=&quot;00F376A2&quot;/&gt;&lt;wsp:rsid wsp:val=&quot;00F406F9&quot;/&gt;&lt;wsp:rsid wsp:val=&quot;00F452F7&quot;/&gt;&lt;wsp:rsid wsp:val=&quot;00F4589F&quot;/&gt;&lt;wsp:rsid wsp:val=&quot;00F460F0&quot;/&gt;&lt;wsp:rsid wsp:val=&quot;00F47C1A&quot;/&gt;&lt;wsp:rsid wsp:val=&quot;00F57927&quot;/&gt;&lt;wsp:rsid wsp:val=&quot;00F57A9D&quot;/&gt;&lt;wsp:rsid wsp:val=&quot;00F6097E&quot;/&gt;&lt;wsp:rsid wsp:val=&quot;00F619C5&quot;/&gt;&lt;wsp:rsid wsp:val=&quot;00F645F3&quot;/&gt;&lt;wsp:rsid wsp:val=&quot;00F655A6&quot;/&gt;&lt;wsp:rsid wsp:val=&quot;00F67742&quot;/&gt;&lt;wsp:rsid wsp:val=&quot;00F7744B&quot;/&gt;&lt;wsp:rsid wsp:val=&quot;00F836D6&quot;/&gt;&lt;wsp:rsid wsp:val=&quot;00F83E2E&quot;/&gt;&lt;wsp:rsid wsp:val=&quot;00F8641A&quot;/&gt;&lt;wsp:rsid wsp:val=&quot;00F905C7&quot;/&gt;&lt;wsp:rsid wsp:val=&quot;00F933DC&quot;/&gt;&lt;wsp:rsid wsp:val=&quot;00F9424C&quot;/&gt;&lt;wsp:rsid wsp:val=&quot;00F94CA8&quot;/&gt;&lt;wsp:rsid wsp:val=&quot;00F97D91&quot;/&gt;&lt;wsp:rsid wsp:val=&quot;00FA1A61&quot;/&gt;&lt;wsp:rsid wsp:val=&quot;00FA231D&quot;/&gt;&lt;wsp:rsid wsp:val=&quot;00FA34BD&quot;/&gt;&lt;wsp:rsid wsp:val=&quot;00FA75F2&quot;/&gt;&lt;wsp:rsid wsp:val=&quot;00FA7CBA&quot;/&gt;&lt;wsp:rsid wsp:val=&quot;00FB2B24&quot;/&gt;&lt;wsp:rsid wsp:val=&quot;00FB3903&quot;/&gt;&lt;wsp:rsid wsp:val=&quot;00FB6D3E&quot;/&gt;&lt;wsp:rsid wsp:val=&quot;00FB74E2&quot;/&gt;&lt;wsp:rsid wsp:val=&quot;00FC09FC&quot;/&gt;&lt;wsp:rsid wsp:val=&quot;00FC0A45&quot;/&gt;&lt;wsp:rsid wsp:val=&quot;00FC198B&quot;/&gt;&lt;wsp:rsid wsp:val=&quot;00FC21CE&quot;/&gt;&lt;wsp:rsid wsp:val=&quot;00FC2C5D&quot;/&gt;&lt;wsp:rsid wsp:val=&quot;00FC3EEB&quot;/&gt;&lt;wsp:rsid wsp:val=&quot;00FC4D8F&quot;/&gt;&lt;wsp:rsid wsp:val=&quot;00FC55A7&quot;/&gt;&lt;wsp:rsid wsp:val=&quot;00FC768D&quot;/&gt;&lt;wsp:rsid wsp:val=&quot;00FD31E8&quot;/&gt;&lt;wsp:rsid wsp:val=&quot;00FD658E&quot;/&gt;&lt;wsp:rsid wsp:val=&quot;00FD7D3F&quot;/&gt;&lt;wsp:rsid wsp:val=&quot;00FE1830&quot;/&gt;&lt;wsp:rsid wsp:val=&quot;00FE4D5F&quot;/&gt;&lt;wsp:rsid wsp:val=&quot;00FE7860&quot;/&gt;&lt;wsp:rsid wsp:val=&quot;00FF0E27&quot;/&gt;&lt;/wsp:rsids&gt;&lt;/w:docPr&gt;&lt;w:body&gt;&lt;w:p wsp:rsidR=&quot;00000000&quot; wsp:rsidRDefault=&quot;0085133D&quot;&gt;&lt;m:oMathPara&gt;&lt;m:oMath&gt;&lt;m:r&gt;&lt;w:rPr&gt;&lt;w:rFonts w:ascii=&quot;Cambria Math&quot; w:h-ansi=&quot;Cambria Math&quot;/&gt;&lt;wx:font wx:val=&quot;Cambria Math&quot;/&gt;&lt;w:i/&gt;&lt;w:kern w:val=&quot;0&quot;/&gt;&lt;w:sz w:val=&quot;24&quot;/&gt;&lt;w:sz-cs w:val=&quot;24&quot;/&gt;&lt;/w:rPr&gt;&lt;m:t&gt;d&lt;/m:t&gt;&lt;/m:r&gt;&lt;m:box&gt;&lt;m:boxPr&gt;&lt;m:opEmu m:val=&quot;on&quot;/&gt;&lt;m:ctrlPr&gt;&lt;w:rPr&gt;&lt;w:rFonts w:ascii=&quot;Cambria Math&quot; w:h-ansi=&quot;Cambria Math&quot;/&gt;&lt;wx:font wx:val=&quot;Cambria Math&quot;/&gt;&lt;w:kern w:val=&quot;0&quot;/&gt;&lt;w:sz w:val=&quot;24&quot;/&gt;&lt;w:sz-cs w:val=&quot;24&quot;/&gt;&lt;/w:rPr&gt;&lt;/m:ctrlPr&gt;&lt;/m:boxPr&gt;&lt;m:e&gt;&lt;m:r&gt;&lt;m:rPr&gt;&lt;m:sty m:val=&quot;p&quot;/&gt;&lt;/m:rPr&gt;&lt;w:rPr&gt;&lt;w:rFonts w:ascii=&quot;Cambria Math&quot; w:h-ansi=&quot;Cambria Math&quot;/&gt;&lt;wx:font wx:val=&quot;Cambria Math&quot;/&gt;&lt;w:kern w:val=&quot;0&quot;/&gt;&lt;w:sz w:val=&quot;24&quot;/&gt;&lt;w:sz-cs w:val=&quot;24&quot;/&gt;&lt;/w:rPr&gt;&lt;m:t&gt;=&lt;/m:t&gt;&lt;/m:r&gt;&lt;m:sSup&gt;&lt;m:sSupPr&gt;&lt;m:ctrlPr&gt;&lt;w:rPr&gt;&lt;w:rFonts w:ascii=&quot;Cambria Math&quot; w:h-ansi=&quot;Cambria Math&quot;/&gt;&lt;wx:font wx:val=&quot;Cambria Math&quot;/&gt;&lt;w:kern w:val=&quot;0&quot;/&gt;&lt;w:sz w:val=&quot;24&quot;/&gt;&lt;w:sz-cs w:val=&quot;24&quot;/&gt;&lt;/w:rPr&gt;&lt;/m:ctrlPr&gt;&lt;/m:sSupPr&gt;&lt;m:e&gt;&lt;m:f&gt;&lt;m:fPr&gt;&lt;m:ctrlPr&gt;&lt;w:rPr&gt;&lt;w:rFonts w:ascii=&quot;Cambria Math&quot; w:h-ansi=&quot;Cambria Math&quot;/&gt;&lt;wx:font wx:val=&quot;Cambria Math&quot;/&gt;&lt;w:i/&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lt;/m:t&gt;&lt;/m:r&gt;&lt;/m:num&gt;&lt;m:den&gt;&lt;m:r&gt;&lt;w:rPr&gt;&lt;w:rFonts w:ascii=&quot;Cambria Math&quot; w:h-ansi=&quot;Cambria Math&quot;/&gt;&lt;wx:font wx:val=&quot;Cattttttttttttmbria Math&quot;/&gt;&lt;w:i/&gt;&lt;w:kern w:val=&quot;0&quot;/&gt;&lt;w:sz w:val=&quot;24&quot;/&gt;&lt;w:sz-cs w:val=&quot;24&quot;/&gt;&lt;/w:rPr&gt;&lt;m:t&gt;4?&lt;/m:t&gt;&lt;/m:r&gt;&lt;/m:den&gt;&lt;/m:f&gt;&lt;m:r&gt;&lt;m:rPr&gt;&lt;m:sty m:val=&quot;p&quot;/&gt;&lt;/m:rPr&gt;&lt;w:rPr&gt;&lt;w:rFonts w:ascii=&quot;Cambria Math&quot; w:h-ansi=&quot;Cambria Math&quot;/&gt;&lt;wx:font wx:val=&quot;Cambrtitat tMtatttht&quot;t/t&gt;t&lt;tw:kern w:val=&quot;0&quot;/&gt;&lt;w:sz w:val=&quot;24&quot;/&gt;&lt;w:sz-cs w:val=&quot;24&quot;/&gt;&lt;/w:rPr&gt;&lt;m:t&gt;(&lt;/m:t&gt;&lt;/m:r&gt;&lt;m:sSup&gt;&lt;m:sSupPr&gt;&lt;m:ctrlPr&gt;&lt;w:rPr&gt;&lt;w:rFonts w:ascii=&quot;Cambria Math&quot; w:h-ansi=&quot;Cambria Math&quot;/&gt;&lt;wx:font wx:val=&quot;Cambria Math&quot;/&gt;&lt;w:i/&gt;&lt;w:kern w:val=&quot;0&quot;/&gt;&lt;w:sz w:val=&quot;24&quot;/&gt;&lt;w:sz-cs w:val=&quot;24&quot;/&gt;&lt;/w:rPr&gt;&lt;/m:ctrlPr&gt;&lt;/m:sSupPr&gt;&lt;m:e&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n&lt;/m:t&gt;&lt;/m:r&gt;&lt;/m:e&gt;&lt;m:sub&gt;&lt;m:r&gt;&lt;w:rPr&gt;&lt;w:rFonts w:ascii=&quot;Cambria Math&quot; w:h-ansi=&quot;Cambria Math&quot;/&gt;&lt;wx:font wx:val=&quot;Cambria Math&quot;/&gt;&lt;w:i/&gt;&lt;w:kern w:val=&quot;0&quot;/&gt;&lt;w:sz w:val=&quot;24&quot;/&gt;&lt;w:sz-cs w:val=&quot;24&quot;/&gt;&lt;/w:rPr&gt;&lt;m:t&gt;2&lt;/m:t&gt;&lt;/m:r&gt;&lt;/m:sub&gt;&lt;/m:sSub&gt;&lt;/m:e&gt;&lt;m:sup&gt;&lt;m:r&gt;&lt;w:rPr&gt;&lt;w:rFonts w:ascii=&quot;Cambria Math&quot; w:h-ansi=&quot;Cambria Math&quot;/&gt;&lt;wx:font wx:val=&quot;Cambria Math&quot;/&gt;&lt;w:i/&gt;&lt;w:kern w:val=&quot;0&quot;/&gt;&lt;w:sz w:val=&quot;24&quot;/&gt;&lt;w:sz-cs w:val=&quot;24&quot;/&gt;&lt;/w:rPr&gt;&lt;m:t&gt;2&lt;/m:t&gt;&lt;/m:r&gt;&lt;/m:sup&gt;&lt;/m:sSup&gt;&lt;m:func&gt;&lt;m:funcPr&gt;&lt;m:ctrlPr&gt;&lt;w:rPr&gt;&lt;w:rFonts w:ascii=&quot;Cambria Math&quot; w:h-ansi=&quot;Cambria Math&quot;/&gt;&lt;wx:font wx:val=&quot;Cambria Math&quot;/&gt;&lt;w:i/&gt;&lt;w:kern w:val=&quot;0&quot;/&gt;&lt;w:sz w:val=&quot;24&quot;/&gt;&lt;w:sz-cs w:val=&quot;24&quot;/&gt;&lt;/w:rPr&gt;&lt;/m:ctrlPr&gt;&lt;/m:funcPr&gt;&lt;m:fName&gt;&lt;m:sSup&gt;&lt;m:sSupPr&gt;&lt;m:ctrlPr&gt;&lt;w:rPr&gt;&lt;w:rFonts w:ascii=&quot;Cambria Math&quot; w:h-ansi=&quot;Cambria Math&quot;/&gt;&lt;wx:font wx:val=&quot;Cambria Math&quot;/&gt;&lt;w:kern w:val=&quot;0&quot;/&gt;&lt;w:sz w:val=&quot;24&quot;/&gt;&lt;w:sz-cs w:val=&quot;24&quot;/&gt;&lt;/w:rPr&gt;&lt;/m:ctrlPr&gt;&lt;/m:sSupPr&gt;&lt;m:e&gt;&lt;m:r&gt;&lt;m:rPr&gt;&lt;m:sty m:val=&quot;p&quot;/&gt;&lt;/m:rPr&gt;&lt;w:rPr&gt;&lt;w:rFonts w:ascii=&quot;Cambria Math&quot; w:h-ansi=&quot;Cambria Math&quot;/&gt;&lt;wx:font wx:val=&quot;Cambria Math&quot;/&gt;&lt;w:kern w:val=&quot;0&quot;/&gt;&lt;w:sz w:val=&quot;24&quot;/&gt;&lt;w:sz-cs w:val=&quot;24&quot;/&gt;&lt;/w:rPr&gt;&lt;m:t&gt;sin&lt;/m:t&gt;&lt;/m:r&gt;&lt;/m:e&gt;&lt;m:sup&gt;&lt;m:r&gt;&lt;m:rPr&gt;&lt;m:sty m:val=&quot;p&quot;/&gt;&lt;/m:rPr&gt;&lt;w:rPr&gt;&lt;w:rFonts w:ascii=&quot;Cambria Math&quot; w:h-ansi=&quot;Cambria Math&quot;/&gt;&lt;wx:font wx:val=&quot;Cambria Math&quot;/&gt;&lt;w:kern w:val=&quot;0&quot;/&gt;&lt;w:sz w:val=&quot;24&quot;/&gt;&lt;w:sz-cs w:val=&quot;24&quot;/&gt;&lt;/w:rPr&gt;&lt;m:t&gt;2&lt;/m:t&gt;&lt;/m:r&gt;&lt;/m:sup&gt;&lt;/m:sSup&gt;&lt;/m:fName&gt;&lt;m:e&gt;&lt;m:r&gt;&lt;w:rPr&gt;&lt;w:rFonts w:ascii=&quot;Cambria Math&quot; w:h-ansi=&quot;Cambria Math&quot;/&gt;&lt;wx:font wx:val=&quot;Cambria Math&quot;/&gt;&lt;w:i/&gt;&lt;w:kern w:val=&quot;0&quot;/&gt;&lt;w:sz w:val=&quot;24&quot;/&gt;&lt;w:sz-cs w:val=&quot;24&quot;/&gt;&lt;/w:rPr&gt;&lt;m:t&gt;?z&lt;/cm: t&gt;:&lt;/am:=r&gt;2&lt;/&quot;m:&gt;e&gt;&lt;/m:func&gt;&lt;m:r&gt;&lt;m:rPr&gt;&lt;m:sty m:val=&quot;p&quot;/&gt;&lt;/m:rPr&gt;&lt;w:rPr&gt;&lt;w:rFonts w:ascii=&quot;Cambria Math&quot; w:h-ansi=&quot;Cambria Math&quot;/&gt;&lt;wx:font wx:val=&quot;Cambria Math&quot;/&gt;&lt;w:kern w:val=&quot;0&quot;/&gt;&lt;w:sz w:val=&quot;24&quot;/&gt;&lt;w:sz-cs w:val=&quot;24&quot;/&gt;&lt;/w:rPr&gt;&lt;m:t&gt;-&lt;/m:t&gt;&lt;&lt;/:m:&gt;r&gt;&lt;m:sSup&gt;&lt;m:sSupPr&gt;&lt;m:ctrlPr&gt;&lt;w:rPr&gt;&lt;w:rFonts w:ascii=&quot;Cambria Math&quot; w:h-ansi=&quot;Cambria Math&quot;/&gt;&lt;wx:font wx:val=&quot;Cambria Math&quot;/&gt;&lt;w:i/&gt;&lt;w:kern w:val=&quot;0&quot;/&gt;&lt;w:sz w:val=&quot;24&quot;/&gt;&lt;w:sz-cs w:val=&quot;24&quot;/&gt;&lt;/w:rPr&gt;&lt;/m:ctrlPr&gt;&lt;/m:sSupPr&gt;&lt;m:e&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n&lt;/m:t&gt;&lt;/m:r&gt;&lt;/m:e&gt;&lt;m:sub&gt;&lt;m:r&gt;&lt;w:rPr&gt;&lt;w:rFonts w:ascii=&quot;Cambria Math&quot; w:h-ansi=&quot;Cambria Math&quot;/&gt;&lt;wx:font wx:val=&quot;Cambria Math&quot;/&gt;&lt;w:i/&gt;&lt;w:kern w:val=&quot;0&quot;/&gt;&lt;w:sz w:val=&quot;24&quot;/&gt;&lt;w:sz-cs w:val=&quot;24&quot;/&gt;&lt;/w:rPr&gt;&lt;m:t&gt;1&lt;/m:t&gt;&lt;/m:r&gt;&lt;/m:sub&gt;&lt;/m:sSub&gt;&lt;/m:e&gt;&lt;m:sup&gt;&lt;m:r&gt;&lt;w:rPr&gt;&lt;w:rFonts w:ascii=&quot;Cambria Math&quot; w:h-ansi=&quot;Cambria Math&quot;/&gt;&lt;wx:font wx:val=&quot;Cambria Math&quot;/&gt;&lt;w:i/&gt;&lt;w:kern w:val=&quot;0&quot;/&gt;&lt;w:sz w:val=&quot;24&quot;/&gt;&lt;w:sz-cs w:val=&quot;24&quot;/&gt;&lt;/w:rPr&gt;&lt;m:t&gt;2&lt;/m:t&gt;&lt;/m:r&gt;&lt;/m:sup&gt;&lt;/m:sSup&gt;&lt;m:r&gt;&lt;m:rPr&gt;&lt;m:sty m:val=&quot;p&quot;/&gt;&lt;/m:rPr&gt;&lt;w:rPr&gt;&lt;w:rFonts w:ascii=&quot;Cambria Math&quot; w:h-ansi=&quot;Cambria Math&quot;/&gt;&lt;wx:font wx:val=&quot;Cambria Math&quot;/&gt;&lt;w:kern w:val=&quot;0&quot;/&gt;&lt;w:sz w:val=&quot;24&quot;/&gt;&lt;w:sz-cs w:val=&quot;24&quot;/&gt;&lt;/w:rPr&gt;&lt;m:t&gt;)&lt;/m:t&gt;&lt;/m:r&gt;&lt;/m:e&gt;&lt;m:sup&gt;&lt;m:r&gt;&lt;m:rPr&gt;&lt;m:sty m:val=&quot;p&quot;/&gt;&lt;/m:rPr&gt;&lt;w:rPr&gt;&lt;w:rFonts w:ascii=&quot;Cambria Math&quot; w:h-ansi=&quot;Cambria Math&quot;/&gt;&lt;wx:font wx:val=&quot;Cambria Math&quot;/&gt;&lt;w:kern w:val=&quot;0&quot;/&gt;&lt;w:sz w:val=&quot;24&quot;/&gt;&lt;w:sz-cs w:val=&quot;24&quot;/&gt;&lt;/w:rPr&gt;&lt;m:t&gt;-1/2&lt;/m:t&gt;&lt;/m:r&gt;&lt;/m:sup&gt;&lt;/m:sSup&gt;&lt;/m:e&gt;&lt;/m:box&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sidRPr="00D529C6">
              <w:rPr>
                <w:rFonts w:ascii="Times New Roman" w:hAnsi="Times New Roman" w:cs="Times New Roman"/>
                <w:szCs w:val="21"/>
              </w:rPr>
              <w:instrText xml:space="preserve"> </w:instrText>
            </w:r>
            <w:r w:rsidRPr="00D529C6">
              <w:rPr>
                <w:rFonts w:ascii="Times New Roman" w:hAnsi="Times New Roman" w:cs="Times New Roman"/>
                <w:szCs w:val="21"/>
              </w:rPr>
              <w:fldChar w:fldCharType="separate"/>
            </w:r>
            <w:r w:rsidRPr="00D529C6">
              <w:rPr>
                <w:rFonts w:ascii="Times New Roman" w:hAnsi="Times New Roman" w:cs="Times New Roman"/>
                <w:szCs w:val="21"/>
              </w:rPr>
              <w:object w:dxaOrig="2780" w:dyaOrig="680">
                <v:shape id="_x0000_i1030" type="#_x0000_t75" style="width:139.5pt;height:33.75pt" o:ole="">
                  <v:imagedata r:id="rId17" o:title=""/>
                </v:shape>
                <o:OLEObject Type="Embed" ProgID="Equation.DSMT4" ShapeID="_x0000_i1030" DrawAspect="Content" ObjectID="_1632029127" r:id="rId18"/>
              </w:object>
            </w:r>
            <w:r w:rsidRPr="00D529C6">
              <w:rPr>
                <w:rFonts w:ascii="Times New Roman" w:hAnsi="Times New Roman" w:cs="Times New Roman"/>
                <w:szCs w:val="21"/>
              </w:rPr>
              <w:fldChar w:fldCharType="end"/>
            </w:r>
            <w:r w:rsidRPr="00D529C6">
              <w:rPr>
                <w:rFonts w:ascii="Times New Roman" w:hAnsi="Times New Roman" w:cs="Times New Roman"/>
                <w:szCs w:val="21"/>
              </w:rPr>
              <w:fldChar w:fldCharType="end"/>
            </w:r>
            <w:r w:rsidRPr="00D529C6">
              <w:rPr>
                <w:rFonts w:ascii="Times New Roman" w:hAnsi="Times New Roman" w:cs="Times New Roman"/>
                <w:szCs w:val="21"/>
              </w:rPr>
              <w:t>,</w:t>
            </w:r>
          </w:p>
        </w:tc>
        <w:tc>
          <w:tcPr>
            <w:tcW w:w="750" w:type="pct"/>
            <w:shd w:val="clear" w:color="auto" w:fill="auto"/>
            <w:tcMar>
              <w:left w:w="0" w:type="dxa"/>
              <w:right w:w="0" w:type="dxa"/>
            </w:tcMar>
            <w:vAlign w:val="center"/>
          </w:tcPr>
          <w:p w:rsidR="001E7A75" w:rsidRPr="00D529C6" w:rsidRDefault="001E7A75" w:rsidP="00BF1795">
            <w:pPr>
              <w:keepNext/>
              <w:suppressLineNumbers/>
              <w:spacing w:line="480" w:lineRule="auto"/>
              <w:jc w:val="right"/>
              <w:textAlignment w:val="center"/>
              <w:rPr>
                <w:rFonts w:ascii="Times New Roman" w:hAnsi="Times New Roman" w:cs="Times New Roman"/>
                <w:szCs w:val="21"/>
              </w:rPr>
            </w:pPr>
            <w:r w:rsidRPr="00D529C6">
              <w:rPr>
                <w:rFonts w:ascii="Times New Roman" w:hAnsi="Times New Roman" w:cs="Times New Roman"/>
                <w:szCs w:val="21"/>
              </w:rPr>
              <w:t>Eqn (2.</w:t>
            </w:r>
            <w:r>
              <w:rPr>
                <w:rFonts w:ascii="Times New Roman" w:hAnsi="Times New Roman" w:cs="Times New Roman" w:hint="eastAsia"/>
                <w:szCs w:val="21"/>
              </w:rPr>
              <w:t>3</w:t>
            </w:r>
            <w:r w:rsidRPr="00D529C6">
              <w:rPr>
                <w:rFonts w:ascii="Times New Roman" w:hAnsi="Times New Roman" w:cs="Times New Roman"/>
                <w:szCs w:val="21"/>
              </w:rPr>
              <w:t>)</w:t>
            </w:r>
          </w:p>
        </w:tc>
      </w:tr>
    </w:tbl>
    <w:p w:rsidR="001E7A75" w:rsidRPr="00D529C6" w:rsidRDefault="001E7A75" w:rsidP="00D529C6">
      <w:pPr>
        <w:rPr>
          <w:rFonts w:ascii="Times New Roman" w:hAnsi="Times New Roman" w:cs="Times New Roman"/>
          <w:bCs/>
          <w:szCs w:val="21"/>
        </w:rPr>
      </w:pPr>
      <w:r w:rsidRPr="00D529C6">
        <w:rPr>
          <w:rFonts w:ascii="Times New Roman" w:hAnsi="Times New Roman" w:cs="Times New Roman"/>
          <w:szCs w:val="21"/>
        </w:rPr>
        <w:t xml:space="preserve">where </w:t>
      </w:r>
      <w:r w:rsidRPr="00D529C6">
        <w:rPr>
          <w:rFonts w:ascii="Times New Roman" w:hAnsi="Times New Roman" w:cs="Times New Roman"/>
          <w:i/>
          <w:szCs w:val="21"/>
        </w:rPr>
        <w:t>k</w:t>
      </w:r>
      <w:r w:rsidRPr="00D529C6">
        <w:rPr>
          <w:rFonts w:ascii="Times New Roman" w:hAnsi="Times New Roman" w:cs="Times New Roman"/>
          <w:i/>
          <w:szCs w:val="21"/>
          <w:vertAlign w:val="subscript"/>
        </w:rPr>
        <w:t>x</w:t>
      </w:r>
      <w:r w:rsidRPr="00D529C6">
        <w:rPr>
          <w:rFonts w:ascii="Times New Roman" w:hAnsi="Times New Roman" w:cs="Times New Roman"/>
          <w:szCs w:val="21"/>
        </w:rPr>
        <w:t xml:space="preserve"> is the wave vector of incident light in the x-axis direction,</w:t>
      </w:r>
      <w:r w:rsidRPr="00D529C6">
        <w:rPr>
          <w:rFonts w:ascii="Times New Roman" w:hAnsi="Times New Roman" w:cs="Times New Roman"/>
          <w:i/>
          <w:szCs w:val="21"/>
        </w:rPr>
        <w:t xml:space="preserve"> θ</w:t>
      </w:r>
      <w:r w:rsidRPr="00D529C6">
        <w:rPr>
          <w:rFonts w:ascii="Times New Roman" w:hAnsi="Times New Roman" w:cs="Times New Roman"/>
          <w:szCs w:val="21"/>
        </w:rPr>
        <w:t xml:space="preserve"> is the incident angle, and </w:t>
      </w:r>
      <w:r w:rsidRPr="00D529C6">
        <w:rPr>
          <w:rFonts w:ascii="Times New Roman" w:hAnsi="Times New Roman" w:cs="Times New Roman"/>
          <w:i/>
          <w:szCs w:val="21"/>
        </w:rPr>
        <w:t>λ</w:t>
      </w:r>
      <w:r w:rsidRPr="00D529C6">
        <w:rPr>
          <w:rFonts w:ascii="Times New Roman" w:hAnsi="Times New Roman" w:cs="Times New Roman"/>
          <w:szCs w:val="21"/>
          <w:vertAlign w:val="subscript"/>
        </w:rPr>
        <w:t>0</w:t>
      </w:r>
      <w:r w:rsidRPr="00D529C6">
        <w:rPr>
          <w:rFonts w:ascii="Times New Roman" w:hAnsi="Times New Roman" w:cs="Times New Roman"/>
          <w:szCs w:val="21"/>
        </w:rPr>
        <w:t xml:space="preserve"> is the vacuum wavelength of incident light. Away from this angle most of the light is reflected by the near-total internal reflection. At this angle light tunnels through the metal film (if it is sufficiently thin) and strongly excites the SP, leading to strong attenuation of light reflected from the film. </w:t>
      </w:r>
      <w:r>
        <w:rPr>
          <w:rFonts w:ascii="Times New Roman" w:hAnsi="Times New Roman" w:cs="Times New Roman"/>
          <w:szCs w:val="21"/>
        </w:rPr>
        <w:t xml:space="preserve">The </w:t>
      </w:r>
      <w:r w:rsidRPr="00D529C6">
        <w:rPr>
          <w:rFonts w:ascii="Times New Roman" w:hAnsi="Times New Roman" w:cs="Times New Roman"/>
          <w:szCs w:val="21"/>
        </w:rPr>
        <w:t xml:space="preserve">SP resonance (SPR) may be interrogated by (i) launching broadband light and tracking the shift in the minimum reflectance wavelength, by (ii) launching focused light and tracking the shift in the minimum reflectance angle or (iii) simply by monitoring reflected power at fixed angle and wavelength. </w:t>
      </w:r>
      <w:r w:rsidRPr="00D529C6">
        <w:rPr>
          <w:rFonts w:ascii="Times New Roman" w:hAnsi="Times New Roman" w:cs="Times New Roman"/>
          <w:bCs/>
          <w:szCs w:val="21"/>
        </w:rPr>
        <w:t>SPR devices can be devided</w:t>
      </w:r>
      <w:r w:rsidRPr="00D529C6">
        <w:rPr>
          <w:rFonts w:ascii="Times New Roman" w:hAnsi="Times New Roman" w:cs="Times New Roman"/>
          <w:szCs w:val="21"/>
        </w:rPr>
        <w:t xml:space="preserve"> into </w:t>
      </w:r>
      <w:r w:rsidRPr="00D529C6">
        <w:rPr>
          <w:rFonts w:ascii="Times New Roman" w:hAnsi="Times New Roman" w:cs="Times New Roman"/>
          <w:bCs/>
          <w:szCs w:val="21"/>
        </w:rPr>
        <w:t>four categories: wavelength, angle, intensity, and phase interrogation on the basis of the modulation approach (</w:t>
      </w:r>
      <w:r w:rsidRPr="00D529C6">
        <w:rPr>
          <w:rFonts w:ascii="Times New Roman" w:hAnsi="Times New Roman" w:cs="Times New Roman"/>
          <w:b/>
          <w:bCs/>
          <w:szCs w:val="21"/>
        </w:rPr>
        <w:t xml:space="preserve">Figure </w:t>
      </w:r>
      <w:r>
        <w:rPr>
          <w:rFonts w:ascii="Times New Roman" w:hAnsi="Times New Roman" w:cs="Times New Roman"/>
          <w:b/>
          <w:bCs/>
          <w:szCs w:val="21"/>
        </w:rPr>
        <w:t>S3</w:t>
      </w:r>
      <w:r w:rsidRPr="00D529C6">
        <w:rPr>
          <w:rFonts w:ascii="Times New Roman" w:hAnsi="Times New Roman" w:cs="Times New Roman"/>
          <w:bCs/>
          <w:szCs w:val="21"/>
        </w:rPr>
        <w:t>).</w:t>
      </w:r>
    </w:p>
    <w:p w:rsidR="001E7A75" w:rsidRPr="00D529C6" w:rsidRDefault="001E7A75" w:rsidP="002668C1">
      <w:pPr>
        <w:spacing w:beforeLines="50" w:before="156" w:afterLines="50" w:after="156" w:line="480" w:lineRule="auto"/>
        <w:jc w:val="center"/>
        <w:rPr>
          <w:rFonts w:ascii="Times New Roman" w:hAnsi="Times New Roman" w:cs="Times New Roman"/>
          <w:noProof/>
          <w:szCs w:val="21"/>
        </w:rPr>
      </w:pPr>
      <w:r w:rsidRPr="00D529C6">
        <w:rPr>
          <w:rFonts w:ascii="Times New Roman" w:hAnsi="Times New Roman" w:cs="Times New Roman"/>
          <w:noProof/>
          <w:szCs w:val="21"/>
        </w:rPr>
        <w:drawing>
          <wp:inline distT="0" distB="0" distL="0" distR="0" wp14:anchorId="063A725B" wp14:editId="4F28800A">
            <wp:extent cx="2804795" cy="1644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795" cy="1644650"/>
                    </a:xfrm>
                    <a:prstGeom prst="rect">
                      <a:avLst/>
                    </a:prstGeom>
                    <a:noFill/>
                    <a:ln>
                      <a:noFill/>
                    </a:ln>
                  </pic:spPr>
                </pic:pic>
              </a:graphicData>
            </a:graphic>
          </wp:inline>
        </w:drawing>
      </w:r>
    </w:p>
    <w:p w:rsidR="001E7A75" w:rsidRPr="00D529C6" w:rsidRDefault="001E7A75" w:rsidP="002668C1">
      <w:pPr>
        <w:spacing w:line="480" w:lineRule="auto"/>
        <w:rPr>
          <w:rFonts w:ascii="Times New Roman" w:hAnsi="Times New Roman" w:cs="Times New Roman"/>
          <w:bCs/>
          <w:szCs w:val="21"/>
          <w:lang w:val="fr-FR"/>
        </w:rPr>
      </w:pPr>
      <w:r w:rsidRPr="00D529C6">
        <w:rPr>
          <w:rFonts w:ascii="Times New Roman" w:hAnsi="Times New Roman" w:cs="Times New Roman"/>
          <w:b/>
          <w:bCs/>
          <w:szCs w:val="21"/>
          <w:lang w:val="fr-FR"/>
        </w:rPr>
        <w:t xml:space="preserve">Figure </w:t>
      </w:r>
      <w:r>
        <w:rPr>
          <w:rFonts w:ascii="Times New Roman" w:hAnsi="Times New Roman" w:cs="Times New Roman"/>
          <w:b/>
          <w:bCs/>
          <w:szCs w:val="21"/>
          <w:lang w:val="fr-FR"/>
        </w:rPr>
        <w:t>S3</w:t>
      </w:r>
      <w:r w:rsidRPr="00D529C6">
        <w:rPr>
          <w:rFonts w:ascii="Times New Roman" w:hAnsi="Times New Roman" w:cs="Times New Roman"/>
          <w:b/>
          <w:bCs/>
          <w:szCs w:val="21"/>
          <w:lang w:val="fr-FR"/>
        </w:rPr>
        <w:t xml:space="preserve">. </w:t>
      </w:r>
      <w:r w:rsidRPr="00D529C6">
        <w:rPr>
          <w:rFonts w:ascii="Times New Roman" w:hAnsi="Times New Roman" w:cs="Times New Roman"/>
          <w:bCs/>
          <w:szCs w:val="21"/>
          <w:lang w:val="fr-FR"/>
        </w:rPr>
        <w:t xml:space="preserve">Interrogation modes of commercial SPR devices. </w:t>
      </w:r>
      <w:r w:rsidRPr="00D529C6">
        <w:rPr>
          <w:rFonts w:ascii="Times New Roman" w:hAnsi="Times New Roman" w:cs="Times New Roman"/>
          <w:bCs/>
          <w:szCs w:val="21"/>
        </w:rPr>
        <w:t>(reprinted from Ref.</w:t>
      </w:r>
      <w:r w:rsidR="00AA31CE">
        <w:rPr>
          <w:rFonts w:ascii="Times New Roman" w:hAnsi="Times New Roman" w:cs="Times New Roman"/>
          <w:bCs/>
          <w:szCs w:val="21"/>
        </w:rPr>
        <w:t xml:space="preserve"> </w:t>
      </w:r>
      <w:r>
        <w:rPr>
          <w:rFonts w:ascii="Times New Roman" w:hAnsi="Times New Roman" w:cs="Times New Roman"/>
          <w:bCs/>
          <w:noProof/>
          <w:szCs w:val="21"/>
        </w:rPr>
        <w:t xml:space="preserve">(Puiu and Bala </w:t>
      </w:r>
      <w:r>
        <w:rPr>
          <w:rFonts w:ascii="Times New Roman" w:hAnsi="Times New Roman" w:cs="Times New Roman"/>
          <w:bCs/>
          <w:noProof/>
          <w:szCs w:val="21"/>
        </w:rPr>
        <w:lastRenderedPageBreak/>
        <w:t>2016)</w:t>
      </w:r>
      <w:r w:rsidRPr="00D529C6">
        <w:rPr>
          <w:rFonts w:ascii="Times New Roman" w:hAnsi="Times New Roman" w:cs="Times New Roman"/>
          <w:bCs/>
          <w:szCs w:val="21"/>
        </w:rPr>
        <w:t xml:space="preserve"> with permission)</w:t>
      </w:r>
    </w:p>
    <w:p w:rsidR="001E7A75" w:rsidRPr="00D529C6" w:rsidRDefault="001E7A75" w:rsidP="00D529C6">
      <w:pPr>
        <w:textAlignment w:val="center"/>
        <w:rPr>
          <w:rFonts w:ascii="Times New Roman" w:hAnsi="Times New Roman" w:cs="Times New Roman"/>
          <w:szCs w:val="21"/>
        </w:rPr>
      </w:pPr>
      <w:r w:rsidRPr="00D529C6">
        <w:rPr>
          <w:rFonts w:ascii="Times New Roman" w:hAnsi="Times New Roman" w:cs="Times New Roman"/>
          <w:szCs w:val="21"/>
        </w:rPr>
        <w:t xml:space="preserve">Although the prism approach shown in </w:t>
      </w:r>
      <w:r w:rsidRPr="00D529C6">
        <w:rPr>
          <w:rFonts w:ascii="Times New Roman" w:hAnsi="Times New Roman" w:cs="Times New Roman"/>
          <w:b/>
          <w:szCs w:val="21"/>
        </w:rPr>
        <w:t xml:space="preserve">Figure </w:t>
      </w:r>
      <w:r>
        <w:rPr>
          <w:rFonts w:ascii="Times New Roman" w:hAnsi="Times New Roman" w:cs="Times New Roman"/>
          <w:b/>
          <w:szCs w:val="21"/>
        </w:rPr>
        <w:t>S4</w:t>
      </w:r>
      <w:r w:rsidRPr="00D529C6">
        <w:rPr>
          <w:rFonts w:ascii="Times New Roman" w:hAnsi="Times New Roman" w:cs="Times New Roman"/>
          <w:b/>
          <w:szCs w:val="21"/>
        </w:rPr>
        <w:t>a</w:t>
      </w:r>
      <w:r w:rsidRPr="00D529C6">
        <w:rPr>
          <w:rFonts w:ascii="Times New Roman" w:hAnsi="Times New Roman" w:cs="Times New Roman"/>
          <w:szCs w:val="21"/>
        </w:rPr>
        <w:t xml:space="preserve"> is simple, it suffers from difficulty in miniaturization and integration. An alternative coupling method is a waveguide coupling shown in </w:t>
      </w:r>
      <w:r w:rsidRPr="00D529C6">
        <w:rPr>
          <w:rFonts w:ascii="Times New Roman" w:hAnsi="Times New Roman" w:cs="Times New Roman"/>
          <w:b/>
          <w:szCs w:val="21"/>
        </w:rPr>
        <w:t xml:space="preserve">Figure </w:t>
      </w:r>
      <w:r>
        <w:rPr>
          <w:rFonts w:ascii="Times New Roman" w:hAnsi="Times New Roman" w:cs="Times New Roman"/>
          <w:b/>
          <w:szCs w:val="21"/>
        </w:rPr>
        <w:t>S4</w:t>
      </w:r>
      <w:r w:rsidRPr="00D529C6">
        <w:rPr>
          <w:rFonts w:ascii="Times New Roman" w:hAnsi="Times New Roman" w:cs="Times New Roman"/>
          <w:b/>
          <w:szCs w:val="21"/>
        </w:rPr>
        <w:t>b</w:t>
      </w:r>
      <w:r w:rsidRPr="00D529C6">
        <w:rPr>
          <w:rFonts w:ascii="Times New Roman" w:hAnsi="Times New Roman" w:cs="Times New Roman"/>
          <w:szCs w:val="21"/>
        </w:rPr>
        <w:t xml:space="preserve"> which matches the </w:t>
      </w:r>
      <w:r w:rsidRPr="00D529C6">
        <w:rPr>
          <w:rFonts w:ascii="Times New Roman" w:hAnsi="Times New Roman" w:cs="Times New Roman"/>
          <w:i/>
          <w:szCs w:val="21"/>
        </w:rPr>
        <w:t>n</w:t>
      </w:r>
      <w:r w:rsidRPr="00D529C6">
        <w:rPr>
          <w:rFonts w:ascii="Times New Roman" w:hAnsi="Times New Roman" w:cs="Times New Roman"/>
          <w:i/>
          <w:szCs w:val="21"/>
          <w:vertAlign w:val="subscript"/>
        </w:rPr>
        <w:t>eff</w:t>
      </w:r>
      <w:r w:rsidRPr="00D529C6">
        <w:rPr>
          <w:rFonts w:ascii="Times New Roman" w:hAnsi="Times New Roman" w:cs="Times New Roman"/>
          <w:szCs w:val="21"/>
        </w:rPr>
        <w:t xml:space="preserve"> of a waveguide mode to the </w:t>
      </w:r>
      <w:r w:rsidRPr="00D529C6">
        <w:rPr>
          <w:rFonts w:ascii="Times New Roman" w:hAnsi="Times New Roman" w:cs="Times New Roman"/>
          <w:i/>
          <w:szCs w:val="21"/>
        </w:rPr>
        <w:t>n</w:t>
      </w:r>
      <w:r w:rsidRPr="00D529C6">
        <w:rPr>
          <w:rFonts w:ascii="Times New Roman" w:hAnsi="Times New Roman" w:cs="Times New Roman"/>
          <w:i/>
          <w:szCs w:val="21"/>
          <w:vertAlign w:val="subscript"/>
        </w:rPr>
        <w:t>sp</w:t>
      </w:r>
      <w:r w:rsidRPr="00D529C6">
        <w:rPr>
          <w:rFonts w:ascii="Times New Roman" w:hAnsi="Times New Roman" w:cs="Times New Roman"/>
          <w:szCs w:val="21"/>
        </w:rPr>
        <w:t xml:space="preserve"> of an SP</w:t>
      </w:r>
      <w:r>
        <w:rPr>
          <w:rFonts w:ascii="Times New Roman" w:hAnsi="Times New Roman" w:cs="Times New Roman"/>
          <w:noProof/>
          <w:szCs w:val="21"/>
        </w:rPr>
        <w:t>(Harris and Wilkinson 1995)</w:t>
      </w:r>
      <w:r w:rsidRPr="00D529C6">
        <w:rPr>
          <w:rFonts w:ascii="Times New Roman" w:hAnsi="Times New Roman" w:cs="Times New Roman"/>
          <w:szCs w:val="21"/>
        </w:rPr>
        <w:t xml:space="preserve">. In this case the transmission of the dielectric waveguide loaded by the SP is monitored. Waveguide coupling is more stable than prism coupling, and adaptable to miniaturization, thus simplifying its integration with other optical and electrical components. Another prevalent coupling method is grating coupling, shown in </w:t>
      </w:r>
      <w:r w:rsidRPr="00D529C6">
        <w:rPr>
          <w:rFonts w:ascii="Times New Roman" w:hAnsi="Times New Roman" w:cs="Times New Roman"/>
          <w:b/>
          <w:szCs w:val="21"/>
        </w:rPr>
        <w:t xml:space="preserve">Figure </w:t>
      </w:r>
      <w:r>
        <w:rPr>
          <w:rFonts w:ascii="Times New Roman" w:hAnsi="Times New Roman" w:cs="Times New Roman"/>
          <w:b/>
          <w:szCs w:val="21"/>
        </w:rPr>
        <w:t>S4</w:t>
      </w:r>
      <w:r w:rsidRPr="00D529C6">
        <w:rPr>
          <w:rFonts w:ascii="Times New Roman" w:hAnsi="Times New Roman" w:cs="Times New Roman"/>
          <w:b/>
          <w:szCs w:val="21"/>
        </w:rPr>
        <w:t>c</w:t>
      </w:r>
      <w:r w:rsidRPr="00D529C6">
        <w:rPr>
          <w:rFonts w:ascii="Times New Roman" w:hAnsi="Times New Roman" w:cs="Times New Roman"/>
          <w:szCs w:val="21"/>
        </w:rPr>
        <w:t>, which can be implemented with low cost. Note that in this configuration the incident light passes through the (potentially absorbing or turbid) dielectric medium to be analysed and the metal film is not required to be thin. Effective velocity-matching or wavevector-matching is achieved by using an order of the diffraction grating. The resonance condition is as follows</w:t>
      </w:r>
      <w:r w:rsidR="00AA31CE">
        <w:rPr>
          <w:rFonts w:ascii="Times New Roman" w:hAnsi="Times New Roman" w:cs="Times New Roman"/>
          <w:szCs w:val="21"/>
        </w:rPr>
        <w:t xml:space="preserve"> </w:t>
      </w:r>
      <w:r>
        <w:rPr>
          <w:rFonts w:ascii="Times New Roman" w:hAnsi="Times New Roman" w:cs="Times New Roman"/>
          <w:noProof/>
          <w:szCs w:val="21"/>
        </w:rPr>
        <w:t>(Fan et al. 2008)</w:t>
      </w:r>
      <w:r w:rsidRPr="00D529C6">
        <w:rPr>
          <w:rFonts w:ascii="Times New Roman" w:hAnsi="Times New Roman" w:cs="Times New Roman"/>
          <w:szCs w:val="21"/>
        </w:rPr>
        <w:t>:</w:t>
      </w:r>
    </w:p>
    <w:tbl>
      <w:tblPr>
        <w:tblW w:w="5000" w:type="pct"/>
        <w:jc w:val="center"/>
        <w:tblLook w:val="04A0" w:firstRow="1" w:lastRow="0" w:firstColumn="1" w:lastColumn="0" w:noHBand="0" w:noVBand="1"/>
      </w:tblPr>
      <w:tblGrid>
        <w:gridCol w:w="1246"/>
        <w:gridCol w:w="5814"/>
        <w:gridCol w:w="1246"/>
      </w:tblGrid>
      <w:tr w:rsidR="001E7A75" w:rsidRPr="00D529C6" w:rsidTr="00BF1795">
        <w:trPr>
          <w:jc w:val="center"/>
        </w:trPr>
        <w:tc>
          <w:tcPr>
            <w:tcW w:w="750" w:type="pct"/>
            <w:shd w:val="clear" w:color="auto" w:fill="auto"/>
            <w:tcMar>
              <w:left w:w="0" w:type="dxa"/>
              <w:right w:w="0" w:type="dxa"/>
            </w:tcMar>
            <w:vAlign w:val="center"/>
          </w:tcPr>
          <w:p w:rsidR="001E7A75" w:rsidRPr="00D529C6" w:rsidRDefault="001E7A75" w:rsidP="00BF1795">
            <w:pPr>
              <w:spacing w:line="480" w:lineRule="auto"/>
              <w:textAlignment w:val="center"/>
              <w:rPr>
                <w:rFonts w:ascii="Times New Roman" w:hAnsi="Times New Roman" w:cs="Times New Roman"/>
                <w:szCs w:val="21"/>
              </w:rPr>
            </w:pPr>
          </w:p>
        </w:tc>
        <w:tc>
          <w:tcPr>
            <w:tcW w:w="3500" w:type="pct"/>
            <w:shd w:val="clear" w:color="auto" w:fill="auto"/>
            <w:tcMar>
              <w:left w:w="0" w:type="dxa"/>
              <w:right w:w="0" w:type="dxa"/>
            </w:tcMar>
            <w:vAlign w:val="center"/>
          </w:tcPr>
          <w:p w:rsidR="001E7A75" w:rsidRPr="00D529C6" w:rsidRDefault="001E7A75" w:rsidP="00BF1795">
            <w:pPr>
              <w:spacing w:line="480" w:lineRule="auto"/>
              <w:ind w:firstLineChars="650" w:firstLine="1365"/>
              <w:textAlignment w:val="center"/>
              <w:rPr>
                <w:rFonts w:ascii="Times New Roman" w:hAnsi="Times New Roman" w:cs="Times New Roman"/>
                <w:szCs w:val="21"/>
              </w:rPr>
            </w:pPr>
            <w:r w:rsidRPr="00D529C6">
              <w:rPr>
                <w:rFonts w:ascii="Times New Roman" w:hAnsi="Times New Roman" w:cs="Times New Roman"/>
                <w:szCs w:val="21"/>
              </w:rPr>
              <w:fldChar w:fldCharType="begin"/>
            </w:r>
            <w:r w:rsidRPr="00D529C6">
              <w:rPr>
                <w:rFonts w:ascii="Times New Roman" w:hAnsi="Times New Roman" w:cs="Times New Roman"/>
                <w:szCs w:val="21"/>
              </w:rPr>
              <w:instrText xml:space="preserve"> QUOTE </w:instrText>
            </w:r>
            <w:r w:rsidR="007E0C9E">
              <w:rPr>
                <w:rFonts w:ascii="Times New Roman" w:hAnsi="Times New Roman" w:cs="Times New Roman"/>
                <w:szCs w:val="21"/>
              </w:rPr>
              <w:pict>
                <v:shape id="_x0000_i1031" type="#_x0000_t75" style="width:104.25pt;height:15.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1&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10F9E&quot;/&gt;&lt;wsp:rsid wsp:val=&quot;000048FB&quot;/&gt;&lt;wsp:rsid wsp:val=&quot;00006E60&quot;/&gt;&lt;wsp:rsid wsp:val=&quot;000073A8&quot;/&gt;&lt;wsp:rsid wsp:val=&quot;00011568&quot;/&gt;&lt;wsp:rsid wsp:val=&quot;000150C0&quot;/&gt;&lt;wsp:rsid wsp:val=&quot;00015D51&quot;/&gt;&lt;wsp:rsid wsp:val=&quot;0002519F&quot;/&gt;&lt;wsp:rsid wsp:val=&quot;00025B5B&quot;/&gt;&lt;wsp:rsid wsp:val=&quot;00032FB5&quot;/&gt;&lt;wsp:rsid wsp:val=&quot;000340F5&quot;/&gt;&lt;wsp:rsid wsp:val=&quot;000343B1&quot;/&gt;&lt;wsp:rsid wsp:val=&quot;000358DF&quot;/&gt;&lt;wsp:rsid wsp:val=&quot;0003617C&quot;/&gt;&lt;wsp:rsid wsp:val=&quot;000367A2&quot;/&gt;&lt;wsp:rsid wsp:val=&quot;0004229B&quot;/&gt;&lt;wsp:rsid wsp:val=&quot;00051E32&quot;/&gt;&lt;wsp:rsid wsp:val=&quot;00057926&quot;/&gt;&lt;wsp:rsid wsp:val=&quot;00061786&quot;/&gt;&lt;wsp:rsid wsp:val=&quot;00063C49&quot;/&gt;&lt;wsp:rsid wsp:val=&quot;00064AE8&quot;/&gt;&lt;wsp:rsid wsp:val=&quot;00066584&quot;/&gt;&lt;wsp:rsid wsp:val=&quot;00066E9D&quot;/&gt;&lt;wsp:rsid wsp:val=&quot;00070092&quot;/&gt;&lt;wsp:rsid wsp:val=&quot;000715FF&quot;/&gt;&lt;wsp:rsid wsp:val=&quot;000716A7&quot;/&gt;&lt;wsp:rsid wsp:val=&quot;00074488&quot;/&gt;&lt;wsp:rsid wsp:val=&quot;00074ACF&quot;/&gt;&lt;wsp:rsid wsp:val=&quot;00074BC4&quot;/&gt;&lt;wsp:rsid wsp:val=&quot;0007795D&quot;/&gt;&lt;wsp:rsid wsp:val=&quot;00081A16&quot;/&gt;&lt;wsp:rsid wsp:val=&quot;0008200D&quot;/&gt;&lt;wsp:rsid wsp:val=&quot;00084589&quot;/&gt;&lt;wsp:rsid wsp:val=&quot;0008549F&quot;/&gt;&lt;wsp:rsid wsp:val=&quot;00092250&quot;/&gt;&lt;wsp:rsid wsp:val=&quot;000A1997&quot;/&gt;&lt;wsp:rsid wsp:val=&quot;000A2CCA&quot;/&gt;&lt;wsp:rsid wsp:val=&quot;000B0823&quot;/&gt;&lt;wsp:rsid wsp:val=&quot;000B1BE9&quot;/&gt;&lt;wsp:rsid wsp:val=&quot;000B37DB&quot;/&gt;&lt;wsp:rsid wsp:val=&quot;000B4BF0&quot;/&gt;&lt;wsp:rsid wsp:val=&quot;000B50D8&quot;/&gt;&lt;wsp:rsid wsp:val=&quot;000B5629&quot;/&gt;&lt;wsp:rsid wsp:val=&quot;000B6BE4&quot;/&gt;&lt;wsp:rsid wsp:val=&quot;000B70D7&quot;/&gt;&lt;wsp:rsid wsp:val=&quot;000B70E9&quot;/&gt;&lt;wsp:rsid wsp:val=&quot;000C084B&quot;/&gt;&lt;wsp:rsid wsp:val=&quot;000C203C&quot;/&gt;&lt;wsp:rsid wsp:val=&quot;000C28E8&quot;/&gt;&lt;wsp:rsid wsp:val=&quot;000C3748&quot;/&gt;&lt;wsp:rsid wsp:val=&quot;000C376D&quot;/&gt;&lt;wsp:rsid wsp:val=&quot;000D0E3B&quot;/&gt;&lt;wsp:rsid wsp:val=&quot;000D59EC&quot;/&gt;&lt;wsp:rsid wsp:val=&quot;000D7164&quot;/&gt;&lt;wsp:rsid wsp:val=&quot;000D77DB&quot;/&gt;&lt;wsp:rsid wsp:val=&quot;000E11FC&quot;/&gt;&lt;wsp:rsid wsp:val=&quot;000E1699&quot;/&gt;&lt;wsp:rsid wsp:val=&quot;000E1A21&quot;/&gt;&lt;wsp:rsid wsp:val=&quot;000E1ED5&quot;/&gt;&lt;wsp:rsid wsp:val=&quot;000E20D0&quot;/&gt;&lt;wsp:rsid wsp:val=&quot;000E3CD5&quot;/&gt;&lt;wsp:rsid wsp:val=&quot;000E43F7&quot;/&gt;&lt;wsp:rsid wsp:val=&quot;000E7C4B&quot;/&gt;&lt;wsp:rsid wsp:val=&quot;000F6382&quot;/&gt;&lt;wsp:rsid wsp:val=&quot;000F6AC7&quot;/&gt;&lt;wsp:rsid wsp:val=&quot;001029EA&quot;/&gt;&lt;wsp:rsid wsp:val=&quot;001038FF&quot;/&gt;&lt;wsp:rsid wsp:val=&quot;00104C4A&quot;/&gt;&lt;wsp:rsid wsp:val=&quot;00110682&quot;/&gt;&lt;wsp:rsid wsp:val=&quot;00110E3F&quot;/&gt;&lt;wsp:rsid wsp:val=&quot;0011132D&quot;/&gt;&lt;wsp:rsid wsp:val=&quot;00112A15&quot;/&gt;&lt;wsp:rsid wsp:val=&quot;001222DF&quot;/&gt;&lt;wsp:rsid wsp:val=&quot;00123F1B&quot;/&gt;&lt;wsp:rsid wsp:val=&quot;0012640D&quot;/&gt;&lt;wsp:rsid wsp:val=&quot;0012696C&quot;/&gt;&lt;wsp:rsid wsp:val=&quot;00137481&quot;/&gt;&lt;wsp:rsid wsp:val=&quot;00140189&quot;/&gt;&lt;wsp:rsid wsp:val=&quot;00140A71&quot;/&gt;&lt;wsp:rsid wsp:val=&quot;001417BA&quot;/&gt;&lt;wsp:rsid wsp:val=&quot;00146E59&quot;/&gt;&lt;wsp:rsid wsp:val=&quot;001476CE&quot;/&gt;&lt;wsp:rsid wsp:val=&quot;00154814&quot;/&gt;&lt;wsp:rsid wsp:val=&quot;00155C5E&quot;/&gt;&lt;wsp:rsid wsp:val=&quot;00162887&quot;/&gt;&lt;wsp:rsid wsp:val=&quot;00162E5F&quot;/&gt;&lt;wsp:rsid wsp:val=&quot;00163BC1&quot;/&gt;&lt;wsp:rsid wsp:val=&quot;00163F9D&quot;/&gt;&lt;wsp:rsid wsp:val=&quot;00175D9F&quot;/&gt;&lt;wsp:rsid wsp:val=&quot;00176BE0&quot;/&gt;&lt;wsp:rsid wsp:val=&quot;0018278C&quot;/&gt;&lt;wsp:rsid wsp:val=&quot;00182E5C&quot;/&gt;&lt;wsp:rsid wsp:val=&quot;00183910&quot;/&gt;&lt;wsp:rsid wsp:val=&quot;001846EA&quot;/&gt;&lt;wsp:rsid wsp:val=&quot;0019094A&quot;/&gt;&lt;wsp:rsid wsp:val=&quot;001926FD&quot;/&gt;&lt;wsp:rsid wsp:val=&quot;00192AE4&quot;/&gt;&lt;wsp:rsid wsp:val=&quot;00192DDE&quot;/&gt;&lt;wsp:rsid wsp:val=&quot;00196439&quot;/&gt;&lt;wsp:rsid wsp:val=&quot;00197313&quot;/&gt;&lt;wsp:rsid wsp:val=&quot;00197B07&quot;/&gt;&lt;wsp:rsid wsp:val=&quot;001A08E5&quot;/&gt;&lt;wsp:rsid wsp:val=&quot;001B0C75&quot;/&gt;&lt;wsp:rsid wsp:val=&quot;001B4D67&quot;/&gt;&lt;wsp:rsid wsp:val=&quot;001B64C8&quot;/&gt;&lt;wsp:rsid wsp:val=&quot;001C3DBF&quot;/&gt;&lt;wsp:rsid wsp:val=&quot;001D0266&quot;/&gt;&lt;wsp:rsid wsp:val=&quot;001D2209&quot;/&gt;&lt;wsp:rsid wsp:val=&quot;001D76CB&quot;/&gt;&lt;wsp:rsid wsp:val=&quot;001E2212&quot;/&gt;&lt;wsp:rsid wsp:val=&quot;001E2C06&quot;/&gt;&lt;wsp:rsid wsp:val=&quot;001E6310&quot;/&gt;&lt;wsp:rsid wsp:val=&quot;001E7E68&quot;/&gt;&lt;wsp:rsid wsp:val=&quot;001F1D02&quot;/&gt;&lt;wsp:rsid wsp:val=&quot;001F5279&quot;/&gt;&lt;wsp:rsid wsp:val=&quot;002006BF&quot;/&gt;&lt;wsp:rsid wsp:val=&quot;0020096A&quot;/&gt;&lt;wsp:rsid wsp:val=&quot;002015DA&quot;/&gt;&lt;wsp:rsid wsp:val=&quot;00202142&quot;/&gt;&lt;wsp:rsid wsp:val=&quot;00205207&quot;/&gt;&lt;wsp:rsid wsp:val=&quot;002052B9&quot;/&gt;&lt;wsp:rsid wsp:val=&quot;002059E3&quot;/&gt;&lt;wsp:rsid wsp:val=&quot;00206369&quot;/&gt;&lt;wsp:rsid wsp:val=&quot;00206525&quot;/&gt;&lt;wsp:rsid wsp:val=&quot;002066AE&quot;/&gt;&lt;wsp:rsid wsp:val=&quot;002105EA&quot;/&gt;&lt;wsp:rsid wsp:val=&quot;00211F16&quot;/&gt;&lt;wsp:rsid wsp:val=&quot;002132DC&quot;/&gt;&lt;wsp:rsid wsp:val=&quot;002141DA&quot;/&gt;&lt;wsp:rsid wsp:val=&quot;002169DD&quot;/&gt;&lt;wsp:rsid wsp:val=&quot;002174C7&quot;/&gt;&lt;wsp:rsid wsp:val=&quot;002233A7&quot;/&gt;&lt;wsp:rsid wsp:val=&quot;002315A3&quot;/&gt;&lt;wsp:rsid wsp:val=&quot;00231A2B&quot;/&gt;&lt;wsp:rsid wsp:val=&quot;00232AEC&quot;/&gt;&lt;wsp:rsid wsp:val=&quot;0023655C&quot;/&gt;&lt;wsp:rsid wsp:val=&quot;00243E61&quot;/&gt;&lt;wsp:rsid wsp:val=&quot;0024563A&quot;/&gt;&lt;wsp:rsid wsp:val=&quot;00246193&quot;/&gt;&lt;wsp:rsid wsp:val=&quot;0024628E&quot;/&gt;&lt;wsp:rsid wsp:val=&quot;00252381&quot;/&gt;&lt;wsp:rsid wsp:val=&quot;00253DF6&quot;/&gt;&lt;wsp:rsid wsp:val=&quot;00256112&quot;/&gt;&lt;wsp:rsid wsp:val=&quot;00260DD1&quot;/&gt;&lt;wsp:rsid wsp:val=&quot;002616CD&quot;/&gt;&lt;wsp:rsid wsp:val=&quot;0026210C&quot;/&gt;&lt;wsp:rsid wsp:val=&quot;002653C2&quot;/&gt;&lt;wsp:rsid wsp:val=&quot;00271778&quot;/&gt;&lt;wsp:rsid wsp:val=&quot;00272A8C&quot;/&gt;&lt;wsp:rsid wsp:val=&quot;0028073A&quot;/&gt;&lt;wsp:rsid wsp:val=&quot;00282B4E&quot;/&gt;&lt;wsp:rsid wsp:val=&quot;00283B94&quot;/&gt;&lt;wsp:rsid wsp:val=&quot;00291C74&quot;/&gt;&lt;wsp:rsid wsp:val=&quot;002935B3&quot;/&gt;&lt;wsp:rsid wsp:val=&quot;002974BD&quot;/&gt;&lt;wsp:rsid wsp:val=&quot;002A18C3&quot;/&gt;&lt;wsp:rsid wsp:val=&quot;002A2A36&quot;/&gt;&lt;wsp:rsid wsp:val=&quot;002A2CBD&quot;/&gt;&lt;wsp:rsid wsp:val=&quot;002A7297&quot;/&gt;&lt;wsp:rsid wsp:val=&quot;002B334D&quot;/&gt;&lt;wsp:rsid wsp:val=&quot;002B558F&quot;/&gt;&lt;wsp:rsid wsp:val=&quot;002B6815&quot;/&gt;&lt;wsp:rsid wsp:val=&quot;002C1565&quot;/&gt;&lt;wsp:rsid wsp:val=&quot;002C2919&quot;/&gt;&lt;wsp:rsid wsp:val=&quot;002C528A&quot;/&gt;&lt;wsp:rsid wsp:val=&quot;002D2452&quot;/&gt;&lt;wsp:rsid wsp:val=&quot;002D4E78&quot;/&gt;&lt;wsp:rsid wsp:val=&quot;002D6644&quot;/&gt;&lt;wsp:rsid wsp:val=&quot;002E3508&quot;/&gt;&lt;wsp:rsid wsp:val=&quot;002E5DAA&quot;/&gt;&lt;wsp:rsid wsp:val=&quot;002E6D94&quot;/&gt;&lt;wsp:rsid wsp:val=&quot;002F04ED&quot;/&gt;&lt;wsp:rsid wsp:val=&quot;002F0B7B&quot;/&gt;&lt;wsp:rsid wsp:val=&quot;002F5984&quot;/&gt;&lt;wsp:rsid wsp:val=&quot;002F795C&quot;/&gt;&lt;wsp:rsid wsp:val=&quot;00307F98&quot;/&gt;&lt;wsp:rsid wsp:val=&quot;00310541&quot;/&gt;&lt;wsp:rsid wsp:val=&quot;00311973&quot;/&gt;&lt;wsp:rsid wsp:val=&quot;00312060&quot;/&gt;&lt;wsp:rsid wsp:val=&quot;00312448&quot;/&gt;&lt;wsp:rsid wsp:val=&quot;00312FDB&quot;/&gt;&lt;wsp:rsid wsp:val=&quot;00316F88&quot;/&gt;&lt;wsp:rsid wsp:val=&quot;00321D61&quot;/&gt;&lt;wsp:rsid wsp:val=&quot;0032389B&quot;/&gt;&lt;wsp:rsid wsp:val=&quot;00323C87&quot;/&gt;&lt;wsp:rsid wsp:val=&quot;00323DF5&quot;/&gt;&lt;wsp:rsid wsp:val=&quot;00326BF3&quot;/&gt;&lt;wsp:rsid wsp:val=&quot;00326CCD&quot;/&gt;&lt;wsp:rsid wsp:val=&quot;00333D7B&quot;/&gt;&lt;wsp:rsid wsp:val=&quot;0033645B&quot;/&gt;&lt;wsp:rsid wsp:val=&quot;00340B3D&quot;/&gt;&lt;wsp:rsid wsp:val=&quot;003424C7&quot;/&gt;&lt;wsp:rsid wsp:val=&quot;003463FB&quot;/&gt;&lt;wsp:rsid wsp:val=&quot;00347047&quot;/&gt;&lt;wsp:rsid wsp:val=&quot;0035179E&quot;/&gt;&lt;wsp:rsid wsp:val=&quot;00352CA9&quot;/&gt;&lt;wsp:rsid wsp:val=&quot;00353370&quot;/&gt;&lt;wsp:rsid wsp:val=&quot;00356365&quot;/&gt;&lt;wsp:rsid wsp:val=&quot;00357D83&quot;/&gt;&lt;wsp:rsid wsp:val=&quot;0036012A&quot;/&gt;&lt;wsp:rsid wsp:val=&quot;00361DA0&quot;/&gt;&lt;wsp:rsid wsp:val=&quot;00366587&quot;/&gt;&lt;wsp:rsid wsp:val=&quot;00373DF6&quot;/&gt;&lt;wsp:rsid wsp:val=&quot;00374E7E&quot;/&gt;&lt;wsp:rsid wsp:val=&quot;0037773C&quot;/&gt;&lt;wsp:rsid wsp:val=&quot;00381D71&quot;/&gt;&lt;wsp:rsid wsp:val=&quot;003834B7&quot;/&gt;&lt;wsp:rsid wsp:val=&quot;003846B2&quot;/&gt;&lt;wsp:rsid wsp:val=&quot;00385D84&quot;/&gt;&lt;wsp:rsid wsp:val=&quot;00386DD2&quot;/&gt;&lt;wsp:rsid wsp:val=&quot;00394DE7&quot;/&gt;&lt;wsp:rsid wsp:val=&quot;00395658&quot;/&gt;&lt;wsp:rsid wsp:val=&quot;0039794E&quot;/&gt;&lt;wsp:rsid wsp:val=&quot;00397CAD&quot;/&gt;&lt;wsp:rsid wsp:val=&quot;003A1EC7&quot;/&gt;&lt;wsp:rsid wsp:val=&quot;003A2223&quot;/&gt;&lt;wsp:rsid wsp:val=&quot;003A4001&quot;/&gt;&lt;wsp:rsid wsp:val=&quot;003A515B&quot;/&gt;&lt;wsp:rsid wsp:val=&quot;003B0C68&quot;/&gt;&lt;wsp:rsid wsp:val=&quot;003B0FB3&quot;/&gt;&lt;wsp:rsid wsp:val=&quot;003B15C0&quot;/&gt;&lt;wsp:rsid wsp:val=&quot;003B1DDD&quot;/&gt;&lt;wsp:rsid wsp:val=&quot;003B203F&quot;/&gt;&lt;wsp:rsid wsp:val=&quot;003B5354&quot;/&gt;&lt;wsp:rsid wsp:val=&quot;003B54C7&quot;/&gt;&lt;wsp:rsid wsp:val=&quot;003B7053&quot;/&gt;&lt;wsp:rsid wsp:val=&quot;003C1520&quot;/&gt;&lt;wsp:rsid wsp:val=&quot;003C3B14&quot;/&gt;&lt;wsp:rsid wsp:val=&quot;003C5266&quot;/&gt;&lt;wsp:rsid wsp:val=&quot;003D1377&quot;/&gt;&lt;wsp:rsid wsp:val=&quot;003D16D4&quot;/&gt;&lt;wsp:rsid wsp:val=&quot;003D5494&quot;/&gt;&lt;wsp:rsid wsp:val=&quot;003D5DDE&quot;/&gt;&lt;wsp:rsid wsp:val=&quot;003E0139&quot;/&gt;&lt;wsp:rsid wsp:val=&quot;003E0ED5&quot;/&gt;&lt;wsp:rsid wsp:val=&quot;003E2668&quot;/&gt;&lt;wsp:rsid wsp:val=&quot;003E2A97&quot;/&gt;&lt;wsp:rsid wsp:val=&quot;003E5F0A&quot;/&gt;&lt;wsp:rsid wsp:val=&quot;003E78A5&quot;/&gt;&lt;wsp:rsid wsp:val=&quot;003F2B39&quot;/&gt;&lt;wsp:rsid wsp:val=&quot;00400A83&quot;/&gt;&lt;wsp:rsid wsp:val=&quot;00401DB6&quot;/&gt;&lt;wsp:rsid wsp:val=&quot;00402A12&quot;/&gt;&lt;wsp:rsid wsp:val=&quot;00404856&quot;/&gt;&lt;wsp:rsid wsp:val=&quot;004072B3&quot;/&gt;&lt;wsp:rsid wsp:val=&quot;00407EBD&quot;/&gt;&lt;wsp:rsid wsp:val=&quot;00410F9E&quot;/&gt;&lt;wsp:rsid wsp:val=&quot;004112CA&quot;/&gt;&lt;wsp:rsid wsp:val=&quot;00412DB0&quot;/&gt;&lt;wsp:rsid wsp:val=&quot;00417F12&quot;/&gt;&lt;wsp:rsid wsp:val=&quot;004216F4&quot;/&gt;&lt;wsp:rsid wsp:val=&quot;00421AF5&quot;/&gt;&lt;wsp:rsid wsp:val=&quot;0042341D&quot;/&gt;&lt;wsp:rsid wsp:val=&quot;00423ED7&quot;/&gt;&lt;wsp:rsid wsp:val=&quot;0042487A&quot;/&gt;&lt;wsp:rsid wsp:val=&quot;004254B9&quot;/&gt;&lt;wsp:rsid wsp:val=&quot;004312F0&quot;/&gt;&lt;wsp:rsid wsp:val=&quot;00431711&quot;/&gt;&lt;wsp:rsid wsp:val=&quot;00436674&quot;/&gt;&lt;wsp:rsid wsp:val=&quot;00437343&quot;/&gt;&lt;wsp:rsid wsp:val=&quot;004420A4&quot;/&gt;&lt;wsp:rsid wsp:val=&quot;004421B4&quot;/&gt;&lt;wsp:rsid wsp:val=&quot;0044769C&quot;/&gt;&lt;wsp:rsid wsp:val=&quot;00447B2A&quot;/&gt;&lt;wsp:rsid wsp:val=&quot;00447EFF&quot;/&gt;&lt;wsp:rsid wsp:val=&quot;00451475&quot;/&gt;&lt;wsp:rsid wsp:val=&quot;004542EF&quot;/&gt;&lt;wsp:rsid wsp:val=&quot;0046720F&quot;/&gt;&lt;wsp:rsid wsp:val=&quot;0047185D&quot;/&gt;&lt;wsp:rsid wsp:val=&quot;0047230B&quot;/&gt;&lt;wsp:rsid wsp:val=&quot;00472927&quot;/&gt;&lt;wsp:rsid wsp:val=&quot;00472C0A&quot;/&gt;&lt;wsp:rsid wsp:val=&quot;0047533E&quot;/&gt;&lt;wsp:rsid wsp:val=&quot;00476855&quot;/&gt;&lt;wsp:rsid wsp:val=&quot;004856E4&quot;/&gt;&lt;wsp:rsid wsp:val=&quot;004869B5&quot;/&gt;&lt;wsp:rsid wsp:val=&quot;00487E6C&quot;/&gt;&lt;wsp:rsid wsp:val=&quot;00491082&quot;/&gt;&lt;wsp:rsid wsp:val=&quot;004977E5&quot;/&gt;&lt;wsp:rsid wsp:val=&quot;004A0E05&quot;/&gt;&lt;wsp:rsid wsp:val=&quot;004A19E3&quot;/&gt;&lt;wsp:rsid wsp:val=&quot;004A55FE&quot;/&gt;&lt;wsp:rsid wsp:val=&quot;004B5D92&quot;/&gt;&lt;wsp:rsid wsp:val=&quot;004B5DBA&quot;/&gt;&lt;wsp:rsid wsp:val=&quot;004B7F7D&quot;/&gt;&lt;wsp:rsid wsp:val=&quot;004C3883&quot;/&gt;&lt;wsp:rsid wsp:val=&quot;004C4D7B&quot;/&gt;&lt;wsp:rsid wsp:val=&quot;004C683B&quot;/&gt;&lt;wsp:rsid wsp:val=&quot;004D1026&quot;/&gt;&lt;wsp:rsid wsp:val=&quot;004D3A4A&quot;/&gt;&lt;wsp:rsid wsp:val=&quot;004D4219&quot;/&gt;&lt;wsp:rsid wsp:val=&quot;004E0BC6&quot;/&gt;&lt;wsp:rsid wsp:val=&quot;004E108E&quot;/&gt;&lt;wsp:rsid wsp:val=&quot;004E227D&quot;/&gt;&lt;wsp:rsid wsp:val=&quot;004E3D70&quot;/&gt;&lt;wsp:rsid wsp:val=&quot;004E51E2&quot;/&gt;&lt;wsp:rsid wsp:val=&quot;004E53CE&quot;/&gt;&lt;wsp:rsid wsp:val=&quot;004E5671&quot;/&gt;&lt;wsp:rsid wsp:val=&quot;004E684C&quot;/&gt;&lt;wsp:rsid wsp:val=&quot;004F0FDE&quot;/&gt;&lt;wsp:rsid wsp:val=&quot;004F29C2&quot;/&gt;&lt;wsp:rsid wsp:val=&quot;004F2EA9&quot;/&gt;&lt;wsp:rsid wsp:val=&quot;004F5BC5&quot;/&gt;&lt;wsp:rsid wsp:val=&quot;00504DDE&quot;/&gt;&lt;wsp:rsid wsp:val=&quot;00506B45&quot;/&gt;&lt;wsp:rsid wsp:val=&quot;00511A5B&quot;/&gt;&lt;wsp:rsid wsp:val=&quot;00512B39&quot;/&gt;&lt;wsp:rsid wsp:val=&quot;0051407A&quot;/&gt;&lt;wsp:rsid wsp:val=&quot;005152DB&quot;/&gt;&lt;wsp:rsid wsp:val=&quot;0051794A&quot;/&gt;&lt;wsp:rsid wsp:val=&quot;00522954&quot;/&gt;&lt;wsp:rsid wsp:val=&quot;00527B3B&quot;/&gt;&lt;wsp:rsid wsp:val=&quot;00530C13&quot;/&gt;&lt;wsp:rsid wsp:val=&quot;00530E27&quot;/&gt;&lt;wsp:rsid wsp:val=&quot;00531D3C&quot;/&gt;&lt;wsp:rsid wsp:val=&quot;00532162&quot;/&gt;&lt;wsp:rsid wsp:val=&quot;00540500&quot;/&gt;&lt;wsp:rsid wsp:val=&quot;00547A21&quot;/&gt;&lt;wsp:rsid wsp:val=&quot;00547D8C&quot;/&gt;&lt;wsp:rsid wsp:val=&quot;00547DF7&quot;/&gt;&lt;wsp:rsid wsp:val=&quot;005513FD&quot;/&gt;&lt;wsp:rsid wsp:val=&quot;00552117&quot;/&gt;&lt;wsp:rsid wsp:val=&quot;00552DAB&quot;/&gt;&lt;wsp:rsid wsp:val=&quot;005577AB&quot;/&gt;&lt;wsp:rsid wsp:val=&quot;0056060D&quot;/&gt;&lt;wsp:rsid wsp:val=&quot;0056060F&quot;/&gt;&lt;wsp:rsid wsp:val=&quot;00563709&quot;/&gt;&lt;wsp:rsid wsp:val=&quot;0056433F&quot;/&gt;&lt;wsp:rsid wsp:val=&quot;00565B10&quot;/&gt;&lt;wsp:rsid wsp:val=&quot;00566856&quot;/&gt;&lt;wsp:rsid wsp:val=&quot;00566F0C&quot;/&gt;&lt;wsp:rsid wsp:val=&quot;00567124&quot;/&gt;&lt;wsp:rsid wsp:val=&quot;00567128&quot;/&gt;&lt;wsp:rsid wsp:val=&quot;00571C04&quot;/&gt;&lt;wsp:rsid wsp:val=&quot;0057474F&quot;/&gt;&lt;wsp:rsid wsp:val=&quot;00574A2D&quot;/&gt;&lt;wsp:rsid wsp:val=&quot;00576F3C&quot;/&gt;&lt;wsp:rsid wsp:val=&quot;005773EA&quot;/&gt;&lt;wsp:rsid wsp:val=&quot;005803AA&quot;/&gt;&lt;wsp:rsid wsp:val=&quot;00584EC2&quot;/&gt;&lt;wsp:rsid wsp:val=&quot;005902AC&quot;/&gt;&lt;wsp:rsid wsp:val=&quot;0059221F&quot;/&gt;&lt;wsp:rsid wsp:val=&quot;00596461&quot;/&gt;&lt;wsp:rsid wsp:val=&quot;0059695C&quot;/&gt;&lt;wsp:rsid wsp:val=&quot;005A1380&quot;/&gt;&lt;wsp:rsid wsp:val=&quot;005A1822&quot;/&gt;&lt;wsp:rsid wsp:val=&quot;005A1D3D&quot;/&gt;&lt;wsp:rsid wsp:val=&quot;005A5830&quot;/&gt;&lt;wsp:rsid wsp:val=&quot;005A7AFC&quot;/&gt;&lt;wsp:rsid wsp:val=&quot;005B15B4&quot;/&gt;&lt;wsp:rsid wsp:val=&quot;005B4B45&quot;/&gt;&lt;wsp:rsid wsp:val=&quot;005B5D49&quot;/&gt;&lt;wsp:rsid wsp:val=&quot;005B6972&quot;/&gt;&lt;wsp:rsid wsp:val=&quot;005B70DF&quot;/&gt;&lt;wsp:rsid wsp:val=&quot;005B7AF6&quot;/&gt;&lt;wsp:rsid wsp:val=&quot;005C0CA8&quot;/&gt;&lt;wsp:rsid wsp:val=&quot;005C5803&quot;/&gt;&lt;wsp:rsid wsp:val=&quot;005D54A6&quot;/&gt;&lt;wsp:rsid wsp:val=&quot;005D630A&quot;/&gt;&lt;wsp:rsid wsp:val=&quot;005E2B82&quot;/&gt;&lt;wsp:rsid wsp:val=&quot;005E6EAC&quot;/&gt;&lt;wsp:rsid wsp:val=&quot;005F06B4&quot;/&gt;&lt;wsp:rsid wsp:val=&quot;00600ED6&quot;/&gt;&lt;wsp:rsid wsp:val=&quot;00601580&quot;/&gt;&lt;wsp:rsid wsp:val=&quot;00603D67&quot;/&gt;&lt;wsp:rsid wsp:val=&quot;00612002&quot;/&gt;&lt;wsp:rsid wsp:val=&quot;00612B9F&quot;/&gt;&lt;wsp:rsid wsp:val=&quot;00613B10&quot;/&gt;&lt;wsp:rsid wsp:val=&quot;0061736F&quot;/&gt;&lt;wsp:rsid wsp:val=&quot;006174A7&quot;/&gt;&lt;wsp:rsid wsp:val=&quot;00623724&quot;/&gt;&lt;wsp:rsid wsp:val=&quot;00626BC3&quot;/&gt;&lt;wsp:rsid wsp:val=&quot;00630B03&quot;/&gt;&lt;wsp:rsid wsp:val=&quot;0063270A&quot;/&gt;&lt;wsp:rsid wsp:val=&quot;00635CB8&quot;/&gt;&lt;wsp:rsid wsp:val=&quot;006372D5&quot;/&gt;&lt;wsp:rsid wsp:val=&quot;00641A45&quot;/&gt;&lt;wsp:rsid wsp:val=&quot;006479E6&quot;/&gt;&lt;wsp:rsid wsp:val=&quot;006517DE&quot;/&gt;&lt;wsp:rsid wsp:val=&quot;006526D2&quot;/&gt;&lt;wsp:rsid wsp:val=&quot;0065465B&quot;/&gt;&lt;wsp:rsid wsp:val=&quot;00654ACE&quot;/&gt;&lt;wsp:rsid wsp:val=&quot;00660A01&quot;/&gt;&lt;wsp:rsid wsp:val=&quot;0066247F&quot;/&gt;&lt;wsp:rsid wsp:val=&quot;00663A8D&quot;/&gt;&lt;wsp:rsid wsp:val=&quot;006648ED&quot;/&gt;&lt;wsp:rsid wsp:val=&quot;006706D2&quot;/&gt;&lt;wsp:rsid wsp:val=&quot;006724A1&quot;/&gt;&lt;wsp:rsid wsp:val=&quot;006752E3&quot;/&gt;&lt;wsp:rsid wsp:val=&quot;00676867&quot;/&gt;&lt;wsp:rsid wsp:val=&quot;00676E0F&quot;/&gt;&lt;wsp:rsid wsp:val=&quot;006808D5&quot;/&gt;&lt;wsp:rsid wsp:val=&quot;00683541&quot;/&gt;&lt;wsp:rsid wsp:val=&quot;00686361&quot;/&gt;&lt;wsp:rsid wsp:val=&quot;00693874&quot;/&gt;&lt;wsp:rsid wsp:val=&quot;0069443B&quot;/&gt;&lt;wsp:rsid wsp:val=&quot;0069772F&quot;/&gt;&lt;wsp:rsid wsp:val=&quot;006A15BB&quot;/&gt;&lt;wsp:rsid wsp:val=&quot;006A2BA7&quot;/&gt;&lt;wsp:rsid wsp:val=&quot;006A4424&quot;/&gt;&lt;wsp:rsid wsp:val=&quot;006A4477&quot;/&gt;&lt;wsp:rsid wsp:val=&quot;006A6896&quot;/&gt;&lt;wsp:rsid wsp:val=&quot;006A7DC8&quot;/&gt;&lt;wsp:rsid wsp:val=&quot;006B4E14&quot;/&gt;&lt;wsp:rsid wsp:val=&quot;006B6454&quot;/&gt;&lt;wsp:rsid wsp:val=&quot;006C2675&quot;/&gt;&lt;wsp:rsid wsp:val=&quot;006C2E47&quot;/&gt;&lt;wsp:rsid wsp:val=&quot;006D0401&quot;/&gt;&lt;wsp:rsid wsp:val=&quot;006D238B&quot;/&gt;&lt;wsp:rsid wsp:val=&quot;006D2620&quot;/&gt;&lt;wsp:rsid wsp:val=&quot;006D53CA&quot;/&gt;&lt;wsp:rsid wsp:val=&quot;006D6871&quot;/&gt;&lt;wsp:rsid wsp:val=&quot;006E0EB2&quot;/&gt;&lt;wsp:rsid wsp:val=&quot;006E143E&quot;/&gt;&lt;wsp:rsid wsp:val=&quot;006E2C79&quot;/&gt;&lt;wsp:rsid wsp:val=&quot;006E34BE&quot;/&gt;&lt;wsp:rsid wsp:val=&quot;006E6593&quot;/&gt;&lt;wsp:rsid wsp:val=&quot;006F3DE5&quot;/&gt;&lt;wsp:rsid wsp:val=&quot;006F4F19&quot;/&gt;&lt;wsp:rsid wsp:val=&quot;006F5917&quot;/&gt;&lt;wsp:rsid wsp:val=&quot;00704FE7&quot;/&gt;&lt;wsp:rsid wsp:val=&quot;007204F8&quot;/&gt;&lt;wsp:rsid wsp:val=&quot;007217F7&quot;/&gt;&lt;wsp:rsid wsp:val=&quot;0072644E&quot;/&gt;&lt;wsp:rsid wsp:val=&quot;007324C6&quot;/&gt;&lt;wsp:rsid wsp:val=&quot;007336C1&quot;/&gt;&lt;wsp:rsid wsp:val=&quot;00734B96&quot;/&gt;&lt;wsp:rsid wsp:val=&quot;00734BDE&quot;/&gt;&lt;wsp:rsid wsp:val=&quot;007353BC&quot;/&gt;&lt;wsp:rsid wsp:val=&quot;00735B91&quot;/&gt;&lt;wsp:rsid wsp:val=&quot;00736034&quot;/&gt;&lt;wsp:rsid wsp:val=&quot;00737B44&quot;/&gt;&lt;wsp:rsid wsp:val=&quot;007404B6&quot;/&gt;&lt;wsp:rsid wsp:val=&quot;00740A86&quot;/&gt;&lt;wsp:rsid wsp:val=&quot;00744E53&quot;/&gt;&lt;wsp:rsid wsp:val=&quot;00746F5B&quot;/&gt;&lt;wsp:rsid wsp:val=&quot;007619C2&quot;/&gt;&lt;wsp:rsid wsp:val=&quot;007652D1&quot;/&gt;&lt;wsp:rsid wsp:val=&quot;007662BE&quot;/&gt;&lt;wsp:rsid wsp:val=&quot;00773C54&quot;/&gt;&lt;wsp:rsid wsp:val=&quot;00774B58&quot;/&gt;&lt;wsp:rsid wsp:val=&quot;00774C8F&quot;/&gt;&lt;wsp:rsid wsp:val=&quot;007751C5&quot;/&gt;&lt;wsp:rsid wsp:val=&quot;00783BCE&quot;/&gt;&lt;wsp:rsid wsp:val=&quot;007855B9&quot;/&gt;&lt;wsp:rsid wsp:val=&quot;0078686E&quot;/&gt;&lt;wsp:rsid wsp:val=&quot;00790C0D&quot;/&gt;&lt;wsp:rsid wsp:val=&quot;00793A4F&quot;/&gt;&lt;wsp:rsid wsp:val=&quot;00797379&quot;/&gt;&lt;wsp:rsid wsp:val=&quot;007976F5&quot;/&gt;&lt;wsp:rsid wsp:val=&quot;007A20B6&quot;/&gt;&lt;wsp:rsid wsp:val=&quot;007A3AC2&quot;/&gt;&lt;wsp:rsid wsp:val=&quot;007A498B&quot;/&gt;&lt;wsp:rsid wsp:val=&quot;007A59AB&quot;/&gt;&lt;wsp:rsid wsp:val=&quot;007A61AB&quot;/&gt;&lt;wsp:rsid wsp:val=&quot;007A6EA1&quot;/&gt;&lt;wsp:rsid wsp:val=&quot;007A7175&quot;/&gt;&lt;wsp:rsid wsp:val=&quot;007B0689&quot;/&gt;&lt;wsp:rsid wsp:val=&quot;007B3E40&quot;/&gt;&lt;wsp:rsid wsp:val=&quot;007B557A&quot;/&gt;&lt;wsp:rsid wsp:val=&quot;007C2FD2&quot;/&gt;&lt;wsp:rsid wsp:val=&quot;007C7757&quot;/&gt;&lt;wsp:rsid wsp:val=&quot;007D5BE3&quot;/&gt;&lt;wsp:rsid wsp:val=&quot;007E5636&quot;/&gt;&lt;wsp:rsid wsp:val=&quot;007E6498&quot;/&gt;&lt;wsp:rsid wsp:val=&quot;007F2F6F&quot;/&gt;&lt;wsp:rsid wsp:val=&quot;007F7C58&quot;/&gt;&lt;wsp:rsid wsp:val=&quot;00802A93&quot;/&gt;&lt;wsp:rsid wsp:val=&quot;00803A34&quot;/&gt;&lt;wsp:rsid wsp:val=&quot;00804FA2&quot;/&gt;&lt;wsp:rsid wsp:val=&quot;00805659&quot;/&gt;&lt;wsp:rsid wsp:val=&quot;00807909&quot;/&gt;&lt;wsp:rsid wsp:val=&quot;00807C45&quot;/&gt;&lt;wsp:rsid wsp:val=&quot;00807CA1&quot;/&gt;&lt;wsp:rsid wsp:val=&quot;00810858&quot;/&gt;&lt;wsp:rsid wsp:val=&quot;0081129E&quot;/&gt;&lt;wsp:rsid wsp:val=&quot;0081393D&quot;/&gt;&lt;wsp:rsid wsp:val=&quot;00813DEA&quot;/&gt;&lt;wsp:rsid wsp:val=&quot;008147B4&quot;/&gt;&lt;wsp:rsid wsp:val=&quot;00817159&quot;/&gt;&lt;wsp:rsid wsp:val=&quot;0081715B&quot;/&gt;&lt;wsp:rsid wsp:val=&quot;00821C98&quot;/&gt;&lt;wsp:rsid wsp:val=&quot;008267F9&quot;/&gt;&lt;wsp:rsid wsp:val=&quot;00827021&quot;/&gt;&lt;wsp:rsid wsp:val=&quot;008308A3&quot;/&gt;&lt;wsp:rsid wsp:val=&quot;00837F08&quot;/&gt;&lt;wsp:rsid wsp:val=&quot;00842892&quot;/&gt;&lt;wsp:rsid wsp:val=&quot;008472A7&quot;/&gt;&lt;wsp:rsid wsp:val=&quot;00850C17&quot;/&gt;&lt;wsp:rsid wsp:val=&quot;00860A9B&quot;/&gt;&lt;wsp:rsid wsp:val=&quot;0086270E&quot;/&gt;&lt;wsp:rsid wsp:val=&quot;0086456E&quot;/&gt;&lt;wsp:rsid wsp:val=&quot;008663E2&quot;/&gt;&lt;wsp:rsid wsp:val=&quot;008670ED&quot;/&gt;&lt;wsp:rsid wsp:val=&quot;0087504B&quot;/&gt;&lt;wsp:rsid wsp:val=&quot;00875C12&quot;/&gt;&lt;wsp:rsid wsp:val=&quot;00876EE4&quot;/&gt;&lt;wsp:rsid wsp:val=&quot;00883C1D&quot;/&gt;&lt;wsp:rsid wsp:val=&quot;0088586D&quot;/&gt;&lt;wsp:rsid wsp:val=&quot;008871EC&quot;/&gt;&lt;wsp:rsid wsp:val=&quot;00887400&quot;/&gt;&lt;wsp:rsid wsp:val=&quot;008922B9&quot;/&gt;&lt;wsp:rsid wsp:val=&quot;008954D5&quot;/&gt;&lt;wsp:rsid wsp:val=&quot;0089567C&quot;/&gt;&lt;wsp:rsid wsp:val=&quot;008A197D&quot;/&gt;&lt;wsp:rsid wsp:val=&quot;008A380A&quot;/&gt;&lt;wsp:rsid wsp:val=&quot;008A3AC4&quot;/&gt;&lt;wsp:rsid wsp:val=&quot;008A3C6C&quot;/&gt;&lt;wsp:rsid wsp:val=&quot;008A5962&quot;/&gt;&lt;wsp:rsid wsp:val=&quot;008B00C2&quot;/&gt;&lt;wsp:rsid wsp:val=&quot;008B326A&quot;/&gt;&lt;wsp:rsid wsp:val=&quot;008B574C&quot;/&gt;&lt;wsp:rsid wsp:val=&quot;008C05A0&quot;/&gt;&lt;wsp:rsid wsp:val=&quot;008C5449&quot;/&gt;&lt;wsp:rsid wsp:val=&quot;008C5F86&quot;/&gt;&lt;wsp:rsid wsp:val=&quot;008D20DC&quot;/&gt;&lt;wsp:rsid wsp:val=&quot;008D7BAF&quot;/&gt;&lt;wsp:rsid wsp:val=&quot;008E2BE0&quot;/&gt;&lt;wsp:rsid wsp:val=&quot;008E4220&quot;/&gt;&lt;wsp:rsid wsp:val=&quot;008F369A&quot;/&gt;&lt;wsp:rsid wsp:val=&quot;008F420C&quot;/&gt;&lt;wsp:rsid wsp:val=&quot;008F7BA0&quot;/&gt;&lt;wsp:rsid wsp:val=&quot;00901515&quot;/&gt;&lt;wsp:rsid wsp:val=&quot;00901EA4&quot;/&gt;&lt;wsp:rsid wsp:val=&quot;00914DA9&quot;/&gt;&lt;wsp:rsid wsp:val=&quot;00915A38&quot;/&gt;&lt;wsp:rsid wsp:val=&quot;009203AD&quot;/&gt;&lt;wsp:rsid wsp:val=&quot;00932146&quot;/&gt;&lt;wsp:rsid wsp:val=&quot;009352BD&quot;/&gt;&lt;wsp:rsid wsp:val=&quot;009352F5&quot;/&gt;&lt;wsp:rsid wsp:val=&quot;00935429&quot;/&gt;&lt;wsp:rsid wsp:val=&quot;009375D0&quot;/&gt;&lt;wsp:rsid wsp:val=&quot;0094299B&quot;/&gt;&lt;wsp:rsid wsp:val=&quot;00942C0E&quot;/&gt;&lt;wsp:rsid wsp:val=&quot;009448C2&quot;/&gt;&lt;wsp:rsid wsp:val=&quot;0094633F&quot;/&gt;&lt;wsp:rsid wsp:val=&quot;009467A3&quot;/&gt;&lt;wsp:rsid wsp:val=&quot;00954557&quot;/&gt;&lt;wsp:rsid wsp:val=&quot;00954909&quot;/&gt;&lt;wsp:rsid wsp:val=&quot;0095524E&quot;/&gt;&lt;wsp:rsid wsp:val=&quot;00956597&quot;/&gt;&lt;wsp:rsid wsp:val=&quot;00957B93&quot;/&gt;&lt;wsp:rsid wsp:val=&quot;009612C0&quot;/&gt;&lt;wsp:rsid wsp:val=&quot;0096230B&quot;/&gt;&lt;wsp:rsid wsp:val=&quot;00962AFB&quot;/&gt;&lt;wsp:rsid wsp:val=&quot;009634B4&quot;/&gt;&lt;wsp:rsid wsp:val=&quot;009635FD&quot;/&gt;&lt;wsp:rsid wsp:val=&quot;00964279&quot;/&gt;&lt;wsp:rsid wsp:val=&quot;00965423&quot;/&gt;&lt;wsp:rsid wsp:val=&quot;009672EE&quot;/&gt;&lt;wsp:rsid wsp:val=&quot;00967D83&quot;/&gt;&lt;wsp:rsid wsp:val=&quot;0097132D&quot;/&gt;&lt;wsp:rsid wsp:val=&quot;009746A1&quot;/&gt;&lt;wsp:rsid wsp:val=&quot;0097537C&quot;/&gt;&lt;wsp:rsid wsp:val=&quot;00975CBA&quot;/&gt;&lt;wsp:rsid wsp:val=&quot;00980395&quot;/&gt;&lt;wsp:rsid wsp:val=&quot;009805A2&quot;/&gt;&lt;wsp:rsid wsp:val=&quot;00980B97&quot;/&gt;&lt;wsp:rsid wsp:val=&quot;00987C8E&quot;/&gt;&lt;wsp:rsid wsp:val=&quot;00997488&quot;/&gt;&lt;wsp:rsid wsp:val=&quot;009B5CF9&quot;/&gt;&lt;wsp:rsid wsp:val=&quot;009C3B84&quot;/&gt;&lt;wsp:rsid wsp:val=&quot;009C4155&quot;/&gt;&lt;wsp:rsid wsp:val=&quot;009D4539&quot;/&gt;&lt;wsp:rsid wsp:val=&quot;009D5E41&quot;/&gt;&lt;wsp:rsid wsp:val=&quot;009D7925&quot;/&gt;&lt;wsp:rsid wsp:val=&quot;009E2507&quot;/&gt;&lt;wsp:rsid wsp:val=&quot;009E3360&quot;/&gt;&lt;wsp:rsid wsp:val=&quot;009E3676&quot;/&gt;&lt;wsp:rsid wsp:val=&quot;009E6C42&quot;/&gt;&lt;wsp:rsid wsp:val=&quot;009F05BA&quot;/&gt;&lt;wsp:rsid wsp:val=&quot;009F6139&quot;/&gt;&lt;wsp:rsid wsp:val=&quot;009F6CB9&quot;/&gt;&lt;wsp:rsid wsp:val=&quot;00A00006&quot;/&gt;&lt;wsp:rsid wsp:val=&quot;00A003F1&quot;/&gt;&lt;wsp:rsid wsp:val=&quot;00A0220C&quot;/&gt;&lt;wsp:rsid wsp:val=&quot;00A03173&quot;/&gt;&lt;wsp:rsid wsp:val=&quot;00A101C0&quot;/&gt;&lt;wsp:rsid wsp:val=&quot;00A10CE1&quot;/&gt;&lt;wsp:rsid wsp:val=&quot;00A1225C&quot;/&gt;&lt;wsp:rsid wsp:val=&quot;00A1567C&quot;/&gt;&lt;wsp:rsid wsp:val=&quot;00A16425&quot;/&gt;&lt;wsp:rsid wsp:val=&quot;00A307AA&quot;/&gt;&lt;wsp:rsid wsp:val=&quot;00A32D87&quot;/&gt;&lt;wsp:rsid wsp:val=&quot;00A32EF2&quot;/&gt;&lt;wsp:rsid wsp:val=&quot;00A33959&quot;/&gt;&lt;wsp:rsid wsp:val=&quot;00A4092A&quot;/&gt;&lt;wsp:rsid wsp:val=&quot;00A426FF&quot;/&gt;&lt;wsp:rsid wsp:val=&quot;00A43783&quot;/&gt;&lt;wsp:rsid wsp:val=&quot;00A45018&quot;/&gt;&lt;wsp:rsid wsp:val=&quot;00A45B03&quot;/&gt;&lt;wsp:rsid wsp:val=&quot;00A468F0&quot;/&gt;&lt;wsp:rsid wsp:val=&quot;00A51113&quot;/&gt;&lt;wsp:rsid wsp:val=&quot;00A51F11&quot;/&gt;&lt;wsp:rsid wsp:val=&quot;00A53F63&quot;/&gt;&lt;wsp:rsid wsp:val=&quot;00A557EA&quot;/&gt;&lt;wsp:rsid wsp:val=&quot;00A56587&quot;/&gt;&lt;wsp:rsid wsp:val=&quot;00A5778A&quot;/&gt;&lt;wsp:rsid wsp:val=&quot;00A6096E&quot;/&gt;&lt;wsp:rsid wsp:val=&quot;00A609F1&quot;/&gt;&lt;wsp:rsid wsp:val=&quot;00A61370&quot;/&gt;&lt;wsp:rsid wsp:val=&quot;00A61FB8&quot;/&gt;&lt;wsp:rsid wsp:val=&quot;00A6378F&quot;/&gt;&lt;wsp:rsid wsp:val=&quot;00A64EC3&quot;/&gt;&lt;wsp:rsid wsp:val=&quot;00A650D1&quot;/&gt;&lt;wsp:rsid wsp:val=&quot;00A65FA7&quot;/&gt;&lt;wsp:rsid wsp:val=&quot;00A6788A&quot;/&gt;&lt;wsp:rsid wsp:val=&quot;00A67C64&quot;/&gt;&lt;wsp:rsid wsp:val=&quot;00A72379&quot;/&gt;&lt;wsp:rsid wsp:val=&quot;00A77587&quot;/&gt;&lt;wsp:rsid wsp:val=&quot;00A805B2&quot;/&gt;&lt;wsp:rsid wsp:val=&quot;00A82F33&quot;/&gt;&lt;wsp:rsid wsp:val=&quot;00A864D7&quot;/&gt;&lt;wsp:rsid wsp:val=&quot;00A86D91&quot;/&gt;&lt;wsp:rsid wsp:val=&quot;00A87928&quot;/&gt;&lt;wsp:rsid wsp:val=&quot;00A96420&quot;/&gt;&lt;wsp:rsid wsp:val=&quot;00AA1382&quot;/&gt;&lt;wsp:rsid wsp:val=&quot;00AA193E&quot;/&gt;&lt;wsp:rsid wsp:val=&quot;00AA2ACD&quot;/&gt;&lt;wsp:rsid wsp:val=&quot;00AA5E67&quot;/&gt;&lt;wsp:rsid wsp:val=&quot;00AB066E&quot;/&gt;&lt;wsp:rsid wsp:val=&quot;00AB140F&quot;/&gt;&lt;wsp:rsid wsp:val=&quot;00AB187B&quot;/&gt;&lt;wsp:rsid wsp:val=&quot;00AB2007&quot;/&gt;&lt;wsp:rsid wsp:val=&quot;00AB2336&quot;/&gt;&lt;wsp:rsid wsp:val=&quot;00AB2E29&quot;/&gt;&lt;wsp:rsid wsp:val=&quot;00AB62A4&quot;/&gt;&lt;wsp:rsid wsp:val=&quot;00AB78FF&quot;/&gt;&lt;wsp:rsid wsp:val=&quot;00AC163F&quot;/&gt;&lt;wsp:rsid wsp:val=&quot;00AC32BF&quot;/&gt;&lt;wsp:rsid wsp:val=&quot;00AC4973&quot;/&gt;&lt;wsp:rsid wsp:val=&quot;00AD07F5&quot;/&gt;&lt;wsp:rsid wsp:val=&quot;00AD122E&quot;/&gt;&lt;wsp:rsid wsp:val=&quot;00AD1312&quot;/&gt;&lt;wsp:rsid wsp:val=&quot;00AD4677&quot;/&gt;&lt;wsp:rsid wsp:val=&quot;00AE67F6&quot;/&gt;&lt;wsp:rsid wsp:val=&quot;00AF10DE&quot;/&gt;&lt;wsp:rsid wsp:val=&quot;00AF24CE&quot;/&gt;&lt;wsp:rsid wsp:val=&quot;00B05105&quot;/&gt;&lt;wsp:rsid wsp:val=&quot;00B06444&quot;/&gt;&lt;wsp:rsid wsp:val=&quot;00B1070F&quot;/&gt;&lt;wsp:rsid wsp:val=&quot;00B11D17&quot;/&gt;&lt;wsp:rsid wsp:val=&quot;00B120A2&quot;/&gt;&lt;wsp:rsid wsp:val=&quot;00B16365&quot;/&gt;&lt;wsp:rsid wsp:val=&quot;00B16DA3&quot;/&gt;&lt;wsp:rsid wsp:val=&quot;00B1725C&quot;/&gt;&lt;wsp:rsid wsp:val=&quot;00B17266&quot;/&gt;&lt;wsp:rsid wsp:val=&quot;00B212AD&quot;/&gt;&lt;wsp:rsid wsp:val=&quot;00B23F28&quot;/&gt;&lt;wsp:rsid wsp:val=&quot;00B30E79&quot;/&gt;&lt;wsp:rsid wsp:val=&quot;00B3456C&quot;/&gt;&lt;wsp:rsid wsp:val=&quot;00B43FA7&quot;/&gt;&lt;wsp:rsid wsp:val=&quot;00B46351&quot;/&gt;&lt;wsp:rsid wsp:val=&quot;00B509EF&quot;/&gt;&lt;wsp:rsid wsp:val=&quot;00B559E7&quot;/&gt;&lt;wsp:rsid wsp:val=&quot;00B56326&quot;/&gt;&lt;wsp:rsid wsp:val=&quot;00B579EE&quot;/&gt;&lt;wsp:rsid wsp:val=&quot;00B606EC&quot;/&gt;&lt;wsp:rsid wsp:val=&quot;00B61D74&quot;/&gt;&lt;wsp:rsid wsp:val=&quot;00B62ACD&quot;/&gt;&lt;wsp:rsid wsp:val=&quot;00B63DCE&quot;/&gt;&lt;wsp:rsid wsp:val=&quot;00B67B38&quot;/&gt;&lt;wsp:rsid wsp:val=&quot;00B706F4&quot;/&gt;&lt;wsp:rsid wsp:val=&quot;00B71352&quot;/&gt;&lt;wsp:rsid wsp:val=&quot;00B71E81&quot;/&gt;&lt;wsp:rsid wsp:val=&quot;00B71F27&quot;/&gt;&lt;wsp:rsid wsp:val=&quot;00B727B0&quot;/&gt;&lt;wsp:rsid wsp:val=&quot;00B748E7&quot;/&gt;&lt;wsp:rsid wsp:val=&quot;00B748FF&quot;/&gt;&lt;wsp:rsid wsp:val=&quot;00B769CB&quot;/&gt;&lt;wsp:rsid wsp:val=&quot;00B771B0&quot;/&gt;&lt;wsp:rsid wsp:val=&quot;00B809E7&quot;/&gt;&lt;wsp:rsid wsp:val=&quot;00B82C2D&quot;/&gt;&lt;wsp:rsid wsp:val=&quot;00B86BEE&quot;/&gt;&lt;wsp:rsid wsp:val=&quot;00B87141&quot;/&gt;&lt;wsp:rsid wsp:val=&quot;00B878D0&quot;/&gt;&lt;wsp:rsid wsp:val=&quot;00B91296&quot;/&gt;&lt;wsp:rsid wsp:val=&quot;00B97C35&quot;/&gt;&lt;wsp:rsid wsp:val=&quot;00BA0FF7&quot;/&gt;&lt;wsp:rsid wsp:val=&quot;00BA6495&quot;/&gt;&lt;wsp:rsid wsp:val=&quot;00BB754F&quot;/&gt;&lt;wsp:rsid wsp:val=&quot;00BC29E2&quot;/&gt;&lt;wsp:rsid wsp:val=&quot;00BC37FC&quot;/&gt;&lt;wsp:rsid wsp:val=&quot;00BC5E24&quot;/&gt;&lt;wsp:rsid wsp:val=&quot;00BC67C8&quot;/&gt;&lt;wsp:rsid wsp:val=&quot;00BC736B&quot;/&gt;&lt;wsp:rsid wsp:val=&quot;00BD253F&quot;/&gt;&lt;wsp:rsid wsp:val=&quot;00BD3528&quot;/&gt;&lt;wsp:rsid wsp:val=&quot;00BD3AD8&quot;/&gt;&lt;wsp:rsid wsp:val=&quot;00BE64AE&quot;/&gt;&lt;wsp:rsid wsp:val=&quot;00BE7B95&quot;/&gt;&lt;wsp:rsid wsp:val=&quot;00BF40BF&quot;/&gt;&lt;wsp:rsid wsp:val=&quot;00BF6D76&quot;/&gt;&lt;wsp:rsid wsp:val=&quot;00BF73D6&quot;/&gt;&lt;wsp:rsid wsp:val=&quot;00C005B9&quot;/&gt;&lt;wsp:rsid wsp:val=&quot;00C02B8B&quot;/&gt;&lt;wsp:rsid wsp:val=&quot;00C1487A&quot;/&gt;&lt;wsp:rsid wsp:val=&quot;00C153A9&quot;/&gt;&lt;wsp:rsid wsp:val=&quot;00C31D46&quot;/&gt;&lt;wsp:rsid wsp:val=&quot;00C32A65&quot;/&gt;&lt;wsp:rsid wsp:val=&quot;00C35C4C&quot;/&gt;&lt;wsp:rsid wsp:val=&quot;00C3686D&quot;/&gt;&lt;wsp:rsid wsp:val=&quot;00C47283&quot;/&gt;&lt;wsp:rsid wsp:val=&quot;00C547EA&quot;/&gt;&lt;wsp:rsid wsp:val=&quot;00C5635C&quot;/&gt;&lt;wsp:rsid wsp:val=&quot;00C61148&quot;/&gt;&lt;wsp:rsid wsp:val=&quot;00C66042&quot;/&gt;&lt;wsp:rsid wsp:val=&quot;00C66BE1&quot;/&gt;&lt;wsp:rsid wsp:val=&quot;00C6766E&quot;/&gt;&lt;wsp:rsid wsp:val=&quot;00C67811&quot;/&gt;&lt;wsp:rsid wsp:val=&quot;00C67969&quot;/&gt;&lt;wsp:rsid wsp:val=&quot;00C73F74&quot;/&gt;&lt;wsp:rsid wsp:val=&quot;00C74764&quot;/&gt;&lt;wsp:rsid wsp:val=&quot;00C76AD9&quot;/&gt;&lt;wsp:rsid wsp:val=&quot;00C77FEB&quot;/&gt;&lt;wsp:rsid wsp:val=&quot;00C80A50&quot;/&gt;&lt;wsp:rsid wsp:val=&quot;00C822F5&quot;/&gt;&lt;wsp:rsid wsp:val=&quot;00C851BB&quot;/&gt;&lt;wsp:rsid wsp:val=&quot;00C85B54&quot;/&gt;&lt;wsp:rsid wsp:val=&quot;00C87EF4&quot;/&gt;&lt;wsp:rsid wsp:val=&quot;00C9024C&quot;/&gt;&lt;wsp:rsid wsp:val=&quot;00CA3682&quot;/&gt;&lt;wsp:rsid wsp:val=&quot;00CA586C&quot;/&gt;&lt;wsp:rsid wsp:val=&quot;00CA7865&quot;/&gt;&lt;wsp:rsid wsp:val=&quot;00CB0EC3&quot;/&gt;&lt;wsp:rsid wsp:val=&quot;00CB114A&quot;/&gt;&lt;wsp:rsid wsp:val=&quot;00CB4ED1&quot;/&gt;&lt;wsp:rsid wsp:val=&quot;00CB79A4&quot;/&gt;&lt;wsp:rsid wsp:val=&quot;00CC03BD&quot;/&gt;&lt;wsp:rsid wsp:val=&quot;00CC217F&quot;/&gt;&lt;wsp:rsid wsp:val=&quot;00CD23E2&quot;/&gt;&lt;wsp:rsid wsp:val=&quot;00CD3F6D&quot;/&gt;&lt;wsp:rsid wsp:val=&quot;00CD79CC&quot;/&gt;&lt;wsp:rsid wsp:val=&quot;00CE0086&quot;/&gt;&lt;wsp:rsid wsp:val=&quot;00CE2FA1&quot;/&gt;&lt;wsp:rsid wsp:val=&quot;00CE5BB7&quot;/&gt;&lt;wsp:rsid wsp:val=&quot;00CE6479&quot;/&gt;&lt;wsp:rsid wsp:val=&quot;00CE764A&quot;/&gt;&lt;wsp:rsid wsp:val=&quot;00CF0798&quot;/&gt;&lt;wsp:rsid wsp:val=&quot;00CF0C76&quot;/&gt;&lt;wsp:rsid wsp:val=&quot;00CF127C&quot;/&gt;&lt;wsp:rsid wsp:val=&quot;00CF2C92&quot;/&gt;&lt;wsp:rsid wsp:val=&quot;00CF33E7&quot;/&gt;&lt;wsp:rsid wsp:val=&quot;00CF592C&quot;/&gt;&lt;wsp:rsid wsp:val=&quot;00CF5B6B&quot;/&gt;&lt;wsp:rsid wsp:val=&quot;00CF63B7&quot;/&gt;&lt;wsp:rsid wsp:val=&quot;00CF694F&quot;/&gt;&lt;wsp:rsid wsp:val=&quot;00CF6BE2&quot;/&gt;&lt;wsp:rsid wsp:val=&quot;00D00E8E&quot;/&gt;&lt;wsp:rsid wsp:val=&quot;00D0127F&quot;/&gt;&lt;wsp:rsid wsp:val=&quot;00D01853&quot;/&gt;&lt;wsp:rsid wsp:val=&quot;00D03D99&quot;/&gt;&lt;wsp:rsid wsp:val=&quot;00D04034&quot;/&gt;&lt;wsp:rsid wsp:val=&quot;00D050F0&quot;/&gt;&lt;wsp:rsid wsp:val=&quot;00D1245C&quot;/&gt;&lt;wsp:rsid wsp:val=&quot;00D14735&quot;/&gt;&lt;wsp:rsid wsp:val=&quot;00D163E9&quot;/&gt;&lt;wsp:rsid wsp:val=&quot;00D1721F&quot;/&gt;&lt;wsp:rsid wsp:val=&quot;00D21753&quot;/&gt;&lt;wsp:rsid wsp:val=&quot;00D24A12&quot;/&gt;&lt;wsp:rsid wsp:val=&quot;00D37AAD&quot;/&gt;&lt;wsp:rsid wsp:val=&quot;00D418C3&quot;/&gt;&lt;wsp:rsid wsp:val=&quot;00D421DB&quot;/&gt;&lt;wsp:rsid wsp:val=&quot;00D44D17&quot;/&gt;&lt;wsp:rsid wsp:val=&quot;00D44D1D&quot;/&gt;&lt;wsp:rsid wsp:val=&quot;00D50FF1&quot;/&gt;&lt;wsp:rsid wsp:val=&quot;00D530A6&quot;/&gt;&lt;wsp:rsid wsp:val=&quot;00D53B4D&quot;/&gt;&lt;wsp:rsid wsp:val=&quot;00D55DFB&quot;/&gt;&lt;wsp:rsid wsp:val=&quot;00D561D3&quot;/&gt;&lt;wsp:rsid wsp:val=&quot;00D56B72&quot;/&gt;&lt;wsp:rsid wsp:val=&quot;00D578CD&quot;/&gt;&lt;wsp:rsid wsp:val=&quot;00D678E6&quot;/&gt;&lt;wsp:rsid wsp:val=&quot;00D718FA&quot;/&gt;&lt;wsp:rsid wsp:val=&quot;00D73506&quot;/&gt;&lt;wsp:rsid wsp:val=&quot;00D743D0&quot;/&gt;&lt;wsp:rsid wsp:val=&quot;00D74705&quot;/&gt;&lt;wsp:rsid wsp:val=&quot;00D75C8C&quot;/&gt;&lt;wsp:rsid wsp:val=&quot;00D7609B&quot;/&gt;&lt;wsp:rsid wsp:val=&quot;00D76877&quot;/&gt;&lt;wsp:rsid wsp:val=&quot;00D8118A&quot;/&gt;&lt;wsp:rsid wsp:val=&quot;00D8453F&quot;/&gt;&lt;wsp:rsid wsp:val=&quot;00D8468E&quot;/&gt;&lt;wsp:rsid wsp:val=&quot;00D870F5&quot;/&gt;&lt;wsp:rsid wsp:val=&quot;00D93C29&quot;/&gt;&lt;wsp:rsid wsp:val=&quot;00D97D42&quot;/&gt;&lt;wsp:rsid wsp:val=&quot;00DA06E1&quot;/&gt;&lt;wsp:rsid wsp:val=&quot;00DA1A22&quot;/&gt;&lt;wsp:rsid wsp:val=&quot;00DB158D&quot;/&gt;&lt;wsp:rsid wsp:val=&quot;00DB2390&quot;/&gt;&lt;wsp:rsid wsp:val=&quot;00DB2942&quot;/&gt;&lt;wsp:rsid wsp:val=&quot;00DB4863&quot;/&gt;&lt;wsp:rsid wsp:val=&quot;00DB5018&quot;/&gt;&lt;wsp:rsid wsp:val=&quot;00DB73C3&quot;/&gt;&lt;wsp:rsid wsp:val=&quot;00DD18AE&quot;/&gt;&lt;wsp:rsid wsp:val=&quot;00DD475B&quot;/&gt;&lt;wsp:rsid wsp:val=&quot;00DD70E4&quot;/&gt;&lt;wsp:rsid wsp:val=&quot;00DE627B&quot;/&gt;&lt;wsp:rsid wsp:val=&quot;00DE7071&quot;/&gt;&lt;wsp:rsid wsp:val=&quot;00DF2028&quot;/&gt;&lt;wsp:rsid wsp:val=&quot;00DF234D&quot;/&gt;&lt;wsp:rsid wsp:val=&quot;00DF488F&quot;/&gt;&lt;wsp:rsid wsp:val=&quot;00DF5742&quot;/&gt;&lt;wsp:rsid wsp:val=&quot;00E002F5&quot;/&gt;&lt;wsp:rsid wsp:val=&quot;00E018FA&quot;/&gt;&lt;wsp:rsid wsp:val=&quot;00E021B9&quot;/&gt;&lt;wsp:rsid wsp:val=&quot;00E02A1F&quot;/&gt;&lt;wsp:rsid wsp:val=&quot;00E02E4F&quot;/&gt;&lt;wsp:rsid wsp:val=&quot;00E04E4A&quot;/&gt;&lt;wsp:rsid wsp:val=&quot;00E05108&quot;/&gt;&lt;wsp:rsid wsp:val=&quot;00E0642E&quot;/&gt;&lt;wsp:rsid wsp:val=&quot;00E10879&quot;/&gt;&lt;wsp:rsid wsp:val=&quot;00E168CA&quot;/&gt;&lt;wsp:rsid wsp:val=&quot;00E217EA&quot;/&gt;&lt;wsp:rsid wsp:val=&quot;00E23172&quot;/&gt;&lt;wsp:rsid wsp:val=&quot;00E23720&quot;/&gt;&lt;wsp:rsid wsp:val=&quot;00E260AF&quot;/&gt;&lt;wsp:rsid wsp:val=&quot;00E30E56&quot;/&gt;&lt;wsp:rsid wsp:val=&quot;00E31AA5&quot;/&gt;&lt;wsp:rsid wsp:val=&quot;00E330E5&quot;/&gt;&lt;wsp:rsid wsp:val=&quot;00E33673&quot;/&gt;&lt;wsp:rsid wsp:val=&quot;00E34E0E&quot;/&gt;&lt;wsp:rsid wsp:val=&quot;00E40080&quot;/&gt;&lt;wsp:rsid wsp:val=&quot;00E425D1&quot;/&gt;&lt;wsp:rsid wsp:val=&quot;00E4260F&quot;/&gt;&lt;wsp:rsid wsp:val=&quot;00E466FA&quot;/&gt;&lt;wsp:rsid wsp:val=&quot;00E47C7B&quot;/&gt;&lt;wsp:rsid wsp:val=&quot;00E555FA&quot;/&gt;&lt;wsp:rsid wsp:val=&quot;00E630BC&quot;/&gt;&lt;wsp:rsid wsp:val=&quot;00E63801&quot;/&gt;&lt;wsp:rsid wsp:val=&quot;00E651BD&quot;/&gt;&lt;wsp:rsid wsp:val=&quot;00E65DC7&quot;/&gt;&lt;wsp:rsid wsp:val=&quot;00E65F34&quot;/&gt;&lt;wsp:rsid wsp:val=&quot;00E6790B&quot;/&gt;&lt;wsp:rsid wsp:val=&quot;00E67F04&quot;/&gt;&lt;wsp:rsid wsp:val=&quot;00E70135&quot;/&gt;&lt;wsp:rsid wsp:val=&quot;00E729C9&quot;/&gt;&lt;wsp:rsid wsp:val=&quot;00E73B24&quot;/&gt;&lt;wsp:rsid wsp:val=&quot;00E85350&quot;/&gt;&lt;wsp:rsid wsp:val=&quot;00E86764&quot;/&gt;&lt;wsp:rsid wsp:val=&quot;00E91432&quot;/&gt;&lt;wsp:rsid wsp:val=&quot;00E9186B&quot;/&gt;&lt;wsp:rsid wsp:val=&quot;00E92F26&quot;/&gt;&lt;wsp:rsid wsp:val=&quot;00E93348&quot;/&gt;&lt;wsp:rsid wsp:val=&quot;00E9478F&quot;/&gt;&lt;wsp:rsid wsp:val=&quot;00E95E51&quot;/&gt;&lt;wsp:rsid wsp:val=&quot;00E963A2&quot;/&gt;&lt;wsp:rsid wsp:val=&quot;00E9676A&quot;/&gt;&lt;wsp:rsid wsp:val=&quot;00E96A7B&quot;/&gt;&lt;wsp:rsid wsp:val=&quot;00E978BF&quot;/&gt;&lt;wsp:rsid wsp:val=&quot;00E97CB6&quot;/&gt;&lt;wsp:rsid wsp:val=&quot;00EA175C&quot;/&gt;&lt;wsp:rsid wsp:val=&quot;00EA7157&quot;/&gt;&lt;wsp:rsid wsp:val=&quot;00EB41AF&quot;/&gt;&lt;wsp:rsid wsp:val=&quot;00EB4FAB&quot;/&gt;&lt;wsp:rsid wsp:val=&quot;00EC2E90&quot;/&gt;&lt;wsp:rsid wsp:val=&quot;00EC320D&quot;/&gt;&lt;wsp:rsid wsp:val=&quot;00EC50AC&quot;/&gt;&lt;wsp:rsid wsp:val=&quot;00ED0B7D&quot;/&gt;&lt;wsp:rsid wsp:val=&quot;00ED17A7&quot;/&gt;&lt;wsp:rsid wsp:val=&quot;00EE57D7&quot;/&gt;&lt;wsp:rsid wsp:val=&quot;00EE623D&quot;/&gt;&lt;wsp:rsid wsp:val=&quot;00EF07FB&quot;/&gt;&lt;wsp:rsid wsp:val=&quot;00EF0D39&quot;/&gt;&lt;wsp:rsid wsp:val=&quot;00EF1CF6&quot;/&gt;&lt;wsp:rsid wsp:val=&quot;00EF2ADD&quot;/&gt;&lt;wsp:rsid wsp:val=&quot;00F040F4&quot;/&gt;&lt;wsp:rsid wsp:val=&quot;00F1561E&quot;/&gt;&lt;wsp:rsid wsp:val=&quot;00F16855&quot;/&gt;&lt;wsp:rsid wsp:val=&quot;00F21860&quot;/&gt;&lt;wsp:rsid wsp:val=&quot;00F24020&quot;/&gt;&lt;wsp:rsid wsp:val=&quot;00F24E01&quot;/&gt;&lt;wsp:rsid wsp:val=&quot;00F25397&quot;/&gt;&lt;wsp:rsid wsp:val=&quot;00F25572&quot;/&gt;&lt;wsp:rsid wsp:val=&quot;00F32EA6&quot;/&gt;&lt;wsp:rsid wsp:val=&quot;00F376A2&quot;/&gt;&lt;wsp:rsid wsp:val=&quot;00F406F9&quot;/&gt;&lt;wsp:rsid wsp:val=&quot;00F452F7&quot;/&gt;&lt;wsp:rsid wsp:val=&quot;00F4589F&quot;/&gt;&lt;wsp:rsid wsp:val=&quot;00F460F0&quot;/&gt;&lt;wsp:rsid wsp:val=&quot;00F47C1A&quot;/&gt;&lt;wsp:rsid wsp:val=&quot;00F57927&quot;/&gt;&lt;wsp:rsid wsp:val=&quot;00F57A9D&quot;/&gt;&lt;wsp:rsid wsp:val=&quot;00F6097E&quot;/&gt;&lt;wsp:rsid wsp:val=&quot;00F619C5&quot;/&gt;&lt;wsp:rsid wsp:val=&quot;00F645F3&quot;/&gt;&lt;wsp:rsid wsp:val=&quot;00F655A6&quot;/&gt;&lt;wsp:rsid wsp:val=&quot;00F67742&quot;/&gt;&lt;wsp:rsid wsp:val=&quot;00F7744B&quot;/&gt;&lt;wsp:rsid wsp:val=&quot;00F836D6&quot;/&gt;&lt;wsp:rsid wsp:val=&quot;00F83E2E&quot;/&gt;&lt;wsp:rsid wsp:val=&quot;00F8641A&quot;/&gt;&lt;wsp:rsid wsp:val=&quot;00F905C7&quot;/&gt;&lt;wsp:rsid wsp:val=&quot;00F933DC&quot;/&gt;&lt;wsp:rsid wsp:val=&quot;00F9424C&quot;/&gt;&lt;wsp:rsid wsp:val=&quot;00F94CA8&quot;/&gt;&lt;wsp:rsid wsp:val=&quot;00F97D91&quot;/&gt;&lt;wsp:rsid wsp:val=&quot;00FA1A61&quot;/&gt;&lt;wsp:rsid wsp:val=&quot;00FA231D&quot;/&gt;&lt;wsp:rsid wsp:val=&quot;00FA34BD&quot;/&gt;&lt;wsp:rsid wsp:val=&quot;00FA75F2&quot;/&gt;&lt;wsp:rsid wsp:val=&quot;00FA7CBA&quot;/&gt;&lt;wsp:rsid wsp:val=&quot;00FB2B24&quot;/&gt;&lt;wsp:rsid wsp:val=&quot;00FB3903&quot;/&gt;&lt;wsp:rsid wsp:val=&quot;00FB6D3E&quot;/&gt;&lt;wsp:rsid wsp:val=&quot;00FB74E2&quot;/&gt;&lt;wsp:rsid wsp:val=&quot;00FC09FC&quot;/&gt;&lt;wsp:rsid wsp:val=&quot;00FC0A45&quot;/&gt;&lt;wsp:rsid wsp:val=&quot;00FC198B&quot;/&gt;&lt;wsp:rsid wsp:val=&quot;00FC21CE&quot;/&gt;&lt;wsp:rsid wsp:val=&quot;00FC2C5D&quot;/&gt;&lt;wsp:rsid wsp:val=&quot;00FC3EEB&quot;/&gt;&lt;wsp:rsid wsp:val=&quot;00FC4D8F&quot;/&gt;&lt;wsp:rsid wsp:val=&quot;00FC55A7&quot;/&gt;&lt;wsp:rsid wsp:val=&quot;00FC768D&quot;/&gt;&lt;wsp:rsid wsp:val=&quot;00FD31E8&quot;/&gt;&lt;wsp:rsid wsp:val=&quot;00FD658E&quot;/&gt;&lt;wsp:rsid wsp:val=&quot;00FD7D3F&quot;/&gt;&lt;wsp:rsid wsp:val=&quot;00FE1830&quot;/&gt;&lt;wsp:rsid wsp:val=&quot;00FE4D5F&quot;/&gt;&lt;wsp:rsid wsp:val=&quot;00FE7860&quot;/&gt;&lt;wsp:rsid wsp:val=&quot;00FF0E27&quot;/&gt;&lt;/wsp:rsids&gt;&lt;/w:docPr&gt;&lt;w:body&gt;&lt;w:p wsp:rsidR=&quot;00000000&quot; wsp:rsidRDefault=&quot;00F32EA6&quot;&gt;&lt;m:oMathPara&gt;&lt;m:oMath&gt;&lt;m:r&gt;&lt;w:rPr&gt;&lt;w:rFonts w:ascii=&quot;Cambria Math&quot; w:h-ansi=&quot;Cambria Math&quot;/&gt;&lt;wx:font wx:val=&quot;Cambria Math&quot;/&gt;&lt;w:i/&gt;&lt;w:kern w:val=&quot;0&quot;/&gt;&lt;w:sz w:val=&quot;24&quot;/&gt;&lt;w:sz-cs w:val=&quot;24&quot;/&gt;&lt;/w:rPr&gt;&lt;m:t&gt;I&lt;/m:t&gt;&lt;/m:r&gt;&lt;m:r&gt;&lt;m:rPr&gt;&lt;m:sty m:val=&quot;p&quot;/&gt;&lt;/m:rPr&gt;&lt;w:rPr&gt;&lt;w:rFonts w:ascii=&quot;Cambria Math&quot; w:h-ansi=&quot;Cambria Math&quot;/&gt;&lt;wx:font wx:val=&quot;Cambria Math&quot;/&gt;&lt;w:kern w:val=&quot;0&quot;/&gt;&lt;w:sz w:val=&quot;24&quot;/&gt;&lt;w:sz-cs w:val=&quot;24&quot;/&gt;&lt;/w:rPr&gt;&lt;m:t&gt;(&lt;/m:t&gt;&lt;/m:r&gt;&lt;m:r&gt;&lt;w:rPr&gt;&lt;w:rFonts w:ascii=&quot;Cambria Math&quot; w:h-ansi=&quot;Cambria Math&quot;/&gt;&lt;wx:font wx:val=&quot;Cambria Math&quot;/&gt;&lt;w:i/&gt;&lt;w:kern w:val=&quot;0&quot;/&gt;&lt;w:sz w:val=&quot;24&quot;/&gt;&lt;w:sz-cs w:val=&quot;24&quot;/&gt;&lt;/w:rPr&gt;&lt;m:t&gt;z&lt;/m:t&gt;&lt;/m:r&gt;&lt;m:r&gt;&lt;m:rPr&gt;&lt;m:sty m:val=&quot;p&quot;/&gt;&lt;/m:rPr&gt;&lt;w:rPr&gt;&lt;w:rFonts w:ascii=&quot;Cambria Math&quot; w:h-ansi=&quot;Cambria Math&quot;/&gt;&lt;wx:font wx:val=&quot;Cambria Math&quot;/&gt;&lt;w:kern w:val=&quot;0&quot;/&gt;&lt;w:sz w:val=&quot;24&quot;/&gt;&lt;w:sz-cs w:val=&quot;24&quot;/&gt;&lt;/w:rPr&gt;&lt;m:t&gt;)&lt;/m:t&gt;&lt;/m:r&gt;&lt;m:box&gt;&lt;m:boxPr&gt;&lt;m:opEmu m:val=&quot;on&quot;/&gt;&lt;m:ctrlPr&gt;&lt;w:rPr&gt;&lt;w:rFonts w:ascii=&quot;Cambria Math&quot; w:h-ansi=&quot;Cambria Math&quot;/&gt;&lt;wx:font wx:val=&quot;Cambria Math&quot;/&gt;&lt;w:kern w:val=&quot;0&quot;/&gt;&lt;w:sz w:val=&quot;24&quot;/&gt;&lt;w:sz-cs w:val=&quot;24&quot;/&gt;&lt;/w:rPr&gt;&lt;/m:ctrlPr&gt;&lt;/m:boxPr&gt;&lt;m:e&gt;&lt;m:r&gt;&lt;m:rPr&gt;&lt;m:sty m:val=&quot;p&quot;/&gt;&lt;/m:rPr&gt;&lt;w:rPr&gt;&lt;w:rFonts w:ascii=&quot;Cambria Math&quot; w:h-ansi=&quot;Cambria Math&quot;/&gt;&lt;wx:font wx:val=&quot;Cambria Math&quot;/&gt;&lt;w:kern w:val=&quot;0&quot;/&gt;&lt;w:sz w:val=&quot;24&quot;/&gt;&lt;w:sz-cs w:val=&quot;24&quot;/&gt;&lt;/w:rPr&gt;&lt;m:t&gt;=&lt;/m:t&gt;&lt;/m:r&gt;&lt;m:sSub&gt;&lt;m:sSubPr&gt;&lt;m:ctrlPr&gt;&lt;w:rPr&gt;&lt;w:rFonts w:ascii=&quot;Cambria Math&quot; w:h-ansi=&quot;Cambria Math&quot;/&gt;&lt;wx:font wx:val=&quot;Cambria Math&quot;/&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I&lt;/m:t&gt;&lt;/m:r&gt;&lt;/m:e&gt;&lt;m:sub&gt;&lt;m:r&gt;&lt;m:rPr&gt;&lt;m:sty m:val=&quot;p&quot;/&gt;&lt;/m:rPr&gt;&lt;w:rPr&gt;&lt;w:rFonts w:ascii=&quot;Cambria Math&quot; w:h-ansi=&quot;Cambria Math&quot;/&gt;&lt;wx:font wx:val=&quot;Cambria Math&quot;/&gt;&lt;w:kern w:val=&quot;0&quot;/&gt;&lt;w:sz w:val=&quot;24&quot;/&gt;&lt;w:sz-cs w:val=&quot;24&quot;/&gt;&lt;/w:rPr&gt;&lt;m:t&gt;0&lt;/m:t&gt;&lt;/m:r&gt;&lt;/m:sub&gt;&lt;/m:sSub&gt;&lt;m:r&gt;&lt;m:rPr&gt;&lt;m:sty m:val=&quot;p&quot;/&gt;&lt;/m:rPr&gt;&lt;w:rPr&gt;&lt;w:rFonts w:ascii=&quot;Cambria Math&quot; w:h-ansi=&quot;Cambria Math&quot;/&gt;&lt;wx:font wx:val=&quot;Cambria Math&quot;/&gt;&lt;w:kern w:val=&quot;0&quot;/&gt;&lt;w:sz w:val=&quot;24&quot;/&gt;&lt;w:sz-cs w:val=&quot;24&quot;/&gt;&lt;/w:rPr&gt;&lt;m:t&gt;exp??-&lt;/m:t&gt;&lt;/m:r&gt;&lt;m:r&gt;&lt;w:rPr&gt;&lt;w:rFonts w:ascii=&quot;Cambria Math&quot; w:h-ansi=&quot;Cambria Math&quot;/&gt;&lt;wx:font wx:val=&quot;Cambria Math&quot;/&gt;&lt;w:i/&gt;&lt;w:kern w:val=&quot;0&quot;/&gt;&lt;w:sz w:val=&quot;24&quot;/&gt;&lt;w:sz-cs w:val=&quot;24&quot;/&gt;&lt;/w:rPr&gt;&lt;m:t&gt;z&lt;/m:t&gt;&lt;/m:r&gt;&lt;m:r&gt;&lt;m:rPr&gt;&lt;m:sty m:val=&quot;p&quot;/&gt;&lt;/m:rPr&gt;&lt;w:rPr&gt;exxxxxxxxxxxx&lt;w:rFonts w:ascii=&quot;Cambria Math&quot; w:h-ansi=&quot;Cambria Math&quot;/&gt;&lt;wx:font wx:val=&quot;Cambria Math&quot;/&gt;&lt;w:kern w:val=&quot;0&quot;/&gt;&lt;w:sz w:val=&quot;24&quot;/&gt;&lt;w:sz-cs w:val=&quot;24&quot;/&gt;&lt;/w:rPr&gt;&lt;m:t&gt;/&lt;/m:t&gt;&lt;/m:r&gt;&lt;m:r&gt;&lt;w:rPr&gt;&lt;w:rFonts w:ascii=&quot;Cambria Math&quot; w:h-ansi=&quot;Cambria Math&quot;/&gt;&lt;wx:font wx:val=&quot;Cambria Math&quot;/&gt;&lt;w:i/&gt;&lt;w:kern w:val=&quot;0&quot;/&gt;&lt;w:sz w:val=&quot;24&quot;/&gt;&lt;w:sz-cs w:val=&quot;24&quot;/&gt;&lt;/w:rPr&gt;&lt;m:t&gt;d&lt;/m:t&gt;&lt;/m:r&gt;&lt;m:r&gt;&lt;m:rPr&gt;&lt;m:sty m:val=&quot;p&quot;/&gt;&lt;/m:rPr&gt;&lt;w:rPr&gt;&lt;w:rFonts w:ascii=&quot;Cambria Math&quot; w:h-ansi=&quot;Cambria Math&quot;/&gt;&lt;wx:font wx:val=&quot;Cambria Math&quot;/&gt;&lt;w:kern w:val=&quot;0&quot;/&gt;&lt;w:sz w:val=&quot;24&quot;/&gt;&lt;w:sz-cs w:val=&quot;24&quot;/&gt;&lt;/w:rPr&gt;&lt;m:t&gt;)&lt;/m:t&gt;&lt;/m:r&gt;&lt;/m:e&gt;&lt;/m:box&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r w:rsidRPr="00D529C6">
              <w:rPr>
                <w:rFonts w:ascii="Times New Roman" w:hAnsi="Times New Roman" w:cs="Times New Roman"/>
                <w:szCs w:val="21"/>
              </w:rPr>
              <w:instrText xml:space="preserve"> </w:instrText>
            </w:r>
            <w:r w:rsidRPr="00D529C6">
              <w:rPr>
                <w:rFonts w:ascii="Times New Roman" w:hAnsi="Times New Roman" w:cs="Times New Roman"/>
                <w:szCs w:val="21"/>
              </w:rPr>
              <w:fldChar w:fldCharType="separate"/>
            </w:r>
            <w:r w:rsidRPr="00D529C6">
              <w:rPr>
                <w:rFonts w:ascii="Times New Roman" w:hAnsi="Times New Roman" w:cs="Times New Roman"/>
                <w:szCs w:val="21"/>
              </w:rPr>
              <w:fldChar w:fldCharType="begin"/>
            </w:r>
            <w:r w:rsidRPr="00D529C6">
              <w:rPr>
                <w:rFonts w:ascii="Times New Roman" w:hAnsi="Times New Roman" w:cs="Times New Roman"/>
                <w:szCs w:val="21"/>
              </w:rPr>
              <w:instrText xml:space="preserve"> QUOTE </w:instrText>
            </w:r>
            <w:r w:rsidR="007E0C9E">
              <w:rPr>
                <w:rFonts w:ascii="Times New Roman" w:hAnsi="Times New Roman" w:cs="Times New Roman"/>
                <w:position w:val="-22"/>
                <w:szCs w:val="21"/>
              </w:rPr>
              <w:pict>
                <v:shape id="_x0000_i1032" type="#_x0000_t75" style="width:147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1&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validateAgainstSchema/&gt;&lt;w:saveInvalidXML w:val=&quot;off&quot;/&gt;&lt;w:ignoreMixedContent w:val=&quot;off&quot;/&gt;&lt;w:alwaysShowPlaceholderText w:val=&quot;off&quot;/&gt;&lt;w:endnotePr&gt;&lt;w:numFmt w:val=&quot;decimal&quot;/&gt;&lt;/w:endnotePr&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10F9E&quot;/&gt;&lt;wsp:rsid wsp:val=&quot;000048FB&quot;/&gt;&lt;wsp:rsid wsp:val=&quot;00006E60&quot;/&gt;&lt;wsp:rsid wsp:val=&quot;000073A8&quot;/&gt;&lt;wsp:rsid wsp:val=&quot;00011568&quot;/&gt;&lt;wsp:rsid wsp:val=&quot;000150C0&quot;/&gt;&lt;wsp:rsid wsp:val=&quot;00015D51&quot;/&gt;&lt;wsp:rsid wsp:val=&quot;0002519F&quot;/&gt;&lt;wsp:rsid wsp:val=&quot;00025B5B&quot;/&gt;&lt;wsp:rsid wsp:val=&quot;00032FB5&quot;/&gt;&lt;wsp:rsid wsp:val=&quot;000340F5&quot;/&gt;&lt;wsp:rsid wsp:val=&quot;000343B1&quot;/&gt;&lt;wsp:rsid wsp:val=&quot;000358DF&quot;/&gt;&lt;wsp:rsid wsp:val=&quot;0003617C&quot;/&gt;&lt;wsp:rsid wsp:val=&quot;000367A2&quot;/&gt;&lt;wsp:rsid wsp:val=&quot;0004229B&quot;/&gt;&lt;wsp:rsid wsp:val=&quot;00051E32&quot;/&gt;&lt;wsp:rsid wsp:val=&quot;00057926&quot;/&gt;&lt;wsp:rsid wsp:val=&quot;00061786&quot;/&gt;&lt;wsp:rsid wsp:val=&quot;00063C49&quot;/&gt;&lt;wsp:rsid wsp:val=&quot;00064AE8&quot;/&gt;&lt;wsp:rsid wsp:val=&quot;00066584&quot;/&gt;&lt;wsp:rsid wsp:val=&quot;00066E9D&quot;/&gt;&lt;wsp:rsid wsp:val=&quot;00070092&quot;/&gt;&lt;wsp:rsid wsp:val=&quot;000715FF&quot;/&gt;&lt;wsp:rsid wsp:val=&quot;000716A7&quot;/&gt;&lt;wsp:rsid wsp:val=&quot;00074488&quot;/&gt;&lt;wsp:rsid wsp:val=&quot;00074ACF&quot;/&gt;&lt;wsp:rsid wsp:val=&quot;00074BC4&quot;/&gt;&lt;wsp:rsid wsp:val=&quot;0007795D&quot;/&gt;&lt;wsp:rsid wsp:val=&quot;00081A16&quot;/&gt;&lt;wsp:rsid wsp:val=&quot;0008200D&quot;/&gt;&lt;wsp:rsid wsp:val=&quot;00084589&quot;/&gt;&lt;wsp:rsid wsp:val=&quot;0008549F&quot;/&gt;&lt;wsp:rsid wsp:val=&quot;00092250&quot;/&gt;&lt;wsp:rsid wsp:val=&quot;000A1997&quot;/&gt;&lt;wsp:rsid wsp:val=&quot;000A2CCA&quot;/&gt;&lt;wsp:rsid wsp:val=&quot;000B0823&quot;/&gt;&lt;wsp:rsid wsp:val=&quot;000B1BE9&quot;/&gt;&lt;wsp:rsid wsp:val=&quot;000B37DB&quot;/&gt;&lt;wsp:rsid wsp:val=&quot;000B4BF0&quot;/&gt;&lt;wsp:rsid wsp:val=&quot;000B50D8&quot;/&gt;&lt;wsp:rsid wsp:val=&quot;000B5629&quot;/&gt;&lt;wsp:rsid wsp:val=&quot;000B6BE4&quot;/&gt;&lt;wsp:rsid wsp:val=&quot;000B70D7&quot;/&gt;&lt;wsp:rsid wsp:val=&quot;000B70E9&quot;/&gt;&lt;wsp:rsid wsp:val=&quot;000C084B&quot;/&gt;&lt;wsp:rsid wsp:val=&quot;000C203C&quot;/&gt;&lt;wsp:rsid wsp:val=&quot;000C28E8&quot;/&gt;&lt;wsp:rsid wsp:val=&quot;000C3748&quot;/&gt;&lt;wsp:rsid wsp:val=&quot;000C376D&quot;/&gt;&lt;wsp:rsid wsp:val=&quot;000D0E3B&quot;/&gt;&lt;wsp:rsid wsp:val=&quot;000D59EC&quot;/&gt;&lt;wsp:rsid wsp:val=&quot;000D7164&quot;/&gt;&lt;wsp:rsid wsp:val=&quot;000D77DB&quot;/&gt;&lt;wsp:rsid wsp:val=&quot;000E11FC&quot;/&gt;&lt;wsp:rsid wsp:val=&quot;000E1699&quot;/&gt;&lt;wsp:rsid wsp:val=&quot;000E1A21&quot;/&gt;&lt;wsp:rsid wsp:val=&quot;000E1ED5&quot;/&gt;&lt;wsp:rsid wsp:val=&quot;000E20D0&quot;/&gt;&lt;wsp:rsid wsp:val=&quot;000E3CD5&quot;/&gt;&lt;wsp:rsid wsp:val=&quot;000E43F7&quot;/&gt;&lt;wsp:rsid wsp:val=&quot;000E7C4B&quot;/&gt;&lt;wsp:rsid wsp:val=&quot;000F6382&quot;/&gt;&lt;wsp:rsid wsp:val=&quot;000F6AC7&quot;/&gt;&lt;wsp:rsid wsp:val=&quot;001029EA&quot;/&gt;&lt;wsp:rsid wsp:val=&quot;001038FF&quot;/&gt;&lt;wsp:rsid wsp:val=&quot;00104C4A&quot;/&gt;&lt;wsp:rsid wsp:val=&quot;00110682&quot;/&gt;&lt;wsp:rsid wsp:val=&quot;00110E3F&quot;/&gt;&lt;wsp:rsid wsp:val=&quot;0011132D&quot;/&gt;&lt;wsp:rsid wsp:val=&quot;00112A15&quot;/&gt;&lt;wsp:rsid wsp:val=&quot;001222DF&quot;/&gt;&lt;wsp:rsid wsp:val=&quot;00123F1B&quot;/&gt;&lt;wsp:rsid wsp:val=&quot;0012640D&quot;/&gt;&lt;wsp:rsid wsp:val=&quot;0012696C&quot;/&gt;&lt;wsp:rsid wsp:val=&quot;00137481&quot;/&gt;&lt;wsp:rsid wsp:val=&quot;00140189&quot;/&gt;&lt;wsp:rsid wsp:val=&quot;00140A71&quot;/&gt;&lt;wsp:rsid wsp:val=&quot;001417BA&quot;/&gt;&lt;wsp:rsid wsp:val=&quot;00146E59&quot;/&gt;&lt;wsp:rsid wsp:val=&quot;001476CE&quot;/&gt;&lt;wsp:rsid wsp:val=&quot;00154814&quot;/&gt;&lt;wsp:rsid wsp:val=&quot;00155C5E&quot;/&gt;&lt;wsp:rsid wsp:val=&quot;00162887&quot;/&gt;&lt;wsp:rsid wsp:val=&quot;00162E5F&quot;/&gt;&lt;wsp:rsid wsp:val=&quot;00163BC1&quot;/&gt;&lt;wsp:rsid wsp:val=&quot;00163F9D&quot;/&gt;&lt;wsp:rsid wsp:val=&quot;00175D9F&quot;/&gt;&lt;wsp:rsid wsp:val=&quot;00176BE0&quot;/&gt;&lt;wsp:rsid wsp:val=&quot;0018278C&quot;/&gt;&lt;wsp:rsid wsp:val=&quot;00182E5C&quot;/&gt;&lt;wsp:rsid wsp:val=&quot;00183910&quot;/&gt;&lt;wsp:rsid wsp:val=&quot;001846EA&quot;/&gt;&lt;wsp:rsid wsp:val=&quot;0019094A&quot;/&gt;&lt;wsp:rsid wsp:val=&quot;001926FD&quot;/&gt;&lt;wsp:rsid wsp:val=&quot;00192AE4&quot;/&gt;&lt;wsp:rsid wsp:val=&quot;00192DDE&quot;/&gt;&lt;wsp:rsid wsp:val=&quot;00196439&quot;/&gt;&lt;wsp:rsid wsp:val=&quot;00197313&quot;/&gt;&lt;wsp:rsid wsp:val=&quot;00197B07&quot;/&gt;&lt;wsp:rsid wsp:val=&quot;001A08E5&quot;/&gt;&lt;wsp:rsid wsp:val=&quot;001B0C75&quot;/&gt;&lt;wsp:rsid wsp:val=&quot;001B4D67&quot;/&gt;&lt;wsp:rsid wsp:val=&quot;001B64C8&quot;/&gt;&lt;wsp:rsid wsp:val=&quot;001C3DBF&quot;/&gt;&lt;wsp:rsid wsp:val=&quot;001D0266&quot;/&gt;&lt;wsp:rsid wsp:val=&quot;001D2209&quot;/&gt;&lt;wsp:rsid wsp:val=&quot;001D76CB&quot;/&gt;&lt;wsp:rsid wsp:val=&quot;001E2212&quot;/&gt;&lt;wsp:rsid wsp:val=&quot;001E2C06&quot;/&gt;&lt;wsp:rsid wsp:val=&quot;001E6310&quot;/&gt;&lt;wsp:rsid wsp:val=&quot;001E7E68&quot;/&gt;&lt;wsp:rsid wsp:val=&quot;001F1D02&quot;/&gt;&lt;wsp:rsid wsp:val=&quot;001F5279&quot;/&gt;&lt;wsp:rsid wsp:val=&quot;002006BF&quot;/&gt;&lt;wsp:rsid wsp:val=&quot;0020096A&quot;/&gt;&lt;wsp:rsid wsp:val=&quot;002015DA&quot;/&gt;&lt;wsp:rsid wsp:val=&quot;00202142&quot;/&gt;&lt;wsp:rsid wsp:val=&quot;00205207&quot;/&gt;&lt;wsp:rsid wsp:val=&quot;002052B9&quot;/&gt;&lt;wsp:rsid wsp:val=&quot;002059E3&quot;/&gt;&lt;wsp:rsid wsp:val=&quot;00206369&quot;/&gt;&lt;wsp:rsid wsp:val=&quot;00206525&quot;/&gt;&lt;wsp:rsid wsp:val=&quot;002066AE&quot;/&gt;&lt;wsp:rsid wsp:val=&quot;002105EA&quot;/&gt;&lt;wsp:rsid wsp:val=&quot;00211F16&quot;/&gt;&lt;wsp:rsid wsp:val=&quot;002132DC&quot;/&gt;&lt;wsp:rsid wsp:val=&quot;002141DA&quot;/&gt;&lt;wsp:rsid wsp:val=&quot;002169DD&quot;/&gt;&lt;wsp:rsid wsp:val=&quot;002174C7&quot;/&gt;&lt;wsp:rsid wsp:val=&quot;002233A7&quot;/&gt;&lt;wsp:rsid wsp:val=&quot;002315A3&quot;/&gt;&lt;wsp:rsid wsp:val=&quot;00231A2B&quot;/&gt;&lt;wsp:rsid wsp:val=&quot;00232AEC&quot;/&gt;&lt;wsp:rsid wsp:val=&quot;0023655C&quot;/&gt;&lt;wsp:rsid wsp:val=&quot;00243E61&quot;/&gt;&lt;wsp:rsid wsp:val=&quot;0024563A&quot;/&gt;&lt;wsp:rsid wsp:val=&quot;00246193&quot;/&gt;&lt;wsp:rsid wsp:val=&quot;0024628E&quot;/&gt;&lt;wsp:rsid wsp:val=&quot;00252381&quot;/&gt;&lt;wsp:rsid wsp:val=&quot;00253DF6&quot;/&gt;&lt;wsp:rsid wsp:val=&quot;00256112&quot;/&gt;&lt;wsp:rsid wsp:val=&quot;00260DD1&quot;/&gt;&lt;wsp:rsid wsp:val=&quot;002616CD&quot;/&gt;&lt;wsp:rsid wsp:val=&quot;0026210C&quot;/&gt;&lt;wsp:rsid wsp:val=&quot;002653C2&quot;/&gt;&lt;wsp:rsid wsp:val=&quot;00271778&quot;/&gt;&lt;wsp:rsid wsp:val=&quot;00272A8C&quot;/&gt;&lt;wsp:rsid wsp:val=&quot;0028073A&quot;/&gt;&lt;wsp:rsid wsp:val=&quot;00282B4E&quot;/&gt;&lt;wsp:rsid wsp:val=&quot;00283B94&quot;/&gt;&lt;wsp:rsid wsp:val=&quot;00291C74&quot;/&gt;&lt;wsp:rsid wsp:val=&quot;002935B3&quot;/&gt;&lt;wsp:rsid wsp:val=&quot;002974BD&quot;/&gt;&lt;wsp:rsid wsp:val=&quot;002A18C3&quot;/&gt;&lt;wsp:rsid wsp:val=&quot;002A2A36&quot;/&gt;&lt;wsp:rsid wsp:val=&quot;002A2CBD&quot;/&gt;&lt;wsp:rsid wsp:val=&quot;002A7297&quot;/&gt;&lt;wsp:rsid wsp:val=&quot;002B334D&quot;/&gt;&lt;wsp:rsid wsp:val=&quot;002B558F&quot;/&gt;&lt;wsp:rsid wsp:val=&quot;002B6815&quot;/&gt;&lt;wsp:rsid wsp:val=&quot;002C1565&quot;/&gt;&lt;wsp:rsid wsp:val=&quot;002C2919&quot;/&gt;&lt;wsp:rsid wsp:val=&quot;002C528A&quot;/&gt;&lt;wsp:rsid wsp:val=&quot;002D2452&quot;/&gt;&lt;wsp:rsid wsp:val=&quot;002D4E78&quot;/&gt;&lt;wsp:rsid wsp:val=&quot;002D6644&quot;/&gt;&lt;wsp:rsid wsp:val=&quot;002E3508&quot;/&gt;&lt;wsp:rsid wsp:val=&quot;002E5DAA&quot;/&gt;&lt;wsp:rsid wsp:val=&quot;002E6D94&quot;/&gt;&lt;wsp:rsid wsp:val=&quot;002F04ED&quot;/&gt;&lt;wsp:rsid wsp:val=&quot;002F0B7B&quot;/&gt;&lt;wsp:rsid wsp:val=&quot;002F5984&quot;/&gt;&lt;wsp:rsid wsp:val=&quot;002F795C&quot;/&gt;&lt;wsp:rsid wsp:val=&quot;00307F98&quot;/&gt;&lt;wsp:rsid wsp:val=&quot;00310541&quot;/&gt;&lt;wsp:rsid wsp:val=&quot;00311973&quot;/&gt;&lt;wsp:rsid wsp:val=&quot;00312060&quot;/&gt;&lt;wsp:rsid wsp:val=&quot;00312448&quot;/&gt;&lt;wsp:rsid wsp:val=&quot;00312FDB&quot;/&gt;&lt;wsp:rsid wsp:val=&quot;00316F88&quot;/&gt;&lt;wsp:rsid wsp:val=&quot;00321D61&quot;/&gt;&lt;wsp:rsid wsp:val=&quot;0032389B&quot;/&gt;&lt;wsp:rsid wsp:val=&quot;00323C87&quot;/&gt;&lt;wsp:rsid wsp:val=&quot;00323DF5&quot;/&gt;&lt;wsp:rsid wsp:val=&quot;00326BF3&quot;/&gt;&lt;wsp:rsid wsp:val=&quot;00326CCD&quot;/&gt;&lt;wsp:rsid wsp:val=&quot;00333D7B&quot;/&gt;&lt;wsp:rsid wsp:val=&quot;0033645B&quot;/&gt;&lt;wsp:rsid wsp:val=&quot;00340B3D&quot;/&gt;&lt;wsp:rsid wsp:val=&quot;003424C7&quot;/&gt;&lt;wsp:rsid wsp:val=&quot;003463FB&quot;/&gt;&lt;wsp:rsid wsp:val=&quot;00347047&quot;/&gt;&lt;wsp:rsid wsp:val=&quot;0035179E&quot;/&gt;&lt;wsp:rsid wsp:val=&quot;00352CA9&quot;/&gt;&lt;wsp:rsid wsp:val=&quot;00353370&quot;/&gt;&lt;wsp:rsid wsp:val=&quot;00356365&quot;/&gt;&lt;wsp:rsid wsp:val=&quot;00357D83&quot;/&gt;&lt;wsp:rsid wsp:val=&quot;0036012A&quot;/&gt;&lt;wsp:rsid wsp:val=&quot;00361DA0&quot;/&gt;&lt;wsp:rsid wsp:val=&quot;00366587&quot;/&gt;&lt;wsp:rsid wsp:val=&quot;00373DF6&quot;/&gt;&lt;wsp:rsid wsp:val=&quot;00374E7E&quot;/&gt;&lt;wsp:rsid wsp:val=&quot;0037773C&quot;/&gt;&lt;wsp:rsid wsp:val=&quot;00381D71&quot;/&gt;&lt;wsp:rsid wsp:val=&quot;003834B7&quot;/&gt;&lt;wsp:rsid wsp:val=&quot;003846B2&quot;/&gt;&lt;wsp:rsid wsp:val=&quot;00385D84&quot;/&gt;&lt;wsp:rsid wsp:val=&quot;00386DD2&quot;/&gt;&lt;wsp:rsid wsp:val=&quot;00394DE7&quot;/&gt;&lt;wsp:rsid wsp:val=&quot;00395658&quot;/&gt;&lt;wsp:rsid wsp:val=&quot;0039794E&quot;/&gt;&lt;wsp:rsid wsp:val=&quot;00397CAD&quot;/&gt;&lt;wsp:rsid wsp:val=&quot;003A1EC7&quot;/&gt;&lt;wsp:rsid wsp:val=&quot;003A2223&quot;/&gt;&lt;wsp:rsid wsp:val=&quot;003A4001&quot;/&gt;&lt;wsp:rsid wsp:val=&quot;003A515B&quot;/&gt;&lt;wsp:rsid wsp:val=&quot;003B0C68&quot;/&gt;&lt;wsp:rsid wsp:val=&quot;003B0FB3&quot;/&gt;&lt;wsp:rsid wsp:val=&quot;003B15C0&quot;/&gt;&lt;wsp:rsid wsp:val=&quot;003B1DDD&quot;/&gt;&lt;wsp:rsid wsp:val=&quot;003B203F&quot;/&gt;&lt;wsp:rsid wsp:val=&quot;003B5354&quot;/&gt;&lt;wsp:rsid wsp:val=&quot;003B54C7&quot;/&gt;&lt;wsp:rsid wsp:val=&quot;003B7053&quot;/&gt;&lt;wsp:rsid wsp:val=&quot;003C1520&quot;/&gt;&lt;wsp:rsid wsp:val=&quot;003C3B14&quot;/&gt;&lt;wsp:rsid wsp:val=&quot;003C5266&quot;/&gt;&lt;wsp:rsid wsp:val=&quot;003D1377&quot;/&gt;&lt;wsp:rsid wsp:val=&quot;003D16D4&quot;/&gt;&lt;wsp:rsid wsp:val=&quot;003D5494&quot;/&gt;&lt;wsp:rsid wsp:val=&quot;003D5DDE&quot;/&gt;&lt;wsp:rsid wsp:val=&quot;003E0139&quot;/&gt;&lt;wsp:rsid wsp:val=&quot;003E0ED5&quot;/&gt;&lt;wsp:rsid wsp:val=&quot;003E2668&quot;/&gt;&lt;wsp:rsid wsp:val=&quot;003E2A97&quot;/&gt;&lt;wsp:rsid wsp:val=&quot;003E5F0A&quot;/&gt;&lt;wsp:rsid wsp:val=&quot;003E78A5&quot;/&gt;&lt;wsp:rsid wsp:val=&quot;003F2B39&quot;/&gt;&lt;wsp:rsid wsp:val=&quot;00400A83&quot;/&gt;&lt;wsp:rsid wsp:val=&quot;00401DB6&quot;/&gt;&lt;wsp:rsid wsp:val=&quot;00402A12&quot;/&gt;&lt;wsp:rsid wsp:val=&quot;00404856&quot;/&gt;&lt;wsp:rsid wsp:val=&quot;004072B3&quot;/&gt;&lt;wsp:rsid wsp:val=&quot;00407EBD&quot;/&gt;&lt;wsp:rsid wsp:val=&quot;00410F9E&quot;/&gt;&lt;wsp:rsid wsp:val=&quot;004112CA&quot;/&gt;&lt;wsp:rsid wsp:val=&quot;00412DB0&quot;/&gt;&lt;wsp:rsid wsp:val=&quot;00417F12&quot;/&gt;&lt;wsp:rsid wsp:val=&quot;004216F4&quot;/&gt;&lt;wsp:rsid wsp:val=&quot;00421AF5&quot;/&gt;&lt;wsp:rsid wsp:val=&quot;0042341D&quot;/&gt;&lt;wsp:rsid wsp:val=&quot;00423ED7&quot;/&gt;&lt;wsp:rsid wsp:val=&quot;0042487A&quot;/&gt;&lt;wsp:rsid wsp:val=&quot;004254B9&quot;/&gt;&lt;wsp:rsid wsp:val=&quot;004312F0&quot;/&gt;&lt;wsp:rsid wsp:val=&quot;00431711&quot;/&gt;&lt;wsp:rsid wsp:val=&quot;00436674&quot;/&gt;&lt;wsp:rsid wsp:val=&quot;00437343&quot;/&gt;&lt;wsp:rsid wsp:val=&quot;004420A4&quot;/&gt;&lt;wsp:rsid wsp:val=&quot;004421B4&quot;/&gt;&lt;wsp:rsid wsp:val=&quot;0044769C&quot;/&gt;&lt;wsp:rsid wsp:val=&quot;00447B2A&quot;/&gt;&lt;wsp:rsid wsp:val=&quot;00447EFF&quot;/&gt;&lt;wsp:rsid wsp:val=&quot;00451475&quot;/&gt;&lt;wsp:rsid wsp:val=&quot;004542EF&quot;/&gt;&lt;wsp:rsid wsp:val=&quot;0046720F&quot;/&gt;&lt;wsp:rsid wsp:val=&quot;0047185D&quot;/&gt;&lt;wsp:rsid wsp:val=&quot;0047230B&quot;/&gt;&lt;wsp:rsid wsp:val=&quot;00472927&quot;/&gt;&lt;wsp:rsid wsp:val=&quot;00472C0A&quot;/&gt;&lt;wsp:rsid wsp:val=&quot;0047533E&quot;/&gt;&lt;wsp:rsid wsp:val=&quot;00476855&quot;/&gt;&lt;wsp:rsid wsp:val=&quot;004856E4&quot;/&gt;&lt;wsp:rsid wsp:val=&quot;004869B5&quot;/&gt;&lt;wsp:rsid wsp:val=&quot;00487E6C&quot;/&gt;&lt;wsp:rsid wsp:val=&quot;00491082&quot;/&gt;&lt;wsp:rsid wsp:val=&quot;004977E5&quot;/&gt;&lt;wsp:rsid wsp:val=&quot;004A0E05&quot;/&gt;&lt;wsp:rsid wsp:val=&quot;004A19E3&quot;/&gt;&lt;wsp:rsid wsp:val=&quot;004A55FE&quot;/&gt;&lt;wsp:rsid wsp:val=&quot;004B5D92&quot;/&gt;&lt;wsp:rsid wsp:val=&quot;004B5DBA&quot;/&gt;&lt;wsp:rsid wsp:val=&quot;004B7F7D&quot;/&gt;&lt;wsp:rsid wsp:val=&quot;004C3883&quot;/&gt;&lt;wsp:rsid wsp:val=&quot;004C4D7B&quot;/&gt;&lt;wsp:rsid wsp:val=&quot;004C683B&quot;/&gt;&lt;wsp:rsid wsp:val=&quot;004D1026&quot;/&gt;&lt;wsp:rsid wsp:val=&quot;004D3A4A&quot;/&gt;&lt;wsp:rsid wsp:val=&quot;004D4219&quot;/&gt;&lt;wsp:rsid wsp:val=&quot;004E0BC6&quot;/&gt;&lt;wsp:rsid wsp:val=&quot;004E108E&quot;/&gt;&lt;wsp:rsid wsp:val=&quot;004E227D&quot;/&gt;&lt;wsp:rsid wsp:val=&quot;004E3D70&quot;/&gt;&lt;wsp:rsid wsp:val=&quot;004E51E2&quot;/&gt;&lt;wsp:rsid wsp:val=&quot;004E53CE&quot;/&gt;&lt;wsp:rsid wsp:val=&quot;004E5671&quot;/&gt;&lt;wsp:rsid wsp:val=&quot;004E684C&quot;/&gt;&lt;wsp:rsid wsp:val=&quot;004F0FDE&quot;/&gt;&lt;wsp:rsid wsp:val=&quot;004F29C2&quot;/&gt;&lt;wsp:rsid wsp:val=&quot;004F2EA9&quot;/&gt;&lt;wsp:rsid wsp:val=&quot;004F5BC5&quot;/&gt;&lt;wsp:rsid wsp:val=&quot;00504DDE&quot;/&gt;&lt;wsp:rsid wsp:val=&quot;00506B45&quot;/&gt;&lt;wsp:rsid wsp:val=&quot;00511A5B&quot;/&gt;&lt;wsp:rsid wsp:val=&quot;00512B39&quot;/&gt;&lt;wsp:rsid wsp:val=&quot;0051407A&quot;/&gt;&lt;wsp:rsid wsp:val=&quot;005152DB&quot;/&gt;&lt;wsp:rsid wsp:val=&quot;0051794A&quot;/&gt;&lt;wsp:rsid wsp:val=&quot;00522954&quot;/&gt;&lt;wsp:rsid wsp:val=&quot;00527B3B&quot;/&gt;&lt;wsp:rsid wsp:val=&quot;00530C13&quot;/&gt;&lt;wsp:rsid wsp:val=&quot;00530E27&quot;/&gt;&lt;wsp:rsid wsp:val=&quot;00531D3C&quot;/&gt;&lt;wsp:rsid wsp:val=&quot;00532162&quot;/&gt;&lt;wsp:rsid wsp:val=&quot;00540500&quot;/&gt;&lt;wsp:rsid wsp:val=&quot;00547A21&quot;/&gt;&lt;wsp:rsid wsp:val=&quot;00547D8C&quot;/&gt;&lt;wsp:rsid wsp:val=&quot;00547DF7&quot;/&gt;&lt;wsp:rsid wsp:val=&quot;005513FD&quot;/&gt;&lt;wsp:rsid wsp:val=&quot;00552117&quot;/&gt;&lt;wsp:rsid wsp:val=&quot;00552DAB&quot;/&gt;&lt;wsp:rsid wsp:val=&quot;005577AB&quot;/&gt;&lt;wsp:rsid wsp:val=&quot;0056060D&quot;/&gt;&lt;wsp:rsid wsp:val=&quot;0056060F&quot;/&gt;&lt;wsp:rsid wsp:val=&quot;00563709&quot;/&gt;&lt;wsp:rsid wsp:val=&quot;0056433F&quot;/&gt;&lt;wsp:rsid wsp:val=&quot;00565B10&quot;/&gt;&lt;wsp:rsid wsp:val=&quot;00566856&quot;/&gt;&lt;wsp:rsid wsp:val=&quot;00566F0C&quot;/&gt;&lt;wsp:rsid wsp:val=&quot;00567124&quot;/&gt;&lt;wsp:rsid wsp:val=&quot;00567128&quot;/&gt;&lt;wsp:rsid wsp:val=&quot;00571C04&quot;/&gt;&lt;wsp:rsid wsp:val=&quot;0057474F&quot;/&gt;&lt;wsp:rsid wsp:val=&quot;00574A2D&quot;/&gt;&lt;wsp:rsid wsp:val=&quot;00576F3C&quot;/&gt;&lt;wsp:rsid wsp:val=&quot;005773EA&quot;/&gt;&lt;wsp:rsid wsp:val=&quot;005803AA&quot;/&gt;&lt;wsp:rsid wsp:val=&quot;00584EC2&quot;/&gt;&lt;wsp:rsid wsp:val=&quot;005902AC&quot;/&gt;&lt;wsp:rsid wsp:val=&quot;0059221F&quot;/&gt;&lt;wsp:rsid wsp:val=&quot;00596461&quot;/&gt;&lt;wsp:rsid wsp:val=&quot;0059695C&quot;/&gt;&lt;wsp:rsid wsp:val=&quot;005A1380&quot;/&gt;&lt;wsp:rsid wsp:val=&quot;005A1822&quot;/&gt;&lt;wsp:rsid wsp:val=&quot;005A1D3D&quot;/&gt;&lt;wsp:rsid wsp:val=&quot;005A5830&quot;/&gt;&lt;wsp:rsid wsp:val=&quot;005A7AFC&quot;/&gt;&lt;wsp:rsid wsp:val=&quot;005B15B4&quot;/&gt;&lt;wsp:rsid wsp:val=&quot;005B4B45&quot;/&gt;&lt;wsp:rsid wsp:val=&quot;005B5D49&quot;/&gt;&lt;wsp:rsid wsp:val=&quot;005B6972&quot;/&gt;&lt;wsp:rsid wsp:val=&quot;005B70DF&quot;/&gt;&lt;wsp:rsid wsp:val=&quot;005B7AF6&quot;/&gt;&lt;wsp:rsid wsp:val=&quot;005C0CA8&quot;/&gt;&lt;wsp:rsid wsp:val=&quot;005C5803&quot;/&gt;&lt;wsp:rsid wsp:val=&quot;005D54A6&quot;/&gt;&lt;wsp:rsid wsp:val=&quot;005D630A&quot;/&gt;&lt;wsp:rsid wsp:val=&quot;005E2B82&quot;/&gt;&lt;wsp:rsid wsp:val=&quot;005E6EAC&quot;/&gt;&lt;wsp:rsid wsp:val=&quot;005F06B4&quot;/&gt;&lt;wsp:rsid wsp:val=&quot;00600ED6&quot;/&gt;&lt;wsp:rsid wsp:val=&quot;00601580&quot;/&gt;&lt;wsp:rsid wsp:val=&quot;00603D67&quot;/&gt;&lt;wsp:rsid wsp:val=&quot;00612002&quot;/&gt;&lt;wsp:rsid wsp:val=&quot;00612B9F&quot;/&gt;&lt;wsp:rsid wsp:val=&quot;00613B10&quot;/&gt;&lt;wsp:rsid wsp:val=&quot;0061736F&quot;/&gt;&lt;wsp:rsid wsp:val=&quot;006174A7&quot;/&gt;&lt;wsp:rsid wsp:val=&quot;00623724&quot;/&gt;&lt;wsp:rsid wsp:val=&quot;00626BC3&quot;/&gt;&lt;wsp:rsid wsp:val=&quot;00630B03&quot;/&gt;&lt;wsp:rsid wsp:val=&quot;0063270A&quot;/&gt;&lt;wsp:rsid wsp:val=&quot;00635CB8&quot;/&gt;&lt;wsp:rsid wsp:val=&quot;006372D5&quot;/&gt;&lt;wsp:rsid wsp:val=&quot;00641A45&quot;/&gt;&lt;wsp:rsid wsp:val=&quot;006479E6&quot;/&gt;&lt;wsp:rsid wsp:val=&quot;006517DE&quot;/&gt;&lt;wsp:rsid wsp:val=&quot;006526D2&quot;/&gt;&lt;wsp:rsid wsp:val=&quot;0065465B&quot;/&gt;&lt;wsp:rsid wsp:val=&quot;00654ACE&quot;/&gt;&lt;wsp:rsid wsp:val=&quot;00660A01&quot;/&gt;&lt;wsp:rsid wsp:val=&quot;0066247F&quot;/&gt;&lt;wsp:rsid wsp:val=&quot;00663A8D&quot;/&gt;&lt;wsp:rsid wsp:val=&quot;006648ED&quot;/&gt;&lt;wsp:rsid wsp:val=&quot;006706D2&quot;/&gt;&lt;wsp:rsid wsp:val=&quot;006724A1&quot;/&gt;&lt;wsp:rsid wsp:val=&quot;006752E3&quot;/&gt;&lt;wsp:rsid wsp:val=&quot;00676867&quot;/&gt;&lt;wsp:rsid wsp:val=&quot;00676E0F&quot;/&gt;&lt;wsp:rsid wsp:val=&quot;006808D5&quot;/&gt;&lt;wsp:rsid wsp:val=&quot;00683541&quot;/&gt;&lt;wsp:rsid wsp:val=&quot;00686361&quot;/&gt;&lt;wsp:rsid wsp:val=&quot;00693874&quot;/&gt;&lt;wsp:rsid wsp:val=&quot;0069443B&quot;/&gt;&lt;wsp:rsid wsp:val=&quot;0069772F&quot;/&gt;&lt;wsp:rsid wsp:val=&quot;006A15BB&quot;/&gt;&lt;wsp:rsid wsp:val=&quot;006A2BA7&quot;/&gt;&lt;wsp:rsid wsp:val=&quot;006A4424&quot;/&gt;&lt;wsp:rsid wsp:val=&quot;006A4477&quot;/&gt;&lt;wsp:rsid wsp:val=&quot;006A6896&quot;/&gt;&lt;wsp:rsid wsp:val=&quot;006A7DC8&quot;/&gt;&lt;wsp:rsid wsp:val=&quot;006B4E14&quot;/&gt;&lt;wsp:rsid wsp:val=&quot;006B6454&quot;/&gt;&lt;wsp:rsid wsp:val=&quot;006C2675&quot;/&gt;&lt;wsp:rsid wsp:val=&quot;006C2E47&quot;/&gt;&lt;wsp:rsid wsp:val=&quot;006D0401&quot;/&gt;&lt;wsp:rsid wsp:val=&quot;006D238B&quot;/&gt;&lt;wsp:rsid wsp:val=&quot;006D2620&quot;/&gt;&lt;wsp:rsid wsp:val=&quot;006D53CA&quot;/&gt;&lt;wsp:rsid wsp:val=&quot;006D6871&quot;/&gt;&lt;wsp:rsid wsp:val=&quot;006E0EB2&quot;/&gt;&lt;wsp:rsid wsp:val=&quot;006E143E&quot;/&gt;&lt;wsp:rsid wsp:val=&quot;006E2C79&quot;/&gt;&lt;wsp:rsid wsp:val=&quot;006E34BE&quot;/&gt;&lt;wsp:rsid wsp:val=&quot;006E6593&quot;/&gt;&lt;wsp:rsid wsp:val=&quot;006F3DE5&quot;/&gt;&lt;wsp:rsid wsp:val=&quot;006F4F19&quot;/&gt;&lt;wsp:rsid wsp:val=&quot;006F5917&quot;/&gt;&lt;wsp:rsid wsp:val=&quot;00704FE7&quot;/&gt;&lt;wsp:rsid wsp:val=&quot;007204F8&quot;/&gt;&lt;wsp:rsid wsp:val=&quot;007217F7&quot;/&gt;&lt;wsp:rsid wsp:val=&quot;0072644E&quot;/&gt;&lt;wsp:rsid wsp:val=&quot;007324C6&quot;/&gt;&lt;wsp:rsid wsp:val=&quot;007336C1&quot;/&gt;&lt;wsp:rsid wsp:val=&quot;00734B96&quot;/&gt;&lt;wsp:rsid wsp:val=&quot;00734BDE&quot;/&gt;&lt;wsp:rsid wsp:val=&quot;007353BC&quot;/&gt;&lt;wsp:rsid wsp:val=&quot;00735B91&quot;/&gt;&lt;wsp:rsid wsp:val=&quot;00736034&quot;/&gt;&lt;wsp:rsid wsp:val=&quot;00737B44&quot;/&gt;&lt;wsp:rsid wsp:val=&quot;007404B6&quot;/&gt;&lt;wsp:rsid wsp:val=&quot;00740A86&quot;/&gt;&lt;wsp:rsid wsp:val=&quot;00744E53&quot;/&gt;&lt;wsp:rsid wsp:val=&quot;00746F5B&quot;/&gt;&lt;wsp:rsid wsp:val=&quot;007619C2&quot;/&gt;&lt;wsp:rsid wsp:val=&quot;007652D1&quot;/&gt;&lt;wsp:rsid wsp:val=&quot;007662BE&quot;/&gt;&lt;wsp:rsid wsp:val=&quot;00773C54&quot;/&gt;&lt;wsp:rsid wsp:val=&quot;00774B58&quot;/&gt;&lt;wsp:rsid wsp:val=&quot;00774C8F&quot;/&gt;&lt;wsp:rsid wsp:val=&quot;007751C5&quot;/&gt;&lt;wsp:rsid wsp:val=&quot;00783BCE&quot;/&gt;&lt;wsp:rsid wsp:val=&quot;007855B9&quot;/&gt;&lt;wsp:rsid wsp:val=&quot;0078686E&quot;/&gt;&lt;wsp:rsid wsp:val=&quot;00790C0D&quot;/&gt;&lt;wsp:rsid wsp:val=&quot;00793A4F&quot;/&gt;&lt;wsp:rsid wsp:val=&quot;00797379&quot;/&gt;&lt;wsp:rsid wsp:val=&quot;007976F5&quot;/&gt;&lt;wsp:rsid wsp:val=&quot;007A20B6&quot;/&gt;&lt;wsp:rsid wsp:val=&quot;007A3AC2&quot;/&gt;&lt;wsp:rsid wsp:val=&quot;007A498B&quot;/&gt;&lt;wsp:rsid wsp:val=&quot;007A59AB&quot;/&gt;&lt;wsp:rsid wsp:val=&quot;007A61AB&quot;/&gt;&lt;wsp:rsid wsp:val=&quot;007A6EA1&quot;/&gt;&lt;wsp:rsid wsp:val=&quot;007A7175&quot;/&gt;&lt;wsp:rsid wsp:val=&quot;007B0689&quot;/&gt;&lt;wsp:rsid wsp:val=&quot;007B3E40&quot;/&gt;&lt;wsp:rsid wsp:val=&quot;007B557A&quot;/&gt;&lt;wsp:rsid wsp:val=&quot;007C2FD2&quot;/&gt;&lt;wsp:rsid wsp:val=&quot;007C7757&quot;/&gt;&lt;wsp:rsid wsp:val=&quot;007D5BE3&quot;/&gt;&lt;wsp:rsid wsp:val=&quot;007E5636&quot;/&gt;&lt;wsp:rsid wsp:val=&quot;007E6498&quot;/&gt;&lt;wsp:rsid wsp:val=&quot;007F2F6F&quot;/&gt;&lt;wsp:rsid wsp:val=&quot;007F7C58&quot;/&gt;&lt;wsp:rsid wsp:val=&quot;00802A93&quot;/&gt;&lt;wsp:rsid wsp:val=&quot;00803A34&quot;/&gt;&lt;wsp:rsid wsp:val=&quot;00804FA2&quot;/&gt;&lt;wsp:rsid wsp:val=&quot;00805659&quot;/&gt;&lt;wsp:rsid wsp:val=&quot;00807909&quot;/&gt;&lt;wsp:rsid wsp:val=&quot;00807C45&quot;/&gt;&lt;wsp:rsid wsp:val=&quot;00807CA1&quot;/&gt;&lt;wsp:rsid wsp:val=&quot;00810858&quot;/&gt;&lt;wsp:rsid wsp:val=&quot;0081129E&quot;/&gt;&lt;wsp:rsid wsp:val=&quot;0081393D&quot;/&gt;&lt;wsp:rsid wsp:val=&quot;00813DEA&quot;/&gt;&lt;wsp:rsid wsp:val=&quot;008147B4&quot;/&gt;&lt;wsp:rsid wsp:val=&quot;00817159&quot;/&gt;&lt;wsp:rsid wsp:val=&quot;0081715B&quot;/&gt;&lt;wsp:rsid wsp:val=&quot;00821C98&quot;/&gt;&lt;wsp:rsid wsp:val=&quot;008267F9&quot;/&gt;&lt;wsp:rsid wsp:val=&quot;00827021&quot;/&gt;&lt;wsp:rsid wsp:val=&quot;008308A3&quot;/&gt;&lt;wsp:rsid wsp:val=&quot;00837F08&quot;/&gt;&lt;wsp:rsid wsp:val=&quot;00842892&quot;/&gt;&lt;wsp:rsid wsp:val=&quot;008472A7&quot;/&gt;&lt;wsp:rsid wsp:val=&quot;00850C17&quot;/&gt;&lt;wsp:rsid wsp:val=&quot;0085133D&quot;/&gt;&lt;wsp:rsid wsp:val=&quot;00860A9B&quot;/&gt;&lt;wsp:rsid wsp:val=&quot;0086270E&quot;/&gt;&lt;wsp:rsid wsp:val=&quot;0086456E&quot;/&gt;&lt;wsp:rsid wsp:val=&quot;008663E2&quot;/&gt;&lt;wsp:rsid wsp:val=&quot;008670ED&quot;/&gt;&lt;wsp:rsid wsp:val=&quot;0087504B&quot;/&gt;&lt;wsp:rsid wsp:val=&quot;00875C12&quot;/&gt;&lt;wsp:rsid wsp:val=&quot;00876EE4&quot;/&gt;&lt;wsp:rsid wsp:val=&quot;00883C1D&quot;/&gt;&lt;wsp:rsid wsp:val=&quot;0088586D&quot;/&gt;&lt;wsp:rsid wsp:val=&quot;008871EC&quot;/&gt;&lt;wsp:rsid wsp:val=&quot;00887400&quot;/&gt;&lt;wsp:rsid wsp:val=&quot;008922B9&quot;/&gt;&lt;wsp:rsid wsp:val=&quot;008954D5&quot;/&gt;&lt;wsp:rsid wsp:val=&quot;0089567C&quot;/&gt;&lt;wsp:rsid wsp:val=&quot;008A197D&quot;/&gt;&lt;wsp:rsid wsp:val=&quot;008A380A&quot;/&gt;&lt;wsp:rsid wsp:val=&quot;008A3AC4&quot;/&gt;&lt;wsp:rsid wsp:val=&quot;008A3C6C&quot;/&gt;&lt;wsp:rsid wsp:val=&quot;008A5962&quot;/&gt;&lt;wsp:rsid wsp:val=&quot;008B00C2&quot;/&gt;&lt;wsp:rsid wsp:val=&quot;008B326A&quot;/&gt;&lt;wsp:rsid wsp:val=&quot;008B574C&quot;/&gt;&lt;wsp:rsid wsp:val=&quot;008C05A0&quot;/&gt;&lt;wsp:rsid wsp:val=&quot;008C5449&quot;/&gt;&lt;wsp:rsid wsp:val=&quot;008C5F86&quot;/&gt;&lt;wsp:rsid wsp:val=&quot;008D20DC&quot;/&gt;&lt;wsp:rsid wsp:val=&quot;008D7BAF&quot;/&gt;&lt;wsp:rsid wsp:val=&quot;008E2BE0&quot;/&gt;&lt;wsp:rsid wsp:val=&quot;008E4220&quot;/&gt;&lt;wsp:rsid wsp:val=&quot;008F369A&quot;/&gt;&lt;wsp:rsid wsp:val=&quot;008F420C&quot;/&gt;&lt;wsp:rsid wsp:val=&quot;008F7BA0&quot;/&gt;&lt;wsp:rsid wsp:val=&quot;00901515&quot;/&gt;&lt;wsp:rsid wsp:val=&quot;00901EA4&quot;/&gt;&lt;wsp:rsid wsp:val=&quot;00914DA9&quot;/&gt;&lt;wsp:rsid wsp:val=&quot;00915A38&quot;/&gt;&lt;wsp:rsid wsp:val=&quot;009203AD&quot;/&gt;&lt;wsp:rsid wsp:val=&quot;00932146&quot;/&gt;&lt;wsp:rsid wsp:val=&quot;009352BD&quot;/&gt;&lt;wsp:rsid wsp:val=&quot;009352F5&quot;/&gt;&lt;wsp:rsid wsp:val=&quot;00935429&quot;/&gt;&lt;wsp:rsid wsp:val=&quot;009375D0&quot;/&gt;&lt;wsp:rsid wsp:val=&quot;0094299B&quot;/&gt;&lt;wsp:rsid wsp:val=&quot;00942C0E&quot;/&gt;&lt;wsp:rsid wsp:val=&quot;009448C2&quot;/&gt;&lt;wsp:rsid wsp:val=&quot;0094633F&quot;/&gt;&lt;wsp:rsid wsp:val=&quot;009467A3&quot;/&gt;&lt;wsp:rsid wsp:val=&quot;00954557&quot;/&gt;&lt;wsp:rsid wsp:val=&quot;00954909&quot;/&gt;&lt;wsp:rsid wsp:val=&quot;0095524E&quot;/&gt;&lt;wsp:rsid wsp:val=&quot;00956597&quot;/&gt;&lt;wsp:rsid wsp:val=&quot;00957B93&quot;/&gt;&lt;wsp:rsid wsp:val=&quot;009612C0&quot;/&gt;&lt;wsp:rsid wsp:val=&quot;0096230B&quot;/&gt;&lt;wsp:rsid wsp:val=&quot;00962AFB&quot;/&gt;&lt;wsp:rsid wsp:val=&quot;009634B4&quot;/&gt;&lt;wsp:rsid wsp:val=&quot;009635FD&quot;/&gt;&lt;wsp:rsid wsp:val=&quot;00964279&quot;/&gt;&lt;wsp:rsid wsp:val=&quot;00965423&quot;/&gt;&lt;wsp:rsid wsp:val=&quot;009672EE&quot;/&gt;&lt;wsp:rsid wsp:val=&quot;00967D83&quot;/&gt;&lt;wsp:rsid wsp:val=&quot;0097132D&quot;/&gt;&lt;wsp:rsid wsp:val=&quot;009746A1&quot;/&gt;&lt;wsp:rsid wsp:val=&quot;0097537C&quot;/&gt;&lt;wsp:rsid wsp:val=&quot;00975CBA&quot;/&gt;&lt;wsp:rsid wsp:val=&quot;00980395&quot;/&gt;&lt;wsp:rsid wsp:val=&quot;009805A2&quot;/&gt;&lt;wsp:rsid wsp:val=&quot;00980B97&quot;/&gt;&lt;wsp:rsid wsp:val=&quot;00987C8E&quot;/&gt;&lt;wsp:rsid wsp:val=&quot;00997488&quot;/&gt;&lt;wsp:rsid wsp:val=&quot;009B5CF9&quot;/&gt;&lt;wsp:rsid wsp:val=&quot;009C3B84&quot;/&gt;&lt;wsp:rsid wsp:val=&quot;009C4155&quot;/&gt;&lt;wsp:rsid wsp:val=&quot;009D4539&quot;/&gt;&lt;wsp:rsid wsp:val=&quot;009D5E41&quot;/&gt;&lt;wsp:rsid wsp:val=&quot;009D7925&quot;/&gt;&lt;wsp:rsid wsp:val=&quot;009E2507&quot;/&gt;&lt;wsp:rsid wsp:val=&quot;009E3360&quot;/&gt;&lt;wsp:rsid wsp:val=&quot;009E3676&quot;/&gt;&lt;wsp:rsid wsp:val=&quot;009E6C42&quot;/&gt;&lt;wsp:rsid wsp:val=&quot;009F05BA&quot;/&gt;&lt;wsp:rsid wsp:val=&quot;009F6139&quot;/&gt;&lt;wsp:rsid wsp:val=&quot;009F6CB9&quot;/&gt;&lt;wsp:rsid wsp:val=&quot;00A00006&quot;/&gt;&lt;wsp:rsid wsp:val=&quot;00A003F1&quot;/&gt;&lt;wsp:rsid wsp:val=&quot;00A0220C&quot;/&gt;&lt;wsp:rsid wsp:val=&quot;00A03173&quot;/&gt;&lt;wsp:rsid wsp:val=&quot;00A101C0&quot;/&gt;&lt;wsp:rsid wsp:val=&quot;00A10CE1&quot;/&gt;&lt;wsp:rsid wsp:val=&quot;00A1225C&quot;/&gt;&lt;wsp:rsid wsp:val=&quot;00A1567C&quot;/&gt;&lt;wsp:rsid wsp:val=&quot;00A16425&quot;/&gt;&lt;wsp:rsid wsp:val=&quot;00A307AA&quot;/&gt;&lt;wsp:rsid wsp:val=&quot;00A32D87&quot;/&gt;&lt;wsp:rsid wsp:val=&quot;00A32EF2&quot;/&gt;&lt;wsp:rsid wsp:val=&quot;00A33959&quot;/&gt;&lt;wsp:rsid wsp:val=&quot;00A4092A&quot;/&gt;&lt;wsp:rsid wsp:val=&quot;00A426FF&quot;/&gt;&lt;wsp:rsid wsp:val=&quot;00A43783&quot;/&gt;&lt;wsp:rsid wsp:val=&quot;00A45018&quot;/&gt;&lt;wsp:rsid wsp:val=&quot;00A45B03&quot;/&gt;&lt;wsp:rsid wsp:val=&quot;00A468F0&quot;/&gt;&lt;wsp:rsid wsp:val=&quot;00A51113&quot;/&gt;&lt;wsp:rsid wsp:val=&quot;00A51F11&quot;/&gt;&lt;wsp:rsid wsp:val=&quot;00A53F63&quot;/&gt;&lt;wsp:rsid wsp:val=&quot;00A557EA&quot;/&gt;&lt;wsp:rsid wsp:val=&quot;00A56587&quot;/&gt;&lt;wsp:rsid wsp:val=&quot;00A5778A&quot;/&gt;&lt;wsp:rsid wsp:val=&quot;00A6096E&quot;/&gt;&lt;wsp:rsid wsp:val=&quot;00A609F1&quot;/&gt;&lt;wsp:rsid wsp:val=&quot;00A61370&quot;/&gt;&lt;wsp:rsid wsp:val=&quot;00A61FB8&quot;/&gt;&lt;wsp:rsid wsp:val=&quot;00A6378F&quot;/&gt;&lt;wsp:rsid wsp:val=&quot;00A64EC3&quot;/&gt;&lt;wsp:rsid wsp:val=&quot;00A650D1&quot;/&gt;&lt;wsp:rsid wsp:val=&quot;00A65FA7&quot;/&gt;&lt;wsp:rsid wsp:val=&quot;00A6788A&quot;/&gt;&lt;wsp:rsid wsp:val=&quot;00A67C64&quot;/&gt;&lt;wsp:rsid wsp:val=&quot;00A72379&quot;/&gt;&lt;wsp:rsid wsp:val=&quot;00A77587&quot;/&gt;&lt;wsp:rsid wsp:val=&quot;00A805B2&quot;/&gt;&lt;wsp:rsid wsp:val=&quot;00A82F33&quot;/&gt;&lt;wsp:rsid wsp:val=&quot;00A864D7&quot;/&gt;&lt;wsp:rsid wsp:val=&quot;00A86D91&quot;/&gt;&lt;wsp:rsid wsp:val=&quot;00A87928&quot;/&gt;&lt;wsp:rsid wsp:val=&quot;00A96420&quot;/&gt;&lt;wsp:rsid wsp:val=&quot;00AA1382&quot;/&gt;&lt;wsp:rsid wsp:val=&quot;00AA193E&quot;/&gt;&lt;wsp:rsid wsp:val=&quot;00AA2ACD&quot;/&gt;&lt;wsp:rsid wsp:val=&quot;00AA5E67&quot;/&gt;&lt;wsp:rsid wsp:val=&quot;00AB066E&quot;/&gt;&lt;wsp:rsid wsp:val=&quot;00AB140F&quot;/&gt;&lt;wsp:rsid wsp:val=&quot;00AB187B&quot;/&gt;&lt;wsp:rsid wsp:val=&quot;00AB2007&quot;/&gt;&lt;wsp:rsid wsp:val=&quot;00AB2336&quot;/&gt;&lt;wsp:rsid wsp:val=&quot;00AB2E29&quot;/&gt;&lt;wsp:rsid wsp:val=&quot;00AB62A4&quot;/&gt;&lt;wsp:rsid wsp:val=&quot;00AB78FF&quot;/&gt;&lt;wsp:rsid wsp:val=&quot;00AC163F&quot;/&gt;&lt;wsp:rsid wsp:val=&quot;00AC32BF&quot;/&gt;&lt;wsp:rsid wsp:val=&quot;00AC4973&quot;/&gt;&lt;wsp:rsid wsp:val=&quot;00AD07F5&quot;/&gt;&lt;wsp:rsid wsp:val=&quot;00AD122E&quot;/&gt;&lt;wsp:rsid wsp:val=&quot;00AD1312&quot;/&gt;&lt;wsp:rsid wsp:val=&quot;00AD4677&quot;/&gt;&lt;wsp:rsid wsp:val=&quot;00AE67F6&quot;/&gt;&lt;wsp:rsid wsp:val=&quot;00AF10DE&quot;/&gt;&lt;wsp:rsid wsp:val=&quot;00AF24CE&quot;/&gt;&lt;wsp:rsid wsp:val=&quot;00B05105&quot;/&gt;&lt;wsp:rsid wsp:val=&quot;00B06444&quot;/&gt;&lt;wsp:rsid wsp:val=&quot;00B1070F&quot;/&gt;&lt;wsp:rsid wsp:val=&quot;00B11D17&quot;/&gt;&lt;wsp:rsid wsp:val=&quot;00B120A2&quot;/&gt;&lt;wsp:rsid wsp:val=&quot;00B16365&quot;/&gt;&lt;wsp:rsid wsp:val=&quot;00B16DA3&quot;/&gt;&lt;wsp:rsid wsp:val=&quot;00B1725C&quot;/&gt;&lt;wsp:rsid wsp:val=&quot;00B17266&quot;/&gt;&lt;wsp:rsid wsp:val=&quot;00B212AD&quot;/&gt;&lt;wsp:rsid wsp:val=&quot;00B23F28&quot;/&gt;&lt;wsp:rsid wsp:val=&quot;00B30E79&quot;/&gt;&lt;wsp:rsid wsp:val=&quot;00B3456C&quot;/&gt;&lt;wsp:rsid wsp:val=&quot;00B43FA7&quot;/&gt;&lt;wsp:rsid wsp:val=&quot;00B46351&quot;/&gt;&lt;wsp:rsid wsp:val=&quot;00B509EF&quot;/&gt;&lt;wsp:rsid wsp:val=&quot;00B559E7&quot;/&gt;&lt;wsp:rsid wsp:val=&quot;00B56326&quot;/&gt;&lt;wsp:rsid wsp:val=&quot;00B579EE&quot;/&gt;&lt;wsp:rsid wsp:val=&quot;00B606EC&quot;/&gt;&lt;wsp:rsid wsp:val=&quot;00B61D74&quot;/&gt;&lt;wsp:rsid wsp:val=&quot;00B62ACD&quot;/&gt;&lt;wsp:rsid wsp:val=&quot;00B63DCE&quot;/&gt;&lt;wsp:rsid wsp:val=&quot;00B67B38&quot;/&gt;&lt;wsp:rsid wsp:val=&quot;00B706F4&quot;/&gt;&lt;wsp:rsid wsp:val=&quot;00B71352&quot;/&gt;&lt;wsp:rsid wsp:val=&quot;00B71E81&quot;/&gt;&lt;wsp:rsid wsp:val=&quot;00B71F27&quot;/&gt;&lt;wsp:rsid wsp:val=&quot;00B727B0&quot;/&gt;&lt;wsp:rsid wsp:val=&quot;00B748E7&quot;/&gt;&lt;wsp:rsid wsp:val=&quot;00B748FF&quot;/&gt;&lt;wsp:rsid wsp:val=&quot;00B769CB&quot;/&gt;&lt;wsp:rsid wsp:val=&quot;00B771B0&quot;/&gt;&lt;wsp:rsid wsp:val=&quot;00B809E7&quot;/&gt;&lt;wsp:rsid wsp:val=&quot;00B82C2D&quot;/&gt;&lt;wsp:rsid wsp:val=&quot;00B86BEE&quot;/&gt;&lt;wsp:rsid wsp:val=&quot;00B87141&quot;/&gt;&lt;wsp:rsid wsp:val=&quot;00B878D0&quot;/&gt;&lt;wsp:rsid wsp:val=&quot;00B91296&quot;/&gt;&lt;wsp:rsid wsp:val=&quot;00B97C35&quot;/&gt;&lt;wsp:rsid wsp:val=&quot;00BA0FF7&quot;/&gt;&lt;wsp:rsid wsp:val=&quot;00BA6495&quot;/&gt;&lt;wsp:rsid wsp:val=&quot;00BB754F&quot;/&gt;&lt;wsp:rsid wsp:val=&quot;00BC29E2&quot;/&gt;&lt;wsp:rsid wsp:val=&quot;00BC37FC&quot;/&gt;&lt;wsp:rsid wsp:val=&quot;00BC5E24&quot;/&gt;&lt;wsp:rsid wsp:val=&quot;00BC67C8&quot;/&gt;&lt;wsp:rsid wsp:val=&quot;00BC736B&quot;/&gt;&lt;wsp:rsid wsp:val=&quot;00BD253F&quot;/&gt;&lt;wsp:rsid wsp:val=&quot;00BD3528&quot;/&gt;&lt;wsp:rsid wsp:val=&quot;00BD3AD8&quot;/&gt;&lt;wsp:rsid wsp:val=&quot;00BE64AE&quot;/&gt;&lt;wsp:rsid wsp:val=&quot;00BE7B95&quot;/&gt;&lt;wsp:rsid wsp:val=&quot;00BF40BF&quot;/&gt;&lt;wsp:rsid wsp:val=&quot;00BF6D76&quot;/&gt;&lt;wsp:rsid wsp:val=&quot;00BF73D6&quot;/&gt;&lt;wsp:rsid wsp:val=&quot;00C005B9&quot;/&gt;&lt;wsp:rsid wsp:val=&quot;00C02B8B&quot;/&gt;&lt;wsp:rsid wsp:val=&quot;00C1487A&quot;/&gt;&lt;wsp:rsid wsp:val=&quot;00C153A9&quot;/&gt;&lt;wsp:rsid wsp:val=&quot;00C31D46&quot;/&gt;&lt;wsp:rsid wsp:val=&quot;00C32A65&quot;/&gt;&lt;wsp:rsid wsp:val=&quot;00C35C4C&quot;/&gt;&lt;wsp:rsid wsp:val=&quot;00C3686D&quot;/&gt;&lt;wsp:rsid wsp:val=&quot;00C47283&quot;/&gt;&lt;wsp:rsid wsp:val=&quot;00C547EA&quot;/&gt;&lt;wsp:rsid wsp:val=&quot;00C5635C&quot;/&gt;&lt;wsp:rsid wsp:val=&quot;00C61148&quot;/&gt;&lt;wsp:rsid wsp:val=&quot;00C66042&quot;/&gt;&lt;wsp:rsid wsp:val=&quot;00C66BE1&quot;/&gt;&lt;wsp:rsid wsp:val=&quot;00C6766E&quot;/&gt;&lt;wsp:rsid wsp:val=&quot;00C67811&quot;/&gt;&lt;wsp:rsid wsp:val=&quot;00C67969&quot;/&gt;&lt;wsp:rsid wsp:val=&quot;00C73F74&quot;/&gt;&lt;wsp:rsid wsp:val=&quot;00C74764&quot;/&gt;&lt;wsp:rsid wsp:val=&quot;00C76AD9&quot;/&gt;&lt;wsp:rsid wsp:val=&quot;00C77FEB&quot;/&gt;&lt;wsp:rsid wsp:val=&quot;00C80A50&quot;/&gt;&lt;wsp:rsid wsp:val=&quot;00C822F5&quot;/&gt;&lt;wsp:rsid wsp:val=&quot;00C851BB&quot;/&gt;&lt;wsp:rsid wsp:val=&quot;00C85B54&quot;/&gt;&lt;wsp:rsid wsp:val=&quot;00C87EF4&quot;/&gt;&lt;wsp:rsid wsp:val=&quot;00C9024C&quot;/&gt;&lt;wsp:rsid wsp:val=&quot;00CA3682&quot;/&gt;&lt;wsp:rsid wsp:val=&quot;00CA586C&quot;/&gt;&lt;wsp:rsid wsp:val=&quot;00CA7865&quot;/&gt;&lt;wsp:rsid wsp:val=&quot;00CB0EC3&quot;/&gt;&lt;wsp:rsid wsp:val=&quot;00CB114A&quot;/&gt;&lt;wsp:rsid wsp:val=&quot;00CB4ED1&quot;/&gt;&lt;wsp:rsid wsp:val=&quot;00CB79A4&quot;/&gt;&lt;wsp:rsid wsp:val=&quot;00CC03BD&quot;/&gt;&lt;wsp:rsid wsp:val=&quot;00CC217F&quot;/&gt;&lt;wsp:rsid wsp:val=&quot;00CD23E2&quot;/&gt;&lt;wsp:rsid wsp:val=&quot;00CD3F6D&quot;/&gt;&lt;wsp:rsid wsp:val=&quot;00CD79CC&quot;/&gt;&lt;wsp:rsid wsp:val=&quot;00CE0086&quot;/&gt;&lt;wsp:rsid wsp:val=&quot;00CE2FA1&quot;/&gt;&lt;wsp:rsid wsp:val=&quot;00CE5BB7&quot;/&gt;&lt;wsp:rsid wsp:val=&quot;00CE6479&quot;/&gt;&lt;wsp:rsid wsp:val=&quot;00CE764A&quot;/&gt;&lt;wsp:rsid wsp:val=&quot;00CF0798&quot;/&gt;&lt;wsp:rsid wsp:val=&quot;00CF0C76&quot;/&gt;&lt;wsp:rsid wsp:val=&quot;00CF127C&quot;/&gt;&lt;wsp:rsid wsp:val=&quot;00CF2C92&quot;/&gt;&lt;wsp:rsid wsp:val=&quot;00CF33E7&quot;/&gt;&lt;wsp:rsid wsp:val=&quot;00CF592C&quot;/&gt;&lt;wsp:rsid wsp:val=&quot;00CF5B6B&quot;/&gt;&lt;wsp:rsid wsp:val=&quot;00CF63B7&quot;/&gt;&lt;wsp:rsid wsp:val=&quot;00CF694F&quot;/&gt;&lt;wsp:rsid wsp:val=&quot;00CF6BE2&quot;/&gt;&lt;wsp:rsid wsp:val=&quot;00D00E8E&quot;/&gt;&lt;wsp:rsid wsp:val=&quot;00D0127F&quot;/&gt;&lt;wsp:rsid wsp:val=&quot;00D01853&quot;/&gt;&lt;wsp:rsid wsp:val=&quot;00D03D99&quot;/&gt;&lt;wsp:rsid wsp:val=&quot;00D04034&quot;/&gt;&lt;wsp:rsid wsp:val=&quot;00D050F0&quot;/&gt;&lt;wsp:rsid wsp:val=&quot;00D1245C&quot;/&gt;&lt;wsp:rsid wsp:val=&quot;00D14735&quot;/&gt;&lt;wsp:rsid wsp:val=&quot;00D163E9&quot;/&gt;&lt;wsp:rsid wsp:val=&quot;00D1721F&quot;/&gt;&lt;wsp:rsid wsp:val=&quot;00D21753&quot;/&gt;&lt;wsp:rsid wsp:val=&quot;00D24A12&quot;/&gt;&lt;wsp:rsid wsp:val=&quot;00D37AAD&quot;/&gt;&lt;wsp:rsid wsp:val=&quot;00D418C3&quot;/&gt;&lt;wsp:rsid wsp:val=&quot;00D421DB&quot;/&gt;&lt;wsp:rsid wsp:val=&quot;00D44D17&quot;/&gt;&lt;wsp:rsid wsp:val=&quot;00D44D1D&quot;/&gt;&lt;wsp:rsid wsp:val=&quot;00D50FF1&quot;/&gt;&lt;wsp:rsid wsp:val=&quot;00D530A6&quot;/&gt;&lt;wsp:rsid wsp:val=&quot;00D53B4D&quot;/&gt;&lt;wsp:rsid wsp:val=&quot;00D55DFB&quot;/&gt;&lt;wsp:rsid wsp:val=&quot;00D561D3&quot;/&gt;&lt;wsp:rsid wsp:val=&quot;00D56B72&quot;/&gt;&lt;wsp:rsid wsp:val=&quot;00D578CD&quot;/&gt;&lt;wsp:rsid wsp:val=&quot;00D678E6&quot;/&gt;&lt;wsp:rsid wsp:val=&quot;00D718FA&quot;/&gt;&lt;wsp:rsid wsp:val=&quot;00D73506&quot;/&gt;&lt;wsp:rsid wsp:val=&quot;00D743D0&quot;/&gt;&lt;wsp:rsid wsp:val=&quot;00D74705&quot;/&gt;&lt;wsp:rsid wsp:val=&quot;00D75C8C&quot;/&gt;&lt;wsp:rsid wsp:val=&quot;00D7609B&quot;/&gt;&lt;wsp:rsid wsp:val=&quot;00D76877&quot;/&gt;&lt;wsp:rsid wsp:val=&quot;00D8118A&quot;/&gt;&lt;wsp:rsid wsp:val=&quot;00D8453F&quot;/&gt;&lt;wsp:rsid wsp:val=&quot;00D8468E&quot;/&gt;&lt;wsp:rsid wsp:val=&quot;00D870F5&quot;/&gt;&lt;wsp:rsid wsp:val=&quot;00D93C29&quot;/&gt;&lt;wsp:rsid wsp:val=&quot;00D97D42&quot;/&gt;&lt;wsp:rsid wsp:val=&quot;00DA06E1&quot;/&gt;&lt;wsp:rsid wsp:val=&quot;00DA1A22&quot;/&gt;&lt;wsp:rsid wsp:val=&quot;00DB158D&quot;/&gt;&lt;wsp:rsid wsp:val=&quot;00DB2390&quot;/&gt;&lt;wsp:rsid wsp:val=&quot;00DB2942&quot;/&gt;&lt;wsp:rsid wsp:val=&quot;00DB4863&quot;/&gt;&lt;wsp:rsid wsp:val=&quot;00DB5018&quot;/&gt;&lt;wsp:rsid wsp:val=&quot;00DB73C3&quot;/&gt;&lt;wsp:rsid wsp:val=&quot;00DD18AE&quot;/&gt;&lt;wsp:rsid wsp:val=&quot;00DD475B&quot;/&gt;&lt;wsp:rsid wsp:val=&quot;00DD70E4&quot;/&gt;&lt;wsp:rsid wsp:val=&quot;00DE627B&quot;/&gt;&lt;wsp:rsid wsp:val=&quot;00DE7071&quot;/&gt;&lt;wsp:rsid wsp:val=&quot;00DF2028&quot;/&gt;&lt;wsp:rsid wsp:val=&quot;00DF234D&quot;/&gt;&lt;wsp:rsid wsp:val=&quot;00DF488F&quot;/&gt;&lt;wsp:rsid wsp:val=&quot;00DF5742&quot;/&gt;&lt;wsp:rsid wsp:val=&quot;00E002F5&quot;/&gt;&lt;wsp:rsid wsp:val=&quot;00E018FA&quot;/&gt;&lt;wsp:rsid wsp:val=&quot;00E021B9&quot;/&gt;&lt;wsp:rsid wsp:val=&quot;00E02A1F&quot;/&gt;&lt;wsp:rsid wsp:val=&quot;00E02E4F&quot;/&gt;&lt;wsp:rsid wsp:val=&quot;00E04E4A&quot;/&gt;&lt;wsp:rsid wsp:val=&quot;00E05108&quot;/&gt;&lt;wsp:rsid wsp:val=&quot;00E0642E&quot;/&gt;&lt;wsp:rsid wsp:val=&quot;00E10879&quot;/&gt;&lt;wsp:rsid wsp:val=&quot;00E168CA&quot;/&gt;&lt;wsp:rsid wsp:val=&quot;00E217EA&quot;/&gt;&lt;wsp:rsid wsp:val=&quot;00E23172&quot;/&gt;&lt;wsp:rsid wsp:val=&quot;00E23720&quot;/&gt;&lt;wsp:rsid wsp:val=&quot;00E260AF&quot;/&gt;&lt;wsp:rsid wsp:val=&quot;00E30E56&quot;/&gt;&lt;wsp:rsid wsp:val=&quot;00E31AA5&quot;/&gt;&lt;wsp:rsid wsp:val=&quot;00E330E5&quot;/&gt;&lt;wsp:rsid wsp:val=&quot;00E33673&quot;/&gt;&lt;wsp:rsid wsp:val=&quot;00E34E0E&quot;/&gt;&lt;wsp:rsid wsp:val=&quot;00E40080&quot;/&gt;&lt;wsp:rsid wsp:val=&quot;00E425D1&quot;/&gt;&lt;wsp:rsid wsp:val=&quot;00E4260F&quot;/&gt;&lt;wsp:rsid wsp:val=&quot;00E466FA&quot;/&gt;&lt;wsp:rsid wsp:val=&quot;00E47C7B&quot;/&gt;&lt;wsp:rsid wsp:val=&quot;00E555FA&quot;/&gt;&lt;wsp:rsid wsp:val=&quot;00E630BC&quot;/&gt;&lt;wsp:rsid wsp:val=&quot;00E63801&quot;/&gt;&lt;wsp:rsid wsp:val=&quot;00E651BD&quot;/&gt;&lt;wsp:rsid wsp:val=&quot;00E65DC7&quot;/&gt;&lt;wsp:rsid wsp:val=&quot;00E65F34&quot;/&gt;&lt;wsp:rsid wsp:val=&quot;00E6790B&quot;/&gt;&lt;wsp:rsid wsp:val=&quot;00E67F04&quot;/&gt;&lt;wsp:rsid wsp:val=&quot;00E70135&quot;/&gt;&lt;wsp:rsid wsp:val=&quot;00E729C9&quot;/&gt;&lt;wsp:rsid wsp:val=&quot;00E73B24&quot;/&gt;&lt;wsp:rsid wsp:val=&quot;00E85350&quot;/&gt;&lt;wsp:rsid wsp:val=&quot;00E86764&quot;/&gt;&lt;wsp:rsid wsp:val=&quot;00E91432&quot;/&gt;&lt;wsp:rsid wsp:val=&quot;00E9186B&quot;/&gt;&lt;wsp:rsid wsp:val=&quot;00E92F26&quot;/&gt;&lt;wsp:rsid wsp:val=&quot;00E93348&quot;/&gt;&lt;wsp:rsid wsp:val=&quot;00E9478F&quot;/&gt;&lt;wsp:rsid wsp:val=&quot;00E95E51&quot;/&gt;&lt;wsp:rsid wsp:val=&quot;00E963A2&quot;/&gt;&lt;wsp:rsid wsp:val=&quot;00E9676A&quot;/&gt;&lt;wsp:rsid wsp:val=&quot;00E96A7B&quot;/&gt;&lt;wsp:rsid wsp:val=&quot;00E978BF&quot;/&gt;&lt;wsp:rsid wsp:val=&quot;00E97CB6&quot;/&gt;&lt;wsp:rsid wsp:val=&quot;00EA175C&quot;/&gt;&lt;wsp:rsid wsp:val=&quot;00EA7157&quot;/&gt;&lt;wsp:rsid wsp:val=&quot;00EB41AF&quot;/&gt;&lt;wsp:rsid wsp:val=&quot;00EB4FAB&quot;/&gt;&lt;wsp:rsid wsp:val=&quot;00EC2E90&quot;/&gt;&lt;wsp:rsid wsp:val=&quot;00EC320D&quot;/&gt;&lt;wsp:rsid wsp:val=&quot;00EC50AC&quot;/&gt;&lt;wsp:rsid wsp:val=&quot;00ED0B7D&quot;/&gt;&lt;wsp:rsid wsp:val=&quot;00ED17A7&quot;/&gt;&lt;wsp:rsid wsp:val=&quot;00EE57D7&quot;/&gt;&lt;wsp:rsid wsp:val=&quot;00EE623D&quot;/&gt;&lt;wsp:rsid wsp:val=&quot;00EF07FB&quot;/&gt;&lt;wsp:rsid wsp:val=&quot;00EF0D39&quot;/&gt;&lt;wsp:rsid wsp:val=&quot;00EF1CF6&quot;/&gt;&lt;wsp:rsid wsp:val=&quot;00EF2ADD&quot;/&gt;&lt;wsp:rsid wsp:val=&quot;00F040F4&quot;/&gt;&lt;wsp:rsid wsp:val=&quot;00F1561E&quot;/&gt;&lt;wsp:rsid wsp:val=&quot;00F16855&quot;/&gt;&lt;wsp:rsid wsp:val=&quot;00F21860&quot;/&gt;&lt;wsp:rsid wsp:val=&quot;00F24020&quot;/&gt;&lt;wsp:rsid wsp:val=&quot;00F24E01&quot;/&gt;&lt;wsp:rsid wsp:val=&quot;00F25397&quot;/&gt;&lt;wsp:rsid wsp:val=&quot;00F25572&quot;/&gt;&lt;wsp:rsid wsp:val=&quot;00F376A2&quot;/&gt;&lt;wsp:rsid wsp:val=&quot;00F406F9&quot;/&gt;&lt;wsp:rsid wsp:val=&quot;00F452F7&quot;/&gt;&lt;wsp:rsid wsp:val=&quot;00F4589F&quot;/&gt;&lt;wsp:rsid wsp:val=&quot;00F460F0&quot;/&gt;&lt;wsp:rsid wsp:val=&quot;00F47C1A&quot;/&gt;&lt;wsp:rsid wsp:val=&quot;00F57927&quot;/&gt;&lt;wsp:rsid wsp:val=&quot;00F57A9D&quot;/&gt;&lt;wsp:rsid wsp:val=&quot;00F6097E&quot;/&gt;&lt;wsp:rsid wsp:val=&quot;00F619C5&quot;/&gt;&lt;wsp:rsid wsp:val=&quot;00F645F3&quot;/&gt;&lt;wsp:rsid wsp:val=&quot;00F655A6&quot;/&gt;&lt;wsp:rsid wsp:val=&quot;00F67742&quot;/&gt;&lt;wsp:rsid wsp:val=&quot;00F7744B&quot;/&gt;&lt;wsp:rsid wsp:val=&quot;00F836D6&quot;/&gt;&lt;wsp:rsid wsp:val=&quot;00F83E2E&quot;/&gt;&lt;wsp:rsid wsp:val=&quot;00F8641A&quot;/&gt;&lt;wsp:rsid wsp:val=&quot;00F905C7&quot;/&gt;&lt;wsp:rsid wsp:val=&quot;00F933DC&quot;/&gt;&lt;wsp:rsid wsp:val=&quot;00F9424C&quot;/&gt;&lt;wsp:rsid wsp:val=&quot;00F94CA8&quot;/&gt;&lt;wsp:rsid wsp:val=&quot;00F97D91&quot;/&gt;&lt;wsp:rsid wsp:val=&quot;00FA1A61&quot;/&gt;&lt;wsp:rsid wsp:val=&quot;00FA231D&quot;/&gt;&lt;wsp:rsid wsp:val=&quot;00FA34BD&quot;/&gt;&lt;wsp:rsid wsp:val=&quot;00FA75F2&quot;/&gt;&lt;wsp:rsid wsp:val=&quot;00FA7CBA&quot;/&gt;&lt;wsp:rsid wsp:val=&quot;00FB2B24&quot;/&gt;&lt;wsp:rsid wsp:val=&quot;00FB3903&quot;/&gt;&lt;wsp:rsid wsp:val=&quot;00FB6D3E&quot;/&gt;&lt;wsp:rsid wsp:val=&quot;00FB74E2&quot;/&gt;&lt;wsp:rsid wsp:val=&quot;00FC09FC&quot;/&gt;&lt;wsp:rsid wsp:val=&quot;00FC0A45&quot;/&gt;&lt;wsp:rsid wsp:val=&quot;00FC198B&quot;/&gt;&lt;wsp:rsid wsp:val=&quot;00FC21CE&quot;/&gt;&lt;wsp:rsid wsp:val=&quot;00FC2C5D&quot;/&gt;&lt;wsp:rsid wsp:val=&quot;00FC3EEB&quot;/&gt;&lt;wsp:rsid wsp:val=&quot;00FC4D8F&quot;/&gt;&lt;wsp:rsid wsp:val=&quot;00FC55A7&quot;/&gt;&lt;wsp:rsid wsp:val=&quot;00FC768D&quot;/&gt;&lt;wsp:rsid wsp:val=&quot;00FD31E8&quot;/&gt;&lt;wsp:rsid wsp:val=&quot;00FD658E&quot;/&gt;&lt;wsp:rsid wsp:val=&quot;00FD7D3F&quot;/&gt;&lt;wsp:rsid wsp:val=&quot;00FE1830&quot;/&gt;&lt;wsp:rsid wsp:val=&quot;00FE4D5F&quot;/&gt;&lt;wsp:rsid wsp:val=&quot;00FE7860&quot;/&gt;&lt;wsp:rsid wsp:val=&quot;00FF0E27&quot;/&gt;&lt;/wsp:rsids&gt;&lt;/w:docPr&gt;&lt;w:body&gt;&lt;w:p wsp:rsidR=&quot;00000000&quot; wsp:rsidRDefault=&quot;0085133D&quot;&gt;&lt;m:oMathPara&gt;&lt;m:oMath&gt;&lt;m:r&gt;&lt;w:rPr&gt;&lt;w:rFonts w:ascii=&quot;Cambria Math&quot; w:h-ansi=&quot;Cambria Math&quot;/&gt;&lt;wx:font wx:val=&quot;Cambria Math&quot;/&gt;&lt;w:i/&gt;&lt;w:kern w:val=&quot;0&quot;/&gt;&lt;w:sz w:val=&quot;24&quot;/&gt;&lt;w:sz-cs w:val=&quot;24&quot;/&gt;&lt;/w:rPr&gt;&lt;m:t&gt;d&lt;/m:t&gt;&lt;/m:r&gt;&lt;m:box&gt;&lt;m:boxPr&gt;&lt;m:opEmu m:val=&quot;on&quot;/&gt;&lt;m:ctrlPr&gt;&lt;w:rPr&gt;&lt;w:rFonts w:ascii=&quot;Cambria Math&quot; w:h-ansi=&quot;Cambria Math&quot;/&gt;&lt;wx:font wx:val=&quot;Cambria Math&quot;/&gt;&lt;w:kern w:val=&quot;0&quot;/&gt;&lt;w:sz w:val=&quot;24&quot;/&gt;&lt;w:sz-cs w:val=&quot;24&quot;/&gt;&lt;/w:rPr&gt;&lt;/m:ctrlPr&gt;&lt;/m:boxPr&gt;&lt;m:e&gt;&lt;m:r&gt;&lt;m:rPr&gt;&lt;m:sty m:val=&quot;p&quot;/&gt;&lt;/m:rPr&gt;&lt;w:rPr&gt;&lt;w:rFonts w:ascii=&quot;Cambria Math&quot; w:h-ansi=&quot;Cambria Math&quot;/&gt;&lt;wx:font wx:val=&quot;Cambria Math&quot;/&gt;&lt;w:kern w:val=&quot;0&quot;/&gt;&lt;w:sz w:val=&quot;24&quot;/&gt;&lt;w:sz-cs w:val=&quot;24&quot;/&gt;&lt;/w:rPr&gt;&lt;m:t&gt;=&lt;/m:t&gt;&lt;/m:r&gt;&lt;m:sSup&gt;&lt;m:sSupPr&gt;&lt;m:ctrlPr&gt;&lt;w:rPr&gt;&lt;w:rFonts w:ascii=&quot;Cambria Math&quot; w:h-ansi=&quot;Cambria Math&quot;/&gt;&lt;wx:font wx:val=&quot;Cambria Math&quot;/&gt;&lt;w:kern w:val=&quot;0&quot;/&gt;&lt;w:sz w:val=&quot;24&quot;/&gt;&lt;w:sz-cs w:val=&quot;24&quot;/&gt;&lt;/w:rPr&gt;&lt;/m:ctrlPr&gt;&lt;/m:sSupPr&gt;&lt;m:e&gt;&lt;m:f&gt;&lt;m:fPr&gt;&lt;m:ctrlPr&gt;&lt;w:rPr&gt;&lt;w:rFonts w:ascii=&quot;Cambria Math&quot; w:h-ansi=&quot;Cambria Math&quot;/&gt;&lt;wx:font wx:val=&quot;Cambria Math&quot;/&gt;&lt;w:i/&gt;&lt;w:kern w:val=&quot;0&quot;/&gt;&lt;w:sz w:val=&quot;24&quot;/&gt;&lt;w:sz-cs w:val=&quot;24&quot;/&gt;&lt;/w:rPr&gt;&lt;/m:ctrlPr&gt;&lt;/m:fPr&gt;&lt;m:num&gt;&lt;m:r&gt;&lt;w:rPr&gt;&lt;w:rFonts w:ascii=&quot;Cambria Math&quot; w:h-ansi=&quot;Cambria Math&quot;/&gt;&lt;wx:font wx:val=&quot;Cambria Math&quot;/&gt;&lt;w:i/&gt;&lt;w:kern w:val=&quot;0&quot;/&gt;&lt;w:sz w:val=&quot;24&quot;/&gt;&lt;w:sz-cs w:val=&quot;24&quot;/&gt;&lt;/w:rPr&gt;&lt;m:t&gt;?&lt;/m:t&gt;&lt;/m:r&gt;&lt;/m:num&gt;&lt;m:den&gt;&lt;m:r&gt;&lt;w:rPr&gt;&lt;w:rFonts w:ascii=&quot;Cambria Math&quot; w:h-ansi=&quot;Cambria Math&quot;/&gt;&lt;wx:font wx:val=&quot;Cattttttttttttmbria Math&quot;/&gt;&lt;w:i/&gt;&lt;w:kern w:val=&quot;0&quot;/&gt;&lt;w:sz w:val=&quot;24&quot;/&gt;&lt;w:sz-cs w:val=&quot;24&quot;/&gt;&lt;/w:rPr&gt;&lt;m:t&gt;4?&lt;/m:t&gt;&lt;/m:r&gt;&lt;/m:den&gt;&lt;/m:f&gt;&lt;m:r&gt;&lt;m:rPr&gt;&lt;m:sty m:val=&quot;p&quot;/&gt;&lt;/m:rPr&gt;&lt;w:rPr&gt;&lt;w:rFonts w:ascii=&quot;Cambria Math&quot; w:h-ansi=&quot;Cambria Math&quot;/&gt;&lt;wx:font wx:val=&quot;Cambrtitat tMtatttht&quot;t/t&gt;t&lt;tw:kern w:val=&quot;0&quot;/&gt;&lt;w:sz w:val=&quot;24&quot;/&gt;&lt;w:sz-cs w:val=&quot;24&quot;/&gt;&lt;/w:rPr&gt;&lt;m:t&gt;(&lt;/m:t&gt;&lt;/m:r&gt;&lt;m:sSup&gt;&lt;m:sSupPr&gt;&lt;m:ctrlPr&gt;&lt;w:rPr&gt;&lt;w:rFonts w:ascii=&quot;Cambria Math&quot; w:h-ansi=&quot;Cambria Math&quot;/&gt;&lt;wx:font wx:val=&quot;Cambria Math&quot;/&gt;&lt;w:i/&gt;&lt;w:kern w:val=&quot;0&quot;/&gt;&lt;w:sz w:val=&quot;24&quot;/&gt;&lt;w:sz-cs w:val=&quot;24&quot;/&gt;&lt;/w:rPr&gt;&lt;/m:ctrlPr&gt;&lt;/m:sSupPr&gt;&lt;m:e&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n&lt;/m:t&gt;&lt;/m:r&gt;&lt;/m:e&gt;&lt;m:sub&gt;&lt;m:r&gt;&lt;w:rPr&gt;&lt;w:rFonts w:ascii=&quot;Cambria Math&quot; w:h-ansi=&quot;Cambria Math&quot;/&gt;&lt;wx:font wx:val=&quot;Cambria Math&quot;/&gt;&lt;w:i/&gt;&lt;w:kern w:val=&quot;0&quot;/&gt;&lt;w:sz w:val=&quot;24&quot;/&gt;&lt;w:sz-cs w:val=&quot;24&quot;/&gt;&lt;/w:rPr&gt;&lt;m:t&gt;2&lt;/m:t&gt;&lt;/m:r&gt;&lt;/m:sub&gt;&lt;/m:sSub&gt;&lt;/m:e&gt;&lt;m:sup&gt;&lt;m:r&gt;&lt;w:rPr&gt;&lt;w:rFonts w:ascii=&quot;Cambria Math&quot; w:h-ansi=&quot;Cambria Math&quot;/&gt;&lt;wx:font wx:val=&quot;Cambria Math&quot;/&gt;&lt;w:i/&gt;&lt;w:kern w:val=&quot;0&quot;/&gt;&lt;w:sz w:val=&quot;24&quot;/&gt;&lt;w:sz-cs w:val=&quot;24&quot;/&gt;&lt;/w:rPr&gt;&lt;m:t&gt;2&lt;/m:t&gt;&lt;/m:r&gt;&lt;/m:sup&gt;&lt;/m:sSup&gt;&lt;m:func&gt;&lt;m:funcPr&gt;&lt;m:ctrlPr&gt;&lt;w:rPr&gt;&lt;w:rFonts w:ascii=&quot;Cambria Math&quot; w:h-ansi=&quot;Cambria Math&quot;/&gt;&lt;wx:font wx:val=&quot;Cambria Math&quot;/&gt;&lt;w:i/&gt;&lt;w:kern w:val=&quot;0&quot;/&gt;&lt;w:sz w:val=&quot;24&quot;/&gt;&lt;w:sz-cs w:val=&quot;24&quot;/&gt;&lt;/w:rPr&gt;&lt;/m:ctrlPr&gt;&lt;/m:funcPr&gt;&lt;m:fName&gt;&lt;m:sSup&gt;&lt;m:sSupPr&gt;&lt;m:ctrlPr&gt;&lt;w:rPr&gt;&lt;w:rFonts w:ascii=&quot;Cambria Math&quot; w:h-ansi=&quot;Cambria Math&quot;/&gt;&lt;wx:font wx:val=&quot;Cambria Math&quot;/&gt;&lt;w:kern w:val=&quot;0&quot;/&gt;&lt;w:sz w:val=&quot;24&quot;/&gt;&lt;w:sz-cs w:val=&quot;24&quot;/&gt;&lt;/w:rPr&gt;&lt;/m:ctrlPr&gt;&lt;/m:sSupPr&gt;&lt;m:e&gt;&lt;m:r&gt;&lt;m:rPr&gt;&lt;m:sty m:val=&quot;p&quot;/&gt;&lt;/m:rPr&gt;&lt;w:rPr&gt;&lt;w:rFonts w:ascii=&quot;Cambria Math&quot; w:h-ansi=&quot;Cambria Math&quot;/&gt;&lt;wx:font wx:val=&quot;Cambria Math&quot;/&gt;&lt;w:kern w:val=&quot;0&quot;/&gt;&lt;w:sz w:val=&quot;24&quot;/&gt;&lt;w:sz-cs w:val=&quot;24&quot;/&gt;&lt;/w:rPr&gt;&lt;m:t&gt;sin&lt;/m:t&gt;&lt;/m:r&gt;&lt;/m:e&gt;&lt;m:sup&gt;&lt;m:r&gt;&lt;m:rPr&gt;&lt;m:sty m:val=&quot;p&quot;/&gt;&lt;/m:rPr&gt;&lt;w:rPr&gt;&lt;w:rFonts w:ascii=&quot;Cambria Math&quot; w:h-ansi=&quot;Cambria Math&quot;/&gt;&lt;wx:font wx:val=&quot;Cambria Math&quot;/&gt;&lt;w:kern w:val=&quot;0&quot;/&gt;&lt;w:sz w:val=&quot;24&quot;/&gt;&lt;w:sz-cs w:val=&quot;24&quot;/&gt;&lt;/w:rPr&gt;&lt;m:t&gt;2&lt;/m:t&gt;&lt;/m:r&gt;&lt;/m:sup&gt;&lt;/m:sSup&gt;&lt;/m:fName&gt;&lt;m:e&gt;&lt;m:r&gt;&lt;w:rPr&gt;&lt;w:rFonts w:ascii=&quot;Cambria Math&quot; w:h-ansi=&quot;Cambria Math&quot;/&gt;&lt;wx:font wx:val=&quot;Cambria Math&quot;/&gt;&lt;w:i/&gt;&lt;w:kern w:val=&quot;0&quot;/&gt;&lt;w:sz w:val=&quot;24&quot;/&gt;&lt;w:sz-cs w:val=&quot;24&quot;/&gt;&lt;/w:rPr&gt;&lt;m:t&gt;?z&lt;/cm: t&gt;:&lt;/am:=r&gt;2&lt;/&quot;m:&gt;e&gt;&lt;/m:func&gt;&lt;m:r&gt;&lt;m:rPr&gt;&lt;m:sty m:val=&quot;p&quot;/&gt;&lt;/m:rPr&gt;&lt;w:rPr&gt;&lt;w:rFonts w:ascii=&quot;Cambria Math&quot; w:h-ansi=&quot;Cambria Math&quot;/&gt;&lt;wx:font wx:val=&quot;Cambria Math&quot;/&gt;&lt;w:kern w:val=&quot;0&quot;/&gt;&lt;w:sz w:val=&quot;24&quot;/&gt;&lt;w:sz-cs w:val=&quot;24&quot;/&gt;&lt;/w:rPr&gt;&lt;m:t&gt;-&lt;/m:t&gt;&lt;&lt;/:m:&gt;r&gt;&lt;m:sSup&gt;&lt;m:sSupPr&gt;&lt;m:ctrlPr&gt;&lt;w:rPr&gt;&lt;w:rFonts w:ascii=&quot;Cambria Math&quot; w:h-ansi=&quot;Cambria Math&quot;/&gt;&lt;wx:font wx:val=&quot;Cambria Math&quot;/&gt;&lt;w:i/&gt;&lt;w:kern w:val=&quot;0&quot;/&gt;&lt;w:sz w:val=&quot;24&quot;/&gt;&lt;w:sz-cs w:val=&quot;24&quot;/&gt;&lt;/w:rPr&gt;&lt;/m:ctrlPr&gt;&lt;/m:sSupPr&gt;&lt;m:e&gt;&lt;m:sSub&gt;&lt;m:sSubPr&gt;&lt;m:ctrlPr&gt;&lt;w:rPr&gt;&lt;w:rFonts w:ascii=&quot;Cambria Math&quot; w:h-ansi=&quot;Cambria Math&quot;/&gt;&lt;wx:font wx:val=&quot;Cambria Math&quot;/&gt;&lt;w:i/&gt;&lt;w:kern w:val=&quot;0&quot;/&gt;&lt;w:sz w:val=&quot;24&quot;/&gt;&lt;w:sz-cs w:val=&quot;24&quot;/&gt;&lt;/w:rPr&gt;&lt;/m:ctrlPr&gt;&lt;/m:sSubPr&gt;&lt;m:e&gt;&lt;m:r&gt;&lt;w:rPr&gt;&lt;w:rFonts w:ascii=&quot;Cambria Math&quot; w:h-ansi=&quot;Cambria Math&quot;/&gt;&lt;wx:font wx:val=&quot;Cambria Math&quot;/&gt;&lt;w:i/&gt;&lt;w:kern w:val=&quot;0&quot;/&gt;&lt;w:sz w:val=&quot;24&quot;/&gt;&lt;w:sz-cs w:val=&quot;24&quot;/&gt;&lt;/w:rPr&gt;&lt;m:t&gt;n&lt;/m:t&gt;&lt;/m:r&gt;&lt;/m:e&gt;&lt;m:sub&gt;&lt;m:r&gt;&lt;w:rPr&gt;&lt;w:rFonts w:ascii=&quot;Cambria Math&quot; w:h-ansi=&quot;Cambria Math&quot;/&gt;&lt;wx:font wx:val=&quot;Cambria Math&quot;/&gt;&lt;w:i/&gt;&lt;w:kern w:val=&quot;0&quot;/&gt;&lt;w:sz w:val=&quot;24&quot;/&gt;&lt;w:sz-cs w:val=&quot;24&quot;/&gt;&lt;/w:rPr&gt;&lt;m:t&gt;1&lt;/m:t&gt;&lt;/m:r&gt;&lt;/m:sub&gt;&lt;/m:sSub&gt;&lt;/m:e&gt;&lt;m:sup&gt;&lt;m:r&gt;&lt;w:rPr&gt;&lt;w:rFonts w:ascii=&quot;Cambria Math&quot; w:h-ansi=&quot;Cambria Math&quot;/&gt;&lt;wx:font wx:val=&quot;Cambria Math&quot;/&gt;&lt;w:i/&gt;&lt;w:kern w:val=&quot;0&quot;/&gt;&lt;w:sz w:val=&quot;24&quot;/&gt;&lt;w:sz-cs w:val=&quot;24&quot;/&gt;&lt;/w:rPr&gt;&lt;m:t&gt;2&lt;/m:t&gt;&lt;/m:r&gt;&lt;/m:sup&gt;&lt;/m:sSup&gt;&lt;m:r&gt;&lt;m:rPr&gt;&lt;m:sty m:val=&quot;p&quot;/&gt;&lt;/m:rPr&gt;&lt;w:rPr&gt;&lt;w:rFonts w:ascii=&quot;Cambria Math&quot; w:h-ansi=&quot;Cambria Math&quot;/&gt;&lt;wx:font wx:val=&quot;Cambria Math&quot;/&gt;&lt;w:kern w:val=&quot;0&quot;/&gt;&lt;w:sz w:val=&quot;24&quot;/&gt;&lt;w:sz-cs w:val=&quot;24&quot;/&gt;&lt;/w:rPr&gt;&lt;m:t&gt;)&lt;/m:t&gt;&lt;/m:r&gt;&lt;/m:e&gt;&lt;m:sup&gt;&lt;m:r&gt;&lt;m:rPr&gt;&lt;m:sty m:val=&quot;p&quot;/&gt;&lt;/m:rPr&gt;&lt;w:rPr&gt;&lt;w:rFonts w:ascii=&quot;Cambria Math&quot; w:h-ansi=&quot;Cambria Math&quot;/&gt;&lt;wx:font wx:val=&quot;Cambria Math&quot;/&gt;&lt;w:kern w:val=&quot;0&quot;/&gt;&lt;w:sz w:val=&quot;24&quot;/&gt;&lt;w:sz-cs w:val=&quot;24&quot;/&gt;&lt;/w:rPr&gt;&lt;m:t&gt;-1/2&lt;/m:t&gt;&lt;/m:r&gt;&lt;/m:sup&gt;&lt;/m:sSup&gt;&lt;/m:e&gt;&lt;/m:box&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r w:rsidRPr="00D529C6">
              <w:rPr>
                <w:rFonts w:ascii="Times New Roman" w:hAnsi="Times New Roman" w:cs="Times New Roman"/>
                <w:szCs w:val="21"/>
              </w:rPr>
              <w:instrText xml:space="preserve"> </w:instrText>
            </w:r>
            <w:r w:rsidRPr="00D529C6">
              <w:rPr>
                <w:rFonts w:ascii="Times New Roman" w:hAnsi="Times New Roman" w:cs="Times New Roman"/>
                <w:szCs w:val="21"/>
              </w:rPr>
              <w:fldChar w:fldCharType="separate"/>
            </w:r>
            <w:r w:rsidRPr="00D529C6">
              <w:rPr>
                <w:rFonts w:ascii="Times New Roman" w:hAnsi="Times New Roman" w:cs="Times New Roman"/>
                <w:szCs w:val="21"/>
              </w:rPr>
              <w:object w:dxaOrig="3220" w:dyaOrig="680">
                <v:shape id="_x0000_i1033" type="#_x0000_t75" style="width:161.25pt;height:33.75pt" o:ole="">
                  <v:imagedata r:id="rId20" o:title=""/>
                </v:shape>
                <o:OLEObject Type="Embed" ProgID="Equation.DSMT4" ShapeID="_x0000_i1033" DrawAspect="Content" ObjectID="_1632029128" r:id="rId21"/>
              </w:object>
            </w:r>
            <w:r w:rsidRPr="00D529C6">
              <w:rPr>
                <w:rFonts w:ascii="Times New Roman" w:hAnsi="Times New Roman" w:cs="Times New Roman"/>
                <w:szCs w:val="21"/>
              </w:rPr>
              <w:fldChar w:fldCharType="end"/>
            </w:r>
            <w:r w:rsidRPr="00D529C6">
              <w:rPr>
                <w:rFonts w:ascii="Times New Roman" w:hAnsi="Times New Roman" w:cs="Times New Roman"/>
                <w:szCs w:val="21"/>
              </w:rPr>
              <w:fldChar w:fldCharType="end"/>
            </w:r>
            <w:r w:rsidRPr="00D529C6">
              <w:rPr>
                <w:rFonts w:ascii="Times New Roman" w:hAnsi="Times New Roman" w:cs="Times New Roman"/>
                <w:szCs w:val="21"/>
              </w:rPr>
              <w:t>,</w:t>
            </w:r>
          </w:p>
        </w:tc>
        <w:tc>
          <w:tcPr>
            <w:tcW w:w="750" w:type="pct"/>
            <w:shd w:val="clear" w:color="auto" w:fill="auto"/>
            <w:tcMar>
              <w:left w:w="0" w:type="dxa"/>
              <w:right w:w="0" w:type="dxa"/>
            </w:tcMar>
            <w:vAlign w:val="center"/>
          </w:tcPr>
          <w:p w:rsidR="001E7A75" w:rsidRPr="00D529C6" w:rsidRDefault="001E7A75" w:rsidP="00BF1795">
            <w:pPr>
              <w:spacing w:line="480" w:lineRule="auto"/>
              <w:jc w:val="right"/>
              <w:textAlignment w:val="center"/>
              <w:rPr>
                <w:rFonts w:ascii="Times New Roman" w:hAnsi="Times New Roman" w:cs="Times New Roman"/>
                <w:szCs w:val="21"/>
              </w:rPr>
            </w:pPr>
            <w:r w:rsidRPr="00D529C6">
              <w:rPr>
                <w:rFonts w:ascii="Times New Roman" w:hAnsi="Times New Roman" w:cs="Times New Roman"/>
                <w:szCs w:val="21"/>
              </w:rPr>
              <w:t>Eqn (2.</w:t>
            </w:r>
            <w:r>
              <w:rPr>
                <w:rFonts w:ascii="Times New Roman" w:hAnsi="Times New Roman" w:cs="Times New Roman" w:hint="eastAsia"/>
                <w:szCs w:val="21"/>
              </w:rPr>
              <w:t>4</w:t>
            </w:r>
            <w:r w:rsidRPr="00D529C6">
              <w:rPr>
                <w:rFonts w:ascii="Times New Roman" w:hAnsi="Times New Roman" w:cs="Times New Roman"/>
                <w:szCs w:val="21"/>
              </w:rPr>
              <w:t>)</w:t>
            </w:r>
          </w:p>
        </w:tc>
      </w:tr>
    </w:tbl>
    <w:p w:rsidR="001E7A75" w:rsidRPr="00D529C6" w:rsidRDefault="001E7A75" w:rsidP="00D529C6">
      <w:pPr>
        <w:pStyle w:val="MTDisplayEquation"/>
        <w:textAlignment w:val="center"/>
        <w:rPr>
          <w:rFonts w:ascii="Times New Roman" w:eastAsia="SimSun" w:hAnsi="Times New Roman"/>
          <w:kern w:val="0"/>
          <w:szCs w:val="21"/>
        </w:rPr>
      </w:pPr>
      <w:r w:rsidRPr="00D529C6">
        <w:rPr>
          <w:rFonts w:ascii="Times New Roman" w:eastAsia="SimSun" w:hAnsi="Times New Roman"/>
          <w:kern w:val="0"/>
          <w:szCs w:val="21"/>
        </w:rPr>
        <w:t xml:space="preserve">where, </w:t>
      </w:r>
      <w:r w:rsidRPr="00D529C6">
        <w:rPr>
          <w:rFonts w:ascii="Times New Roman" w:eastAsia="SimSun" w:hAnsi="Times New Roman"/>
          <w:i/>
          <w:kern w:val="0"/>
          <w:szCs w:val="21"/>
        </w:rPr>
        <w:t>n</w:t>
      </w:r>
      <w:r w:rsidRPr="00D529C6">
        <w:rPr>
          <w:rFonts w:ascii="Times New Roman" w:eastAsia="SimSun" w:hAnsi="Times New Roman"/>
          <w:i/>
          <w:kern w:val="0"/>
          <w:szCs w:val="21"/>
          <w:vertAlign w:val="subscript"/>
        </w:rPr>
        <w:t>d</w:t>
      </w:r>
      <w:r w:rsidRPr="00D529C6">
        <w:rPr>
          <w:rFonts w:ascii="Times New Roman" w:eastAsia="SimSun" w:hAnsi="Times New Roman"/>
          <w:kern w:val="0"/>
          <w:szCs w:val="21"/>
        </w:rPr>
        <w:t xml:space="preserve"> is the RI of the dielectric medium, </w:t>
      </w:r>
      <w:r w:rsidRPr="00D529C6">
        <w:rPr>
          <w:rFonts w:ascii="Times New Roman" w:eastAsia="SimSun" w:hAnsi="Times New Roman"/>
          <w:i/>
          <w:kern w:val="0"/>
          <w:szCs w:val="21"/>
        </w:rPr>
        <w:t>m</w:t>
      </w:r>
      <w:r w:rsidRPr="00D529C6">
        <w:rPr>
          <w:rFonts w:ascii="Times New Roman" w:eastAsia="SimSun" w:hAnsi="Times New Roman"/>
          <w:kern w:val="0"/>
          <w:szCs w:val="21"/>
        </w:rPr>
        <w:t xml:space="preserve"> (an integer) and Λ are the diffraction order and grating period, respectively.</w:t>
      </w:r>
    </w:p>
    <w:p w:rsidR="001E7A75" w:rsidRPr="00D529C6" w:rsidRDefault="001E7A75" w:rsidP="002668C1">
      <w:pPr>
        <w:spacing w:line="480" w:lineRule="auto"/>
        <w:jc w:val="center"/>
        <w:rPr>
          <w:rFonts w:ascii="Times New Roman" w:hAnsi="Times New Roman" w:cs="Times New Roman"/>
          <w:b/>
          <w:bCs/>
          <w:szCs w:val="21"/>
        </w:rPr>
      </w:pPr>
      <w:r w:rsidRPr="00D529C6">
        <w:rPr>
          <w:rFonts w:ascii="Times New Roman" w:hAnsi="Times New Roman" w:cs="Times New Roman"/>
          <w:noProof/>
          <w:szCs w:val="21"/>
        </w:rPr>
        <w:drawing>
          <wp:inline distT="0" distB="0" distL="0" distR="0" wp14:anchorId="259A3074" wp14:editId="6AE8DF59">
            <wp:extent cx="5247564" cy="1440914"/>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8211" cy="1443838"/>
                    </a:xfrm>
                    <a:prstGeom prst="rect">
                      <a:avLst/>
                    </a:prstGeom>
                    <a:noFill/>
                    <a:ln>
                      <a:noFill/>
                    </a:ln>
                  </pic:spPr>
                </pic:pic>
              </a:graphicData>
            </a:graphic>
          </wp:inline>
        </w:drawing>
      </w:r>
    </w:p>
    <w:p w:rsidR="001E7A75" w:rsidRDefault="001E7A75" w:rsidP="00D529C6">
      <w:pPr>
        <w:rPr>
          <w:rFonts w:ascii="Times New Roman" w:hAnsi="Times New Roman" w:cs="Times New Roman"/>
          <w:bCs/>
          <w:szCs w:val="21"/>
        </w:rPr>
      </w:pPr>
      <w:r w:rsidRPr="00D529C6">
        <w:rPr>
          <w:rFonts w:ascii="Times New Roman" w:hAnsi="Times New Roman" w:cs="Times New Roman"/>
          <w:b/>
          <w:bCs/>
          <w:szCs w:val="21"/>
        </w:rPr>
        <w:t xml:space="preserve">Figure </w:t>
      </w:r>
      <w:r>
        <w:rPr>
          <w:rFonts w:ascii="Times New Roman" w:hAnsi="Times New Roman" w:cs="Times New Roman"/>
          <w:b/>
          <w:bCs/>
          <w:szCs w:val="21"/>
        </w:rPr>
        <w:t>S4</w:t>
      </w:r>
      <w:r w:rsidRPr="00D529C6">
        <w:rPr>
          <w:rFonts w:ascii="Times New Roman" w:hAnsi="Times New Roman" w:cs="Times New Roman"/>
          <w:b/>
          <w:bCs/>
          <w:szCs w:val="21"/>
        </w:rPr>
        <w:t xml:space="preserve">. </w:t>
      </w:r>
      <w:r w:rsidRPr="00D529C6">
        <w:rPr>
          <w:rFonts w:ascii="Times New Roman" w:hAnsi="Times New Roman" w:cs="Times New Roman"/>
          <w:bCs/>
          <w:szCs w:val="21"/>
        </w:rPr>
        <w:t xml:space="preserve">Coupling methods to excite SPs: </w:t>
      </w:r>
      <w:r w:rsidRPr="00D529C6">
        <w:rPr>
          <w:rFonts w:ascii="Times New Roman" w:hAnsi="Times New Roman" w:cs="Times New Roman"/>
          <w:b/>
          <w:bCs/>
          <w:szCs w:val="21"/>
        </w:rPr>
        <w:t>(a)</w:t>
      </w:r>
      <w:r w:rsidRPr="00D529C6">
        <w:rPr>
          <w:rFonts w:ascii="Times New Roman" w:hAnsi="Times New Roman" w:cs="Times New Roman"/>
          <w:bCs/>
          <w:szCs w:val="21"/>
        </w:rPr>
        <w:t xml:space="preserve"> prism,</w:t>
      </w:r>
      <w:r w:rsidRPr="00D529C6">
        <w:rPr>
          <w:rFonts w:ascii="Times New Roman" w:hAnsi="Times New Roman" w:cs="Times New Roman"/>
          <w:b/>
          <w:bCs/>
          <w:szCs w:val="21"/>
        </w:rPr>
        <w:t xml:space="preserve"> (b)</w:t>
      </w:r>
      <w:r w:rsidRPr="00D529C6">
        <w:rPr>
          <w:rFonts w:ascii="Times New Roman" w:hAnsi="Times New Roman" w:cs="Times New Roman"/>
          <w:bCs/>
          <w:szCs w:val="21"/>
        </w:rPr>
        <w:t xml:space="preserve"> waveguide, and</w:t>
      </w:r>
      <w:r w:rsidRPr="00D529C6">
        <w:rPr>
          <w:rFonts w:ascii="Times New Roman" w:hAnsi="Times New Roman" w:cs="Times New Roman"/>
          <w:b/>
          <w:bCs/>
          <w:szCs w:val="21"/>
        </w:rPr>
        <w:t xml:space="preserve"> (c) </w:t>
      </w:r>
      <w:r w:rsidRPr="00D529C6">
        <w:rPr>
          <w:rFonts w:ascii="Times New Roman" w:hAnsi="Times New Roman" w:cs="Times New Roman"/>
          <w:bCs/>
          <w:szCs w:val="21"/>
        </w:rPr>
        <w:t>grating coupling (reprinted from Ref.</w:t>
      </w:r>
      <w:r>
        <w:rPr>
          <w:rFonts w:ascii="Times New Roman" w:hAnsi="Times New Roman" w:cs="Times New Roman"/>
          <w:bCs/>
          <w:szCs w:val="21"/>
        </w:rPr>
        <w:t xml:space="preserve"> </w:t>
      </w:r>
      <w:r>
        <w:rPr>
          <w:rFonts w:ascii="Times New Roman" w:hAnsi="Times New Roman" w:cs="Times New Roman"/>
          <w:bCs/>
          <w:noProof/>
          <w:szCs w:val="21"/>
        </w:rPr>
        <w:t>(Homola 2008)</w:t>
      </w:r>
      <w:r w:rsidR="00AA31CE">
        <w:rPr>
          <w:rFonts w:ascii="Times New Roman" w:hAnsi="Times New Roman" w:cs="Times New Roman"/>
          <w:bCs/>
          <w:noProof/>
          <w:szCs w:val="21"/>
        </w:rPr>
        <w:t xml:space="preserve"> </w:t>
      </w:r>
      <w:r w:rsidRPr="00D529C6">
        <w:rPr>
          <w:rFonts w:ascii="Times New Roman" w:hAnsi="Times New Roman" w:cs="Times New Roman"/>
          <w:bCs/>
          <w:szCs w:val="21"/>
        </w:rPr>
        <w:t>with permission).</w:t>
      </w:r>
    </w:p>
    <w:p w:rsidR="001E7A75" w:rsidRDefault="001E7A75">
      <w:pPr>
        <w:widowControl/>
        <w:jc w:val="left"/>
        <w:rPr>
          <w:rFonts w:ascii="Times New Roman" w:hAnsi="Times New Roman" w:cs="Times New Roman"/>
          <w:bCs/>
          <w:szCs w:val="21"/>
        </w:rPr>
      </w:pPr>
      <w:r>
        <w:rPr>
          <w:rFonts w:ascii="Times New Roman" w:hAnsi="Times New Roman" w:cs="Times New Roman"/>
          <w:bCs/>
          <w:szCs w:val="21"/>
        </w:rPr>
        <w:br w:type="page"/>
      </w:r>
    </w:p>
    <w:p w:rsidR="001E7A75" w:rsidRDefault="001E7A75" w:rsidP="00BB7A0E">
      <w:pPr>
        <w:spacing w:line="480" w:lineRule="auto"/>
        <w:ind w:firstLineChars="50" w:firstLine="105"/>
        <w:jc w:val="center"/>
        <w:rPr>
          <w:noProof/>
        </w:rPr>
      </w:pPr>
      <w:r>
        <w:rPr>
          <w:noProof/>
        </w:rPr>
        <w:lastRenderedPageBreak/>
        <w:drawing>
          <wp:inline distT="0" distB="0" distL="0" distR="0" wp14:anchorId="354AE4A6" wp14:editId="4207A778">
            <wp:extent cx="4305935" cy="2927350"/>
            <wp:effectExtent l="0" t="0" r="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935" cy="2927350"/>
                    </a:xfrm>
                    <a:prstGeom prst="rect">
                      <a:avLst/>
                    </a:prstGeom>
                    <a:noFill/>
                    <a:ln>
                      <a:noFill/>
                    </a:ln>
                  </pic:spPr>
                </pic:pic>
              </a:graphicData>
            </a:graphic>
          </wp:inline>
        </w:drawing>
      </w:r>
    </w:p>
    <w:p w:rsidR="001E7A75" w:rsidRPr="00BB7A0E" w:rsidRDefault="001E7A75" w:rsidP="00BB7A0E">
      <w:pPr>
        <w:rPr>
          <w:rFonts w:ascii="Times New Roman" w:hAnsi="Times New Roman" w:cs="Times New Roman"/>
          <w:bCs/>
          <w:szCs w:val="21"/>
        </w:rPr>
      </w:pPr>
      <w:r w:rsidRPr="00BB7A0E">
        <w:rPr>
          <w:rFonts w:ascii="Times New Roman" w:hAnsi="Times New Roman" w:cs="Times New Roman"/>
          <w:b/>
          <w:bCs/>
          <w:szCs w:val="21"/>
        </w:rPr>
        <w:t xml:space="preserve">Figure </w:t>
      </w:r>
      <w:r>
        <w:rPr>
          <w:rFonts w:ascii="Times New Roman" w:hAnsi="Times New Roman" w:cs="Times New Roman"/>
          <w:b/>
          <w:bCs/>
          <w:szCs w:val="21"/>
        </w:rPr>
        <w:t>S5</w:t>
      </w:r>
      <w:r w:rsidRPr="00BB7A0E">
        <w:rPr>
          <w:rFonts w:ascii="Times New Roman" w:hAnsi="Times New Roman" w:cs="Times New Roman"/>
          <w:b/>
          <w:bCs/>
          <w:szCs w:val="21"/>
        </w:rPr>
        <w:t xml:space="preserve">. </w:t>
      </w:r>
      <w:r w:rsidRPr="00BB7A0E">
        <w:rPr>
          <w:rFonts w:ascii="Times New Roman" w:hAnsi="Times New Roman" w:cs="Times New Roman"/>
          <w:bCs/>
          <w:szCs w:val="21"/>
        </w:rPr>
        <w:t xml:space="preserve">Different materials, structures and applications of SPR-based biosensors. (modified with permission from Ref. </w:t>
      </w:r>
      <w:r>
        <w:rPr>
          <w:rFonts w:ascii="Times New Roman" w:hAnsi="Times New Roman" w:cs="Times New Roman"/>
          <w:bCs/>
          <w:noProof/>
          <w:szCs w:val="21"/>
        </w:rPr>
        <w:t>(Abbas et al. 2011)</w:t>
      </w:r>
      <w:r w:rsidRPr="00BB7A0E">
        <w:rPr>
          <w:rFonts w:ascii="Times New Roman" w:hAnsi="Times New Roman" w:cs="Times New Roman"/>
          <w:bCs/>
          <w:szCs w:val="21"/>
        </w:rPr>
        <w:t>)</w:t>
      </w:r>
    </w:p>
    <w:p w:rsidR="001E7A75" w:rsidRDefault="001E7A75">
      <w:pPr>
        <w:widowControl/>
        <w:jc w:val="left"/>
        <w:rPr>
          <w:rFonts w:ascii="Times New Roman" w:hAnsi="Times New Roman" w:cs="Times New Roman"/>
          <w:b/>
          <w:bCs/>
          <w:szCs w:val="21"/>
        </w:rPr>
      </w:pPr>
      <w:r>
        <w:rPr>
          <w:rFonts w:ascii="Times New Roman" w:hAnsi="Times New Roman" w:cs="Times New Roman"/>
          <w:b/>
          <w:bCs/>
          <w:szCs w:val="21"/>
        </w:rPr>
        <w:br w:type="page"/>
      </w:r>
    </w:p>
    <w:p w:rsidR="001E7A75" w:rsidRDefault="001E7A75" w:rsidP="00D529C6">
      <w:pPr>
        <w:rPr>
          <w:bCs/>
          <w:szCs w:val="28"/>
          <w:highlight w:val="yellow"/>
        </w:rPr>
      </w:pPr>
      <w:bookmarkStart w:id="6" w:name="_Hlk13598839"/>
      <w:r>
        <w:rPr>
          <w:rFonts w:ascii="Arial" w:eastAsia="SimSun" w:hAnsi="Arial" w:cs="Arial"/>
          <w:b/>
          <w:color w:val="000000"/>
          <w:kern w:val="0"/>
          <w:sz w:val="24"/>
        </w:rPr>
        <w:lastRenderedPageBreak/>
        <w:t>N</w:t>
      </w:r>
      <w:r>
        <w:rPr>
          <w:rFonts w:ascii="Arial" w:eastAsia="SimSun" w:hAnsi="Arial" w:cs="Arial" w:hint="eastAsia"/>
          <w:b/>
          <w:color w:val="000000"/>
          <w:kern w:val="0"/>
          <w:sz w:val="24"/>
        </w:rPr>
        <w:t>ote</w:t>
      </w:r>
      <w:r>
        <w:rPr>
          <w:rFonts w:ascii="Arial" w:eastAsia="SimSun" w:hAnsi="Arial" w:cs="Arial"/>
          <w:b/>
          <w:color w:val="000000"/>
          <w:kern w:val="0"/>
          <w:sz w:val="24"/>
        </w:rPr>
        <w:t xml:space="preserve"> S</w:t>
      </w:r>
      <w:r>
        <w:rPr>
          <w:rFonts w:ascii="Arial" w:eastAsia="SimSun" w:hAnsi="Arial" w:cs="Arial" w:hint="eastAsia"/>
          <w:b/>
          <w:color w:val="000000"/>
          <w:kern w:val="0"/>
          <w:sz w:val="24"/>
        </w:rPr>
        <w:t>3</w:t>
      </w:r>
      <w:r>
        <w:rPr>
          <w:rFonts w:ascii="Arial" w:eastAsia="SimSun" w:hAnsi="Arial" w:cs="Arial"/>
          <w:b/>
          <w:color w:val="000000"/>
          <w:kern w:val="0"/>
          <w:sz w:val="24"/>
        </w:rPr>
        <w:t xml:space="preserve"> </w:t>
      </w:r>
      <w:r w:rsidRPr="00420527">
        <w:rPr>
          <w:rFonts w:ascii="Arial" w:eastAsia="SimSun" w:hAnsi="Arial" w:cs="Arial"/>
          <w:b/>
          <w:color w:val="000000"/>
          <w:kern w:val="0"/>
          <w:sz w:val="24"/>
        </w:rPr>
        <w:t>Optimum choice of material and geometry of NPs on performance enhancement of LSPR</w:t>
      </w:r>
    </w:p>
    <w:p w:rsidR="001E7A75" w:rsidRPr="00420527" w:rsidRDefault="001E7A75" w:rsidP="00420527">
      <w:pPr>
        <w:spacing w:beforeLines="50" w:before="156"/>
        <w:textAlignment w:val="center"/>
        <w:rPr>
          <w:rFonts w:ascii="Times New Roman" w:hAnsi="Times New Roman" w:cs="Times New Roman"/>
          <w:b/>
          <w:bCs/>
          <w:szCs w:val="21"/>
        </w:rPr>
      </w:pPr>
      <w:r w:rsidRPr="00420527">
        <w:rPr>
          <w:rFonts w:ascii="Times New Roman" w:hAnsi="Times New Roman" w:cs="Times New Roman"/>
          <w:bCs/>
          <w:szCs w:val="28"/>
        </w:rPr>
        <w:t>Studies on performance enhancement methods target optimum choice of material and geometry of NPs:</w:t>
      </w:r>
      <w:bookmarkEnd w:id="6"/>
      <w:r w:rsidRPr="00420527">
        <w:rPr>
          <w:rFonts w:ascii="Times New Roman" w:hAnsi="Times New Roman" w:cs="Times New Roman"/>
          <w:bCs/>
          <w:szCs w:val="28"/>
        </w:rPr>
        <w:t xml:space="preserve"> (i) NP size and aspect ratios, (ii) NP shapes, and (iii) NP materials. As with SPR, LSPR sensing is normally conducted on gold (Au) or silver (Ag) NPs. Au is advantageous because of its resistance to oxidation and chemical stability; </w:t>
      </w:r>
      <w:r>
        <w:rPr>
          <w:rFonts w:ascii="Times New Roman" w:hAnsi="Times New Roman" w:cs="Times New Roman"/>
          <w:bCs/>
          <w:szCs w:val="28"/>
        </w:rPr>
        <w:t>H</w:t>
      </w:r>
      <w:r w:rsidRPr="00420527">
        <w:rPr>
          <w:rFonts w:ascii="Times New Roman" w:hAnsi="Times New Roman" w:cs="Times New Roman"/>
          <w:bCs/>
          <w:szCs w:val="28"/>
        </w:rPr>
        <w:t>owever Ag exhibits sharper resonances and thus higher RI sensitivity than Au.</w:t>
      </w:r>
    </w:p>
    <w:p w:rsidR="001E7A75" w:rsidRPr="00420527" w:rsidRDefault="001E7A75" w:rsidP="00420527">
      <w:pPr>
        <w:spacing w:beforeLines="25" w:before="78"/>
        <w:rPr>
          <w:rFonts w:ascii="Times New Roman" w:hAnsi="Times New Roman" w:cs="Times New Roman"/>
          <w:bCs/>
          <w:szCs w:val="28"/>
        </w:rPr>
      </w:pPr>
      <w:r w:rsidRPr="00420527">
        <w:rPr>
          <w:rFonts w:ascii="Times New Roman" w:hAnsi="Times New Roman" w:cs="Times New Roman"/>
          <w:szCs w:val="28"/>
        </w:rPr>
        <w:t>For a given metal and medium, the NP surface polarization distribution can greatly influence the intensity of a plasmon resonance. Therefore, any change in the shape of a metal NP can make a change to the surface polarization, causing the plasmon resonance variation accordingly.</w:t>
      </w:r>
      <w:r w:rsidRPr="00420527">
        <w:rPr>
          <w:rStyle w:val="fontstyle01"/>
          <w:rFonts w:ascii="Times New Roman" w:hAnsi="Times New Roman" w:cs="Times New Roman"/>
        </w:rPr>
        <w:t xml:space="preserve"> </w:t>
      </w:r>
      <w:r w:rsidRPr="00420527">
        <w:rPr>
          <w:rFonts w:ascii="Times New Roman" w:hAnsi="Times New Roman" w:cs="Times New Roman"/>
          <w:bCs/>
          <w:szCs w:val="28"/>
        </w:rPr>
        <w:t xml:space="preserve">For example, absorption (red), extinction (black) and scattering (blue) spectra simulated for AgNPs with various shapes using discrete dipole approximation method, which is commonly used in LSPR-based biosensors, are presented in </w:t>
      </w:r>
      <w:r w:rsidRPr="00420527">
        <w:rPr>
          <w:rFonts w:ascii="Times New Roman" w:hAnsi="Times New Roman" w:cs="Times New Roman"/>
          <w:b/>
          <w:bCs/>
          <w:szCs w:val="28"/>
        </w:rPr>
        <w:t xml:space="preserve">Figure </w:t>
      </w:r>
      <w:r>
        <w:rPr>
          <w:rFonts w:ascii="Times New Roman" w:hAnsi="Times New Roman" w:cs="Times New Roman"/>
          <w:b/>
          <w:bCs/>
          <w:szCs w:val="28"/>
        </w:rPr>
        <w:t>S6</w:t>
      </w:r>
      <w:r w:rsidRPr="001A2991">
        <w:rPr>
          <w:rFonts w:ascii="Times New Roman" w:hAnsi="Times New Roman" w:cs="Times New Roman"/>
          <w:bCs/>
          <w:szCs w:val="28"/>
        </w:rPr>
        <w:t xml:space="preserve"> </w:t>
      </w:r>
      <w:r w:rsidRPr="001A2991">
        <w:rPr>
          <w:rFonts w:ascii="Times New Roman" w:hAnsi="Times New Roman" w:cs="Times New Roman"/>
          <w:bCs/>
          <w:noProof/>
          <w:szCs w:val="28"/>
        </w:rPr>
        <w:t>(Lu et al. 2009)</w:t>
      </w:r>
      <w:r w:rsidRPr="00420527">
        <w:rPr>
          <w:rFonts w:ascii="Times New Roman" w:hAnsi="Times New Roman" w:cs="Times New Roman"/>
          <w:bCs/>
          <w:szCs w:val="28"/>
        </w:rPr>
        <w:t>. Such results offer some rules for designing the shapes of metal NPs, such as improving the NP symmetry to increase the LSPR peak intensity and changing the number of NP geometry to change the number of LSPR peaks.</w:t>
      </w:r>
    </w:p>
    <w:p w:rsidR="001E7A75" w:rsidRPr="00420527" w:rsidRDefault="001E7A75" w:rsidP="00420527">
      <w:pPr>
        <w:spacing w:beforeLines="50" w:before="156" w:line="480" w:lineRule="auto"/>
        <w:jc w:val="center"/>
        <w:rPr>
          <w:noProof/>
        </w:rPr>
      </w:pPr>
      <w:r w:rsidRPr="00420527">
        <w:rPr>
          <w:noProof/>
        </w:rPr>
        <w:drawing>
          <wp:inline distT="0" distB="0" distL="0" distR="0" wp14:anchorId="1B27BFD1" wp14:editId="26FBEE0C">
            <wp:extent cx="4244454" cy="5078663"/>
            <wp:effectExtent l="0" t="0" r="381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7047" cy="5081765"/>
                    </a:xfrm>
                    <a:prstGeom prst="rect">
                      <a:avLst/>
                    </a:prstGeom>
                    <a:noFill/>
                    <a:ln>
                      <a:noFill/>
                    </a:ln>
                  </pic:spPr>
                </pic:pic>
              </a:graphicData>
            </a:graphic>
          </wp:inline>
        </w:drawing>
      </w:r>
    </w:p>
    <w:p w:rsidR="001E7A75" w:rsidRPr="00420527" w:rsidRDefault="001E7A75" w:rsidP="00420527">
      <w:pPr>
        <w:spacing w:beforeLines="50" w:before="156"/>
        <w:rPr>
          <w:rFonts w:ascii="Times New Roman" w:hAnsi="Times New Roman" w:cs="Times New Roman"/>
          <w:bCs/>
          <w:szCs w:val="28"/>
        </w:rPr>
      </w:pPr>
      <w:r w:rsidRPr="00420527">
        <w:rPr>
          <w:rFonts w:ascii="Times New Roman" w:hAnsi="Times New Roman" w:cs="Times New Roman"/>
          <w:b/>
          <w:bCs/>
          <w:szCs w:val="28"/>
        </w:rPr>
        <w:t>Figure S6</w:t>
      </w:r>
      <w:r w:rsidRPr="00420527">
        <w:rPr>
          <w:rFonts w:ascii="Times New Roman" w:hAnsi="Times New Roman" w:cs="Times New Roman"/>
          <w:bCs/>
          <w:szCs w:val="28"/>
        </w:rPr>
        <w:t>.</w:t>
      </w:r>
      <w:r w:rsidRPr="00420527">
        <w:rPr>
          <w:rFonts w:ascii="Times New Roman" w:hAnsi="Times New Roman" w:cs="Times New Roman"/>
          <w:b/>
          <w:bCs/>
          <w:szCs w:val="28"/>
        </w:rPr>
        <w:t xml:space="preserve"> </w:t>
      </w:r>
      <w:r w:rsidRPr="00420527">
        <w:rPr>
          <w:rFonts w:ascii="Times New Roman" w:hAnsi="Times New Roman" w:cs="Times New Roman"/>
          <w:bCs/>
          <w:szCs w:val="28"/>
        </w:rPr>
        <w:t>Absorption (red), extinction (black), and scattering (blue) spectra simulated for AgNPs with various shapes using discrete dipole approximation method (reprinted from Ref.</w:t>
      </w:r>
      <w:r w:rsidR="00AA31CE">
        <w:rPr>
          <w:rFonts w:ascii="Times New Roman" w:hAnsi="Times New Roman" w:cs="Times New Roman"/>
          <w:bCs/>
          <w:szCs w:val="28"/>
        </w:rPr>
        <w:t xml:space="preserve"> </w:t>
      </w:r>
      <w:r>
        <w:rPr>
          <w:rFonts w:ascii="Times New Roman" w:hAnsi="Times New Roman" w:cs="Times New Roman"/>
          <w:bCs/>
          <w:noProof/>
          <w:szCs w:val="28"/>
        </w:rPr>
        <w:t>(Lu et al. 2009)</w:t>
      </w:r>
      <w:r w:rsidRPr="00420527">
        <w:rPr>
          <w:rFonts w:ascii="Times New Roman" w:hAnsi="Times New Roman" w:cs="Times New Roman"/>
          <w:bCs/>
          <w:szCs w:val="28"/>
        </w:rPr>
        <w:t xml:space="preserve"> </w:t>
      </w:r>
      <w:r w:rsidRPr="00420527">
        <w:rPr>
          <w:rFonts w:ascii="Times New Roman" w:hAnsi="Times New Roman" w:cs="Times New Roman"/>
          <w:bCs/>
          <w:szCs w:val="28"/>
        </w:rPr>
        <w:lastRenderedPageBreak/>
        <w:t>with permission).</w:t>
      </w:r>
      <w:r w:rsidRPr="00420527">
        <w:rPr>
          <w:rFonts w:ascii="Times New Roman" w:hAnsi="Times New Roman" w:cs="Times New Roman"/>
        </w:rPr>
        <w:t xml:space="preserve"> </w:t>
      </w:r>
      <w:r w:rsidRPr="00420527">
        <w:rPr>
          <w:rFonts w:ascii="Times New Roman" w:hAnsi="Times New Roman" w:cs="Times New Roman"/>
          <w:b/>
          <w:bCs/>
          <w:szCs w:val="28"/>
        </w:rPr>
        <w:t>(a)</w:t>
      </w:r>
      <w:r w:rsidRPr="00420527">
        <w:rPr>
          <w:rFonts w:ascii="Times New Roman" w:hAnsi="Times New Roman" w:cs="Times New Roman"/>
          <w:bCs/>
          <w:szCs w:val="28"/>
        </w:rPr>
        <w:t xml:space="preserve"> sphere, </w:t>
      </w:r>
      <w:r w:rsidRPr="00420527">
        <w:rPr>
          <w:rFonts w:ascii="Times New Roman" w:hAnsi="Times New Roman" w:cs="Times New Roman"/>
          <w:b/>
          <w:bCs/>
          <w:szCs w:val="28"/>
        </w:rPr>
        <w:t>(b)</w:t>
      </w:r>
      <w:r w:rsidRPr="00420527">
        <w:rPr>
          <w:rFonts w:ascii="Times New Roman" w:hAnsi="Times New Roman" w:cs="Times New Roman"/>
          <w:bCs/>
          <w:szCs w:val="28"/>
        </w:rPr>
        <w:t xml:space="preserve"> cube, </w:t>
      </w:r>
      <w:r w:rsidRPr="00420527">
        <w:rPr>
          <w:rFonts w:ascii="Times New Roman" w:hAnsi="Times New Roman" w:cs="Times New Roman"/>
          <w:b/>
          <w:bCs/>
          <w:szCs w:val="28"/>
        </w:rPr>
        <w:t>(c)</w:t>
      </w:r>
      <w:r w:rsidRPr="00420527">
        <w:rPr>
          <w:rFonts w:ascii="Times New Roman" w:hAnsi="Times New Roman" w:cs="Times New Roman"/>
          <w:bCs/>
          <w:szCs w:val="28"/>
        </w:rPr>
        <w:t xml:space="preserve"> tetrahedron, </w:t>
      </w:r>
      <w:r w:rsidRPr="00420527">
        <w:rPr>
          <w:rFonts w:ascii="Times New Roman" w:hAnsi="Times New Roman" w:cs="Times New Roman"/>
          <w:b/>
          <w:bCs/>
          <w:szCs w:val="28"/>
        </w:rPr>
        <w:t>(d)</w:t>
      </w:r>
      <w:r w:rsidRPr="00420527">
        <w:rPr>
          <w:rFonts w:ascii="Times New Roman" w:hAnsi="Times New Roman" w:cs="Times New Roman"/>
          <w:bCs/>
          <w:szCs w:val="28"/>
        </w:rPr>
        <w:t xml:space="preserve"> octahedron, and </w:t>
      </w:r>
      <w:r w:rsidRPr="00420527">
        <w:rPr>
          <w:rFonts w:ascii="Times New Roman" w:hAnsi="Times New Roman" w:cs="Times New Roman"/>
          <w:b/>
          <w:bCs/>
          <w:szCs w:val="28"/>
        </w:rPr>
        <w:t>(e)</w:t>
      </w:r>
      <w:r w:rsidRPr="00420527">
        <w:rPr>
          <w:rFonts w:ascii="Times New Roman" w:hAnsi="Times New Roman" w:cs="Times New Roman"/>
          <w:bCs/>
          <w:szCs w:val="28"/>
        </w:rPr>
        <w:t xml:space="preserve"> triangular plate. </w:t>
      </w:r>
      <w:r w:rsidRPr="00420527">
        <w:rPr>
          <w:rFonts w:ascii="Times New Roman" w:hAnsi="Times New Roman" w:cs="Times New Roman"/>
          <w:b/>
          <w:bCs/>
          <w:szCs w:val="28"/>
        </w:rPr>
        <w:t>(f)</w:t>
      </w:r>
      <w:r w:rsidRPr="00420527">
        <w:rPr>
          <w:rFonts w:ascii="Times New Roman" w:hAnsi="Times New Roman" w:cs="Times New Roman"/>
          <w:bCs/>
          <w:szCs w:val="28"/>
        </w:rPr>
        <w:t xml:space="preserve"> extinction spectra of rectangular blocks with 2 (black), 3 (red), and 4 (blue) aspect ratios, respectively.</w:t>
      </w:r>
    </w:p>
    <w:p w:rsidR="001E7A75" w:rsidRDefault="001E7A75">
      <w:pPr>
        <w:widowControl/>
        <w:jc w:val="left"/>
        <w:rPr>
          <w:rFonts w:ascii="Times New Roman" w:hAnsi="Times New Roman" w:cs="Times New Roman"/>
        </w:rPr>
      </w:pPr>
      <w:r>
        <w:rPr>
          <w:rFonts w:ascii="Times New Roman" w:hAnsi="Times New Roman" w:cs="Times New Roman"/>
        </w:rPr>
        <w:br w:type="page"/>
      </w:r>
    </w:p>
    <w:p w:rsidR="001E7A75" w:rsidRPr="00236F12" w:rsidRDefault="001E7A75" w:rsidP="009E51A7">
      <w:pPr>
        <w:spacing w:line="480" w:lineRule="auto"/>
        <w:jc w:val="center"/>
        <w:rPr>
          <w:noProof/>
        </w:rPr>
      </w:pPr>
      <w:r>
        <w:rPr>
          <w:noProof/>
        </w:rPr>
        <w:lastRenderedPageBreak/>
        <w:drawing>
          <wp:inline distT="0" distB="0" distL="0" distR="0" wp14:anchorId="790C3672" wp14:editId="17970A98">
            <wp:extent cx="5274860" cy="1254658"/>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6085" cy="1262085"/>
                    </a:xfrm>
                    <a:prstGeom prst="rect">
                      <a:avLst/>
                    </a:prstGeom>
                    <a:noFill/>
                    <a:ln>
                      <a:noFill/>
                    </a:ln>
                  </pic:spPr>
                </pic:pic>
              </a:graphicData>
            </a:graphic>
          </wp:inline>
        </w:drawing>
      </w:r>
    </w:p>
    <w:p w:rsidR="001E7A75" w:rsidRPr="009E51A7" w:rsidRDefault="001E7A75" w:rsidP="00E13702">
      <w:pPr>
        <w:spacing w:beforeLines="50" w:before="156"/>
        <w:rPr>
          <w:rFonts w:ascii="Times New Roman" w:hAnsi="Times New Roman" w:cs="Times New Roman"/>
          <w:bCs/>
          <w:szCs w:val="28"/>
        </w:rPr>
      </w:pPr>
      <w:r w:rsidRPr="009E51A7">
        <w:rPr>
          <w:rFonts w:ascii="Times New Roman" w:hAnsi="Times New Roman" w:cs="Times New Roman"/>
          <w:b/>
          <w:bCs/>
          <w:szCs w:val="28"/>
        </w:rPr>
        <w:t xml:space="preserve">Figure </w:t>
      </w:r>
      <w:r>
        <w:rPr>
          <w:rFonts w:ascii="Times New Roman" w:hAnsi="Times New Roman" w:cs="Times New Roman"/>
          <w:b/>
          <w:bCs/>
          <w:szCs w:val="28"/>
        </w:rPr>
        <w:t>S7</w:t>
      </w:r>
      <w:r w:rsidRPr="009E51A7">
        <w:rPr>
          <w:rFonts w:ascii="Times New Roman" w:hAnsi="Times New Roman" w:cs="Times New Roman"/>
          <w:b/>
          <w:bCs/>
          <w:szCs w:val="28"/>
        </w:rPr>
        <w:t>.</w:t>
      </w:r>
      <w:r w:rsidRPr="009E51A7">
        <w:rPr>
          <w:rFonts w:ascii="Times New Roman" w:hAnsi="Times New Roman" w:cs="Times New Roman"/>
          <w:bCs/>
          <w:szCs w:val="28"/>
        </w:rPr>
        <w:t xml:space="preserve"> Illustratio</w:t>
      </w:r>
      <w:r>
        <w:rPr>
          <w:rFonts w:ascii="Times New Roman" w:hAnsi="Times New Roman" w:cs="Times New Roman" w:hint="eastAsia"/>
          <w:bCs/>
          <w:szCs w:val="28"/>
        </w:rPr>
        <w:t>n</w:t>
      </w:r>
      <w:r w:rsidRPr="009E51A7">
        <w:rPr>
          <w:rFonts w:ascii="Times New Roman" w:hAnsi="Times New Roman" w:cs="Times New Roman"/>
          <w:bCs/>
          <w:szCs w:val="28"/>
        </w:rPr>
        <w:t xml:space="preserve"> of PC categories utilized for biosensors: (a) 1D PCs, (b) PC slabs, (c) PC waveguides, and (d) PC microcavities (reprinted with permission from Ref.</w:t>
      </w:r>
      <w:r>
        <w:rPr>
          <w:rFonts w:ascii="Times New Roman" w:hAnsi="Times New Roman" w:cs="Times New Roman"/>
          <w:bCs/>
          <w:szCs w:val="28"/>
        </w:rPr>
        <w:t xml:space="preserve"> </w:t>
      </w:r>
      <w:r>
        <w:rPr>
          <w:rFonts w:ascii="Times New Roman" w:hAnsi="Times New Roman" w:cs="Times New Roman"/>
          <w:bCs/>
          <w:noProof/>
          <w:szCs w:val="28"/>
        </w:rPr>
        <w:t>(Threm et al. 2012)</w:t>
      </w:r>
      <w:r w:rsidRPr="009E51A7">
        <w:rPr>
          <w:rFonts w:ascii="Times New Roman" w:hAnsi="Times New Roman" w:cs="Times New Roman"/>
          <w:bCs/>
          <w:szCs w:val="28"/>
        </w:rPr>
        <w:t>).</w:t>
      </w:r>
    </w:p>
    <w:p w:rsidR="001E7A75" w:rsidRDefault="001E7A75">
      <w:pPr>
        <w:widowControl/>
        <w:jc w:val="left"/>
        <w:rPr>
          <w:rFonts w:ascii="Times New Roman" w:hAnsi="Times New Roman" w:cs="Times New Roman"/>
        </w:rPr>
      </w:pPr>
      <w:r>
        <w:rPr>
          <w:rFonts w:ascii="Times New Roman" w:hAnsi="Times New Roman" w:cs="Times New Roman"/>
        </w:rPr>
        <w:br w:type="page"/>
      </w:r>
    </w:p>
    <w:p w:rsidR="001E7A75" w:rsidRPr="00CD4870" w:rsidRDefault="001E7A75" w:rsidP="00CD4870">
      <w:pPr>
        <w:rPr>
          <w:rFonts w:ascii="Arial" w:eastAsia="SimSun" w:hAnsi="Arial" w:cs="Arial"/>
          <w:b/>
          <w:color w:val="000000"/>
          <w:kern w:val="0"/>
          <w:sz w:val="24"/>
        </w:rPr>
      </w:pPr>
      <w:r>
        <w:rPr>
          <w:rFonts w:ascii="Arial" w:eastAsia="SimSun" w:hAnsi="Arial" w:cs="Arial"/>
          <w:b/>
          <w:color w:val="000000"/>
          <w:kern w:val="0"/>
          <w:sz w:val="24"/>
        </w:rPr>
        <w:lastRenderedPageBreak/>
        <w:t>N</w:t>
      </w:r>
      <w:r>
        <w:rPr>
          <w:rFonts w:ascii="Arial" w:eastAsia="SimSun" w:hAnsi="Arial" w:cs="Arial" w:hint="eastAsia"/>
          <w:b/>
          <w:color w:val="000000"/>
          <w:kern w:val="0"/>
          <w:sz w:val="24"/>
        </w:rPr>
        <w:t>ote</w:t>
      </w:r>
      <w:r>
        <w:rPr>
          <w:rFonts w:ascii="Arial" w:eastAsia="SimSun" w:hAnsi="Arial" w:cs="Arial"/>
          <w:b/>
          <w:color w:val="000000"/>
          <w:kern w:val="0"/>
          <w:sz w:val="24"/>
        </w:rPr>
        <w:t xml:space="preserve"> S</w:t>
      </w:r>
      <w:r>
        <w:rPr>
          <w:rFonts w:ascii="Arial" w:eastAsia="SimSun" w:hAnsi="Arial" w:cs="Arial" w:hint="eastAsia"/>
          <w:b/>
          <w:color w:val="000000"/>
          <w:kern w:val="0"/>
          <w:sz w:val="24"/>
        </w:rPr>
        <w:t>4</w:t>
      </w:r>
      <w:r>
        <w:rPr>
          <w:rFonts w:ascii="Arial" w:eastAsia="SimSun" w:hAnsi="Arial" w:cs="Arial"/>
          <w:b/>
          <w:color w:val="000000"/>
          <w:kern w:val="0"/>
          <w:sz w:val="24"/>
        </w:rPr>
        <w:t xml:space="preserve"> P</w:t>
      </w:r>
      <w:r w:rsidRPr="00CD4870">
        <w:rPr>
          <w:rFonts w:ascii="Arial" w:eastAsia="SimSun" w:hAnsi="Arial" w:cs="Arial"/>
          <w:b/>
          <w:color w:val="000000"/>
          <w:kern w:val="0"/>
          <w:sz w:val="24"/>
        </w:rPr>
        <w:t>hysisorbed surface functionalization</w:t>
      </w:r>
    </w:p>
    <w:p w:rsidR="001E7A75" w:rsidRPr="00CD4870" w:rsidRDefault="001E7A75" w:rsidP="00CD4870">
      <w:pPr>
        <w:spacing w:beforeLines="25" w:before="78"/>
        <w:rPr>
          <w:rFonts w:ascii="Times New Roman" w:hAnsi="Times New Roman" w:cs="Times New Roman"/>
        </w:rPr>
      </w:pPr>
      <w:r>
        <w:rPr>
          <w:rFonts w:ascii="Times New Roman" w:hAnsi="Times New Roman" w:cs="Times New Roman"/>
        </w:rPr>
        <w:t>T</w:t>
      </w:r>
      <w:r w:rsidRPr="00CD4870">
        <w:rPr>
          <w:rFonts w:ascii="Times New Roman" w:hAnsi="Times New Roman" w:cs="Times New Roman"/>
        </w:rPr>
        <w:t>he approach to anchore receptor molecules onto the solid sensing surface plays a crucial role in biosensor-related method, which strongly affects the analytical performance</w:t>
      </w:r>
      <w:r w:rsidR="00AA31CE">
        <w:rPr>
          <w:rFonts w:ascii="Times New Roman" w:hAnsi="Times New Roman" w:cs="Times New Roman"/>
        </w:rPr>
        <w:t xml:space="preserve"> </w:t>
      </w:r>
      <w:r>
        <w:rPr>
          <w:rFonts w:ascii="Times New Roman" w:hAnsi="Times New Roman" w:cs="Times New Roman"/>
          <w:noProof/>
        </w:rPr>
        <w:t>(Sicard and Brennan 2013)</w:t>
      </w:r>
      <w:r w:rsidRPr="00CD4870">
        <w:rPr>
          <w:rFonts w:ascii="Times New Roman" w:hAnsi="Times New Roman" w:cs="Times New Roman"/>
        </w:rPr>
        <w:t>. Ideally, surface functionalization should fit the following requirements</w:t>
      </w:r>
      <w:r w:rsidR="00AA31CE">
        <w:rPr>
          <w:rFonts w:ascii="Times New Roman" w:hAnsi="Times New Roman" w:cs="Times New Roman"/>
        </w:rPr>
        <w:t xml:space="preserve"> </w:t>
      </w:r>
      <w:r>
        <w:rPr>
          <w:rFonts w:ascii="Times New Roman" w:hAnsi="Times New Roman" w:cs="Times New Roman"/>
          <w:noProof/>
        </w:rPr>
        <w:t>(Banuls et al. 2013)</w:t>
      </w:r>
      <w:r w:rsidRPr="00CD4870">
        <w:rPr>
          <w:rFonts w:ascii="Times New Roman" w:hAnsi="Times New Roman" w:cs="Times New Roman"/>
        </w:rPr>
        <w:t>: homogeneous thin layer formation in a functional conformation and suitable for sensing within evanescent field; robustness and reusability; minor non-specific adsorption; simple reactions; low cost; not too harsh to keep the active structures of both the receptor molecules and the solid sensing surface; low interfering adsorption at the working wavelengths; and integrability with mass-scale fabrication.</w:t>
      </w:r>
    </w:p>
    <w:p w:rsidR="001E7A75" w:rsidRPr="00CD4870" w:rsidRDefault="001E7A75" w:rsidP="00CD4870">
      <w:pPr>
        <w:autoSpaceDE w:val="0"/>
        <w:autoSpaceDN w:val="0"/>
        <w:adjustRightInd w:val="0"/>
        <w:spacing w:beforeLines="25" w:before="78"/>
        <w:rPr>
          <w:rFonts w:ascii="Times New Roman" w:hAnsi="Times New Roman" w:cs="Times New Roman"/>
        </w:rPr>
      </w:pPr>
      <w:r w:rsidRPr="00CD4870">
        <w:rPr>
          <w:rFonts w:ascii="Times New Roman" w:hAnsi="Times New Roman" w:cs="Times New Roman"/>
        </w:rPr>
        <w:t xml:space="preserve">Entrapment and physical adsorption are the major classifications of </w:t>
      </w:r>
      <w:bookmarkStart w:id="7" w:name="OLE_LINK5"/>
      <w:r w:rsidRPr="00CD4870">
        <w:rPr>
          <w:rFonts w:ascii="Times New Roman" w:hAnsi="Times New Roman" w:cs="Times New Roman"/>
        </w:rPr>
        <w:t>physisorbed</w:t>
      </w:r>
      <w:bookmarkEnd w:id="7"/>
      <w:r w:rsidRPr="00CD4870">
        <w:rPr>
          <w:rFonts w:ascii="Times New Roman" w:hAnsi="Times New Roman" w:cs="Times New Roman"/>
        </w:rPr>
        <w:t xml:space="preserve"> surface functionalization. Entrapment enables inclusion of a receptor (e.g. enzyme, antibody, and nucleic acid) in a gel lattice (network composed of polymer) via physical interception, including microcapsule, organic polymer, silica sol-gel or membrane device (hollow fibers). Physical entrapment is easy to perform and capable of depositing diverse receptor molecules in the same way. In 1962, the first work using entrapment immobilization to construct biosensors was reported by Clark et al. In this design, two layers of semipermeable dialysis membranes were utilized to entrap concentrated glucose oxidase for the construction of the first gluose biosensor</w:t>
      </w:r>
      <w:r>
        <w:rPr>
          <w:rFonts w:ascii="Times New Roman" w:hAnsi="Times New Roman" w:cs="Times New Roman"/>
        </w:rPr>
        <w:t xml:space="preserve"> </w:t>
      </w:r>
      <w:r>
        <w:rPr>
          <w:rFonts w:ascii="Times New Roman" w:hAnsi="Times New Roman" w:cs="Times New Roman"/>
          <w:noProof/>
        </w:rPr>
        <w:t>(Clark Jr and Lyons 1962)</w:t>
      </w:r>
      <w:r w:rsidRPr="00CD4870">
        <w:rPr>
          <w:rFonts w:ascii="Times New Roman" w:hAnsi="Times New Roman" w:cs="Times New Roman"/>
        </w:rPr>
        <w:t>. However, the oxidase intercepted by the membrane was vulnerable to leakage, resulting in unstable sensor signals. Therefore, Updike and Hicks improved this approach by entrapping glucose oxidase in a gel matrix, which marked the beginning of the biosensor commercialization</w:t>
      </w:r>
      <w:r w:rsidR="00AA31CE">
        <w:rPr>
          <w:rFonts w:ascii="Times New Roman" w:hAnsi="Times New Roman" w:cs="Times New Roman"/>
        </w:rPr>
        <w:t xml:space="preserve"> </w:t>
      </w:r>
      <w:r>
        <w:rPr>
          <w:rFonts w:ascii="Times New Roman" w:hAnsi="Times New Roman" w:cs="Times New Roman"/>
          <w:noProof/>
        </w:rPr>
        <w:t>(Updike and Hicks 1967)</w:t>
      </w:r>
      <w:r w:rsidRPr="00CD4870">
        <w:rPr>
          <w:rFonts w:ascii="Times New Roman" w:hAnsi="Times New Roman" w:cs="Times New Roman"/>
        </w:rPr>
        <w:t>. Entrapment enables the retention of the biological activities of receptor molecules to the maximum extent given the absence of modification so that biological activity is preserved during immobilization. However, the performances of the systems can be greatly restricted due to the existence of possible diffusion barriers</w:t>
      </w:r>
      <w:r>
        <w:rPr>
          <w:rFonts w:ascii="Times New Roman" w:hAnsi="Times New Roman" w:cs="Times New Roman"/>
        </w:rPr>
        <w:t xml:space="preserve"> </w:t>
      </w:r>
      <w:r>
        <w:rPr>
          <w:rFonts w:ascii="Times New Roman" w:hAnsi="Times New Roman" w:cs="Times New Roman"/>
          <w:noProof/>
        </w:rPr>
        <w:t>(Sassolas et al. 2013)</w:t>
      </w:r>
      <w:r w:rsidRPr="00CD4870">
        <w:rPr>
          <w:rFonts w:ascii="Times New Roman" w:hAnsi="Times New Roman" w:cs="Times New Roman"/>
        </w:rPr>
        <w:t>, especially for the affinity interaction-based biosensor.</w:t>
      </w:r>
    </w:p>
    <w:p w:rsidR="001E7A75" w:rsidRPr="00CD4870" w:rsidRDefault="001E7A75" w:rsidP="00CD4870">
      <w:pPr>
        <w:autoSpaceDE w:val="0"/>
        <w:autoSpaceDN w:val="0"/>
        <w:adjustRightInd w:val="0"/>
        <w:spacing w:beforeLines="25" w:before="78"/>
        <w:rPr>
          <w:rFonts w:ascii="Times New Roman" w:hAnsi="Times New Roman" w:cs="Times New Roman"/>
        </w:rPr>
      </w:pPr>
      <w:r w:rsidRPr="00CD4870">
        <w:rPr>
          <w:rFonts w:ascii="Times New Roman" w:hAnsi="Times New Roman" w:cs="Times New Roman"/>
        </w:rPr>
        <w:t>Physical adsorption is another predominant approach of immobilizing biological receptors onto any kind of surface materials. This strategy utilize</w:t>
      </w:r>
      <w:r>
        <w:rPr>
          <w:rFonts w:ascii="Times New Roman" w:hAnsi="Times New Roman" w:cs="Times New Roman"/>
        </w:rPr>
        <w:t>s</w:t>
      </w:r>
      <w:r w:rsidRPr="00CD4870">
        <w:rPr>
          <w:rFonts w:ascii="Times New Roman" w:hAnsi="Times New Roman" w:cs="Times New Roman"/>
        </w:rPr>
        <w:t xml:space="preserve"> a series of weak interactions between the solid surface and the functional moieties of the receptors, including van der Waals forces, hydrophobic interactions, hydrogen bonding and attractive/repulsive electrostatic interactions</w:t>
      </w:r>
      <w:r>
        <w:rPr>
          <w:rFonts w:ascii="Times New Roman" w:hAnsi="Times New Roman" w:cs="Times New Roman"/>
        </w:rPr>
        <w:t xml:space="preserve"> </w:t>
      </w:r>
      <w:r>
        <w:rPr>
          <w:rFonts w:ascii="Times New Roman" w:hAnsi="Times New Roman" w:cs="Times New Roman"/>
          <w:noProof/>
        </w:rPr>
        <w:t>(Hartmann and Kostrov 2013)</w:t>
      </w:r>
      <w:r w:rsidRPr="00CD4870">
        <w:rPr>
          <w:rFonts w:ascii="Times New Roman" w:hAnsi="Times New Roman" w:cs="Times New Roman"/>
        </w:rPr>
        <w:t>. This approach features its simplicity without tedious chemical modification. It also brings the retention of biological activity of immobilized receptor molecules. Given that the binding forces between receptor molecules and the solid surfaceare only physical adsorption, the risk of folding and desorption may be caused by slight changes in ambient conditions, including pH, temperature and ionic strength variations.</w:t>
      </w:r>
      <w:r w:rsidRPr="00CD4870">
        <w:rPr>
          <w:rFonts w:ascii="Times New Roman" w:hAnsi="Times New Roman" w:cs="Times New Roman"/>
          <w:color w:val="FF0000"/>
        </w:rPr>
        <w:t xml:space="preserve"> </w:t>
      </w:r>
      <w:r w:rsidRPr="00CD4870">
        <w:rPr>
          <w:rFonts w:ascii="Times New Roman" w:hAnsi="Times New Roman" w:cs="Times New Roman"/>
        </w:rPr>
        <w:t>To meet the challenge, various of strategies are developed to improve biomolecules binding to the solid surface, which has been summarized in a review paper</w:t>
      </w:r>
      <w:r>
        <w:rPr>
          <w:rFonts w:ascii="Times New Roman" w:hAnsi="Times New Roman" w:cs="Times New Roman"/>
        </w:rPr>
        <w:t xml:space="preserve"> </w:t>
      </w:r>
      <w:r>
        <w:rPr>
          <w:rFonts w:ascii="Times New Roman" w:hAnsi="Times New Roman" w:cs="Times New Roman"/>
          <w:noProof/>
        </w:rPr>
        <w:t>(Sassolas et al. 2012)</w:t>
      </w:r>
      <w:r w:rsidRPr="00CD4870">
        <w:rPr>
          <w:rFonts w:ascii="Times New Roman" w:hAnsi="Times New Roman" w:cs="Times New Roman"/>
        </w:rPr>
        <w:t>.</w:t>
      </w:r>
    </w:p>
    <w:p w:rsidR="001E7A75" w:rsidRDefault="001E7A75" w:rsidP="00CD4870">
      <w:pPr>
        <w:spacing w:beforeLines="25" w:before="78"/>
        <w:rPr>
          <w:rFonts w:ascii="Times New Roman" w:hAnsi="Times New Roman" w:cs="Times New Roman"/>
        </w:rPr>
      </w:pPr>
      <w:r w:rsidRPr="00CD4870">
        <w:rPr>
          <w:rFonts w:ascii="Times New Roman" w:hAnsi="Times New Roman" w:cs="Times New Roman"/>
        </w:rPr>
        <w:t>Although bioreceptor physisorption is generally used in the design of novel optical sensors</w:t>
      </w:r>
      <w:r>
        <w:rPr>
          <w:rFonts w:ascii="Times New Roman" w:hAnsi="Times New Roman" w:cs="Times New Roman"/>
          <w:noProof/>
        </w:rPr>
        <w:t>(Bañuls et al. 2013)</w:t>
      </w:r>
      <w:r w:rsidRPr="00CD4870">
        <w:rPr>
          <w:rFonts w:ascii="Times New Roman" w:hAnsi="Times New Roman" w:cs="Times New Roman"/>
        </w:rPr>
        <w:t>, it suffers from long incubation time, random orientation, low reproducibility and</w:t>
      </w:r>
      <w:r>
        <w:rPr>
          <w:rFonts w:ascii="Times New Roman" w:hAnsi="Times New Roman" w:cs="Times New Roman"/>
        </w:rPr>
        <w:t xml:space="preserve"> v</w:t>
      </w:r>
      <w:r>
        <w:rPr>
          <w:rFonts w:ascii="Times New Roman" w:hAnsi="Times New Roman" w:cs="Times New Roman" w:hint="eastAsia"/>
        </w:rPr>
        <w:t>u</w:t>
      </w:r>
      <w:r w:rsidRPr="00CD4870">
        <w:rPr>
          <w:rFonts w:ascii="Times New Roman" w:hAnsi="Times New Roman" w:cs="Times New Roman"/>
        </w:rPr>
        <w:t>lnerability to external environment. In the case of electronically neutral and non-porous surface</w:t>
      </w:r>
      <w:r>
        <w:rPr>
          <w:rFonts w:ascii="Times New Roman" w:hAnsi="Times New Roman" w:cs="Times New Roman"/>
        </w:rPr>
        <w:t xml:space="preserve"> </w:t>
      </w:r>
      <w:r w:rsidRPr="00CD4870">
        <w:rPr>
          <w:rFonts w:ascii="Times New Roman" w:hAnsi="Times New Roman" w:cs="Times New Roman"/>
        </w:rPr>
        <w:t>(e.g. silicon nitride), physisorption functionalization is ineffective</w:t>
      </w:r>
      <w:r>
        <w:rPr>
          <w:rFonts w:ascii="Times New Roman" w:hAnsi="Times New Roman" w:cs="Times New Roman"/>
        </w:rPr>
        <w:t xml:space="preserve"> </w:t>
      </w:r>
      <w:r>
        <w:rPr>
          <w:rFonts w:ascii="Times New Roman" w:hAnsi="Times New Roman" w:cs="Times New Roman"/>
          <w:noProof/>
        </w:rPr>
        <w:t>(Williams and Blanch 1994)</w:t>
      </w:r>
      <w:r w:rsidRPr="00CD4870">
        <w:rPr>
          <w:rFonts w:ascii="Times New Roman" w:hAnsi="Times New Roman" w:cs="Times New Roman"/>
        </w:rPr>
        <w:t>.</w:t>
      </w:r>
    </w:p>
    <w:p w:rsidR="001E7A75" w:rsidRDefault="001E7A75">
      <w:pPr>
        <w:widowControl/>
        <w:jc w:val="left"/>
        <w:rPr>
          <w:rFonts w:ascii="Times New Roman" w:hAnsi="Times New Roman" w:cs="Times New Roman"/>
        </w:rPr>
      </w:pPr>
      <w:r>
        <w:rPr>
          <w:rFonts w:ascii="Times New Roman" w:hAnsi="Times New Roman" w:cs="Times New Roman"/>
        </w:rPr>
        <w:br w:type="page"/>
      </w:r>
    </w:p>
    <w:p w:rsidR="001E7A75" w:rsidRDefault="001E7A75" w:rsidP="00E13702">
      <w:pPr>
        <w:autoSpaceDE w:val="0"/>
        <w:autoSpaceDN w:val="0"/>
        <w:adjustRightInd w:val="0"/>
        <w:spacing w:line="480" w:lineRule="auto"/>
        <w:jc w:val="center"/>
        <w:rPr>
          <w:noProof/>
        </w:rPr>
      </w:pPr>
      <w:r>
        <w:rPr>
          <w:noProof/>
        </w:rPr>
        <w:lastRenderedPageBreak/>
        <w:drawing>
          <wp:inline distT="0" distB="0" distL="0" distR="0" wp14:anchorId="13C55DE3" wp14:editId="15AF99F8">
            <wp:extent cx="3855720" cy="1924050"/>
            <wp:effectExtent l="0" t="0" r="0" b="0"/>
            <wp:docPr id="21" name="图片 21" descr="1543540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54354013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5720" cy="1924050"/>
                    </a:xfrm>
                    <a:prstGeom prst="rect">
                      <a:avLst/>
                    </a:prstGeom>
                    <a:noFill/>
                    <a:ln>
                      <a:noFill/>
                    </a:ln>
                  </pic:spPr>
                </pic:pic>
              </a:graphicData>
            </a:graphic>
          </wp:inline>
        </w:drawing>
      </w:r>
    </w:p>
    <w:p w:rsidR="001E7A75" w:rsidRDefault="001E7A75" w:rsidP="00E13702">
      <w:pPr>
        <w:spacing w:beforeLines="50" w:before="156"/>
        <w:rPr>
          <w:rFonts w:ascii="Times New Roman" w:hAnsi="Times New Roman" w:cs="Times New Roman"/>
          <w:bCs/>
          <w:szCs w:val="28"/>
        </w:rPr>
      </w:pPr>
      <w:r w:rsidRPr="00E13702">
        <w:rPr>
          <w:rFonts w:ascii="Times New Roman" w:hAnsi="Times New Roman" w:cs="Times New Roman" w:hint="eastAsia"/>
          <w:b/>
          <w:bCs/>
          <w:szCs w:val="28"/>
        </w:rPr>
        <w:t>Figure</w:t>
      </w:r>
      <w:r w:rsidRPr="00E13702">
        <w:rPr>
          <w:rFonts w:ascii="Times New Roman" w:hAnsi="Times New Roman" w:cs="Times New Roman"/>
          <w:b/>
          <w:bCs/>
          <w:szCs w:val="28"/>
        </w:rPr>
        <w:t xml:space="preserve"> </w:t>
      </w:r>
      <w:r>
        <w:rPr>
          <w:rFonts w:ascii="Times New Roman" w:hAnsi="Times New Roman" w:cs="Times New Roman"/>
          <w:b/>
          <w:bCs/>
          <w:szCs w:val="28"/>
        </w:rPr>
        <w:t>S</w:t>
      </w:r>
      <w:r w:rsidRPr="00E13702">
        <w:rPr>
          <w:rFonts w:ascii="Times New Roman" w:hAnsi="Times New Roman" w:cs="Times New Roman"/>
          <w:b/>
          <w:bCs/>
          <w:szCs w:val="28"/>
        </w:rPr>
        <w:t>8</w:t>
      </w:r>
      <w:r w:rsidRPr="00E13702">
        <w:rPr>
          <w:rFonts w:ascii="Times New Roman" w:hAnsi="Times New Roman" w:cs="Times New Roman" w:hint="eastAsia"/>
          <w:bCs/>
          <w:szCs w:val="28"/>
        </w:rPr>
        <w:t>.</w:t>
      </w:r>
      <w:r w:rsidRPr="00E13702">
        <w:rPr>
          <w:rFonts w:ascii="Times New Roman" w:hAnsi="Times New Roman" w:cs="Times New Roman"/>
          <w:bCs/>
          <w:szCs w:val="28"/>
        </w:rPr>
        <w:t xml:space="preserve"> S</w:t>
      </w:r>
      <w:r w:rsidRPr="00E13702">
        <w:rPr>
          <w:rFonts w:ascii="Times New Roman" w:hAnsi="Times New Roman" w:cs="Times New Roman" w:hint="eastAsia"/>
          <w:bCs/>
          <w:szCs w:val="28"/>
        </w:rPr>
        <w:t>chematic illustration</w:t>
      </w:r>
      <w:r w:rsidRPr="00E13702">
        <w:rPr>
          <w:rFonts w:ascii="Times New Roman" w:hAnsi="Times New Roman" w:cs="Times New Roman"/>
          <w:bCs/>
          <w:szCs w:val="28"/>
        </w:rPr>
        <w:t xml:space="preserve"> </w:t>
      </w:r>
      <w:r w:rsidRPr="00E13702">
        <w:rPr>
          <w:rFonts w:ascii="Times New Roman" w:hAnsi="Times New Roman" w:cs="Times New Roman" w:hint="eastAsia"/>
          <w:bCs/>
          <w:szCs w:val="28"/>
        </w:rPr>
        <w:t>of</w:t>
      </w:r>
      <w:r w:rsidRPr="00E13702">
        <w:rPr>
          <w:rFonts w:ascii="Times New Roman" w:hAnsi="Times New Roman" w:cs="Times New Roman"/>
          <w:bCs/>
          <w:szCs w:val="28"/>
        </w:rPr>
        <w:t xml:space="preserve"> </w:t>
      </w:r>
      <w:r w:rsidRPr="00E13702">
        <w:rPr>
          <w:rFonts w:ascii="Times New Roman" w:hAnsi="Times New Roman" w:cs="Times New Roman" w:hint="eastAsia"/>
          <w:bCs/>
          <w:szCs w:val="28"/>
        </w:rPr>
        <w:t xml:space="preserve">the chemical </w:t>
      </w:r>
      <w:r w:rsidRPr="00E13702">
        <w:rPr>
          <w:rFonts w:ascii="Times New Roman" w:hAnsi="Times New Roman" w:cs="Times New Roman"/>
          <w:bCs/>
          <w:szCs w:val="28"/>
        </w:rPr>
        <w:t xml:space="preserve">structure </w:t>
      </w:r>
      <w:r w:rsidRPr="00E13702">
        <w:rPr>
          <w:rFonts w:ascii="Times New Roman" w:hAnsi="Times New Roman" w:cs="Times New Roman" w:hint="eastAsia"/>
          <w:bCs/>
          <w:szCs w:val="28"/>
        </w:rPr>
        <w:t>and</w:t>
      </w:r>
      <w:r w:rsidRPr="00E13702">
        <w:rPr>
          <w:rFonts w:ascii="Times New Roman" w:hAnsi="Times New Roman" w:cs="Times New Roman"/>
          <w:bCs/>
          <w:szCs w:val="28"/>
        </w:rPr>
        <w:t xml:space="preserve"> </w:t>
      </w:r>
      <w:r w:rsidRPr="00E13702">
        <w:rPr>
          <w:rFonts w:ascii="Times New Roman" w:hAnsi="Times New Roman" w:cs="Times New Roman" w:hint="eastAsia"/>
          <w:bCs/>
          <w:szCs w:val="28"/>
        </w:rPr>
        <w:t>fabrication</w:t>
      </w:r>
      <w:r w:rsidRPr="00E13702">
        <w:rPr>
          <w:rFonts w:ascii="Times New Roman" w:hAnsi="Times New Roman" w:cs="Times New Roman"/>
          <w:bCs/>
          <w:szCs w:val="28"/>
        </w:rPr>
        <w:t xml:space="preserve"> of the poly[(N-(2-hydroxypropyl) mechacrylamide)-co-(carboxybetaine methacrylamide)] polymer brush (left) and </w:t>
      </w:r>
      <w:r w:rsidRPr="00E13702">
        <w:rPr>
          <w:rFonts w:ascii="Times New Roman" w:hAnsi="Times New Roman" w:cs="Times New Roman" w:hint="eastAsia"/>
          <w:bCs/>
          <w:szCs w:val="28"/>
        </w:rPr>
        <w:t>the</w:t>
      </w:r>
      <w:r w:rsidRPr="00E13702">
        <w:rPr>
          <w:rFonts w:ascii="Times New Roman" w:hAnsi="Times New Roman" w:cs="Times New Roman"/>
          <w:bCs/>
          <w:szCs w:val="28"/>
        </w:rPr>
        <w:t xml:space="preserve"> </w:t>
      </w:r>
      <w:r w:rsidRPr="00E13702">
        <w:rPr>
          <w:rFonts w:ascii="Times New Roman" w:hAnsi="Times New Roman" w:cs="Times New Roman" w:hint="eastAsia"/>
          <w:bCs/>
          <w:szCs w:val="28"/>
        </w:rPr>
        <w:t>post-modification</w:t>
      </w:r>
      <w:r w:rsidRPr="00E13702">
        <w:rPr>
          <w:rFonts w:ascii="Times New Roman" w:hAnsi="Times New Roman" w:cs="Times New Roman"/>
          <w:bCs/>
          <w:szCs w:val="28"/>
        </w:rPr>
        <w:t xml:space="preserve"> </w:t>
      </w:r>
      <w:r w:rsidRPr="00E13702">
        <w:rPr>
          <w:rFonts w:ascii="Times New Roman" w:hAnsi="Times New Roman" w:cs="Times New Roman" w:hint="eastAsia"/>
          <w:bCs/>
          <w:szCs w:val="28"/>
        </w:rPr>
        <w:t>of</w:t>
      </w:r>
      <w:r w:rsidRPr="00E13702">
        <w:rPr>
          <w:rFonts w:ascii="Times New Roman" w:hAnsi="Times New Roman" w:cs="Times New Roman"/>
          <w:bCs/>
          <w:szCs w:val="28"/>
        </w:rPr>
        <w:t xml:space="preserve"> protein receptor </w:t>
      </w:r>
      <w:r w:rsidRPr="00E13702">
        <w:rPr>
          <w:rFonts w:ascii="Times New Roman" w:hAnsi="Times New Roman" w:cs="Times New Roman" w:hint="eastAsia"/>
          <w:bCs/>
          <w:szCs w:val="28"/>
        </w:rPr>
        <w:t>onto</w:t>
      </w:r>
      <w:r w:rsidRPr="00E13702">
        <w:rPr>
          <w:rFonts w:ascii="Times New Roman" w:hAnsi="Times New Roman" w:cs="Times New Roman"/>
          <w:bCs/>
          <w:szCs w:val="28"/>
        </w:rPr>
        <w:t xml:space="preserve"> gold surface with tethered brush (right) </w:t>
      </w:r>
      <w:r w:rsidRPr="00E13702">
        <w:rPr>
          <w:rFonts w:ascii="Times New Roman" w:hAnsi="Times New Roman" w:cs="Times New Roman" w:hint="eastAsia"/>
          <w:bCs/>
          <w:szCs w:val="28"/>
        </w:rPr>
        <w:t>(</w:t>
      </w:r>
      <w:r w:rsidRPr="00E13702">
        <w:rPr>
          <w:rFonts w:ascii="Times New Roman" w:hAnsi="Times New Roman" w:cs="Times New Roman"/>
          <w:bCs/>
          <w:szCs w:val="28"/>
        </w:rPr>
        <w:t>reprinted from Ref.</w:t>
      </w:r>
      <w:r>
        <w:rPr>
          <w:rFonts w:ascii="Times New Roman" w:hAnsi="Times New Roman" w:cs="Times New Roman"/>
          <w:bCs/>
          <w:szCs w:val="28"/>
        </w:rPr>
        <w:t xml:space="preserve"> </w:t>
      </w:r>
      <w:r w:rsidR="00751CCC" w:rsidRPr="00751CCC">
        <w:rPr>
          <w:rFonts w:ascii="Times New Roman" w:hAnsi="Times New Roman" w:cs="Times New Roman"/>
          <w:bCs/>
          <w:noProof/>
          <w:szCs w:val="28"/>
        </w:rPr>
        <w:t>(Riedel et al. 2016)</w:t>
      </w:r>
      <w:r w:rsidRPr="00E13702">
        <w:rPr>
          <w:rFonts w:ascii="Times New Roman" w:hAnsi="Times New Roman" w:cs="Times New Roman"/>
          <w:bCs/>
          <w:szCs w:val="28"/>
        </w:rPr>
        <w:t xml:space="preserve"> with permission).</w:t>
      </w:r>
    </w:p>
    <w:p w:rsidR="001E7A75" w:rsidRDefault="001E7A75" w:rsidP="00E13702">
      <w:pPr>
        <w:widowControl/>
        <w:rPr>
          <w:rFonts w:ascii="Times New Roman" w:hAnsi="Times New Roman" w:cs="Times New Roman"/>
          <w:bCs/>
          <w:szCs w:val="28"/>
        </w:rPr>
      </w:pPr>
      <w:r>
        <w:rPr>
          <w:rFonts w:ascii="Times New Roman" w:hAnsi="Times New Roman" w:cs="Times New Roman"/>
          <w:bCs/>
          <w:szCs w:val="28"/>
        </w:rPr>
        <w:br w:type="page"/>
      </w:r>
    </w:p>
    <w:p w:rsidR="001E7A75" w:rsidRDefault="001E7A75" w:rsidP="00E13702">
      <w:pPr>
        <w:autoSpaceDE w:val="0"/>
        <w:autoSpaceDN w:val="0"/>
        <w:adjustRightInd w:val="0"/>
        <w:spacing w:line="480" w:lineRule="auto"/>
        <w:jc w:val="center"/>
      </w:pPr>
      <w:r>
        <w:rPr>
          <w:noProof/>
        </w:rPr>
        <w:lastRenderedPageBreak/>
        <w:drawing>
          <wp:inline distT="0" distB="0" distL="0" distR="0" wp14:anchorId="0B485FF1" wp14:editId="729569D4">
            <wp:extent cx="3466465" cy="2941320"/>
            <wp:effectExtent l="0" t="0" r="635" b="0"/>
            <wp:docPr id="22" name="图片 22" descr="1543505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54350548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6465" cy="2941320"/>
                    </a:xfrm>
                    <a:prstGeom prst="rect">
                      <a:avLst/>
                    </a:prstGeom>
                    <a:noFill/>
                    <a:ln>
                      <a:noFill/>
                    </a:ln>
                  </pic:spPr>
                </pic:pic>
              </a:graphicData>
            </a:graphic>
          </wp:inline>
        </w:drawing>
      </w:r>
    </w:p>
    <w:p w:rsidR="001E7A75" w:rsidRPr="00E13702" w:rsidRDefault="001E7A75" w:rsidP="00E13702">
      <w:pPr>
        <w:autoSpaceDE w:val="0"/>
        <w:autoSpaceDN w:val="0"/>
        <w:adjustRightInd w:val="0"/>
        <w:rPr>
          <w:rFonts w:ascii="Times New Roman" w:hAnsi="Times New Roman" w:cs="Times New Roman"/>
        </w:rPr>
      </w:pPr>
      <w:r w:rsidRPr="00E13702">
        <w:rPr>
          <w:rFonts w:ascii="Times New Roman" w:hAnsi="Times New Roman" w:cs="Times New Roman"/>
          <w:b/>
        </w:rPr>
        <w:t xml:space="preserve">Figure </w:t>
      </w:r>
      <w:r>
        <w:rPr>
          <w:rFonts w:ascii="Times New Roman" w:hAnsi="Times New Roman" w:cs="Times New Roman"/>
          <w:b/>
        </w:rPr>
        <w:t>S</w:t>
      </w:r>
      <w:r w:rsidRPr="00E13702">
        <w:rPr>
          <w:rFonts w:ascii="Times New Roman" w:hAnsi="Times New Roman" w:cs="Times New Roman"/>
          <w:b/>
        </w:rPr>
        <w:t>9</w:t>
      </w:r>
      <w:r w:rsidRPr="00E13702">
        <w:rPr>
          <w:rFonts w:ascii="Times New Roman" w:hAnsi="Times New Roman" w:cs="Times New Roman"/>
        </w:rPr>
        <w:t>. Surface functionalization of mesoporous silica glass materials with various functional groups (</w:t>
      </w:r>
      <w:r w:rsidRPr="00E13702">
        <w:rPr>
          <w:rFonts w:ascii="Times New Roman" w:hAnsi="Times New Roman" w:cs="Times New Roman"/>
          <w:noProof/>
        </w:rPr>
        <w:t>reprinted from Ref.</w:t>
      </w:r>
      <w:r>
        <w:rPr>
          <w:rFonts w:ascii="Times New Roman" w:hAnsi="Times New Roman" w:cs="Times New Roman"/>
          <w:noProof/>
        </w:rPr>
        <w:t xml:space="preserve"> (Hartmann and Kostrov 2013)</w:t>
      </w:r>
      <w:r w:rsidRPr="00E13702">
        <w:rPr>
          <w:rFonts w:ascii="Times New Roman" w:hAnsi="Times New Roman" w:cs="Times New Roman"/>
          <w:noProof/>
        </w:rPr>
        <w:t xml:space="preserve"> with permission</w:t>
      </w:r>
      <w:r w:rsidRPr="00E13702">
        <w:rPr>
          <w:rFonts w:ascii="Times New Roman" w:hAnsi="Times New Roman" w:cs="Times New Roman"/>
        </w:rPr>
        <w:t>). This process is similar to the functionalization of silica materials.</w:t>
      </w:r>
    </w:p>
    <w:p w:rsidR="001E7A75" w:rsidRDefault="001E7A75">
      <w:pPr>
        <w:widowControl/>
        <w:jc w:val="left"/>
        <w:rPr>
          <w:rFonts w:ascii="Times New Roman" w:hAnsi="Times New Roman" w:cs="Times New Roman"/>
          <w:bCs/>
          <w:szCs w:val="28"/>
        </w:rPr>
      </w:pPr>
      <w:r>
        <w:rPr>
          <w:rFonts w:ascii="Times New Roman" w:hAnsi="Times New Roman" w:cs="Times New Roman"/>
          <w:bCs/>
          <w:szCs w:val="28"/>
        </w:rPr>
        <w:br w:type="page"/>
      </w:r>
    </w:p>
    <w:p w:rsidR="001E7A75" w:rsidRPr="00CD4870" w:rsidRDefault="001E7A75" w:rsidP="00E13702">
      <w:pPr>
        <w:rPr>
          <w:rFonts w:ascii="Arial" w:eastAsia="SimSun" w:hAnsi="Arial" w:cs="Arial"/>
          <w:b/>
          <w:color w:val="000000"/>
          <w:kern w:val="0"/>
          <w:sz w:val="24"/>
        </w:rPr>
      </w:pPr>
      <w:r>
        <w:rPr>
          <w:rFonts w:ascii="Arial" w:eastAsia="SimSun" w:hAnsi="Arial" w:cs="Arial"/>
          <w:b/>
          <w:color w:val="000000"/>
          <w:kern w:val="0"/>
          <w:sz w:val="24"/>
        </w:rPr>
        <w:lastRenderedPageBreak/>
        <w:t>N</w:t>
      </w:r>
      <w:r>
        <w:rPr>
          <w:rFonts w:ascii="Arial" w:eastAsia="SimSun" w:hAnsi="Arial" w:cs="Arial" w:hint="eastAsia"/>
          <w:b/>
          <w:color w:val="000000"/>
          <w:kern w:val="0"/>
          <w:sz w:val="24"/>
        </w:rPr>
        <w:t>ote</w:t>
      </w:r>
      <w:r>
        <w:rPr>
          <w:rFonts w:ascii="Arial" w:eastAsia="SimSun" w:hAnsi="Arial" w:cs="Arial"/>
          <w:b/>
          <w:color w:val="000000"/>
          <w:kern w:val="0"/>
          <w:sz w:val="24"/>
        </w:rPr>
        <w:t xml:space="preserve"> S5 Example of surface functionalization on silica</w:t>
      </w:r>
    </w:p>
    <w:p w:rsidR="001E7A75" w:rsidRPr="00E13702" w:rsidRDefault="001E7A75" w:rsidP="00E13702">
      <w:pPr>
        <w:autoSpaceDE w:val="0"/>
        <w:autoSpaceDN w:val="0"/>
        <w:adjustRightInd w:val="0"/>
        <w:spacing w:beforeLines="50" w:before="156"/>
        <w:rPr>
          <w:rFonts w:ascii="Times New Roman" w:hAnsi="Times New Roman" w:cs="Times New Roman"/>
        </w:rPr>
      </w:pPr>
      <w:r w:rsidRPr="00E13702">
        <w:rPr>
          <w:rFonts w:ascii="Times New Roman" w:hAnsi="Times New Roman" w:cs="Times New Roman"/>
        </w:rPr>
        <w:t xml:space="preserve">A generally accepted approach for surface immobilization of biomolecules (such as antibody, DNA and enzyme) on silica surface is depicted in Figure </w:t>
      </w:r>
      <w:r>
        <w:rPr>
          <w:rFonts w:ascii="Times New Roman" w:hAnsi="Times New Roman" w:cs="Times New Roman"/>
        </w:rPr>
        <w:t>S1</w:t>
      </w:r>
      <w:r w:rsidRPr="00E13702">
        <w:rPr>
          <w:rFonts w:ascii="Times New Roman" w:hAnsi="Times New Roman" w:cs="Times New Roman"/>
        </w:rPr>
        <w:t xml:space="preserve">0 </w:t>
      </w:r>
      <w:r>
        <w:rPr>
          <w:rFonts w:ascii="Times New Roman" w:hAnsi="Times New Roman" w:cs="Times New Roman"/>
          <w:noProof/>
        </w:rPr>
        <w:t>(Liang et al. 2017)</w:t>
      </w:r>
      <w:r w:rsidRPr="00E13702">
        <w:rPr>
          <w:rFonts w:ascii="Times New Roman" w:hAnsi="Times New Roman" w:cs="Times New Roman" w:hint="eastAsia"/>
        </w:rPr>
        <w:t>.</w:t>
      </w:r>
      <w:r w:rsidRPr="00E13702">
        <w:rPr>
          <w:rFonts w:ascii="Times New Roman" w:hAnsi="Times New Roman" w:cs="Times New Roman"/>
        </w:rPr>
        <w:t xml:space="preserve"> After exposing reactive hydroxyl groups, the surface is silanized with 5% 3-aminopropyltriethoxysilane (APTES) for 1 h. Subsequently, 2.5% glutaraldehyde solution is treated as a bifunctional reagent for 30 mins. This step generates aldehyde groups</w:t>
      </w:r>
      <w:r w:rsidRPr="00E13702">
        <w:rPr>
          <w:rFonts w:ascii="Times New Roman" w:hAnsi="Times New Roman" w:cs="Times New Roman" w:hint="eastAsia"/>
        </w:rPr>
        <w:t xml:space="preserve"> </w:t>
      </w:r>
      <w:r w:rsidRPr="00E13702">
        <w:rPr>
          <w:rFonts w:ascii="Times New Roman" w:hAnsi="Times New Roman" w:cs="Times New Roman"/>
        </w:rPr>
        <w:t>for covalent coupling with the aminated single-stranded DNA probes</w:t>
      </w:r>
      <w:r w:rsidRPr="00E13702">
        <w:rPr>
          <w:rFonts w:ascii="Times New Roman" w:hAnsi="Times New Roman" w:cs="Times New Roman" w:hint="eastAsia"/>
        </w:rPr>
        <w:t xml:space="preserve">, lasting </w:t>
      </w:r>
      <w:r w:rsidRPr="00E13702">
        <w:rPr>
          <w:rFonts w:ascii="Times New Roman" w:hAnsi="Times New Roman" w:cs="Times New Roman"/>
        </w:rPr>
        <w:t>for another 1 h. This whole covalent procedure can possibly provide the surface with stability, reproducibility and well-defined surface property.</w:t>
      </w:r>
    </w:p>
    <w:p w:rsidR="001E7A75" w:rsidRDefault="001E7A75" w:rsidP="00E13702">
      <w:pPr>
        <w:autoSpaceDE w:val="0"/>
        <w:autoSpaceDN w:val="0"/>
        <w:adjustRightInd w:val="0"/>
        <w:spacing w:afterLines="50" w:after="156" w:line="480" w:lineRule="auto"/>
        <w:jc w:val="center"/>
      </w:pPr>
      <w:r>
        <w:rPr>
          <w:noProof/>
        </w:rPr>
        <w:drawing>
          <wp:inline distT="0" distB="0" distL="0" distR="0" wp14:anchorId="0E9FAB62" wp14:editId="1E7E7890">
            <wp:extent cx="2954020" cy="20396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4020" cy="2039620"/>
                    </a:xfrm>
                    <a:prstGeom prst="rect">
                      <a:avLst/>
                    </a:prstGeom>
                    <a:noFill/>
                    <a:ln>
                      <a:noFill/>
                    </a:ln>
                  </pic:spPr>
                </pic:pic>
              </a:graphicData>
            </a:graphic>
          </wp:inline>
        </w:drawing>
      </w:r>
    </w:p>
    <w:p w:rsidR="001E7A75" w:rsidRDefault="001E7A75" w:rsidP="00E13702">
      <w:pPr>
        <w:autoSpaceDE w:val="0"/>
        <w:autoSpaceDN w:val="0"/>
        <w:adjustRightInd w:val="0"/>
        <w:rPr>
          <w:rFonts w:ascii="Times New Roman" w:hAnsi="Times New Roman" w:cs="Times New Roman"/>
        </w:rPr>
      </w:pPr>
      <w:r w:rsidRPr="00E13702">
        <w:rPr>
          <w:rFonts w:ascii="Times New Roman" w:hAnsi="Times New Roman" w:cs="Times New Roman"/>
          <w:b/>
        </w:rPr>
        <w:t xml:space="preserve">Figure </w:t>
      </w:r>
      <w:r>
        <w:rPr>
          <w:rFonts w:ascii="Times New Roman" w:hAnsi="Times New Roman" w:cs="Times New Roman"/>
          <w:b/>
        </w:rPr>
        <w:t>S1</w:t>
      </w:r>
      <w:r w:rsidRPr="00E13702">
        <w:rPr>
          <w:rFonts w:ascii="Times New Roman" w:hAnsi="Times New Roman" w:cs="Times New Roman"/>
          <w:b/>
        </w:rPr>
        <w:t xml:space="preserve">0. </w:t>
      </w:r>
      <w:r w:rsidRPr="00E13702">
        <w:rPr>
          <w:rFonts w:ascii="Times New Roman" w:hAnsi="Times New Roman" w:cs="Times New Roman"/>
        </w:rPr>
        <w:t xml:space="preserve">Schematic of surface functionalization for microRNA detection, including silanization of APTES, </w:t>
      </w:r>
      <w:r w:rsidRPr="00E13702">
        <w:rPr>
          <w:rFonts w:ascii="Times New Roman" w:hAnsi="Times New Roman" w:cs="Times New Roman" w:hint="eastAsia"/>
        </w:rPr>
        <w:t>treatment</w:t>
      </w:r>
      <w:r w:rsidRPr="00E13702">
        <w:rPr>
          <w:rFonts w:ascii="Times New Roman" w:hAnsi="Times New Roman" w:cs="Times New Roman"/>
        </w:rPr>
        <w:t xml:space="preserve"> </w:t>
      </w:r>
      <w:r w:rsidRPr="00E13702">
        <w:rPr>
          <w:rFonts w:ascii="Times New Roman" w:hAnsi="Times New Roman" w:cs="Times New Roman" w:hint="eastAsia"/>
        </w:rPr>
        <w:t>with</w:t>
      </w:r>
      <w:r w:rsidRPr="00E13702">
        <w:rPr>
          <w:rFonts w:ascii="Times New Roman" w:hAnsi="Times New Roman" w:cs="Times New Roman"/>
        </w:rPr>
        <w:t xml:space="preserve"> glutaraldehyde, </w:t>
      </w:r>
      <w:r w:rsidRPr="00E13702">
        <w:rPr>
          <w:rFonts w:ascii="Times New Roman" w:hAnsi="Times New Roman" w:cs="Times New Roman" w:hint="eastAsia"/>
        </w:rPr>
        <w:t>c</w:t>
      </w:r>
      <w:r w:rsidRPr="00E13702">
        <w:rPr>
          <w:rFonts w:ascii="Times New Roman" w:hAnsi="Times New Roman" w:cs="Times New Roman"/>
        </w:rPr>
        <w:t>ovalen</w:t>
      </w:r>
      <w:r w:rsidRPr="00E13702">
        <w:rPr>
          <w:rFonts w:ascii="Times New Roman" w:hAnsi="Times New Roman" w:cs="Times New Roman" w:hint="eastAsia"/>
        </w:rPr>
        <w:t>t</w:t>
      </w:r>
      <w:r w:rsidRPr="00E13702">
        <w:rPr>
          <w:rFonts w:ascii="Times New Roman" w:hAnsi="Times New Roman" w:cs="Times New Roman"/>
        </w:rPr>
        <w:t xml:space="preserve"> functionalization of amine-modified DNA probes and </w:t>
      </w:r>
      <w:r w:rsidRPr="00E13702">
        <w:rPr>
          <w:rFonts w:ascii="Times New Roman" w:hAnsi="Times New Roman" w:cs="Times New Roman" w:hint="eastAsia"/>
        </w:rPr>
        <w:t>detection</w:t>
      </w:r>
      <w:r w:rsidRPr="00E13702">
        <w:rPr>
          <w:rFonts w:ascii="Times New Roman" w:hAnsi="Times New Roman" w:cs="Times New Roman"/>
        </w:rPr>
        <w:t xml:space="preserve"> </w:t>
      </w:r>
      <w:r w:rsidRPr="00E13702">
        <w:rPr>
          <w:rFonts w:ascii="Times New Roman" w:hAnsi="Times New Roman" w:cs="Times New Roman" w:hint="eastAsia"/>
        </w:rPr>
        <w:t>of</w:t>
      </w:r>
      <w:r w:rsidRPr="00E13702">
        <w:rPr>
          <w:rFonts w:ascii="Times New Roman" w:hAnsi="Times New Roman" w:cs="Times New Roman"/>
        </w:rPr>
        <w:t xml:space="preserve"> miRNA </w:t>
      </w:r>
      <w:r w:rsidRPr="00E13702">
        <w:rPr>
          <w:rFonts w:ascii="Times New Roman" w:hAnsi="Times New Roman" w:cs="Times New Roman" w:hint="eastAsia"/>
        </w:rPr>
        <w:t>by</w:t>
      </w:r>
      <w:r w:rsidRPr="00E13702">
        <w:rPr>
          <w:rFonts w:ascii="Times New Roman" w:hAnsi="Times New Roman" w:cs="Times New Roman"/>
        </w:rPr>
        <w:t xml:space="preserve"> hybridization </w:t>
      </w:r>
      <w:r w:rsidRPr="00E13702">
        <w:rPr>
          <w:rFonts w:ascii="Times New Roman" w:hAnsi="Times New Roman" w:cs="Times New Roman" w:hint="eastAsia"/>
        </w:rPr>
        <w:t>(</w:t>
      </w:r>
      <w:r w:rsidRPr="00E13702">
        <w:rPr>
          <w:rFonts w:ascii="Times New Roman" w:hAnsi="Times New Roman" w:cs="Times New Roman"/>
        </w:rPr>
        <w:t>reprinted from Ref.</w:t>
      </w:r>
      <w:r>
        <w:rPr>
          <w:rFonts w:ascii="Times New Roman" w:hAnsi="Times New Roman" w:cs="Times New Roman"/>
        </w:rPr>
        <w:t xml:space="preserve"> </w:t>
      </w:r>
      <w:r>
        <w:rPr>
          <w:rFonts w:ascii="Times New Roman" w:hAnsi="Times New Roman" w:cs="Times New Roman"/>
          <w:noProof/>
        </w:rPr>
        <w:t>(Liang et al. 2017)</w:t>
      </w:r>
      <w:r w:rsidRPr="00E13702">
        <w:rPr>
          <w:rFonts w:ascii="Times New Roman" w:hAnsi="Times New Roman" w:cs="Times New Roman"/>
        </w:rPr>
        <w:t xml:space="preserve"> with permission)</w:t>
      </w:r>
      <w:r w:rsidRPr="00E13702">
        <w:rPr>
          <w:rFonts w:ascii="Times New Roman" w:hAnsi="Times New Roman" w:cs="Times New Roman" w:hint="eastAsia"/>
        </w:rPr>
        <w:t>.</w:t>
      </w:r>
    </w:p>
    <w:p w:rsidR="001E7A75" w:rsidRDefault="001E7A75">
      <w:pPr>
        <w:widowControl/>
        <w:jc w:val="left"/>
        <w:rPr>
          <w:rFonts w:ascii="Times New Roman" w:hAnsi="Times New Roman" w:cs="Times New Roman"/>
        </w:rPr>
      </w:pPr>
      <w:r>
        <w:rPr>
          <w:rFonts w:ascii="Times New Roman" w:hAnsi="Times New Roman" w:cs="Times New Roman"/>
        </w:rPr>
        <w:br w:type="page"/>
      </w:r>
    </w:p>
    <w:p w:rsidR="001E7A75" w:rsidRPr="0024478E" w:rsidRDefault="001E7A75" w:rsidP="00C92636">
      <w:pPr>
        <w:autoSpaceDE w:val="0"/>
        <w:autoSpaceDN w:val="0"/>
        <w:adjustRightInd w:val="0"/>
        <w:spacing w:line="480" w:lineRule="auto"/>
        <w:jc w:val="center"/>
      </w:pPr>
      <w:r>
        <w:rPr>
          <w:noProof/>
        </w:rPr>
        <w:lastRenderedPageBreak/>
        <w:drawing>
          <wp:inline distT="0" distB="0" distL="0" distR="0" wp14:anchorId="44FF5112" wp14:editId="11D5FC3A">
            <wp:extent cx="4517390" cy="36849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7390" cy="3684905"/>
                    </a:xfrm>
                    <a:prstGeom prst="rect">
                      <a:avLst/>
                    </a:prstGeom>
                    <a:noFill/>
                    <a:ln>
                      <a:noFill/>
                    </a:ln>
                  </pic:spPr>
                </pic:pic>
              </a:graphicData>
            </a:graphic>
          </wp:inline>
        </w:drawing>
      </w:r>
    </w:p>
    <w:p w:rsidR="001E7A75" w:rsidRDefault="001E7A75" w:rsidP="00C92636">
      <w:pPr>
        <w:autoSpaceDE w:val="0"/>
        <w:autoSpaceDN w:val="0"/>
        <w:adjustRightInd w:val="0"/>
        <w:rPr>
          <w:rFonts w:ascii="Times New Roman" w:hAnsi="Times New Roman" w:cs="Times New Roman"/>
        </w:rPr>
      </w:pPr>
      <w:r w:rsidRPr="00C92636">
        <w:rPr>
          <w:rFonts w:ascii="Times New Roman" w:hAnsi="Times New Roman" w:cs="Times New Roman"/>
          <w:b/>
        </w:rPr>
        <w:t xml:space="preserve">Figure </w:t>
      </w:r>
      <w:r>
        <w:rPr>
          <w:rFonts w:ascii="Times New Roman" w:hAnsi="Times New Roman" w:cs="Times New Roman"/>
          <w:b/>
        </w:rPr>
        <w:t>S1</w:t>
      </w:r>
      <w:r w:rsidRPr="00C92636">
        <w:rPr>
          <w:rFonts w:ascii="Times New Roman" w:hAnsi="Times New Roman" w:cs="Times New Roman"/>
          <w:b/>
        </w:rPr>
        <w:t xml:space="preserve">1. </w:t>
      </w:r>
      <w:r w:rsidRPr="00C92636">
        <w:rPr>
          <w:rFonts w:ascii="Times New Roman" w:hAnsi="Times New Roman" w:cs="Times New Roman"/>
        </w:rPr>
        <w:t xml:space="preserve">Schematic representation of biochemically modified silicon substrates by utilizing the linkers of APTES and glutaraldehyde. The surface functionalization strategy comprises clean of silicon substrates by using piranha solution, UV/ozone treatment, or oxygen plasma treatment, creation of silane layer by utilizing APTES (2%, v/v), reaction with glutaraldehyde, and antibodies immobilization </w:t>
      </w:r>
      <w:r w:rsidRPr="00C92636">
        <w:rPr>
          <w:rFonts w:ascii="Times New Roman" w:hAnsi="Times New Roman" w:cs="Times New Roman" w:hint="eastAsia"/>
        </w:rPr>
        <w:t>(</w:t>
      </w:r>
      <w:r w:rsidRPr="00C92636">
        <w:rPr>
          <w:rFonts w:ascii="Times New Roman" w:hAnsi="Times New Roman" w:cs="Times New Roman"/>
        </w:rPr>
        <w:t xml:space="preserve">with </w:t>
      </w:r>
      <w:r w:rsidRPr="00C92636">
        <w:rPr>
          <w:rFonts w:ascii="Times New Roman" w:hAnsi="Times New Roman" w:cs="Times New Roman" w:hint="eastAsia"/>
        </w:rPr>
        <w:t>a</w:t>
      </w:r>
      <w:r w:rsidRPr="00C92636">
        <w:rPr>
          <w:rFonts w:ascii="Times New Roman" w:hAnsi="Times New Roman" w:cs="Times New Roman"/>
        </w:rPr>
        <w:t xml:space="preserve"> </w:t>
      </w:r>
      <w:r w:rsidRPr="00C92636">
        <w:rPr>
          <w:rFonts w:ascii="Times New Roman" w:hAnsi="Times New Roman" w:cs="Times New Roman" w:hint="eastAsia"/>
        </w:rPr>
        <w:t>slight</w:t>
      </w:r>
      <w:r w:rsidRPr="00C92636">
        <w:rPr>
          <w:rFonts w:ascii="Times New Roman" w:hAnsi="Times New Roman" w:cs="Times New Roman"/>
        </w:rPr>
        <w:t xml:space="preserve"> modification from Ref</w:t>
      </w:r>
      <w:r>
        <w:rPr>
          <w:rFonts w:ascii="Times New Roman" w:hAnsi="Times New Roman" w:cs="Times New Roman"/>
        </w:rPr>
        <w:t xml:space="preserve">. </w:t>
      </w:r>
      <w:r>
        <w:rPr>
          <w:rFonts w:ascii="Times New Roman" w:hAnsi="Times New Roman" w:cs="Times New Roman"/>
          <w:noProof/>
        </w:rPr>
        <w:t>(Gunda et al. 2014)</w:t>
      </w:r>
      <w:r w:rsidRPr="00C92636">
        <w:rPr>
          <w:rFonts w:ascii="Times New Roman" w:hAnsi="Times New Roman" w:cs="Times New Roman" w:hint="eastAsia"/>
        </w:rPr>
        <w:t>)</w:t>
      </w:r>
      <w:r w:rsidRPr="00C92636">
        <w:rPr>
          <w:rFonts w:ascii="Times New Roman" w:hAnsi="Times New Roman" w:cs="Times New Roman"/>
        </w:rPr>
        <w:t>.</w:t>
      </w:r>
    </w:p>
    <w:p w:rsidR="001E7A75" w:rsidRDefault="001E7A75">
      <w:pPr>
        <w:widowControl/>
        <w:jc w:val="left"/>
        <w:rPr>
          <w:rFonts w:ascii="Times New Roman" w:hAnsi="Times New Roman" w:cs="Times New Roman"/>
          <w:b/>
        </w:rPr>
      </w:pPr>
      <w:r>
        <w:rPr>
          <w:rFonts w:ascii="Times New Roman" w:hAnsi="Times New Roman" w:cs="Times New Roman"/>
          <w:b/>
        </w:rPr>
        <w:br w:type="page"/>
      </w:r>
    </w:p>
    <w:p w:rsidR="001E7A75" w:rsidRPr="00CD4870" w:rsidRDefault="001E7A75" w:rsidP="00C92636">
      <w:pPr>
        <w:rPr>
          <w:rFonts w:ascii="Arial" w:eastAsia="SimSun" w:hAnsi="Arial" w:cs="Arial"/>
          <w:b/>
          <w:color w:val="000000"/>
          <w:kern w:val="0"/>
          <w:sz w:val="24"/>
        </w:rPr>
      </w:pPr>
      <w:r>
        <w:rPr>
          <w:rFonts w:ascii="Arial" w:eastAsia="SimSun" w:hAnsi="Arial" w:cs="Arial"/>
          <w:b/>
          <w:color w:val="000000"/>
          <w:kern w:val="0"/>
          <w:sz w:val="24"/>
        </w:rPr>
        <w:lastRenderedPageBreak/>
        <w:t>N</w:t>
      </w:r>
      <w:r>
        <w:rPr>
          <w:rFonts w:ascii="Arial" w:eastAsia="SimSun" w:hAnsi="Arial" w:cs="Arial" w:hint="eastAsia"/>
          <w:b/>
          <w:color w:val="000000"/>
          <w:kern w:val="0"/>
          <w:sz w:val="24"/>
        </w:rPr>
        <w:t>ote</w:t>
      </w:r>
      <w:r>
        <w:rPr>
          <w:rFonts w:ascii="Arial" w:eastAsia="SimSun" w:hAnsi="Arial" w:cs="Arial"/>
          <w:b/>
          <w:color w:val="000000"/>
          <w:kern w:val="0"/>
          <w:sz w:val="24"/>
        </w:rPr>
        <w:t xml:space="preserve"> S6 S</w:t>
      </w:r>
      <w:r w:rsidRPr="00C92636">
        <w:rPr>
          <w:rFonts w:ascii="Arial" w:eastAsia="SimSun" w:hAnsi="Arial" w:cs="Arial"/>
          <w:b/>
          <w:color w:val="000000"/>
          <w:kern w:val="0"/>
          <w:sz w:val="24"/>
        </w:rPr>
        <w:t>elective surface functionalization of a silicon nitride-based nanosubstrate</w:t>
      </w:r>
    </w:p>
    <w:p w:rsidR="001E7A75" w:rsidRPr="00C92636" w:rsidRDefault="001E7A75" w:rsidP="00C92636">
      <w:pPr>
        <w:autoSpaceDE w:val="0"/>
        <w:autoSpaceDN w:val="0"/>
        <w:adjustRightInd w:val="0"/>
        <w:spacing w:beforeLines="50" w:before="156"/>
        <w:rPr>
          <w:rFonts w:ascii="Times New Roman" w:hAnsi="Times New Roman" w:cs="Times New Roman"/>
        </w:rPr>
      </w:pPr>
      <w:r w:rsidRPr="00C92636">
        <w:rPr>
          <w:rFonts w:ascii="Times New Roman" w:hAnsi="Times New Roman" w:cs="Times New Roman"/>
        </w:rPr>
        <w:t>The chemical modification was conducted through a single step under mild conditions. In brief, a fully cleaned chip was etched with 1% HF to eliminate the native silicon oxide layer covering on the silicon nitride, simultaneously forming the N-H groups on the surface. Once the etching was completed, 5% glutaraldehyde solution was used to immerse the chip under argon for 2 h at room temperature, which selectively modified the silicon nitride-based substrate, providing the spatial discrimination for further immobilization of biomolecules on the nitride region rather than the silicon oxide as sensing surface (</w:t>
      </w:r>
      <w:r w:rsidRPr="00C92636">
        <w:rPr>
          <w:rFonts w:ascii="Times New Roman" w:hAnsi="Times New Roman" w:cs="Times New Roman"/>
          <w:b/>
        </w:rPr>
        <w:t>Figure 22)</w:t>
      </w:r>
      <w:r w:rsidRPr="00C92636">
        <w:rPr>
          <w:rFonts w:ascii="Times New Roman" w:hAnsi="Times New Roman" w:cs="Times New Roman"/>
        </w:rPr>
        <w:t>. This method is simple, quick, and effective, resulting in targeted modification.</w:t>
      </w:r>
    </w:p>
    <w:p w:rsidR="001E7A75" w:rsidRDefault="001E7A75" w:rsidP="00C92636">
      <w:pPr>
        <w:autoSpaceDE w:val="0"/>
        <w:autoSpaceDN w:val="0"/>
        <w:adjustRightInd w:val="0"/>
        <w:spacing w:beforeLines="50" w:before="156" w:line="480" w:lineRule="auto"/>
        <w:jc w:val="center"/>
      </w:pPr>
      <w:r>
        <w:rPr>
          <w:noProof/>
        </w:rPr>
        <w:drawing>
          <wp:inline distT="0" distB="0" distL="0" distR="0" wp14:anchorId="53D2B801" wp14:editId="55E9D820">
            <wp:extent cx="4046855" cy="1480820"/>
            <wp:effectExtent l="0" t="0" r="0" b="5080"/>
            <wp:docPr id="24" name="图片 24" descr="1544172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54417270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6855" cy="1480820"/>
                    </a:xfrm>
                    <a:prstGeom prst="rect">
                      <a:avLst/>
                    </a:prstGeom>
                    <a:noFill/>
                    <a:ln>
                      <a:noFill/>
                    </a:ln>
                  </pic:spPr>
                </pic:pic>
              </a:graphicData>
            </a:graphic>
          </wp:inline>
        </w:drawing>
      </w:r>
    </w:p>
    <w:p w:rsidR="001E7A75" w:rsidRPr="00C92636" w:rsidRDefault="001E7A75" w:rsidP="00C92636">
      <w:pPr>
        <w:autoSpaceDE w:val="0"/>
        <w:autoSpaceDN w:val="0"/>
        <w:adjustRightInd w:val="0"/>
        <w:spacing w:beforeLines="50" w:before="156"/>
        <w:rPr>
          <w:rFonts w:ascii="Times New Roman" w:hAnsi="Times New Roman" w:cs="Times New Roman"/>
          <w:b/>
        </w:rPr>
      </w:pPr>
      <w:r w:rsidRPr="00C92636">
        <w:rPr>
          <w:rFonts w:ascii="Times New Roman" w:hAnsi="Times New Roman" w:cs="Times New Roman"/>
          <w:b/>
        </w:rPr>
        <w:t xml:space="preserve">Figure </w:t>
      </w:r>
      <w:r>
        <w:rPr>
          <w:rFonts w:ascii="Times New Roman" w:hAnsi="Times New Roman" w:cs="Times New Roman"/>
          <w:b/>
        </w:rPr>
        <w:t>S1</w:t>
      </w:r>
      <w:r w:rsidRPr="00C92636">
        <w:rPr>
          <w:rFonts w:ascii="Times New Roman" w:hAnsi="Times New Roman" w:cs="Times New Roman"/>
          <w:b/>
        </w:rPr>
        <w:t>2</w:t>
      </w:r>
      <w:r w:rsidRPr="00C92636">
        <w:rPr>
          <w:rFonts w:ascii="Times New Roman" w:hAnsi="Times New Roman" w:cs="Times New Roman"/>
        </w:rPr>
        <w:t>. Chemical reaction mechanism for the direct glutaraldehyde modiﬁcation of silicon nitride surface (</w:t>
      </w:r>
      <w:r w:rsidRPr="00C92636">
        <w:rPr>
          <w:rFonts w:ascii="Times New Roman" w:hAnsi="Times New Roman" w:cs="Times New Roman"/>
          <w:noProof/>
        </w:rPr>
        <w:t xml:space="preserve">reprinted from Ref. </w:t>
      </w:r>
      <w:r>
        <w:rPr>
          <w:rFonts w:ascii="Times New Roman" w:hAnsi="Times New Roman" w:cs="Times New Roman"/>
          <w:noProof/>
        </w:rPr>
        <w:t>(Bañuls et al. 2010)</w:t>
      </w:r>
      <w:r w:rsidRPr="00C92636">
        <w:rPr>
          <w:rFonts w:ascii="Times New Roman" w:hAnsi="Times New Roman" w:cs="Times New Roman"/>
          <w:noProof/>
        </w:rPr>
        <w:t xml:space="preserve"> with permission</w:t>
      </w:r>
      <w:r w:rsidRPr="00C92636">
        <w:rPr>
          <w:rFonts w:ascii="Times New Roman" w:hAnsi="Times New Roman" w:cs="Times New Roman"/>
        </w:rPr>
        <w:t>).</w:t>
      </w:r>
      <w:r>
        <w:rPr>
          <w:rFonts w:ascii="Arial" w:eastAsia="SimSun" w:hAnsi="Arial" w:cs="Arial"/>
          <w:b/>
          <w:color w:val="000000"/>
          <w:kern w:val="0"/>
          <w:sz w:val="24"/>
        </w:rPr>
        <w:br w:type="page"/>
      </w:r>
    </w:p>
    <w:p w:rsidR="001E7A75" w:rsidRPr="0020182D" w:rsidRDefault="001E7A75" w:rsidP="00BB7A0E">
      <w:pPr>
        <w:pStyle w:val="EndNoteBibliography"/>
        <w:jc w:val="both"/>
        <w:rPr>
          <w:rFonts w:ascii="Times New Roman" w:eastAsia="SimSun" w:hAnsi="Times New Roman" w:cs="Times New Roman"/>
          <w:b/>
          <w:noProof w:val="0"/>
          <w:color w:val="000000"/>
          <w:kern w:val="0"/>
          <w:sz w:val="24"/>
        </w:rPr>
      </w:pPr>
      <w:bookmarkStart w:id="8" w:name="_ENREF_55"/>
      <w:r w:rsidRPr="0020182D">
        <w:rPr>
          <w:rFonts w:ascii="Times New Roman" w:eastAsia="SimSun" w:hAnsi="Times New Roman" w:cs="Times New Roman"/>
          <w:b/>
          <w:noProof w:val="0"/>
          <w:color w:val="000000"/>
          <w:kern w:val="0"/>
          <w:sz w:val="24"/>
        </w:rPr>
        <w:lastRenderedPageBreak/>
        <w:t>Reference:</w:t>
      </w:r>
    </w:p>
    <w:bookmarkEnd w:id="0"/>
    <w:bookmarkEnd w:id="1"/>
    <w:bookmarkEnd w:id="8"/>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Abbas, A., Linman, M.J., Cheng, Q., 2011. Biosens Bioelectron 26(5), 1815-1824.</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Andrade, J.D., Vanwagenen, R.A., Gregonis, D.E., Newby, K., Lin, J., 1985. IEEE Transactions on Electron Devices 32(7), 1175-1179.</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Bañuls, M.-J., González-Pedro, V., Barrios, C.A., Puchades, R., Maquieira, Á., 2010. Biosensors and Bioelectronics 25(6), 1460-1466.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Bañuls, M.-J., Puchades, R., Maquieira, Á., 2013. Analytica chimica acta 777, 1-16.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Banuls, M.J., Puchades, R., Maquieira, A., 2013. Anal Chim Acta 777, 1-16.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Brandenburg, A., Krauter, R., Künzel, C., Stefan, M., Schulte, H., 2000. Appl. Opt. 39(34), 6396-6405.</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Clark Jr, L.C., Lyons, C., 1962. Annals of the New York Academy of sciences 102(1), 29-45.</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Fan, X., White, I.M., Shopova, S.I., Zhu, H., Suter, J.D., Sun, Y., 2008. Anal Chim Acta 620(1-2), 8-26.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Gunda, N.S.K., Singh, M., Norman, L., Kaur, K., Mitra, S.K., 2014. Applied Surface Science 305, 522-530.</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Harris, R.D., Wilkinson, J.S., 1995. Sensors and Actuators B: Chemical 29(1), 261-267.</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Hartmann, M., Kostrov, X., 2013. Chemical Society Reviews 42(15), 6277-6289.</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Homola, J., 2008. Chemical reviews 108(2), 462-493.</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Homola, J., Yee, S.S., Gauglitz, G., 1999. Sensors and Actuators B: Chemical 54(1), 3-15.</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Lambeck, P.V., 1992. Sensors and Actuators B: Chemical 8(1), 103-116.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Liang, L., Jin, L., Ran, Y., Sun, L.-P., Guan, B.-O., 2017. Sensors and Actuators B: Chemical 242, 999-1006.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Liu, Q., Tu, X., Kim, K.W., Kee, J.S., Shin, Y., Han, K., Yoon, Y.-J., Lo, G.-Q., Park, M.K., 2013. Sensors and Actuators B: Chemical 188, 681-688.</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Lu, X., Rycenga, M., Skrabalak, S.E., Wiley, B., Xia, Y., 2009. Annu Rev Phys Chem 60, 167-192.</w:t>
      </w:r>
    </w:p>
    <w:p w:rsidR="001E7A75" w:rsidRDefault="001E7A75" w:rsidP="00661B8D">
      <w:pPr>
        <w:pStyle w:val="EndNoteBibliography"/>
        <w:rPr>
          <w:rFonts w:ascii="Times New Roman" w:hAnsi="Times New Roman" w:cs="Times New Roman"/>
        </w:rPr>
      </w:pPr>
      <w:r w:rsidRPr="00865EDE">
        <w:rPr>
          <w:rFonts w:ascii="Times New Roman" w:hAnsi="Times New Roman" w:cs="Times New Roman"/>
        </w:rPr>
        <w:t>Puiu, M., Bala, C., 2016. Sensors 16(6), 870.</w:t>
      </w:r>
    </w:p>
    <w:p w:rsidR="00751CCC" w:rsidRPr="00865EDE" w:rsidRDefault="00751CCC" w:rsidP="00661B8D">
      <w:pPr>
        <w:pStyle w:val="EndNoteBibliography"/>
        <w:rPr>
          <w:rFonts w:ascii="Times New Roman" w:hAnsi="Times New Roman" w:cs="Times New Roman"/>
        </w:rPr>
      </w:pPr>
      <w:r w:rsidRPr="00751CCC">
        <w:rPr>
          <w:rFonts w:ascii="Times New Roman" w:hAnsi="Times New Roman" w:cs="Times New Roman"/>
        </w:rPr>
        <w:t>Riedel, T., Surman, F., Hageneder, S., Pop-Georgievski, O., Noehammer, C., Hofner, M., Brynda, E., Rodriguez-Emmenegger, C., Dostálek, J., 2016. Biosensors and Bioelectronics 85, 272-279.</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Sassolas, A., Blum, L.J., Leca-Bouvier, B.D., 2012. Biotechnology advances 30(3), 489-511.</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Sassolas, A., Hayat, A., Marty, J.-L., 2013. Immobilization of Enzymes and Cells, pp. 229-239. Springer.</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Sicard, C., Brennan, J.D., 2013. MRS bulletin 38(4), 331-334.</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Threm, D., Nazirizadeh, Y., Gerken, M., 2012. J Biophotonics 5(8-9), 601-616.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Updike, S., Hicks, G., 1967. Nature 214(5092), 986.</w:t>
      </w:r>
    </w:p>
    <w:p w:rsidR="001E7A75" w:rsidRPr="00865EDE" w:rsidRDefault="001E7A75" w:rsidP="00661B8D">
      <w:pPr>
        <w:pStyle w:val="EndNoteBibliography"/>
        <w:rPr>
          <w:rFonts w:ascii="Times New Roman" w:hAnsi="Times New Roman" w:cs="Times New Roman"/>
        </w:rPr>
      </w:pPr>
      <w:r w:rsidRPr="00865EDE">
        <w:rPr>
          <w:rFonts w:ascii="Times New Roman" w:hAnsi="Times New Roman" w:cs="Times New Roman"/>
        </w:rPr>
        <w:t>Williams, R., Blanch, H., 1994. Biosensors and Bioelectronics 9(2), 159-167.</w:t>
      </w:r>
    </w:p>
    <w:p w:rsidR="001E7A75" w:rsidRPr="00865EDE" w:rsidRDefault="001E7A75" w:rsidP="0020182D">
      <w:pPr>
        <w:pStyle w:val="EndNoteBibliography"/>
        <w:jc w:val="both"/>
        <w:rPr>
          <w:rFonts w:ascii="Times New Roman" w:hAnsi="Times New Roman" w:cs="Times New Roman"/>
          <w:sz w:val="21"/>
          <w:szCs w:val="21"/>
        </w:rPr>
      </w:pPr>
    </w:p>
    <w:p w:rsidR="005306CC" w:rsidRDefault="005306CC"/>
    <w:sectPr w:rsidR="005306CC" w:rsidSect="001777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144" w:rsidRDefault="00000144" w:rsidP="00AA31CE">
      <w:r>
        <w:separator/>
      </w:r>
    </w:p>
  </w:endnote>
  <w:endnote w:type="continuationSeparator" w:id="0">
    <w:p w:rsidR="00000144" w:rsidRDefault="00000144" w:rsidP="00AA3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AdvOT2e364b11">
    <w:altName w:val="Cambria"/>
    <w:panose1 w:val="00000000000000000000"/>
    <w:charset w:val="00"/>
    <w:family w:val="roman"/>
    <w:notTrueType/>
    <w:pitch w:val="default"/>
  </w:font>
  <w:font w:name="AdvOT2e364b11+fb">
    <w:altName w:val="微软雅黑"/>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144" w:rsidRDefault="00000144" w:rsidP="00AA31CE">
      <w:r>
        <w:separator/>
      </w:r>
    </w:p>
  </w:footnote>
  <w:footnote w:type="continuationSeparator" w:id="0">
    <w:p w:rsidR="00000144" w:rsidRDefault="00000144" w:rsidP="00AA31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C425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9F936DE"/>
    <w:multiLevelType w:val="hybridMultilevel"/>
    <w:tmpl w:val="1854AFA2"/>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FC0A41"/>
    <w:multiLevelType w:val="hybridMultilevel"/>
    <w:tmpl w:val="39ACEE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DE567F"/>
    <w:multiLevelType w:val="hybridMultilevel"/>
    <w:tmpl w:val="2FFEA578"/>
    <w:lvl w:ilvl="0" w:tplc="13D2A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5424894"/>
    <w:multiLevelType w:val="hybridMultilevel"/>
    <w:tmpl w:val="E1C83E50"/>
    <w:lvl w:ilvl="0" w:tplc="ACE084B4">
      <w:start w:val="1"/>
      <w:numFmt w:val="decimal"/>
      <w:lvlText w:val="%1."/>
      <w:lvlJc w:val="left"/>
      <w:pPr>
        <w:ind w:left="360" w:hanging="36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C866D6"/>
    <w:multiLevelType w:val="multilevel"/>
    <w:tmpl w:val="D36A1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FC4D0A"/>
    <w:multiLevelType w:val="hybridMultilevel"/>
    <w:tmpl w:val="422AC10A"/>
    <w:lvl w:ilvl="0" w:tplc="E5F20E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005F0B"/>
    <w:multiLevelType w:val="hybridMultilevel"/>
    <w:tmpl w:val="36305B1A"/>
    <w:lvl w:ilvl="0" w:tplc="4F90CE4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2058E5"/>
    <w:multiLevelType w:val="hybridMultilevel"/>
    <w:tmpl w:val="B0DEC9D4"/>
    <w:lvl w:ilvl="0" w:tplc="80745B9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5D438EC"/>
    <w:multiLevelType w:val="hybridMultilevel"/>
    <w:tmpl w:val="7C2AC4E0"/>
    <w:lvl w:ilvl="0" w:tplc="592C761E">
      <w:start w:val="1"/>
      <w:numFmt w:val="decimal"/>
      <w:lvlText w:val="(%1)"/>
      <w:lvlJc w:val="left"/>
      <w:pPr>
        <w:ind w:left="400" w:hanging="40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243331"/>
    <w:multiLevelType w:val="hybridMultilevel"/>
    <w:tmpl w:val="33E2AE2E"/>
    <w:lvl w:ilvl="0" w:tplc="D26AE1C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B0022DE"/>
    <w:multiLevelType w:val="hybridMultilevel"/>
    <w:tmpl w:val="373AFC96"/>
    <w:lvl w:ilvl="0" w:tplc="BF02694E">
      <w:start w:val="1"/>
      <w:numFmt w:val="decimal"/>
      <w:lvlText w:val="%1."/>
      <w:lvlJc w:val="left"/>
      <w:pPr>
        <w:ind w:left="360" w:hanging="360"/>
      </w:pPr>
      <w:rPr>
        <w:rFonts w:ascii="Times New Roman" w:eastAsia="SimSun" w:hAnsi="Times New Roman" w:cs="SimSun"/>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BFB4FC3"/>
    <w:multiLevelType w:val="hybridMultilevel"/>
    <w:tmpl w:val="8D8E2ADC"/>
    <w:lvl w:ilvl="0" w:tplc="7EF85C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5747E"/>
    <w:multiLevelType w:val="hybridMultilevel"/>
    <w:tmpl w:val="C4601532"/>
    <w:lvl w:ilvl="0" w:tplc="7E3E9A44">
      <w:start w:val="1"/>
      <w:numFmt w:val="bullet"/>
      <w:lvlText w:val="•"/>
      <w:lvlJc w:val="left"/>
      <w:pPr>
        <w:tabs>
          <w:tab w:val="num" w:pos="720"/>
        </w:tabs>
        <w:ind w:left="720" w:hanging="360"/>
      </w:pPr>
      <w:rPr>
        <w:rFonts w:ascii="Arial" w:hAnsi="Arial" w:hint="default"/>
      </w:rPr>
    </w:lvl>
    <w:lvl w:ilvl="1" w:tplc="A6582FCA" w:tentative="1">
      <w:start w:val="1"/>
      <w:numFmt w:val="bullet"/>
      <w:lvlText w:val="•"/>
      <w:lvlJc w:val="left"/>
      <w:pPr>
        <w:tabs>
          <w:tab w:val="num" w:pos="1440"/>
        </w:tabs>
        <w:ind w:left="1440" w:hanging="360"/>
      </w:pPr>
      <w:rPr>
        <w:rFonts w:ascii="Arial" w:hAnsi="Arial" w:hint="default"/>
      </w:rPr>
    </w:lvl>
    <w:lvl w:ilvl="2" w:tplc="9DEABBCE" w:tentative="1">
      <w:start w:val="1"/>
      <w:numFmt w:val="bullet"/>
      <w:lvlText w:val="•"/>
      <w:lvlJc w:val="left"/>
      <w:pPr>
        <w:tabs>
          <w:tab w:val="num" w:pos="2160"/>
        </w:tabs>
        <w:ind w:left="2160" w:hanging="360"/>
      </w:pPr>
      <w:rPr>
        <w:rFonts w:ascii="Arial" w:hAnsi="Arial" w:hint="default"/>
      </w:rPr>
    </w:lvl>
    <w:lvl w:ilvl="3" w:tplc="4EB02C2A" w:tentative="1">
      <w:start w:val="1"/>
      <w:numFmt w:val="bullet"/>
      <w:lvlText w:val="•"/>
      <w:lvlJc w:val="left"/>
      <w:pPr>
        <w:tabs>
          <w:tab w:val="num" w:pos="2880"/>
        </w:tabs>
        <w:ind w:left="2880" w:hanging="360"/>
      </w:pPr>
      <w:rPr>
        <w:rFonts w:ascii="Arial" w:hAnsi="Arial" w:hint="default"/>
      </w:rPr>
    </w:lvl>
    <w:lvl w:ilvl="4" w:tplc="8E664F74" w:tentative="1">
      <w:start w:val="1"/>
      <w:numFmt w:val="bullet"/>
      <w:lvlText w:val="•"/>
      <w:lvlJc w:val="left"/>
      <w:pPr>
        <w:tabs>
          <w:tab w:val="num" w:pos="3600"/>
        </w:tabs>
        <w:ind w:left="3600" w:hanging="360"/>
      </w:pPr>
      <w:rPr>
        <w:rFonts w:ascii="Arial" w:hAnsi="Arial" w:hint="default"/>
      </w:rPr>
    </w:lvl>
    <w:lvl w:ilvl="5" w:tplc="9A4E0EB2" w:tentative="1">
      <w:start w:val="1"/>
      <w:numFmt w:val="bullet"/>
      <w:lvlText w:val="•"/>
      <w:lvlJc w:val="left"/>
      <w:pPr>
        <w:tabs>
          <w:tab w:val="num" w:pos="4320"/>
        </w:tabs>
        <w:ind w:left="4320" w:hanging="360"/>
      </w:pPr>
      <w:rPr>
        <w:rFonts w:ascii="Arial" w:hAnsi="Arial" w:hint="default"/>
      </w:rPr>
    </w:lvl>
    <w:lvl w:ilvl="6" w:tplc="07B4CCD8" w:tentative="1">
      <w:start w:val="1"/>
      <w:numFmt w:val="bullet"/>
      <w:lvlText w:val="•"/>
      <w:lvlJc w:val="left"/>
      <w:pPr>
        <w:tabs>
          <w:tab w:val="num" w:pos="5040"/>
        </w:tabs>
        <w:ind w:left="5040" w:hanging="360"/>
      </w:pPr>
      <w:rPr>
        <w:rFonts w:ascii="Arial" w:hAnsi="Arial" w:hint="default"/>
      </w:rPr>
    </w:lvl>
    <w:lvl w:ilvl="7" w:tplc="34AAE2BE" w:tentative="1">
      <w:start w:val="1"/>
      <w:numFmt w:val="bullet"/>
      <w:lvlText w:val="•"/>
      <w:lvlJc w:val="left"/>
      <w:pPr>
        <w:tabs>
          <w:tab w:val="num" w:pos="5760"/>
        </w:tabs>
        <w:ind w:left="5760" w:hanging="360"/>
      </w:pPr>
      <w:rPr>
        <w:rFonts w:ascii="Arial" w:hAnsi="Arial" w:hint="default"/>
      </w:rPr>
    </w:lvl>
    <w:lvl w:ilvl="8" w:tplc="1C52EE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D51821"/>
    <w:multiLevelType w:val="hybridMultilevel"/>
    <w:tmpl w:val="509E33F0"/>
    <w:lvl w:ilvl="0" w:tplc="60DC4E8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994FA8"/>
    <w:multiLevelType w:val="hybridMultilevel"/>
    <w:tmpl w:val="28A0DD4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53925148"/>
    <w:multiLevelType w:val="hybridMultilevel"/>
    <w:tmpl w:val="1C08A0B2"/>
    <w:lvl w:ilvl="0" w:tplc="ACE084B4">
      <w:start w:val="1"/>
      <w:numFmt w:val="decimal"/>
      <w:lvlText w:val="%1."/>
      <w:lvlJc w:val="left"/>
      <w:pPr>
        <w:ind w:left="360" w:hanging="360"/>
      </w:pPr>
      <w:rPr>
        <w:rFonts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66D5C8F"/>
    <w:multiLevelType w:val="hybridMultilevel"/>
    <w:tmpl w:val="3982AF4E"/>
    <w:lvl w:ilvl="0" w:tplc="C1BE4C0A">
      <w:numFmt w:val="bullet"/>
      <w:lvlText w:val="•"/>
      <w:lvlJc w:val="left"/>
      <w:pPr>
        <w:ind w:left="950" w:hanging="510"/>
      </w:pPr>
      <w:rPr>
        <w:rFonts w:ascii="SimSun" w:eastAsia="SimSun" w:hAnsi="SimSun" w:cs="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86011F1"/>
    <w:multiLevelType w:val="hybridMultilevel"/>
    <w:tmpl w:val="8294E680"/>
    <w:lvl w:ilvl="0" w:tplc="82964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A703E17"/>
    <w:multiLevelType w:val="hybridMultilevel"/>
    <w:tmpl w:val="6E7282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A7C004B"/>
    <w:multiLevelType w:val="hybridMultilevel"/>
    <w:tmpl w:val="3D183C24"/>
    <w:lvl w:ilvl="0" w:tplc="3260ED5A">
      <w:start w:val="1"/>
      <w:numFmt w:val="lowerLetter"/>
      <w:lvlText w:val="%1."/>
      <w:lvlJc w:val="left"/>
      <w:pPr>
        <w:ind w:left="717" w:hanging="36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22" w15:restartNumberingAfterBreak="0">
    <w:nsid w:val="5B632457"/>
    <w:multiLevelType w:val="hybridMultilevel"/>
    <w:tmpl w:val="2F58A484"/>
    <w:lvl w:ilvl="0" w:tplc="9236B862">
      <w:start w:val="1"/>
      <w:numFmt w:val="upperLetter"/>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7126611"/>
    <w:multiLevelType w:val="hybridMultilevel"/>
    <w:tmpl w:val="D44AD2F8"/>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24" w15:restartNumberingAfterBreak="0">
    <w:nsid w:val="72544B53"/>
    <w:multiLevelType w:val="hybridMultilevel"/>
    <w:tmpl w:val="EB24783C"/>
    <w:lvl w:ilvl="0" w:tplc="2DE04E80">
      <w:start w:val="1"/>
      <w:numFmt w:val="bullet"/>
      <w:lvlText w:val="•"/>
      <w:lvlJc w:val="left"/>
      <w:pPr>
        <w:tabs>
          <w:tab w:val="num" w:pos="720"/>
        </w:tabs>
        <w:ind w:left="720" w:hanging="360"/>
      </w:pPr>
      <w:rPr>
        <w:rFonts w:ascii="Arial" w:hAnsi="Arial" w:hint="default"/>
      </w:rPr>
    </w:lvl>
    <w:lvl w:ilvl="1" w:tplc="FD5A2D64" w:tentative="1">
      <w:start w:val="1"/>
      <w:numFmt w:val="bullet"/>
      <w:lvlText w:val="•"/>
      <w:lvlJc w:val="left"/>
      <w:pPr>
        <w:tabs>
          <w:tab w:val="num" w:pos="1440"/>
        </w:tabs>
        <w:ind w:left="1440" w:hanging="360"/>
      </w:pPr>
      <w:rPr>
        <w:rFonts w:ascii="Arial" w:hAnsi="Arial" w:hint="default"/>
      </w:rPr>
    </w:lvl>
    <w:lvl w:ilvl="2" w:tplc="9984E178" w:tentative="1">
      <w:start w:val="1"/>
      <w:numFmt w:val="bullet"/>
      <w:lvlText w:val="•"/>
      <w:lvlJc w:val="left"/>
      <w:pPr>
        <w:tabs>
          <w:tab w:val="num" w:pos="2160"/>
        </w:tabs>
        <w:ind w:left="2160" w:hanging="360"/>
      </w:pPr>
      <w:rPr>
        <w:rFonts w:ascii="Arial" w:hAnsi="Arial" w:hint="default"/>
      </w:rPr>
    </w:lvl>
    <w:lvl w:ilvl="3" w:tplc="5882D2F2" w:tentative="1">
      <w:start w:val="1"/>
      <w:numFmt w:val="bullet"/>
      <w:lvlText w:val="•"/>
      <w:lvlJc w:val="left"/>
      <w:pPr>
        <w:tabs>
          <w:tab w:val="num" w:pos="2880"/>
        </w:tabs>
        <w:ind w:left="2880" w:hanging="360"/>
      </w:pPr>
      <w:rPr>
        <w:rFonts w:ascii="Arial" w:hAnsi="Arial" w:hint="default"/>
      </w:rPr>
    </w:lvl>
    <w:lvl w:ilvl="4" w:tplc="144A9ECA" w:tentative="1">
      <w:start w:val="1"/>
      <w:numFmt w:val="bullet"/>
      <w:lvlText w:val="•"/>
      <w:lvlJc w:val="left"/>
      <w:pPr>
        <w:tabs>
          <w:tab w:val="num" w:pos="3600"/>
        </w:tabs>
        <w:ind w:left="3600" w:hanging="360"/>
      </w:pPr>
      <w:rPr>
        <w:rFonts w:ascii="Arial" w:hAnsi="Arial" w:hint="default"/>
      </w:rPr>
    </w:lvl>
    <w:lvl w:ilvl="5" w:tplc="33FCA11C" w:tentative="1">
      <w:start w:val="1"/>
      <w:numFmt w:val="bullet"/>
      <w:lvlText w:val="•"/>
      <w:lvlJc w:val="left"/>
      <w:pPr>
        <w:tabs>
          <w:tab w:val="num" w:pos="4320"/>
        </w:tabs>
        <w:ind w:left="4320" w:hanging="360"/>
      </w:pPr>
      <w:rPr>
        <w:rFonts w:ascii="Arial" w:hAnsi="Arial" w:hint="default"/>
      </w:rPr>
    </w:lvl>
    <w:lvl w:ilvl="6" w:tplc="581EE7FA" w:tentative="1">
      <w:start w:val="1"/>
      <w:numFmt w:val="bullet"/>
      <w:lvlText w:val="•"/>
      <w:lvlJc w:val="left"/>
      <w:pPr>
        <w:tabs>
          <w:tab w:val="num" w:pos="5040"/>
        </w:tabs>
        <w:ind w:left="5040" w:hanging="360"/>
      </w:pPr>
      <w:rPr>
        <w:rFonts w:ascii="Arial" w:hAnsi="Arial" w:hint="default"/>
      </w:rPr>
    </w:lvl>
    <w:lvl w:ilvl="7" w:tplc="E6EED20C" w:tentative="1">
      <w:start w:val="1"/>
      <w:numFmt w:val="bullet"/>
      <w:lvlText w:val="•"/>
      <w:lvlJc w:val="left"/>
      <w:pPr>
        <w:tabs>
          <w:tab w:val="num" w:pos="5760"/>
        </w:tabs>
        <w:ind w:left="5760" w:hanging="360"/>
      </w:pPr>
      <w:rPr>
        <w:rFonts w:ascii="Arial" w:hAnsi="Arial" w:hint="default"/>
      </w:rPr>
    </w:lvl>
    <w:lvl w:ilvl="8" w:tplc="99EC9F7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046545"/>
    <w:multiLevelType w:val="hybridMultilevel"/>
    <w:tmpl w:val="5F98CB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8CE4E99"/>
    <w:multiLevelType w:val="hybridMultilevel"/>
    <w:tmpl w:val="9B101F56"/>
    <w:lvl w:ilvl="0" w:tplc="FF3E90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12"/>
  </w:num>
  <w:num w:numId="3">
    <w:abstractNumId w:val="7"/>
  </w:num>
  <w:num w:numId="4">
    <w:abstractNumId w:val="10"/>
  </w:num>
  <w:num w:numId="5">
    <w:abstractNumId w:val="18"/>
  </w:num>
  <w:num w:numId="6">
    <w:abstractNumId w:val="0"/>
  </w:num>
  <w:num w:numId="7">
    <w:abstractNumId w:val="9"/>
  </w:num>
  <w:num w:numId="8">
    <w:abstractNumId w:val="4"/>
  </w:num>
  <w:num w:numId="9">
    <w:abstractNumId w:val="1"/>
  </w:num>
  <w:num w:numId="10">
    <w:abstractNumId w:val="20"/>
  </w:num>
  <w:num w:numId="11">
    <w:abstractNumId w:val="6"/>
  </w:num>
  <w:num w:numId="12">
    <w:abstractNumId w:val="25"/>
  </w:num>
  <w:num w:numId="13">
    <w:abstractNumId w:val="2"/>
  </w:num>
  <w:num w:numId="14">
    <w:abstractNumId w:val="14"/>
  </w:num>
  <w:num w:numId="15">
    <w:abstractNumId w:val="5"/>
  </w:num>
  <w:num w:numId="16">
    <w:abstractNumId w:val="3"/>
  </w:num>
  <w:num w:numId="17">
    <w:abstractNumId w:val="17"/>
  </w:num>
  <w:num w:numId="18">
    <w:abstractNumId w:val="11"/>
  </w:num>
  <w:num w:numId="19">
    <w:abstractNumId w:val="8"/>
  </w:num>
  <w:num w:numId="20">
    <w:abstractNumId w:val="15"/>
  </w:num>
  <w:num w:numId="21">
    <w:abstractNumId w:val="23"/>
  </w:num>
  <w:num w:numId="22">
    <w:abstractNumId w:val="21"/>
  </w:num>
  <w:num w:numId="23">
    <w:abstractNumId w:val="24"/>
  </w:num>
  <w:num w:numId="24">
    <w:abstractNumId w:val="19"/>
  </w:num>
  <w:num w:numId="25">
    <w:abstractNumId w:val="22"/>
  </w:num>
  <w:num w:numId="26">
    <w:abstractNumId w:val="1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E7A75"/>
    <w:rsid w:val="00000144"/>
    <w:rsid w:val="001E7A75"/>
    <w:rsid w:val="004C51B0"/>
    <w:rsid w:val="005306CC"/>
    <w:rsid w:val="005474EA"/>
    <w:rsid w:val="005B69D7"/>
    <w:rsid w:val="00751CCC"/>
    <w:rsid w:val="007E0C9E"/>
    <w:rsid w:val="008A1348"/>
    <w:rsid w:val="008A4012"/>
    <w:rsid w:val="008D5194"/>
    <w:rsid w:val="00AA31CE"/>
    <w:rsid w:val="00AB7EAC"/>
    <w:rsid w:val="00C73BF8"/>
    <w:rsid w:val="00DC2A5C"/>
    <w:rsid w:val="00F90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0441AD0-3EB9-4762-B5BC-F1ADE1866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7A75"/>
    <w:pPr>
      <w:widowControl w:val="0"/>
      <w:jc w:val="both"/>
    </w:pPr>
  </w:style>
  <w:style w:type="paragraph" w:styleId="Heading1">
    <w:name w:val="heading 1"/>
    <w:basedOn w:val="Normal"/>
    <w:link w:val="Heading1Char"/>
    <w:uiPriority w:val="9"/>
    <w:qFormat/>
    <w:rsid w:val="001E7A75"/>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3">
    <w:name w:val="heading 3"/>
    <w:basedOn w:val="Normal"/>
    <w:next w:val="Normal"/>
    <w:link w:val="Heading3Char"/>
    <w:uiPriority w:val="9"/>
    <w:semiHidden/>
    <w:unhideWhenUsed/>
    <w:qFormat/>
    <w:rsid w:val="001E7A75"/>
    <w:pPr>
      <w:keepNext/>
      <w:keepLines/>
      <w:spacing w:before="260" w:after="260" w:line="416" w:lineRule="auto"/>
      <w:outlineLvl w:val="2"/>
    </w:pPr>
    <w:rPr>
      <w:rFonts w:ascii="Times New Roman" w:eastAsia="SimSun" w:hAnsi="Times New Roman" w:cs="SimSun"/>
      <w:b/>
      <w:bCs/>
      <w:color w:val="000000"/>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A75"/>
    <w:rPr>
      <w:rFonts w:ascii="SimSun" w:eastAsia="SimSun" w:hAnsi="SimSun" w:cs="SimSun"/>
      <w:b/>
      <w:bCs/>
      <w:kern w:val="36"/>
      <w:sz w:val="48"/>
      <w:szCs w:val="48"/>
    </w:rPr>
  </w:style>
  <w:style w:type="character" w:customStyle="1" w:styleId="Heading3Char">
    <w:name w:val="Heading 3 Char"/>
    <w:basedOn w:val="DefaultParagraphFont"/>
    <w:link w:val="Heading3"/>
    <w:uiPriority w:val="9"/>
    <w:semiHidden/>
    <w:rsid w:val="001E7A75"/>
    <w:rPr>
      <w:rFonts w:ascii="Times New Roman" w:eastAsia="SimSun" w:hAnsi="Times New Roman" w:cs="SimSun"/>
      <w:b/>
      <w:bCs/>
      <w:color w:val="000000"/>
      <w:kern w:val="0"/>
      <w:sz w:val="32"/>
      <w:szCs w:val="32"/>
    </w:rPr>
  </w:style>
  <w:style w:type="paragraph" w:styleId="ListParagraph">
    <w:name w:val="List Paragraph"/>
    <w:basedOn w:val="Normal"/>
    <w:uiPriority w:val="34"/>
    <w:qFormat/>
    <w:rsid w:val="001E7A75"/>
    <w:pPr>
      <w:ind w:left="720"/>
      <w:contextualSpacing/>
    </w:pPr>
  </w:style>
  <w:style w:type="paragraph" w:customStyle="1" w:styleId="EndNoteBibliographyTitle">
    <w:name w:val="EndNote Bibliography Title"/>
    <w:basedOn w:val="Normal"/>
    <w:link w:val="EndNoteBibliographyTitle0"/>
    <w:rsid w:val="001E7A75"/>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1E7A75"/>
    <w:rPr>
      <w:rFonts w:ascii="DengXian" w:eastAsia="DengXian" w:hAnsi="DengXian"/>
      <w:noProof/>
      <w:sz w:val="20"/>
    </w:rPr>
  </w:style>
  <w:style w:type="paragraph" w:customStyle="1" w:styleId="EndNoteBibliography">
    <w:name w:val="EndNote Bibliography"/>
    <w:basedOn w:val="Normal"/>
    <w:link w:val="EndNoteBibliography0"/>
    <w:rsid w:val="001E7A75"/>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1E7A75"/>
    <w:rPr>
      <w:rFonts w:ascii="DengXian" w:eastAsia="DengXian" w:hAnsi="DengXian"/>
      <w:noProof/>
      <w:sz w:val="20"/>
    </w:rPr>
  </w:style>
  <w:style w:type="paragraph" w:styleId="Header">
    <w:name w:val="header"/>
    <w:basedOn w:val="Normal"/>
    <w:link w:val="HeaderChar"/>
    <w:uiPriority w:val="99"/>
    <w:unhideWhenUsed/>
    <w:rsid w:val="001E7A7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E7A75"/>
    <w:rPr>
      <w:sz w:val="18"/>
      <w:szCs w:val="18"/>
    </w:rPr>
  </w:style>
  <w:style w:type="paragraph" w:styleId="Footer">
    <w:name w:val="footer"/>
    <w:basedOn w:val="Normal"/>
    <w:link w:val="FooterChar"/>
    <w:uiPriority w:val="99"/>
    <w:unhideWhenUsed/>
    <w:rsid w:val="001E7A7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E7A75"/>
    <w:rPr>
      <w:sz w:val="18"/>
      <w:szCs w:val="18"/>
    </w:rPr>
  </w:style>
  <w:style w:type="character" w:styleId="Hyperlink">
    <w:name w:val="Hyperlink"/>
    <w:basedOn w:val="DefaultParagraphFont"/>
    <w:uiPriority w:val="99"/>
    <w:unhideWhenUsed/>
    <w:rsid w:val="001E7A75"/>
    <w:rPr>
      <w:color w:val="0563C1" w:themeColor="hyperlink"/>
      <w:u w:val="single"/>
    </w:rPr>
  </w:style>
  <w:style w:type="character" w:styleId="CommentReference">
    <w:name w:val="annotation reference"/>
    <w:basedOn w:val="DefaultParagraphFont"/>
    <w:uiPriority w:val="99"/>
    <w:semiHidden/>
    <w:unhideWhenUsed/>
    <w:rsid w:val="001E7A75"/>
    <w:rPr>
      <w:sz w:val="21"/>
      <w:szCs w:val="21"/>
    </w:rPr>
  </w:style>
  <w:style w:type="paragraph" w:styleId="CommentText">
    <w:name w:val="annotation text"/>
    <w:basedOn w:val="Normal"/>
    <w:link w:val="CommentTextChar"/>
    <w:uiPriority w:val="99"/>
    <w:unhideWhenUsed/>
    <w:rsid w:val="001E7A75"/>
    <w:pPr>
      <w:jc w:val="left"/>
    </w:pPr>
  </w:style>
  <w:style w:type="character" w:customStyle="1" w:styleId="CommentTextChar">
    <w:name w:val="Comment Text Char"/>
    <w:basedOn w:val="DefaultParagraphFont"/>
    <w:link w:val="CommentText"/>
    <w:uiPriority w:val="99"/>
    <w:rsid w:val="001E7A75"/>
  </w:style>
  <w:style w:type="paragraph" w:styleId="CommentSubject">
    <w:name w:val="annotation subject"/>
    <w:basedOn w:val="CommentText"/>
    <w:next w:val="CommentText"/>
    <w:link w:val="CommentSubjectChar"/>
    <w:uiPriority w:val="99"/>
    <w:semiHidden/>
    <w:unhideWhenUsed/>
    <w:rsid w:val="001E7A75"/>
    <w:rPr>
      <w:b/>
      <w:bCs/>
    </w:rPr>
  </w:style>
  <w:style w:type="character" w:customStyle="1" w:styleId="CommentSubjectChar">
    <w:name w:val="Comment Subject Char"/>
    <w:basedOn w:val="CommentTextChar"/>
    <w:link w:val="CommentSubject"/>
    <w:uiPriority w:val="99"/>
    <w:semiHidden/>
    <w:rsid w:val="001E7A75"/>
    <w:rPr>
      <w:b/>
      <w:bCs/>
    </w:rPr>
  </w:style>
  <w:style w:type="paragraph" w:styleId="BalloonText">
    <w:name w:val="Balloon Text"/>
    <w:basedOn w:val="Normal"/>
    <w:link w:val="BalloonTextChar"/>
    <w:uiPriority w:val="99"/>
    <w:semiHidden/>
    <w:unhideWhenUsed/>
    <w:rsid w:val="001E7A75"/>
    <w:rPr>
      <w:sz w:val="18"/>
      <w:szCs w:val="18"/>
    </w:rPr>
  </w:style>
  <w:style w:type="character" w:customStyle="1" w:styleId="BalloonTextChar">
    <w:name w:val="Balloon Text Char"/>
    <w:basedOn w:val="DefaultParagraphFont"/>
    <w:link w:val="BalloonText"/>
    <w:uiPriority w:val="99"/>
    <w:semiHidden/>
    <w:rsid w:val="001E7A75"/>
    <w:rPr>
      <w:sz w:val="18"/>
      <w:szCs w:val="18"/>
    </w:rPr>
  </w:style>
  <w:style w:type="paragraph" w:styleId="Revision">
    <w:name w:val="Revision"/>
    <w:hidden/>
    <w:uiPriority w:val="99"/>
    <w:semiHidden/>
    <w:rsid w:val="001E7A75"/>
  </w:style>
  <w:style w:type="table" w:styleId="TableGrid">
    <w:name w:val="Table Grid"/>
    <w:basedOn w:val="TableNormal"/>
    <w:uiPriority w:val="39"/>
    <w:rsid w:val="001E7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DefaultParagraphFont"/>
    <w:uiPriority w:val="99"/>
    <w:semiHidden/>
    <w:unhideWhenUsed/>
    <w:rsid w:val="001E7A75"/>
    <w:rPr>
      <w:color w:val="605E5C"/>
      <w:shd w:val="clear" w:color="auto" w:fill="E1DFDD"/>
    </w:rPr>
  </w:style>
  <w:style w:type="table" w:customStyle="1" w:styleId="10">
    <w:name w:val="网格型1"/>
    <w:basedOn w:val="TableNormal"/>
    <w:next w:val="TableGrid"/>
    <w:uiPriority w:val="39"/>
    <w:rsid w:val="001E7A75"/>
    <w:rPr>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E7A75"/>
    <w:rPr>
      <w:rFonts w:asciiTheme="majorHAnsi" w:eastAsia="SimHei" w:hAnsiTheme="majorHAnsi" w:cstheme="majorBidi"/>
      <w:sz w:val="20"/>
      <w:szCs w:val="20"/>
    </w:rPr>
  </w:style>
  <w:style w:type="numbering" w:customStyle="1" w:styleId="11">
    <w:name w:val="无列表1"/>
    <w:next w:val="NoList"/>
    <w:uiPriority w:val="99"/>
    <w:semiHidden/>
    <w:unhideWhenUsed/>
    <w:rsid w:val="001E7A75"/>
  </w:style>
  <w:style w:type="paragraph" w:styleId="NormalWeb">
    <w:name w:val="Normal (Web)"/>
    <w:basedOn w:val="Normal"/>
    <w:uiPriority w:val="99"/>
    <w:semiHidden/>
    <w:unhideWhenUsed/>
    <w:rsid w:val="001E7A75"/>
    <w:pPr>
      <w:widowControl/>
      <w:spacing w:before="100" w:beforeAutospacing="1" w:after="100" w:afterAutospacing="1"/>
      <w:jc w:val="left"/>
    </w:pPr>
    <w:rPr>
      <w:rFonts w:ascii="SimSun" w:eastAsia="SimSun" w:hAnsi="SimSun" w:cs="SimSun"/>
      <w:kern w:val="0"/>
      <w:sz w:val="24"/>
      <w:szCs w:val="24"/>
    </w:rPr>
  </w:style>
  <w:style w:type="paragraph" w:styleId="EndnoteText">
    <w:name w:val="endnote text"/>
    <w:basedOn w:val="Normal"/>
    <w:link w:val="EndnoteTextChar"/>
    <w:uiPriority w:val="99"/>
    <w:unhideWhenUsed/>
    <w:rsid w:val="001E7A75"/>
    <w:pPr>
      <w:snapToGrid w:val="0"/>
      <w:spacing w:line="440" w:lineRule="exact"/>
      <w:jc w:val="left"/>
    </w:pPr>
    <w:rPr>
      <w:rFonts w:ascii="Times New Roman" w:eastAsia="Times New Roman" w:hAnsi="Times New Roman" w:cs="Times New Roman"/>
      <w:szCs w:val="21"/>
    </w:rPr>
  </w:style>
  <w:style w:type="character" w:customStyle="1" w:styleId="EndnoteTextChar">
    <w:name w:val="Endnote Text Char"/>
    <w:basedOn w:val="DefaultParagraphFont"/>
    <w:link w:val="EndnoteText"/>
    <w:uiPriority w:val="99"/>
    <w:rsid w:val="001E7A75"/>
    <w:rPr>
      <w:rFonts w:ascii="Times New Roman" w:eastAsia="Times New Roman" w:hAnsi="Times New Roman" w:cs="Times New Roman"/>
      <w:szCs w:val="21"/>
    </w:rPr>
  </w:style>
  <w:style w:type="paragraph" w:customStyle="1" w:styleId="a">
    <w:name w:val="！！！！！！！！"/>
    <w:basedOn w:val="Normal"/>
    <w:link w:val="Char"/>
    <w:qFormat/>
    <w:rsid w:val="001E7A75"/>
    <w:pPr>
      <w:widowControl/>
      <w:spacing w:beforeLines="50" w:before="156" w:line="0" w:lineRule="atLeast"/>
      <w:ind w:firstLineChars="200" w:firstLine="200"/>
    </w:pPr>
    <w:rPr>
      <w:rFonts w:ascii="Times New Roman" w:eastAsia="SimSun" w:hAnsi="Times New Roman" w:cs="SimSun"/>
      <w:color w:val="000000"/>
      <w:kern w:val="0"/>
      <w:sz w:val="22"/>
    </w:rPr>
  </w:style>
  <w:style w:type="character" w:customStyle="1" w:styleId="Char">
    <w:name w:val="！！！！！！！！ Char"/>
    <w:basedOn w:val="DefaultParagraphFont"/>
    <w:link w:val="a"/>
    <w:rsid w:val="001E7A75"/>
    <w:rPr>
      <w:rFonts w:ascii="Times New Roman" w:eastAsia="SimSun" w:hAnsi="Times New Roman" w:cs="SimSun"/>
      <w:color w:val="000000"/>
      <w:kern w:val="0"/>
      <w:sz w:val="22"/>
    </w:rPr>
  </w:style>
  <w:style w:type="character" w:styleId="EndnoteReference">
    <w:name w:val="endnote reference"/>
    <w:basedOn w:val="DefaultParagraphFont"/>
    <w:uiPriority w:val="99"/>
    <w:semiHidden/>
    <w:unhideWhenUsed/>
    <w:rsid w:val="001E7A75"/>
    <w:rPr>
      <w:vertAlign w:val="superscript"/>
    </w:rPr>
  </w:style>
  <w:style w:type="character" w:customStyle="1" w:styleId="EndNoteBibliographyTitleChar">
    <w:name w:val="EndNote Bibliography Title Char"/>
    <w:basedOn w:val="DefaultParagraphFont"/>
    <w:rsid w:val="001E7A75"/>
    <w:rPr>
      <w:rFonts w:cs="Times New Roman"/>
      <w:noProof/>
    </w:rPr>
  </w:style>
  <w:style w:type="character" w:customStyle="1" w:styleId="EndNoteBibliographyChar">
    <w:name w:val="EndNote Bibliography Char"/>
    <w:basedOn w:val="DefaultParagraphFont"/>
    <w:rsid w:val="001E7A75"/>
    <w:rPr>
      <w:rFonts w:cs="Times New Roman"/>
      <w:noProof/>
    </w:rPr>
  </w:style>
  <w:style w:type="character" w:customStyle="1" w:styleId="apple-converted-space">
    <w:name w:val="apple-converted-space"/>
    <w:basedOn w:val="DefaultParagraphFont"/>
    <w:rsid w:val="001E7A75"/>
  </w:style>
  <w:style w:type="character" w:styleId="Emphasis">
    <w:name w:val="Emphasis"/>
    <w:basedOn w:val="DefaultParagraphFont"/>
    <w:uiPriority w:val="20"/>
    <w:qFormat/>
    <w:rsid w:val="001E7A75"/>
    <w:rPr>
      <w:i/>
      <w:iCs/>
    </w:rPr>
  </w:style>
  <w:style w:type="paragraph" w:customStyle="1" w:styleId="a0">
    <w:name w:val="图表应用"/>
    <w:basedOn w:val="Normal"/>
    <w:link w:val="Char0"/>
    <w:qFormat/>
    <w:rsid w:val="001E7A75"/>
    <w:pPr>
      <w:widowControl/>
      <w:spacing w:line="480" w:lineRule="auto"/>
    </w:pPr>
    <w:rPr>
      <w:rFonts w:ascii="Times New Roman" w:eastAsia="Times New Roman" w:hAnsi="Times New Roman" w:cs="SimSun"/>
      <w:b/>
      <w:color w:val="C00000"/>
      <w:kern w:val="0"/>
      <w:sz w:val="28"/>
      <w:szCs w:val="28"/>
    </w:rPr>
  </w:style>
  <w:style w:type="character" w:customStyle="1" w:styleId="Char0">
    <w:name w:val="图表应用 Char"/>
    <w:basedOn w:val="DefaultParagraphFont"/>
    <w:link w:val="a0"/>
    <w:rsid w:val="001E7A75"/>
    <w:rPr>
      <w:rFonts w:ascii="Times New Roman" w:eastAsia="Times New Roman" w:hAnsi="Times New Roman" w:cs="SimSun"/>
      <w:b/>
      <w:color w:val="C00000"/>
      <w:kern w:val="0"/>
      <w:sz w:val="28"/>
      <w:szCs w:val="28"/>
    </w:rPr>
  </w:style>
  <w:style w:type="table" w:customStyle="1" w:styleId="2">
    <w:name w:val="网格型2"/>
    <w:basedOn w:val="TableNormal"/>
    <w:next w:val="TableGrid"/>
    <w:uiPriority w:val="39"/>
    <w:rsid w:val="001E7A75"/>
    <w:rPr>
      <w:rFonts w:ascii="Times New Roman" w:eastAsia="SimSun" w:hAnsi="Times New Roman" w:cs="SimSun"/>
      <w:color w:val="000000"/>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7A75"/>
    <w:rPr>
      <w:color w:val="808080"/>
    </w:rPr>
  </w:style>
  <w:style w:type="character" w:customStyle="1" w:styleId="title-text">
    <w:name w:val="title-text"/>
    <w:basedOn w:val="DefaultParagraphFont"/>
    <w:rsid w:val="001E7A75"/>
  </w:style>
  <w:style w:type="character" w:styleId="BookTitle">
    <w:name w:val="Book Title"/>
    <w:aliases w:val="表名"/>
    <w:uiPriority w:val="33"/>
    <w:qFormat/>
    <w:rsid w:val="001E7A75"/>
  </w:style>
  <w:style w:type="character" w:customStyle="1" w:styleId="smallcaps">
    <w:name w:val="small_caps"/>
    <w:rsid w:val="001E7A75"/>
  </w:style>
  <w:style w:type="paragraph" w:customStyle="1" w:styleId="SMHeading">
    <w:name w:val="SM Heading"/>
    <w:basedOn w:val="Heading1"/>
    <w:qFormat/>
    <w:rsid w:val="001E7A75"/>
    <w:pPr>
      <w:keepNext/>
      <w:spacing w:before="240" w:beforeAutospacing="0" w:after="60" w:afterAutospacing="0"/>
    </w:pPr>
    <w:rPr>
      <w:rFonts w:ascii="Times New Roman" w:hAnsi="Times New Roman" w:cs="Times New Roman"/>
      <w:kern w:val="32"/>
      <w:sz w:val="24"/>
      <w:szCs w:val="24"/>
      <w:lang w:eastAsia="en-US"/>
    </w:rPr>
  </w:style>
  <w:style w:type="paragraph" w:customStyle="1" w:styleId="SMSubheading">
    <w:name w:val="SM Subheading"/>
    <w:basedOn w:val="Normal"/>
    <w:qFormat/>
    <w:rsid w:val="001E7A75"/>
    <w:pPr>
      <w:widowControl/>
      <w:jc w:val="left"/>
    </w:pPr>
    <w:rPr>
      <w:rFonts w:ascii="Times New Roman" w:hAnsi="Times New Roman" w:cs="Times New Roman"/>
      <w:kern w:val="0"/>
      <w:sz w:val="24"/>
      <w:szCs w:val="20"/>
      <w:u w:val="words"/>
      <w:lang w:eastAsia="en-US"/>
    </w:rPr>
  </w:style>
  <w:style w:type="paragraph" w:customStyle="1" w:styleId="SMText">
    <w:name w:val="SM Text"/>
    <w:basedOn w:val="Normal"/>
    <w:qFormat/>
    <w:rsid w:val="001E7A75"/>
    <w:pPr>
      <w:widowControl/>
      <w:ind w:firstLine="480"/>
      <w:jc w:val="left"/>
    </w:pPr>
    <w:rPr>
      <w:rFonts w:ascii="Times New Roman" w:hAnsi="Times New Roman" w:cs="Times New Roman"/>
      <w:kern w:val="0"/>
      <w:sz w:val="24"/>
      <w:szCs w:val="20"/>
      <w:lang w:eastAsia="en-US"/>
    </w:rPr>
  </w:style>
  <w:style w:type="paragraph" w:customStyle="1" w:styleId="SMcaption">
    <w:name w:val="SM caption"/>
    <w:basedOn w:val="SMText"/>
    <w:qFormat/>
    <w:rsid w:val="001E7A75"/>
    <w:pPr>
      <w:ind w:firstLine="0"/>
    </w:pPr>
  </w:style>
  <w:style w:type="character" w:styleId="Strong">
    <w:name w:val="Strong"/>
    <w:basedOn w:val="DefaultParagraphFont"/>
    <w:uiPriority w:val="22"/>
    <w:qFormat/>
    <w:rsid w:val="001E7A75"/>
    <w:rPr>
      <w:bCs/>
      <w:sz w:val="30"/>
      <w:szCs w:val="30"/>
    </w:rPr>
  </w:style>
  <w:style w:type="character" w:customStyle="1" w:styleId="fontstyle01">
    <w:name w:val="fontstyle01"/>
    <w:basedOn w:val="DefaultParagraphFont"/>
    <w:rsid w:val="001E7A75"/>
    <w:rPr>
      <w:rFonts w:ascii="AdvOT2e364b11" w:hAnsi="AdvOT2e364b11" w:hint="default"/>
      <w:b w:val="0"/>
      <w:bCs w:val="0"/>
      <w:i w:val="0"/>
      <w:iCs w:val="0"/>
      <w:color w:val="000000"/>
      <w:sz w:val="20"/>
      <w:szCs w:val="20"/>
    </w:rPr>
  </w:style>
  <w:style w:type="character" w:customStyle="1" w:styleId="fontstyle11">
    <w:name w:val="fontstyle11"/>
    <w:basedOn w:val="DefaultParagraphFont"/>
    <w:rsid w:val="001E7A75"/>
    <w:rPr>
      <w:rFonts w:ascii="AdvOT2e364b11+fb" w:hAnsi="AdvOT2e364b11+fb" w:hint="default"/>
      <w:b w:val="0"/>
      <w:bCs w:val="0"/>
      <w:i w:val="0"/>
      <w:iCs w:val="0"/>
      <w:color w:val="000000"/>
      <w:sz w:val="20"/>
      <w:szCs w:val="20"/>
    </w:rPr>
  </w:style>
  <w:style w:type="paragraph" w:customStyle="1" w:styleId="Paragraph">
    <w:name w:val="Paragraph"/>
    <w:basedOn w:val="Normal"/>
    <w:rsid w:val="001E7A75"/>
    <w:pPr>
      <w:widowControl/>
      <w:spacing w:before="120"/>
      <w:ind w:firstLine="720"/>
      <w:jc w:val="left"/>
    </w:pPr>
    <w:rPr>
      <w:rFonts w:ascii="Times New Roman" w:eastAsia="Times New Roman" w:hAnsi="Times New Roman" w:cs="Times New Roman"/>
      <w:kern w:val="0"/>
      <w:sz w:val="24"/>
      <w:szCs w:val="24"/>
      <w:lang w:eastAsia="en-US"/>
    </w:rPr>
  </w:style>
  <w:style w:type="paragraph" w:customStyle="1" w:styleId="Teaser">
    <w:name w:val="Teaser"/>
    <w:basedOn w:val="Normal"/>
    <w:rsid w:val="001E7A75"/>
    <w:pPr>
      <w:widowControl/>
      <w:spacing w:before="120"/>
      <w:jc w:val="left"/>
    </w:pPr>
    <w:rPr>
      <w:rFonts w:ascii="Times New Roman" w:eastAsia="Times New Roman" w:hAnsi="Times New Roman" w:cs="Times New Roman"/>
      <w:kern w:val="0"/>
      <w:sz w:val="24"/>
      <w:szCs w:val="24"/>
      <w:lang w:eastAsia="en-US"/>
    </w:rPr>
  </w:style>
  <w:style w:type="paragraph" w:customStyle="1" w:styleId="MTDisplayEquation">
    <w:name w:val="MTDisplayEquation"/>
    <w:basedOn w:val="Normal"/>
    <w:next w:val="Normal"/>
    <w:link w:val="MTDisplayEquation0"/>
    <w:rsid w:val="001E7A75"/>
    <w:pPr>
      <w:tabs>
        <w:tab w:val="center" w:pos="4160"/>
        <w:tab w:val="right" w:pos="8300"/>
      </w:tabs>
    </w:pPr>
    <w:rPr>
      <w:rFonts w:ascii="DengXian" w:eastAsia="DengXian" w:hAnsi="DengXian" w:cs="Times New Roman"/>
    </w:rPr>
  </w:style>
  <w:style w:type="character" w:customStyle="1" w:styleId="MTDisplayEquation0">
    <w:name w:val="MTDisplayEquation 字符"/>
    <w:link w:val="MTDisplayEquation"/>
    <w:rsid w:val="001E7A75"/>
    <w:rPr>
      <w:rFonts w:ascii="DengXian" w:eastAsia="DengXian" w:hAnsi="DengXi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3772</Words>
  <Characters>21503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阳阳 陈</dc:creator>
  <cp:keywords/>
  <dc:description/>
  <cp:lastModifiedBy>Wilkinson J.</cp:lastModifiedBy>
  <cp:revision>2</cp:revision>
  <dcterms:created xsi:type="dcterms:W3CDTF">2019-10-08T07:39:00Z</dcterms:created>
  <dcterms:modified xsi:type="dcterms:W3CDTF">2019-10-08T07:39:00Z</dcterms:modified>
</cp:coreProperties>
</file>