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1359C" w14:textId="4703BCA3" w:rsidR="00CB792E" w:rsidRDefault="00CB792E" w:rsidP="00CB792E">
      <w:pPr>
        <w:pStyle w:val="Heading1"/>
      </w:pPr>
      <w:r>
        <w:t xml:space="preserve">Quality of </w:t>
      </w:r>
      <w:r w:rsidR="00D04265">
        <w:t>life</w:t>
      </w:r>
      <w:r>
        <w:t xml:space="preserve"> among symptomatic compared to PSA-detected prostate cancer survivors - Results from a UK wide patient-reported outcomes study</w:t>
      </w:r>
    </w:p>
    <w:p w14:paraId="73C25273" w14:textId="77777777" w:rsidR="00CB792E" w:rsidRPr="00AF7F5D" w:rsidRDefault="00CB792E" w:rsidP="00CB792E">
      <w:pPr>
        <w:pStyle w:val="NoSpacing"/>
        <w:rPr>
          <w:sz w:val="20"/>
          <w:szCs w:val="20"/>
        </w:rPr>
      </w:pPr>
      <w:r w:rsidRPr="00AF7F5D">
        <w:rPr>
          <w:sz w:val="20"/>
          <w:szCs w:val="20"/>
        </w:rPr>
        <w:t>David W Donnelly,</w:t>
      </w:r>
      <w:r w:rsidRPr="00AF7F5D">
        <w:rPr>
          <w:sz w:val="20"/>
          <w:szCs w:val="20"/>
          <w:vertAlign w:val="superscript"/>
        </w:rPr>
        <w:t>1*</w:t>
      </w:r>
      <w:r w:rsidRPr="00AF7F5D">
        <w:rPr>
          <w:sz w:val="20"/>
          <w:szCs w:val="20"/>
        </w:rPr>
        <w:t xml:space="preserve"> Linda C Vis,</w:t>
      </w:r>
      <w:r w:rsidRPr="00AF7F5D">
        <w:rPr>
          <w:sz w:val="20"/>
          <w:szCs w:val="20"/>
          <w:vertAlign w:val="superscript"/>
        </w:rPr>
        <w:t>1,2*</w:t>
      </w:r>
      <w:r w:rsidRPr="00AF7F5D">
        <w:rPr>
          <w:sz w:val="20"/>
          <w:szCs w:val="20"/>
        </w:rPr>
        <w:t xml:space="preserve"> Therese Kearney,</w:t>
      </w:r>
      <w:r w:rsidRPr="00AF7F5D">
        <w:rPr>
          <w:sz w:val="20"/>
          <w:szCs w:val="20"/>
          <w:vertAlign w:val="superscript"/>
        </w:rPr>
        <w:t>1</w:t>
      </w:r>
      <w:r w:rsidRPr="00AF7F5D">
        <w:rPr>
          <w:sz w:val="20"/>
          <w:szCs w:val="20"/>
        </w:rPr>
        <w:t xml:space="preserve"> Linda Sharp,</w:t>
      </w:r>
      <w:r w:rsidRPr="00AF7F5D">
        <w:rPr>
          <w:sz w:val="20"/>
          <w:szCs w:val="20"/>
          <w:vertAlign w:val="superscript"/>
        </w:rPr>
        <w:t>3</w:t>
      </w:r>
      <w:r w:rsidRPr="00AF7F5D">
        <w:rPr>
          <w:sz w:val="20"/>
          <w:szCs w:val="20"/>
        </w:rPr>
        <w:t xml:space="preserve"> Damien Bennett,</w:t>
      </w:r>
      <w:r w:rsidRPr="00AF7F5D">
        <w:rPr>
          <w:sz w:val="20"/>
          <w:szCs w:val="20"/>
          <w:vertAlign w:val="superscript"/>
        </w:rPr>
        <w:t>1</w:t>
      </w:r>
      <w:r w:rsidRPr="00AF7F5D">
        <w:rPr>
          <w:sz w:val="20"/>
          <w:szCs w:val="20"/>
        </w:rPr>
        <w:t xml:space="preserve"> Sarah Wilding,</w:t>
      </w:r>
      <w:r w:rsidRPr="00AF7F5D">
        <w:rPr>
          <w:sz w:val="20"/>
          <w:szCs w:val="20"/>
          <w:vertAlign w:val="superscript"/>
        </w:rPr>
        <w:t>4,5</w:t>
      </w:r>
      <w:r w:rsidRPr="00AF7F5D">
        <w:rPr>
          <w:sz w:val="20"/>
          <w:szCs w:val="20"/>
        </w:rPr>
        <w:t xml:space="preserve"> Amy Downing,</w:t>
      </w:r>
      <w:r w:rsidRPr="00AF7F5D">
        <w:rPr>
          <w:sz w:val="20"/>
          <w:szCs w:val="20"/>
          <w:vertAlign w:val="superscript"/>
        </w:rPr>
        <w:t>4,5</w:t>
      </w:r>
      <w:r w:rsidRPr="00AF7F5D">
        <w:rPr>
          <w:sz w:val="20"/>
          <w:szCs w:val="20"/>
        </w:rPr>
        <w:t xml:space="preserve"> Penny Wright,</w:t>
      </w:r>
      <w:r w:rsidRPr="00AF7F5D">
        <w:rPr>
          <w:sz w:val="20"/>
          <w:szCs w:val="20"/>
          <w:vertAlign w:val="superscript"/>
        </w:rPr>
        <w:t>4</w:t>
      </w:r>
      <w:r w:rsidRPr="00AF7F5D">
        <w:rPr>
          <w:sz w:val="20"/>
          <w:szCs w:val="20"/>
        </w:rPr>
        <w:t xml:space="preserve"> Eila Watson,</w:t>
      </w:r>
      <w:r w:rsidRPr="00AF7F5D">
        <w:rPr>
          <w:sz w:val="20"/>
          <w:szCs w:val="20"/>
          <w:vertAlign w:val="superscript"/>
        </w:rPr>
        <w:t>6</w:t>
      </w:r>
      <w:r w:rsidRPr="00AF7F5D">
        <w:rPr>
          <w:sz w:val="20"/>
          <w:szCs w:val="20"/>
        </w:rPr>
        <w:t xml:space="preserve"> Richard Wagland,</w:t>
      </w:r>
      <w:r w:rsidRPr="00AF7F5D">
        <w:rPr>
          <w:sz w:val="20"/>
          <w:szCs w:val="20"/>
          <w:vertAlign w:val="superscript"/>
        </w:rPr>
        <w:t>7</w:t>
      </w:r>
      <w:r w:rsidRPr="00AF7F5D">
        <w:rPr>
          <w:sz w:val="20"/>
          <w:szCs w:val="20"/>
        </w:rPr>
        <w:t xml:space="preserve"> William R Cross,</w:t>
      </w:r>
      <w:r w:rsidRPr="00AF7F5D">
        <w:rPr>
          <w:sz w:val="20"/>
          <w:szCs w:val="20"/>
          <w:vertAlign w:val="superscript"/>
        </w:rPr>
        <w:t>8</w:t>
      </w:r>
      <w:r w:rsidRPr="00AF7F5D">
        <w:rPr>
          <w:sz w:val="20"/>
          <w:szCs w:val="20"/>
        </w:rPr>
        <w:t xml:space="preserve"> Malcolm D Mason,</w:t>
      </w:r>
      <w:r w:rsidRPr="00AF7F5D">
        <w:rPr>
          <w:sz w:val="20"/>
          <w:szCs w:val="20"/>
          <w:vertAlign w:val="superscript"/>
        </w:rPr>
        <w:t>9</w:t>
      </w:r>
      <w:r w:rsidRPr="00AF7F5D">
        <w:rPr>
          <w:sz w:val="20"/>
          <w:szCs w:val="20"/>
        </w:rPr>
        <w:t xml:space="preserve"> Sabine Siesling,</w:t>
      </w:r>
      <w:r w:rsidRPr="00AF7F5D">
        <w:rPr>
          <w:sz w:val="20"/>
          <w:szCs w:val="20"/>
          <w:vertAlign w:val="superscript"/>
        </w:rPr>
        <w:t>2,10</w:t>
      </w:r>
      <w:r w:rsidRPr="00AF7F5D">
        <w:rPr>
          <w:sz w:val="20"/>
          <w:szCs w:val="20"/>
        </w:rPr>
        <w:t xml:space="preserve"> </w:t>
      </w:r>
      <w:r w:rsidRPr="00BA1854">
        <w:rPr>
          <w:sz w:val="20"/>
          <w:szCs w:val="20"/>
        </w:rPr>
        <w:t>Jeannette</w:t>
      </w:r>
      <w:r>
        <w:rPr>
          <w:sz w:val="20"/>
          <w:szCs w:val="20"/>
        </w:rPr>
        <w:t xml:space="preserve"> </w:t>
      </w:r>
      <w:r w:rsidRPr="00AF7F5D">
        <w:rPr>
          <w:sz w:val="20"/>
          <w:szCs w:val="20"/>
        </w:rPr>
        <w:t>G van Manen,</w:t>
      </w:r>
      <w:r w:rsidRPr="00AF7F5D">
        <w:rPr>
          <w:sz w:val="20"/>
          <w:szCs w:val="20"/>
          <w:vertAlign w:val="superscript"/>
        </w:rPr>
        <w:t>2</w:t>
      </w:r>
      <w:r w:rsidRPr="00AF7F5D">
        <w:rPr>
          <w:sz w:val="20"/>
          <w:szCs w:val="20"/>
        </w:rPr>
        <w:t xml:space="preserve"> Adam W Glaser,</w:t>
      </w:r>
      <w:r w:rsidRPr="00AF7F5D">
        <w:rPr>
          <w:sz w:val="20"/>
          <w:szCs w:val="20"/>
          <w:vertAlign w:val="superscript"/>
        </w:rPr>
        <w:t>4,5**</w:t>
      </w:r>
      <w:r w:rsidRPr="00AF7F5D">
        <w:rPr>
          <w:sz w:val="20"/>
          <w:szCs w:val="20"/>
        </w:rPr>
        <w:t xml:space="preserve"> Anna Gavin</w:t>
      </w:r>
      <w:r w:rsidRPr="00AF7F5D">
        <w:rPr>
          <w:sz w:val="20"/>
          <w:szCs w:val="20"/>
          <w:vertAlign w:val="superscript"/>
        </w:rPr>
        <w:t>1**</w:t>
      </w:r>
    </w:p>
    <w:p w14:paraId="00E1E923" w14:textId="77777777" w:rsidR="00CB792E" w:rsidRDefault="00CB792E" w:rsidP="00CB792E">
      <w:pPr>
        <w:pStyle w:val="NoSpacing"/>
      </w:pPr>
    </w:p>
    <w:p w14:paraId="75B991CB" w14:textId="77777777" w:rsidR="00CB792E" w:rsidRPr="00B7357B" w:rsidRDefault="00CB792E" w:rsidP="00CB792E">
      <w:pPr>
        <w:pStyle w:val="ListParagraph"/>
        <w:numPr>
          <w:ilvl w:val="0"/>
          <w:numId w:val="1"/>
        </w:numPr>
        <w:spacing w:line="240" w:lineRule="auto"/>
        <w:ind w:left="340" w:hanging="340"/>
        <w:jc w:val="left"/>
        <w:rPr>
          <w:sz w:val="20"/>
          <w:szCs w:val="20"/>
        </w:rPr>
      </w:pPr>
      <w:r w:rsidRPr="00B7357B">
        <w:rPr>
          <w:sz w:val="20"/>
          <w:szCs w:val="20"/>
        </w:rPr>
        <w:t>Northern Ireland Cancer Registry</w:t>
      </w:r>
      <w:r>
        <w:rPr>
          <w:sz w:val="20"/>
          <w:szCs w:val="20"/>
        </w:rPr>
        <w:t>,</w:t>
      </w:r>
      <w:r w:rsidRPr="00B7357B">
        <w:rPr>
          <w:sz w:val="20"/>
          <w:szCs w:val="20"/>
        </w:rPr>
        <w:t xml:space="preserve"> Centre for Public Health, Queen's University Belfast</w:t>
      </w:r>
      <w:r>
        <w:rPr>
          <w:sz w:val="20"/>
          <w:szCs w:val="20"/>
        </w:rPr>
        <w:t xml:space="preserve">, Belfast, </w:t>
      </w:r>
      <w:r w:rsidRPr="00B7357B">
        <w:rPr>
          <w:sz w:val="20"/>
          <w:szCs w:val="20"/>
        </w:rPr>
        <w:t xml:space="preserve"> </w:t>
      </w:r>
      <w:r>
        <w:rPr>
          <w:sz w:val="20"/>
          <w:szCs w:val="20"/>
        </w:rPr>
        <w:t>Northern Ireland</w:t>
      </w:r>
    </w:p>
    <w:p w14:paraId="6B1B0DC8" w14:textId="77777777" w:rsidR="00CB792E" w:rsidRPr="00B7357B" w:rsidRDefault="00CB792E" w:rsidP="00CB792E">
      <w:pPr>
        <w:pStyle w:val="ListParagraph"/>
        <w:numPr>
          <w:ilvl w:val="0"/>
          <w:numId w:val="1"/>
        </w:numPr>
        <w:spacing w:line="240" w:lineRule="auto"/>
        <w:ind w:left="340" w:hanging="340"/>
        <w:jc w:val="left"/>
        <w:rPr>
          <w:sz w:val="20"/>
          <w:szCs w:val="20"/>
        </w:rPr>
      </w:pPr>
      <w:r w:rsidRPr="00B7357B">
        <w:rPr>
          <w:sz w:val="20"/>
          <w:szCs w:val="20"/>
        </w:rPr>
        <w:t>Department Health Technology &amp; Services Research, University of Twente, Enschede, The Netherlands</w:t>
      </w:r>
    </w:p>
    <w:p w14:paraId="07ECB2C3" w14:textId="77777777" w:rsidR="00CB792E" w:rsidRPr="00B7357B" w:rsidRDefault="00CB792E" w:rsidP="00CB792E">
      <w:pPr>
        <w:pStyle w:val="ListParagraph"/>
        <w:numPr>
          <w:ilvl w:val="0"/>
          <w:numId w:val="1"/>
        </w:numPr>
        <w:spacing w:line="240" w:lineRule="auto"/>
        <w:ind w:left="340" w:hanging="340"/>
        <w:jc w:val="left"/>
        <w:rPr>
          <w:sz w:val="20"/>
          <w:szCs w:val="20"/>
        </w:rPr>
      </w:pPr>
      <w:r w:rsidRPr="00B7357B">
        <w:rPr>
          <w:sz w:val="20"/>
          <w:szCs w:val="20"/>
        </w:rPr>
        <w:t>Institute of Health &amp; Society, Newcastle Uni</w:t>
      </w:r>
      <w:r>
        <w:rPr>
          <w:sz w:val="20"/>
          <w:szCs w:val="20"/>
        </w:rPr>
        <w:t>versity, Newcastle-upon-Tyne, England</w:t>
      </w:r>
    </w:p>
    <w:p w14:paraId="1E92951E" w14:textId="77777777" w:rsidR="00CB792E" w:rsidRPr="00B7357B" w:rsidRDefault="00CB792E" w:rsidP="00CB792E">
      <w:pPr>
        <w:pStyle w:val="ListParagraph"/>
        <w:numPr>
          <w:ilvl w:val="0"/>
          <w:numId w:val="1"/>
        </w:numPr>
        <w:spacing w:line="240" w:lineRule="auto"/>
        <w:ind w:left="340" w:hanging="340"/>
        <w:jc w:val="left"/>
        <w:rPr>
          <w:sz w:val="20"/>
          <w:szCs w:val="20"/>
        </w:rPr>
      </w:pPr>
      <w:r w:rsidRPr="00B7357B">
        <w:rPr>
          <w:sz w:val="20"/>
          <w:szCs w:val="20"/>
        </w:rPr>
        <w:t xml:space="preserve">Leeds Institute of </w:t>
      </w:r>
      <w:r>
        <w:rPr>
          <w:sz w:val="20"/>
          <w:szCs w:val="20"/>
        </w:rPr>
        <w:t>Medical Research at St James’s</w:t>
      </w:r>
      <w:r w:rsidRPr="00B7357B">
        <w:rPr>
          <w:sz w:val="20"/>
          <w:szCs w:val="20"/>
        </w:rPr>
        <w:t xml:space="preserve">, University of Leeds, Leeds, </w:t>
      </w:r>
      <w:r>
        <w:rPr>
          <w:sz w:val="20"/>
          <w:szCs w:val="20"/>
        </w:rPr>
        <w:t>England</w:t>
      </w:r>
    </w:p>
    <w:p w14:paraId="786F752A" w14:textId="77777777" w:rsidR="00CB792E" w:rsidRPr="00B7357B" w:rsidRDefault="00CB792E" w:rsidP="00CB792E">
      <w:pPr>
        <w:pStyle w:val="ListParagraph"/>
        <w:numPr>
          <w:ilvl w:val="0"/>
          <w:numId w:val="1"/>
        </w:numPr>
        <w:spacing w:line="240" w:lineRule="auto"/>
        <w:ind w:left="340" w:hanging="340"/>
        <w:jc w:val="left"/>
        <w:rPr>
          <w:sz w:val="20"/>
          <w:szCs w:val="20"/>
        </w:rPr>
      </w:pPr>
      <w:r w:rsidRPr="00B7357B">
        <w:rPr>
          <w:sz w:val="20"/>
          <w:szCs w:val="20"/>
        </w:rPr>
        <w:t xml:space="preserve">Leeds Institute of Data Analytics, University of Leeds, Leeds, </w:t>
      </w:r>
      <w:r>
        <w:rPr>
          <w:sz w:val="20"/>
          <w:szCs w:val="20"/>
        </w:rPr>
        <w:t>England</w:t>
      </w:r>
    </w:p>
    <w:p w14:paraId="66EEC138" w14:textId="77777777" w:rsidR="00CB792E" w:rsidRPr="00B7357B" w:rsidRDefault="00CB792E" w:rsidP="00CB792E">
      <w:pPr>
        <w:pStyle w:val="ListParagraph"/>
        <w:numPr>
          <w:ilvl w:val="0"/>
          <w:numId w:val="1"/>
        </w:numPr>
        <w:spacing w:line="240" w:lineRule="auto"/>
        <w:ind w:left="340" w:hanging="340"/>
        <w:jc w:val="left"/>
        <w:rPr>
          <w:sz w:val="20"/>
          <w:szCs w:val="20"/>
        </w:rPr>
      </w:pPr>
      <w:r w:rsidRPr="00B7357B">
        <w:rPr>
          <w:sz w:val="20"/>
          <w:szCs w:val="20"/>
        </w:rPr>
        <w:t xml:space="preserve">Department of Midwifery, Community and Public Health, School of Nursing and Midwifery, Oxford </w:t>
      </w:r>
      <w:r>
        <w:rPr>
          <w:sz w:val="20"/>
          <w:szCs w:val="20"/>
        </w:rPr>
        <w:t>B</w:t>
      </w:r>
      <w:r w:rsidRPr="00B7357B">
        <w:rPr>
          <w:sz w:val="20"/>
          <w:szCs w:val="20"/>
        </w:rPr>
        <w:t>rookes University, Oxford, England</w:t>
      </w:r>
    </w:p>
    <w:p w14:paraId="70777003" w14:textId="77777777" w:rsidR="00CB792E" w:rsidRPr="00B7357B" w:rsidRDefault="00CB792E" w:rsidP="00CB792E">
      <w:pPr>
        <w:pStyle w:val="ListParagraph"/>
        <w:numPr>
          <w:ilvl w:val="0"/>
          <w:numId w:val="1"/>
        </w:numPr>
        <w:spacing w:line="240" w:lineRule="auto"/>
        <w:ind w:left="340" w:hanging="340"/>
        <w:jc w:val="left"/>
        <w:rPr>
          <w:sz w:val="20"/>
          <w:szCs w:val="20"/>
        </w:rPr>
      </w:pPr>
      <w:r w:rsidRPr="00B7357B">
        <w:rPr>
          <w:sz w:val="20"/>
          <w:szCs w:val="20"/>
        </w:rPr>
        <w:t>Faculty of Health Sciences, University of Southampton, Southampton, England</w:t>
      </w:r>
    </w:p>
    <w:p w14:paraId="311107CB" w14:textId="77777777" w:rsidR="00CB792E" w:rsidRPr="00B7357B" w:rsidRDefault="00CB792E" w:rsidP="00CB792E">
      <w:pPr>
        <w:pStyle w:val="ListParagraph"/>
        <w:numPr>
          <w:ilvl w:val="0"/>
          <w:numId w:val="1"/>
        </w:numPr>
        <w:spacing w:line="240" w:lineRule="auto"/>
        <w:ind w:left="340" w:hanging="340"/>
        <w:jc w:val="left"/>
        <w:rPr>
          <w:sz w:val="20"/>
          <w:szCs w:val="20"/>
        </w:rPr>
      </w:pPr>
      <w:r w:rsidRPr="00B7357B">
        <w:rPr>
          <w:sz w:val="20"/>
          <w:szCs w:val="20"/>
        </w:rPr>
        <w:t>Department of Urology, St James’s University Hospital, Leeds, England</w:t>
      </w:r>
    </w:p>
    <w:p w14:paraId="7564D561" w14:textId="77777777" w:rsidR="00CB792E" w:rsidRDefault="00CB792E" w:rsidP="00CB792E">
      <w:pPr>
        <w:pStyle w:val="ListParagraph"/>
        <w:numPr>
          <w:ilvl w:val="0"/>
          <w:numId w:val="1"/>
        </w:numPr>
        <w:spacing w:line="240" w:lineRule="auto"/>
        <w:ind w:left="340" w:hanging="340"/>
        <w:jc w:val="left"/>
        <w:rPr>
          <w:sz w:val="20"/>
          <w:szCs w:val="20"/>
        </w:rPr>
      </w:pPr>
      <w:r w:rsidRPr="00B7357B">
        <w:rPr>
          <w:sz w:val="20"/>
          <w:szCs w:val="20"/>
        </w:rPr>
        <w:t>Division of Cancer and Genetics, School of Medicine, Cardiff University, Cardiff, Wales</w:t>
      </w:r>
    </w:p>
    <w:p w14:paraId="385AD3E3" w14:textId="77777777" w:rsidR="00CB792E" w:rsidRPr="00AF7F5D" w:rsidRDefault="00CB792E" w:rsidP="00CB792E">
      <w:pPr>
        <w:pStyle w:val="ListParagraph"/>
        <w:numPr>
          <w:ilvl w:val="0"/>
          <w:numId w:val="1"/>
        </w:numPr>
        <w:spacing w:line="240" w:lineRule="auto"/>
        <w:ind w:left="340" w:hanging="340"/>
        <w:jc w:val="left"/>
        <w:rPr>
          <w:sz w:val="20"/>
          <w:szCs w:val="20"/>
        </w:rPr>
      </w:pPr>
      <w:r w:rsidRPr="00AF7F5D">
        <w:rPr>
          <w:sz w:val="20"/>
          <w:szCs w:val="20"/>
        </w:rPr>
        <w:t xml:space="preserve">Netherlands Comprehensive Cancer Organisation, Utrecht, The Netherlands </w:t>
      </w:r>
    </w:p>
    <w:p w14:paraId="0F7F89CE" w14:textId="77777777" w:rsidR="00CB792E" w:rsidRPr="00B7357B" w:rsidRDefault="00CB792E" w:rsidP="00CB792E">
      <w:pPr>
        <w:spacing w:line="240" w:lineRule="auto"/>
        <w:rPr>
          <w:sz w:val="20"/>
          <w:szCs w:val="20"/>
        </w:rPr>
      </w:pPr>
    </w:p>
    <w:p w14:paraId="2AD64B40" w14:textId="77777777" w:rsidR="00CB792E" w:rsidRPr="00B7357B" w:rsidRDefault="00CB792E" w:rsidP="00CB792E">
      <w:pPr>
        <w:spacing w:line="240" w:lineRule="auto"/>
        <w:rPr>
          <w:sz w:val="20"/>
          <w:szCs w:val="20"/>
        </w:rPr>
      </w:pPr>
      <w:r w:rsidRPr="00B7357B">
        <w:rPr>
          <w:sz w:val="20"/>
          <w:szCs w:val="20"/>
        </w:rPr>
        <w:t>* David Donnelly and Linda Vis are joint first authors.</w:t>
      </w:r>
    </w:p>
    <w:p w14:paraId="7A119E8D" w14:textId="77777777" w:rsidR="00CB792E" w:rsidRDefault="00CB792E" w:rsidP="00CB792E">
      <w:pPr>
        <w:spacing w:line="240" w:lineRule="auto"/>
      </w:pPr>
      <w:r w:rsidRPr="00B7357B">
        <w:rPr>
          <w:sz w:val="20"/>
          <w:szCs w:val="20"/>
        </w:rPr>
        <w:t>** Anna Gavin and Adam W Glaser are joint senior authors.</w:t>
      </w:r>
    </w:p>
    <w:p w14:paraId="10FC924B" w14:textId="77777777" w:rsidR="00CB792E" w:rsidRDefault="00CB792E" w:rsidP="00CB792E"/>
    <w:p w14:paraId="4484FF84" w14:textId="77777777" w:rsidR="00CB792E" w:rsidRPr="00AF7F5D" w:rsidRDefault="00CB792E" w:rsidP="00CB792E">
      <w:pPr>
        <w:pStyle w:val="NoSpacing"/>
        <w:rPr>
          <w:sz w:val="20"/>
          <w:szCs w:val="20"/>
        </w:rPr>
      </w:pPr>
      <w:r w:rsidRPr="003E79A5">
        <w:rPr>
          <w:b/>
          <w:sz w:val="20"/>
          <w:szCs w:val="20"/>
        </w:rPr>
        <w:t>Correspondence:</w:t>
      </w:r>
      <w:r w:rsidRPr="00AF7F5D">
        <w:rPr>
          <w:sz w:val="20"/>
          <w:szCs w:val="20"/>
        </w:rPr>
        <w:t xml:space="preserve"> David Donnelly, Northern Ireland Cancer Registry, Centre for Public Health, Queen’s University Belfast, Mulhouse Building, Grosvenor Road, Belfast BT12 6DP, Northern Ireland, UK. E-mail: david.donnelly@qub.ac.uk</w:t>
      </w:r>
    </w:p>
    <w:p w14:paraId="3D4B549A" w14:textId="77777777" w:rsidR="00CB792E" w:rsidRPr="00AF7F5D" w:rsidRDefault="00CB792E" w:rsidP="00CB792E">
      <w:pPr>
        <w:pStyle w:val="NoSpacing"/>
        <w:rPr>
          <w:sz w:val="20"/>
          <w:szCs w:val="20"/>
        </w:rPr>
      </w:pPr>
    </w:p>
    <w:p w14:paraId="0DF97622" w14:textId="77777777" w:rsidR="003E79A5" w:rsidRDefault="003E79A5" w:rsidP="003E79A5">
      <w:pPr>
        <w:pStyle w:val="NoSpacing"/>
        <w:rPr>
          <w:sz w:val="20"/>
          <w:szCs w:val="20"/>
        </w:rPr>
      </w:pPr>
    </w:p>
    <w:p w14:paraId="70E6A849" w14:textId="77777777" w:rsidR="003E79A5" w:rsidRPr="00AF7F5D" w:rsidRDefault="003E79A5" w:rsidP="003E79A5">
      <w:pPr>
        <w:pStyle w:val="NoSpacing"/>
        <w:rPr>
          <w:sz w:val="20"/>
          <w:szCs w:val="20"/>
        </w:rPr>
      </w:pPr>
      <w:bookmarkStart w:id="0" w:name="_GoBack"/>
      <w:bookmarkEnd w:id="0"/>
      <w:r>
        <w:rPr>
          <w:b/>
          <w:sz w:val="20"/>
          <w:szCs w:val="20"/>
        </w:rPr>
        <w:t>A</w:t>
      </w:r>
      <w:r w:rsidRPr="00AF7F5D">
        <w:rPr>
          <w:b/>
          <w:sz w:val="20"/>
          <w:szCs w:val="20"/>
        </w:rPr>
        <w:t>bstract:</w:t>
      </w:r>
      <w:r w:rsidRPr="00AF7F5D">
        <w:rPr>
          <w:sz w:val="20"/>
          <w:szCs w:val="20"/>
        </w:rPr>
        <w:t xml:space="preserve"> </w:t>
      </w:r>
      <w:r>
        <w:rPr>
          <w:sz w:val="20"/>
          <w:szCs w:val="20"/>
        </w:rPr>
        <w:t>244</w:t>
      </w:r>
      <w:r w:rsidRPr="00AF7F5D">
        <w:rPr>
          <w:sz w:val="20"/>
          <w:szCs w:val="20"/>
        </w:rPr>
        <w:t xml:space="preserve"> words</w:t>
      </w:r>
    </w:p>
    <w:p w14:paraId="5BD2DE32" w14:textId="49C13C08" w:rsidR="003E79A5" w:rsidRPr="00AF7F5D" w:rsidRDefault="003E79A5" w:rsidP="003E79A5">
      <w:pPr>
        <w:pStyle w:val="NoSpacing"/>
        <w:rPr>
          <w:sz w:val="20"/>
          <w:szCs w:val="20"/>
        </w:rPr>
      </w:pPr>
      <w:r w:rsidRPr="00AF7F5D">
        <w:rPr>
          <w:b/>
          <w:sz w:val="20"/>
          <w:szCs w:val="20"/>
        </w:rPr>
        <w:t>Word count:</w:t>
      </w:r>
      <w:r w:rsidRPr="00AF7F5D">
        <w:rPr>
          <w:sz w:val="20"/>
          <w:szCs w:val="20"/>
        </w:rPr>
        <w:t xml:space="preserve">  </w:t>
      </w:r>
      <w:r w:rsidR="001C0707">
        <w:rPr>
          <w:sz w:val="20"/>
          <w:szCs w:val="20"/>
        </w:rPr>
        <w:t>2,7</w:t>
      </w:r>
      <w:r w:rsidR="007473DB">
        <w:rPr>
          <w:sz w:val="20"/>
          <w:szCs w:val="20"/>
        </w:rPr>
        <w:t>52</w:t>
      </w:r>
      <w:r>
        <w:rPr>
          <w:sz w:val="20"/>
          <w:szCs w:val="20"/>
        </w:rPr>
        <w:t xml:space="preserve"> </w:t>
      </w:r>
      <w:r w:rsidRPr="00AF7F5D">
        <w:rPr>
          <w:sz w:val="20"/>
          <w:szCs w:val="20"/>
        </w:rPr>
        <w:t>words</w:t>
      </w:r>
    </w:p>
    <w:p w14:paraId="43A310BC" w14:textId="77777777" w:rsidR="003E79A5" w:rsidRDefault="003E79A5" w:rsidP="00F12F06">
      <w:pPr>
        <w:pStyle w:val="Heading2"/>
        <w:sectPr w:rsidR="003E79A5" w:rsidSect="0003576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p>
    <w:p w14:paraId="61C5DDB4" w14:textId="77777777" w:rsidR="00CB792E" w:rsidRDefault="00CB792E" w:rsidP="00F12F06">
      <w:pPr>
        <w:pStyle w:val="Heading2"/>
      </w:pPr>
      <w:r w:rsidRPr="00F12F06">
        <w:lastRenderedPageBreak/>
        <w:t>Abstract</w:t>
      </w:r>
      <w:r>
        <w:tab/>
      </w:r>
    </w:p>
    <w:p w14:paraId="7ED72152" w14:textId="7CB928E6" w:rsidR="00AD7E8F" w:rsidRDefault="00AD7E8F" w:rsidP="00AD7E8F">
      <w:r>
        <w:rPr>
          <w:b/>
        </w:rPr>
        <w:t>Background</w:t>
      </w:r>
      <w:r w:rsidRPr="00AF7F5D">
        <w:rPr>
          <w:b/>
        </w:rPr>
        <w:t>:</w:t>
      </w:r>
      <w:r>
        <w:t xml:space="preserve"> Quality of </w:t>
      </w:r>
      <w:r w:rsidR="00D04265">
        <w:t>life</w:t>
      </w:r>
      <w:r>
        <w:t xml:space="preserve"> among prostate cancer survivors </w:t>
      </w:r>
      <w:r w:rsidR="00913721">
        <w:t>varies</w:t>
      </w:r>
      <w:r>
        <w:t xml:space="preserve"> by socio-demographic factors and treatment type received; however, less in known about differences in functional outcomes by method of presentation. We investigate differences in reported urinary, bowel, sexual and hormone-related problems between symptomatic and PSA-detected prostate cancer survivors.</w:t>
      </w:r>
    </w:p>
    <w:p w14:paraId="1E264C50" w14:textId="77777777" w:rsidR="00CB792E" w:rsidRDefault="00CB792E" w:rsidP="00CB792E"/>
    <w:p w14:paraId="3E4A66EA" w14:textId="77777777" w:rsidR="00CB792E" w:rsidRDefault="00666116" w:rsidP="00CB792E">
      <w:r>
        <w:rPr>
          <w:b/>
        </w:rPr>
        <w:t>M</w:t>
      </w:r>
      <w:r w:rsidR="00CB792E" w:rsidRPr="00AF7F5D">
        <w:rPr>
          <w:b/>
        </w:rPr>
        <w:t>ethods:</w:t>
      </w:r>
      <w:r w:rsidR="00CB792E">
        <w:t xml:space="preserve"> A UK wide cross-sectional postal survey of prostate cancer survivors conducted 18-42 months post-diagnosis. Questions were included on presentation method and treatment. </w:t>
      </w:r>
      <w:r>
        <w:t>F</w:t>
      </w:r>
      <w:r w:rsidR="00CB792E">
        <w:t>unction</w:t>
      </w:r>
      <w:r>
        <w:t>al outcome</w:t>
      </w:r>
      <w:r w:rsidR="00CB792E">
        <w:t xml:space="preserve"> was determined using the EPIC-26 questionnaire. Reported outcomes were compared for symptomatic and PSA-detected survivors using ANOVA and multivariable log-linear regression. </w:t>
      </w:r>
    </w:p>
    <w:p w14:paraId="475AEE48" w14:textId="77777777" w:rsidR="00CB792E" w:rsidRDefault="00CB792E" w:rsidP="00CB792E"/>
    <w:p w14:paraId="067420BE" w14:textId="77777777" w:rsidR="00CB792E" w:rsidRDefault="00CB792E" w:rsidP="00666116">
      <w:r w:rsidRPr="00AF7F5D">
        <w:rPr>
          <w:b/>
        </w:rPr>
        <w:t>Results:</w:t>
      </w:r>
      <w:r>
        <w:t xml:space="preserve"> 35,823 men responded (response rate: 60.8%). Of these, 31.3% reported presenting via PSA test and 59.7% symptomatically. In multivariable analysis, symptomatic men reported more difficulty with urinary incontinence (Adjusted mean ratio (AMR): 0.96, 95% CI: 0.96-0.97), urinary irritation (AMR: 0.95, 95% CI: 0.95-0.96), bowel function (AMR: 0.97, 95% CI: 0.97-0.98), sexual function (AMR: 0.90, 95% CI: 0.88-0.92), and vitality/hormonal function (AMR: 0.96, 95% CI: 0</w:t>
      </w:r>
      <w:r w:rsidR="00666116">
        <w:t xml:space="preserve">.96-0.96) than PSA-detected men. Differences were consistent across respondents of differing age, stage, Gleason score and treatment type. </w:t>
      </w:r>
    </w:p>
    <w:p w14:paraId="3018D1AC" w14:textId="77777777" w:rsidR="00CB792E" w:rsidRDefault="00CB792E" w:rsidP="00CB792E"/>
    <w:p w14:paraId="43307340" w14:textId="7F62D815" w:rsidR="00913721" w:rsidRDefault="00CB792E" w:rsidP="00CB792E">
      <w:r w:rsidRPr="00AF7F5D">
        <w:rPr>
          <w:b/>
        </w:rPr>
        <w:t>Conclusion:</w:t>
      </w:r>
      <w:r>
        <w:t xml:space="preserve"> Prostate cancer survivors presenting symptomatically report poorer </w:t>
      </w:r>
      <w:r w:rsidR="00666116">
        <w:t>functional outcomes</w:t>
      </w:r>
      <w:r>
        <w:t xml:space="preserve"> than PSA-detected survivors. Differences were not explained by socio-demographic or clinical factors. </w:t>
      </w:r>
      <w:r w:rsidR="00913721">
        <w:t xml:space="preserve">Clinicians should be aware that men presenting </w:t>
      </w:r>
      <w:r w:rsidR="00913721">
        <w:lastRenderedPageBreak/>
        <w:t xml:space="preserve">with symptoms are more likely to report functional difficulties after prostate cancer treatment and </w:t>
      </w:r>
      <w:r>
        <w:t>may need additional aftercare if</w:t>
      </w:r>
      <w:r w:rsidR="00207AD8">
        <w:t xml:space="preserve"> these</w:t>
      </w:r>
      <w:r>
        <w:t xml:space="preserve"> difficulties persist. Method of presentation should be </w:t>
      </w:r>
      <w:r w:rsidR="00913721">
        <w:t xml:space="preserve">considered </w:t>
      </w:r>
      <w:r>
        <w:t xml:space="preserve">as a covariate in </w:t>
      </w:r>
      <w:r w:rsidR="00BE3ABE">
        <w:t>patient-</w:t>
      </w:r>
      <w:r>
        <w:t>reported outcome studies of prostate cancer.</w:t>
      </w:r>
    </w:p>
    <w:p w14:paraId="34C227D5" w14:textId="77777777" w:rsidR="00CB792E" w:rsidRDefault="00CB792E" w:rsidP="00CB792E">
      <w:r>
        <w:t xml:space="preserve"> </w:t>
      </w:r>
    </w:p>
    <w:p w14:paraId="177ED818" w14:textId="0E08942B" w:rsidR="00CB792E" w:rsidRDefault="00A36BA3" w:rsidP="00A36BA3">
      <w:pPr>
        <w:pStyle w:val="NoSpacing"/>
        <w:spacing w:line="480" w:lineRule="auto"/>
      </w:pPr>
      <w:r w:rsidRPr="00A36BA3">
        <w:rPr>
          <w:b/>
        </w:rPr>
        <w:t>Key words:</w:t>
      </w:r>
      <w:r w:rsidRPr="00A36BA3">
        <w:t xml:space="preserve"> prostate cancer, PSA, symptoms, presentation, </w:t>
      </w:r>
      <w:r w:rsidR="00BE3ABE" w:rsidRPr="00A36BA3">
        <w:t>patient</w:t>
      </w:r>
      <w:r w:rsidR="00BE3ABE">
        <w:t>-</w:t>
      </w:r>
      <w:r w:rsidRPr="00A36BA3">
        <w:t>reported outcomes</w:t>
      </w:r>
      <w:r>
        <w:t>, quality of life</w:t>
      </w:r>
    </w:p>
    <w:p w14:paraId="6FEC59E8" w14:textId="77777777" w:rsidR="00807228" w:rsidRDefault="00807228" w:rsidP="00A36BA3">
      <w:pPr>
        <w:pStyle w:val="NoSpacing"/>
        <w:spacing w:line="480" w:lineRule="auto"/>
      </w:pPr>
    </w:p>
    <w:p w14:paraId="66DFA23E" w14:textId="77777777" w:rsidR="00807228" w:rsidRDefault="00807228" w:rsidP="00A36BA3">
      <w:pPr>
        <w:pStyle w:val="NoSpacing"/>
        <w:spacing w:line="480" w:lineRule="auto"/>
        <w:sectPr w:rsidR="00807228" w:rsidSect="007473DB">
          <w:pgSz w:w="11906" w:h="16838"/>
          <w:pgMar w:top="1440" w:right="1440" w:bottom="1440" w:left="1440" w:header="709" w:footer="709" w:gutter="0"/>
          <w:cols w:space="708"/>
          <w:docGrid w:linePitch="360"/>
        </w:sectPr>
      </w:pPr>
    </w:p>
    <w:p w14:paraId="7834CFA8" w14:textId="77777777" w:rsidR="00CB792E" w:rsidRDefault="009A62FA" w:rsidP="00F12F06">
      <w:pPr>
        <w:pStyle w:val="Heading2"/>
      </w:pPr>
      <w:r>
        <w:lastRenderedPageBreak/>
        <w:t>Background</w:t>
      </w:r>
    </w:p>
    <w:p w14:paraId="1D0F500D" w14:textId="615EE6D8" w:rsidR="00CB792E" w:rsidRDefault="00CB792E" w:rsidP="00CB792E">
      <w:r>
        <w:t>Prostate cancer is the most commonly diagnosed cancer among men from Western countries and the second most common cancer among men worldwide</w:t>
      </w:r>
      <w:r w:rsidR="00726E5E">
        <w:t>.</w:t>
      </w:r>
      <w:r w:rsidRPr="00726E5E">
        <w:rPr>
          <w:vertAlign w:val="superscript"/>
        </w:rPr>
        <w:fldChar w:fldCharType="begin"/>
      </w:r>
      <w:r w:rsidRPr="00726E5E">
        <w:rPr>
          <w:vertAlign w:val="superscript"/>
        </w:rPr>
        <w:instrText xml:space="preserve"> REF _Ref527377834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1</w:t>
      </w:r>
      <w:r w:rsidRPr="00726E5E">
        <w:rPr>
          <w:vertAlign w:val="superscript"/>
        </w:rPr>
        <w:fldChar w:fldCharType="end"/>
      </w:r>
      <w:proofErr w:type="gramStart"/>
      <w:r w:rsidRPr="00726E5E">
        <w:rPr>
          <w:vertAlign w:val="superscript"/>
        </w:rPr>
        <w:t>,</w:t>
      </w:r>
      <w:proofErr w:type="gramEnd"/>
      <w:r w:rsidRPr="00726E5E">
        <w:rPr>
          <w:vertAlign w:val="superscript"/>
        </w:rPr>
        <w:fldChar w:fldCharType="begin"/>
      </w:r>
      <w:r w:rsidRPr="00726E5E">
        <w:rPr>
          <w:vertAlign w:val="superscript"/>
        </w:rPr>
        <w:instrText xml:space="preserve"> REF _Ref527377835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2</w:t>
      </w:r>
      <w:r w:rsidRPr="00726E5E">
        <w:rPr>
          <w:vertAlign w:val="superscript"/>
        </w:rPr>
        <w:fldChar w:fldCharType="end"/>
      </w:r>
      <w:r>
        <w:t xml:space="preserve"> The overwhelming majority of men diagnosed with prostate cancer either present symptomatically to a clinician or by a prostate specific antigen (PSA) test as part of a general/private health check</w:t>
      </w:r>
      <w:r w:rsidR="00726E5E">
        <w:t>.</w:t>
      </w:r>
      <w:r w:rsidRPr="00726E5E">
        <w:rPr>
          <w:vertAlign w:val="superscript"/>
        </w:rPr>
        <w:fldChar w:fldCharType="begin"/>
      </w:r>
      <w:r w:rsidRPr="00726E5E">
        <w:rPr>
          <w:vertAlign w:val="superscript"/>
        </w:rPr>
        <w:instrText xml:space="preserve"> REF _Ref527377846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3</w:t>
      </w:r>
      <w:r w:rsidRPr="00726E5E">
        <w:rPr>
          <w:vertAlign w:val="superscript"/>
        </w:rPr>
        <w:fldChar w:fldCharType="end"/>
      </w:r>
      <w:r>
        <w:t xml:space="preserve"> Controversy exists regarding the PSA test as a screening test for prostate cancer, with conflicting conclusions regarding the test’s ability to lower prostate cancer related mortality</w:t>
      </w:r>
      <w:r w:rsidR="00726E5E">
        <w:t>.</w:t>
      </w:r>
      <w:r w:rsidR="00E37AA3" w:rsidRPr="00E37AA3">
        <w:rPr>
          <w:vertAlign w:val="superscript"/>
        </w:rPr>
        <w:fldChar w:fldCharType="begin"/>
      </w:r>
      <w:r w:rsidR="00E37AA3" w:rsidRPr="00E37AA3">
        <w:rPr>
          <w:vertAlign w:val="superscript"/>
        </w:rPr>
        <w:instrText xml:space="preserve"> REF _Ref12441113 \r \h </w:instrText>
      </w:r>
      <w:r w:rsidR="00E37AA3">
        <w:rPr>
          <w:vertAlign w:val="superscript"/>
        </w:rPr>
        <w:instrText xml:space="preserve"> \* MERGEFORMAT </w:instrText>
      </w:r>
      <w:r w:rsidR="00E37AA3" w:rsidRPr="00E37AA3">
        <w:rPr>
          <w:vertAlign w:val="superscript"/>
        </w:rPr>
      </w:r>
      <w:r w:rsidR="00E37AA3" w:rsidRPr="00E37AA3">
        <w:rPr>
          <w:vertAlign w:val="superscript"/>
        </w:rPr>
        <w:fldChar w:fldCharType="separate"/>
      </w:r>
      <w:r w:rsidR="00CA5035">
        <w:rPr>
          <w:vertAlign w:val="superscript"/>
        </w:rPr>
        <w:t>4</w:t>
      </w:r>
      <w:r w:rsidR="00E37AA3" w:rsidRPr="00E37AA3">
        <w:rPr>
          <w:vertAlign w:val="superscript"/>
        </w:rPr>
        <w:fldChar w:fldCharType="end"/>
      </w:r>
      <w:r w:rsidR="00E37AA3" w:rsidRPr="00E37AA3">
        <w:rPr>
          <w:vertAlign w:val="superscript"/>
        </w:rPr>
        <w:t>-</w:t>
      </w:r>
      <w:r w:rsidR="00E37AA3">
        <w:rPr>
          <w:vertAlign w:val="superscript"/>
        </w:rPr>
        <w:fldChar w:fldCharType="begin"/>
      </w:r>
      <w:r w:rsidR="00E37AA3">
        <w:rPr>
          <w:vertAlign w:val="superscript"/>
        </w:rPr>
        <w:instrText xml:space="preserve"> REF _Ref13212750 \r \h </w:instrText>
      </w:r>
      <w:r w:rsidR="00E37AA3">
        <w:rPr>
          <w:vertAlign w:val="superscript"/>
        </w:rPr>
      </w:r>
      <w:r w:rsidR="00E37AA3">
        <w:rPr>
          <w:vertAlign w:val="superscript"/>
        </w:rPr>
        <w:fldChar w:fldCharType="separate"/>
      </w:r>
      <w:r w:rsidR="00CA5035">
        <w:rPr>
          <w:vertAlign w:val="superscript"/>
        </w:rPr>
        <w:t>6</w:t>
      </w:r>
      <w:r w:rsidR="00E37AA3">
        <w:rPr>
          <w:vertAlign w:val="superscript"/>
        </w:rPr>
        <w:fldChar w:fldCharType="end"/>
      </w:r>
      <w:r>
        <w:t xml:space="preserve"> </w:t>
      </w:r>
      <w:proofErr w:type="gramStart"/>
      <w:r>
        <w:t>In</w:t>
      </w:r>
      <w:proofErr w:type="gramEnd"/>
      <w:r>
        <w:t xml:space="preserve"> the absence of evidence of the benefits of PSA testing all men aged 50 and over in the UK may have a PSA test if they request it after being made aware of its potential implications</w:t>
      </w:r>
      <w:r w:rsidR="00E66408">
        <w:t>.</w:t>
      </w:r>
      <w:r w:rsidR="00E37AA3" w:rsidRPr="00E37AA3">
        <w:rPr>
          <w:vertAlign w:val="superscript"/>
        </w:rPr>
        <w:fldChar w:fldCharType="begin"/>
      </w:r>
      <w:r w:rsidR="00E37AA3" w:rsidRPr="00E37AA3">
        <w:rPr>
          <w:vertAlign w:val="superscript"/>
        </w:rPr>
        <w:instrText xml:space="preserve"> REF _Ref527377873 \r \h  \* MERGEFORMAT </w:instrText>
      </w:r>
      <w:r w:rsidR="00E37AA3" w:rsidRPr="00E37AA3">
        <w:rPr>
          <w:vertAlign w:val="superscript"/>
        </w:rPr>
      </w:r>
      <w:r w:rsidR="00E37AA3" w:rsidRPr="00E37AA3">
        <w:rPr>
          <w:vertAlign w:val="superscript"/>
        </w:rPr>
        <w:fldChar w:fldCharType="separate"/>
      </w:r>
      <w:r w:rsidR="00CA5035">
        <w:rPr>
          <w:vertAlign w:val="superscript"/>
        </w:rPr>
        <w:t>7</w:t>
      </w:r>
      <w:r w:rsidR="00E37AA3" w:rsidRPr="00E37AA3">
        <w:rPr>
          <w:vertAlign w:val="superscript"/>
        </w:rPr>
        <w:fldChar w:fldCharType="end"/>
      </w:r>
      <w:r w:rsidR="00E37AA3">
        <w:rPr>
          <w:vertAlign w:val="superscript"/>
        </w:rPr>
        <w:t>-</w:t>
      </w:r>
      <w:r w:rsidR="00E37AA3">
        <w:rPr>
          <w:vertAlign w:val="superscript"/>
        </w:rPr>
        <w:fldChar w:fldCharType="begin"/>
      </w:r>
      <w:r w:rsidR="00E37AA3">
        <w:rPr>
          <w:vertAlign w:val="superscript"/>
        </w:rPr>
        <w:instrText xml:space="preserve"> REF _Ref527377875 \r \h </w:instrText>
      </w:r>
      <w:r w:rsidR="00E37AA3">
        <w:rPr>
          <w:vertAlign w:val="superscript"/>
        </w:rPr>
      </w:r>
      <w:r w:rsidR="00E37AA3">
        <w:rPr>
          <w:vertAlign w:val="superscript"/>
        </w:rPr>
        <w:fldChar w:fldCharType="separate"/>
      </w:r>
      <w:r w:rsidR="00CA5035">
        <w:rPr>
          <w:vertAlign w:val="superscript"/>
        </w:rPr>
        <w:t>8</w:t>
      </w:r>
      <w:r w:rsidR="00E37AA3">
        <w:rPr>
          <w:vertAlign w:val="superscript"/>
        </w:rPr>
        <w:fldChar w:fldCharType="end"/>
      </w:r>
      <w:r w:rsidR="006B4B5B">
        <w:t xml:space="preserve"> </w:t>
      </w:r>
      <w:r w:rsidR="001942A0">
        <w:t xml:space="preserve">In England </w:t>
      </w:r>
      <w:r w:rsidR="00E66408">
        <w:t xml:space="preserve"> </w:t>
      </w:r>
      <w:r w:rsidR="00327904">
        <w:t>approximately 9</w:t>
      </w:r>
      <w:r w:rsidR="00E66408">
        <w:t xml:space="preserve"> </w:t>
      </w:r>
      <w:r w:rsidR="0050162D">
        <w:t>out of 100</w:t>
      </w:r>
      <w:r w:rsidR="00327904">
        <w:t xml:space="preserve"> men</w:t>
      </w:r>
      <w:r w:rsidR="0050162D">
        <w:t xml:space="preserve"> </w:t>
      </w:r>
      <w:r w:rsidR="001942A0">
        <w:t>ha</w:t>
      </w:r>
      <w:r w:rsidR="00453294">
        <w:t>ve</w:t>
      </w:r>
      <w:r w:rsidR="00E66408">
        <w:t xml:space="preserve"> a PSA test</w:t>
      </w:r>
      <w:r w:rsidR="001942A0">
        <w:t xml:space="preserve"> each year</w:t>
      </w:r>
      <w:r w:rsidR="00E66408">
        <w:t xml:space="preserve"> (2010</w:t>
      </w:r>
      <w:r w:rsidR="005D2623">
        <w:t>-2011, aged 45-84</w:t>
      </w:r>
      <w:r w:rsidR="00E66408">
        <w:t xml:space="preserve">), </w:t>
      </w:r>
      <w:r w:rsidR="001942A0">
        <w:t>with</w:t>
      </w:r>
      <w:r w:rsidR="00E66408">
        <w:t xml:space="preserve"> only one quarter of these men </w:t>
      </w:r>
      <w:r w:rsidR="001942A0">
        <w:t>having</w:t>
      </w:r>
      <w:r w:rsidR="00E66408">
        <w:t xml:space="preserve"> relevant urinary symptoms</w:t>
      </w:r>
      <w:r w:rsidR="0050162D">
        <w:t xml:space="preserve"> in</w:t>
      </w:r>
      <w:r w:rsidR="00E66408">
        <w:t xml:space="preserve"> the 12 months prior to the test</w:t>
      </w:r>
      <w:r w:rsidR="001942A0">
        <w:t>.</w:t>
      </w:r>
      <w:r w:rsidR="00E37AA3" w:rsidRPr="00E37AA3">
        <w:rPr>
          <w:vertAlign w:val="superscript"/>
        </w:rPr>
        <w:fldChar w:fldCharType="begin"/>
      </w:r>
      <w:r w:rsidR="00E37AA3" w:rsidRPr="00E37AA3">
        <w:rPr>
          <w:vertAlign w:val="superscript"/>
        </w:rPr>
        <w:instrText xml:space="preserve"> REF _Ref12441145 \r \h </w:instrText>
      </w:r>
      <w:r w:rsidR="00E37AA3">
        <w:rPr>
          <w:vertAlign w:val="superscript"/>
        </w:rPr>
        <w:instrText xml:space="preserve"> \* MERGEFORMAT </w:instrText>
      </w:r>
      <w:r w:rsidR="00E37AA3" w:rsidRPr="00E37AA3">
        <w:rPr>
          <w:vertAlign w:val="superscript"/>
        </w:rPr>
      </w:r>
      <w:r w:rsidR="00E37AA3" w:rsidRPr="00E37AA3">
        <w:rPr>
          <w:vertAlign w:val="superscript"/>
        </w:rPr>
        <w:fldChar w:fldCharType="separate"/>
      </w:r>
      <w:r w:rsidR="00CA5035">
        <w:rPr>
          <w:vertAlign w:val="superscript"/>
        </w:rPr>
        <w:t>9</w:t>
      </w:r>
      <w:r w:rsidR="00E37AA3" w:rsidRPr="00E37AA3">
        <w:rPr>
          <w:vertAlign w:val="superscript"/>
        </w:rPr>
        <w:fldChar w:fldCharType="end"/>
      </w:r>
      <w:r w:rsidR="00E66408">
        <w:t xml:space="preserve"> </w:t>
      </w:r>
      <w:r w:rsidR="001942A0">
        <w:t>Of the men</w:t>
      </w:r>
      <w:r w:rsidR="00453294">
        <w:t xml:space="preserve"> having a PSA test for any reason</w:t>
      </w:r>
      <w:r w:rsidR="001942A0">
        <w:t xml:space="preserve"> </w:t>
      </w:r>
      <w:r w:rsidR="00453294">
        <w:t>1</w:t>
      </w:r>
      <w:r w:rsidR="001942A0">
        <w:t>2% were referred to secondary care</w:t>
      </w:r>
      <w:r w:rsidR="00453294">
        <w:t xml:space="preserve"> within 14 days and 4% had a diagnosis of prostate cancer.</w:t>
      </w:r>
      <w:r w:rsidR="00E37AA3" w:rsidRPr="003E3AB6">
        <w:rPr>
          <w:vertAlign w:val="superscript"/>
        </w:rPr>
        <w:fldChar w:fldCharType="begin"/>
      </w:r>
      <w:r w:rsidR="00E37AA3" w:rsidRPr="003E3AB6">
        <w:rPr>
          <w:vertAlign w:val="superscript"/>
        </w:rPr>
        <w:instrText xml:space="preserve"> REF _Ref12441145 \r \h </w:instrText>
      </w:r>
      <w:r w:rsidR="00E37AA3">
        <w:rPr>
          <w:vertAlign w:val="superscript"/>
        </w:rPr>
        <w:instrText xml:space="preserve"> \* MERGEFORMAT </w:instrText>
      </w:r>
      <w:r w:rsidR="00E37AA3" w:rsidRPr="003E3AB6">
        <w:rPr>
          <w:vertAlign w:val="superscript"/>
        </w:rPr>
      </w:r>
      <w:r w:rsidR="00E37AA3" w:rsidRPr="003E3AB6">
        <w:rPr>
          <w:vertAlign w:val="superscript"/>
        </w:rPr>
        <w:fldChar w:fldCharType="separate"/>
      </w:r>
      <w:r w:rsidR="00CA5035">
        <w:rPr>
          <w:vertAlign w:val="superscript"/>
        </w:rPr>
        <w:t>9</w:t>
      </w:r>
      <w:r w:rsidR="00E37AA3" w:rsidRPr="003E3AB6">
        <w:rPr>
          <w:vertAlign w:val="superscript"/>
        </w:rPr>
        <w:fldChar w:fldCharType="end"/>
      </w:r>
      <w:r w:rsidR="00E37AA3">
        <w:t xml:space="preserve"> </w:t>
      </w:r>
      <w:r w:rsidR="00E66408">
        <w:t>Potential implications</w:t>
      </w:r>
      <w:r w:rsidR="00453294">
        <w:t xml:space="preserve"> of </w:t>
      </w:r>
      <w:r w:rsidR="00327904">
        <w:t xml:space="preserve">PSA-testing for </w:t>
      </w:r>
      <w:r w:rsidR="00453294">
        <w:t>asymptomatic prostate cancer</w:t>
      </w:r>
      <w:r w:rsidR="00E66408">
        <w:t xml:space="preserve"> </w:t>
      </w:r>
      <w:r>
        <w:t xml:space="preserve">include the problem that 23-43% of </w:t>
      </w:r>
      <w:r w:rsidR="00453294">
        <w:t>these</w:t>
      </w:r>
      <w:r>
        <w:t xml:space="preserve"> cancers are clinically insignificant, while men with clinically significant disease may be aware of their diagnosis for longer but with no survival benefit</w:t>
      </w:r>
      <w:r w:rsidR="00726E5E">
        <w:t>.</w:t>
      </w:r>
      <w:r w:rsidRPr="00726E5E">
        <w:rPr>
          <w:vertAlign w:val="superscript"/>
        </w:rPr>
        <w:fldChar w:fldCharType="begin"/>
      </w:r>
      <w:r w:rsidRPr="00726E5E">
        <w:rPr>
          <w:vertAlign w:val="superscript"/>
        </w:rPr>
        <w:instrText xml:space="preserve"> REF _Ref527377885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10</w:t>
      </w:r>
      <w:r w:rsidRPr="00726E5E">
        <w:rPr>
          <w:vertAlign w:val="superscript"/>
        </w:rPr>
        <w:fldChar w:fldCharType="end"/>
      </w:r>
      <w:r w:rsidRPr="00726E5E">
        <w:rPr>
          <w:vertAlign w:val="superscript"/>
        </w:rPr>
        <w:t>,</w:t>
      </w:r>
      <w:r w:rsidRPr="00726E5E">
        <w:rPr>
          <w:vertAlign w:val="superscript"/>
        </w:rPr>
        <w:fldChar w:fldCharType="begin"/>
      </w:r>
      <w:r w:rsidRPr="00726E5E">
        <w:rPr>
          <w:vertAlign w:val="superscript"/>
        </w:rPr>
        <w:instrText xml:space="preserve"> REF _Ref527377886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11</w:t>
      </w:r>
      <w:r w:rsidRPr="00726E5E">
        <w:rPr>
          <w:vertAlign w:val="superscript"/>
        </w:rPr>
        <w:fldChar w:fldCharType="end"/>
      </w:r>
      <w:r>
        <w:t xml:space="preserve"> Regardless of these issues all men diagnosed with both PSA-detected and symptomatic prostate cancer have to decide upon monitoring or a course of treatment, the latter of which can be associated with side effects</w:t>
      </w:r>
      <w:r w:rsidR="00726E5E">
        <w:t>.</w:t>
      </w:r>
      <w:r w:rsidR="00E37AA3" w:rsidRPr="00E37AA3">
        <w:rPr>
          <w:vertAlign w:val="superscript"/>
        </w:rPr>
        <w:fldChar w:fldCharType="begin"/>
      </w:r>
      <w:r w:rsidR="00E37AA3" w:rsidRPr="00E37AA3">
        <w:rPr>
          <w:vertAlign w:val="superscript"/>
        </w:rPr>
        <w:instrText xml:space="preserve"> REF _Ref12369459 \r \h  \* MERGEFORMAT </w:instrText>
      </w:r>
      <w:r w:rsidR="00E37AA3" w:rsidRPr="00E37AA3">
        <w:rPr>
          <w:vertAlign w:val="superscript"/>
        </w:rPr>
      </w:r>
      <w:r w:rsidR="00E37AA3" w:rsidRPr="00E37AA3">
        <w:rPr>
          <w:vertAlign w:val="superscript"/>
        </w:rPr>
        <w:fldChar w:fldCharType="separate"/>
      </w:r>
      <w:r w:rsidR="00CA5035">
        <w:rPr>
          <w:vertAlign w:val="superscript"/>
        </w:rPr>
        <w:t>12</w:t>
      </w:r>
      <w:r w:rsidR="00E37AA3" w:rsidRPr="00E37AA3">
        <w:rPr>
          <w:vertAlign w:val="superscript"/>
        </w:rPr>
        <w:fldChar w:fldCharType="end"/>
      </w:r>
      <w:r w:rsidR="00E37AA3">
        <w:rPr>
          <w:vertAlign w:val="superscript"/>
        </w:rPr>
        <w:t>-</w:t>
      </w:r>
      <w:r w:rsidR="00E37AA3" w:rsidRPr="00E37AA3">
        <w:rPr>
          <w:vertAlign w:val="superscript"/>
        </w:rPr>
        <w:fldChar w:fldCharType="begin"/>
      </w:r>
      <w:r w:rsidR="00E37AA3" w:rsidRPr="00E37AA3">
        <w:rPr>
          <w:vertAlign w:val="superscript"/>
        </w:rPr>
        <w:instrText xml:space="preserve"> REF _Ref12432102 \r \h  \* MERGEFORMAT </w:instrText>
      </w:r>
      <w:r w:rsidR="00E37AA3" w:rsidRPr="00E37AA3">
        <w:rPr>
          <w:vertAlign w:val="superscript"/>
        </w:rPr>
      </w:r>
      <w:r w:rsidR="00E37AA3" w:rsidRPr="00E37AA3">
        <w:rPr>
          <w:vertAlign w:val="superscript"/>
        </w:rPr>
        <w:fldChar w:fldCharType="separate"/>
      </w:r>
      <w:r w:rsidR="00CA5035">
        <w:rPr>
          <w:vertAlign w:val="superscript"/>
        </w:rPr>
        <w:t>16</w:t>
      </w:r>
      <w:r w:rsidR="00E37AA3" w:rsidRPr="00E37AA3">
        <w:rPr>
          <w:vertAlign w:val="superscript"/>
        </w:rPr>
        <w:fldChar w:fldCharType="end"/>
      </w:r>
      <w:r w:rsidR="0012084E">
        <w:t xml:space="preserve"> </w:t>
      </w:r>
    </w:p>
    <w:p w14:paraId="50DF9CF4" w14:textId="77777777" w:rsidR="001C0707" w:rsidRDefault="001C0707" w:rsidP="001942A0"/>
    <w:p w14:paraId="6E50EF78" w14:textId="42ADB01D" w:rsidR="00CB792E" w:rsidRDefault="00CB792E" w:rsidP="00CB792E">
      <w:r>
        <w:t>Previous research found asymptomatic men diagnosed by PSA testing were younger, more affluent, had fewer comorbidities, earlier stage disease, lower Gleason score, and were more likely to have radical prostatectomy or brachytherapy/radiotherapy compared with symptomatically diagnosed men</w:t>
      </w:r>
      <w:r w:rsidR="00726E5E">
        <w:t>.</w:t>
      </w:r>
      <w:r w:rsidRPr="00726E5E">
        <w:rPr>
          <w:vertAlign w:val="superscript"/>
        </w:rPr>
        <w:fldChar w:fldCharType="begin"/>
      </w:r>
      <w:r w:rsidRPr="00726E5E">
        <w:rPr>
          <w:vertAlign w:val="superscript"/>
        </w:rPr>
        <w:instrText xml:space="preserve"> REF _Ref527377911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17</w:t>
      </w:r>
      <w:r w:rsidRPr="00726E5E">
        <w:rPr>
          <w:vertAlign w:val="superscript"/>
        </w:rPr>
        <w:fldChar w:fldCharType="end"/>
      </w:r>
      <w:r w:rsidRPr="00726E5E">
        <w:rPr>
          <w:vertAlign w:val="superscript"/>
        </w:rPr>
        <w:t>-</w:t>
      </w:r>
      <w:r w:rsidRPr="00726E5E">
        <w:rPr>
          <w:vertAlign w:val="superscript"/>
        </w:rPr>
        <w:fldChar w:fldCharType="begin"/>
      </w:r>
      <w:r w:rsidRPr="00726E5E">
        <w:rPr>
          <w:vertAlign w:val="superscript"/>
        </w:rPr>
        <w:instrText xml:space="preserve"> REF _Ref527377912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19</w:t>
      </w:r>
      <w:r w:rsidRPr="00726E5E">
        <w:rPr>
          <w:vertAlign w:val="superscript"/>
        </w:rPr>
        <w:fldChar w:fldCharType="end"/>
      </w:r>
      <w:r>
        <w:t xml:space="preserve"> </w:t>
      </w:r>
      <w:proofErr w:type="gramStart"/>
      <w:r>
        <w:t>Although</w:t>
      </w:r>
      <w:proofErr w:type="gramEnd"/>
      <w:r>
        <w:t xml:space="preserve"> the characteristics of </w:t>
      </w:r>
      <w:r w:rsidR="0050162D">
        <w:lastRenderedPageBreak/>
        <w:t>PSA-</w:t>
      </w:r>
      <w:r>
        <w:t xml:space="preserve">detected men are well documented, investigations of differences in outcomes between PSA-detected and symptomatic men are limited. Previous studies found PSA-detected men have better </w:t>
      </w:r>
      <w:r w:rsidR="00DC0C2E">
        <w:t xml:space="preserve">progression free </w:t>
      </w:r>
      <w:r>
        <w:t>survival</w:t>
      </w:r>
      <w:r w:rsidR="00DC0C2E">
        <w:t xml:space="preserve"> after radical prostatecomy</w:t>
      </w:r>
      <w:r w:rsidR="005D2623" w:rsidRPr="005D2623">
        <w:rPr>
          <w:vertAlign w:val="superscript"/>
        </w:rPr>
        <w:fldChar w:fldCharType="begin"/>
      </w:r>
      <w:r w:rsidR="005D2623" w:rsidRPr="005D2623">
        <w:rPr>
          <w:vertAlign w:val="superscript"/>
        </w:rPr>
        <w:instrText xml:space="preserve"> REF _Ref527377912 \r \h </w:instrText>
      </w:r>
      <w:r w:rsidR="005D2623">
        <w:rPr>
          <w:vertAlign w:val="superscript"/>
        </w:rPr>
        <w:instrText xml:space="preserve"> \* MERGEFORMAT </w:instrText>
      </w:r>
      <w:r w:rsidR="005D2623" w:rsidRPr="005D2623">
        <w:rPr>
          <w:vertAlign w:val="superscript"/>
        </w:rPr>
      </w:r>
      <w:r w:rsidR="005D2623" w:rsidRPr="005D2623">
        <w:rPr>
          <w:vertAlign w:val="superscript"/>
        </w:rPr>
        <w:fldChar w:fldCharType="separate"/>
      </w:r>
      <w:r w:rsidR="00CA5035">
        <w:rPr>
          <w:vertAlign w:val="superscript"/>
        </w:rPr>
        <w:t>19</w:t>
      </w:r>
      <w:r w:rsidR="005D2623" w:rsidRPr="005D2623">
        <w:rPr>
          <w:vertAlign w:val="superscript"/>
        </w:rPr>
        <w:fldChar w:fldCharType="end"/>
      </w:r>
      <w:r w:rsidR="005D2623" w:rsidRPr="00726E5E" w:rsidDel="005D2623">
        <w:rPr>
          <w:vertAlign w:val="superscript"/>
        </w:rPr>
        <w:t xml:space="preserve"> </w:t>
      </w:r>
      <w:r w:rsidR="00DC0C2E">
        <w:t xml:space="preserve"> lower disease specific mortality</w:t>
      </w:r>
      <w:proofErr w:type="gramStart"/>
      <w:r w:rsidR="00DC0C2E">
        <w:t>,</w:t>
      </w:r>
      <w:proofErr w:type="gramEnd"/>
      <w:r w:rsidRPr="00726E5E">
        <w:rPr>
          <w:vertAlign w:val="superscript"/>
        </w:rPr>
        <w:fldChar w:fldCharType="begin"/>
      </w:r>
      <w:r w:rsidRPr="00726E5E">
        <w:rPr>
          <w:vertAlign w:val="superscript"/>
        </w:rPr>
        <w:instrText xml:space="preserve"> REF _Ref527377930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20</w:t>
      </w:r>
      <w:r w:rsidRPr="00726E5E">
        <w:rPr>
          <w:vertAlign w:val="superscript"/>
        </w:rPr>
        <w:fldChar w:fldCharType="end"/>
      </w:r>
      <w:r>
        <w:t xml:space="preserve"> reduced risk of metastases</w:t>
      </w:r>
      <w:r w:rsidRPr="00726E5E">
        <w:rPr>
          <w:vertAlign w:val="superscript"/>
        </w:rPr>
        <w:fldChar w:fldCharType="begin"/>
      </w:r>
      <w:r w:rsidRPr="00726E5E">
        <w:rPr>
          <w:vertAlign w:val="superscript"/>
        </w:rPr>
        <w:instrText xml:space="preserve"> REF _Ref527377930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20</w:t>
      </w:r>
      <w:r w:rsidRPr="00726E5E">
        <w:rPr>
          <w:vertAlign w:val="superscript"/>
        </w:rPr>
        <w:fldChar w:fldCharType="end"/>
      </w:r>
      <w:r>
        <w:t xml:space="preserve"> and report better psychological wellbeing</w:t>
      </w:r>
      <w:r w:rsidRPr="00726E5E">
        <w:rPr>
          <w:vertAlign w:val="superscript"/>
        </w:rPr>
        <w:fldChar w:fldCharType="begin"/>
      </w:r>
      <w:r w:rsidRPr="00726E5E">
        <w:rPr>
          <w:vertAlign w:val="superscript"/>
        </w:rPr>
        <w:instrText xml:space="preserve"> REF _Ref527377911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17</w:t>
      </w:r>
      <w:r w:rsidRPr="00726E5E">
        <w:rPr>
          <w:vertAlign w:val="superscript"/>
        </w:rPr>
        <w:fldChar w:fldCharType="end"/>
      </w:r>
      <w:r>
        <w:t xml:space="preserve"> compared to symptomatically diagnosed men after adjustment for stage and treatment. Although urinary incontinence, impotence, bowel problems and fatigue </w:t>
      </w:r>
      <w:r w:rsidR="00DC0C2E">
        <w:t xml:space="preserve">were </w:t>
      </w:r>
      <w:r>
        <w:t xml:space="preserve">also found to be more common among symptomatic men, </w:t>
      </w:r>
      <w:r w:rsidR="00DC0C2E">
        <w:t>these</w:t>
      </w:r>
      <w:r>
        <w:t xml:space="preserve"> differences </w:t>
      </w:r>
      <w:r w:rsidR="00DC0C2E">
        <w:t xml:space="preserve">were unadjusted for </w:t>
      </w:r>
      <w:r>
        <w:t>treatment or stage</w:t>
      </w:r>
      <w:r w:rsidR="00726E5E">
        <w:t>.</w:t>
      </w:r>
      <w:r w:rsidRPr="00726E5E">
        <w:rPr>
          <w:vertAlign w:val="superscript"/>
        </w:rPr>
        <w:fldChar w:fldCharType="begin"/>
      </w:r>
      <w:r w:rsidRPr="00726E5E">
        <w:rPr>
          <w:vertAlign w:val="superscript"/>
        </w:rPr>
        <w:instrText xml:space="preserve"> REF _Ref527377911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17</w:t>
      </w:r>
      <w:r w:rsidRPr="00726E5E">
        <w:rPr>
          <w:vertAlign w:val="superscript"/>
        </w:rPr>
        <w:fldChar w:fldCharType="end"/>
      </w:r>
      <w:r>
        <w:t xml:space="preserve"> </w:t>
      </w:r>
    </w:p>
    <w:p w14:paraId="31FFBB04" w14:textId="77777777" w:rsidR="00DC0C2E" w:rsidRDefault="00DC0C2E" w:rsidP="00CB792E"/>
    <w:p w14:paraId="3AB65C00" w14:textId="643E9ED0" w:rsidR="00C6193E" w:rsidRDefault="00CB792E" w:rsidP="00C6193E">
      <w:r>
        <w:t xml:space="preserve">In this study differences in prostate cancer related </w:t>
      </w:r>
      <w:r w:rsidR="00CC0D5C">
        <w:t>functional</w:t>
      </w:r>
      <w:r>
        <w:t xml:space="preserve"> outcomes between symptomatic and PSA-detected survivors</w:t>
      </w:r>
      <w:r w:rsidR="00C6193E">
        <w:t xml:space="preserve"> are investigated as part of the Life After Prostate Cancer Diagnosis (LAPCD) study,</w:t>
      </w:r>
      <w:r w:rsidR="005D2623" w:rsidRPr="005D2623">
        <w:rPr>
          <w:vertAlign w:val="superscript"/>
        </w:rPr>
        <w:fldChar w:fldCharType="begin"/>
      </w:r>
      <w:r w:rsidR="005D2623" w:rsidRPr="005D2623">
        <w:rPr>
          <w:vertAlign w:val="superscript"/>
        </w:rPr>
        <w:instrText xml:space="preserve"> REF _Ref13213623 \r \h </w:instrText>
      </w:r>
      <w:r w:rsidR="005D2623">
        <w:rPr>
          <w:vertAlign w:val="superscript"/>
        </w:rPr>
        <w:instrText xml:space="preserve"> \* MERGEFORMAT </w:instrText>
      </w:r>
      <w:r w:rsidR="005D2623" w:rsidRPr="005D2623">
        <w:rPr>
          <w:vertAlign w:val="superscript"/>
        </w:rPr>
      </w:r>
      <w:r w:rsidR="005D2623" w:rsidRPr="005D2623">
        <w:rPr>
          <w:vertAlign w:val="superscript"/>
        </w:rPr>
        <w:fldChar w:fldCharType="separate"/>
      </w:r>
      <w:r w:rsidR="00CA5035">
        <w:rPr>
          <w:vertAlign w:val="superscript"/>
        </w:rPr>
        <w:t>21</w:t>
      </w:r>
      <w:r w:rsidR="005D2623" w:rsidRPr="005D2623">
        <w:rPr>
          <w:vertAlign w:val="superscript"/>
        </w:rPr>
        <w:fldChar w:fldCharType="end"/>
      </w:r>
      <w:r>
        <w:t xml:space="preserve"> a population based study of </w:t>
      </w:r>
      <w:r w:rsidR="00C6193E">
        <w:t xml:space="preserve">over 35,000 </w:t>
      </w:r>
      <w:r>
        <w:t xml:space="preserve">men diagnosed </w:t>
      </w:r>
      <w:r w:rsidR="00C6193E">
        <w:t xml:space="preserve">with prostate cancer </w:t>
      </w:r>
      <w:r>
        <w:t xml:space="preserve">18-42 months previously, </w:t>
      </w:r>
      <w:r w:rsidR="00C6193E">
        <w:t>the results of which have been previously reported for specific stage and treatment types</w:t>
      </w:r>
      <w:r w:rsidR="005D2623" w:rsidRPr="005D2623">
        <w:rPr>
          <w:vertAlign w:val="superscript"/>
        </w:rPr>
        <w:fldChar w:fldCharType="begin"/>
      </w:r>
      <w:r w:rsidR="005D2623" w:rsidRPr="005D2623">
        <w:rPr>
          <w:vertAlign w:val="superscript"/>
        </w:rPr>
        <w:instrText xml:space="preserve"> REF _Ref12369459 \r \h </w:instrText>
      </w:r>
      <w:r w:rsidR="005D2623">
        <w:rPr>
          <w:vertAlign w:val="superscript"/>
        </w:rPr>
        <w:instrText xml:space="preserve"> \* MERGEFORMAT </w:instrText>
      </w:r>
      <w:r w:rsidR="005D2623" w:rsidRPr="005D2623">
        <w:rPr>
          <w:vertAlign w:val="superscript"/>
        </w:rPr>
      </w:r>
      <w:r w:rsidR="005D2623" w:rsidRPr="005D2623">
        <w:rPr>
          <w:vertAlign w:val="superscript"/>
        </w:rPr>
        <w:fldChar w:fldCharType="separate"/>
      </w:r>
      <w:r w:rsidR="00CA5035">
        <w:rPr>
          <w:vertAlign w:val="superscript"/>
        </w:rPr>
        <w:t>12</w:t>
      </w:r>
      <w:r w:rsidR="005D2623" w:rsidRPr="005D2623">
        <w:rPr>
          <w:vertAlign w:val="superscript"/>
        </w:rPr>
        <w:fldChar w:fldCharType="end"/>
      </w:r>
      <w:r w:rsidR="00C6193E">
        <w:t>. In addition, for</w:t>
      </w:r>
      <w:r>
        <w:t xml:space="preserve"> the first time, </w:t>
      </w:r>
      <w:r w:rsidR="00C6193E">
        <w:t xml:space="preserve">we </w:t>
      </w:r>
      <w:r>
        <w:t xml:space="preserve">investigate whether differences </w:t>
      </w:r>
      <w:r w:rsidR="00C6193E">
        <w:t xml:space="preserve">in functional outcomes between symptomatic and PSA-detected survivors </w:t>
      </w:r>
      <w:r>
        <w:t xml:space="preserve">can be explained by socio-demographic or clinical </w:t>
      </w:r>
      <w:r w:rsidR="00C6193E">
        <w:t>characteristics, and thus provide an assessment of the degree to which method of presentation is associated with quality of life after prostate cancer treatment.</w:t>
      </w:r>
    </w:p>
    <w:p w14:paraId="337359F2" w14:textId="77777777" w:rsidR="009A62FA" w:rsidRDefault="009A62FA" w:rsidP="00CB792E"/>
    <w:p w14:paraId="79F9814D" w14:textId="77777777" w:rsidR="001C0707" w:rsidRDefault="001C0707" w:rsidP="00F12F06">
      <w:pPr>
        <w:pStyle w:val="Heading2"/>
        <w:sectPr w:rsidR="001C0707" w:rsidSect="007473DB">
          <w:pgSz w:w="11906" w:h="16838"/>
          <w:pgMar w:top="1440" w:right="1440" w:bottom="1440" w:left="1440" w:header="709" w:footer="709" w:gutter="0"/>
          <w:cols w:space="708"/>
          <w:docGrid w:linePitch="360"/>
        </w:sectPr>
      </w:pPr>
    </w:p>
    <w:p w14:paraId="6B4E6E08" w14:textId="4AA368D5" w:rsidR="00CB792E" w:rsidRDefault="00CB792E" w:rsidP="00F12F06">
      <w:pPr>
        <w:pStyle w:val="Heading2"/>
      </w:pPr>
      <w:r>
        <w:lastRenderedPageBreak/>
        <w:t>Methods</w:t>
      </w:r>
    </w:p>
    <w:p w14:paraId="28E4529F" w14:textId="77777777" w:rsidR="00CB792E" w:rsidRDefault="00CB792E" w:rsidP="00357B0B">
      <w:pPr>
        <w:pStyle w:val="Heading3"/>
      </w:pPr>
      <w:r>
        <w:t>Subjects/patients</w:t>
      </w:r>
    </w:p>
    <w:p w14:paraId="5A425AFA" w14:textId="7549D227" w:rsidR="00CB792E" w:rsidRDefault="00CB792E" w:rsidP="008A4DF9">
      <w:r>
        <w:t xml:space="preserve">58,930 men </w:t>
      </w:r>
      <w:r w:rsidR="008A4DF9">
        <w:t>living with a</w:t>
      </w:r>
      <w:r>
        <w:t xml:space="preserve"> prostate cancer diagnosis</w:t>
      </w:r>
      <w:r w:rsidR="008A4DF9">
        <w:t xml:space="preserve"> in the previous 18-42 months</w:t>
      </w:r>
      <w:r>
        <w:t xml:space="preserve"> were surveyed by postal questionnaire throughout the United Kingdom (UK)</w:t>
      </w:r>
      <w:r w:rsidR="008A4DF9" w:rsidRPr="008A4DF9">
        <w:rPr>
          <w:szCs w:val="24"/>
        </w:rPr>
        <w:t xml:space="preserve"> </w:t>
      </w:r>
      <w:r w:rsidR="008A4DF9" w:rsidRPr="00296B7C">
        <w:rPr>
          <w:szCs w:val="24"/>
        </w:rPr>
        <w:t>between October 2015</w:t>
      </w:r>
      <w:r w:rsidR="008A4DF9">
        <w:rPr>
          <w:szCs w:val="24"/>
        </w:rPr>
        <w:t xml:space="preserve"> and </w:t>
      </w:r>
      <w:r w:rsidR="008A4DF9" w:rsidRPr="00296B7C">
        <w:rPr>
          <w:szCs w:val="24"/>
        </w:rPr>
        <w:t>November 2016</w:t>
      </w:r>
      <w:r>
        <w:t>. In England, Wales and Northern Ireland (NI) national, population-based cancer registries were used to identify eligible men, while in Scotland cancer registry verified hospital activity data was used.</w:t>
      </w:r>
      <w:r w:rsidR="008A4DF9">
        <w:t xml:space="preserve"> The time period of 18-42 months was chosen as it reflects the point when initial treatment is complete and side effects have begun to stabilise.</w:t>
      </w:r>
      <w:r w:rsidR="00756B2C" w:rsidRPr="00756B2C">
        <w:rPr>
          <w:vertAlign w:val="superscript"/>
        </w:rPr>
        <w:fldChar w:fldCharType="begin"/>
      </w:r>
      <w:r w:rsidR="00756B2C" w:rsidRPr="00756B2C">
        <w:rPr>
          <w:vertAlign w:val="superscript"/>
        </w:rPr>
        <w:instrText xml:space="preserve"> REF _Ref12432102 \r \h </w:instrText>
      </w:r>
      <w:r w:rsidR="00756B2C">
        <w:rPr>
          <w:vertAlign w:val="superscript"/>
        </w:rPr>
        <w:instrText xml:space="preserve"> \* MERGEFORMAT </w:instrText>
      </w:r>
      <w:r w:rsidR="00756B2C" w:rsidRPr="00756B2C">
        <w:rPr>
          <w:vertAlign w:val="superscript"/>
        </w:rPr>
      </w:r>
      <w:r w:rsidR="00756B2C" w:rsidRPr="00756B2C">
        <w:rPr>
          <w:vertAlign w:val="superscript"/>
        </w:rPr>
        <w:fldChar w:fldCharType="separate"/>
      </w:r>
      <w:r w:rsidR="00CA5035">
        <w:rPr>
          <w:vertAlign w:val="superscript"/>
        </w:rPr>
        <w:t>16</w:t>
      </w:r>
      <w:r w:rsidR="00756B2C" w:rsidRPr="00756B2C">
        <w:rPr>
          <w:vertAlign w:val="superscript"/>
        </w:rPr>
        <w:fldChar w:fldCharType="end"/>
      </w:r>
      <w:r w:rsidR="00756B2C">
        <w:t xml:space="preserve"> </w:t>
      </w:r>
    </w:p>
    <w:p w14:paraId="3EA91205" w14:textId="7E2E50C1" w:rsidR="00CB792E" w:rsidRDefault="00CB792E" w:rsidP="00CB792E"/>
    <w:p w14:paraId="7725248D" w14:textId="77777777" w:rsidR="00CB792E" w:rsidRDefault="00CB792E" w:rsidP="00357B0B">
      <w:pPr>
        <w:pStyle w:val="Heading3"/>
      </w:pPr>
      <w:r>
        <w:t>Survey</w:t>
      </w:r>
    </w:p>
    <w:p w14:paraId="66F83426" w14:textId="77777777" w:rsidR="00CB792E" w:rsidRDefault="00CB792E" w:rsidP="00CB792E">
      <w:r>
        <w:t xml:space="preserve">The survey asked men a range of socio-demographic questions including marital status, employment status, comorbidities and height and weight which were used to calculate body mass index (see supplementary table 1 for categories used). Men were asked to indicate which of the following treatment type(s) they received/were receiving: surgery, external-beam radiotherapy (EBRT), androgen deprivation therapy (ADT), brachytherapy, systemic (chemotherapy, abiraterone, enzalutamide), other treatment and monitoring only (active surveillance and watchful waiting). To determine method of presentation men were asked how they were diagnosed with prostate cancer and invited to tick all options that applied to them and/or provide text comments (supplementary file 1). Using both the tick box responses and free-text comments men were assigned to one of four groups: </w:t>
      </w:r>
    </w:p>
    <w:p w14:paraId="5AF58A9E" w14:textId="77777777" w:rsidR="00CB792E" w:rsidRDefault="00CB792E" w:rsidP="00D81971">
      <w:pPr>
        <w:ind w:left="340"/>
      </w:pPr>
      <w:r>
        <w:t>1.</w:t>
      </w:r>
      <w:r>
        <w:tab/>
        <w:t xml:space="preserve">PSA-detected: Men ticked that they had no symptoms and either asked for or were offered a PSA test either by their GP or as part of a private health check; </w:t>
      </w:r>
    </w:p>
    <w:p w14:paraId="18D3B00F" w14:textId="77777777" w:rsidR="00CB792E" w:rsidRDefault="00CB792E" w:rsidP="00D81971">
      <w:pPr>
        <w:ind w:left="340"/>
      </w:pPr>
      <w:r>
        <w:lastRenderedPageBreak/>
        <w:t>2.</w:t>
      </w:r>
      <w:r>
        <w:tab/>
        <w:t>Symptomatic: Men ticked that they attended their GP with urinary or other symptoms, or mentioned such symptoms in the free text box. These men may or may not also have had a PSA test;</w:t>
      </w:r>
    </w:p>
    <w:p w14:paraId="0C15EF11" w14:textId="77777777" w:rsidR="00CB792E" w:rsidRDefault="00CB792E" w:rsidP="00D81971">
      <w:pPr>
        <w:ind w:left="340"/>
      </w:pPr>
      <w:r>
        <w:t>3.</w:t>
      </w:r>
      <w:r>
        <w:tab/>
        <w:t>Other: Men ticked that they presented via another method only;</w:t>
      </w:r>
    </w:p>
    <w:p w14:paraId="40811AD2" w14:textId="77777777" w:rsidR="00CB792E" w:rsidRDefault="00CB792E" w:rsidP="00D81971">
      <w:pPr>
        <w:ind w:left="340"/>
      </w:pPr>
      <w:r>
        <w:t>4.</w:t>
      </w:r>
      <w:r>
        <w:tab/>
        <w:t>Unknown: Men did not tick any box or did not provide text comments that allowed assignment to one of the previous three categories.</w:t>
      </w:r>
    </w:p>
    <w:p w14:paraId="33EEB43F" w14:textId="77777777" w:rsidR="00CB792E" w:rsidRDefault="00CB792E" w:rsidP="00CB792E"/>
    <w:p w14:paraId="67859313" w14:textId="4DFD2EBD" w:rsidR="00CB792E" w:rsidRDefault="00CB792E" w:rsidP="00CB792E">
      <w:r>
        <w:t xml:space="preserve">The 26-item Expanded Prostate </w:t>
      </w:r>
      <w:r w:rsidR="007738D4">
        <w:t xml:space="preserve">cancer </w:t>
      </w:r>
      <w:r w:rsidR="00726E5E">
        <w:t xml:space="preserve">Index </w:t>
      </w:r>
      <w:r>
        <w:t>Composite (EPIC-26)</w:t>
      </w:r>
      <w:r w:rsidRPr="00726E5E">
        <w:rPr>
          <w:vertAlign w:val="superscript"/>
        </w:rPr>
        <w:fldChar w:fldCharType="begin"/>
      </w:r>
      <w:r w:rsidRPr="00726E5E">
        <w:rPr>
          <w:vertAlign w:val="superscript"/>
        </w:rPr>
        <w:instrText xml:space="preserve"> REF _Ref527377995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22</w:t>
      </w:r>
      <w:r w:rsidRPr="00726E5E">
        <w:rPr>
          <w:vertAlign w:val="superscript"/>
        </w:rPr>
        <w:fldChar w:fldCharType="end"/>
      </w:r>
      <w:r>
        <w:t xml:space="preserve"> was used to assess health-related functional outcomes.</w:t>
      </w:r>
      <w:r w:rsidR="00327904">
        <w:t xml:space="preserve"> </w:t>
      </w:r>
      <w:r w:rsidR="00327904" w:rsidRPr="00BE3ABE">
        <w:t>Similar to previous studies</w:t>
      </w:r>
      <w:r w:rsidR="00327904" w:rsidRPr="00BE3ABE">
        <w:rPr>
          <w:vertAlign w:val="superscript"/>
        </w:rPr>
        <w:fldChar w:fldCharType="begin"/>
      </w:r>
      <w:r w:rsidR="00327904" w:rsidRPr="00BE3ABE">
        <w:rPr>
          <w:vertAlign w:val="superscript"/>
        </w:rPr>
        <w:instrText xml:space="preserve"> REF _Ref12369459 \r \h  \* MERGEFORMAT </w:instrText>
      </w:r>
      <w:r w:rsidR="00327904" w:rsidRPr="00BE3ABE">
        <w:rPr>
          <w:vertAlign w:val="superscript"/>
        </w:rPr>
      </w:r>
      <w:r w:rsidR="00327904" w:rsidRPr="00BE3ABE">
        <w:rPr>
          <w:vertAlign w:val="superscript"/>
        </w:rPr>
        <w:fldChar w:fldCharType="separate"/>
      </w:r>
      <w:r w:rsidR="00CA5035" w:rsidRPr="00BE3ABE">
        <w:rPr>
          <w:vertAlign w:val="superscript"/>
        </w:rPr>
        <w:t>12</w:t>
      </w:r>
      <w:r w:rsidR="00327904" w:rsidRPr="00BE3ABE">
        <w:rPr>
          <w:vertAlign w:val="superscript"/>
        </w:rPr>
        <w:fldChar w:fldCharType="end"/>
      </w:r>
      <w:proofErr w:type="gramStart"/>
      <w:r w:rsidR="00327904" w:rsidRPr="00BE3ABE">
        <w:rPr>
          <w:vertAlign w:val="superscript"/>
        </w:rPr>
        <w:t>,</w:t>
      </w:r>
      <w:proofErr w:type="gramEnd"/>
      <w:r w:rsidR="00327904" w:rsidRPr="00BE3ABE">
        <w:rPr>
          <w:vertAlign w:val="superscript"/>
        </w:rPr>
        <w:fldChar w:fldCharType="begin"/>
      </w:r>
      <w:r w:rsidR="00327904" w:rsidRPr="00BE3ABE">
        <w:rPr>
          <w:vertAlign w:val="superscript"/>
        </w:rPr>
        <w:instrText xml:space="preserve"> REF _Ref13208285 \r \h  \* MERGEFORMAT </w:instrText>
      </w:r>
      <w:r w:rsidR="00327904" w:rsidRPr="00BE3ABE">
        <w:rPr>
          <w:vertAlign w:val="superscript"/>
        </w:rPr>
      </w:r>
      <w:r w:rsidR="00327904" w:rsidRPr="00BE3ABE">
        <w:rPr>
          <w:vertAlign w:val="superscript"/>
        </w:rPr>
        <w:fldChar w:fldCharType="separate"/>
      </w:r>
      <w:r w:rsidR="00CA5035" w:rsidRPr="00BE3ABE">
        <w:rPr>
          <w:vertAlign w:val="superscript"/>
        </w:rPr>
        <w:t>23</w:t>
      </w:r>
      <w:r w:rsidR="00327904" w:rsidRPr="00BE3ABE">
        <w:rPr>
          <w:vertAlign w:val="superscript"/>
        </w:rPr>
        <w:fldChar w:fldCharType="end"/>
      </w:r>
      <w:r w:rsidR="00327904" w:rsidRPr="00BE3ABE">
        <w:t xml:space="preserve">, reported </w:t>
      </w:r>
      <w:r w:rsidRPr="00BE3ABE">
        <w:t>prevalence experiencing specific problems was based upon the proportion of men reporting moderate/big problems (or equivalents such as poor/very poor) to individual questions.</w:t>
      </w:r>
      <w:r>
        <w:t xml:space="preserve"> </w:t>
      </w:r>
      <w:r w:rsidR="007738D4">
        <w:t>Based upon the EPIC-26 scoring instructions</w:t>
      </w:r>
      <w:r w:rsidR="007738D4" w:rsidRPr="007738D4">
        <w:rPr>
          <w:vertAlign w:val="superscript"/>
        </w:rPr>
        <w:fldChar w:fldCharType="begin"/>
      </w:r>
      <w:r w:rsidR="007738D4" w:rsidRPr="007738D4">
        <w:rPr>
          <w:vertAlign w:val="superscript"/>
        </w:rPr>
        <w:instrText xml:space="preserve"> REF _Ref12437017 \r \h </w:instrText>
      </w:r>
      <w:r w:rsidR="007738D4">
        <w:rPr>
          <w:vertAlign w:val="superscript"/>
        </w:rPr>
        <w:instrText xml:space="preserve"> \* MERGEFORMAT </w:instrText>
      </w:r>
      <w:r w:rsidR="007738D4" w:rsidRPr="007738D4">
        <w:rPr>
          <w:vertAlign w:val="superscript"/>
        </w:rPr>
      </w:r>
      <w:r w:rsidR="007738D4" w:rsidRPr="007738D4">
        <w:rPr>
          <w:vertAlign w:val="superscript"/>
        </w:rPr>
        <w:fldChar w:fldCharType="separate"/>
      </w:r>
      <w:r w:rsidR="00CA5035">
        <w:rPr>
          <w:vertAlign w:val="superscript"/>
        </w:rPr>
        <w:t>24</w:t>
      </w:r>
      <w:r w:rsidR="007738D4" w:rsidRPr="007738D4">
        <w:rPr>
          <w:vertAlign w:val="superscript"/>
        </w:rPr>
        <w:fldChar w:fldCharType="end"/>
      </w:r>
      <w:r w:rsidR="007738D4">
        <w:t xml:space="preserve"> t</w:t>
      </w:r>
      <w:r>
        <w:t xml:space="preserve">he questions </w:t>
      </w:r>
      <w:r w:rsidR="0050162D">
        <w:t xml:space="preserve">were </w:t>
      </w:r>
      <w:r>
        <w:t xml:space="preserve">divided up into five domains (urinary incontinence, urinary irritation/obstruction, bowel function, sexual function, and vitality/hormonal function), with summary scores for each domain calculated by averaging standardised scores assigned to responses to each question. All domains are scored out of a total of 100, with a lower score representing more problems/poorer functioning. </w:t>
      </w:r>
    </w:p>
    <w:p w14:paraId="161EE52B" w14:textId="77777777" w:rsidR="00CA5035" w:rsidRDefault="00CA5035" w:rsidP="00CB792E"/>
    <w:p w14:paraId="23225C7C" w14:textId="77777777" w:rsidR="00327904" w:rsidRDefault="00327904" w:rsidP="00327904">
      <w:pPr>
        <w:autoSpaceDE w:val="0"/>
        <w:autoSpaceDN w:val="0"/>
        <w:adjustRightInd w:val="0"/>
        <w:spacing w:line="240" w:lineRule="auto"/>
        <w:jc w:val="left"/>
        <w:rPr>
          <w:rFonts w:ascii="ScalaLancetPro" w:hAnsi="ScalaLancetPro" w:cs="ScalaLancetPro"/>
          <w:sz w:val="18"/>
          <w:szCs w:val="18"/>
        </w:rPr>
      </w:pPr>
    </w:p>
    <w:p w14:paraId="5B116D42" w14:textId="04F6DFBB" w:rsidR="00CB792E" w:rsidRDefault="00CB792E" w:rsidP="00CB792E">
      <w:r>
        <w:t>Age, nation of residence and deprivation quintile (based on area of residence at time of diagnosis) were extracted from national cancer registries.</w:t>
      </w:r>
      <w:r w:rsidR="004673EB">
        <w:t xml:space="preserve"> Stage and Gleason score at diagnosis were also provided by cancer registries as measures of disease severity. Stage was based upon the TNM classification, while Gleason score was categorised as 2-6 (slow growing cancer), 7 (intermediate risk of aggressive cancer) and 8-10 (cancer more likely to spread rapidly).</w:t>
      </w:r>
    </w:p>
    <w:p w14:paraId="46995A69" w14:textId="77777777" w:rsidR="00CB792E" w:rsidRDefault="00CB792E" w:rsidP="00CB792E"/>
    <w:p w14:paraId="042E5B65" w14:textId="77777777" w:rsidR="00CB792E" w:rsidRDefault="00CB792E" w:rsidP="00357B0B">
      <w:pPr>
        <w:pStyle w:val="Heading3"/>
      </w:pPr>
      <w:r>
        <w:lastRenderedPageBreak/>
        <w:t>Statistical analysis</w:t>
      </w:r>
    </w:p>
    <w:p w14:paraId="0174DEBA" w14:textId="096144FC" w:rsidR="00CB792E" w:rsidRDefault="00A76B15" w:rsidP="00CB792E">
      <w:r>
        <w:t>As a result of variation in item completeness between PSA-detected and symptomatic men (supplementary table 1) all</w:t>
      </w:r>
      <w:r w:rsidR="00CB792E">
        <w:t xml:space="preserve"> missing data items, except for method of presentation, were imputed</w:t>
      </w:r>
      <w:r w:rsidRPr="00A76B15">
        <w:t xml:space="preserve"> </w:t>
      </w:r>
      <w:r>
        <w:t>in order to reduce any bias that may result from only including cases with complete data</w:t>
      </w:r>
      <w:r w:rsidR="00726E5E">
        <w:t>.</w:t>
      </w:r>
      <w:r w:rsidRPr="00726E5E">
        <w:rPr>
          <w:vertAlign w:val="superscript"/>
        </w:rPr>
        <w:fldChar w:fldCharType="begin"/>
      </w:r>
      <w:r w:rsidRPr="00726E5E">
        <w:rPr>
          <w:vertAlign w:val="superscript"/>
        </w:rPr>
        <w:instrText xml:space="preserve"> REF _Ref520360039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25</w:t>
      </w:r>
      <w:r w:rsidRPr="00726E5E">
        <w:rPr>
          <w:vertAlign w:val="superscript"/>
        </w:rPr>
        <w:fldChar w:fldCharType="end"/>
      </w:r>
      <w:proofErr w:type="gramStart"/>
      <w:r w:rsidRPr="00726E5E">
        <w:rPr>
          <w:vertAlign w:val="superscript"/>
        </w:rPr>
        <w:t>,</w:t>
      </w:r>
      <w:proofErr w:type="gramEnd"/>
      <w:r w:rsidRPr="00726E5E">
        <w:rPr>
          <w:vertAlign w:val="superscript"/>
        </w:rPr>
        <w:fldChar w:fldCharType="begin"/>
      </w:r>
      <w:r w:rsidRPr="00726E5E">
        <w:rPr>
          <w:vertAlign w:val="superscript"/>
        </w:rPr>
        <w:instrText xml:space="preserve"> REF _Ref520360040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26</w:t>
      </w:r>
      <w:r w:rsidRPr="00726E5E">
        <w:rPr>
          <w:vertAlign w:val="superscript"/>
        </w:rPr>
        <w:fldChar w:fldCharType="end"/>
      </w:r>
      <w:r w:rsidR="00CB792E">
        <w:t xml:space="preserve"> Multiple imputation with chained equations</w:t>
      </w:r>
      <w:r w:rsidR="00CB792E" w:rsidRPr="00726E5E">
        <w:rPr>
          <w:vertAlign w:val="superscript"/>
        </w:rPr>
        <w:fldChar w:fldCharType="begin"/>
      </w:r>
      <w:r w:rsidR="00CB792E" w:rsidRPr="00726E5E">
        <w:rPr>
          <w:vertAlign w:val="superscript"/>
        </w:rPr>
        <w:instrText xml:space="preserve"> REF _Ref527378011 \r \h </w:instrText>
      </w:r>
      <w:r w:rsidR="00726E5E">
        <w:rPr>
          <w:vertAlign w:val="superscript"/>
        </w:rPr>
        <w:instrText xml:space="preserve"> \* MERGEFORMAT </w:instrText>
      </w:r>
      <w:r w:rsidR="00CB792E" w:rsidRPr="00726E5E">
        <w:rPr>
          <w:vertAlign w:val="superscript"/>
        </w:rPr>
      </w:r>
      <w:r w:rsidR="00CB792E" w:rsidRPr="00726E5E">
        <w:rPr>
          <w:vertAlign w:val="superscript"/>
        </w:rPr>
        <w:fldChar w:fldCharType="separate"/>
      </w:r>
      <w:r w:rsidR="00CA5035">
        <w:rPr>
          <w:vertAlign w:val="superscript"/>
        </w:rPr>
        <w:t>27</w:t>
      </w:r>
      <w:r w:rsidR="00CB792E" w:rsidRPr="00726E5E">
        <w:rPr>
          <w:vertAlign w:val="superscript"/>
        </w:rPr>
        <w:fldChar w:fldCharType="end"/>
      </w:r>
      <w:r w:rsidR="00CB792E" w:rsidRPr="00726E5E">
        <w:rPr>
          <w:vertAlign w:val="superscript"/>
        </w:rPr>
        <w:t>,</w:t>
      </w:r>
      <w:r w:rsidR="00CB792E" w:rsidRPr="00726E5E">
        <w:rPr>
          <w:vertAlign w:val="superscript"/>
        </w:rPr>
        <w:fldChar w:fldCharType="begin"/>
      </w:r>
      <w:r w:rsidR="00CB792E" w:rsidRPr="00726E5E">
        <w:rPr>
          <w:vertAlign w:val="superscript"/>
        </w:rPr>
        <w:instrText xml:space="preserve"> REF _Ref527378012 \r \h </w:instrText>
      </w:r>
      <w:r w:rsidR="00726E5E">
        <w:rPr>
          <w:vertAlign w:val="superscript"/>
        </w:rPr>
        <w:instrText xml:space="preserve"> \* MERGEFORMAT </w:instrText>
      </w:r>
      <w:r w:rsidR="00CB792E" w:rsidRPr="00726E5E">
        <w:rPr>
          <w:vertAlign w:val="superscript"/>
        </w:rPr>
      </w:r>
      <w:r w:rsidR="00CB792E" w:rsidRPr="00726E5E">
        <w:rPr>
          <w:vertAlign w:val="superscript"/>
        </w:rPr>
        <w:fldChar w:fldCharType="separate"/>
      </w:r>
      <w:r w:rsidR="00CA5035">
        <w:rPr>
          <w:vertAlign w:val="superscript"/>
        </w:rPr>
        <w:t>28</w:t>
      </w:r>
      <w:r w:rsidR="00CB792E" w:rsidRPr="00726E5E">
        <w:rPr>
          <w:vertAlign w:val="superscript"/>
        </w:rPr>
        <w:fldChar w:fldCharType="end"/>
      </w:r>
      <w:r w:rsidR="00CB792E">
        <w:t xml:space="preserve"> was utilised with all socio-demographic, clinical characteristics, and EPIC-26 outcomes included. A secondary analysis including complete cases only (i.e. those men for whom all data items were complete) was also conducted.</w:t>
      </w:r>
    </w:p>
    <w:p w14:paraId="7B913F69" w14:textId="77777777" w:rsidR="00A76B15" w:rsidRDefault="00A76B15" w:rsidP="00CB792E"/>
    <w:p w14:paraId="0E3AA80B" w14:textId="77777777" w:rsidR="00CB792E" w:rsidRDefault="00CB792E" w:rsidP="00CB792E">
      <w:r>
        <w:t xml:space="preserve">The characteristics of symptomatic and PSA-detected men were compared using multivariable binary logistic regression with age at diagnosis, nation, deprivation, ethnicity, employment status, marital status, number of co-morbidities, body mass index, stage at diagnosis, Gleason score at diagnosis, and treatment type included in the model. </w:t>
      </w:r>
    </w:p>
    <w:p w14:paraId="7B4D679D" w14:textId="77777777" w:rsidR="00CB792E" w:rsidRDefault="00CB792E" w:rsidP="00CB792E"/>
    <w:p w14:paraId="638CE606" w14:textId="31976AE8" w:rsidR="00CB792E" w:rsidRDefault="00CB792E" w:rsidP="00CB792E">
      <w:r w:rsidRPr="00BE3ABE">
        <w:t>Mean functional outcome scores for symptomatic and PSA-detected men were initially compared using two way ANOVA, with method of presentation, a second characteristic (either age, stage, Gleason score or treatment type) and an interaction term between the two included. Multivariable log-linear regression with robust standard errors was utilised to adjust for different case mix between the two groups, with mean score ratios reported. Age at diagnosis, nation, deprivation quintile of residence, ethnicity, employment status, marital status, number of co-morbidities, body mass index, stage at diagnosis, Gleason score at diagnosis and treatment type were included in the models for each outcome.</w:t>
      </w:r>
      <w:r>
        <w:t xml:space="preserve"> Given clinical interest in patients with particular clinical characteristics and possible interaction identified by the two-way </w:t>
      </w:r>
      <w:r>
        <w:lastRenderedPageBreak/>
        <w:t xml:space="preserve">ANOVA between method of presentation and these characteristics, further sub group analysis was conducted. Respondents were stratified by age, stage, Gleason score and treatment types, with the multivariable analysis also run for each strata. </w:t>
      </w:r>
      <w:r w:rsidR="00D64762">
        <w:t xml:space="preserve">The Bonferonni correction was applied in the assessment of statistical significance given that comparisons were made across multiple outcomes. </w:t>
      </w:r>
      <w:r>
        <w:t xml:space="preserve">All analysis was conducted using Stata v14. </w:t>
      </w:r>
    </w:p>
    <w:p w14:paraId="44035B97" w14:textId="77777777" w:rsidR="009A62FA" w:rsidRDefault="009A62FA" w:rsidP="00CB792E"/>
    <w:p w14:paraId="4F13014D" w14:textId="77777777" w:rsidR="001C0707" w:rsidRDefault="001C0707" w:rsidP="00F12F06">
      <w:pPr>
        <w:pStyle w:val="Heading2"/>
        <w:sectPr w:rsidR="001C0707" w:rsidSect="00CA5035">
          <w:pgSz w:w="11906" w:h="16838"/>
          <w:pgMar w:top="1440" w:right="1440" w:bottom="1440" w:left="1440" w:header="709" w:footer="709" w:gutter="0"/>
          <w:cols w:space="708"/>
          <w:docGrid w:linePitch="360"/>
        </w:sectPr>
      </w:pPr>
    </w:p>
    <w:p w14:paraId="4FDD8DBD" w14:textId="73E26393" w:rsidR="00CB792E" w:rsidRDefault="00F12F06" w:rsidP="00F12F06">
      <w:pPr>
        <w:pStyle w:val="Heading2"/>
      </w:pPr>
      <w:r>
        <w:lastRenderedPageBreak/>
        <w:t>R</w:t>
      </w:r>
      <w:r w:rsidR="00CB792E">
        <w:t>esults</w:t>
      </w:r>
    </w:p>
    <w:p w14:paraId="01937C5B" w14:textId="0AE4D231" w:rsidR="00CB792E" w:rsidRDefault="00CB792E" w:rsidP="00CB792E">
      <w:r>
        <w:t xml:space="preserve">A total of 35,823 men responded to the survey, a response rate of 60.8%. Of these 11,210 (31.3%) were PSA-detected, 21,378 (59.7%) were symptomatic and 9.0% presented via an alternative method (e.g. referral from urologist, emergency admission to hospital) or with an unknown method of presentation. Age, stage, Gleason score and treatment type by presentation method are presented in table 1, with additional socio-demographic characteristics presented in </w:t>
      </w:r>
      <w:r w:rsidRPr="00376C02">
        <w:t xml:space="preserve">supplementary table </w:t>
      </w:r>
      <w:r w:rsidR="00CC3528" w:rsidRPr="00376C02">
        <w:t>2</w:t>
      </w:r>
      <w:r>
        <w:t>.</w:t>
      </w:r>
      <w:r w:rsidR="00050A34">
        <w:t xml:space="preserve"> The distribution of all socio-demographic and clinical characteristics included in these tables varie</w:t>
      </w:r>
      <w:r w:rsidR="0050162D">
        <w:t>d</w:t>
      </w:r>
      <w:r w:rsidR="00050A34">
        <w:t xml:space="preserve"> significantly (</w:t>
      </w:r>
      <w:r w:rsidR="0050162D">
        <w:t xml:space="preserve">all </w:t>
      </w:r>
      <w:r w:rsidR="00050A34">
        <w:t>p&lt;0.001) by method of presentation.</w:t>
      </w:r>
      <w:r>
        <w:t xml:space="preserve"> </w:t>
      </w:r>
      <w:r w:rsidR="004673EB">
        <w:t xml:space="preserve">The 3,235 men who presented with an alternative/unknown method of presentation </w:t>
      </w:r>
      <w:r w:rsidR="0050162D">
        <w:t>we</w:t>
      </w:r>
      <w:r w:rsidR="004673EB">
        <w:t xml:space="preserve">re subsequently excluded leaving </w:t>
      </w:r>
      <w:r w:rsidR="004673EB" w:rsidRPr="004673EB">
        <w:t>32,588</w:t>
      </w:r>
      <w:r w:rsidR="004673EB" w:rsidRPr="004673EB">
        <w:t>‬</w:t>
      </w:r>
      <w:r w:rsidR="004673EB">
        <w:t xml:space="preserve"> PSA-detected/symptomatic prostate cancer survivors</w:t>
      </w:r>
      <w:r w:rsidR="0050162D">
        <w:t xml:space="preserve"> available</w:t>
      </w:r>
      <w:r w:rsidR="004673EB">
        <w:t xml:space="preserve"> for analysis. </w:t>
      </w:r>
    </w:p>
    <w:p w14:paraId="121669BB" w14:textId="77777777" w:rsidR="00CB792E" w:rsidRDefault="00CB792E" w:rsidP="00CB792E"/>
    <w:p w14:paraId="00E2E708" w14:textId="77777777" w:rsidR="00CB792E" w:rsidRPr="00AF7F5D" w:rsidRDefault="00CB792E" w:rsidP="00357B0B">
      <w:pPr>
        <w:pStyle w:val="Heading3"/>
      </w:pPr>
      <w:r w:rsidRPr="00AF7F5D">
        <w:t>Method of presentation</w:t>
      </w:r>
    </w:p>
    <w:p w14:paraId="1BC5D073" w14:textId="77777777" w:rsidR="00CB792E" w:rsidRDefault="00CB792E" w:rsidP="00CB792E">
      <w:r>
        <w:t xml:space="preserve">Prostate cancer survivors aged 65-74 were more likely than those aged under 55 to be PSA-detected (Adjusted odds ratio (AOR): 0.83, 95% confidence interval (CI): 0.72-0.95), while compared to men diagnosed at stage I/II, men diagnosed at stage III (AOR: 1.20, 95% CI: 1.12-1.28) or stage IV (AOR: 2.03, 95% CI: 1.82-2.27) were more likely to have been symptomatic. Compared to those with Gleason score 2-6, men with a Gleason score of 8-10 were more likely to present symptomatically (AOR: 1.12, 95% CI: 1.03-1.22), while men with a score of 7 were less likely to have presented symptomatically (AOR: 0.86, 95% CI: 0.80-0.92). Men receiving brachytherapy (AOR: 0.77, 95% CI: 0.70-0.85) were more likely to have been PSA-detected, while men receiving ADT (AOR: 1.22, 95% CI: 1.14-1.30) or systemic treatment (AOR: 1.64, 95% CI: 1.43-1.89) were more likely to have been symptomatic (table 2). </w:t>
      </w:r>
    </w:p>
    <w:p w14:paraId="6F692CAF" w14:textId="77777777" w:rsidR="00CB792E" w:rsidRPr="00AF7F5D" w:rsidRDefault="00CB792E" w:rsidP="00357B0B">
      <w:pPr>
        <w:pStyle w:val="Heading3"/>
      </w:pPr>
      <w:r w:rsidRPr="00AF7F5D">
        <w:lastRenderedPageBreak/>
        <w:t>Unadjusted post-treatment outcomes (EPIC-26)</w:t>
      </w:r>
    </w:p>
    <w:p w14:paraId="30E43421" w14:textId="656475EF" w:rsidR="00CB792E" w:rsidRDefault="00CB792E" w:rsidP="00CB792E">
      <w:r w:rsidRPr="00CC0ED6">
        <w:t>The proportion of PSA-detected men reporting moderate/big problems for each EPIC-26 question was significantly lower than for symptomatic men (p&lt;0.001), with the exception of problems with bloody stools</w:t>
      </w:r>
      <w:r w:rsidR="00D64762" w:rsidRPr="00CC0ED6">
        <w:t>,</w:t>
      </w:r>
      <w:r w:rsidR="00D64762">
        <w:t xml:space="preserve"> possibly due to the low reported frequency of this outcome </w:t>
      </w:r>
      <w:r>
        <w:t xml:space="preserve"> (figure 1, supplementary table </w:t>
      </w:r>
      <w:r w:rsidR="00CC3528">
        <w:t>3</w:t>
      </w:r>
      <w:r>
        <w:t xml:space="preserve">). Consequently mean outcome scores for each EPIC-26 domain were higher for PSA-detected men than symptomatic men (urinary incontinence: 84.0 vs 80.1; urinary irritation: 87.3 vs 82.5; bowel problems: 90.0 vs 86.6; sexual problems: 29.3 vs 23.1; vitality/hormonal problems: 83.6 vs 76.8; all p&lt;0.001), indicating that problems were reported less frequently (100 = no problems) by PSA-detected men. This relationship was present for all subgroups of patients defined by age, stage at diagnosis, Gleason score at diagnosis and treatment type (supplementary table </w:t>
      </w:r>
      <w:r w:rsidR="00CC3528">
        <w:t>4</w:t>
      </w:r>
      <w:r>
        <w:t>).</w:t>
      </w:r>
    </w:p>
    <w:p w14:paraId="3DB0A7E3" w14:textId="77777777" w:rsidR="00CB792E" w:rsidRDefault="00CB792E" w:rsidP="00CB792E"/>
    <w:p w14:paraId="3D257766" w14:textId="77777777" w:rsidR="00CB792E" w:rsidRPr="00AF7F5D" w:rsidRDefault="00CB792E" w:rsidP="00357B0B">
      <w:pPr>
        <w:pStyle w:val="Heading3"/>
      </w:pPr>
      <w:r w:rsidRPr="00AF7F5D">
        <w:t>Case-mix adjusted post-treatment outcomes by method of presentation</w:t>
      </w:r>
    </w:p>
    <w:p w14:paraId="616245EA" w14:textId="77777777" w:rsidR="00CB792E" w:rsidRDefault="00CB792E" w:rsidP="00CB792E">
      <w:r>
        <w:t>After case-mix adjustment for clinical and socio-demographic characteristics, all functional outcome scores for symptomatic men were significantly lower than for PSA-detected men (all p&lt;0.001). The greatest relative difference was for sexual function, where the mean sexual function score was 10.0% lower (absolute difference in scores approximately 2.5 points) among symptomatic men (Adjusted mean ratio (AMR): 0.90, 95% CI: 0.88-0.92). The smallest relative difference was for bowel function which was on average 2.3% lower (absolute difference in scores approximately 2.0 points) among symptomatic men (AMR: 0.97, 95% CI: 0.97-0.98) (table 3).</w:t>
      </w:r>
    </w:p>
    <w:p w14:paraId="12211540" w14:textId="77777777" w:rsidR="00CB792E" w:rsidRDefault="00CB792E" w:rsidP="00CB792E"/>
    <w:p w14:paraId="1A38F9AA" w14:textId="77777777" w:rsidR="00CB792E" w:rsidRDefault="00CB792E" w:rsidP="00CB792E">
      <w:r>
        <w:t xml:space="preserve">This pattern was also present for those aged over and under 75 and for stage I/II, stage III and stage IV patients (all p&lt;0.001), with the exception of no significant </w:t>
      </w:r>
      <w:r>
        <w:lastRenderedPageBreak/>
        <w:t>difference in urinary incontinence or bowel function between symptomatic and PSA-detected stage IV patients. Outcomes for prostate cancer survivors with Gleason scores 2-6, 7 and 8-10 were also poorer among those who presented symptomatically with the exception of bowel function among those with Gleason score 8-10. Among men receiving surgery, EBRT, ADT or monitoring only, functional outcomes were also consistently poorer among symptomatic men (table 3).</w:t>
      </w:r>
    </w:p>
    <w:p w14:paraId="16CEB831" w14:textId="77777777" w:rsidR="00CB792E" w:rsidRDefault="00CB792E" w:rsidP="00CB792E"/>
    <w:p w14:paraId="137CE394" w14:textId="0FC5E83C" w:rsidR="00CB792E" w:rsidRDefault="00CB792E" w:rsidP="00CB792E">
      <w:r>
        <w:t xml:space="preserve">Similar results were found in the complete case analysis, with the exception of no significant difference in sexual function between symptomatic and </w:t>
      </w:r>
      <w:r w:rsidR="00AD44EC">
        <w:t>PSA-</w:t>
      </w:r>
      <w:r>
        <w:t>detected men aged over 75</w:t>
      </w:r>
      <w:r w:rsidR="00AD44EC">
        <w:t>,</w:t>
      </w:r>
      <w:r>
        <w:t xml:space="preserve"> with stage </w:t>
      </w:r>
      <w:r w:rsidR="00AD44EC">
        <w:t>III/</w:t>
      </w:r>
      <w:r>
        <w:t>IV disease</w:t>
      </w:r>
      <w:r w:rsidR="00AD44EC">
        <w:t xml:space="preserve"> or in receipt of surgery</w:t>
      </w:r>
      <w:r>
        <w:t xml:space="preserve">. This is likely due to the reduction in statistical power as the adjusted mean ratio is similar to that in the main analysis using imputed data (supplementary table </w:t>
      </w:r>
      <w:r w:rsidR="003A5A3D">
        <w:t>5</w:t>
      </w:r>
      <w:r>
        <w:t xml:space="preserve">). </w:t>
      </w:r>
    </w:p>
    <w:p w14:paraId="04C11230" w14:textId="77777777" w:rsidR="009A62FA" w:rsidRDefault="009A62FA" w:rsidP="00CB792E"/>
    <w:p w14:paraId="7045A781" w14:textId="77777777" w:rsidR="001C0707" w:rsidRDefault="001C0707" w:rsidP="00F12F06">
      <w:pPr>
        <w:pStyle w:val="Heading2"/>
        <w:sectPr w:rsidR="001C0707" w:rsidSect="002C6184">
          <w:pgSz w:w="11906" w:h="16838"/>
          <w:pgMar w:top="1440" w:right="1440" w:bottom="1440" w:left="1440" w:header="709" w:footer="709" w:gutter="0"/>
          <w:cols w:space="708"/>
          <w:docGrid w:linePitch="360"/>
        </w:sectPr>
      </w:pPr>
    </w:p>
    <w:p w14:paraId="7DE364CB" w14:textId="2725CD67" w:rsidR="00CB792E" w:rsidRDefault="00CB792E" w:rsidP="00F12F06">
      <w:pPr>
        <w:pStyle w:val="Heading2"/>
      </w:pPr>
      <w:r>
        <w:lastRenderedPageBreak/>
        <w:t>Discussion</w:t>
      </w:r>
    </w:p>
    <w:p w14:paraId="179ECA24" w14:textId="32EDBF88" w:rsidR="00CB792E" w:rsidRDefault="00CB792E" w:rsidP="00CB792E">
      <w:r>
        <w:t>This large UK wide population based study of over 35,800 prostate cancer survivors has enabled robust investigation of variations in functional outcomes by presentation method. We found that almost one third of survey responders reported presenting via a PSA test without experiencing any symptoms prior to diagnosis. Urinary, bowel, sexual and hormone-related problems are known to vary among prostate cancer patients depending upon treatment type</w:t>
      </w:r>
      <w:r w:rsidR="00726E5E">
        <w:t>.</w:t>
      </w:r>
      <w:r w:rsidR="000604F3" w:rsidRPr="000604F3">
        <w:rPr>
          <w:vertAlign w:val="superscript"/>
        </w:rPr>
        <w:fldChar w:fldCharType="begin"/>
      </w:r>
      <w:r w:rsidR="000604F3" w:rsidRPr="000604F3">
        <w:rPr>
          <w:vertAlign w:val="superscript"/>
        </w:rPr>
        <w:instrText xml:space="preserve"> REF _Ref12369459 \r \h  \* MERGEFORMAT </w:instrText>
      </w:r>
      <w:r w:rsidR="000604F3" w:rsidRPr="000604F3">
        <w:rPr>
          <w:vertAlign w:val="superscript"/>
        </w:rPr>
      </w:r>
      <w:r w:rsidR="000604F3" w:rsidRPr="000604F3">
        <w:rPr>
          <w:vertAlign w:val="superscript"/>
        </w:rPr>
        <w:fldChar w:fldCharType="separate"/>
      </w:r>
      <w:r w:rsidR="000604F3" w:rsidRPr="000604F3">
        <w:rPr>
          <w:vertAlign w:val="superscript"/>
        </w:rPr>
        <w:t>12</w:t>
      </w:r>
      <w:r w:rsidR="000604F3" w:rsidRPr="000604F3">
        <w:rPr>
          <w:vertAlign w:val="superscript"/>
        </w:rPr>
        <w:fldChar w:fldCharType="end"/>
      </w:r>
      <w:r w:rsidR="00833175">
        <w:rPr>
          <w:vertAlign w:val="superscript"/>
        </w:rPr>
        <w:t>-</w:t>
      </w:r>
      <w:r w:rsidR="00833175">
        <w:rPr>
          <w:vertAlign w:val="superscript"/>
        </w:rPr>
        <w:fldChar w:fldCharType="begin"/>
      </w:r>
      <w:r w:rsidR="00833175">
        <w:rPr>
          <w:vertAlign w:val="superscript"/>
        </w:rPr>
        <w:instrText xml:space="preserve"> REF _Ref534892327 \r \h </w:instrText>
      </w:r>
      <w:r w:rsidR="00833175">
        <w:rPr>
          <w:vertAlign w:val="superscript"/>
        </w:rPr>
      </w:r>
      <w:r w:rsidR="00833175">
        <w:rPr>
          <w:vertAlign w:val="superscript"/>
        </w:rPr>
        <w:fldChar w:fldCharType="separate"/>
      </w:r>
      <w:r w:rsidR="00CA5035">
        <w:rPr>
          <w:vertAlign w:val="superscript"/>
        </w:rPr>
        <w:t>16</w:t>
      </w:r>
      <w:r w:rsidR="00833175">
        <w:rPr>
          <w:vertAlign w:val="superscript"/>
        </w:rPr>
        <w:fldChar w:fldCharType="end"/>
      </w:r>
      <w:r>
        <w:t xml:space="preserve"> </w:t>
      </w:r>
      <w:proofErr w:type="gramStart"/>
      <w:r>
        <w:t>To</w:t>
      </w:r>
      <w:proofErr w:type="gramEnd"/>
      <w:r>
        <w:t xml:space="preserve"> date, however, there has been limited investigation of whether these problems vary by method of presentation. We found that PSA-detected patients reported fewer urinary, bowel, sexual and hormone-related problems after treatment for their cancer and that these differences were independent of socio-demographic and clinical factors including treatment.</w:t>
      </w:r>
    </w:p>
    <w:p w14:paraId="41BD8D70" w14:textId="77777777" w:rsidR="00CB792E" w:rsidRDefault="00CB792E" w:rsidP="00CB792E"/>
    <w:p w14:paraId="1FE7CAAC" w14:textId="77777777" w:rsidR="00CB792E" w:rsidRDefault="00CB792E" w:rsidP="00CB792E">
      <w:r>
        <w:t>Uniquely with this large dataset we have also been able to investigate these patterns further by examining particular patient subgroups including age, stage, Gleason score and treatments received. Within each patient subgroup poorer outcomes were consistently reported by symptomatic men compared to those who were PSA-detected.</w:t>
      </w:r>
    </w:p>
    <w:p w14:paraId="1A56D8D1" w14:textId="77777777" w:rsidR="00CB792E" w:rsidRDefault="00CB792E" w:rsidP="00CB792E"/>
    <w:p w14:paraId="10C88379" w14:textId="29C047CD" w:rsidR="00CB792E" w:rsidRDefault="00CB792E" w:rsidP="00CB792E">
      <w:r>
        <w:t xml:space="preserve">Differences between symptomatic and PSA-detected men are not limited to functional issues. </w:t>
      </w:r>
      <w:r w:rsidR="002E2F79">
        <w:t>Drummond et al</w:t>
      </w:r>
      <w:r>
        <w:t xml:space="preserve"> highlighted greater levels of depression, anxiety and stress among symptomatic men independent of treatment type and stage</w:t>
      </w:r>
      <w:r w:rsidR="00726E5E">
        <w:t>.</w:t>
      </w:r>
      <w:r w:rsidRPr="00726E5E">
        <w:rPr>
          <w:vertAlign w:val="superscript"/>
        </w:rPr>
        <w:fldChar w:fldCharType="begin"/>
      </w:r>
      <w:r w:rsidRPr="00726E5E">
        <w:rPr>
          <w:vertAlign w:val="superscript"/>
        </w:rPr>
        <w:instrText xml:space="preserve"> REF _Ref527377911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CA5035">
        <w:rPr>
          <w:vertAlign w:val="superscript"/>
        </w:rPr>
        <w:t>17</w:t>
      </w:r>
      <w:r w:rsidRPr="00726E5E">
        <w:rPr>
          <w:vertAlign w:val="superscript"/>
        </w:rPr>
        <w:fldChar w:fldCharType="end"/>
      </w:r>
      <w:r>
        <w:t xml:space="preserve"> </w:t>
      </w:r>
      <w:r w:rsidR="000D697C">
        <w:t>Similar to our</w:t>
      </w:r>
      <w:r>
        <w:t xml:space="preserve"> study</w:t>
      </w:r>
      <w:r w:rsidR="000D697C">
        <w:t>, Drummond et al</w:t>
      </w:r>
      <w:r>
        <w:t xml:space="preserve"> also reported higher levels of incontinence, impotence, bowel problems and fatigue among symptomatic men</w:t>
      </w:r>
      <w:proofErr w:type="gramStart"/>
      <w:r>
        <w:t>,</w:t>
      </w:r>
      <w:proofErr w:type="gramEnd"/>
      <w:r w:rsidR="000604F3" w:rsidRPr="00726E5E">
        <w:rPr>
          <w:vertAlign w:val="superscript"/>
        </w:rPr>
        <w:fldChar w:fldCharType="begin"/>
      </w:r>
      <w:r w:rsidR="000604F3" w:rsidRPr="00726E5E">
        <w:rPr>
          <w:vertAlign w:val="superscript"/>
        </w:rPr>
        <w:instrText xml:space="preserve"> REF _Ref527377911 \r \h </w:instrText>
      </w:r>
      <w:r w:rsidR="000604F3">
        <w:rPr>
          <w:vertAlign w:val="superscript"/>
        </w:rPr>
        <w:instrText xml:space="preserve"> \* MERGEFORMAT </w:instrText>
      </w:r>
      <w:r w:rsidR="000604F3" w:rsidRPr="00726E5E">
        <w:rPr>
          <w:vertAlign w:val="superscript"/>
        </w:rPr>
      </w:r>
      <w:r w:rsidR="000604F3" w:rsidRPr="00726E5E">
        <w:rPr>
          <w:vertAlign w:val="superscript"/>
        </w:rPr>
        <w:fldChar w:fldCharType="separate"/>
      </w:r>
      <w:r w:rsidR="000604F3">
        <w:rPr>
          <w:vertAlign w:val="superscript"/>
        </w:rPr>
        <w:t>17</w:t>
      </w:r>
      <w:r w:rsidR="000604F3" w:rsidRPr="00726E5E">
        <w:rPr>
          <w:vertAlign w:val="superscript"/>
        </w:rPr>
        <w:fldChar w:fldCharType="end"/>
      </w:r>
      <w:r>
        <w:t xml:space="preserve"> although</w:t>
      </w:r>
      <w:r w:rsidR="000D697C">
        <w:t>,</w:t>
      </w:r>
      <w:r>
        <w:t xml:space="preserve"> unlike </w:t>
      </w:r>
      <w:r w:rsidR="000D697C">
        <w:t>our</w:t>
      </w:r>
      <w:r>
        <w:t xml:space="preserve"> study</w:t>
      </w:r>
      <w:r w:rsidR="000D697C">
        <w:t>,</w:t>
      </w:r>
      <w:r>
        <w:t xml:space="preserve"> these findings were not adjusted for treatment, stage and Gleason score at diagnosis.</w:t>
      </w:r>
    </w:p>
    <w:p w14:paraId="77687F9D" w14:textId="77777777" w:rsidR="00CB792E" w:rsidRDefault="00CB792E" w:rsidP="00CB792E"/>
    <w:p w14:paraId="7EF48EE3" w14:textId="68E45A03" w:rsidR="00CB792E" w:rsidRDefault="00CB792E" w:rsidP="00CB792E">
      <w:r>
        <w:lastRenderedPageBreak/>
        <w:t>Similar to other studies</w:t>
      </w:r>
      <w:proofErr w:type="gramStart"/>
      <w:r w:rsidR="00726E5E">
        <w:t>,</w:t>
      </w:r>
      <w:proofErr w:type="gramEnd"/>
      <w:r w:rsidRPr="00726E5E">
        <w:rPr>
          <w:vertAlign w:val="superscript"/>
        </w:rPr>
        <w:fldChar w:fldCharType="begin"/>
      </w:r>
      <w:r w:rsidRPr="00726E5E">
        <w:rPr>
          <w:vertAlign w:val="superscript"/>
        </w:rPr>
        <w:instrText xml:space="preserve"> REF _Ref527377911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0604F3">
        <w:rPr>
          <w:vertAlign w:val="superscript"/>
        </w:rPr>
        <w:t>17</w:t>
      </w:r>
      <w:r w:rsidRPr="00726E5E">
        <w:rPr>
          <w:vertAlign w:val="superscript"/>
        </w:rPr>
        <w:fldChar w:fldCharType="end"/>
      </w:r>
      <w:r w:rsidRPr="00726E5E">
        <w:rPr>
          <w:vertAlign w:val="superscript"/>
        </w:rPr>
        <w:t>-</w:t>
      </w:r>
      <w:r w:rsidRPr="00726E5E">
        <w:rPr>
          <w:vertAlign w:val="superscript"/>
        </w:rPr>
        <w:fldChar w:fldCharType="begin"/>
      </w:r>
      <w:r w:rsidRPr="00726E5E">
        <w:rPr>
          <w:vertAlign w:val="superscript"/>
        </w:rPr>
        <w:instrText xml:space="preserve"> REF _Ref527377912 \r \h </w:instrText>
      </w:r>
      <w:r w:rsidR="00726E5E">
        <w:rPr>
          <w:vertAlign w:val="superscript"/>
        </w:rPr>
        <w:instrText xml:space="preserve"> \* MERGEFORMAT </w:instrText>
      </w:r>
      <w:r w:rsidRPr="00726E5E">
        <w:rPr>
          <w:vertAlign w:val="superscript"/>
        </w:rPr>
      </w:r>
      <w:r w:rsidRPr="00726E5E">
        <w:rPr>
          <w:vertAlign w:val="superscript"/>
        </w:rPr>
        <w:fldChar w:fldCharType="separate"/>
      </w:r>
      <w:r w:rsidR="000604F3">
        <w:rPr>
          <w:vertAlign w:val="superscript"/>
        </w:rPr>
        <w:t>19</w:t>
      </w:r>
      <w:r w:rsidRPr="00726E5E">
        <w:rPr>
          <w:vertAlign w:val="superscript"/>
        </w:rPr>
        <w:fldChar w:fldCharType="end"/>
      </w:r>
      <w:r>
        <w:t xml:space="preserve"> PSA-detected men from this study had earlier stage of disease compared to symptomatically diagnosed men and were more likely to have brachytherapy than men who presented symptomatically, while symptomatic men were more likely to be treated with ADT. Given that adjusting for these factors did not eliminate differences in outcomes between different presentation methods, other factors are likely to be responsible for the better quality of </w:t>
      </w:r>
      <w:r w:rsidR="00D04265">
        <w:t>life</w:t>
      </w:r>
      <w:r>
        <w:t xml:space="preserve"> of PSA-detected men. A possible explanation is that PSA-detected men have better overall health and are less likely to have urinary, bowel and sexual problems prior to their prostate cancer diagnosis. PSA</w:t>
      </w:r>
      <w:r w:rsidR="003A5A3D">
        <w:t>-</w:t>
      </w:r>
      <w:r>
        <w:t>detected men might also have been better supported already and have received (or been able to access) interventions to ameliorate functional problems. Further research is warranted to determine whether the differences reported here are due to better underlying physical and mental health of PSA-detected men or other systematic differences between the groups.</w:t>
      </w:r>
      <w:r w:rsidR="007C58DA">
        <w:t xml:space="preserve"> </w:t>
      </w:r>
    </w:p>
    <w:p w14:paraId="071A8731" w14:textId="77777777" w:rsidR="00CB792E" w:rsidRDefault="00CB792E" w:rsidP="00CB792E"/>
    <w:p w14:paraId="1FC1057F" w14:textId="77777777" w:rsidR="00CB792E" w:rsidRDefault="00CB792E" w:rsidP="00CB792E">
      <w:r>
        <w:t xml:space="preserve">These findings suggest that men with symptomatic presentation need more follow up care for urinary, bowel and vitality/hormonal problems, regardless of whether these problems are due to treatment, background morbidity or lingering effects of presenting symptoms. Further research is required to assess whether investigation and treatment of symptoms prior to cancer patient management has a beneficial effect on functional outcomes. Importantly, these findings suggest method of presentation is a key factor in prostate </w:t>
      </w:r>
      <w:r w:rsidR="003A5A3D">
        <w:t xml:space="preserve">cancer </w:t>
      </w:r>
      <w:r>
        <w:t>outcome studies and is an important covariate when comparing outcomes between patient groups with differing proportions of men who are symptomatic and PSA-detected.</w:t>
      </w:r>
    </w:p>
    <w:p w14:paraId="4AFC906F" w14:textId="77777777" w:rsidR="00CB792E" w:rsidRDefault="00CB792E" w:rsidP="00CB792E"/>
    <w:p w14:paraId="563DCE1C" w14:textId="77777777" w:rsidR="00CB792E" w:rsidRPr="007B1C60" w:rsidRDefault="00CB792E" w:rsidP="00357B0B">
      <w:pPr>
        <w:pStyle w:val="Heading3"/>
      </w:pPr>
      <w:r>
        <w:lastRenderedPageBreak/>
        <w:t>S</w:t>
      </w:r>
      <w:r w:rsidRPr="007B1C60">
        <w:t>trengths and limitations</w:t>
      </w:r>
    </w:p>
    <w:p w14:paraId="1C18F592" w14:textId="6444B19A" w:rsidR="00CB792E" w:rsidRDefault="00CB792E" w:rsidP="00CB792E">
      <w:r>
        <w:t>Although this large population-based study had a good response rate and consisted of clinical data and patient reported outcomes, some limitations exist. Symptoms and treatments were self-reported and subjective rather than based upon clinical assessment or cancer-registration data. Also, while we have adjusted for clinical and socio-demographic factors, adjustments for treatment and background morbidity may be limited due to lack of information on treatment intensity (e.g. duration, frequency, radiation fraction, and ADT type), severity of co-morbidities or general health of patients before prostate cancer diagnosis. Additionally, the use of area based deprivation measures and employment status may not fully reflect each individual’s socio-economic status, thereby not fully capturing their health literacy and ability to negotiate health services.</w:t>
      </w:r>
    </w:p>
    <w:p w14:paraId="04919D03" w14:textId="77777777" w:rsidR="00CB792E" w:rsidRDefault="00CB792E" w:rsidP="00CB792E"/>
    <w:p w14:paraId="77A7FFE8" w14:textId="383E700E" w:rsidR="007C58DA" w:rsidRDefault="007C58DA" w:rsidP="007C58DA">
      <w:pPr>
        <w:tabs>
          <w:tab w:val="left" w:pos="7797"/>
        </w:tabs>
      </w:pPr>
      <w:r>
        <w:t>It is also worth highlighting that while differences reported in this study are statistically significant this does not necessarily mean that they represent clinically significant or meaningful differences.</w:t>
      </w:r>
      <w:r w:rsidRPr="007C58DA">
        <w:t xml:space="preserve"> </w:t>
      </w:r>
      <w:proofErr w:type="spellStart"/>
      <w:r>
        <w:t>Skolarus</w:t>
      </w:r>
      <w:proofErr w:type="spellEnd"/>
      <w:r>
        <w:t xml:space="preserve"> et al</w:t>
      </w:r>
      <w:r w:rsidRPr="007C58DA">
        <w:rPr>
          <w:vertAlign w:val="superscript"/>
        </w:rPr>
        <w:fldChar w:fldCharType="begin"/>
      </w:r>
      <w:r w:rsidRPr="007C58DA">
        <w:rPr>
          <w:vertAlign w:val="superscript"/>
        </w:rPr>
        <w:instrText xml:space="preserve"> REF _Ref12449644 \r \h </w:instrText>
      </w:r>
      <w:r>
        <w:rPr>
          <w:vertAlign w:val="superscript"/>
        </w:rPr>
        <w:instrText xml:space="preserve"> \* MERGEFORMAT </w:instrText>
      </w:r>
      <w:r w:rsidRPr="007C58DA">
        <w:rPr>
          <w:vertAlign w:val="superscript"/>
        </w:rPr>
      </w:r>
      <w:r w:rsidRPr="007C58DA">
        <w:rPr>
          <w:vertAlign w:val="superscript"/>
        </w:rPr>
        <w:fldChar w:fldCharType="separate"/>
      </w:r>
      <w:r w:rsidR="00CA5035">
        <w:rPr>
          <w:vertAlign w:val="superscript"/>
        </w:rPr>
        <w:t>29</w:t>
      </w:r>
      <w:r w:rsidRPr="007C58DA">
        <w:rPr>
          <w:vertAlign w:val="superscript"/>
        </w:rPr>
        <w:fldChar w:fldCharType="end"/>
      </w:r>
      <w:r>
        <w:t xml:space="preserve"> suggested clinically meaningful important differences (MID) for the EPIC-26 scores for comparisons at an individual level. In the event that these MIDs can be applied to populations, they suggest that only the differences</w:t>
      </w:r>
      <w:r w:rsidR="00776B04">
        <w:t xml:space="preserve"> in </w:t>
      </w:r>
      <w:r>
        <w:t>urinary irritation/</w:t>
      </w:r>
      <w:r w:rsidR="00AD44EC">
        <w:t>obstruction</w:t>
      </w:r>
      <w:r>
        <w:t xml:space="preserve"> and hormonal function for all patient subgroups, and </w:t>
      </w:r>
      <w:r w:rsidR="00AD44EC">
        <w:t>differences</w:t>
      </w:r>
      <w:r>
        <w:t xml:space="preserve"> for bowel function among younger men (aged under 64) may qualify as being clinically relevant. It is also important to note that conclusions about variations between patient groups may not necessarily reflect the experience of every individual patient.</w:t>
      </w:r>
    </w:p>
    <w:p w14:paraId="1C82C295" w14:textId="77777777" w:rsidR="00357B0B" w:rsidRDefault="00F12F06" w:rsidP="009A62FA">
      <w:pPr>
        <w:pStyle w:val="Heading2"/>
      </w:pPr>
      <w:r>
        <w:lastRenderedPageBreak/>
        <w:t>Co</w:t>
      </w:r>
      <w:r w:rsidR="00357B0B">
        <w:t>nclusion</w:t>
      </w:r>
    </w:p>
    <w:p w14:paraId="5F6F9B74" w14:textId="2E3F1733" w:rsidR="00CB792E" w:rsidRDefault="00CB792E" w:rsidP="00CB792E">
      <w:r>
        <w:t xml:space="preserve">Prostate cancer survivors who present symptomatically have poorer urinary, bowel, sexual and vitality/hormonal function than those who were PSA-detected. Differences are not explained by the socio-demographic and clinical factors collected in the study, with this pattern observed for survivors of different age, diagnosed at early and late stage and in receipt of different treatment types. Health professionals should be aware that men presenting symptomatically </w:t>
      </w:r>
      <w:r w:rsidR="00516373">
        <w:t>report more functional difficulties after prostate cancer treatment, although this may be a result of poorer general health prior to diagnosis</w:t>
      </w:r>
      <w:r>
        <w:t xml:space="preserve">. Furthermore, method of presentation should be </w:t>
      </w:r>
      <w:r w:rsidR="00516373">
        <w:t xml:space="preserve">considered as a covariate in future prostate cancer outcome studies as quality of life varies by this characteristic which may thus </w:t>
      </w:r>
      <w:r>
        <w:t>partially explain differences in outcome</w:t>
      </w:r>
      <w:r w:rsidR="00516373">
        <w:t>s</w:t>
      </w:r>
      <w:r>
        <w:t xml:space="preserve"> between patient groups</w:t>
      </w:r>
      <w:r w:rsidR="00516373">
        <w:t xml:space="preserve"> that have different proportions of symptomatic prostate cancer</w:t>
      </w:r>
      <w:r>
        <w:t xml:space="preserve">. </w:t>
      </w:r>
    </w:p>
    <w:p w14:paraId="5934F195" w14:textId="77777777" w:rsidR="00A36BA3" w:rsidRDefault="00A36BA3" w:rsidP="00A36BA3"/>
    <w:p w14:paraId="6E1121CD" w14:textId="77777777" w:rsidR="001C0707" w:rsidRDefault="001C0707" w:rsidP="00573AA2">
      <w:pPr>
        <w:pStyle w:val="NoSpacing"/>
        <w:rPr>
          <w:b/>
        </w:rPr>
        <w:sectPr w:rsidR="001C0707" w:rsidSect="000604F3">
          <w:pgSz w:w="11906" w:h="16838"/>
          <w:pgMar w:top="1440" w:right="1440" w:bottom="1440" w:left="1440" w:header="709" w:footer="709" w:gutter="0"/>
          <w:cols w:space="708"/>
          <w:docGrid w:linePitch="360"/>
        </w:sectPr>
      </w:pPr>
    </w:p>
    <w:p w14:paraId="383B9687" w14:textId="77777777" w:rsidR="009A62FA" w:rsidRDefault="00A36BA3" w:rsidP="009A62FA">
      <w:pPr>
        <w:pStyle w:val="NoSpacing"/>
        <w:rPr>
          <w:b/>
        </w:rPr>
      </w:pPr>
      <w:r w:rsidRPr="009A62FA">
        <w:rPr>
          <w:b/>
        </w:rPr>
        <w:lastRenderedPageBreak/>
        <w:t>Abbreviations</w:t>
      </w:r>
    </w:p>
    <w:p w14:paraId="610A7848" w14:textId="6A609995" w:rsidR="00A36BA3" w:rsidRPr="001F4FF0" w:rsidRDefault="00A36BA3" w:rsidP="009A62FA">
      <w:pPr>
        <w:pStyle w:val="NoSpacing"/>
      </w:pPr>
      <w:r w:rsidRPr="009A62FA">
        <w:t>AD</w:t>
      </w:r>
      <w:r w:rsidR="009A62FA" w:rsidRPr="009A62FA">
        <w:t xml:space="preserve">T: Androgen Deprivation Therapy, </w:t>
      </w:r>
      <w:r w:rsidRPr="009A62FA">
        <w:t>AMR: Adjusted Mean Ratio</w:t>
      </w:r>
      <w:r w:rsidR="009A62FA" w:rsidRPr="009A62FA">
        <w:t xml:space="preserve">, </w:t>
      </w:r>
      <w:r w:rsidRPr="009A62FA">
        <w:t>AOR: Adjusted Odds Ratio</w:t>
      </w:r>
      <w:r w:rsidR="009A62FA" w:rsidRPr="009A62FA">
        <w:t xml:space="preserve">, </w:t>
      </w:r>
      <w:r w:rsidRPr="009A62FA">
        <w:t>ANOVA: Analysis of Variance</w:t>
      </w:r>
      <w:r w:rsidR="009A62FA" w:rsidRPr="009A62FA">
        <w:t xml:space="preserve">, </w:t>
      </w:r>
      <w:r w:rsidRPr="009A62FA">
        <w:t>CI: Confidence Interval</w:t>
      </w:r>
      <w:r w:rsidR="009A62FA" w:rsidRPr="009A62FA">
        <w:t xml:space="preserve">, </w:t>
      </w:r>
      <w:r w:rsidRPr="009A62FA">
        <w:t>E</w:t>
      </w:r>
      <w:r w:rsidR="009A62FA" w:rsidRPr="009A62FA">
        <w:t xml:space="preserve">BRT: External-beam Radiotherapy, </w:t>
      </w:r>
      <w:r w:rsidRPr="009A62FA">
        <w:t>EPIC: Expanded Prostate Cancer Index Composite</w:t>
      </w:r>
      <w:r w:rsidR="009A62FA" w:rsidRPr="009A62FA">
        <w:t xml:space="preserve">, </w:t>
      </w:r>
      <w:r w:rsidRPr="009A62FA">
        <w:t>GP: General Practitioner</w:t>
      </w:r>
      <w:r w:rsidR="009A62FA" w:rsidRPr="009A62FA">
        <w:t xml:space="preserve">, </w:t>
      </w:r>
      <w:r w:rsidRPr="009A62FA">
        <w:t>LAPCD: Life After Prostate Cancer Diagnosis</w:t>
      </w:r>
      <w:r w:rsidR="009A62FA" w:rsidRPr="009A62FA">
        <w:t xml:space="preserve">, </w:t>
      </w:r>
      <w:r w:rsidR="001C0707">
        <w:t>MID: Minimally Important Difference</w:t>
      </w:r>
      <w:r w:rsidR="00BA7255">
        <w:t>,</w:t>
      </w:r>
      <w:r w:rsidR="001C0707">
        <w:t xml:space="preserve"> </w:t>
      </w:r>
      <w:r w:rsidRPr="009A62FA">
        <w:t>NI: Northern Ireland</w:t>
      </w:r>
      <w:r w:rsidR="009A62FA" w:rsidRPr="009A62FA">
        <w:t xml:space="preserve">, </w:t>
      </w:r>
      <w:r w:rsidRPr="009A62FA">
        <w:t>PSA: Prostate Specific Antigen</w:t>
      </w:r>
      <w:r w:rsidR="009A62FA" w:rsidRPr="009A62FA">
        <w:t xml:space="preserve">, </w:t>
      </w:r>
      <w:r w:rsidRPr="009A62FA">
        <w:t>UK: United Kingdom</w:t>
      </w:r>
    </w:p>
    <w:p w14:paraId="69B547AF" w14:textId="77777777" w:rsidR="00A36BA3" w:rsidRDefault="00A36BA3" w:rsidP="009A62FA">
      <w:pPr>
        <w:pStyle w:val="NoSpacing"/>
      </w:pPr>
    </w:p>
    <w:p w14:paraId="6A8BE322" w14:textId="77777777" w:rsidR="009A62FA" w:rsidRDefault="009A62FA" w:rsidP="009A62FA">
      <w:pPr>
        <w:pStyle w:val="NoSpacing"/>
        <w:rPr>
          <w:b/>
        </w:rPr>
      </w:pPr>
      <w:r w:rsidRPr="009A62FA">
        <w:rPr>
          <w:b/>
        </w:rPr>
        <w:t>Acknowledgements</w:t>
      </w:r>
    </w:p>
    <w:p w14:paraId="13957209" w14:textId="31381DE5" w:rsidR="009A62FA" w:rsidRDefault="009A62FA" w:rsidP="009A62FA">
      <w:pPr>
        <w:pStyle w:val="NoSpacing"/>
      </w:pPr>
      <w:r w:rsidRPr="009A62FA">
        <w:t xml:space="preserve">The authors thank all the patients who completed and returned surveys. We acknowledge the following people for their contribution to the development and running of the study: Rebecca Mottram, </w:t>
      </w:r>
      <w:proofErr w:type="spellStart"/>
      <w:r w:rsidRPr="009A62FA">
        <w:t>Majorie</w:t>
      </w:r>
      <w:proofErr w:type="spellEnd"/>
      <w:r w:rsidRPr="009A62FA">
        <w:t xml:space="preserve"> Allen, Heather Kinnear, Victoria Cairnduff, Oonagh McSorley, Conan Donnelly, Fraser Munro, Linda Roberts, Adrian Slater, Janet Warlow, Claire Wright, the LAPCD User Advisory Group and Clinical &amp; Scientific Advisory Group and Picker Institute Europe. This study is based in part on information collected and quality assured by the cancer registries in each country. Their work uses data provided by patients and collected by health services as part of their care and support. </w:t>
      </w:r>
      <w:r w:rsidR="001C0707">
        <w:t>We also like to thank the reviewers for their useful comments on the manuscript.</w:t>
      </w:r>
    </w:p>
    <w:p w14:paraId="67447F36" w14:textId="77777777" w:rsidR="00CB792E" w:rsidRDefault="00CB792E" w:rsidP="009A62FA">
      <w:pPr>
        <w:pStyle w:val="NoSpacing"/>
      </w:pPr>
      <w:r>
        <w:t xml:space="preserve"> </w:t>
      </w:r>
    </w:p>
    <w:p w14:paraId="49D12072" w14:textId="77777777" w:rsidR="009A62FA" w:rsidRDefault="009A62FA" w:rsidP="009A62FA">
      <w:pPr>
        <w:pStyle w:val="NoSpacing"/>
        <w:rPr>
          <w:b/>
        </w:rPr>
      </w:pPr>
      <w:r w:rsidRPr="009A62FA">
        <w:rPr>
          <w:b/>
        </w:rPr>
        <w:t>Funding</w:t>
      </w:r>
    </w:p>
    <w:p w14:paraId="76D6897B" w14:textId="77777777" w:rsidR="009A62FA" w:rsidRDefault="009A62FA" w:rsidP="009A62FA">
      <w:pPr>
        <w:pStyle w:val="NoSpacing"/>
      </w:pPr>
      <w:r w:rsidRPr="00357B0B">
        <w:t xml:space="preserve">The Life </w:t>
      </w:r>
      <w:proofErr w:type="gramStart"/>
      <w:r w:rsidRPr="00357B0B">
        <w:t>After</w:t>
      </w:r>
      <w:proofErr w:type="gramEnd"/>
      <w:r w:rsidRPr="00357B0B">
        <w:t xml:space="preserve"> Prostate Cancer Diagnosis study was funded by the </w:t>
      </w:r>
      <w:proofErr w:type="spellStart"/>
      <w:r w:rsidRPr="00357B0B">
        <w:t>Movember</w:t>
      </w:r>
      <w:proofErr w:type="spellEnd"/>
      <w:r w:rsidRPr="00357B0B">
        <w:t xml:space="preserve"> Foundation, in partnership with Prostate Cancer UK, as part of the Prostate Cancer Outcomes programme, grant number BO26/MO. The funders had no role in the study design, data collection, analysis and interpretation of results, or writing of the manuscript.  </w:t>
      </w:r>
    </w:p>
    <w:p w14:paraId="1F652C3F" w14:textId="77777777" w:rsidR="00573AA2" w:rsidRPr="00357B0B" w:rsidRDefault="00573AA2" w:rsidP="009A62FA">
      <w:pPr>
        <w:pStyle w:val="NoSpacing"/>
      </w:pPr>
    </w:p>
    <w:p w14:paraId="075F2A68" w14:textId="77777777" w:rsidR="009A62FA" w:rsidRDefault="009A62FA" w:rsidP="009A62FA">
      <w:pPr>
        <w:pStyle w:val="NoSpacing"/>
        <w:rPr>
          <w:b/>
        </w:rPr>
      </w:pPr>
      <w:r>
        <w:rPr>
          <w:b/>
        </w:rPr>
        <w:t>Availability of data and materials</w:t>
      </w:r>
    </w:p>
    <w:p w14:paraId="7E503EAC" w14:textId="0718E1DD" w:rsidR="005D5628" w:rsidRDefault="002B18D3" w:rsidP="002B18D3">
      <w:pPr>
        <w:pStyle w:val="NoSpacing"/>
      </w:pPr>
      <w:r>
        <w:t xml:space="preserve">The datasets generated and/or analysed </w:t>
      </w:r>
      <w:r w:rsidR="00EE2CA9">
        <w:t>duri</w:t>
      </w:r>
      <w:r>
        <w:t>n</w:t>
      </w:r>
      <w:r w:rsidR="00EE2CA9">
        <w:t>g</w:t>
      </w:r>
      <w:r>
        <w:t xml:space="preserve"> the current study are not available publicly as eligible patients were informed at the time of the survey that their data would be stored securely and confidentially.</w:t>
      </w:r>
      <w:r w:rsidR="00EE2CA9">
        <w:t xml:space="preserve"> </w:t>
      </w:r>
      <w:r w:rsidR="005D5628">
        <w:t>The process</w:t>
      </w:r>
      <w:r w:rsidR="00A3292E">
        <w:t>es</w:t>
      </w:r>
      <w:r w:rsidR="005D5628">
        <w:t xml:space="preserve"> for accessing the data used are available from the corresponding author.</w:t>
      </w:r>
    </w:p>
    <w:p w14:paraId="3280FA6A" w14:textId="77777777" w:rsidR="005D5628" w:rsidRDefault="005D5628" w:rsidP="002B18D3">
      <w:pPr>
        <w:pStyle w:val="NoSpacing"/>
      </w:pPr>
    </w:p>
    <w:p w14:paraId="0EEA8097" w14:textId="77777777" w:rsidR="00862B8B" w:rsidRPr="00862B8B" w:rsidRDefault="00862B8B" w:rsidP="00862B8B">
      <w:pPr>
        <w:pStyle w:val="NoSpacing"/>
        <w:rPr>
          <w:b/>
        </w:rPr>
      </w:pPr>
      <w:r w:rsidRPr="00862B8B">
        <w:rPr>
          <w:b/>
        </w:rPr>
        <w:t xml:space="preserve">Author </w:t>
      </w:r>
      <w:r w:rsidR="002421E3">
        <w:rPr>
          <w:b/>
        </w:rPr>
        <w:t>c</w:t>
      </w:r>
      <w:r w:rsidRPr="00862B8B">
        <w:rPr>
          <w:b/>
        </w:rPr>
        <w:t xml:space="preserve">ontributors: </w:t>
      </w:r>
    </w:p>
    <w:p w14:paraId="5553E111" w14:textId="086D235D" w:rsidR="009A62FA" w:rsidRDefault="00573AA2" w:rsidP="00573AA2">
      <w:pPr>
        <w:pStyle w:val="NoSpacing"/>
      </w:pPr>
      <w:r w:rsidRPr="00573AA2">
        <w:t xml:space="preserve">AD, PW, EW, RW, AG and AWG designed the study. AG and AWG are co-Principal Investigators. DD </w:t>
      </w:r>
      <w:r>
        <w:t xml:space="preserve">and LV </w:t>
      </w:r>
      <w:r w:rsidRPr="00573AA2">
        <w:t xml:space="preserve">conducted the statistical analysis and wrote the initial draft of the paper. WC, MM and LS are members of the Clinical &amp; Scientific Advisory Group and provided study oversight. </w:t>
      </w:r>
      <w:r w:rsidR="00B57DD7">
        <w:t>DD, LV, TK, LS, DM, SW, AD, PW, EW, RW, WC, MM, SS, JV, AWG and AG</w:t>
      </w:r>
      <w:r w:rsidRPr="00573AA2">
        <w:t xml:space="preserve"> contributed to</w:t>
      </w:r>
      <w:r>
        <w:t xml:space="preserve"> the interpretation of results</w:t>
      </w:r>
      <w:r w:rsidR="00B57DD7">
        <w:t>,</w:t>
      </w:r>
      <w:r>
        <w:t xml:space="preserve"> </w:t>
      </w:r>
      <w:r w:rsidRPr="00573AA2">
        <w:t>critical revisi</w:t>
      </w:r>
      <w:r>
        <w:t>o</w:t>
      </w:r>
      <w:r w:rsidRPr="00573AA2">
        <w:t xml:space="preserve">n </w:t>
      </w:r>
      <w:r>
        <w:t xml:space="preserve">of </w:t>
      </w:r>
      <w:r w:rsidRPr="00573AA2">
        <w:t xml:space="preserve">the </w:t>
      </w:r>
      <w:r>
        <w:t>manuscript</w:t>
      </w:r>
      <w:r w:rsidR="00B57DD7">
        <w:t xml:space="preserve"> and </w:t>
      </w:r>
      <w:r w:rsidRPr="00573AA2">
        <w:t>approv</w:t>
      </w:r>
      <w:r w:rsidR="00B57DD7">
        <w:t>al of the</w:t>
      </w:r>
      <w:r w:rsidRPr="00573AA2">
        <w:t xml:space="preserve"> final version.</w:t>
      </w:r>
    </w:p>
    <w:p w14:paraId="40611889" w14:textId="77777777" w:rsidR="00B57DD7" w:rsidRDefault="00B57DD7" w:rsidP="00573AA2">
      <w:pPr>
        <w:pStyle w:val="NoSpacing"/>
      </w:pPr>
    </w:p>
    <w:p w14:paraId="07965607" w14:textId="77777777" w:rsidR="009A62FA" w:rsidRPr="009A62FA" w:rsidRDefault="009A62FA" w:rsidP="009A62FA">
      <w:pPr>
        <w:pStyle w:val="NoSpacing"/>
        <w:rPr>
          <w:b/>
        </w:rPr>
      </w:pPr>
      <w:r w:rsidRPr="009A62FA">
        <w:rPr>
          <w:b/>
        </w:rPr>
        <w:t>Ethic</w:t>
      </w:r>
      <w:r w:rsidR="00862B8B">
        <w:rPr>
          <w:b/>
        </w:rPr>
        <w:t>s approval and consent to participate</w:t>
      </w:r>
    </w:p>
    <w:p w14:paraId="2D6F0BBB" w14:textId="77777777" w:rsidR="009A62FA" w:rsidRDefault="009A62FA" w:rsidP="009A62FA">
      <w:pPr>
        <w:pStyle w:val="NoSpacing"/>
      </w:pPr>
      <w:r>
        <w:t>The study received the following approvals: Newcastle &amp; North Tyneside 1 Research Ethics Committee (15/NE/0036), Confidentiality Advisory Group (15/CAG/0110), NHS Scotland Public Benefit and Privacy Panel (0516-0364), Office of Research Ethics Northern Ireland (16/NI/0073) and NHS R&amp;D approval from Wales, Scotland and Northern Ireland.</w:t>
      </w:r>
      <w:r w:rsidR="00862B8B">
        <w:t xml:space="preserve"> Eligible patients consented to be included by return of a completed questionnaire. </w:t>
      </w:r>
    </w:p>
    <w:p w14:paraId="669461CA" w14:textId="77777777" w:rsidR="00E5063A" w:rsidRDefault="00E5063A" w:rsidP="00A76B15">
      <w:pPr>
        <w:pStyle w:val="NoSpacing"/>
        <w:rPr>
          <w:b/>
        </w:rPr>
      </w:pPr>
    </w:p>
    <w:p w14:paraId="05AEDDFB" w14:textId="77777777" w:rsidR="00A767C4" w:rsidRDefault="00A767C4" w:rsidP="00A76B15">
      <w:pPr>
        <w:pStyle w:val="NoSpacing"/>
        <w:rPr>
          <w:b/>
        </w:rPr>
      </w:pPr>
    </w:p>
    <w:p w14:paraId="65786ECD" w14:textId="77777777" w:rsidR="009A62FA" w:rsidRDefault="009A62FA" w:rsidP="009A62FA">
      <w:pPr>
        <w:pStyle w:val="NoSpacing"/>
        <w:rPr>
          <w:b/>
        </w:rPr>
      </w:pPr>
      <w:r>
        <w:rPr>
          <w:b/>
        </w:rPr>
        <w:lastRenderedPageBreak/>
        <w:t>Consent for publication</w:t>
      </w:r>
    </w:p>
    <w:p w14:paraId="583FA84E" w14:textId="1AABCE67" w:rsidR="009A62FA" w:rsidRPr="009A62FA" w:rsidRDefault="004A434D" w:rsidP="009A62FA">
      <w:pPr>
        <w:pStyle w:val="NoSpacing"/>
      </w:pPr>
      <w:r>
        <w:t>Not Applicable</w:t>
      </w:r>
      <w:r w:rsidR="009A62FA" w:rsidRPr="009A62FA">
        <w:t>.</w:t>
      </w:r>
    </w:p>
    <w:p w14:paraId="1D289F84" w14:textId="77777777" w:rsidR="009A62FA" w:rsidRDefault="009A62FA" w:rsidP="009A62FA">
      <w:pPr>
        <w:pStyle w:val="NoSpacing"/>
        <w:rPr>
          <w:b/>
        </w:rPr>
      </w:pPr>
    </w:p>
    <w:p w14:paraId="3A7C4300" w14:textId="77777777" w:rsidR="00357B0B" w:rsidRPr="009A62FA" w:rsidRDefault="009A62FA" w:rsidP="009A62FA">
      <w:pPr>
        <w:pStyle w:val="NoSpacing"/>
        <w:rPr>
          <w:b/>
        </w:rPr>
      </w:pPr>
      <w:r>
        <w:rPr>
          <w:b/>
        </w:rPr>
        <w:t>Competing interests</w:t>
      </w:r>
    </w:p>
    <w:p w14:paraId="4C232BBE" w14:textId="3A355F4D" w:rsidR="00357B0B" w:rsidRDefault="00480BE8" w:rsidP="00357B0B">
      <w:pPr>
        <w:pStyle w:val="NoSpacing"/>
      </w:pPr>
      <w:r>
        <w:t>DD</w:t>
      </w:r>
      <w:r w:rsidR="00357B0B">
        <w:t xml:space="preserve">, </w:t>
      </w:r>
      <w:r>
        <w:t>TK</w:t>
      </w:r>
      <w:r w:rsidR="00357B0B">
        <w:t>, SW, AD, EW, RW</w:t>
      </w:r>
      <w:r>
        <w:t>,</w:t>
      </w:r>
      <w:r w:rsidR="00357B0B">
        <w:t xml:space="preserve"> A</w:t>
      </w:r>
      <w:r>
        <w:t>W</w:t>
      </w:r>
      <w:r w:rsidR="00357B0B">
        <w:t xml:space="preserve">G and AG report funding from Prostate Cancer UK &amp; </w:t>
      </w:r>
      <w:proofErr w:type="spellStart"/>
      <w:r w:rsidR="00357B0B">
        <w:t>Movember</w:t>
      </w:r>
      <w:proofErr w:type="spellEnd"/>
      <w:r w:rsidR="00357B0B">
        <w:t xml:space="preserve"> Foundation during the conduct of the study. </w:t>
      </w:r>
      <w:r w:rsidR="004A434D">
        <w:t xml:space="preserve">AD declares membership of the BMC Cancer editorial board (Associate Editor). </w:t>
      </w:r>
      <w:r w:rsidR="00357B0B">
        <w:t>M</w:t>
      </w:r>
      <w:r w:rsidR="00357B0B" w:rsidRPr="00357B0B">
        <w:t xml:space="preserve">M declares other relationship from </w:t>
      </w:r>
      <w:proofErr w:type="spellStart"/>
      <w:r w:rsidR="00357B0B" w:rsidRPr="00357B0B">
        <w:t>Endocyte</w:t>
      </w:r>
      <w:proofErr w:type="spellEnd"/>
      <w:r w:rsidR="00357B0B" w:rsidRPr="00357B0B">
        <w:t xml:space="preserve">. </w:t>
      </w:r>
      <w:r w:rsidR="00357B0B">
        <w:t>W</w:t>
      </w:r>
      <w:r w:rsidR="00357B0B" w:rsidRPr="00357B0B">
        <w:t>C declares research funding from Myriad Genetics, consultancy or advisory role from Bayer, Speakers Bureau from Prostate Cancer UK. All other authors declare no conflicts of interest.</w:t>
      </w:r>
    </w:p>
    <w:p w14:paraId="7C520291" w14:textId="77777777" w:rsidR="00357B0B" w:rsidRDefault="00357B0B" w:rsidP="00357B0B">
      <w:pPr>
        <w:pStyle w:val="NoSpacing"/>
      </w:pPr>
    </w:p>
    <w:p w14:paraId="7139801D" w14:textId="77777777" w:rsidR="00357B0B" w:rsidRDefault="00357B0B" w:rsidP="00A76B15">
      <w:pPr>
        <w:pStyle w:val="NoSpacing"/>
        <w:rPr>
          <w:b/>
        </w:rPr>
      </w:pPr>
    </w:p>
    <w:p w14:paraId="45F4DA16" w14:textId="77777777" w:rsidR="00CB792E" w:rsidRDefault="00CB792E" w:rsidP="00A76B15">
      <w:pPr>
        <w:pStyle w:val="NoSpacing"/>
      </w:pPr>
      <w:r>
        <w:tab/>
      </w:r>
    </w:p>
    <w:p w14:paraId="5D5F5A14" w14:textId="77777777" w:rsidR="00CB792E" w:rsidRDefault="00CB792E" w:rsidP="00CB792E">
      <w:pPr>
        <w:sectPr w:rsidR="00CB792E" w:rsidSect="00376C02">
          <w:pgSz w:w="11906" w:h="16838"/>
          <w:pgMar w:top="1440" w:right="1440" w:bottom="1440" w:left="1440" w:header="709" w:footer="709" w:gutter="0"/>
          <w:cols w:space="708"/>
          <w:docGrid w:linePitch="360"/>
        </w:sectPr>
      </w:pPr>
    </w:p>
    <w:p w14:paraId="2E0F942C" w14:textId="77777777" w:rsidR="00CB792E" w:rsidRDefault="00CB792E" w:rsidP="00CB792E">
      <w:pPr>
        <w:pStyle w:val="Heading2"/>
      </w:pPr>
      <w:r>
        <w:lastRenderedPageBreak/>
        <w:t>References</w:t>
      </w:r>
    </w:p>
    <w:p w14:paraId="26B42CD5" w14:textId="77777777" w:rsidR="00CB792E" w:rsidRPr="00AF7F5D" w:rsidRDefault="00CB792E" w:rsidP="005F11C1">
      <w:pPr>
        <w:pStyle w:val="ListParagraph"/>
        <w:numPr>
          <w:ilvl w:val="0"/>
          <w:numId w:val="4"/>
        </w:numPr>
        <w:spacing w:line="240" w:lineRule="auto"/>
        <w:ind w:hanging="340"/>
        <w:jc w:val="left"/>
        <w:rPr>
          <w:sz w:val="20"/>
          <w:szCs w:val="20"/>
        </w:rPr>
      </w:pPr>
      <w:bookmarkStart w:id="1" w:name="_Ref527377834"/>
      <w:r w:rsidRPr="00AF7F5D">
        <w:rPr>
          <w:sz w:val="20"/>
          <w:szCs w:val="20"/>
        </w:rPr>
        <w:t xml:space="preserve">Torre LA, Siegel RL, Ward EM, </w:t>
      </w:r>
      <w:proofErr w:type="spellStart"/>
      <w:r w:rsidRPr="00AF7F5D">
        <w:rPr>
          <w:sz w:val="20"/>
          <w:szCs w:val="20"/>
        </w:rPr>
        <w:t>Jemal</w:t>
      </w:r>
      <w:proofErr w:type="spellEnd"/>
      <w:r w:rsidRPr="00AF7F5D">
        <w:rPr>
          <w:sz w:val="20"/>
          <w:szCs w:val="20"/>
        </w:rPr>
        <w:t xml:space="preserve"> A. Global cancer incidence and mortality rates and trends </w:t>
      </w:r>
      <w:proofErr w:type="gramStart"/>
      <w:r w:rsidRPr="00AF7F5D">
        <w:rPr>
          <w:sz w:val="20"/>
          <w:szCs w:val="20"/>
        </w:rPr>
        <w:t>An</w:t>
      </w:r>
      <w:proofErr w:type="gramEnd"/>
      <w:r w:rsidRPr="00AF7F5D">
        <w:rPr>
          <w:sz w:val="20"/>
          <w:szCs w:val="20"/>
        </w:rPr>
        <w:t xml:space="preserve"> update. Cancer </w:t>
      </w:r>
      <w:proofErr w:type="spellStart"/>
      <w:r w:rsidRPr="00AF7F5D">
        <w:rPr>
          <w:sz w:val="20"/>
          <w:szCs w:val="20"/>
        </w:rPr>
        <w:t>Epidemiol</w:t>
      </w:r>
      <w:proofErr w:type="spellEnd"/>
      <w:r w:rsidRPr="00AF7F5D">
        <w:rPr>
          <w:sz w:val="20"/>
          <w:szCs w:val="20"/>
        </w:rPr>
        <w:t xml:space="preserve"> Biomarkers </w:t>
      </w:r>
      <w:proofErr w:type="spellStart"/>
      <w:r w:rsidRPr="00AF7F5D">
        <w:rPr>
          <w:sz w:val="20"/>
          <w:szCs w:val="20"/>
        </w:rPr>
        <w:t>Prev</w:t>
      </w:r>
      <w:proofErr w:type="spellEnd"/>
      <w:r w:rsidRPr="00AF7F5D">
        <w:rPr>
          <w:sz w:val="20"/>
          <w:szCs w:val="20"/>
        </w:rPr>
        <w:t xml:space="preserve"> 2016; 25:16–27.</w:t>
      </w:r>
      <w:bookmarkEnd w:id="1"/>
      <w:r w:rsidRPr="00AF7F5D">
        <w:rPr>
          <w:sz w:val="20"/>
          <w:szCs w:val="20"/>
        </w:rPr>
        <w:t xml:space="preserve"> </w:t>
      </w:r>
      <w:r w:rsidR="005F11C1" w:rsidRPr="005F11C1">
        <w:rPr>
          <w:sz w:val="20"/>
          <w:szCs w:val="20"/>
        </w:rPr>
        <w:t>doi:10.1158/1055-9965.EPI-15-0578</w:t>
      </w:r>
    </w:p>
    <w:p w14:paraId="6928C0D7" w14:textId="77777777" w:rsidR="00CB792E" w:rsidRPr="00AF7F5D" w:rsidRDefault="00CB792E" w:rsidP="00CB792E">
      <w:pPr>
        <w:pStyle w:val="ListParagraph"/>
        <w:numPr>
          <w:ilvl w:val="0"/>
          <w:numId w:val="4"/>
        </w:numPr>
        <w:spacing w:line="240" w:lineRule="auto"/>
        <w:ind w:hanging="340"/>
        <w:jc w:val="left"/>
        <w:rPr>
          <w:sz w:val="20"/>
          <w:szCs w:val="20"/>
        </w:rPr>
      </w:pPr>
      <w:bookmarkStart w:id="2" w:name="_Ref527377835"/>
      <w:r w:rsidRPr="00AF7F5D">
        <w:rPr>
          <w:sz w:val="20"/>
          <w:szCs w:val="20"/>
        </w:rPr>
        <w:t>International Agency for Research on Cancer (IARC). Prostate cancer: Estimated Incidence, Mortality and Prevalence Worldwide in 2012. Available from: http://globocan.iarc.fr/Pages/fact_sheets_cancer.aspx. Accessed June 2018.</w:t>
      </w:r>
      <w:bookmarkEnd w:id="2"/>
    </w:p>
    <w:p w14:paraId="5B7AF3A9" w14:textId="77777777" w:rsidR="00CB792E" w:rsidRPr="00AF7F5D" w:rsidRDefault="00CB792E" w:rsidP="00CB792E">
      <w:pPr>
        <w:pStyle w:val="ListParagraph"/>
        <w:numPr>
          <w:ilvl w:val="0"/>
          <w:numId w:val="4"/>
        </w:numPr>
        <w:spacing w:line="240" w:lineRule="auto"/>
        <w:ind w:hanging="340"/>
        <w:jc w:val="left"/>
        <w:rPr>
          <w:sz w:val="20"/>
          <w:szCs w:val="20"/>
        </w:rPr>
      </w:pPr>
      <w:bookmarkStart w:id="3" w:name="_Ref527377846"/>
      <w:r w:rsidRPr="00AF7F5D">
        <w:rPr>
          <w:sz w:val="20"/>
          <w:szCs w:val="20"/>
        </w:rPr>
        <w:t>Hamilton W, Sharp D. Symptomatic diagnosis of prostate cancer in primary care: a structured revi</w:t>
      </w:r>
      <w:r w:rsidR="004A5C39">
        <w:rPr>
          <w:sz w:val="20"/>
          <w:szCs w:val="20"/>
        </w:rPr>
        <w:t xml:space="preserve">ew. Br J Gen </w:t>
      </w:r>
      <w:proofErr w:type="spellStart"/>
      <w:r w:rsidR="004A5C39">
        <w:rPr>
          <w:sz w:val="20"/>
          <w:szCs w:val="20"/>
        </w:rPr>
        <w:t>Pract</w:t>
      </w:r>
      <w:proofErr w:type="spellEnd"/>
      <w:r w:rsidR="004A5C39">
        <w:rPr>
          <w:sz w:val="20"/>
          <w:szCs w:val="20"/>
        </w:rPr>
        <w:t xml:space="preserve"> 2004; 54:617-</w:t>
      </w:r>
      <w:r w:rsidRPr="00AF7F5D">
        <w:rPr>
          <w:sz w:val="20"/>
          <w:szCs w:val="20"/>
        </w:rPr>
        <w:t>21.</w:t>
      </w:r>
      <w:bookmarkEnd w:id="3"/>
      <w:r w:rsidRPr="00AF7F5D">
        <w:rPr>
          <w:sz w:val="20"/>
          <w:szCs w:val="20"/>
        </w:rPr>
        <w:t xml:space="preserve"> </w:t>
      </w:r>
    </w:p>
    <w:p w14:paraId="0B9730AF" w14:textId="77777777" w:rsidR="001B6340" w:rsidRDefault="001B6340" w:rsidP="005F11C1">
      <w:pPr>
        <w:pStyle w:val="ListParagraph"/>
        <w:numPr>
          <w:ilvl w:val="0"/>
          <w:numId w:val="4"/>
        </w:numPr>
        <w:spacing w:line="240" w:lineRule="auto"/>
        <w:ind w:hanging="340"/>
        <w:jc w:val="left"/>
        <w:rPr>
          <w:sz w:val="20"/>
          <w:szCs w:val="20"/>
        </w:rPr>
      </w:pPr>
      <w:bookmarkStart w:id="4" w:name="_Ref527377858"/>
      <w:bookmarkStart w:id="5" w:name="_Ref12441113"/>
      <w:proofErr w:type="spellStart"/>
      <w:r w:rsidRPr="001B6340">
        <w:rPr>
          <w:sz w:val="20"/>
          <w:szCs w:val="20"/>
        </w:rPr>
        <w:t>Schröder</w:t>
      </w:r>
      <w:proofErr w:type="spellEnd"/>
      <w:r w:rsidRPr="001B6340">
        <w:rPr>
          <w:sz w:val="20"/>
          <w:szCs w:val="20"/>
        </w:rPr>
        <w:t xml:space="preserve"> FH, </w:t>
      </w:r>
      <w:proofErr w:type="spellStart"/>
      <w:r w:rsidRPr="001B6340">
        <w:rPr>
          <w:sz w:val="20"/>
          <w:szCs w:val="20"/>
        </w:rPr>
        <w:t>Hugosson</w:t>
      </w:r>
      <w:proofErr w:type="spellEnd"/>
      <w:r w:rsidRPr="001B6340">
        <w:rPr>
          <w:sz w:val="20"/>
          <w:szCs w:val="20"/>
        </w:rPr>
        <w:t xml:space="preserve"> J, </w:t>
      </w:r>
      <w:proofErr w:type="spellStart"/>
      <w:r w:rsidRPr="001B6340">
        <w:rPr>
          <w:sz w:val="20"/>
          <w:szCs w:val="20"/>
        </w:rPr>
        <w:t>Roobol</w:t>
      </w:r>
      <w:proofErr w:type="spellEnd"/>
      <w:r w:rsidRPr="001B6340">
        <w:rPr>
          <w:sz w:val="20"/>
          <w:szCs w:val="20"/>
        </w:rPr>
        <w:t xml:space="preserve"> MJ, </w:t>
      </w:r>
      <w:proofErr w:type="spellStart"/>
      <w:r w:rsidRPr="001B6340">
        <w:rPr>
          <w:sz w:val="20"/>
          <w:szCs w:val="20"/>
        </w:rPr>
        <w:t>Tammela</w:t>
      </w:r>
      <w:proofErr w:type="spellEnd"/>
      <w:r w:rsidRPr="001B6340">
        <w:rPr>
          <w:sz w:val="20"/>
          <w:szCs w:val="20"/>
        </w:rPr>
        <w:t xml:space="preserve"> TL, Zappa M, </w:t>
      </w:r>
      <w:proofErr w:type="spellStart"/>
      <w:r w:rsidRPr="001B6340">
        <w:rPr>
          <w:sz w:val="20"/>
          <w:szCs w:val="20"/>
        </w:rPr>
        <w:t>Nelen</w:t>
      </w:r>
      <w:proofErr w:type="spellEnd"/>
      <w:r w:rsidRPr="001B6340">
        <w:rPr>
          <w:sz w:val="20"/>
          <w:szCs w:val="20"/>
        </w:rPr>
        <w:t xml:space="preserve"> V, </w:t>
      </w:r>
      <w:r w:rsidR="00025150">
        <w:rPr>
          <w:sz w:val="20"/>
          <w:szCs w:val="20"/>
        </w:rPr>
        <w:t>et al</w:t>
      </w:r>
      <w:r w:rsidR="00CB792E" w:rsidRPr="001B6340">
        <w:rPr>
          <w:sz w:val="20"/>
          <w:szCs w:val="20"/>
        </w:rPr>
        <w:t xml:space="preserve">. Screening and prostate cancer mortality: results of the European Randomised Study of Screening for Prostate Cancer (ERSPC) at 13 years of follow-up. </w:t>
      </w:r>
      <w:r w:rsidR="00710D17" w:rsidRPr="001B6340">
        <w:rPr>
          <w:sz w:val="20"/>
          <w:szCs w:val="20"/>
        </w:rPr>
        <w:t>Lancet 2014</w:t>
      </w:r>
      <w:r w:rsidR="00CB792E" w:rsidRPr="001B6340">
        <w:rPr>
          <w:sz w:val="20"/>
          <w:szCs w:val="20"/>
        </w:rPr>
        <w:t>; 384:2027-35.</w:t>
      </w:r>
      <w:bookmarkEnd w:id="4"/>
      <w:r w:rsidR="005F11C1">
        <w:rPr>
          <w:sz w:val="20"/>
          <w:szCs w:val="20"/>
        </w:rPr>
        <w:t xml:space="preserve"> </w:t>
      </w:r>
      <w:r w:rsidR="005F11C1" w:rsidRPr="005F11C1">
        <w:rPr>
          <w:sz w:val="20"/>
          <w:szCs w:val="20"/>
        </w:rPr>
        <w:t>doi:10.1016/S0140-6736(14)60525-0</w:t>
      </w:r>
      <w:bookmarkEnd w:id="5"/>
      <w:r w:rsidR="00CB792E" w:rsidRPr="001B6340">
        <w:rPr>
          <w:sz w:val="20"/>
          <w:szCs w:val="20"/>
        </w:rPr>
        <w:t xml:space="preserve"> </w:t>
      </w:r>
    </w:p>
    <w:p w14:paraId="42336092" w14:textId="77777777" w:rsidR="00CB792E" w:rsidRPr="001B6340" w:rsidRDefault="001B6340" w:rsidP="005F11C1">
      <w:pPr>
        <w:pStyle w:val="ListParagraph"/>
        <w:numPr>
          <w:ilvl w:val="0"/>
          <w:numId w:val="4"/>
        </w:numPr>
        <w:spacing w:line="240" w:lineRule="auto"/>
        <w:ind w:hanging="340"/>
        <w:jc w:val="left"/>
        <w:rPr>
          <w:sz w:val="20"/>
          <w:szCs w:val="20"/>
        </w:rPr>
      </w:pPr>
      <w:proofErr w:type="spellStart"/>
      <w:r w:rsidRPr="001B6340">
        <w:rPr>
          <w:sz w:val="20"/>
          <w:szCs w:val="20"/>
        </w:rPr>
        <w:t>Andriole</w:t>
      </w:r>
      <w:proofErr w:type="spellEnd"/>
      <w:r w:rsidRPr="001B6340">
        <w:rPr>
          <w:sz w:val="20"/>
          <w:szCs w:val="20"/>
        </w:rPr>
        <w:t xml:space="preserve"> GL, Crawford ED, Grubb RL 3rd, Buys SS, Chia D, Church TR, </w:t>
      </w:r>
      <w:r w:rsidR="00025150">
        <w:rPr>
          <w:sz w:val="20"/>
          <w:szCs w:val="20"/>
        </w:rPr>
        <w:t>et al</w:t>
      </w:r>
      <w:r w:rsidR="00CB792E" w:rsidRPr="001B6340">
        <w:rPr>
          <w:sz w:val="20"/>
          <w:szCs w:val="20"/>
        </w:rPr>
        <w:t xml:space="preserve">. Prostate-cancer screening in the randomized prostate, lung, colorectal, and ovarian cancer screening trial: mortality results after 13 years of follow up. J </w:t>
      </w:r>
      <w:proofErr w:type="spellStart"/>
      <w:r w:rsidR="00CB792E" w:rsidRPr="001B6340">
        <w:rPr>
          <w:sz w:val="20"/>
          <w:szCs w:val="20"/>
        </w:rPr>
        <w:t>Natl</w:t>
      </w:r>
      <w:proofErr w:type="spellEnd"/>
      <w:r w:rsidR="00CB792E" w:rsidRPr="001B6340">
        <w:rPr>
          <w:sz w:val="20"/>
          <w:szCs w:val="20"/>
        </w:rPr>
        <w:t xml:space="preserve"> Cancer </w:t>
      </w:r>
      <w:proofErr w:type="spellStart"/>
      <w:r w:rsidR="00CB792E" w:rsidRPr="001B6340">
        <w:rPr>
          <w:sz w:val="20"/>
          <w:szCs w:val="20"/>
        </w:rPr>
        <w:t>Inst</w:t>
      </w:r>
      <w:proofErr w:type="spellEnd"/>
      <w:r w:rsidR="00CB792E" w:rsidRPr="001B6340">
        <w:rPr>
          <w:sz w:val="20"/>
          <w:szCs w:val="20"/>
        </w:rPr>
        <w:t xml:space="preserve"> 2012; 104:125-32. </w:t>
      </w:r>
      <w:r w:rsidR="005F11C1" w:rsidRPr="005F11C1">
        <w:rPr>
          <w:sz w:val="20"/>
          <w:szCs w:val="20"/>
        </w:rPr>
        <w:t>doi:10.1093/</w:t>
      </w:r>
      <w:proofErr w:type="spellStart"/>
      <w:r w:rsidR="005F11C1" w:rsidRPr="005F11C1">
        <w:rPr>
          <w:sz w:val="20"/>
          <w:szCs w:val="20"/>
        </w:rPr>
        <w:t>jnci</w:t>
      </w:r>
      <w:proofErr w:type="spellEnd"/>
      <w:r w:rsidR="005F11C1" w:rsidRPr="005F11C1">
        <w:rPr>
          <w:sz w:val="20"/>
          <w:szCs w:val="20"/>
        </w:rPr>
        <w:t>/djr500</w:t>
      </w:r>
    </w:p>
    <w:p w14:paraId="480CA751" w14:textId="77777777" w:rsidR="00CB792E" w:rsidRPr="00AF7F5D" w:rsidRDefault="00CB792E" w:rsidP="005F11C1">
      <w:pPr>
        <w:pStyle w:val="ListParagraph"/>
        <w:numPr>
          <w:ilvl w:val="0"/>
          <w:numId w:val="4"/>
        </w:numPr>
        <w:spacing w:line="240" w:lineRule="auto"/>
        <w:ind w:hanging="340"/>
        <w:jc w:val="left"/>
        <w:rPr>
          <w:sz w:val="20"/>
          <w:szCs w:val="20"/>
        </w:rPr>
      </w:pPr>
      <w:bookmarkStart w:id="6" w:name="_Ref527377859"/>
      <w:bookmarkStart w:id="7" w:name="_Ref13212750"/>
      <w:proofErr w:type="spellStart"/>
      <w:r w:rsidRPr="00AF7F5D">
        <w:rPr>
          <w:sz w:val="20"/>
          <w:szCs w:val="20"/>
        </w:rPr>
        <w:t>Ilic</w:t>
      </w:r>
      <w:proofErr w:type="spellEnd"/>
      <w:r w:rsidRPr="00AF7F5D">
        <w:rPr>
          <w:sz w:val="20"/>
          <w:szCs w:val="20"/>
        </w:rPr>
        <w:t xml:space="preserve"> D, </w:t>
      </w:r>
      <w:proofErr w:type="spellStart"/>
      <w:r w:rsidRPr="00AF7F5D">
        <w:rPr>
          <w:sz w:val="20"/>
          <w:szCs w:val="20"/>
        </w:rPr>
        <w:t>Djulbegovic</w:t>
      </w:r>
      <w:proofErr w:type="spellEnd"/>
      <w:r w:rsidRPr="00AF7F5D">
        <w:rPr>
          <w:sz w:val="20"/>
          <w:szCs w:val="20"/>
        </w:rPr>
        <w:t xml:space="preserve"> M, Jung JH, </w:t>
      </w:r>
      <w:r w:rsidR="00710D17">
        <w:rPr>
          <w:sz w:val="20"/>
          <w:szCs w:val="20"/>
        </w:rPr>
        <w:t xml:space="preserve">Hwang EC, Zhou Q, Cleves A, </w:t>
      </w:r>
      <w:r w:rsidR="00025150">
        <w:rPr>
          <w:sz w:val="20"/>
          <w:szCs w:val="20"/>
        </w:rPr>
        <w:t>et al</w:t>
      </w:r>
      <w:r w:rsidRPr="00AF7F5D">
        <w:rPr>
          <w:sz w:val="20"/>
          <w:szCs w:val="20"/>
        </w:rPr>
        <w:t>. Prostate cancer screening with prostate-</w:t>
      </w:r>
      <w:proofErr w:type="spellStart"/>
      <w:r w:rsidRPr="00AF7F5D">
        <w:rPr>
          <w:sz w:val="20"/>
          <w:szCs w:val="20"/>
        </w:rPr>
        <w:t>specfic</w:t>
      </w:r>
      <w:proofErr w:type="spellEnd"/>
      <w:r w:rsidRPr="00AF7F5D">
        <w:rPr>
          <w:sz w:val="20"/>
          <w:szCs w:val="20"/>
        </w:rPr>
        <w:t xml:space="preserve"> antigen (PSA) test: a systematic review and meta-analysis. BMJ 2018; 362:k3519.</w:t>
      </w:r>
      <w:bookmarkEnd w:id="6"/>
      <w:r w:rsidRPr="00AF7F5D">
        <w:rPr>
          <w:sz w:val="20"/>
          <w:szCs w:val="20"/>
        </w:rPr>
        <w:t xml:space="preserve"> </w:t>
      </w:r>
      <w:r w:rsidR="005F11C1" w:rsidRPr="005F11C1">
        <w:rPr>
          <w:sz w:val="20"/>
          <w:szCs w:val="20"/>
        </w:rPr>
        <w:t>doi:10.1136/bmj.k3519</w:t>
      </w:r>
      <w:bookmarkEnd w:id="7"/>
    </w:p>
    <w:p w14:paraId="287BA5F2" w14:textId="77777777" w:rsidR="00CB792E" w:rsidRPr="00AF7F5D" w:rsidRDefault="00CB792E" w:rsidP="00CB792E">
      <w:pPr>
        <w:pStyle w:val="ListParagraph"/>
        <w:numPr>
          <w:ilvl w:val="0"/>
          <w:numId w:val="4"/>
        </w:numPr>
        <w:spacing w:line="240" w:lineRule="auto"/>
        <w:ind w:hanging="340"/>
        <w:jc w:val="left"/>
        <w:rPr>
          <w:sz w:val="20"/>
          <w:szCs w:val="20"/>
        </w:rPr>
      </w:pPr>
      <w:bookmarkStart w:id="8" w:name="_Ref527377873"/>
      <w:r w:rsidRPr="00AF7F5D">
        <w:rPr>
          <w:sz w:val="20"/>
          <w:szCs w:val="20"/>
        </w:rPr>
        <w:t>Public Health England. Advising well men aged 50 and over about the PSA test for prostate cancer: information for GPs. Available at https://assets.publishing.service.gov.uk/government/uploads/system/uploads/attachment_data/file/509193/Prostate_Summary_Sheet.pdf. Accessed August 2018.</w:t>
      </w:r>
      <w:bookmarkEnd w:id="8"/>
    </w:p>
    <w:p w14:paraId="2A99EE63" w14:textId="77777777" w:rsidR="00CB792E" w:rsidRDefault="00CB792E" w:rsidP="00CB792E">
      <w:pPr>
        <w:pStyle w:val="ListParagraph"/>
        <w:numPr>
          <w:ilvl w:val="0"/>
          <w:numId w:val="4"/>
        </w:numPr>
        <w:spacing w:line="240" w:lineRule="auto"/>
        <w:ind w:hanging="340"/>
        <w:jc w:val="left"/>
        <w:rPr>
          <w:sz w:val="20"/>
          <w:szCs w:val="20"/>
        </w:rPr>
      </w:pPr>
      <w:bookmarkStart w:id="9" w:name="_Ref527377875"/>
      <w:r w:rsidRPr="00AF7F5D">
        <w:rPr>
          <w:sz w:val="20"/>
          <w:szCs w:val="20"/>
        </w:rPr>
        <w:t>Public Health England. Prostate cancer risk management programme (PCRMP): benefits and risks of PSA testing. Available at https://www.gov.uk/government/publications/prostate-cancer-risk-management-programme-psa-test-benefits-and-risks/prostate-cancer-risk-management-programme-pcrmp-benefits-and-risks-of-psa-testing#contents. Accessed August 2018.</w:t>
      </w:r>
      <w:bookmarkEnd w:id="9"/>
    </w:p>
    <w:p w14:paraId="7E8C4623" w14:textId="77777777" w:rsidR="006B4B5B" w:rsidRDefault="006B4B5B" w:rsidP="006B4B5B">
      <w:pPr>
        <w:pStyle w:val="ListParagraph"/>
        <w:numPr>
          <w:ilvl w:val="0"/>
          <w:numId w:val="4"/>
        </w:numPr>
        <w:spacing w:line="240" w:lineRule="auto"/>
        <w:ind w:hanging="340"/>
        <w:jc w:val="left"/>
        <w:rPr>
          <w:sz w:val="20"/>
          <w:szCs w:val="20"/>
        </w:rPr>
      </w:pPr>
      <w:bookmarkStart w:id="10" w:name="_Ref12441145"/>
      <w:r w:rsidRPr="00AF7F5D">
        <w:rPr>
          <w:sz w:val="20"/>
          <w:szCs w:val="20"/>
        </w:rPr>
        <w:t xml:space="preserve">Moss S, </w:t>
      </w:r>
      <w:proofErr w:type="spellStart"/>
      <w:r w:rsidRPr="00AF7F5D">
        <w:rPr>
          <w:sz w:val="20"/>
          <w:szCs w:val="20"/>
        </w:rPr>
        <w:t>Melia</w:t>
      </w:r>
      <w:proofErr w:type="spellEnd"/>
      <w:r w:rsidRPr="00AF7F5D">
        <w:rPr>
          <w:sz w:val="20"/>
          <w:szCs w:val="20"/>
        </w:rPr>
        <w:t xml:space="preserve"> J, Sutton J, Mathews C, Kirby M. Prostate-specific antigen testing rates and referral patterns from general practice data in England. </w:t>
      </w:r>
      <w:proofErr w:type="spellStart"/>
      <w:r w:rsidRPr="00AF7F5D">
        <w:rPr>
          <w:sz w:val="20"/>
          <w:szCs w:val="20"/>
        </w:rPr>
        <w:t>Int</w:t>
      </w:r>
      <w:proofErr w:type="spellEnd"/>
      <w:r w:rsidRPr="00AF7F5D">
        <w:rPr>
          <w:sz w:val="20"/>
          <w:szCs w:val="20"/>
        </w:rPr>
        <w:t xml:space="preserve"> J </w:t>
      </w:r>
      <w:proofErr w:type="spellStart"/>
      <w:r w:rsidRPr="00AF7F5D">
        <w:rPr>
          <w:sz w:val="20"/>
          <w:szCs w:val="20"/>
        </w:rPr>
        <w:t>Clin</w:t>
      </w:r>
      <w:proofErr w:type="spellEnd"/>
      <w:r w:rsidRPr="00AF7F5D">
        <w:rPr>
          <w:sz w:val="20"/>
          <w:szCs w:val="20"/>
        </w:rPr>
        <w:t xml:space="preserve"> </w:t>
      </w:r>
      <w:proofErr w:type="spellStart"/>
      <w:r w:rsidRPr="00AF7F5D">
        <w:rPr>
          <w:sz w:val="20"/>
          <w:szCs w:val="20"/>
        </w:rPr>
        <w:t>Pract</w:t>
      </w:r>
      <w:proofErr w:type="spellEnd"/>
      <w:r w:rsidRPr="00AF7F5D">
        <w:rPr>
          <w:sz w:val="20"/>
          <w:szCs w:val="20"/>
        </w:rPr>
        <w:t xml:space="preserve"> 2016; 70:312-8.</w:t>
      </w:r>
      <w:r>
        <w:rPr>
          <w:sz w:val="20"/>
          <w:szCs w:val="20"/>
        </w:rPr>
        <w:t xml:space="preserve"> </w:t>
      </w:r>
      <w:r w:rsidRPr="005F11C1">
        <w:rPr>
          <w:sz w:val="20"/>
          <w:szCs w:val="20"/>
        </w:rPr>
        <w:t>doi:10.1111/ijcp.12784</w:t>
      </w:r>
      <w:bookmarkEnd w:id="10"/>
    </w:p>
    <w:p w14:paraId="6E5B0BA7" w14:textId="77777777" w:rsidR="00CB792E" w:rsidRPr="00AF7F5D" w:rsidRDefault="00CB792E" w:rsidP="005F11C1">
      <w:pPr>
        <w:pStyle w:val="ListParagraph"/>
        <w:numPr>
          <w:ilvl w:val="0"/>
          <w:numId w:val="4"/>
        </w:numPr>
        <w:spacing w:line="240" w:lineRule="auto"/>
        <w:ind w:hanging="340"/>
        <w:jc w:val="left"/>
        <w:rPr>
          <w:sz w:val="20"/>
          <w:szCs w:val="20"/>
        </w:rPr>
      </w:pPr>
      <w:bookmarkStart w:id="11" w:name="_Ref527377885"/>
      <w:proofErr w:type="spellStart"/>
      <w:r w:rsidRPr="00AF7F5D">
        <w:rPr>
          <w:sz w:val="20"/>
          <w:szCs w:val="20"/>
        </w:rPr>
        <w:t>Draisma</w:t>
      </w:r>
      <w:proofErr w:type="spellEnd"/>
      <w:r w:rsidRPr="00AF7F5D">
        <w:rPr>
          <w:sz w:val="20"/>
          <w:szCs w:val="20"/>
        </w:rPr>
        <w:t xml:space="preserve"> G, </w:t>
      </w:r>
      <w:proofErr w:type="spellStart"/>
      <w:r w:rsidRPr="00AF7F5D">
        <w:rPr>
          <w:sz w:val="20"/>
          <w:szCs w:val="20"/>
        </w:rPr>
        <w:t>Etzioni</w:t>
      </w:r>
      <w:proofErr w:type="spellEnd"/>
      <w:r w:rsidRPr="00AF7F5D">
        <w:rPr>
          <w:sz w:val="20"/>
          <w:szCs w:val="20"/>
        </w:rPr>
        <w:t xml:space="preserve"> R, </w:t>
      </w:r>
      <w:proofErr w:type="spellStart"/>
      <w:r w:rsidRPr="00AF7F5D">
        <w:rPr>
          <w:sz w:val="20"/>
          <w:szCs w:val="20"/>
        </w:rPr>
        <w:t>Tsodikov</w:t>
      </w:r>
      <w:proofErr w:type="spellEnd"/>
      <w:r w:rsidRPr="00AF7F5D">
        <w:rPr>
          <w:sz w:val="20"/>
          <w:szCs w:val="20"/>
        </w:rPr>
        <w:t xml:space="preserve"> A, </w:t>
      </w:r>
      <w:proofErr w:type="spellStart"/>
      <w:r w:rsidR="00710D17">
        <w:rPr>
          <w:sz w:val="20"/>
          <w:szCs w:val="20"/>
        </w:rPr>
        <w:t>Mariotto</w:t>
      </w:r>
      <w:proofErr w:type="spellEnd"/>
      <w:r w:rsidR="00710D17">
        <w:rPr>
          <w:sz w:val="20"/>
          <w:szCs w:val="20"/>
        </w:rPr>
        <w:t xml:space="preserve"> A, </w:t>
      </w:r>
      <w:proofErr w:type="spellStart"/>
      <w:r w:rsidR="00710D17">
        <w:rPr>
          <w:sz w:val="20"/>
          <w:szCs w:val="20"/>
        </w:rPr>
        <w:t>Wever</w:t>
      </w:r>
      <w:proofErr w:type="spellEnd"/>
      <w:r w:rsidR="00710D17">
        <w:rPr>
          <w:sz w:val="20"/>
          <w:szCs w:val="20"/>
        </w:rPr>
        <w:t xml:space="preserve"> E, Gulati R, </w:t>
      </w:r>
      <w:r w:rsidR="00025150">
        <w:rPr>
          <w:sz w:val="20"/>
          <w:szCs w:val="20"/>
        </w:rPr>
        <w:t>et al</w:t>
      </w:r>
      <w:r w:rsidRPr="00AF7F5D">
        <w:rPr>
          <w:sz w:val="20"/>
          <w:szCs w:val="20"/>
        </w:rPr>
        <w:t xml:space="preserve">. Lead time and </w:t>
      </w:r>
      <w:proofErr w:type="spellStart"/>
      <w:r w:rsidRPr="00AF7F5D">
        <w:rPr>
          <w:sz w:val="20"/>
          <w:szCs w:val="20"/>
        </w:rPr>
        <w:t>overdiagnosis</w:t>
      </w:r>
      <w:proofErr w:type="spellEnd"/>
      <w:r w:rsidRPr="00AF7F5D">
        <w:rPr>
          <w:sz w:val="20"/>
          <w:szCs w:val="20"/>
        </w:rPr>
        <w:t xml:space="preserve"> in prostate-specific antigen screening: importance of methods and context. J </w:t>
      </w:r>
      <w:proofErr w:type="spellStart"/>
      <w:r w:rsidRPr="00AF7F5D">
        <w:rPr>
          <w:sz w:val="20"/>
          <w:szCs w:val="20"/>
        </w:rPr>
        <w:t>Natl</w:t>
      </w:r>
      <w:proofErr w:type="spellEnd"/>
      <w:r w:rsidRPr="00AF7F5D">
        <w:rPr>
          <w:sz w:val="20"/>
          <w:szCs w:val="20"/>
        </w:rPr>
        <w:t xml:space="preserve"> Cancer </w:t>
      </w:r>
      <w:proofErr w:type="spellStart"/>
      <w:r w:rsidRPr="00AF7F5D">
        <w:rPr>
          <w:sz w:val="20"/>
          <w:szCs w:val="20"/>
        </w:rPr>
        <w:t>Inst</w:t>
      </w:r>
      <w:proofErr w:type="spellEnd"/>
      <w:r w:rsidRPr="00AF7F5D">
        <w:rPr>
          <w:sz w:val="20"/>
          <w:szCs w:val="20"/>
        </w:rPr>
        <w:t xml:space="preserve"> 2009; 101:37-83.</w:t>
      </w:r>
      <w:bookmarkEnd w:id="11"/>
      <w:r w:rsidR="005F11C1">
        <w:rPr>
          <w:sz w:val="20"/>
          <w:szCs w:val="20"/>
        </w:rPr>
        <w:t xml:space="preserve"> </w:t>
      </w:r>
      <w:proofErr w:type="spellStart"/>
      <w:r w:rsidR="005F11C1" w:rsidRPr="005F11C1">
        <w:rPr>
          <w:sz w:val="20"/>
          <w:szCs w:val="20"/>
        </w:rPr>
        <w:t>doi</w:t>
      </w:r>
      <w:proofErr w:type="spellEnd"/>
      <w:r w:rsidR="005F11C1" w:rsidRPr="005F11C1">
        <w:rPr>
          <w:sz w:val="20"/>
          <w:szCs w:val="20"/>
        </w:rPr>
        <w:t>: 10.1093/</w:t>
      </w:r>
      <w:proofErr w:type="spellStart"/>
      <w:r w:rsidR="005F11C1" w:rsidRPr="005F11C1">
        <w:rPr>
          <w:sz w:val="20"/>
          <w:szCs w:val="20"/>
        </w:rPr>
        <w:t>jnci</w:t>
      </w:r>
      <w:proofErr w:type="spellEnd"/>
      <w:r w:rsidR="005F11C1" w:rsidRPr="005F11C1">
        <w:rPr>
          <w:sz w:val="20"/>
          <w:szCs w:val="20"/>
        </w:rPr>
        <w:t>/djp001</w:t>
      </w:r>
    </w:p>
    <w:p w14:paraId="35DAEEA5" w14:textId="77777777" w:rsidR="00C6193E" w:rsidRDefault="00CB792E" w:rsidP="00C6193E">
      <w:pPr>
        <w:pStyle w:val="ListParagraph"/>
        <w:numPr>
          <w:ilvl w:val="0"/>
          <w:numId w:val="4"/>
        </w:numPr>
        <w:spacing w:line="240" w:lineRule="auto"/>
        <w:ind w:hanging="340"/>
        <w:jc w:val="left"/>
        <w:rPr>
          <w:sz w:val="20"/>
          <w:szCs w:val="20"/>
        </w:rPr>
      </w:pPr>
      <w:bookmarkStart w:id="12" w:name="_Ref527377886"/>
      <w:proofErr w:type="spellStart"/>
      <w:r w:rsidRPr="00AF7F5D">
        <w:rPr>
          <w:sz w:val="20"/>
          <w:szCs w:val="20"/>
        </w:rPr>
        <w:t>Melia</w:t>
      </w:r>
      <w:proofErr w:type="spellEnd"/>
      <w:r w:rsidRPr="00AF7F5D">
        <w:rPr>
          <w:sz w:val="20"/>
          <w:szCs w:val="20"/>
        </w:rPr>
        <w:t xml:space="preserve"> J. Part 1: The burden of prostate cancer, its natural history, information on the outcome of screening and estimates of ad hoc screening with particular reference to England and Wales. BJU </w:t>
      </w:r>
      <w:proofErr w:type="spellStart"/>
      <w:r w:rsidRPr="00AF7F5D">
        <w:rPr>
          <w:sz w:val="20"/>
          <w:szCs w:val="20"/>
        </w:rPr>
        <w:t>Int</w:t>
      </w:r>
      <w:proofErr w:type="spellEnd"/>
      <w:r w:rsidRPr="00AF7F5D">
        <w:rPr>
          <w:sz w:val="20"/>
          <w:szCs w:val="20"/>
        </w:rPr>
        <w:t xml:space="preserve"> 2005; 95(s3):4-15.</w:t>
      </w:r>
      <w:bookmarkEnd w:id="12"/>
      <w:r w:rsidRPr="00AF7F5D">
        <w:rPr>
          <w:sz w:val="20"/>
          <w:szCs w:val="20"/>
        </w:rPr>
        <w:t xml:space="preserve"> </w:t>
      </w:r>
      <w:bookmarkStart w:id="13" w:name="_Ref12354186"/>
      <w:bookmarkStart w:id="14" w:name="_Ref527377899"/>
    </w:p>
    <w:p w14:paraId="2B01F5DA" w14:textId="77777777" w:rsidR="00C6193E" w:rsidRDefault="00C6193E" w:rsidP="00C6193E">
      <w:pPr>
        <w:pStyle w:val="ListParagraph"/>
        <w:numPr>
          <w:ilvl w:val="0"/>
          <w:numId w:val="4"/>
        </w:numPr>
        <w:spacing w:line="240" w:lineRule="auto"/>
        <w:ind w:hanging="340"/>
        <w:jc w:val="left"/>
        <w:rPr>
          <w:sz w:val="20"/>
          <w:szCs w:val="20"/>
        </w:rPr>
      </w:pPr>
      <w:bookmarkStart w:id="15" w:name="_Ref12369459"/>
      <w:r w:rsidRPr="008E36C9">
        <w:rPr>
          <w:sz w:val="20"/>
          <w:szCs w:val="20"/>
        </w:rPr>
        <w:t xml:space="preserve">Downing A, Wright P, Hounsome L </w:t>
      </w:r>
      <w:r>
        <w:rPr>
          <w:sz w:val="20"/>
          <w:szCs w:val="20"/>
        </w:rPr>
        <w:t>et al</w:t>
      </w:r>
      <w:r w:rsidRPr="008E36C9">
        <w:rPr>
          <w:sz w:val="20"/>
          <w:szCs w:val="20"/>
        </w:rPr>
        <w:t xml:space="preserve">. Quality of life in men living with advanced and localised prostate cancer: a UK population-wide patient-reported outcome study of 30000 men. Lancet </w:t>
      </w:r>
      <w:proofErr w:type="spellStart"/>
      <w:r w:rsidRPr="008E36C9">
        <w:rPr>
          <w:sz w:val="20"/>
          <w:szCs w:val="20"/>
        </w:rPr>
        <w:t>Oncol</w:t>
      </w:r>
      <w:proofErr w:type="spellEnd"/>
      <w:r w:rsidRPr="008E36C9">
        <w:rPr>
          <w:sz w:val="20"/>
          <w:szCs w:val="20"/>
        </w:rPr>
        <w:t xml:space="preserve"> 2019; 20:436-47.</w:t>
      </w:r>
      <w:bookmarkEnd w:id="13"/>
      <w:bookmarkEnd w:id="15"/>
    </w:p>
    <w:p w14:paraId="3AB4DBFD" w14:textId="77777777" w:rsidR="001B6340" w:rsidRDefault="001B6340" w:rsidP="001B6340">
      <w:pPr>
        <w:pStyle w:val="ListParagraph"/>
        <w:numPr>
          <w:ilvl w:val="0"/>
          <w:numId w:val="4"/>
        </w:numPr>
        <w:spacing w:line="240" w:lineRule="auto"/>
        <w:ind w:hanging="340"/>
        <w:jc w:val="left"/>
        <w:rPr>
          <w:sz w:val="20"/>
          <w:szCs w:val="20"/>
        </w:rPr>
      </w:pPr>
      <w:bookmarkStart w:id="16" w:name="_Ref534892322"/>
      <w:proofErr w:type="spellStart"/>
      <w:r w:rsidRPr="001B6340">
        <w:rPr>
          <w:sz w:val="20"/>
          <w:szCs w:val="20"/>
        </w:rPr>
        <w:t>Steineck</w:t>
      </w:r>
      <w:proofErr w:type="spellEnd"/>
      <w:r w:rsidRPr="001B6340">
        <w:rPr>
          <w:sz w:val="20"/>
          <w:szCs w:val="20"/>
        </w:rPr>
        <w:t xml:space="preserve"> G, </w:t>
      </w:r>
      <w:proofErr w:type="spellStart"/>
      <w:r w:rsidRPr="001B6340">
        <w:rPr>
          <w:sz w:val="20"/>
          <w:szCs w:val="20"/>
        </w:rPr>
        <w:t>Helgesen</w:t>
      </w:r>
      <w:proofErr w:type="spellEnd"/>
      <w:r w:rsidRPr="001B6340">
        <w:rPr>
          <w:sz w:val="20"/>
          <w:szCs w:val="20"/>
        </w:rPr>
        <w:t xml:space="preserve"> F, </w:t>
      </w:r>
      <w:proofErr w:type="spellStart"/>
      <w:r w:rsidRPr="001B6340">
        <w:rPr>
          <w:sz w:val="20"/>
          <w:szCs w:val="20"/>
        </w:rPr>
        <w:t>Adolfsson</w:t>
      </w:r>
      <w:proofErr w:type="spellEnd"/>
      <w:r w:rsidRPr="001B6340">
        <w:rPr>
          <w:sz w:val="20"/>
          <w:szCs w:val="20"/>
        </w:rPr>
        <w:t xml:space="preserve"> J, </w:t>
      </w:r>
      <w:proofErr w:type="spellStart"/>
      <w:r w:rsidRPr="001B6340">
        <w:rPr>
          <w:sz w:val="20"/>
          <w:szCs w:val="20"/>
        </w:rPr>
        <w:t>Dickman</w:t>
      </w:r>
      <w:proofErr w:type="spellEnd"/>
      <w:r w:rsidRPr="001B6340">
        <w:rPr>
          <w:sz w:val="20"/>
          <w:szCs w:val="20"/>
        </w:rPr>
        <w:t xml:space="preserve"> PW, Johansson JE, </w:t>
      </w:r>
      <w:proofErr w:type="spellStart"/>
      <w:r w:rsidRPr="001B6340">
        <w:rPr>
          <w:sz w:val="20"/>
          <w:szCs w:val="20"/>
        </w:rPr>
        <w:t>Norlén</w:t>
      </w:r>
      <w:proofErr w:type="spellEnd"/>
      <w:r w:rsidRPr="001B6340">
        <w:rPr>
          <w:sz w:val="20"/>
          <w:szCs w:val="20"/>
        </w:rPr>
        <w:t xml:space="preserve"> BJ, </w:t>
      </w:r>
      <w:r w:rsidR="00025150">
        <w:rPr>
          <w:sz w:val="20"/>
          <w:szCs w:val="20"/>
        </w:rPr>
        <w:t>et al</w:t>
      </w:r>
      <w:r w:rsidR="00CB792E" w:rsidRPr="001B6340">
        <w:rPr>
          <w:sz w:val="20"/>
          <w:szCs w:val="20"/>
        </w:rPr>
        <w:t xml:space="preserve">. Quality of life after radical prostatectomy or watchful waiting. N </w:t>
      </w:r>
      <w:proofErr w:type="spellStart"/>
      <w:r w:rsidR="00CB792E" w:rsidRPr="001B6340">
        <w:rPr>
          <w:sz w:val="20"/>
          <w:szCs w:val="20"/>
        </w:rPr>
        <w:t>Engl</w:t>
      </w:r>
      <w:proofErr w:type="spellEnd"/>
      <w:r w:rsidR="00CB792E" w:rsidRPr="001B6340">
        <w:rPr>
          <w:sz w:val="20"/>
          <w:szCs w:val="20"/>
        </w:rPr>
        <w:t xml:space="preserve"> J Med 2002; 12:760-9.</w:t>
      </w:r>
      <w:bookmarkEnd w:id="14"/>
      <w:bookmarkEnd w:id="16"/>
      <w:r w:rsidR="00CB792E" w:rsidRPr="001B6340">
        <w:rPr>
          <w:sz w:val="20"/>
          <w:szCs w:val="20"/>
        </w:rPr>
        <w:t xml:space="preserve"> </w:t>
      </w:r>
    </w:p>
    <w:p w14:paraId="47685692" w14:textId="77777777" w:rsidR="001B6340" w:rsidRDefault="001B6340" w:rsidP="005F11C1">
      <w:pPr>
        <w:pStyle w:val="ListParagraph"/>
        <w:numPr>
          <w:ilvl w:val="0"/>
          <w:numId w:val="4"/>
        </w:numPr>
        <w:spacing w:line="240" w:lineRule="auto"/>
        <w:ind w:hanging="340"/>
        <w:jc w:val="left"/>
        <w:rPr>
          <w:sz w:val="20"/>
          <w:szCs w:val="20"/>
        </w:rPr>
      </w:pPr>
      <w:proofErr w:type="spellStart"/>
      <w:r w:rsidRPr="001B6340">
        <w:rPr>
          <w:sz w:val="20"/>
          <w:szCs w:val="20"/>
        </w:rPr>
        <w:t>Sanda</w:t>
      </w:r>
      <w:proofErr w:type="spellEnd"/>
      <w:r w:rsidRPr="001B6340">
        <w:rPr>
          <w:sz w:val="20"/>
          <w:szCs w:val="20"/>
        </w:rPr>
        <w:t xml:space="preserve"> MG, Dunn RL, Michalski J, Sandler HM, </w:t>
      </w:r>
      <w:proofErr w:type="spellStart"/>
      <w:r w:rsidRPr="001B6340">
        <w:rPr>
          <w:sz w:val="20"/>
          <w:szCs w:val="20"/>
        </w:rPr>
        <w:t>Northouse</w:t>
      </w:r>
      <w:proofErr w:type="spellEnd"/>
      <w:r w:rsidRPr="001B6340">
        <w:rPr>
          <w:sz w:val="20"/>
          <w:szCs w:val="20"/>
        </w:rPr>
        <w:t xml:space="preserve"> L, </w:t>
      </w:r>
      <w:proofErr w:type="spellStart"/>
      <w:r w:rsidRPr="001B6340">
        <w:rPr>
          <w:sz w:val="20"/>
          <w:szCs w:val="20"/>
        </w:rPr>
        <w:t>Hembroff</w:t>
      </w:r>
      <w:proofErr w:type="spellEnd"/>
      <w:r w:rsidRPr="001B6340">
        <w:rPr>
          <w:sz w:val="20"/>
          <w:szCs w:val="20"/>
        </w:rPr>
        <w:t xml:space="preserve"> L, </w:t>
      </w:r>
      <w:r w:rsidR="00025150">
        <w:rPr>
          <w:sz w:val="20"/>
          <w:szCs w:val="20"/>
        </w:rPr>
        <w:t>et al</w:t>
      </w:r>
      <w:r w:rsidR="00CB792E" w:rsidRPr="001B6340">
        <w:rPr>
          <w:sz w:val="20"/>
          <w:szCs w:val="20"/>
        </w:rPr>
        <w:t xml:space="preserve">. Quality of life and satisfaction with outcome among prostate-cancer survivors. N </w:t>
      </w:r>
      <w:proofErr w:type="spellStart"/>
      <w:r w:rsidR="00CB792E" w:rsidRPr="001B6340">
        <w:rPr>
          <w:sz w:val="20"/>
          <w:szCs w:val="20"/>
        </w:rPr>
        <w:t>Engl</w:t>
      </w:r>
      <w:proofErr w:type="spellEnd"/>
      <w:r w:rsidR="00CB792E" w:rsidRPr="001B6340">
        <w:rPr>
          <w:sz w:val="20"/>
          <w:szCs w:val="20"/>
        </w:rPr>
        <w:t xml:space="preserve"> J Med 2008; 358:1250–61.</w:t>
      </w:r>
      <w:r w:rsidR="005F11C1">
        <w:rPr>
          <w:sz w:val="20"/>
          <w:szCs w:val="20"/>
        </w:rPr>
        <w:t xml:space="preserve"> </w:t>
      </w:r>
      <w:r w:rsidR="005F11C1" w:rsidRPr="005F11C1">
        <w:rPr>
          <w:sz w:val="20"/>
          <w:szCs w:val="20"/>
        </w:rPr>
        <w:t>doi:10.1056/NEJMoa074311</w:t>
      </w:r>
    </w:p>
    <w:p w14:paraId="08CDFAD4" w14:textId="77777777" w:rsidR="001B6340" w:rsidRDefault="001B6340" w:rsidP="005F11C1">
      <w:pPr>
        <w:pStyle w:val="ListParagraph"/>
        <w:numPr>
          <w:ilvl w:val="0"/>
          <w:numId w:val="4"/>
        </w:numPr>
        <w:spacing w:line="240" w:lineRule="auto"/>
        <w:ind w:hanging="340"/>
        <w:jc w:val="left"/>
        <w:rPr>
          <w:sz w:val="20"/>
          <w:szCs w:val="20"/>
        </w:rPr>
      </w:pPr>
      <w:r w:rsidRPr="001B6340">
        <w:rPr>
          <w:sz w:val="20"/>
          <w:szCs w:val="20"/>
        </w:rPr>
        <w:t xml:space="preserve">Smith DP, King MT, Egger S, Berry MP, </w:t>
      </w:r>
      <w:proofErr w:type="spellStart"/>
      <w:r w:rsidRPr="001B6340">
        <w:rPr>
          <w:sz w:val="20"/>
          <w:szCs w:val="20"/>
        </w:rPr>
        <w:t>Stricker</w:t>
      </w:r>
      <w:proofErr w:type="spellEnd"/>
      <w:r w:rsidRPr="001B6340">
        <w:rPr>
          <w:sz w:val="20"/>
          <w:szCs w:val="20"/>
        </w:rPr>
        <w:t xml:space="preserve"> PD, </w:t>
      </w:r>
      <w:proofErr w:type="spellStart"/>
      <w:r w:rsidRPr="001B6340">
        <w:rPr>
          <w:sz w:val="20"/>
          <w:szCs w:val="20"/>
        </w:rPr>
        <w:t>Cozzi</w:t>
      </w:r>
      <w:proofErr w:type="spellEnd"/>
      <w:r w:rsidRPr="001B6340">
        <w:rPr>
          <w:sz w:val="20"/>
          <w:szCs w:val="20"/>
        </w:rPr>
        <w:t xml:space="preserve"> P, Ward J, O'Connell DL, </w:t>
      </w:r>
      <w:proofErr w:type="gramStart"/>
      <w:r w:rsidRPr="001B6340">
        <w:rPr>
          <w:sz w:val="20"/>
          <w:szCs w:val="20"/>
        </w:rPr>
        <w:t>Armstrong</w:t>
      </w:r>
      <w:proofErr w:type="gramEnd"/>
      <w:r w:rsidRPr="001B6340">
        <w:rPr>
          <w:sz w:val="20"/>
          <w:szCs w:val="20"/>
        </w:rPr>
        <w:t xml:space="preserve"> BK.</w:t>
      </w:r>
      <w:r w:rsidR="00CB792E" w:rsidRPr="001B6340">
        <w:rPr>
          <w:sz w:val="20"/>
          <w:szCs w:val="20"/>
        </w:rPr>
        <w:t xml:space="preserve"> Quality of life three years after diagnosis of localised prostate cancer: population based cohort study. BMJ 2009; 339:b4817. </w:t>
      </w:r>
      <w:bookmarkStart w:id="17" w:name="_Ref527377900"/>
      <w:r w:rsidR="005F11C1" w:rsidRPr="005F11C1">
        <w:rPr>
          <w:sz w:val="20"/>
          <w:szCs w:val="20"/>
        </w:rPr>
        <w:t>doi:10.1136/bmj.b4817</w:t>
      </w:r>
    </w:p>
    <w:p w14:paraId="611C5E0C" w14:textId="77777777" w:rsidR="00CB792E" w:rsidRPr="001B6340" w:rsidRDefault="001B6340" w:rsidP="005F11C1">
      <w:pPr>
        <w:pStyle w:val="ListParagraph"/>
        <w:numPr>
          <w:ilvl w:val="0"/>
          <w:numId w:val="4"/>
        </w:numPr>
        <w:spacing w:line="240" w:lineRule="auto"/>
        <w:ind w:hanging="340"/>
        <w:jc w:val="left"/>
        <w:rPr>
          <w:sz w:val="20"/>
          <w:szCs w:val="20"/>
        </w:rPr>
      </w:pPr>
      <w:bookmarkStart w:id="18" w:name="_Ref534892327"/>
      <w:bookmarkStart w:id="19" w:name="_Ref12432102"/>
      <w:r w:rsidRPr="001B6340">
        <w:rPr>
          <w:sz w:val="20"/>
          <w:szCs w:val="20"/>
        </w:rPr>
        <w:t xml:space="preserve">Donovan JL, </w:t>
      </w:r>
      <w:proofErr w:type="spellStart"/>
      <w:r w:rsidRPr="001B6340">
        <w:rPr>
          <w:sz w:val="20"/>
          <w:szCs w:val="20"/>
        </w:rPr>
        <w:t>Hamdy</w:t>
      </w:r>
      <w:proofErr w:type="spellEnd"/>
      <w:r w:rsidRPr="001B6340">
        <w:rPr>
          <w:sz w:val="20"/>
          <w:szCs w:val="20"/>
        </w:rPr>
        <w:t xml:space="preserve"> FC, Lane JA, Mason M, Metcalfe C, Walsh E, </w:t>
      </w:r>
      <w:r w:rsidR="00025150">
        <w:rPr>
          <w:sz w:val="20"/>
          <w:szCs w:val="20"/>
        </w:rPr>
        <w:t>et al</w:t>
      </w:r>
      <w:r w:rsidR="00CB792E" w:rsidRPr="001B6340">
        <w:rPr>
          <w:sz w:val="20"/>
          <w:szCs w:val="20"/>
        </w:rPr>
        <w:t xml:space="preserve">. Patient-reported outcomes after monitoring, surgery, or radiotherapy for prostate cancer. N </w:t>
      </w:r>
      <w:proofErr w:type="spellStart"/>
      <w:r w:rsidR="00CB792E" w:rsidRPr="001B6340">
        <w:rPr>
          <w:sz w:val="20"/>
          <w:szCs w:val="20"/>
        </w:rPr>
        <w:t>Engl</w:t>
      </w:r>
      <w:proofErr w:type="spellEnd"/>
      <w:r w:rsidR="00CB792E" w:rsidRPr="001B6340">
        <w:rPr>
          <w:sz w:val="20"/>
          <w:szCs w:val="20"/>
        </w:rPr>
        <w:t xml:space="preserve"> J Med 2016; 375:1425-37.</w:t>
      </w:r>
      <w:bookmarkEnd w:id="17"/>
      <w:bookmarkEnd w:id="18"/>
      <w:r w:rsidR="00CB792E" w:rsidRPr="001B6340">
        <w:rPr>
          <w:sz w:val="20"/>
          <w:szCs w:val="20"/>
        </w:rPr>
        <w:t xml:space="preserve"> </w:t>
      </w:r>
      <w:r w:rsidR="005F11C1" w:rsidRPr="005F11C1">
        <w:rPr>
          <w:sz w:val="20"/>
          <w:szCs w:val="20"/>
        </w:rPr>
        <w:t>doi:10.1056/NEJMoa1606221</w:t>
      </w:r>
      <w:bookmarkEnd w:id="19"/>
    </w:p>
    <w:p w14:paraId="1850D3B2" w14:textId="77777777" w:rsidR="00CB792E" w:rsidRPr="00AF7F5D" w:rsidRDefault="00CB792E" w:rsidP="005F11C1">
      <w:pPr>
        <w:pStyle w:val="ListParagraph"/>
        <w:numPr>
          <w:ilvl w:val="0"/>
          <w:numId w:val="4"/>
        </w:numPr>
        <w:spacing w:line="240" w:lineRule="auto"/>
        <w:ind w:hanging="340"/>
        <w:jc w:val="left"/>
        <w:rPr>
          <w:sz w:val="20"/>
          <w:szCs w:val="20"/>
        </w:rPr>
      </w:pPr>
      <w:bookmarkStart w:id="20" w:name="_Ref527377911"/>
      <w:r w:rsidRPr="00AF7F5D">
        <w:rPr>
          <w:sz w:val="20"/>
          <w:szCs w:val="20"/>
        </w:rPr>
        <w:t xml:space="preserve">Drummond FJ, O’Leary E, Gavin A, Kinnear H, Sharp L. Mode of prostate cancer detection is associated with the psychological wellbeing of survivors: results from the </w:t>
      </w:r>
      <w:proofErr w:type="spellStart"/>
      <w:r w:rsidRPr="00AF7F5D">
        <w:rPr>
          <w:sz w:val="20"/>
          <w:szCs w:val="20"/>
        </w:rPr>
        <w:t>PiCTure</w:t>
      </w:r>
      <w:proofErr w:type="spellEnd"/>
      <w:r w:rsidRPr="00AF7F5D">
        <w:rPr>
          <w:sz w:val="20"/>
          <w:szCs w:val="20"/>
        </w:rPr>
        <w:t xml:space="preserve"> study. Support Care Cancer 2016; 24:2297-307.</w:t>
      </w:r>
      <w:bookmarkEnd w:id="20"/>
      <w:r w:rsidRPr="00AF7F5D">
        <w:rPr>
          <w:sz w:val="20"/>
          <w:szCs w:val="20"/>
        </w:rPr>
        <w:t xml:space="preserve"> </w:t>
      </w:r>
      <w:r w:rsidR="005F11C1">
        <w:rPr>
          <w:sz w:val="20"/>
          <w:szCs w:val="20"/>
        </w:rPr>
        <w:t>d</w:t>
      </w:r>
      <w:r w:rsidR="005F11C1" w:rsidRPr="005F11C1">
        <w:rPr>
          <w:sz w:val="20"/>
          <w:szCs w:val="20"/>
        </w:rPr>
        <w:t>oi</w:t>
      </w:r>
      <w:r w:rsidR="005F11C1">
        <w:rPr>
          <w:sz w:val="20"/>
          <w:szCs w:val="20"/>
        </w:rPr>
        <w:t>:</w:t>
      </w:r>
      <w:r w:rsidR="005F11C1" w:rsidRPr="005F11C1">
        <w:rPr>
          <w:sz w:val="20"/>
          <w:szCs w:val="20"/>
        </w:rPr>
        <w:t>10.1007/s00520-015-3033-x</w:t>
      </w:r>
    </w:p>
    <w:p w14:paraId="6FD60544" w14:textId="77777777" w:rsidR="00CB792E" w:rsidRPr="00AF7F5D" w:rsidRDefault="00CB792E" w:rsidP="00CB792E">
      <w:pPr>
        <w:pStyle w:val="ListParagraph"/>
        <w:numPr>
          <w:ilvl w:val="0"/>
          <w:numId w:val="4"/>
        </w:numPr>
        <w:spacing w:line="240" w:lineRule="auto"/>
        <w:ind w:hanging="340"/>
        <w:jc w:val="left"/>
        <w:rPr>
          <w:sz w:val="20"/>
          <w:szCs w:val="20"/>
        </w:rPr>
      </w:pPr>
      <w:r w:rsidRPr="00AF7F5D">
        <w:rPr>
          <w:sz w:val="20"/>
          <w:szCs w:val="20"/>
        </w:rPr>
        <w:t xml:space="preserve">Hoffman RM, Stone SN, </w:t>
      </w:r>
      <w:proofErr w:type="spellStart"/>
      <w:r w:rsidRPr="00AF7F5D">
        <w:rPr>
          <w:sz w:val="20"/>
          <w:szCs w:val="20"/>
        </w:rPr>
        <w:t>Espey</w:t>
      </w:r>
      <w:proofErr w:type="spellEnd"/>
      <w:r w:rsidRPr="00AF7F5D">
        <w:rPr>
          <w:sz w:val="20"/>
          <w:szCs w:val="20"/>
        </w:rPr>
        <w:t xml:space="preserve"> D, </w:t>
      </w:r>
      <w:proofErr w:type="spellStart"/>
      <w:r w:rsidRPr="00AF7F5D">
        <w:rPr>
          <w:sz w:val="20"/>
          <w:szCs w:val="20"/>
        </w:rPr>
        <w:t>Potosky</w:t>
      </w:r>
      <w:proofErr w:type="spellEnd"/>
      <w:r w:rsidRPr="00AF7F5D">
        <w:rPr>
          <w:sz w:val="20"/>
          <w:szCs w:val="20"/>
        </w:rPr>
        <w:t xml:space="preserve"> AL. Differences between men with screening-detected versus clinically diagnosed prostate cancers in the USA. BMC Cancer 2005; 5:27.</w:t>
      </w:r>
    </w:p>
    <w:p w14:paraId="0094E4FD" w14:textId="77777777" w:rsidR="00CB792E" w:rsidRPr="00AF7F5D" w:rsidRDefault="00CB792E" w:rsidP="00CB792E">
      <w:pPr>
        <w:pStyle w:val="ListParagraph"/>
        <w:numPr>
          <w:ilvl w:val="0"/>
          <w:numId w:val="4"/>
        </w:numPr>
        <w:spacing w:line="240" w:lineRule="auto"/>
        <w:ind w:hanging="340"/>
        <w:jc w:val="left"/>
        <w:rPr>
          <w:sz w:val="20"/>
          <w:szCs w:val="20"/>
        </w:rPr>
      </w:pPr>
      <w:bookmarkStart w:id="21" w:name="_Ref527377912"/>
      <w:proofErr w:type="spellStart"/>
      <w:r w:rsidRPr="00AF7F5D">
        <w:rPr>
          <w:sz w:val="20"/>
          <w:szCs w:val="20"/>
        </w:rPr>
        <w:lastRenderedPageBreak/>
        <w:t>Postma</w:t>
      </w:r>
      <w:proofErr w:type="spellEnd"/>
      <w:r w:rsidRPr="00AF7F5D">
        <w:rPr>
          <w:sz w:val="20"/>
          <w:szCs w:val="20"/>
        </w:rPr>
        <w:t xml:space="preserve"> R, van </w:t>
      </w:r>
      <w:proofErr w:type="spellStart"/>
      <w:r w:rsidRPr="00AF7F5D">
        <w:rPr>
          <w:sz w:val="20"/>
          <w:szCs w:val="20"/>
        </w:rPr>
        <w:t>Leenders</w:t>
      </w:r>
      <w:proofErr w:type="spellEnd"/>
      <w:r w:rsidRPr="00AF7F5D">
        <w:rPr>
          <w:sz w:val="20"/>
          <w:szCs w:val="20"/>
        </w:rPr>
        <w:t xml:space="preserve"> AGJLH, </w:t>
      </w:r>
      <w:proofErr w:type="spellStart"/>
      <w:r w:rsidRPr="00AF7F5D">
        <w:rPr>
          <w:sz w:val="20"/>
          <w:szCs w:val="20"/>
        </w:rPr>
        <w:t>Roobol</w:t>
      </w:r>
      <w:proofErr w:type="spellEnd"/>
      <w:r w:rsidRPr="00AF7F5D">
        <w:rPr>
          <w:sz w:val="20"/>
          <w:szCs w:val="20"/>
        </w:rPr>
        <w:t xml:space="preserve"> MJ, </w:t>
      </w:r>
      <w:proofErr w:type="spellStart"/>
      <w:r w:rsidRPr="00AF7F5D">
        <w:rPr>
          <w:sz w:val="20"/>
          <w:szCs w:val="20"/>
        </w:rPr>
        <w:t>Schröder</w:t>
      </w:r>
      <w:proofErr w:type="spellEnd"/>
      <w:r w:rsidRPr="00AF7F5D">
        <w:rPr>
          <w:sz w:val="20"/>
          <w:szCs w:val="20"/>
        </w:rPr>
        <w:t xml:space="preserve"> FH, van der </w:t>
      </w:r>
      <w:proofErr w:type="spellStart"/>
      <w:r w:rsidRPr="00AF7F5D">
        <w:rPr>
          <w:sz w:val="20"/>
          <w:szCs w:val="20"/>
        </w:rPr>
        <w:t>Kwast</w:t>
      </w:r>
      <w:proofErr w:type="spellEnd"/>
      <w:r w:rsidRPr="00AF7F5D">
        <w:rPr>
          <w:sz w:val="20"/>
          <w:szCs w:val="20"/>
        </w:rPr>
        <w:t xml:space="preserve"> TH. Tumour Features in the Control and Screening Arm of </w:t>
      </w:r>
      <w:proofErr w:type="gramStart"/>
      <w:r w:rsidRPr="00AF7F5D">
        <w:rPr>
          <w:sz w:val="20"/>
          <w:szCs w:val="20"/>
        </w:rPr>
        <w:t>A</w:t>
      </w:r>
      <w:proofErr w:type="gramEnd"/>
      <w:r w:rsidRPr="00AF7F5D">
        <w:rPr>
          <w:sz w:val="20"/>
          <w:szCs w:val="20"/>
        </w:rPr>
        <w:t xml:space="preserve"> Randomized Trial of Prostate Cancer. </w:t>
      </w:r>
      <w:proofErr w:type="spellStart"/>
      <w:r w:rsidRPr="00AF7F5D">
        <w:rPr>
          <w:sz w:val="20"/>
          <w:szCs w:val="20"/>
        </w:rPr>
        <w:t>Eur</w:t>
      </w:r>
      <w:proofErr w:type="spellEnd"/>
      <w:r w:rsidRPr="00AF7F5D">
        <w:rPr>
          <w:sz w:val="20"/>
          <w:szCs w:val="20"/>
        </w:rPr>
        <w:t xml:space="preserve"> </w:t>
      </w:r>
      <w:proofErr w:type="spellStart"/>
      <w:r w:rsidRPr="00AF7F5D">
        <w:rPr>
          <w:sz w:val="20"/>
          <w:szCs w:val="20"/>
        </w:rPr>
        <w:t>Urol</w:t>
      </w:r>
      <w:proofErr w:type="spellEnd"/>
      <w:r w:rsidRPr="00AF7F5D">
        <w:rPr>
          <w:sz w:val="20"/>
          <w:szCs w:val="20"/>
        </w:rPr>
        <w:t xml:space="preserve"> 2006; 50:70-5.</w:t>
      </w:r>
      <w:bookmarkEnd w:id="21"/>
      <w:r w:rsidRPr="00AF7F5D">
        <w:rPr>
          <w:sz w:val="20"/>
          <w:szCs w:val="20"/>
        </w:rPr>
        <w:t xml:space="preserve"> </w:t>
      </w:r>
    </w:p>
    <w:p w14:paraId="6B2164F2" w14:textId="77777777" w:rsidR="001B6340" w:rsidRDefault="00CB792E" w:rsidP="005F11C1">
      <w:pPr>
        <w:pStyle w:val="ListParagraph"/>
        <w:numPr>
          <w:ilvl w:val="0"/>
          <w:numId w:val="4"/>
        </w:numPr>
        <w:spacing w:line="240" w:lineRule="auto"/>
        <w:ind w:hanging="340"/>
        <w:jc w:val="left"/>
        <w:rPr>
          <w:sz w:val="20"/>
          <w:szCs w:val="20"/>
        </w:rPr>
      </w:pPr>
      <w:bookmarkStart w:id="22" w:name="_Ref527377930"/>
      <w:r w:rsidRPr="00AF7F5D">
        <w:rPr>
          <w:sz w:val="20"/>
          <w:szCs w:val="20"/>
        </w:rPr>
        <w:t xml:space="preserve">Beckmann KR, O'Callaghan ME, </w:t>
      </w:r>
      <w:proofErr w:type="spellStart"/>
      <w:r w:rsidRPr="00AF7F5D">
        <w:rPr>
          <w:sz w:val="20"/>
          <w:szCs w:val="20"/>
        </w:rPr>
        <w:t>Ruseckaite</w:t>
      </w:r>
      <w:proofErr w:type="spellEnd"/>
      <w:r w:rsidRPr="00AF7F5D">
        <w:rPr>
          <w:sz w:val="20"/>
          <w:szCs w:val="20"/>
        </w:rPr>
        <w:t xml:space="preserve"> R,</w:t>
      </w:r>
      <w:r w:rsidR="00710D17">
        <w:rPr>
          <w:sz w:val="20"/>
          <w:szCs w:val="20"/>
        </w:rPr>
        <w:t xml:space="preserve"> Kinnear N, Miller C, Evans S, </w:t>
      </w:r>
      <w:r w:rsidR="00025150">
        <w:rPr>
          <w:sz w:val="20"/>
          <w:szCs w:val="20"/>
        </w:rPr>
        <w:t>et al</w:t>
      </w:r>
      <w:r w:rsidRPr="00AF7F5D">
        <w:rPr>
          <w:sz w:val="20"/>
          <w:szCs w:val="20"/>
        </w:rPr>
        <w:t xml:space="preserve">. Prostate cancer outcomes for men who present with symptoms at diagnosis. BJU </w:t>
      </w:r>
      <w:proofErr w:type="spellStart"/>
      <w:r w:rsidRPr="00AF7F5D">
        <w:rPr>
          <w:sz w:val="20"/>
          <w:szCs w:val="20"/>
        </w:rPr>
        <w:t>Int</w:t>
      </w:r>
      <w:proofErr w:type="spellEnd"/>
      <w:r w:rsidRPr="00AF7F5D">
        <w:rPr>
          <w:sz w:val="20"/>
          <w:szCs w:val="20"/>
        </w:rPr>
        <w:t xml:space="preserve"> 2017; 119:862–71.</w:t>
      </w:r>
      <w:bookmarkStart w:id="23" w:name="_Ref527377971"/>
      <w:bookmarkEnd w:id="22"/>
      <w:r w:rsidR="005F11C1">
        <w:rPr>
          <w:sz w:val="20"/>
          <w:szCs w:val="20"/>
        </w:rPr>
        <w:t xml:space="preserve"> </w:t>
      </w:r>
      <w:r w:rsidR="005F11C1" w:rsidRPr="005F11C1">
        <w:rPr>
          <w:sz w:val="20"/>
          <w:szCs w:val="20"/>
        </w:rPr>
        <w:t>doi:10.1111/bju.13622</w:t>
      </w:r>
    </w:p>
    <w:p w14:paraId="7B2A8A1A" w14:textId="49CDA40E" w:rsidR="00CB792E" w:rsidRPr="001B6340" w:rsidRDefault="001B6340" w:rsidP="005F11C1">
      <w:pPr>
        <w:pStyle w:val="ListParagraph"/>
        <w:numPr>
          <w:ilvl w:val="0"/>
          <w:numId w:val="4"/>
        </w:numPr>
        <w:spacing w:line="240" w:lineRule="auto"/>
        <w:ind w:hanging="340"/>
        <w:jc w:val="left"/>
        <w:rPr>
          <w:sz w:val="20"/>
          <w:szCs w:val="20"/>
        </w:rPr>
      </w:pPr>
      <w:bookmarkStart w:id="24" w:name="_Ref534892423"/>
      <w:bookmarkStart w:id="25" w:name="_Ref13213623"/>
      <w:r w:rsidRPr="001B6340">
        <w:rPr>
          <w:sz w:val="20"/>
          <w:szCs w:val="20"/>
        </w:rPr>
        <w:t>Downing A, Wright P, Wagland R, Watson E, Kearney T, Mottram R</w:t>
      </w:r>
      <w:r>
        <w:rPr>
          <w:sz w:val="20"/>
          <w:szCs w:val="20"/>
        </w:rPr>
        <w:t xml:space="preserve">, </w:t>
      </w:r>
      <w:r w:rsidR="00025150">
        <w:rPr>
          <w:sz w:val="20"/>
          <w:szCs w:val="20"/>
        </w:rPr>
        <w:t>et al</w:t>
      </w:r>
      <w:r w:rsidR="00CB792E" w:rsidRPr="001B6340">
        <w:rPr>
          <w:sz w:val="20"/>
          <w:szCs w:val="20"/>
        </w:rPr>
        <w:t xml:space="preserve">. Life after prostate cancer diagnosis: protocol for a UK-wide patient-reported outcomes study. BMJ Open </w:t>
      </w:r>
      <w:r w:rsidR="00E37AA3">
        <w:rPr>
          <w:sz w:val="20"/>
          <w:szCs w:val="20"/>
        </w:rPr>
        <w:t>2</w:t>
      </w:r>
      <w:r w:rsidR="00E37AA3" w:rsidRPr="001B6340">
        <w:rPr>
          <w:sz w:val="20"/>
          <w:szCs w:val="20"/>
        </w:rPr>
        <w:t>016; 6:e013555</w:t>
      </w:r>
      <w:r w:rsidR="00CB792E" w:rsidRPr="001B6340">
        <w:rPr>
          <w:sz w:val="20"/>
          <w:szCs w:val="20"/>
        </w:rPr>
        <w:t>.</w:t>
      </w:r>
      <w:bookmarkEnd w:id="23"/>
      <w:bookmarkEnd w:id="24"/>
      <w:r w:rsidR="00CB792E" w:rsidRPr="001B6340">
        <w:rPr>
          <w:sz w:val="20"/>
          <w:szCs w:val="20"/>
        </w:rPr>
        <w:t xml:space="preserve"> </w:t>
      </w:r>
      <w:r w:rsidR="005F11C1" w:rsidRPr="005F11C1">
        <w:rPr>
          <w:sz w:val="20"/>
          <w:szCs w:val="20"/>
        </w:rPr>
        <w:t>doi:10.1136/bmjopen-2016-013555</w:t>
      </w:r>
      <w:bookmarkEnd w:id="25"/>
    </w:p>
    <w:p w14:paraId="2A010C4B" w14:textId="77777777" w:rsidR="00CB792E" w:rsidRDefault="00CB792E" w:rsidP="007A3865">
      <w:pPr>
        <w:pStyle w:val="ListParagraph"/>
        <w:numPr>
          <w:ilvl w:val="0"/>
          <w:numId w:val="4"/>
        </w:numPr>
        <w:spacing w:line="240" w:lineRule="auto"/>
        <w:ind w:hanging="340"/>
        <w:jc w:val="left"/>
        <w:rPr>
          <w:sz w:val="20"/>
          <w:szCs w:val="20"/>
        </w:rPr>
      </w:pPr>
      <w:bookmarkStart w:id="26" w:name="_Ref527377995"/>
      <w:r w:rsidRPr="00AF7F5D">
        <w:rPr>
          <w:sz w:val="20"/>
          <w:szCs w:val="20"/>
        </w:rPr>
        <w:t xml:space="preserve">Szymanski KM, Wei JT, Dunn RL, </w:t>
      </w:r>
      <w:proofErr w:type="spellStart"/>
      <w:r w:rsidRPr="00AF7F5D">
        <w:rPr>
          <w:sz w:val="20"/>
          <w:szCs w:val="20"/>
        </w:rPr>
        <w:t>Sanda</w:t>
      </w:r>
      <w:proofErr w:type="spellEnd"/>
      <w:r w:rsidRPr="00AF7F5D">
        <w:rPr>
          <w:sz w:val="20"/>
          <w:szCs w:val="20"/>
        </w:rPr>
        <w:t xml:space="preserve"> MG. Development and validation of an abbreviated version of the expanded prostate cancer index composite instrument for measuring health-related quality of life among prostate cancer survivors. Urology 2010; 76:1245-50.</w:t>
      </w:r>
      <w:bookmarkEnd w:id="26"/>
      <w:r w:rsidR="007A3865">
        <w:rPr>
          <w:sz w:val="20"/>
          <w:szCs w:val="20"/>
        </w:rPr>
        <w:t xml:space="preserve"> </w:t>
      </w:r>
      <w:r w:rsidR="007A3865" w:rsidRPr="007A3865">
        <w:rPr>
          <w:sz w:val="20"/>
          <w:szCs w:val="20"/>
        </w:rPr>
        <w:t>doi:10.1016/j.urology.2010.01.027</w:t>
      </w:r>
    </w:p>
    <w:p w14:paraId="57683D36" w14:textId="77777777" w:rsidR="00327904" w:rsidRPr="00327904" w:rsidRDefault="00327904" w:rsidP="00327904">
      <w:pPr>
        <w:pStyle w:val="ListParagraph"/>
        <w:numPr>
          <w:ilvl w:val="0"/>
          <w:numId w:val="4"/>
        </w:numPr>
        <w:spacing w:line="240" w:lineRule="auto"/>
        <w:ind w:hanging="340"/>
        <w:jc w:val="left"/>
        <w:rPr>
          <w:sz w:val="20"/>
          <w:szCs w:val="20"/>
        </w:rPr>
      </w:pPr>
      <w:bookmarkStart w:id="27" w:name="_Ref13208285"/>
      <w:r w:rsidRPr="00327904">
        <w:rPr>
          <w:sz w:val="20"/>
          <w:szCs w:val="20"/>
        </w:rPr>
        <w:t xml:space="preserve">Watson E, </w:t>
      </w:r>
      <w:proofErr w:type="spellStart"/>
      <w:r w:rsidRPr="00327904">
        <w:rPr>
          <w:sz w:val="20"/>
          <w:szCs w:val="20"/>
        </w:rPr>
        <w:t>Shinkins</w:t>
      </w:r>
      <w:proofErr w:type="spellEnd"/>
      <w:r w:rsidRPr="00327904">
        <w:rPr>
          <w:sz w:val="20"/>
          <w:szCs w:val="20"/>
        </w:rPr>
        <w:t xml:space="preserve"> B, Frith E, et al. Symptoms, unmet needs, psychological well-being and health status in survivors of prostate cancer: implications for redesigning follow-up. BJU </w:t>
      </w:r>
      <w:proofErr w:type="spellStart"/>
      <w:r w:rsidRPr="00327904">
        <w:rPr>
          <w:sz w:val="20"/>
          <w:szCs w:val="20"/>
        </w:rPr>
        <w:t>Int</w:t>
      </w:r>
      <w:proofErr w:type="spellEnd"/>
      <w:r w:rsidRPr="00327904">
        <w:rPr>
          <w:sz w:val="20"/>
          <w:szCs w:val="20"/>
        </w:rPr>
        <w:t xml:space="preserve"> 2015; 116: e10–19.</w:t>
      </w:r>
      <w:bookmarkEnd w:id="27"/>
    </w:p>
    <w:p w14:paraId="0684ED8F" w14:textId="73051C57" w:rsidR="007738D4" w:rsidRDefault="007738D4" w:rsidP="001C0707">
      <w:pPr>
        <w:pStyle w:val="ListParagraph"/>
        <w:numPr>
          <w:ilvl w:val="0"/>
          <w:numId w:val="4"/>
        </w:numPr>
        <w:spacing w:line="240" w:lineRule="auto"/>
        <w:ind w:hanging="340"/>
        <w:jc w:val="left"/>
        <w:rPr>
          <w:sz w:val="20"/>
          <w:szCs w:val="20"/>
        </w:rPr>
      </w:pPr>
      <w:bookmarkStart w:id="28" w:name="_Ref12437017"/>
      <w:proofErr w:type="spellStart"/>
      <w:r>
        <w:rPr>
          <w:sz w:val="20"/>
          <w:szCs w:val="20"/>
        </w:rPr>
        <w:t>Sanda</w:t>
      </w:r>
      <w:proofErr w:type="spellEnd"/>
      <w:r>
        <w:rPr>
          <w:sz w:val="20"/>
          <w:szCs w:val="20"/>
        </w:rPr>
        <w:t xml:space="preserve"> MG, Wei JT, </w:t>
      </w:r>
      <w:proofErr w:type="spellStart"/>
      <w:r>
        <w:rPr>
          <w:sz w:val="20"/>
          <w:szCs w:val="20"/>
        </w:rPr>
        <w:t>Litwin</w:t>
      </w:r>
      <w:proofErr w:type="spellEnd"/>
      <w:r>
        <w:rPr>
          <w:sz w:val="20"/>
          <w:szCs w:val="20"/>
        </w:rPr>
        <w:t xml:space="preserve"> MS. Scoring Instructions for the Expanded Prostate cancer Index Composite Short Form (EPIC-26). Available from </w:t>
      </w:r>
      <w:r w:rsidRPr="007738D4">
        <w:rPr>
          <w:sz w:val="20"/>
          <w:szCs w:val="20"/>
        </w:rPr>
        <w:t>https://medicine.umich.edu/sites/default/files/content/downloads/Scoring%20Instructions%20for%20the%20EPIC%2026.pdf</w:t>
      </w:r>
      <w:r>
        <w:rPr>
          <w:sz w:val="20"/>
          <w:szCs w:val="20"/>
        </w:rPr>
        <w:t>. Accessed June 2019.</w:t>
      </w:r>
      <w:bookmarkEnd w:id="28"/>
    </w:p>
    <w:p w14:paraId="0541750A" w14:textId="77777777" w:rsidR="00A76B15" w:rsidRPr="00A76B15" w:rsidRDefault="00A76B15" w:rsidP="00A76B15">
      <w:pPr>
        <w:pStyle w:val="ListParagraph"/>
        <w:numPr>
          <w:ilvl w:val="0"/>
          <w:numId w:val="4"/>
        </w:numPr>
        <w:spacing w:line="240" w:lineRule="auto"/>
        <w:ind w:hanging="340"/>
        <w:jc w:val="left"/>
        <w:rPr>
          <w:sz w:val="20"/>
          <w:szCs w:val="20"/>
        </w:rPr>
      </w:pPr>
      <w:bookmarkStart w:id="29" w:name="_Ref520360039"/>
      <w:proofErr w:type="gramStart"/>
      <w:r w:rsidRPr="00A76B15">
        <w:rPr>
          <w:sz w:val="20"/>
          <w:szCs w:val="20"/>
        </w:rPr>
        <w:t>van</w:t>
      </w:r>
      <w:proofErr w:type="gramEnd"/>
      <w:r w:rsidRPr="00A76B15">
        <w:rPr>
          <w:sz w:val="20"/>
          <w:szCs w:val="20"/>
        </w:rPr>
        <w:t xml:space="preserve"> der </w:t>
      </w:r>
      <w:proofErr w:type="spellStart"/>
      <w:r w:rsidRPr="00A76B15">
        <w:rPr>
          <w:sz w:val="20"/>
          <w:szCs w:val="20"/>
        </w:rPr>
        <w:t>Heijden</w:t>
      </w:r>
      <w:proofErr w:type="spellEnd"/>
      <w:r w:rsidRPr="00A76B15">
        <w:rPr>
          <w:sz w:val="20"/>
          <w:szCs w:val="20"/>
        </w:rPr>
        <w:t xml:space="preserve"> GJ, </w:t>
      </w:r>
      <w:proofErr w:type="spellStart"/>
      <w:r w:rsidRPr="00A76B15">
        <w:rPr>
          <w:sz w:val="20"/>
          <w:szCs w:val="20"/>
        </w:rPr>
        <w:t>Donders</w:t>
      </w:r>
      <w:proofErr w:type="spellEnd"/>
      <w:r w:rsidRPr="00A76B15">
        <w:rPr>
          <w:sz w:val="20"/>
          <w:szCs w:val="20"/>
        </w:rPr>
        <w:t xml:space="preserve"> AR, </w:t>
      </w:r>
      <w:proofErr w:type="spellStart"/>
      <w:r w:rsidRPr="00A76B15">
        <w:rPr>
          <w:sz w:val="20"/>
          <w:szCs w:val="20"/>
        </w:rPr>
        <w:t>Stijnen</w:t>
      </w:r>
      <w:proofErr w:type="spellEnd"/>
      <w:r w:rsidRPr="00A76B15">
        <w:rPr>
          <w:sz w:val="20"/>
          <w:szCs w:val="20"/>
        </w:rPr>
        <w:t xml:space="preserve"> T, Moons KG. Imputation of missing values is superior to complete case analysis and the missing-indicator method in multivariable diagnostic research: A clinical example. J </w:t>
      </w:r>
      <w:proofErr w:type="spellStart"/>
      <w:r w:rsidRPr="00A76B15">
        <w:rPr>
          <w:sz w:val="20"/>
          <w:szCs w:val="20"/>
        </w:rPr>
        <w:t>Clin</w:t>
      </w:r>
      <w:proofErr w:type="spellEnd"/>
      <w:r w:rsidRPr="00A76B15">
        <w:rPr>
          <w:sz w:val="20"/>
          <w:szCs w:val="20"/>
        </w:rPr>
        <w:t xml:space="preserve"> </w:t>
      </w:r>
      <w:proofErr w:type="spellStart"/>
      <w:r w:rsidRPr="00A76B15">
        <w:rPr>
          <w:sz w:val="20"/>
          <w:szCs w:val="20"/>
        </w:rPr>
        <w:t>Epidemiol</w:t>
      </w:r>
      <w:proofErr w:type="spellEnd"/>
      <w:r w:rsidRPr="00A76B15">
        <w:rPr>
          <w:sz w:val="20"/>
          <w:szCs w:val="20"/>
        </w:rPr>
        <w:t xml:space="preserve"> 2006; 59: 1102-9.</w:t>
      </w:r>
      <w:bookmarkEnd w:id="29"/>
    </w:p>
    <w:p w14:paraId="3B33A14D" w14:textId="77777777" w:rsidR="00A76B15" w:rsidRPr="00A76B15" w:rsidRDefault="00A76B15" w:rsidP="007A3865">
      <w:pPr>
        <w:pStyle w:val="ListParagraph"/>
        <w:numPr>
          <w:ilvl w:val="0"/>
          <w:numId w:val="4"/>
        </w:numPr>
        <w:spacing w:line="240" w:lineRule="auto"/>
        <w:ind w:hanging="340"/>
        <w:jc w:val="left"/>
        <w:rPr>
          <w:sz w:val="20"/>
          <w:szCs w:val="20"/>
        </w:rPr>
      </w:pPr>
      <w:bookmarkStart w:id="30" w:name="_Ref520360040"/>
      <w:r w:rsidRPr="00A76B15">
        <w:rPr>
          <w:sz w:val="20"/>
          <w:szCs w:val="20"/>
        </w:rPr>
        <w:t>White IR, Carlin JB. Bias and efficiency of multiple imputation compared with complete-case analysis for missing covariate values. Stat Med 2010; 29: 2920-31.</w:t>
      </w:r>
      <w:bookmarkEnd w:id="30"/>
      <w:r w:rsidR="007A3865">
        <w:rPr>
          <w:sz w:val="20"/>
          <w:szCs w:val="20"/>
        </w:rPr>
        <w:t xml:space="preserve"> </w:t>
      </w:r>
      <w:r w:rsidR="007A3865" w:rsidRPr="007A3865">
        <w:rPr>
          <w:sz w:val="20"/>
          <w:szCs w:val="20"/>
        </w:rPr>
        <w:t>doi:10.1002/sim.3944</w:t>
      </w:r>
    </w:p>
    <w:p w14:paraId="46BFE84E" w14:textId="77777777" w:rsidR="00CB792E" w:rsidRPr="00AF7F5D" w:rsidRDefault="00CB792E" w:rsidP="007A3865">
      <w:pPr>
        <w:pStyle w:val="ListParagraph"/>
        <w:numPr>
          <w:ilvl w:val="0"/>
          <w:numId w:val="4"/>
        </w:numPr>
        <w:spacing w:line="240" w:lineRule="auto"/>
        <w:ind w:hanging="340"/>
        <w:jc w:val="left"/>
        <w:rPr>
          <w:sz w:val="20"/>
          <w:szCs w:val="20"/>
        </w:rPr>
      </w:pPr>
      <w:bookmarkStart w:id="31" w:name="_Ref527378011"/>
      <w:proofErr w:type="spellStart"/>
      <w:r w:rsidRPr="00AF7F5D">
        <w:rPr>
          <w:sz w:val="20"/>
          <w:szCs w:val="20"/>
        </w:rPr>
        <w:t>Azur</w:t>
      </w:r>
      <w:proofErr w:type="spellEnd"/>
      <w:r w:rsidRPr="00AF7F5D">
        <w:rPr>
          <w:sz w:val="20"/>
          <w:szCs w:val="20"/>
        </w:rPr>
        <w:t xml:space="preserve"> MJ, Stuart EA, </w:t>
      </w:r>
      <w:proofErr w:type="spellStart"/>
      <w:r w:rsidRPr="00AF7F5D">
        <w:rPr>
          <w:sz w:val="20"/>
          <w:szCs w:val="20"/>
        </w:rPr>
        <w:t>Frangakis</w:t>
      </w:r>
      <w:proofErr w:type="spellEnd"/>
      <w:r w:rsidRPr="00AF7F5D">
        <w:rPr>
          <w:sz w:val="20"/>
          <w:szCs w:val="20"/>
        </w:rPr>
        <w:t xml:space="preserve"> C, Leaf PJ. Multiple imputation by chained equations: What is it and how does it work? </w:t>
      </w:r>
      <w:proofErr w:type="spellStart"/>
      <w:r w:rsidRPr="00AF7F5D">
        <w:rPr>
          <w:sz w:val="20"/>
          <w:szCs w:val="20"/>
        </w:rPr>
        <w:t>Int</w:t>
      </w:r>
      <w:proofErr w:type="spellEnd"/>
      <w:r w:rsidRPr="00AF7F5D">
        <w:rPr>
          <w:sz w:val="20"/>
          <w:szCs w:val="20"/>
        </w:rPr>
        <w:t xml:space="preserve"> J Methods </w:t>
      </w:r>
      <w:proofErr w:type="spellStart"/>
      <w:r w:rsidRPr="00AF7F5D">
        <w:rPr>
          <w:sz w:val="20"/>
          <w:szCs w:val="20"/>
        </w:rPr>
        <w:t>Psychiatr</w:t>
      </w:r>
      <w:proofErr w:type="spellEnd"/>
      <w:r w:rsidRPr="00AF7F5D">
        <w:rPr>
          <w:sz w:val="20"/>
          <w:szCs w:val="20"/>
        </w:rPr>
        <w:t xml:space="preserve"> Res 2011; 20: 40-9.</w:t>
      </w:r>
      <w:bookmarkEnd w:id="31"/>
      <w:r w:rsidR="007A3865">
        <w:rPr>
          <w:sz w:val="20"/>
          <w:szCs w:val="20"/>
        </w:rPr>
        <w:t xml:space="preserve"> </w:t>
      </w:r>
      <w:r w:rsidR="007A3865" w:rsidRPr="007A3865">
        <w:rPr>
          <w:sz w:val="20"/>
          <w:szCs w:val="20"/>
        </w:rPr>
        <w:t>doi:10.1002/mpr.329</w:t>
      </w:r>
    </w:p>
    <w:p w14:paraId="6C077854" w14:textId="77777777" w:rsidR="007C58DA" w:rsidRDefault="00CB792E" w:rsidP="007C58DA">
      <w:pPr>
        <w:pStyle w:val="ListParagraph"/>
        <w:numPr>
          <w:ilvl w:val="0"/>
          <w:numId w:val="4"/>
        </w:numPr>
        <w:spacing w:line="240" w:lineRule="auto"/>
        <w:ind w:hanging="340"/>
        <w:jc w:val="left"/>
        <w:rPr>
          <w:sz w:val="20"/>
          <w:szCs w:val="20"/>
        </w:rPr>
      </w:pPr>
      <w:bookmarkStart w:id="32" w:name="_Ref527378012"/>
      <w:r w:rsidRPr="00AF7F5D">
        <w:rPr>
          <w:sz w:val="20"/>
          <w:szCs w:val="20"/>
        </w:rPr>
        <w:t>Rubin DB. Multiple Imputation for Nonresponse in Surveys. New York: John Wiley and Sons; 1987.</w:t>
      </w:r>
      <w:bookmarkStart w:id="33" w:name="_Ref520465608"/>
      <w:bookmarkEnd w:id="32"/>
    </w:p>
    <w:p w14:paraId="6F2076C8" w14:textId="75A02101" w:rsidR="007C58DA" w:rsidRPr="004A434D" w:rsidRDefault="007C58DA" w:rsidP="007C58DA">
      <w:pPr>
        <w:pStyle w:val="ListParagraph"/>
        <w:numPr>
          <w:ilvl w:val="0"/>
          <w:numId w:val="4"/>
        </w:numPr>
        <w:spacing w:line="240" w:lineRule="auto"/>
        <w:ind w:hanging="340"/>
        <w:jc w:val="left"/>
        <w:rPr>
          <w:sz w:val="20"/>
          <w:szCs w:val="20"/>
        </w:rPr>
      </w:pPr>
      <w:bookmarkStart w:id="34" w:name="_Ref12449644"/>
      <w:proofErr w:type="spellStart"/>
      <w:r w:rsidRPr="007C58DA">
        <w:rPr>
          <w:rFonts w:eastAsia="Arial" w:cs="Arial"/>
          <w:color w:val="000000"/>
          <w:sz w:val="20"/>
          <w:szCs w:val="20"/>
          <w:highlight w:val="white"/>
        </w:rPr>
        <w:t>Skolarus</w:t>
      </w:r>
      <w:proofErr w:type="spellEnd"/>
      <w:r w:rsidRPr="007C58DA">
        <w:rPr>
          <w:rFonts w:eastAsia="Arial" w:cs="Arial"/>
          <w:color w:val="000000"/>
          <w:sz w:val="20"/>
          <w:szCs w:val="20"/>
          <w:highlight w:val="white"/>
        </w:rPr>
        <w:t xml:space="preserve"> TA, Dunn RL, </w:t>
      </w:r>
      <w:proofErr w:type="spellStart"/>
      <w:r w:rsidRPr="007C58DA">
        <w:rPr>
          <w:rFonts w:eastAsia="Arial" w:cs="Arial"/>
          <w:color w:val="000000"/>
          <w:sz w:val="20"/>
          <w:szCs w:val="20"/>
          <w:highlight w:val="white"/>
        </w:rPr>
        <w:t>Sanda</w:t>
      </w:r>
      <w:proofErr w:type="spellEnd"/>
      <w:r w:rsidRPr="007C58DA">
        <w:rPr>
          <w:rFonts w:eastAsia="Arial" w:cs="Arial"/>
          <w:color w:val="000000"/>
          <w:sz w:val="20"/>
          <w:szCs w:val="20"/>
          <w:highlight w:val="white"/>
        </w:rPr>
        <w:t xml:space="preserve"> MG, et al. Minimally important difference for the expanded prostate cancer index composite short form. </w:t>
      </w:r>
      <w:r w:rsidRPr="00F957C8">
        <w:rPr>
          <w:rFonts w:eastAsia="Arial" w:cs="Arial"/>
          <w:color w:val="000000"/>
          <w:sz w:val="20"/>
          <w:szCs w:val="20"/>
          <w:highlight w:val="white"/>
        </w:rPr>
        <w:t>Urology</w:t>
      </w:r>
      <w:r w:rsidRPr="007C58DA">
        <w:rPr>
          <w:rFonts w:eastAsia="Arial" w:cs="Arial"/>
          <w:color w:val="000000"/>
          <w:sz w:val="20"/>
          <w:szCs w:val="20"/>
          <w:highlight w:val="white"/>
        </w:rPr>
        <w:t xml:space="preserve"> 2015; 85:101-6. doi:10.1016/j.urology.2014.08.044.</w:t>
      </w:r>
      <w:bookmarkEnd w:id="33"/>
      <w:bookmarkEnd w:id="34"/>
    </w:p>
    <w:p w14:paraId="1360505A" w14:textId="77777777" w:rsidR="004A434D" w:rsidRDefault="004A434D" w:rsidP="004A434D">
      <w:pPr>
        <w:spacing w:line="240" w:lineRule="auto"/>
        <w:jc w:val="left"/>
        <w:rPr>
          <w:sz w:val="20"/>
          <w:szCs w:val="20"/>
        </w:rPr>
      </w:pPr>
    </w:p>
    <w:p w14:paraId="4CBE4A1A" w14:textId="77777777" w:rsidR="004A434D" w:rsidRDefault="004A434D" w:rsidP="004A434D">
      <w:pPr>
        <w:spacing w:line="240" w:lineRule="auto"/>
        <w:jc w:val="left"/>
        <w:rPr>
          <w:sz w:val="20"/>
          <w:szCs w:val="20"/>
        </w:rPr>
      </w:pPr>
    </w:p>
    <w:p w14:paraId="10967940" w14:textId="77777777" w:rsidR="004A434D" w:rsidRDefault="004A434D" w:rsidP="004A434D">
      <w:pPr>
        <w:spacing w:line="240" w:lineRule="auto"/>
        <w:jc w:val="left"/>
        <w:rPr>
          <w:sz w:val="20"/>
          <w:szCs w:val="20"/>
        </w:rPr>
      </w:pPr>
    </w:p>
    <w:p w14:paraId="445E80E1" w14:textId="77777777" w:rsidR="004A434D" w:rsidRDefault="004A434D" w:rsidP="004A434D">
      <w:pPr>
        <w:pStyle w:val="Heading2"/>
        <w:sectPr w:rsidR="004A434D" w:rsidSect="00376C02">
          <w:pgSz w:w="11906" w:h="16838"/>
          <w:pgMar w:top="1440" w:right="1440" w:bottom="1440" w:left="1440" w:header="709" w:footer="709" w:gutter="0"/>
          <w:cols w:space="708"/>
          <w:docGrid w:linePitch="360"/>
        </w:sectPr>
      </w:pPr>
    </w:p>
    <w:p w14:paraId="708D1073" w14:textId="4148F002" w:rsidR="004A434D" w:rsidRDefault="004A434D" w:rsidP="004A434D">
      <w:pPr>
        <w:pStyle w:val="Heading3"/>
      </w:pPr>
      <w:r>
        <w:lastRenderedPageBreak/>
        <w:t>Figure 1: Proportion of PSA-detected and symptomatic prostate cancer survivors</w:t>
      </w:r>
      <w:r w:rsidRPr="00B7357B">
        <w:rPr>
          <w:vertAlign w:val="superscript"/>
        </w:rPr>
        <w:t>#</w:t>
      </w:r>
      <w:r>
        <w:t xml:space="preserve"> reporting moderate/severe* urinary, bowel and sexual problems, </w:t>
      </w:r>
      <w:r w:rsidR="00A3292E">
        <w:t>feeling depressed</w:t>
      </w:r>
      <w:r>
        <w:t xml:space="preserve"> and </w:t>
      </w:r>
      <w:r w:rsidR="00A3292E">
        <w:t>lack of energy</w:t>
      </w:r>
      <w:r>
        <w:t xml:space="preserve">, measured using unadjusted individual items from the EPIC-26 questionnaire.    </w:t>
      </w:r>
    </w:p>
    <w:p w14:paraId="6EBCF174" w14:textId="44375BA8" w:rsidR="004A434D" w:rsidRDefault="00A6628F" w:rsidP="004A434D">
      <w:pPr>
        <w:pStyle w:val="NoSpacing"/>
      </w:pPr>
      <w:r>
        <w:rPr>
          <w:noProof/>
          <w:lang w:eastAsia="en-GB"/>
        </w:rPr>
        <w:drawing>
          <wp:inline distT="0" distB="0" distL="0" distR="0" wp14:anchorId="1AC40F6E" wp14:editId="389168E5">
            <wp:extent cx="5731510" cy="343916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3439160"/>
                    </a:xfrm>
                    <a:prstGeom prst="rect">
                      <a:avLst/>
                    </a:prstGeom>
                  </pic:spPr>
                </pic:pic>
              </a:graphicData>
            </a:graphic>
          </wp:inline>
        </w:drawing>
      </w:r>
    </w:p>
    <w:p w14:paraId="4E793D66" w14:textId="77777777" w:rsidR="00A6628F" w:rsidRPr="00592654" w:rsidRDefault="00A6628F" w:rsidP="004A434D">
      <w:pPr>
        <w:pStyle w:val="NoSpacing"/>
      </w:pPr>
    </w:p>
    <w:p w14:paraId="6187DBB6" w14:textId="77777777" w:rsidR="004A434D" w:rsidRPr="00B7357B" w:rsidRDefault="004A434D" w:rsidP="004A434D">
      <w:pPr>
        <w:spacing w:line="240" w:lineRule="auto"/>
        <w:rPr>
          <w:sz w:val="20"/>
          <w:szCs w:val="20"/>
        </w:rPr>
      </w:pPr>
      <w:r w:rsidRPr="00B7357B">
        <w:rPr>
          <w:sz w:val="20"/>
          <w:szCs w:val="20"/>
        </w:rPr>
        <w:t>Notes:</w:t>
      </w:r>
    </w:p>
    <w:p w14:paraId="3404B69A" w14:textId="77777777" w:rsidR="004A434D" w:rsidRDefault="004A434D" w:rsidP="004A434D">
      <w:pPr>
        <w:spacing w:line="240" w:lineRule="auto"/>
        <w:rPr>
          <w:sz w:val="20"/>
          <w:szCs w:val="20"/>
        </w:rPr>
      </w:pPr>
      <w:r>
        <w:rPr>
          <w:sz w:val="20"/>
          <w:szCs w:val="20"/>
        </w:rPr>
        <w:t>(a) See supplementary table 3</w:t>
      </w:r>
      <w:r w:rsidRPr="00B7357B">
        <w:rPr>
          <w:sz w:val="20"/>
          <w:szCs w:val="20"/>
        </w:rPr>
        <w:t xml:space="preserve"> for further responses to individual questions</w:t>
      </w:r>
      <w:r>
        <w:rPr>
          <w:sz w:val="20"/>
          <w:szCs w:val="20"/>
        </w:rPr>
        <w:t>, including confidence intervals and the results of statistical tests comparing patient groups</w:t>
      </w:r>
      <w:r w:rsidRPr="00B7357B">
        <w:rPr>
          <w:sz w:val="20"/>
          <w:szCs w:val="20"/>
        </w:rPr>
        <w:t>.</w:t>
      </w:r>
    </w:p>
    <w:p w14:paraId="33DDF17C" w14:textId="77777777" w:rsidR="004A434D" w:rsidRPr="00B7357B" w:rsidRDefault="004A434D" w:rsidP="004A434D">
      <w:pPr>
        <w:spacing w:line="240" w:lineRule="auto"/>
        <w:rPr>
          <w:sz w:val="20"/>
          <w:szCs w:val="20"/>
        </w:rPr>
      </w:pPr>
      <w:r>
        <w:rPr>
          <w:sz w:val="20"/>
          <w:szCs w:val="20"/>
        </w:rPr>
        <w:t>(b) Error bars represent the 95% confidence intervals around each proportion.</w:t>
      </w:r>
    </w:p>
    <w:p w14:paraId="6485FD15" w14:textId="77777777" w:rsidR="004A434D" w:rsidRPr="00B7357B" w:rsidRDefault="004A434D" w:rsidP="004A434D">
      <w:pPr>
        <w:spacing w:line="240" w:lineRule="auto"/>
        <w:rPr>
          <w:sz w:val="20"/>
          <w:szCs w:val="20"/>
        </w:rPr>
      </w:pPr>
      <w:r w:rsidRPr="00B7357B">
        <w:rPr>
          <w:sz w:val="20"/>
          <w:szCs w:val="20"/>
        </w:rPr>
        <w:t># Alive 18-42 months after diagnosis; * or equivalents such as poor/very poor.</w:t>
      </w:r>
    </w:p>
    <w:p w14:paraId="42B3388B" w14:textId="77777777" w:rsidR="004A434D" w:rsidRPr="004A434D" w:rsidRDefault="004A434D" w:rsidP="004A434D">
      <w:pPr>
        <w:sectPr w:rsidR="004A434D" w:rsidRPr="004A434D" w:rsidSect="00376C02">
          <w:pgSz w:w="11906" w:h="16838"/>
          <w:pgMar w:top="1440" w:right="1440" w:bottom="1440" w:left="1440" w:header="709" w:footer="709" w:gutter="0"/>
          <w:cols w:space="708"/>
          <w:docGrid w:linePitch="360"/>
        </w:sectPr>
      </w:pPr>
    </w:p>
    <w:p w14:paraId="2F42A969" w14:textId="2817A779" w:rsidR="00CB792E" w:rsidRDefault="00CB792E" w:rsidP="00592654">
      <w:pPr>
        <w:pStyle w:val="Heading3"/>
      </w:pPr>
      <w:r>
        <w:lastRenderedPageBreak/>
        <w:t>Table 1: Respondent characteristics by method of presentation</w:t>
      </w:r>
      <w:r>
        <w:tab/>
      </w:r>
    </w:p>
    <w:p w14:paraId="2B69F84A" w14:textId="77777777" w:rsidR="00592654" w:rsidRPr="00592654" w:rsidRDefault="00592654" w:rsidP="00592654">
      <w:pPr>
        <w:pStyle w:val="NoSpacing"/>
      </w:pPr>
    </w:p>
    <w:tbl>
      <w:tblPr>
        <w:tblStyle w:val="TableGrid"/>
        <w:tblW w:w="0" w:type="auto"/>
        <w:tblLayout w:type="fixed"/>
        <w:tblLook w:val="04A0" w:firstRow="1" w:lastRow="0" w:firstColumn="1" w:lastColumn="0" w:noHBand="0" w:noVBand="1"/>
      </w:tblPr>
      <w:tblGrid>
        <w:gridCol w:w="1980"/>
        <w:gridCol w:w="1417"/>
        <w:gridCol w:w="1404"/>
        <w:gridCol w:w="1405"/>
        <w:gridCol w:w="1405"/>
        <w:gridCol w:w="1405"/>
      </w:tblGrid>
      <w:tr w:rsidR="00CB792E" w:rsidRPr="007B1C60" w14:paraId="44B75126" w14:textId="77777777" w:rsidTr="00650CCA">
        <w:trPr>
          <w:trHeight w:val="284"/>
        </w:trPr>
        <w:tc>
          <w:tcPr>
            <w:tcW w:w="1980" w:type="dxa"/>
            <w:vMerge w:val="restart"/>
            <w:tcMar>
              <w:left w:w="28" w:type="dxa"/>
              <w:right w:w="28" w:type="dxa"/>
            </w:tcMar>
            <w:vAlign w:val="center"/>
          </w:tcPr>
          <w:p w14:paraId="1B66EBE1" w14:textId="77777777" w:rsidR="00CB792E" w:rsidRPr="007B1C60" w:rsidRDefault="00CB792E" w:rsidP="00650CCA">
            <w:pPr>
              <w:spacing w:line="240" w:lineRule="auto"/>
              <w:jc w:val="left"/>
              <w:rPr>
                <w:rFonts w:cs="Arial"/>
                <w:b/>
                <w:sz w:val="20"/>
                <w:szCs w:val="20"/>
              </w:rPr>
            </w:pPr>
            <w:r w:rsidRPr="007B1C60">
              <w:rPr>
                <w:rFonts w:cs="Arial"/>
                <w:b/>
                <w:sz w:val="20"/>
                <w:szCs w:val="20"/>
              </w:rPr>
              <w:t>Respondent characteristics</w:t>
            </w:r>
          </w:p>
        </w:tc>
        <w:tc>
          <w:tcPr>
            <w:tcW w:w="1417" w:type="dxa"/>
            <w:vMerge w:val="restart"/>
            <w:tcMar>
              <w:left w:w="28" w:type="dxa"/>
              <w:right w:w="28" w:type="dxa"/>
            </w:tcMar>
            <w:vAlign w:val="center"/>
          </w:tcPr>
          <w:p w14:paraId="5673C4AB" w14:textId="77777777" w:rsidR="00CB792E" w:rsidRPr="007B1C60" w:rsidRDefault="00CB792E" w:rsidP="00650CCA">
            <w:pPr>
              <w:spacing w:line="240" w:lineRule="auto"/>
              <w:jc w:val="left"/>
              <w:rPr>
                <w:rFonts w:cs="Arial"/>
                <w:b/>
                <w:sz w:val="20"/>
                <w:szCs w:val="20"/>
              </w:rPr>
            </w:pPr>
            <w:r w:rsidRPr="007B1C60">
              <w:rPr>
                <w:rFonts w:cs="Arial"/>
                <w:b/>
                <w:sz w:val="20"/>
                <w:szCs w:val="20"/>
              </w:rPr>
              <w:t>All respondents (n=35,823)</w:t>
            </w:r>
          </w:p>
        </w:tc>
        <w:tc>
          <w:tcPr>
            <w:tcW w:w="5619" w:type="dxa"/>
            <w:gridSpan w:val="4"/>
            <w:tcMar>
              <w:left w:w="28" w:type="dxa"/>
              <w:right w:w="28" w:type="dxa"/>
            </w:tcMar>
            <w:vAlign w:val="center"/>
          </w:tcPr>
          <w:p w14:paraId="324CBB39" w14:textId="77777777" w:rsidR="00CB792E" w:rsidRPr="007B1C60" w:rsidRDefault="00CB792E" w:rsidP="00650CCA">
            <w:pPr>
              <w:spacing w:line="240" w:lineRule="auto"/>
              <w:jc w:val="left"/>
              <w:rPr>
                <w:rFonts w:cs="Arial"/>
                <w:b/>
                <w:sz w:val="20"/>
                <w:szCs w:val="20"/>
              </w:rPr>
            </w:pPr>
            <w:r w:rsidRPr="007B1C60">
              <w:rPr>
                <w:rFonts w:cs="Arial"/>
                <w:b/>
                <w:sz w:val="20"/>
                <w:szCs w:val="20"/>
              </w:rPr>
              <w:t>Method of presentation</w:t>
            </w:r>
          </w:p>
        </w:tc>
      </w:tr>
      <w:tr w:rsidR="00CB792E" w:rsidRPr="007B1C60" w14:paraId="5FCCAC36" w14:textId="77777777" w:rsidTr="00650CCA">
        <w:trPr>
          <w:trHeight w:val="284"/>
        </w:trPr>
        <w:tc>
          <w:tcPr>
            <w:tcW w:w="1980" w:type="dxa"/>
            <w:vMerge/>
            <w:tcMar>
              <w:left w:w="28" w:type="dxa"/>
              <w:right w:w="28" w:type="dxa"/>
            </w:tcMar>
            <w:vAlign w:val="center"/>
          </w:tcPr>
          <w:p w14:paraId="47B0F7AB" w14:textId="77777777" w:rsidR="00CB792E" w:rsidRPr="007B1C60" w:rsidRDefault="00CB792E" w:rsidP="00650CCA">
            <w:pPr>
              <w:spacing w:line="240" w:lineRule="auto"/>
              <w:jc w:val="left"/>
              <w:rPr>
                <w:rFonts w:cs="Arial"/>
                <w:b/>
                <w:sz w:val="20"/>
                <w:szCs w:val="20"/>
              </w:rPr>
            </w:pPr>
          </w:p>
        </w:tc>
        <w:tc>
          <w:tcPr>
            <w:tcW w:w="1417" w:type="dxa"/>
            <w:vMerge/>
            <w:tcMar>
              <w:left w:w="28" w:type="dxa"/>
              <w:right w:w="28" w:type="dxa"/>
            </w:tcMar>
            <w:vAlign w:val="center"/>
          </w:tcPr>
          <w:p w14:paraId="6B1A454B" w14:textId="77777777" w:rsidR="00CB792E" w:rsidRPr="007B1C60" w:rsidRDefault="00CB792E" w:rsidP="00650CCA">
            <w:pPr>
              <w:spacing w:line="240" w:lineRule="auto"/>
              <w:jc w:val="left"/>
              <w:rPr>
                <w:rFonts w:cs="Arial"/>
                <w:b/>
                <w:sz w:val="20"/>
                <w:szCs w:val="20"/>
              </w:rPr>
            </w:pPr>
          </w:p>
        </w:tc>
        <w:tc>
          <w:tcPr>
            <w:tcW w:w="1404" w:type="dxa"/>
            <w:tcMar>
              <w:left w:w="28" w:type="dxa"/>
              <w:right w:w="28" w:type="dxa"/>
            </w:tcMar>
            <w:vAlign w:val="center"/>
          </w:tcPr>
          <w:p w14:paraId="69E136D8" w14:textId="77777777" w:rsidR="00CB792E" w:rsidRPr="007B1C60" w:rsidRDefault="00CB792E" w:rsidP="00650CCA">
            <w:pPr>
              <w:spacing w:line="240" w:lineRule="auto"/>
              <w:jc w:val="left"/>
              <w:rPr>
                <w:rFonts w:cs="Arial"/>
                <w:b/>
                <w:sz w:val="20"/>
                <w:szCs w:val="20"/>
              </w:rPr>
            </w:pPr>
            <w:r w:rsidRPr="007B1C60">
              <w:rPr>
                <w:rFonts w:cs="Arial"/>
                <w:b/>
                <w:sz w:val="20"/>
                <w:szCs w:val="20"/>
              </w:rPr>
              <w:t>PSA-detected (n=11,210)</w:t>
            </w:r>
          </w:p>
        </w:tc>
        <w:tc>
          <w:tcPr>
            <w:tcW w:w="1405" w:type="dxa"/>
            <w:tcMar>
              <w:left w:w="28" w:type="dxa"/>
              <w:right w:w="28" w:type="dxa"/>
            </w:tcMar>
            <w:vAlign w:val="center"/>
          </w:tcPr>
          <w:p w14:paraId="0001EC31" w14:textId="77777777" w:rsidR="00CB792E" w:rsidRPr="007B1C60" w:rsidRDefault="00CB792E" w:rsidP="00650CCA">
            <w:pPr>
              <w:spacing w:line="240" w:lineRule="auto"/>
              <w:jc w:val="left"/>
              <w:rPr>
                <w:rFonts w:cs="Arial"/>
                <w:b/>
                <w:sz w:val="20"/>
                <w:szCs w:val="20"/>
              </w:rPr>
            </w:pPr>
            <w:r w:rsidRPr="007B1C60">
              <w:rPr>
                <w:rFonts w:cs="Arial"/>
                <w:b/>
                <w:sz w:val="20"/>
                <w:szCs w:val="20"/>
              </w:rPr>
              <w:t>Symptomatic (n=21,378)</w:t>
            </w:r>
          </w:p>
        </w:tc>
        <w:tc>
          <w:tcPr>
            <w:tcW w:w="1405" w:type="dxa"/>
            <w:tcMar>
              <w:left w:w="28" w:type="dxa"/>
              <w:right w:w="28" w:type="dxa"/>
            </w:tcMar>
            <w:vAlign w:val="center"/>
          </w:tcPr>
          <w:p w14:paraId="64CEC09B" w14:textId="77777777" w:rsidR="00CB792E" w:rsidRPr="007B1C60" w:rsidRDefault="00CB792E" w:rsidP="00650CCA">
            <w:pPr>
              <w:spacing w:line="240" w:lineRule="auto"/>
              <w:jc w:val="left"/>
              <w:rPr>
                <w:rFonts w:cs="Arial"/>
                <w:b/>
                <w:sz w:val="20"/>
                <w:szCs w:val="20"/>
              </w:rPr>
            </w:pPr>
            <w:r w:rsidRPr="007B1C60">
              <w:rPr>
                <w:rFonts w:cs="Arial"/>
                <w:b/>
                <w:sz w:val="20"/>
                <w:szCs w:val="20"/>
              </w:rPr>
              <w:t>Other (n=1,821)</w:t>
            </w:r>
          </w:p>
        </w:tc>
        <w:tc>
          <w:tcPr>
            <w:tcW w:w="1405" w:type="dxa"/>
            <w:tcMar>
              <w:left w:w="28" w:type="dxa"/>
              <w:right w:w="28" w:type="dxa"/>
            </w:tcMar>
            <w:vAlign w:val="center"/>
          </w:tcPr>
          <w:p w14:paraId="6ABFEBF9" w14:textId="77777777" w:rsidR="00CB792E" w:rsidRPr="007B1C60" w:rsidRDefault="00CB792E" w:rsidP="00650CCA">
            <w:pPr>
              <w:spacing w:line="240" w:lineRule="auto"/>
              <w:jc w:val="left"/>
              <w:rPr>
                <w:rFonts w:cs="Arial"/>
                <w:b/>
                <w:sz w:val="20"/>
                <w:szCs w:val="20"/>
              </w:rPr>
            </w:pPr>
            <w:r w:rsidRPr="007B1C60">
              <w:rPr>
                <w:rFonts w:cs="Arial"/>
                <w:b/>
                <w:sz w:val="20"/>
                <w:szCs w:val="20"/>
              </w:rPr>
              <w:t>Unknown (n=1,414)</w:t>
            </w:r>
          </w:p>
        </w:tc>
      </w:tr>
      <w:tr w:rsidR="00CB792E" w:rsidRPr="007B1C60" w14:paraId="489EAACE" w14:textId="77777777" w:rsidTr="00650CCA">
        <w:trPr>
          <w:trHeight w:val="284"/>
        </w:trPr>
        <w:tc>
          <w:tcPr>
            <w:tcW w:w="1980" w:type="dxa"/>
            <w:tcMar>
              <w:left w:w="28" w:type="dxa"/>
              <w:right w:w="28" w:type="dxa"/>
            </w:tcMar>
            <w:vAlign w:val="center"/>
          </w:tcPr>
          <w:p w14:paraId="49F77E04" w14:textId="77777777" w:rsidR="00CB792E" w:rsidRPr="007B1C60" w:rsidRDefault="00CB792E" w:rsidP="00650CCA">
            <w:pPr>
              <w:spacing w:line="240" w:lineRule="auto"/>
              <w:jc w:val="left"/>
              <w:rPr>
                <w:rFonts w:cs="Arial"/>
                <w:b/>
                <w:sz w:val="20"/>
                <w:szCs w:val="20"/>
              </w:rPr>
            </w:pPr>
            <w:r w:rsidRPr="007B1C60">
              <w:rPr>
                <w:rFonts w:cs="Arial"/>
                <w:b/>
                <w:sz w:val="20"/>
                <w:szCs w:val="20"/>
              </w:rPr>
              <w:t>Age at diagnosis</w:t>
            </w:r>
          </w:p>
        </w:tc>
        <w:tc>
          <w:tcPr>
            <w:tcW w:w="1417" w:type="dxa"/>
            <w:tcMar>
              <w:left w:w="28" w:type="dxa"/>
              <w:right w:w="28" w:type="dxa"/>
            </w:tcMar>
            <w:vAlign w:val="center"/>
          </w:tcPr>
          <w:p w14:paraId="36AA3698" w14:textId="77777777" w:rsidR="00CB792E" w:rsidRPr="007B1C60" w:rsidRDefault="00CB792E" w:rsidP="00650CCA">
            <w:pPr>
              <w:spacing w:line="240" w:lineRule="auto"/>
              <w:jc w:val="left"/>
              <w:rPr>
                <w:rFonts w:cs="Arial"/>
                <w:sz w:val="20"/>
                <w:szCs w:val="20"/>
              </w:rPr>
            </w:pPr>
          </w:p>
        </w:tc>
        <w:tc>
          <w:tcPr>
            <w:tcW w:w="1404" w:type="dxa"/>
            <w:tcMar>
              <w:left w:w="28" w:type="dxa"/>
              <w:right w:w="28" w:type="dxa"/>
            </w:tcMar>
            <w:vAlign w:val="center"/>
          </w:tcPr>
          <w:p w14:paraId="3AFD4893"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405" w:type="dxa"/>
            <w:tcMar>
              <w:left w:w="28" w:type="dxa"/>
              <w:right w:w="28" w:type="dxa"/>
            </w:tcMar>
            <w:vAlign w:val="center"/>
          </w:tcPr>
          <w:p w14:paraId="21D603B3"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2A58AAC4"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269BF8A5" w14:textId="77777777" w:rsidR="00CB792E" w:rsidRPr="007B1C60" w:rsidRDefault="00CB792E" w:rsidP="00650CCA">
            <w:pPr>
              <w:spacing w:line="240" w:lineRule="auto"/>
              <w:jc w:val="left"/>
              <w:rPr>
                <w:rFonts w:cs="Arial"/>
                <w:sz w:val="20"/>
                <w:szCs w:val="20"/>
              </w:rPr>
            </w:pPr>
          </w:p>
        </w:tc>
      </w:tr>
      <w:tr w:rsidR="00CB792E" w:rsidRPr="007B1C60" w14:paraId="68E9A172" w14:textId="77777777" w:rsidTr="00650CCA">
        <w:trPr>
          <w:trHeight w:val="284"/>
        </w:trPr>
        <w:tc>
          <w:tcPr>
            <w:tcW w:w="1980" w:type="dxa"/>
            <w:tcMar>
              <w:left w:w="28" w:type="dxa"/>
              <w:right w:w="28" w:type="dxa"/>
            </w:tcMar>
            <w:vAlign w:val="center"/>
          </w:tcPr>
          <w:p w14:paraId="0A0B8B03" w14:textId="77777777" w:rsidR="00CB792E" w:rsidRPr="007B1C60" w:rsidRDefault="00CB792E" w:rsidP="00650CCA">
            <w:pPr>
              <w:spacing w:line="240" w:lineRule="auto"/>
              <w:jc w:val="left"/>
              <w:rPr>
                <w:rFonts w:cs="Arial"/>
                <w:b/>
                <w:sz w:val="20"/>
                <w:szCs w:val="20"/>
              </w:rPr>
            </w:pPr>
            <w:r w:rsidRPr="007B1C60">
              <w:rPr>
                <w:rFonts w:cs="Arial"/>
                <w:b/>
                <w:sz w:val="20"/>
                <w:szCs w:val="20"/>
              </w:rPr>
              <w:t>&lt;54</w:t>
            </w:r>
          </w:p>
        </w:tc>
        <w:tc>
          <w:tcPr>
            <w:tcW w:w="1417" w:type="dxa"/>
            <w:tcMar>
              <w:left w:w="28" w:type="dxa"/>
              <w:right w:w="28" w:type="dxa"/>
            </w:tcMar>
            <w:vAlign w:val="center"/>
          </w:tcPr>
          <w:p w14:paraId="77E0B453" w14:textId="77777777" w:rsidR="00CB792E" w:rsidRPr="007B1C60" w:rsidRDefault="00CB792E" w:rsidP="00650CCA">
            <w:pPr>
              <w:spacing w:line="240" w:lineRule="auto"/>
              <w:jc w:val="left"/>
              <w:rPr>
                <w:rFonts w:cs="Arial"/>
                <w:sz w:val="20"/>
                <w:szCs w:val="20"/>
              </w:rPr>
            </w:pPr>
            <w:r w:rsidRPr="007B1C60">
              <w:rPr>
                <w:rFonts w:cs="Arial"/>
                <w:sz w:val="20"/>
                <w:szCs w:val="20"/>
              </w:rPr>
              <w:t>3.9%</w:t>
            </w:r>
          </w:p>
        </w:tc>
        <w:tc>
          <w:tcPr>
            <w:tcW w:w="1404" w:type="dxa"/>
            <w:tcMar>
              <w:left w:w="28" w:type="dxa"/>
              <w:right w:w="28" w:type="dxa"/>
            </w:tcMar>
            <w:vAlign w:val="center"/>
          </w:tcPr>
          <w:p w14:paraId="0272C3E0" w14:textId="77777777" w:rsidR="00CB792E" w:rsidRPr="007B1C60" w:rsidRDefault="00CB792E" w:rsidP="00650CCA">
            <w:pPr>
              <w:spacing w:line="240" w:lineRule="auto"/>
              <w:jc w:val="left"/>
              <w:rPr>
                <w:rFonts w:cs="Arial"/>
                <w:sz w:val="20"/>
                <w:szCs w:val="20"/>
              </w:rPr>
            </w:pPr>
            <w:r w:rsidRPr="007B1C60">
              <w:rPr>
                <w:rFonts w:cs="Arial"/>
                <w:sz w:val="20"/>
                <w:szCs w:val="20"/>
              </w:rPr>
              <w:t>4.0%</w:t>
            </w:r>
          </w:p>
        </w:tc>
        <w:tc>
          <w:tcPr>
            <w:tcW w:w="1405" w:type="dxa"/>
            <w:tcMar>
              <w:left w:w="28" w:type="dxa"/>
              <w:right w:w="28" w:type="dxa"/>
            </w:tcMar>
            <w:vAlign w:val="center"/>
          </w:tcPr>
          <w:p w14:paraId="07D11543" w14:textId="77777777" w:rsidR="00CB792E" w:rsidRPr="007B1C60" w:rsidRDefault="00CB792E" w:rsidP="00650CCA">
            <w:pPr>
              <w:spacing w:line="240" w:lineRule="auto"/>
              <w:jc w:val="left"/>
              <w:rPr>
                <w:rFonts w:cs="Arial"/>
                <w:sz w:val="20"/>
                <w:szCs w:val="20"/>
              </w:rPr>
            </w:pPr>
            <w:r w:rsidRPr="007B1C60">
              <w:rPr>
                <w:rFonts w:cs="Arial"/>
                <w:sz w:val="20"/>
                <w:szCs w:val="20"/>
              </w:rPr>
              <w:t>3.7%</w:t>
            </w:r>
          </w:p>
        </w:tc>
        <w:tc>
          <w:tcPr>
            <w:tcW w:w="1405" w:type="dxa"/>
            <w:tcMar>
              <w:left w:w="28" w:type="dxa"/>
              <w:right w:w="28" w:type="dxa"/>
            </w:tcMar>
            <w:vAlign w:val="center"/>
          </w:tcPr>
          <w:p w14:paraId="7B29573F" w14:textId="77777777" w:rsidR="00CB792E" w:rsidRPr="007B1C60" w:rsidRDefault="00CB792E" w:rsidP="00650CCA">
            <w:pPr>
              <w:spacing w:line="240" w:lineRule="auto"/>
              <w:jc w:val="left"/>
              <w:rPr>
                <w:rFonts w:cs="Arial"/>
                <w:sz w:val="20"/>
                <w:szCs w:val="20"/>
              </w:rPr>
            </w:pPr>
            <w:r w:rsidRPr="007B1C60">
              <w:rPr>
                <w:rFonts w:cs="Arial"/>
                <w:sz w:val="20"/>
                <w:szCs w:val="20"/>
              </w:rPr>
              <w:t>5.7%</w:t>
            </w:r>
          </w:p>
        </w:tc>
        <w:tc>
          <w:tcPr>
            <w:tcW w:w="1405" w:type="dxa"/>
            <w:tcMar>
              <w:left w:w="28" w:type="dxa"/>
              <w:right w:w="28" w:type="dxa"/>
            </w:tcMar>
            <w:vAlign w:val="center"/>
          </w:tcPr>
          <w:p w14:paraId="7C050DA6" w14:textId="77777777" w:rsidR="00CB792E" w:rsidRPr="007B1C60" w:rsidRDefault="00CB792E" w:rsidP="00650CCA">
            <w:pPr>
              <w:spacing w:line="240" w:lineRule="auto"/>
              <w:jc w:val="left"/>
              <w:rPr>
                <w:rFonts w:cs="Arial"/>
                <w:sz w:val="20"/>
                <w:szCs w:val="20"/>
              </w:rPr>
            </w:pPr>
            <w:r w:rsidRPr="007B1C60">
              <w:rPr>
                <w:rFonts w:cs="Arial"/>
                <w:sz w:val="20"/>
                <w:szCs w:val="20"/>
              </w:rPr>
              <w:t>3.5%</w:t>
            </w:r>
          </w:p>
        </w:tc>
      </w:tr>
      <w:tr w:rsidR="00CB792E" w:rsidRPr="007B1C60" w14:paraId="2E0B3D13" w14:textId="77777777" w:rsidTr="00650CCA">
        <w:trPr>
          <w:trHeight w:val="284"/>
        </w:trPr>
        <w:tc>
          <w:tcPr>
            <w:tcW w:w="1980" w:type="dxa"/>
            <w:tcMar>
              <w:left w:w="28" w:type="dxa"/>
              <w:right w:w="28" w:type="dxa"/>
            </w:tcMar>
            <w:vAlign w:val="center"/>
          </w:tcPr>
          <w:p w14:paraId="65E39443" w14:textId="77777777" w:rsidR="00CB792E" w:rsidRPr="007B1C60" w:rsidRDefault="00CB792E" w:rsidP="00650CCA">
            <w:pPr>
              <w:spacing w:line="240" w:lineRule="auto"/>
              <w:jc w:val="left"/>
              <w:rPr>
                <w:rFonts w:cs="Arial"/>
                <w:b/>
                <w:sz w:val="20"/>
                <w:szCs w:val="20"/>
              </w:rPr>
            </w:pPr>
            <w:r w:rsidRPr="007B1C60">
              <w:rPr>
                <w:rFonts w:cs="Arial"/>
                <w:b/>
                <w:sz w:val="20"/>
                <w:szCs w:val="20"/>
              </w:rPr>
              <w:t>55-64</w:t>
            </w:r>
          </w:p>
        </w:tc>
        <w:tc>
          <w:tcPr>
            <w:tcW w:w="1417" w:type="dxa"/>
            <w:tcMar>
              <w:left w:w="28" w:type="dxa"/>
              <w:right w:w="28" w:type="dxa"/>
            </w:tcMar>
            <w:vAlign w:val="center"/>
          </w:tcPr>
          <w:p w14:paraId="66BBC639" w14:textId="77777777" w:rsidR="00CB792E" w:rsidRPr="007B1C60" w:rsidRDefault="00CB792E" w:rsidP="00650CCA">
            <w:pPr>
              <w:spacing w:line="240" w:lineRule="auto"/>
              <w:jc w:val="left"/>
              <w:rPr>
                <w:rFonts w:cs="Arial"/>
                <w:sz w:val="20"/>
                <w:szCs w:val="20"/>
              </w:rPr>
            </w:pPr>
            <w:r w:rsidRPr="007B1C60">
              <w:rPr>
                <w:rFonts w:cs="Arial"/>
                <w:sz w:val="20"/>
                <w:szCs w:val="20"/>
              </w:rPr>
              <w:t>23.8%</w:t>
            </w:r>
          </w:p>
        </w:tc>
        <w:tc>
          <w:tcPr>
            <w:tcW w:w="1404" w:type="dxa"/>
            <w:tcMar>
              <w:left w:w="28" w:type="dxa"/>
              <w:right w:w="28" w:type="dxa"/>
            </w:tcMar>
            <w:vAlign w:val="center"/>
          </w:tcPr>
          <w:p w14:paraId="4CB06A86" w14:textId="77777777" w:rsidR="00CB792E" w:rsidRPr="007B1C60" w:rsidRDefault="00CB792E" w:rsidP="00650CCA">
            <w:pPr>
              <w:spacing w:line="240" w:lineRule="auto"/>
              <w:jc w:val="left"/>
              <w:rPr>
                <w:rFonts w:cs="Arial"/>
                <w:sz w:val="20"/>
                <w:szCs w:val="20"/>
              </w:rPr>
            </w:pPr>
            <w:r w:rsidRPr="007B1C60">
              <w:rPr>
                <w:rFonts w:cs="Arial"/>
                <w:sz w:val="20"/>
                <w:szCs w:val="20"/>
              </w:rPr>
              <w:t>24.4%</w:t>
            </w:r>
          </w:p>
        </w:tc>
        <w:tc>
          <w:tcPr>
            <w:tcW w:w="1405" w:type="dxa"/>
            <w:tcMar>
              <w:left w:w="28" w:type="dxa"/>
              <w:right w:w="28" w:type="dxa"/>
            </w:tcMar>
            <w:vAlign w:val="center"/>
          </w:tcPr>
          <w:p w14:paraId="26F36D26" w14:textId="77777777" w:rsidR="00CB792E" w:rsidRPr="007B1C60" w:rsidRDefault="00CB792E" w:rsidP="00650CCA">
            <w:pPr>
              <w:spacing w:line="240" w:lineRule="auto"/>
              <w:jc w:val="left"/>
              <w:rPr>
                <w:rFonts w:cs="Arial"/>
                <w:sz w:val="20"/>
                <w:szCs w:val="20"/>
              </w:rPr>
            </w:pPr>
            <w:r w:rsidRPr="007B1C60">
              <w:rPr>
                <w:rFonts w:cs="Arial"/>
                <w:sz w:val="20"/>
                <w:szCs w:val="20"/>
              </w:rPr>
              <w:t>23.7%</w:t>
            </w:r>
          </w:p>
        </w:tc>
        <w:tc>
          <w:tcPr>
            <w:tcW w:w="1405" w:type="dxa"/>
            <w:tcMar>
              <w:left w:w="28" w:type="dxa"/>
              <w:right w:w="28" w:type="dxa"/>
            </w:tcMar>
            <w:vAlign w:val="center"/>
          </w:tcPr>
          <w:p w14:paraId="63AF15CE" w14:textId="77777777" w:rsidR="00CB792E" w:rsidRPr="007B1C60" w:rsidRDefault="00CB792E" w:rsidP="00650CCA">
            <w:pPr>
              <w:spacing w:line="240" w:lineRule="auto"/>
              <w:jc w:val="left"/>
              <w:rPr>
                <w:rFonts w:cs="Arial"/>
                <w:sz w:val="20"/>
                <w:szCs w:val="20"/>
              </w:rPr>
            </w:pPr>
            <w:r w:rsidRPr="007B1C60">
              <w:rPr>
                <w:rFonts w:cs="Arial"/>
                <w:sz w:val="20"/>
                <w:szCs w:val="20"/>
              </w:rPr>
              <w:t>26.1%</w:t>
            </w:r>
          </w:p>
        </w:tc>
        <w:tc>
          <w:tcPr>
            <w:tcW w:w="1405" w:type="dxa"/>
            <w:tcMar>
              <w:left w:w="28" w:type="dxa"/>
              <w:right w:w="28" w:type="dxa"/>
            </w:tcMar>
            <w:vAlign w:val="center"/>
          </w:tcPr>
          <w:p w14:paraId="4EE47938" w14:textId="77777777" w:rsidR="00CB792E" w:rsidRPr="007B1C60" w:rsidRDefault="00CB792E" w:rsidP="00650CCA">
            <w:pPr>
              <w:spacing w:line="240" w:lineRule="auto"/>
              <w:jc w:val="left"/>
              <w:rPr>
                <w:rFonts w:cs="Arial"/>
                <w:sz w:val="20"/>
                <w:szCs w:val="20"/>
              </w:rPr>
            </w:pPr>
            <w:r w:rsidRPr="007B1C60">
              <w:rPr>
                <w:rFonts w:cs="Arial"/>
                <w:sz w:val="20"/>
                <w:szCs w:val="20"/>
              </w:rPr>
              <w:t>17.5%</w:t>
            </w:r>
          </w:p>
        </w:tc>
      </w:tr>
      <w:tr w:rsidR="00CB792E" w:rsidRPr="007B1C60" w14:paraId="6178320A" w14:textId="77777777" w:rsidTr="00650CCA">
        <w:trPr>
          <w:trHeight w:val="284"/>
        </w:trPr>
        <w:tc>
          <w:tcPr>
            <w:tcW w:w="1980" w:type="dxa"/>
            <w:tcMar>
              <w:left w:w="28" w:type="dxa"/>
              <w:right w:w="28" w:type="dxa"/>
            </w:tcMar>
            <w:vAlign w:val="center"/>
          </w:tcPr>
          <w:p w14:paraId="0032D2AE" w14:textId="77777777" w:rsidR="00CB792E" w:rsidRPr="007B1C60" w:rsidRDefault="00CB792E" w:rsidP="00650CCA">
            <w:pPr>
              <w:spacing w:line="240" w:lineRule="auto"/>
              <w:jc w:val="left"/>
              <w:rPr>
                <w:rFonts w:cs="Arial"/>
                <w:b/>
                <w:sz w:val="20"/>
                <w:szCs w:val="20"/>
              </w:rPr>
            </w:pPr>
            <w:r w:rsidRPr="007B1C60">
              <w:rPr>
                <w:rFonts w:cs="Arial"/>
                <w:b/>
                <w:sz w:val="20"/>
                <w:szCs w:val="20"/>
              </w:rPr>
              <w:t>65-74</w:t>
            </w:r>
          </w:p>
        </w:tc>
        <w:tc>
          <w:tcPr>
            <w:tcW w:w="1417" w:type="dxa"/>
            <w:tcMar>
              <w:left w:w="28" w:type="dxa"/>
              <w:right w:w="28" w:type="dxa"/>
            </w:tcMar>
            <w:vAlign w:val="center"/>
          </w:tcPr>
          <w:p w14:paraId="38C90958" w14:textId="77777777" w:rsidR="00CB792E" w:rsidRPr="007B1C60" w:rsidRDefault="00CB792E" w:rsidP="00650CCA">
            <w:pPr>
              <w:spacing w:line="240" w:lineRule="auto"/>
              <w:jc w:val="left"/>
              <w:rPr>
                <w:rFonts w:cs="Arial"/>
                <w:sz w:val="20"/>
                <w:szCs w:val="20"/>
              </w:rPr>
            </w:pPr>
            <w:r w:rsidRPr="007B1C60">
              <w:rPr>
                <w:rFonts w:cs="Arial"/>
                <w:sz w:val="20"/>
                <w:szCs w:val="20"/>
              </w:rPr>
              <w:t>47.4%</w:t>
            </w:r>
          </w:p>
        </w:tc>
        <w:tc>
          <w:tcPr>
            <w:tcW w:w="1404" w:type="dxa"/>
            <w:tcMar>
              <w:left w:w="28" w:type="dxa"/>
              <w:right w:w="28" w:type="dxa"/>
            </w:tcMar>
            <w:vAlign w:val="center"/>
          </w:tcPr>
          <w:p w14:paraId="13784E4A" w14:textId="77777777" w:rsidR="00CB792E" w:rsidRPr="007B1C60" w:rsidRDefault="00CB792E" w:rsidP="00650CCA">
            <w:pPr>
              <w:spacing w:line="240" w:lineRule="auto"/>
              <w:jc w:val="left"/>
              <w:rPr>
                <w:rFonts w:cs="Arial"/>
                <w:sz w:val="20"/>
                <w:szCs w:val="20"/>
              </w:rPr>
            </w:pPr>
            <w:r w:rsidRPr="007B1C60">
              <w:rPr>
                <w:rFonts w:cs="Arial"/>
                <w:sz w:val="20"/>
                <w:szCs w:val="20"/>
              </w:rPr>
              <w:t>48.9%</w:t>
            </w:r>
          </w:p>
        </w:tc>
        <w:tc>
          <w:tcPr>
            <w:tcW w:w="1405" w:type="dxa"/>
            <w:tcMar>
              <w:left w:w="28" w:type="dxa"/>
              <w:right w:w="28" w:type="dxa"/>
            </w:tcMar>
            <w:vAlign w:val="center"/>
          </w:tcPr>
          <w:p w14:paraId="09601C2B" w14:textId="77777777" w:rsidR="00CB792E" w:rsidRPr="007B1C60" w:rsidRDefault="00CB792E" w:rsidP="00650CCA">
            <w:pPr>
              <w:spacing w:line="240" w:lineRule="auto"/>
              <w:jc w:val="left"/>
              <w:rPr>
                <w:rFonts w:cs="Arial"/>
                <w:sz w:val="20"/>
                <w:szCs w:val="20"/>
              </w:rPr>
            </w:pPr>
            <w:r w:rsidRPr="007B1C60">
              <w:rPr>
                <w:rFonts w:cs="Arial"/>
                <w:sz w:val="20"/>
                <w:szCs w:val="20"/>
              </w:rPr>
              <w:t>47.0%</w:t>
            </w:r>
          </w:p>
        </w:tc>
        <w:tc>
          <w:tcPr>
            <w:tcW w:w="1405" w:type="dxa"/>
            <w:tcMar>
              <w:left w:w="28" w:type="dxa"/>
              <w:right w:w="28" w:type="dxa"/>
            </w:tcMar>
            <w:vAlign w:val="center"/>
          </w:tcPr>
          <w:p w14:paraId="47254256" w14:textId="77777777" w:rsidR="00CB792E" w:rsidRPr="007B1C60" w:rsidRDefault="00CB792E" w:rsidP="00650CCA">
            <w:pPr>
              <w:spacing w:line="240" w:lineRule="auto"/>
              <w:jc w:val="left"/>
              <w:rPr>
                <w:rFonts w:cs="Arial"/>
                <w:sz w:val="20"/>
                <w:szCs w:val="20"/>
              </w:rPr>
            </w:pPr>
            <w:r w:rsidRPr="007B1C60">
              <w:rPr>
                <w:rFonts w:cs="Arial"/>
                <w:sz w:val="20"/>
                <w:szCs w:val="20"/>
              </w:rPr>
              <w:t>46.1%</w:t>
            </w:r>
          </w:p>
        </w:tc>
        <w:tc>
          <w:tcPr>
            <w:tcW w:w="1405" w:type="dxa"/>
            <w:tcMar>
              <w:left w:w="28" w:type="dxa"/>
              <w:right w:w="28" w:type="dxa"/>
            </w:tcMar>
            <w:vAlign w:val="center"/>
          </w:tcPr>
          <w:p w14:paraId="7B6EB73A" w14:textId="77777777" w:rsidR="00CB792E" w:rsidRPr="007B1C60" w:rsidRDefault="00CB792E" w:rsidP="00650CCA">
            <w:pPr>
              <w:spacing w:line="240" w:lineRule="auto"/>
              <w:jc w:val="left"/>
              <w:rPr>
                <w:rFonts w:cs="Arial"/>
                <w:sz w:val="20"/>
                <w:szCs w:val="20"/>
              </w:rPr>
            </w:pPr>
            <w:r w:rsidRPr="007B1C60">
              <w:rPr>
                <w:rFonts w:cs="Arial"/>
                <w:sz w:val="20"/>
                <w:szCs w:val="20"/>
              </w:rPr>
              <w:t>44.7%</w:t>
            </w:r>
          </w:p>
        </w:tc>
      </w:tr>
      <w:tr w:rsidR="00CB792E" w:rsidRPr="007B1C60" w14:paraId="5B2C6C60" w14:textId="77777777" w:rsidTr="00650CCA">
        <w:trPr>
          <w:trHeight w:val="284"/>
        </w:trPr>
        <w:tc>
          <w:tcPr>
            <w:tcW w:w="1980" w:type="dxa"/>
            <w:tcMar>
              <w:left w:w="28" w:type="dxa"/>
              <w:right w:w="28" w:type="dxa"/>
            </w:tcMar>
            <w:vAlign w:val="center"/>
          </w:tcPr>
          <w:p w14:paraId="5B24A124" w14:textId="77777777" w:rsidR="00CB792E" w:rsidRPr="007B1C60" w:rsidRDefault="00CB792E" w:rsidP="00650CCA">
            <w:pPr>
              <w:spacing w:line="240" w:lineRule="auto"/>
              <w:jc w:val="left"/>
              <w:rPr>
                <w:rFonts w:cs="Arial"/>
                <w:b/>
                <w:sz w:val="20"/>
                <w:szCs w:val="20"/>
              </w:rPr>
            </w:pPr>
            <w:r w:rsidRPr="007B1C60">
              <w:rPr>
                <w:rFonts w:cs="Arial"/>
                <w:b/>
                <w:sz w:val="20"/>
                <w:szCs w:val="20"/>
              </w:rPr>
              <w:t>75+</w:t>
            </w:r>
          </w:p>
        </w:tc>
        <w:tc>
          <w:tcPr>
            <w:tcW w:w="1417" w:type="dxa"/>
            <w:tcMar>
              <w:left w:w="28" w:type="dxa"/>
              <w:right w:w="28" w:type="dxa"/>
            </w:tcMar>
            <w:vAlign w:val="center"/>
          </w:tcPr>
          <w:p w14:paraId="2746D76B" w14:textId="77777777" w:rsidR="00CB792E" w:rsidRPr="007B1C60" w:rsidRDefault="00CB792E" w:rsidP="00650CCA">
            <w:pPr>
              <w:spacing w:line="240" w:lineRule="auto"/>
              <w:jc w:val="left"/>
              <w:rPr>
                <w:rFonts w:cs="Arial"/>
                <w:sz w:val="20"/>
                <w:szCs w:val="20"/>
              </w:rPr>
            </w:pPr>
            <w:r w:rsidRPr="007B1C60">
              <w:rPr>
                <w:rFonts w:cs="Arial"/>
                <w:sz w:val="20"/>
                <w:szCs w:val="20"/>
              </w:rPr>
              <w:t>24.9%</w:t>
            </w:r>
          </w:p>
        </w:tc>
        <w:tc>
          <w:tcPr>
            <w:tcW w:w="1404" w:type="dxa"/>
            <w:tcMar>
              <w:left w:w="28" w:type="dxa"/>
              <w:right w:w="28" w:type="dxa"/>
            </w:tcMar>
            <w:vAlign w:val="center"/>
          </w:tcPr>
          <w:p w14:paraId="63C2E894" w14:textId="77777777" w:rsidR="00CB792E" w:rsidRPr="007B1C60" w:rsidRDefault="00CB792E" w:rsidP="00650CCA">
            <w:pPr>
              <w:spacing w:line="240" w:lineRule="auto"/>
              <w:jc w:val="left"/>
              <w:rPr>
                <w:rFonts w:cs="Arial"/>
                <w:sz w:val="20"/>
                <w:szCs w:val="20"/>
              </w:rPr>
            </w:pPr>
            <w:r w:rsidRPr="007B1C60">
              <w:rPr>
                <w:rFonts w:cs="Arial"/>
                <w:sz w:val="20"/>
                <w:szCs w:val="20"/>
              </w:rPr>
              <w:t>22.7%</w:t>
            </w:r>
          </w:p>
        </w:tc>
        <w:tc>
          <w:tcPr>
            <w:tcW w:w="1405" w:type="dxa"/>
            <w:tcMar>
              <w:left w:w="28" w:type="dxa"/>
              <w:right w:w="28" w:type="dxa"/>
            </w:tcMar>
            <w:vAlign w:val="center"/>
          </w:tcPr>
          <w:p w14:paraId="47616542" w14:textId="77777777" w:rsidR="00CB792E" w:rsidRPr="007B1C60" w:rsidRDefault="00CB792E" w:rsidP="00650CCA">
            <w:pPr>
              <w:spacing w:line="240" w:lineRule="auto"/>
              <w:jc w:val="left"/>
              <w:rPr>
                <w:rFonts w:cs="Arial"/>
                <w:sz w:val="20"/>
                <w:szCs w:val="20"/>
              </w:rPr>
            </w:pPr>
            <w:r w:rsidRPr="007B1C60">
              <w:rPr>
                <w:rFonts w:cs="Arial"/>
                <w:sz w:val="20"/>
                <w:szCs w:val="20"/>
              </w:rPr>
              <w:t>25.6%</w:t>
            </w:r>
          </w:p>
        </w:tc>
        <w:tc>
          <w:tcPr>
            <w:tcW w:w="1405" w:type="dxa"/>
            <w:tcMar>
              <w:left w:w="28" w:type="dxa"/>
              <w:right w:w="28" w:type="dxa"/>
            </w:tcMar>
            <w:vAlign w:val="center"/>
          </w:tcPr>
          <w:p w14:paraId="7E76799A" w14:textId="77777777" w:rsidR="00CB792E" w:rsidRPr="007B1C60" w:rsidRDefault="00CB792E" w:rsidP="00650CCA">
            <w:pPr>
              <w:spacing w:line="240" w:lineRule="auto"/>
              <w:jc w:val="left"/>
              <w:rPr>
                <w:rFonts w:cs="Arial"/>
                <w:sz w:val="20"/>
                <w:szCs w:val="20"/>
              </w:rPr>
            </w:pPr>
            <w:r w:rsidRPr="007B1C60">
              <w:rPr>
                <w:rFonts w:cs="Arial"/>
                <w:sz w:val="20"/>
                <w:szCs w:val="20"/>
              </w:rPr>
              <w:t>22.1%</w:t>
            </w:r>
          </w:p>
        </w:tc>
        <w:tc>
          <w:tcPr>
            <w:tcW w:w="1405" w:type="dxa"/>
            <w:tcMar>
              <w:left w:w="28" w:type="dxa"/>
              <w:right w:w="28" w:type="dxa"/>
            </w:tcMar>
            <w:vAlign w:val="center"/>
          </w:tcPr>
          <w:p w14:paraId="222406FA" w14:textId="77777777" w:rsidR="00CB792E" w:rsidRPr="007B1C60" w:rsidRDefault="00CB792E" w:rsidP="00650CCA">
            <w:pPr>
              <w:spacing w:line="240" w:lineRule="auto"/>
              <w:jc w:val="left"/>
              <w:rPr>
                <w:rFonts w:cs="Arial"/>
                <w:sz w:val="20"/>
                <w:szCs w:val="20"/>
              </w:rPr>
            </w:pPr>
            <w:r w:rsidRPr="007B1C60">
              <w:rPr>
                <w:rFonts w:cs="Arial"/>
                <w:sz w:val="20"/>
                <w:szCs w:val="20"/>
              </w:rPr>
              <w:t>34.4%</w:t>
            </w:r>
          </w:p>
        </w:tc>
      </w:tr>
      <w:tr w:rsidR="00CB792E" w:rsidRPr="007B1C60" w14:paraId="6A3BE71B" w14:textId="77777777" w:rsidTr="00650CCA">
        <w:trPr>
          <w:trHeight w:val="284"/>
        </w:trPr>
        <w:tc>
          <w:tcPr>
            <w:tcW w:w="1980" w:type="dxa"/>
            <w:tcMar>
              <w:left w:w="28" w:type="dxa"/>
              <w:right w:w="28" w:type="dxa"/>
            </w:tcMar>
            <w:vAlign w:val="center"/>
          </w:tcPr>
          <w:p w14:paraId="52468A9F"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 </w:t>
            </w:r>
          </w:p>
        </w:tc>
        <w:tc>
          <w:tcPr>
            <w:tcW w:w="1417" w:type="dxa"/>
            <w:tcMar>
              <w:left w:w="28" w:type="dxa"/>
              <w:right w:w="28" w:type="dxa"/>
            </w:tcMar>
            <w:vAlign w:val="center"/>
          </w:tcPr>
          <w:p w14:paraId="7740D73E" w14:textId="77777777" w:rsidR="00CB792E" w:rsidRPr="007B1C60" w:rsidRDefault="00CB792E" w:rsidP="00650CCA">
            <w:pPr>
              <w:spacing w:line="240" w:lineRule="auto"/>
              <w:jc w:val="left"/>
              <w:rPr>
                <w:rFonts w:cs="Arial"/>
                <w:sz w:val="20"/>
                <w:szCs w:val="20"/>
              </w:rPr>
            </w:pPr>
          </w:p>
        </w:tc>
        <w:tc>
          <w:tcPr>
            <w:tcW w:w="1404" w:type="dxa"/>
            <w:tcMar>
              <w:left w:w="28" w:type="dxa"/>
              <w:right w:w="28" w:type="dxa"/>
            </w:tcMar>
            <w:vAlign w:val="center"/>
          </w:tcPr>
          <w:p w14:paraId="0D8E4B6E"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405" w:type="dxa"/>
            <w:tcMar>
              <w:left w:w="28" w:type="dxa"/>
              <w:right w:w="28" w:type="dxa"/>
            </w:tcMar>
            <w:vAlign w:val="center"/>
          </w:tcPr>
          <w:p w14:paraId="26F06FA3"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70F78E4A"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641A910F" w14:textId="77777777" w:rsidR="00CB792E" w:rsidRPr="007B1C60" w:rsidRDefault="00CB792E" w:rsidP="00650CCA">
            <w:pPr>
              <w:spacing w:line="240" w:lineRule="auto"/>
              <w:jc w:val="left"/>
              <w:rPr>
                <w:rFonts w:cs="Arial"/>
                <w:sz w:val="20"/>
                <w:szCs w:val="20"/>
              </w:rPr>
            </w:pPr>
          </w:p>
        </w:tc>
      </w:tr>
      <w:tr w:rsidR="00CB792E" w:rsidRPr="007B1C60" w14:paraId="7572C433" w14:textId="77777777" w:rsidTr="00650CCA">
        <w:trPr>
          <w:trHeight w:val="284"/>
        </w:trPr>
        <w:tc>
          <w:tcPr>
            <w:tcW w:w="1980" w:type="dxa"/>
            <w:tcMar>
              <w:left w:w="28" w:type="dxa"/>
              <w:right w:w="28" w:type="dxa"/>
            </w:tcMar>
            <w:vAlign w:val="center"/>
          </w:tcPr>
          <w:p w14:paraId="171DDDEA" w14:textId="77777777" w:rsidR="00CB792E" w:rsidRPr="007B1C60" w:rsidRDefault="00CB792E" w:rsidP="00650CCA">
            <w:pPr>
              <w:spacing w:line="240" w:lineRule="auto"/>
              <w:jc w:val="left"/>
              <w:rPr>
                <w:rFonts w:cs="Arial"/>
                <w:b/>
                <w:sz w:val="20"/>
                <w:szCs w:val="20"/>
              </w:rPr>
            </w:pPr>
            <w:r w:rsidRPr="007B1C60">
              <w:rPr>
                <w:rFonts w:cs="Arial"/>
                <w:b/>
                <w:sz w:val="20"/>
                <w:szCs w:val="20"/>
              </w:rPr>
              <w:t>Stage</w:t>
            </w:r>
          </w:p>
        </w:tc>
        <w:tc>
          <w:tcPr>
            <w:tcW w:w="1417" w:type="dxa"/>
            <w:tcMar>
              <w:left w:w="28" w:type="dxa"/>
              <w:right w:w="28" w:type="dxa"/>
            </w:tcMar>
            <w:vAlign w:val="center"/>
          </w:tcPr>
          <w:p w14:paraId="6FD70B15" w14:textId="77777777" w:rsidR="00CB792E" w:rsidRPr="007B1C60" w:rsidRDefault="00CB792E" w:rsidP="00650CCA">
            <w:pPr>
              <w:spacing w:line="240" w:lineRule="auto"/>
              <w:jc w:val="left"/>
              <w:rPr>
                <w:rFonts w:cs="Arial"/>
                <w:sz w:val="20"/>
                <w:szCs w:val="20"/>
              </w:rPr>
            </w:pPr>
          </w:p>
        </w:tc>
        <w:tc>
          <w:tcPr>
            <w:tcW w:w="1404" w:type="dxa"/>
            <w:tcMar>
              <w:left w:w="28" w:type="dxa"/>
              <w:right w:w="28" w:type="dxa"/>
            </w:tcMar>
            <w:vAlign w:val="center"/>
          </w:tcPr>
          <w:p w14:paraId="27D123DC"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405" w:type="dxa"/>
            <w:tcMar>
              <w:left w:w="28" w:type="dxa"/>
              <w:right w:w="28" w:type="dxa"/>
            </w:tcMar>
            <w:vAlign w:val="center"/>
          </w:tcPr>
          <w:p w14:paraId="1D5972E2"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0B991847"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0B451CE9" w14:textId="77777777" w:rsidR="00CB792E" w:rsidRPr="007B1C60" w:rsidRDefault="00CB792E" w:rsidP="00650CCA">
            <w:pPr>
              <w:spacing w:line="240" w:lineRule="auto"/>
              <w:jc w:val="left"/>
              <w:rPr>
                <w:rFonts w:cs="Arial"/>
                <w:sz w:val="20"/>
                <w:szCs w:val="20"/>
              </w:rPr>
            </w:pPr>
          </w:p>
        </w:tc>
      </w:tr>
      <w:tr w:rsidR="00CB792E" w:rsidRPr="007B1C60" w14:paraId="0DCA38EF" w14:textId="77777777" w:rsidTr="00650CCA">
        <w:trPr>
          <w:trHeight w:val="284"/>
        </w:trPr>
        <w:tc>
          <w:tcPr>
            <w:tcW w:w="1980" w:type="dxa"/>
            <w:tcMar>
              <w:left w:w="28" w:type="dxa"/>
              <w:right w:w="28" w:type="dxa"/>
            </w:tcMar>
            <w:vAlign w:val="center"/>
          </w:tcPr>
          <w:p w14:paraId="4EDDC326" w14:textId="77777777" w:rsidR="00CB792E" w:rsidRPr="007B1C60" w:rsidRDefault="00CB792E" w:rsidP="00650CCA">
            <w:pPr>
              <w:spacing w:line="240" w:lineRule="auto"/>
              <w:jc w:val="left"/>
              <w:rPr>
                <w:rFonts w:cs="Arial"/>
                <w:b/>
                <w:sz w:val="20"/>
                <w:szCs w:val="20"/>
              </w:rPr>
            </w:pPr>
            <w:r w:rsidRPr="007B1C60">
              <w:rPr>
                <w:rFonts w:cs="Arial"/>
                <w:b/>
                <w:sz w:val="20"/>
                <w:szCs w:val="20"/>
              </w:rPr>
              <w:t>I/II</w:t>
            </w:r>
          </w:p>
        </w:tc>
        <w:tc>
          <w:tcPr>
            <w:tcW w:w="1417" w:type="dxa"/>
            <w:tcMar>
              <w:left w:w="28" w:type="dxa"/>
              <w:right w:w="28" w:type="dxa"/>
            </w:tcMar>
            <w:vAlign w:val="center"/>
          </w:tcPr>
          <w:p w14:paraId="2C9474ED" w14:textId="77777777" w:rsidR="00CB792E" w:rsidRPr="007B1C60" w:rsidRDefault="00CB792E" w:rsidP="00650CCA">
            <w:pPr>
              <w:spacing w:line="240" w:lineRule="auto"/>
              <w:jc w:val="left"/>
              <w:rPr>
                <w:rFonts w:cs="Arial"/>
                <w:sz w:val="20"/>
                <w:szCs w:val="20"/>
              </w:rPr>
            </w:pPr>
            <w:r w:rsidRPr="007B1C60">
              <w:rPr>
                <w:rFonts w:cs="Arial"/>
                <w:sz w:val="20"/>
                <w:szCs w:val="20"/>
              </w:rPr>
              <w:t>64.0%</w:t>
            </w:r>
          </w:p>
        </w:tc>
        <w:tc>
          <w:tcPr>
            <w:tcW w:w="1404" w:type="dxa"/>
            <w:tcMar>
              <w:left w:w="28" w:type="dxa"/>
              <w:right w:w="28" w:type="dxa"/>
            </w:tcMar>
            <w:vAlign w:val="center"/>
          </w:tcPr>
          <w:p w14:paraId="5656860F" w14:textId="77777777" w:rsidR="00CB792E" w:rsidRPr="007B1C60" w:rsidRDefault="00CB792E" w:rsidP="00650CCA">
            <w:pPr>
              <w:spacing w:line="240" w:lineRule="auto"/>
              <w:jc w:val="left"/>
              <w:rPr>
                <w:rFonts w:cs="Arial"/>
                <w:sz w:val="20"/>
                <w:szCs w:val="20"/>
              </w:rPr>
            </w:pPr>
            <w:r w:rsidRPr="007B1C60">
              <w:rPr>
                <w:rFonts w:cs="Arial"/>
                <w:sz w:val="20"/>
                <w:szCs w:val="20"/>
              </w:rPr>
              <w:t>71.2%</w:t>
            </w:r>
          </w:p>
        </w:tc>
        <w:tc>
          <w:tcPr>
            <w:tcW w:w="1405" w:type="dxa"/>
            <w:tcMar>
              <w:left w:w="28" w:type="dxa"/>
              <w:right w:w="28" w:type="dxa"/>
            </w:tcMar>
            <w:vAlign w:val="center"/>
          </w:tcPr>
          <w:p w14:paraId="5061BEBF" w14:textId="77777777" w:rsidR="00CB792E" w:rsidRPr="007B1C60" w:rsidRDefault="00CB792E" w:rsidP="00650CCA">
            <w:pPr>
              <w:spacing w:line="240" w:lineRule="auto"/>
              <w:jc w:val="left"/>
              <w:rPr>
                <w:rFonts w:cs="Arial"/>
                <w:sz w:val="20"/>
                <w:szCs w:val="20"/>
              </w:rPr>
            </w:pPr>
            <w:r w:rsidRPr="007B1C60">
              <w:rPr>
                <w:rFonts w:cs="Arial"/>
                <w:sz w:val="20"/>
                <w:szCs w:val="20"/>
              </w:rPr>
              <w:t>60.1%</w:t>
            </w:r>
          </w:p>
        </w:tc>
        <w:tc>
          <w:tcPr>
            <w:tcW w:w="1405" w:type="dxa"/>
            <w:tcMar>
              <w:left w:w="28" w:type="dxa"/>
              <w:right w:w="28" w:type="dxa"/>
            </w:tcMar>
            <w:vAlign w:val="center"/>
          </w:tcPr>
          <w:p w14:paraId="50DF824C" w14:textId="77777777" w:rsidR="00CB792E" w:rsidRPr="007B1C60" w:rsidRDefault="00CB792E" w:rsidP="00650CCA">
            <w:pPr>
              <w:spacing w:line="240" w:lineRule="auto"/>
              <w:jc w:val="left"/>
              <w:rPr>
                <w:rFonts w:cs="Arial"/>
                <w:sz w:val="20"/>
                <w:szCs w:val="20"/>
              </w:rPr>
            </w:pPr>
            <w:r w:rsidRPr="007B1C60">
              <w:rPr>
                <w:rFonts w:cs="Arial"/>
                <w:sz w:val="20"/>
                <w:szCs w:val="20"/>
              </w:rPr>
              <w:t>65.3%</w:t>
            </w:r>
          </w:p>
        </w:tc>
        <w:tc>
          <w:tcPr>
            <w:tcW w:w="1405" w:type="dxa"/>
            <w:tcMar>
              <w:left w:w="28" w:type="dxa"/>
              <w:right w:w="28" w:type="dxa"/>
            </w:tcMar>
            <w:vAlign w:val="center"/>
          </w:tcPr>
          <w:p w14:paraId="29968071" w14:textId="77777777" w:rsidR="00CB792E" w:rsidRPr="007B1C60" w:rsidRDefault="00CB792E" w:rsidP="00650CCA">
            <w:pPr>
              <w:spacing w:line="240" w:lineRule="auto"/>
              <w:jc w:val="left"/>
              <w:rPr>
                <w:rFonts w:cs="Arial"/>
                <w:sz w:val="20"/>
                <w:szCs w:val="20"/>
              </w:rPr>
            </w:pPr>
            <w:r w:rsidRPr="007B1C60">
              <w:rPr>
                <w:rFonts w:cs="Arial"/>
                <w:sz w:val="20"/>
                <w:szCs w:val="20"/>
              </w:rPr>
              <w:t>64.4%</w:t>
            </w:r>
          </w:p>
        </w:tc>
      </w:tr>
      <w:tr w:rsidR="00CB792E" w:rsidRPr="007B1C60" w14:paraId="69FBA37C" w14:textId="77777777" w:rsidTr="00650CCA">
        <w:trPr>
          <w:trHeight w:val="284"/>
        </w:trPr>
        <w:tc>
          <w:tcPr>
            <w:tcW w:w="1980" w:type="dxa"/>
            <w:tcMar>
              <w:left w:w="28" w:type="dxa"/>
              <w:right w:w="28" w:type="dxa"/>
            </w:tcMar>
            <w:vAlign w:val="center"/>
          </w:tcPr>
          <w:p w14:paraId="21F6E00C" w14:textId="77777777" w:rsidR="00CB792E" w:rsidRPr="007B1C60" w:rsidRDefault="00CB792E" w:rsidP="00650CCA">
            <w:pPr>
              <w:spacing w:line="240" w:lineRule="auto"/>
              <w:jc w:val="left"/>
              <w:rPr>
                <w:rFonts w:cs="Arial"/>
                <w:b/>
                <w:sz w:val="20"/>
                <w:szCs w:val="20"/>
              </w:rPr>
            </w:pPr>
            <w:r w:rsidRPr="007B1C60">
              <w:rPr>
                <w:rFonts w:cs="Arial"/>
                <w:b/>
                <w:sz w:val="20"/>
                <w:szCs w:val="20"/>
              </w:rPr>
              <w:t>III</w:t>
            </w:r>
          </w:p>
        </w:tc>
        <w:tc>
          <w:tcPr>
            <w:tcW w:w="1417" w:type="dxa"/>
            <w:tcMar>
              <w:left w:w="28" w:type="dxa"/>
              <w:right w:w="28" w:type="dxa"/>
            </w:tcMar>
            <w:vAlign w:val="center"/>
          </w:tcPr>
          <w:p w14:paraId="16FE012E" w14:textId="77777777" w:rsidR="00CB792E" w:rsidRPr="007B1C60" w:rsidRDefault="00CB792E" w:rsidP="00650CCA">
            <w:pPr>
              <w:spacing w:line="240" w:lineRule="auto"/>
              <w:jc w:val="left"/>
              <w:rPr>
                <w:rFonts w:cs="Arial"/>
                <w:sz w:val="20"/>
                <w:szCs w:val="20"/>
              </w:rPr>
            </w:pPr>
            <w:r w:rsidRPr="007B1C60">
              <w:rPr>
                <w:rFonts w:cs="Arial"/>
                <w:sz w:val="20"/>
                <w:szCs w:val="20"/>
              </w:rPr>
              <w:t>23.3%</w:t>
            </w:r>
          </w:p>
        </w:tc>
        <w:tc>
          <w:tcPr>
            <w:tcW w:w="1404" w:type="dxa"/>
            <w:tcMar>
              <w:left w:w="28" w:type="dxa"/>
              <w:right w:w="28" w:type="dxa"/>
            </w:tcMar>
            <w:vAlign w:val="center"/>
          </w:tcPr>
          <w:p w14:paraId="29800CDE" w14:textId="77777777" w:rsidR="00CB792E" w:rsidRPr="007B1C60" w:rsidRDefault="00CB792E" w:rsidP="00650CCA">
            <w:pPr>
              <w:spacing w:line="240" w:lineRule="auto"/>
              <w:jc w:val="left"/>
              <w:rPr>
                <w:rFonts w:cs="Arial"/>
                <w:sz w:val="20"/>
                <w:szCs w:val="20"/>
              </w:rPr>
            </w:pPr>
            <w:r w:rsidRPr="007B1C60">
              <w:rPr>
                <w:rFonts w:cs="Arial"/>
                <w:sz w:val="20"/>
                <w:szCs w:val="20"/>
              </w:rPr>
              <w:t>22.0%</w:t>
            </w:r>
          </w:p>
        </w:tc>
        <w:tc>
          <w:tcPr>
            <w:tcW w:w="1405" w:type="dxa"/>
            <w:tcMar>
              <w:left w:w="28" w:type="dxa"/>
              <w:right w:w="28" w:type="dxa"/>
            </w:tcMar>
            <w:vAlign w:val="center"/>
          </w:tcPr>
          <w:p w14:paraId="307A5B3E" w14:textId="77777777" w:rsidR="00CB792E" w:rsidRPr="007B1C60" w:rsidRDefault="00CB792E" w:rsidP="00650CCA">
            <w:pPr>
              <w:spacing w:line="240" w:lineRule="auto"/>
              <w:jc w:val="left"/>
              <w:rPr>
                <w:rFonts w:cs="Arial"/>
                <w:sz w:val="20"/>
                <w:szCs w:val="20"/>
              </w:rPr>
            </w:pPr>
            <w:r w:rsidRPr="007B1C60">
              <w:rPr>
                <w:rFonts w:cs="Arial"/>
                <w:sz w:val="20"/>
                <w:szCs w:val="20"/>
              </w:rPr>
              <w:t>24.3%</w:t>
            </w:r>
          </w:p>
        </w:tc>
        <w:tc>
          <w:tcPr>
            <w:tcW w:w="1405" w:type="dxa"/>
            <w:tcMar>
              <w:left w:w="28" w:type="dxa"/>
              <w:right w:w="28" w:type="dxa"/>
            </w:tcMar>
            <w:vAlign w:val="center"/>
          </w:tcPr>
          <w:p w14:paraId="610B3502" w14:textId="77777777" w:rsidR="00CB792E" w:rsidRPr="007B1C60" w:rsidRDefault="00CB792E" w:rsidP="00650CCA">
            <w:pPr>
              <w:spacing w:line="240" w:lineRule="auto"/>
              <w:jc w:val="left"/>
              <w:rPr>
                <w:rFonts w:cs="Arial"/>
                <w:sz w:val="20"/>
                <w:szCs w:val="20"/>
              </w:rPr>
            </w:pPr>
            <w:r w:rsidRPr="007B1C60">
              <w:rPr>
                <w:rFonts w:cs="Arial"/>
                <w:sz w:val="20"/>
                <w:szCs w:val="20"/>
              </w:rPr>
              <w:t>20.7%</w:t>
            </w:r>
          </w:p>
        </w:tc>
        <w:tc>
          <w:tcPr>
            <w:tcW w:w="1405" w:type="dxa"/>
            <w:tcMar>
              <w:left w:w="28" w:type="dxa"/>
              <w:right w:w="28" w:type="dxa"/>
            </w:tcMar>
            <w:vAlign w:val="center"/>
          </w:tcPr>
          <w:p w14:paraId="05FD859E" w14:textId="77777777" w:rsidR="00CB792E" w:rsidRPr="007B1C60" w:rsidRDefault="00CB792E" w:rsidP="00650CCA">
            <w:pPr>
              <w:spacing w:line="240" w:lineRule="auto"/>
              <w:jc w:val="left"/>
              <w:rPr>
                <w:rFonts w:cs="Arial"/>
                <w:sz w:val="20"/>
                <w:szCs w:val="20"/>
              </w:rPr>
            </w:pPr>
            <w:r w:rsidRPr="007B1C60">
              <w:rPr>
                <w:rFonts w:cs="Arial"/>
                <w:sz w:val="20"/>
                <w:szCs w:val="20"/>
              </w:rPr>
              <w:t>21.6%</w:t>
            </w:r>
          </w:p>
        </w:tc>
      </w:tr>
      <w:tr w:rsidR="00CB792E" w:rsidRPr="007B1C60" w14:paraId="42590AEA" w14:textId="77777777" w:rsidTr="00650CCA">
        <w:trPr>
          <w:trHeight w:val="284"/>
        </w:trPr>
        <w:tc>
          <w:tcPr>
            <w:tcW w:w="1980" w:type="dxa"/>
            <w:tcMar>
              <w:left w:w="28" w:type="dxa"/>
              <w:right w:w="28" w:type="dxa"/>
            </w:tcMar>
            <w:vAlign w:val="center"/>
          </w:tcPr>
          <w:p w14:paraId="75BBC8E0" w14:textId="77777777" w:rsidR="00CB792E" w:rsidRPr="007B1C60" w:rsidRDefault="00CB792E" w:rsidP="00650CCA">
            <w:pPr>
              <w:spacing w:line="240" w:lineRule="auto"/>
              <w:jc w:val="left"/>
              <w:rPr>
                <w:rFonts w:cs="Arial"/>
                <w:b/>
                <w:sz w:val="20"/>
                <w:szCs w:val="20"/>
              </w:rPr>
            </w:pPr>
            <w:r w:rsidRPr="007B1C60">
              <w:rPr>
                <w:rFonts w:cs="Arial"/>
                <w:b/>
                <w:sz w:val="20"/>
                <w:szCs w:val="20"/>
              </w:rPr>
              <w:t>IV</w:t>
            </w:r>
          </w:p>
        </w:tc>
        <w:tc>
          <w:tcPr>
            <w:tcW w:w="1417" w:type="dxa"/>
            <w:tcMar>
              <w:left w:w="28" w:type="dxa"/>
              <w:right w:w="28" w:type="dxa"/>
            </w:tcMar>
            <w:vAlign w:val="center"/>
          </w:tcPr>
          <w:p w14:paraId="40162ABE" w14:textId="77777777" w:rsidR="00CB792E" w:rsidRPr="007B1C60" w:rsidRDefault="00CB792E" w:rsidP="00650CCA">
            <w:pPr>
              <w:spacing w:line="240" w:lineRule="auto"/>
              <w:jc w:val="left"/>
              <w:rPr>
                <w:rFonts w:cs="Arial"/>
                <w:sz w:val="20"/>
                <w:szCs w:val="20"/>
              </w:rPr>
            </w:pPr>
            <w:r w:rsidRPr="007B1C60">
              <w:rPr>
                <w:rFonts w:cs="Arial"/>
                <w:sz w:val="20"/>
                <w:szCs w:val="20"/>
              </w:rPr>
              <w:t>12.7%</w:t>
            </w:r>
          </w:p>
        </w:tc>
        <w:tc>
          <w:tcPr>
            <w:tcW w:w="1404" w:type="dxa"/>
            <w:tcMar>
              <w:left w:w="28" w:type="dxa"/>
              <w:right w:w="28" w:type="dxa"/>
            </w:tcMar>
            <w:vAlign w:val="center"/>
          </w:tcPr>
          <w:p w14:paraId="2D728E1F" w14:textId="77777777" w:rsidR="00CB792E" w:rsidRPr="007B1C60" w:rsidRDefault="00CB792E" w:rsidP="00650CCA">
            <w:pPr>
              <w:spacing w:line="240" w:lineRule="auto"/>
              <w:jc w:val="left"/>
              <w:rPr>
                <w:rFonts w:cs="Arial"/>
                <w:sz w:val="20"/>
                <w:szCs w:val="20"/>
              </w:rPr>
            </w:pPr>
            <w:r w:rsidRPr="007B1C60">
              <w:rPr>
                <w:rFonts w:cs="Arial"/>
                <w:sz w:val="20"/>
                <w:szCs w:val="20"/>
              </w:rPr>
              <w:t>6.7%</w:t>
            </w:r>
          </w:p>
        </w:tc>
        <w:tc>
          <w:tcPr>
            <w:tcW w:w="1405" w:type="dxa"/>
            <w:tcMar>
              <w:left w:w="28" w:type="dxa"/>
              <w:right w:w="28" w:type="dxa"/>
            </w:tcMar>
            <w:vAlign w:val="center"/>
          </w:tcPr>
          <w:p w14:paraId="1EC2FF99" w14:textId="77777777" w:rsidR="00CB792E" w:rsidRPr="007B1C60" w:rsidRDefault="00CB792E" w:rsidP="00650CCA">
            <w:pPr>
              <w:spacing w:line="240" w:lineRule="auto"/>
              <w:jc w:val="left"/>
              <w:rPr>
                <w:rFonts w:cs="Arial"/>
                <w:sz w:val="20"/>
                <w:szCs w:val="20"/>
              </w:rPr>
            </w:pPr>
            <w:r w:rsidRPr="007B1C60">
              <w:rPr>
                <w:rFonts w:cs="Arial"/>
                <w:sz w:val="20"/>
                <w:szCs w:val="20"/>
              </w:rPr>
              <w:t>15.6%</w:t>
            </w:r>
          </w:p>
        </w:tc>
        <w:tc>
          <w:tcPr>
            <w:tcW w:w="1405" w:type="dxa"/>
            <w:tcMar>
              <w:left w:w="28" w:type="dxa"/>
              <w:right w:w="28" w:type="dxa"/>
            </w:tcMar>
            <w:vAlign w:val="center"/>
          </w:tcPr>
          <w:p w14:paraId="39D45D3C" w14:textId="77777777" w:rsidR="00CB792E" w:rsidRPr="007B1C60" w:rsidRDefault="00CB792E" w:rsidP="00650CCA">
            <w:pPr>
              <w:spacing w:line="240" w:lineRule="auto"/>
              <w:jc w:val="left"/>
              <w:rPr>
                <w:rFonts w:cs="Arial"/>
                <w:sz w:val="20"/>
                <w:szCs w:val="20"/>
              </w:rPr>
            </w:pPr>
            <w:r w:rsidRPr="007B1C60">
              <w:rPr>
                <w:rFonts w:cs="Arial"/>
                <w:sz w:val="20"/>
                <w:szCs w:val="20"/>
              </w:rPr>
              <w:t>14.0%</w:t>
            </w:r>
          </w:p>
        </w:tc>
        <w:tc>
          <w:tcPr>
            <w:tcW w:w="1405" w:type="dxa"/>
            <w:tcMar>
              <w:left w:w="28" w:type="dxa"/>
              <w:right w:w="28" w:type="dxa"/>
            </w:tcMar>
            <w:vAlign w:val="center"/>
          </w:tcPr>
          <w:p w14:paraId="230999AB" w14:textId="77777777" w:rsidR="00CB792E" w:rsidRPr="007B1C60" w:rsidRDefault="00CB792E" w:rsidP="00650CCA">
            <w:pPr>
              <w:spacing w:line="240" w:lineRule="auto"/>
              <w:jc w:val="left"/>
              <w:rPr>
                <w:rFonts w:cs="Arial"/>
                <w:sz w:val="20"/>
                <w:szCs w:val="20"/>
              </w:rPr>
            </w:pPr>
            <w:r w:rsidRPr="007B1C60">
              <w:rPr>
                <w:rFonts w:cs="Arial"/>
                <w:sz w:val="20"/>
                <w:szCs w:val="20"/>
              </w:rPr>
              <w:t>14.0%</w:t>
            </w:r>
          </w:p>
        </w:tc>
      </w:tr>
      <w:tr w:rsidR="00CB792E" w:rsidRPr="007B1C60" w14:paraId="592EAF1B" w14:textId="77777777" w:rsidTr="00650CCA">
        <w:trPr>
          <w:trHeight w:val="284"/>
        </w:trPr>
        <w:tc>
          <w:tcPr>
            <w:tcW w:w="1980" w:type="dxa"/>
            <w:tcMar>
              <w:left w:w="28" w:type="dxa"/>
              <w:right w:w="28" w:type="dxa"/>
            </w:tcMar>
            <w:vAlign w:val="center"/>
          </w:tcPr>
          <w:p w14:paraId="6D048C05"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 </w:t>
            </w:r>
          </w:p>
        </w:tc>
        <w:tc>
          <w:tcPr>
            <w:tcW w:w="1417" w:type="dxa"/>
            <w:tcMar>
              <w:left w:w="28" w:type="dxa"/>
              <w:right w:w="28" w:type="dxa"/>
            </w:tcMar>
            <w:vAlign w:val="center"/>
          </w:tcPr>
          <w:p w14:paraId="627C93ED" w14:textId="77777777" w:rsidR="00CB792E" w:rsidRPr="007B1C60" w:rsidRDefault="00CB792E" w:rsidP="00650CCA">
            <w:pPr>
              <w:spacing w:line="240" w:lineRule="auto"/>
              <w:jc w:val="left"/>
              <w:rPr>
                <w:rFonts w:cs="Arial"/>
                <w:sz w:val="20"/>
                <w:szCs w:val="20"/>
              </w:rPr>
            </w:pPr>
          </w:p>
        </w:tc>
        <w:tc>
          <w:tcPr>
            <w:tcW w:w="1404" w:type="dxa"/>
            <w:tcMar>
              <w:left w:w="28" w:type="dxa"/>
              <w:right w:w="28" w:type="dxa"/>
            </w:tcMar>
            <w:vAlign w:val="center"/>
          </w:tcPr>
          <w:p w14:paraId="6043CB87"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405" w:type="dxa"/>
            <w:tcMar>
              <w:left w:w="28" w:type="dxa"/>
              <w:right w:w="28" w:type="dxa"/>
            </w:tcMar>
            <w:vAlign w:val="center"/>
          </w:tcPr>
          <w:p w14:paraId="23E3F17B"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7AB3C3B0"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5D672621" w14:textId="77777777" w:rsidR="00CB792E" w:rsidRPr="007B1C60" w:rsidRDefault="00CB792E" w:rsidP="00650CCA">
            <w:pPr>
              <w:spacing w:line="240" w:lineRule="auto"/>
              <w:jc w:val="left"/>
              <w:rPr>
                <w:rFonts w:cs="Arial"/>
                <w:sz w:val="20"/>
                <w:szCs w:val="20"/>
              </w:rPr>
            </w:pPr>
          </w:p>
        </w:tc>
      </w:tr>
      <w:tr w:rsidR="00CB792E" w:rsidRPr="007B1C60" w14:paraId="74B0E1C2" w14:textId="77777777" w:rsidTr="00650CCA">
        <w:trPr>
          <w:trHeight w:val="284"/>
        </w:trPr>
        <w:tc>
          <w:tcPr>
            <w:tcW w:w="1980" w:type="dxa"/>
            <w:tcMar>
              <w:left w:w="28" w:type="dxa"/>
              <w:right w:w="28" w:type="dxa"/>
            </w:tcMar>
            <w:vAlign w:val="center"/>
          </w:tcPr>
          <w:p w14:paraId="6F0086F5" w14:textId="77777777" w:rsidR="00CB792E" w:rsidRPr="007B1C60" w:rsidRDefault="00CB792E" w:rsidP="00650CCA">
            <w:pPr>
              <w:spacing w:line="240" w:lineRule="auto"/>
              <w:jc w:val="left"/>
              <w:rPr>
                <w:rFonts w:cs="Arial"/>
                <w:b/>
                <w:sz w:val="20"/>
                <w:szCs w:val="20"/>
              </w:rPr>
            </w:pPr>
            <w:r w:rsidRPr="007B1C60">
              <w:rPr>
                <w:rFonts w:cs="Arial"/>
                <w:b/>
                <w:sz w:val="20"/>
                <w:szCs w:val="20"/>
              </w:rPr>
              <w:t>Gleason score</w:t>
            </w:r>
          </w:p>
        </w:tc>
        <w:tc>
          <w:tcPr>
            <w:tcW w:w="1417" w:type="dxa"/>
            <w:tcMar>
              <w:left w:w="28" w:type="dxa"/>
              <w:right w:w="28" w:type="dxa"/>
            </w:tcMar>
            <w:vAlign w:val="center"/>
          </w:tcPr>
          <w:p w14:paraId="02465148" w14:textId="77777777" w:rsidR="00CB792E" w:rsidRPr="007B1C60" w:rsidRDefault="00CB792E" w:rsidP="00650CCA">
            <w:pPr>
              <w:spacing w:line="240" w:lineRule="auto"/>
              <w:jc w:val="left"/>
              <w:rPr>
                <w:rFonts w:cs="Arial"/>
                <w:sz w:val="20"/>
                <w:szCs w:val="20"/>
              </w:rPr>
            </w:pPr>
          </w:p>
        </w:tc>
        <w:tc>
          <w:tcPr>
            <w:tcW w:w="1404" w:type="dxa"/>
            <w:tcMar>
              <w:left w:w="28" w:type="dxa"/>
              <w:right w:w="28" w:type="dxa"/>
            </w:tcMar>
            <w:vAlign w:val="center"/>
          </w:tcPr>
          <w:p w14:paraId="5EA8D666"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405" w:type="dxa"/>
            <w:tcMar>
              <w:left w:w="28" w:type="dxa"/>
              <w:right w:w="28" w:type="dxa"/>
            </w:tcMar>
            <w:vAlign w:val="center"/>
          </w:tcPr>
          <w:p w14:paraId="0E35FD72"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4848C898"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2B444251" w14:textId="77777777" w:rsidR="00CB792E" w:rsidRPr="007B1C60" w:rsidRDefault="00CB792E" w:rsidP="00650CCA">
            <w:pPr>
              <w:spacing w:line="240" w:lineRule="auto"/>
              <w:jc w:val="left"/>
              <w:rPr>
                <w:rFonts w:cs="Arial"/>
                <w:sz w:val="20"/>
                <w:szCs w:val="20"/>
              </w:rPr>
            </w:pPr>
          </w:p>
        </w:tc>
      </w:tr>
      <w:tr w:rsidR="00CB792E" w:rsidRPr="007B1C60" w14:paraId="3095EEF4" w14:textId="77777777" w:rsidTr="00650CCA">
        <w:trPr>
          <w:trHeight w:val="284"/>
        </w:trPr>
        <w:tc>
          <w:tcPr>
            <w:tcW w:w="1980" w:type="dxa"/>
            <w:tcMar>
              <w:left w:w="28" w:type="dxa"/>
              <w:right w:w="28" w:type="dxa"/>
            </w:tcMar>
            <w:vAlign w:val="center"/>
          </w:tcPr>
          <w:p w14:paraId="40D1C27E" w14:textId="77777777" w:rsidR="00CB792E" w:rsidRPr="007B1C60" w:rsidRDefault="00CB792E" w:rsidP="00650CCA">
            <w:pPr>
              <w:spacing w:line="240" w:lineRule="auto"/>
              <w:jc w:val="left"/>
              <w:rPr>
                <w:rFonts w:cs="Arial"/>
                <w:b/>
                <w:sz w:val="20"/>
                <w:szCs w:val="20"/>
              </w:rPr>
            </w:pPr>
            <w:r w:rsidRPr="007B1C60">
              <w:rPr>
                <w:rFonts w:cs="Arial"/>
                <w:b/>
                <w:sz w:val="20"/>
                <w:szCs w:val="20"/>
              </w:rPr>
              <w:t>2-6</w:t>
            </w:r>
          </w:p>
        </w:tc>
        <w:tc>
          <w:tcPr>
            <w:tcW w:w="1417" w:type="dxa"/>
            <w:tcMar>
              <w:left w:w="28" w:type="dxa"/>
              <w:right w:w="28" w:type="dxa"/>
            </w:tcMar>
            <w:vAlign w:val="center"/>
          </w:tcPr>
          <w:p w14:paraId="4A1F2EB8" w14:textId="77777777" w:rsidR="00CB792E" w:rsidRPr="007B1C60" w:rsidRDefault="00CB792E" w:rsidP="00650CCA">
            <w:pPr>
              <w:spacing w:line="240" w:lineRule="auto"/>
              <w:jc w:val="left"/>
              <w:rPr>
                <w:rFonts w:cs="Arial"/>
                <w:sz w:val="20"/>
                <w:szCs w:val="20"/>
              </w:rPr>
            </w:pPr>
            <w:r w:rsidRPr="007B1C60">
              <w:rPr>
                <w:rFonts w:cs="Arial"/>
                <w:sz w:val="20"/>
                <w:szCs w:val="20"/>
              </w:rPr>
              <w:t>29.0%</w:t>
            </w:r>
          </w:p>
        </w:tc>
        <w:tc>
          <w:tcPr>
            <w:tcW w:w="1404" w:type="dxa"/>
            <w:tcMar>
              <w:left w:w="28" w:type="dxa"/>
              <w:right w:w="28" w:type="dxa"/>
            </w:tcMar>
            <w:vAlign w:val="center"/>
          </w:tcPr>
          <w:p w14:paraId="2950259B" w14:textId="77777777" w:rsidR="00CB792E" w:rsidRPr="007B1C60" w:rsidRDefault="00CB792E" w:rsidP="00650CCA">
            <w:pPr>
              <w:spacing w:line="240" w:lineRule="auto"/>
              <w:jc w:val="left"/>
              <w:rPr>
                <w:rFonts w:cs="Arial"/>
                <w:sz w:val="20"/>
                <w:szCs w:val="20"/>
              </w:rPr>
            </w:pPr>
            <w:r w:rsidRPr="007B1C60">
              <w:rPr>
                <w:rFonts w:cs="Arial"/>
                <w:sz w:val="20"/>
                <w:szCs w:val="20"/>
              </w:rPr>
              <w:t>31.1%</w:t>
            </w:r>
          </w:p>
        </w:tc>
        <w:tc>
          <w:tcPr>
            <w:tcW w:w="1405" w:type="dxa"/>
            <w:tcMar>
              <w:left w:w="28" w:type="dxa"/>
              <w:right w:w="28" w:type="dxa"/>
            </w:tcMar>
            <w:vAlign w:val="center"/>
          </w:tcPr>
          <w:p w14:paraId="02BF8035" w14:textId="77777777" w:rsidR="00CB792E" w:rsidRPr="007B1C60" w:rsidRDefault="00CB792E" w:rsidP="00650CCA">
            <w:pPr>
              <w:spacing w:line="240" w:lineRule="auto"/>
              <w:jc w:val="left"/>
              <w:rPr>
                <w:rFonts w:cs="Arial"/>
                <w:sz w:val="20"/>
                <w:szCs w:val="20"/>
              </w:rPr>
            </w:pPr>
            <w:r w:rsidRPr="007B1C60">
              <w:rPr>
                <w:rFonts w:cs="Arial"/>
                <w:sz w:val="20"/>
                <w:szCs w:val="20"/>
              </w:rPr>
              <w:t>27.7%</w:t>
            </w:r>
          </w:p>
        </w:tc>
        <w:tc>
          <w:tcPr>
            <w:tcW w:w="1405" w:type="dxa"/>
            <w:tcMar>
              <w:left w:w="28" w:type="dxa"/>
              <w:right w:w="28" w:type="dxa"/>
            </w:tcMar>
            <w:vAlign w:val="center"/>
          </w:tcPr>
          <w:p w14:paraId="07A61D04" w14:textId="77777777" w:rsidR="00CB792E" w:rsidRPr="007B1C60" w:rsidRDefault="00CB792E" w:rsidP="00650CCA">
            <w:pPr>
              <w:spacing w:line="240" w:lineRule="auto"/>
              <w:jc w:val="left"/>
              <w:rPr>
                <w:rFonts w:cs="Arial"/>
                <w:sz w:val="20"/>
                <w:szCs w:val="20"/>
              </w:rPr>
            </w:pPr>
            <w:r w:rsidRPr="007B1C60">
              <w:rPr>
                <w:rFonts w:cs="Arial"/>
                <w:sz w:val="20"/>
                <w:szCs w:val="20"/>
              </w:rPr>
              <w:t>29.5%</w:t>
            </w:r>
          </w:p>
        </w:tc>
        <w:tc>
          <w:tcPr>
            <w:tcW w:w="1405" w:type="dxa"/>
            <w:tcMar>
              <w:left w:w="28" w:type="dxa"/>
              <w:right w:w="28" w:type="dxa"/>
            </w:tcMar>
            <w:vAlign w:val="center"/>
          </w:tcPr>
          <w:p w14:paraId="0AB3D8EF" w14:textId="77777777" w:rsidR="00CB792E" w:rsidRPr="007B1C60" w:rsidRDefault="00CB792E" w:rsidP="00650CCA">
            <w:pPr>
              <w:spacing w:line="240" w:lineRule="auto"/>
              <w:jc w:val="left"/>
              <w:rPr>
                <w:rFonts w:cs="Arial"/>
                <w:sz w:val="20"/>
                <w:szCs w:val="20"/>
              </w:rPr>
            </w:pPr>
            <w:r w:rsidRPr="007B1C60">
              <w:rPr>
                <w:rFonts w:cs="Arial"/>
                <w:sz w:val="20"/>
                <w:szCs w:val="20"/>
              </w:rPr>
              <w:t>30.8%</w:t>
            </w:r>
          </w:p>
        </w:tc>
      </w:tr>
      <w:tr w:rsidR="00CB792E" w:rsidRPr="007B1C60" w14:paraId="0DE26769" w14:textId="77777777" w:rsidTr="00650CCA">
        <w:trPr>
          <w:trHeight w:val="284"/>
        </w:trPr>
        <w:tc>
          <w:tcPr>
            <w:tcW w:w="1980" w:type="dxa"/>
            <w:tcMar>
              <w:left w:w="28" w:type="dxa"/>
              <w:right w:w="28" w:type="dxa"/>
            </w:tcMar>
            <w:vAlign w:val="center"/>
          </w:tcPr>
          <w:p w14:paraId="02FCE2AF" w14:textId="77777777" w:rsidR="00CB792E" w:rsidRPr="007B1C60" w:rsidRDefault="00CB792E" w:rsidP="00650CCA">
            <w:pPr>
              <w:spacing w:line="240" w:lineRule="auto"/>
              <w:jc w:val="left"/>
              <w:rPr>
                <w:rFonts w:cs="Arial"/>
                <w:b/>
                <w:sz w:val="20"/>
                <w:szCs w:val="20"/>
              </w:rPr>
            </w:pPr>
            <w:r w:rsidRPr="007B1C60">
              <w:rPr>
                <w:rFonts w:cs="Arial"/>
                <w:b/>
                <w:sz w:val="20"/>
                <w:szCs w:val="20"/>
              </w:rPr>
              <w:t>7</w:t>
            </w:r>
          </w:p>
        </w:tc>
        <w:tc>
          <w:tcPr>
            <w:tcW w:w="1417" w:type="dxa"/>
            <w:tcMar>
              <w:left w:w="28" w:type="dxa"/>
              <w:right w:w="28" w:type="dxa"/>
            </w:tcMar>
            <w:vAlign w:val="center"/>
          </w:tcPr>
          <w:p w14:paraId="3A911091" w14:textId="77777777" w:rsidR="00CB792E" w:rsidRPr="007B1C60" w:rsidRDefault="00CB792E" w:rsidP="00650CCA">
            <w:pPr>
              <w:spacing w:line="240" w:lineRule="auto"/>
              <w:jc w:val="left"/>
              <w:rPr>
                <w:rFonts w:cs="Arial"/>
                <w:sz w:val="20"/>
                <w:szCs w:val="20"/>
              </w:rPr>
            </w:pPr>
            <w:r w:rsidRPr="007B1C60">
              <w:rPr>
                <w:rFonts w:cs="Arial"/>
                <w:sz w:val="20"/>
                <w:szCs w:val="20"/>
              </w:rPr>
              <w:t>47.3%</w:t>
            </w:r>
          </w:p>
        </w:tc>
        <w:tc>
          <w:tcPr>
            <w:tcW w:w="1404" w:type="dxa"/>
            <w:tcMar>
              <w:left w:w="28" w:type="dxa"/>
              <w:right w:w="28" w:type="dxa"/>
            </w:tcMar>
            <w:vAlign w:val="center"/>
          </w:tcPr>
          <w:p w14:paraId="6A355EF8" w14:textId="77777777" w:rsidR="00CB792E" w:rsidRPr="007B1C60" w:rsidRDefault="00CB792E" w:rsidP="00650CCA">
            <w:pPr>
              <w:spacing w:line="240" w:lineRule="auto"/>
              <w:jc w:val="left"/>
              <w:rPr>
                <w:rFonts w:cs="Arial"/>
                <w:sz w:val="20"/>
                <w:szCs w:val="20"/>
              </w:rPr>
            </w:pPr>
            <w:r w:rsidRPr="007B1C60">
              <w:rPr>
                <w:rFonts w:cs="Arial"/>
                <w:sz w:val="20"/>
                <w:szCs w:val="20"/>
              </w:rPr>
              <w:t>51.4%</w:t>
            </w:r>
          </w:p>
        </w:tc>
        <w:tc>
          <w:tcPr>
            <w:tcW w:w="1405" w:type="dxa"/>
            <w:tcMar>
              <w:left w:w="28" w:type="dxa"/>
              <w:right w:w="28" w:type="dxa"/>
            </w:tcMar>
            <w:vAlign w:val="center"/>
          </w:tcPr>
          <w:p w14:paraId="1C894E33" w14:textId="77777777" w:rsidR="00CB792E" w:rsidRPr="007B1C60" w:rsidRDefault="00CB792E" w:rsidP="00650CCA">
            <w:pPr>
              <w:spacing w:line="240" w:lineRule="auto"/>
              <w:jc w:val="left"/>
              <w:rPr>
                <w:rFonts w:cs="Arial"/>
                <w:sz w:val="20"/>
                <w:szCs w:val="20"/>
              </w:rPr>
            </w:pPr>
            <w:r w:rsidRPr="007B1C60">
              <w:rPr>
                <w:rFonts w:cs="Arial"/>
                <w:sz w:val="20"/>
                <w:szCs w:val="20"/>
              </w:rPr>
              <w:t>45.3%</w:t>
            </w:r>
          </w:p>
        </w:tc>
        <w:tc>
          <w:tcPr>
            <w:tcW w:w="1405" w:type="dxa"/>
            <w:tcMar>
              <w:left w:w="28" w:type="dxa"/>
              <w:right w:w="28" w:type="dxa"/>
            </w:tcMar>
            <w:vAlign w:val="center"/>
          </w:tcPr>
          <w:p w14:paraId="5A89C8E7" w14:textId="77777777" w:rsidR="00CB792E" w:rsidRPr="007B1C60" w:rsidRDefault="00CB792E" w:rsidP="00650CCA">
            <w:pPr>
              <w:spacing w:line="240" w:lineRule="auto"/>
              <w:jc w:val="left"/>
              <w:rPr>
                <w:rFonts w:cs="Arial"/>
                <w:sz w:val="20"/>
                <w:szCs w:val="20"/>
              </w:rPr>
            </w:pPr>
            <w:r w:rsidRPr="007B1C60">
              <w:rPr>
                <w:rFonts w:cs="Arial"/>
                <w:sz w:val="20"/>
                <w:szCs w:val="20"/>
              </w:rPr>
              <w:t>48.1%</w:t>
            </w:r>
          </w:p>
        </w:tc>
        <w:tc>
          <w:tcPr>
            <w:tcW w:w="1405" w:type="dxa"/>
            <w:tcMar>
              <w:left w:w="28" w:type="dxa"/>
              <w:right w:w="28" w:type="dxa"/>
            </w:tcMar>
            <w:vAlign w:val="center"/>
          </w:tcPr>
          <w:p w14:paraId="72ED1F9B" w14:textId="77777777" w:rsidR="00CB792E" w:rsidRPr="007B1C60" w:rsidRDefault="00CB792E" w:rsidP="00650CCA">
            <w:pPr>
              <w:spacing w:line="240" w:lineRule="auto"/>
              <w:jc w:val="left"/>
              <w:rPr>
                <w:rFonts w:cs="Arial"/>
                <w:sz w:val="20"/>
                <w:szCs w:val="20"/>
              </w:rPr>
            </w:pPr>
            <w:r w:rsidRPr="007B1C60">
              <w:rPr>
                <w:rFonts w:cs="Arial"/>
                <w:sz w:val="20"/>
                <w:szCs w:val="20"/>
              </w:rPr>
              <w:t>45.0%</w:t>
            </w:r>
          </w:p>
        </w:tc>
      </w:tr>
      <w:tr w:rsidR="00CB792E" w:rsidRPr="007B1C60" w14:paraId="1FAFA1D7" w14:textId="77777777" w:rsidTr="00650CCA">
        <w:trPr>
          <w:trHeight w:val="284"/>
        </w:trPr>
        <w:tc>
          <w:tcPr>
            <w:tcW w:w="1980" w:type="dxa"/>
            <w:tcMar>
              <w:left w:w="28" w:type="dxa"/>
              <w:right w:w="28" w:type="dxa"/>
            </w:tcMar>
            <w:vAlign w:val="center"/>
          </w:tcPr>
          <w:p w14:paraId="41A5E26A" w14:textId="77777777" w:rsidR="00CB792E" w:rsidRPr="007B1C60" w:rsidRDefault="00CB792E" w:rsidP="00650CCA">
            <w:pPr>
              <w:spacing w:line="240" w:lineRule="auto"/>
              <w:jc w:val="left"/>
              <w:rPr>
                <w:rFonts w:cs="Arial"/>
                <w:b/>
                <w:sz w:val="20"/>
                <w:szCs w:val="20"/>
              </w:rPr>
            </w:pPr>
            <w:r w:rsidRPr="007B1C60">
              <w:rPr>
                <w:rFonts w:cs="Arial"/>
                <w:b/>
                <w:sz w:val="20"/>
                <w:szCs w:val="20"/>
              </w:rPr>
              <w:t>8-10</w:t>
            </w:r>
          </w:p>
        </w:tc>
        <w:tc>
          <w:tcPr>
            <w:tcW w:w="1417" w:type="dxa"/>
            <w:tcMar>
              <w:left w:w="28" w:type="dxa"/>
              <w:right w:w="28" w:type="dxa"/>
            </w:tcMar>
            <w:vAlign w:val="center"/>
          </w:tcPr>
          <w:p w14:paraId="13EBC9FD" w14:textId="77777777" w:rsidR="00CB792E" w:rsidRPr="007B1C60" w:rsidRDefault="00CB792E" w:rsidP="00650CCA">
            <w:pPr>
              <w:spacing w:line="240" w:lineRule="auto"/>
              <w:jc w:val="left"/>
              <w:rPr>
                <w:rFonts w:cs="Arial"/>
                <w:sz w:val="20"/>
                <w:szCs w:val="20"/>
              </w:rPr>
            </w:pPr>
            <w:r w:rsidRPr="007B1C60">
              <w:rPr>
                <w:rFonts w:cs="Arial"/>
                <w:sz w:val="20"/>
                <w:szCs w:val="20"/>
              </w:rPr>
              <w:t>23.7%</w:t>
            </w:r>
          </w:p>
        </w:tc>
        <w:tc>
          <w:tcPr>
            <w:tcW w:w="1404" w:type="dxa"/>
            <w:tcMar>
              <w:left w:w="28" w:type="dxa"/>
              <w:right w:w="28" w:type="dxa"/>
            </w:tcMar>
            <w:vAlign w:val="center"/>
          </w:tcPr>
          <w:p w14:paraId="57B09B57" w14:textId="77777777" w:rsidR="00CB792E" w:rsidRPr="007B1C60" w:rsidRDefault="00CB792E" w:rsidP="00650CCA">
            <w:pPr>
              <w:spacing w:line="240" w:lineRule="auto"/>
              <w:jc w:val="left"/>
              <w:rPr>
                <w:rFonts w:cs="Arial"/>
                <w:sz w:val="20"/>
                <w:szCs w:val="20"/>
              </w:rPr>
            </w:pPr>
            <w:r w:rsidRPr="007B1C60">
              <w:rPr>
                <w:rFonts w:cs="Arial"/>
                <w:sz w:val="20"/>
                <w:szCs w:val="20"/>
              </w:rPr>
              <w:t>17.5%</w:t>
            </w:r>
          </w:p>
        </w:tc>
        <w:tc>
          <w:tcPr>
            <w:tcW w:w="1405" w:type="dxa"/>
            <w:tcMar>
              <w:left w:w="28" w:type="dxa"/>
              <w:right w:w="28" w:type="dxa"/>
            </w:tcMar>
            <w:vAlign w:val="center"/>
          </w:tcPr>
          <w:p w14:paraId="2D444DCB" w14:textId="77777777" w:rsidR="00CB792E" w:rsidRPr="007B1C60" w:rsidRDefault="00CB792E" w:rsidP="00650CCA">
            <w:pPr>
              <w:spacing w:line="240" w:lineRule="auto"/>
              <w:jc w:val="left"/>
              <w:rPr>
                <w:rFonts w:cs="Arial"/>
                <w:sz w:val="20"/>
                <w:szCs w:val="20"/>
              </w:rPr>
            </w:pPr>
            <w:r w:rsidRPr="007B1C60">
              <w:rPr>
                <w:rFonts w:cs="Arial"/>
                <w:sz w:val="20"/>
                <w:szCs w:val="20"/>
              </w:rPr>
              <w:t>27.0%</w:t>
            </w:r>
          </w:p>
        </w:tc>
        <w:tc>
          <w:tcPr>
            <w:tcW w:w="1405" w:type="dxa"/>
            <w:tcMar>
              <w:left w:w="28" w:type="dxa"/>
              <w:right w:w="28" w:type="dxa"/>
            </w:tcMar>
            <w:vAlign w:val="center"/>
          </w:tcPr>
          <w:p w14:paraId="306941E2" w14:textId="77777777" w:rsidR="00CB792E" w:rsidRPr="007B1C60" w:rsidRDefault="00CB792E" w:rsidP="00650CCA">
            <w:pPr>
              <w:spacing w:line="240" w:lineRule="auto"/>
              <w:jc w:val="left"/>
              <w:rPr>
                <w:rFonts w:cs="Arial"/>
                <w:sz w:val="20"/>
                <w:szCs w:val="20"/>
              </w:rPr>
            </w:pPr>
            <w:r w:rsidRPr="007B1C60">
              <w:rPr>
                <w:rFonts w:cs="Arial"/>
                <w:sz w:val="20"/>
                <w:szCs w:val="20"/>
              </w:rPr>
              <w:t>22.3%</w:t>
            </w:r>
          </w:p>
        </w:tc>
        <w:tc>
          <w:tcPr>
            <w:tcW w:w="1405" w:type="dxa"/>
            <w:tcMar>
              <w:left w:w="28" w:type="dxa"/>
              <w:right w:w="28" w:type="dxa"/>
            </w:tcMar>
            <w:vAlign w:val="center"/>
          </w:tcPr>
          <w:p w14:paraId="51114C79" w14:textId="77777777" w:rsidR="00CB792E" w:rsidRPr="007B1C60" w:rsidRDefault="00CB792E" w:rsidP="00650CCA">
            <w:pPr>
              <w:spacing w:line="240" w:lineRule="auto"/>
              <w:jc w:val="left"/>
              <w:rPr>
                <w:rFonts w:cs="Arial"/>
                <w:sz w:val="20"/>
                <w:szCs w:val="20"/>
              </w:rPr>
            </w:pPr>
            <w:r w:rsidRPr="007B1C60">
              <w:rPr>
                <w:rFonts w:cs="Arial"/>
                <w:sz w:val="20"/>
                <w:szCs w:val="20"/>
              </w:rPr>
              <w:t>24.2%</w:t>
            </w:r>
          </w:p>
        </w:tc>
      </w:tr>
      <w:tr w:rsidR="00CB792E" w:rsidRPr="007B1C60" w14:paraId="7F6418D5" w14:textId="77777777" w:rsidTr="00650CCA">
        <w:trPr>
          <w:trHeight w:val="284"/>
        </w:trPr>
        <w:tc>
          <w:tcPr>
            <w:tcW w:w="1980" w:type="dxa"/>
            <w:tcMar>
              <w:left w:w="28" w:type="dxa"/>
              <w:right w:w="28" w:type="dxa"/>
            </w:tcMar>
            <w:vAlign w:val="center"/>
          </w:tcPr>
          <w:p w14:paraId="2FE06D74"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 </w:t>
            </w:r>
          </w:p>
        </w:tc>
        <w:tc>
          <w:tcPr>
            <w:tcW w:w="1417" w:type="dxa"/>
            <w:tcMar>
              <w:left w:w="28" w:type="dxa"/>
              <w:right w:w="28" w:type="dxa"/>
            </w:tcMar>
            <w:vAlign w:val="center"/>
          </w:tcPr>
          <w:p w14:paraId="4FD3C565" w14:textId="77777777" w:rsidR="00CB792E" w:rsidRPr="007B1C60" w:rsidRDefault="00CB792E" w:rsidP="00650CCA">
            <w:pPr>
              <w:spacing w:line="240" w:lineRule="auto"/>
              <w:jc w:val="left"/>
              <w:rPr>
                <w:rFonts w:cs="Arial"/>
                <w:sz w:val="20"/>
                <w:szCs w:val="20"/>
              </w:rPr>
            </w:pPr>
          </w:p>
        </w:tc>
        <w:tc>
          <w:tcPr>
            <w:tcW w:w="1404" w:type="dxa"/>
            <w:tcMar>
              <w:left w:w="28" w:type="dxa"/>
              <w:right w:w="28" w:type="dxa"/>
            </w:tcMar>
            <w:vAlign w:val="center"/>
          </w:tcPr>
          <w:p w14:paraId="0A488DC2"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405" w:type="dxa"/>
            <w:tcMar>
              <w:left w:w="28" w:type="dxa"/>
              <w:right w:w="28" w:type="dxa"/>
            </w:tcMar>
            <w:vAlign w:val="center"/>
          </w:tcPr>
          <w:p w14:paraId="1C730BB1"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04945255"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49272FDD" w14:textId="77777777" w:rsidR="00CB792E" w:rsidRPr="007B1C60" w:rsidRDefault="00CB792E" w:rsidP="00650CCA">
            <w:pPr>
              <w:spacing w:line="240" w:lineRule="auto"/>
              <w:jc w:val="left"/>
              <w:rPr>
                <w:rFonts w:cs="Arial"/>
                <w:sz w:val="20"/>
                <w:szCs w:val="20"/>
              </w:rPr>
            </w:pPr>
          </w:p>
        </w:tc>
      </w:tr>
      <w:tr w:rsidR="00CB792E" w:rsidRPr="007B1C60" w14:paraId="50A115B1" w14:textId="77777777" w:rsidTr="00650CCA">
        <w:trPr>
          <w:trHeight w:val="284"/>
        </w:trPr>
        <w:tc>
          <w:tcPr>
            <w:tcW w:w="1980" w:type="dxa"/>
            <w:tcMar>
              <w:left w:w="28" w:type="dxa"/>
              <w:right w:w="28" w:type="dxa"/>
            </w:tcMar>
            <w:vAlign w:val="center"/>
          </w:tcPr>
          <w:p w14:paraId="3E19A4A1"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Treatment type </w:t>
            </w:r>
            <w:r w:rsidRPr="007B1C60">
              <w:rPr>
                <w:rFonts w:cs="Arial"/>
                <w:b/>
                <w:sz w:val="20"/>
                <w:szCs w:val="20"/>
                <w:vertAlign w:val="superscript"/>
              </w:rPr>
              <w:t>a</w:t>
            </w:r>
          </w:p>
        </w:tc>
        <w:tc>
          <w:tcPr>
            <w:tcW w:w="1417" w:type="dxa"/>
            <w:tcMar>
              <w:left w:w="28" w:type="dxa"/>
              <w:right w:w="28" w:type="dxa"/>
            </w:tcMar>
            <w:vAlign w:val="center"/>
          </w:tcPr>
          <w:p w14:paraId="78CD9B10" w14:textId="77777777" w:rsidR="00CB792E" w:rsidRPr="007B1C60" w:rsidRDefault="00CB792E" w:rsidP="00650CCA">
            <w:pPr>
              <w:spacing w:line="240" w:lineRule="auto"/>
              <w:jc w:val="left"/>
              <w:rPr>
                <w:rFonts w:cs="Arial"/>
                <w:sz w:val="20"/>
                <w:szCs w:val="20"/>
              </w:rPr>
            </w:pPr>
          </w:p>
        </w:tc>
        <w:tc>
          <w:tcPr>
            <w:tcW w:w="1404" w:type="dxa"/>
            <w:tcMar>
              <w:left w:w="28" w:type="dxa"/>
              <w:right w:w="28" w:type="dxa"/>
            </w:tcMar>
            <w:vAlign w:val="center"/>
          </w:tcPr>
          <w:p w14:paraId="02C2A835"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405" w:type="dxa"/>
            <w:tcMar>
              <w:left w:w="28" w:type="dxa"/>
              <w:right w:w="28" w:type="dxa"/>
            </w:tcMar>
            <w:vAlign w:val="center"/>
          </w:tcPr>
          <w:p w14:paraId="00BBA23E"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394BE5B7" w14:textId="77777777" w:rsidR="00CB792E" w:rsidRPr="007B1C60" w:rsidRDefault="00CB792E" w:rsidP="00650CCA">
            <w:pPr>
              <w:spacing w:line="240" w:lineRule="auto"/>
              <w:jc w:val="left"/>
              <w:rPr>
                <w:rFonts w:cs="Arial"/>
                <w:sz w:val="20"/>
                <w:szCs w:val="20"/>
              </w:rPr>
            </w:pPr>
          </w:p>
        </w:tc>
        <w:tc>
          <w:tcPr>
            <w:tcW w:w="1405" w:type="dxa"/>
            <w:tcMar>
              <w:left w:w="28" w:type="dxa"/>
              <w:right w:w="28" w:type="dxa"/>
            </w:tcMar>
            <w:vAlign w:val="center"/>
          </w:tcPr>
          <w:p w14:paraId="2FB86901" w14:textId="77777777" w:rsidR="00CB792E" w:rsidRPr="007B1C60" w:rsidRDefault="00CB792E" w:rsidP="00650CCA">
            <w:pPr>
              <w:spacing w:line="240" w:lineRule="auto"/>
              <w:jc w:val="left"/>
              <w:rPr>
                <w:rFonts w:cs="Arial"/>
                <w:sz w:val="20"/>
                <w:szCs w:val="20"/>
              </w:rPr>
            </w:pPr>
          </w:p>
        </w:tc>
      </w:tr>
      <w:tr w:rsidR="00CB792E" w:rsidRPr="007B1C60" w14:paraId="6DF67396" w14:textId="77777777" w:rsidTr="00650CCA">
        <w:trPr>
          <w:trHeight w:val="284"/>
        </w:trPr>
        <w:tc>
          <w:tcPr>
            <w:tcW w:w="1980" w:type="dxa"/>
            <w:tcMar>
              <w:left w:w="28" w:type="dxa"/>
              <w:right w:w="28" w:type="dxa"/>
            </w:tcMar>
            <w:vAlign w:val="center"/>
          </w:tcPr>
          <w:p w14:paraId="4ECA0855" w14:textId="77777777" w:rsidR="00CB792E" w:rsidRPr="007B1C60" w:rsidRDefault="00CB792E" w:rsidP="00650CCA">
            <w:pPr>
              <w:spacing w:line="240" w:lineRule="auto"/>
              <w:jc w:val="left"/>
              <w:rPr>
                <w:rFonts w:cs="Arial"/>
                <w:b/>
                <w:sz w:val="20"/>
                <w:szCs w:val="20"/>
              </w:rPr>
            </w:pPr>
            <w:r w:rsidRPr="007B1C60">
              <w:rPr>
                <w:rFonts w:cs="Arial"/>
                <w:b/>
                <w:sz w:val="20"/>
                <w:szCs w:val="20"/>
              </w:rPr>
              <w:t>Any surgery</w:t>
            </w:r>
          </w:p>
        </w:tc>
        <w:tc>
          <w:tcPr>
            <w:tcW w:w="1417" w:type="dxa"/>
            <w:tcMar>
              <w:left w:w="28" w:type="dxa"/>
              <w:right w:w="28" w:type="dxa"/>
            </w:tcMar>
            <w:vAlign w:val="center"/>
          </w:tcPr>
          <w:p w14:paraId="37AE8756" w14:textId="77777777" w:rsidR="00CB792E" w:rsidRPr="007B1C60" w:rsidRDefault="00CB792E" w:rsidP="00650CCA">
            <w:pPr>
              <w:spacing w:line="240" w:lineRule="auto"/>
              <w:jc w:val="left"/>
              <w:rPr>
                <w:rFonts w:cs="Arial"/>
                <w:sz w:val="20"/>
                <w:szCs w:val="20"/>
              </w:rPr>
            </w:pPr>
            <w:r w:rsidRPr="007B1C60">
              <w:rPr>
                <w:rFonts w:cs="Arial"/>
                <w:sz w:val="20"/>
                <w:szCs w:val="20"/>
              </w:rPr>
              <w:t>30.0%</w:t>
            </w:r>
          </w:p>
        </w:tc>
        <w:tc>
          <w:tcPr>
            <w:tcW w:w="1404" w:type="dxa"/>
            <w:tcMar>
              <w:left w:w="28" w:type="dxa"/>
              <w:right w:w="28" w:type="dxa"/>
            </w:tcMar>
            <w:vAlign w:val="center"/>
          </w:tcPr>
          <w:p w14:paraId="3D8ABBA5" w14:textId="77777777" w:rsidR="00CB792E" w:rsidRPr="007B1C60" w:rsidRDefault="00CB792E" w:rsidP="00650CCA">
            <w:pPr>
              <w:spacing w:line="240" w:lineRule="auto"/>
              <w:jc w:val="left"/>
              <w:rPr>
                <w:rFonts w:cs="Arial"/>
                <w:sz w:val="20"/>
                <w:szCs w:val="20"/>
              </w:rPr>
            </w:pPr>
            <w:r w:rsidRPr="007B1C60">
              <w:rPr>
                <w:rFonts w:cs="Arial"/>
                <w:sz w:val="20"/>
                <w:szCs w:val="20"/>
              </w:rPr>
              <w:t>31.9%</w:t>
            </w:r>
          </w:p>
        </w:tc>
        <w:tc>
          <w:tcPr>
            <w:tcW w:w="1405" w:type="dxa"/>
            <w:tcMar>
              <w:left w:w="28" w:type="dxa"/>
              <w:right w:w="28" w:type="dxa"/>
            </w:tcMar>
            <w:vAlign w:val="center"/>
          </w:tcPr>
          <w:p w14:paraId="0E4D74C6" w14:textId="77777777" w:rsidR="00CB792E" w:rsidRPr="007B1C60" w:rsidRDefault="00CB792E" w:rsidP="00650CCA">
            <w:pPr>
              <w:spacing w:line="240" w:lineRule="auto"/>
              <w:jc w:val="left"/>
              <w:rPr>
                <w:rFonts w:cs="Arial"/>
                <w:sz w:val="20"/>
                <w:szCs w:val="20"/>
              </w:rPr>
            </w:pPr>
            <w:r w:rsidRPr="007B1C60">
              <w:rPr>
                <w:rFonts w:cs="Arial"/>
                <w:sz w:val="20"/>
                <w:szCs w:val="20"/>
              </w:rPr>
              <w:t>28.9%</w:t>
            </w:r>
          </w:p>
        </w:tc>
        <w:tc>
          <w:tcPr>
            <w:tcW w:w="1405" w:type="dxa"/>
            <w:tcMar>
              <w:left w:w="28" w:type="dxa"/>
              <w:right w:w="28" w:type="dxa"/>
            </w:tcMar>
            <w:vAlign w:val="center"/>
          </w:tcPr>
          <w:p w14:paraId="4C857C83" w14:textId="77777777" w:rsidR="00CB792E" w:rsidRPr="007B1C60" w:rsidRDefault="00CB792E" w:rsidP="00650CCA">
            <w:pPr>
              <w:spacing w:line="240" w:lineRule="auto"/>
              <w:jc w:val="left"/>
              <w:rPr>
                <w:rFonts w:cs="Arial"/>
                <w:sz w:val="20"/>
                <w:szCs w:val="20"/>
              </w:rPr>
            </w:pPr>
            <w:r w:rsidRPr="007B1C60">
              <w:rPr>
                <w:rFonts w:cs="Arial"/>
                <w:sz w:val="20"/>
                <w:szCs w:val="20"/>
              </w:rPr>
              <w:t>31.8%</w:t>
            </w:r>
          </w:p>
        </w:tc>
        <w:tc>
          <w:tcPr>
            <w:tcW w:w="1405" w:type="dxa"/>
            <w:tcMar>
              <w:left w:w="28" w:type="dxa"/>
              <w:right w:w="28" w:type="dxa"/>
            </w:tcMar>
            <w:vAlign w:val="center"/>
          </w:tcPr>
          <w:p w14:paraId="38068A5A" w14:textId="77777777" w:rsidR="00CB792E" w:rsidRPr="007B1C60" w:rsidRDefault="00CB792E" w:rsidP="00650CCA">
            <w:pPr>
              <w:spacing w:line="240" w:lineRule="auto"/>
              <w:jc w:val="left"/>
              <w:rPr>
                <w:rFonts w:cs="Arial"/>
                <w:sz w:val="20"/>
                <w:szCs w:val="20"/>
              </w:rPr>
            </w:pPr>
            <w:r w:rsidRPr="007B1C60">
              <w:rPr>
                <w:rFonts w:cs="Arial"/>
                <w:sz w:val="20"/>
                <w:szCs w:val="20"/>
              </w:rPr>
              <w:t>28.9%</w:t>
            </w:r>
          </w:p>
        </w:tc>
      </w:tr>
      <w:tr w:rsidR="00CB792E" w:rsidRPr="007B1C60" w14:paraId="38162C9C" w14:textId="77777777" w:rsidTr="00650CCA">
        <w:trPr>
          <w:trHeight w:val="284"/>
        </w:trPr>
        <w:tc>
          <w:tcPr>
            <w:tcW w:w="1980" w:type="dxa"/>
            <w:tcMar>
              <w:left w:w="28" w:type="dxa"/>
              <w:right w:w="28" w:type="dxa"/>
            </w:tcMar>
            <w:vAlign w:val="center"/>
          </w:tcPr>
          <w:p w14:paraId="22BD39FB" w14:textId="77777777" w:rsidR="00CB792E" w:rsidRPr="007B1C60" w:rsidRDefault="00CB792E" w:rsidP="00650CCA">
            <w:pPr>
              <w:spacing w:line="240" w:lineRule="auto"/>
              <w:jc w:val="left"/>
              <w:rPr>
                <w:rFonts w:cs="Arial"/>
                <w:b/>
                <w:sz w:val="20"/>
                <w:szCs w:val="20"/>
              </w:rPr>
            </w:pPr>
            <w:r w:rsidRPr="007B1C60">
              <w:rPr>
                <w:rFonts w:cs="Arial"/>
                <w:b/>
                <w:sz w:val="20"/>
                <w:szCs w:val="20"/>
              </w:rPr>
              <w:t>Any EBRT</w:t>
            </w:r>
          </w:p>
        </w:tc>
        <w:tc>
          <w:tcPr>
            <w:tcW w:w="1417" w:type="dxa"/>
            <w:tcMar>
              <w:left w:w="28" w:type="dxa"/>
              <w:right w:w="28" w:type="dxa"/>
            </w:tcMar>
            <w:vAlign w:val="center"/>
          </w:tcPr>
          <w:p w14:paraId="506608A8" w14:textId="77777777" w:rsidR="00CB792E" w:rsidRPr="007B1C60" w:rsidRDefault="00CB792E" w:rsidP="00650CCA">
            <w:pPr>
              <w:spacing w:line="240" w:lineRule="auto"/>
              <w:jc w:val="left"/>
              <w:rPr>
                <w:rFonts w:cs="Arial"/>
                <w:sz w:val="20"/>
                <w:szCs w:val="20"/>
              </w:rPr>
            </w:pPr>
            <w:r w:rsidRPr="007B1C60">
              <w:rPr>
                <w:rFonts w:cs="Arial"/>
                <w:sz w:val="20"/>
                <w:szCs w:val="20"/>
              </w:rPr>
              <w:t>38.9%</w:t>
            </w:r>
          </w:p>
        </w:tc>
        <w:tc>
          <w:tcPr>
            <w:tcW w:w="1404" w:type="dxa"/>
            <w:tcMar>
              <w:left w:w="28" w:type="dxa"/>
              <w:right w:w="28" w:type="dxa"/>
            </w:tcMar>
            <w:vAlign w:val="center"/>
          </w:tcPr>
          <w:p w14:paraId="7566F0E4" w14:textId="77777777" w:rsidR="00CB792E" w:rsidRPr="007B1C60" w:rsidRDefault="00CB792E" w:rsidP="00650CCA">
            <w:pPr>
              <w:spacing w:line="240" w:lineRule="auto"/>
              <w:jc w:val="left"/>
              <w:rPr>
                <w:rFonts w:cs="Arial"/>
                <w:sz w:val="20"/>
                <w:szCs w:val="20"/>
              </w:rPr>
            </w:pPr>
            <w:r w:rsidRPr="007B1C60">
              <w:rPr>
                <w:rFonts w:cs="Arial"/>
                <w:sz w:val="20"/>
                <w:szCs w:val="20"/>
              </w:rPr>
              <w:t>37.5%</w:t>
            </w:r>
          </w:p>
        </w:tc>
        <w:tc>
          <w:tcPr>
            <w:tcW w:w="1405" w:type="dxa"/>
            <w:tcMar>
              <w:left w:w="28" w:type="dxa"/>
              <w:right w:w="28" w:type="dxa"/>
            </w:tcMar>
            <w:vAlign w:val="center"/>
          </w:tcPr>
          <w:p w14:paraId="09344F32" w14:textId="77777777" w:rsidR="00CB792E" w:rsidRPr="007B1C60" w:rsidRDefault="00CB792E" w:rsidP="00650CCA">
            <w:pPr>
              <w:spacing w:line="240" w:lineRule="auto"/>
              <w:jc w:val="left"/>
              <w:rPr>
                <w:rFonts w:cs="Arial"/>
                <w:sz w:val="20"/>
                <w:szCs w:val="20"/>
              </w:rPr>
            </w:pPr>
            <w:r w:rsidRPr="007B1C60">
              <w:rPr>
                <w:rFonts w:cs="Arial"/>
                <w:sz w:val="20"/>
                <w:szCs w:val="20"/>
              </w:rPr>
              <w:t>40.4%</w:t>
            </w:r>
          </w:p>
        </w:tc>
        <w:tc>
          <w:tcPr>
            <w:tcW w:w="1405" w:type="dxa"/>
            <w:tcMar>
              <w:left w:w="28" w:type="dxa"/>
              <w:right w:w="28" w:type="dxa"/>
            </w:tcMar>
            <w:vAlign w:val="center"/>
          </w:tcPr>
          <w:p w14:paraId="36CEE816" w14:textId="77777777" w:rsidR="00CB792E" w:rsidRPr="007B1C60" w:rsidRDefault="00CB792E" w:rsidP="00650CCA">
            <w:pPr>
              <w:spacing w:line="240" w:lineRule="auto"/>
              <w:jc w:val="left"/>
              <w:rPr>
                <w:rFonts w:cs="Arial"/>
                <w:sz w:val="20"/>
                <w:szCs w:val="20"/>
              </w:rPr>
            </w:pPr>
            <w:r w:rsidRPr="007B1C60">
              <w:rPr>
                <w:rFonts w:cs="Arial"/>
                <w:sz w:val="20"/>
                <w:szCs w:val="20"/>
              </w:rPr>
              <w:t>35.6%</w:t>
            </w:r>
          </w:p>
        </w:tc>
        <w:tc>
          <w:tcPr>
            <w:tcW w:w="1405" w:type="dxa"/>
            <w:tcMar>
              <w:left w:w="28" w:type="dxa"/>
              <w:right w:w="28" w:type="dxa"/>
            </w:tcMar>
            <w:vAlign w:val="center"/>
          </w:tcPr>
          <w:p w14:paraId="3AAA734D" w14:textId="77777777" w:rsidR="00CB792E" w:rsidRPr="007B1C60" w:rsidRDefault="00CB792E" w:rsidP="00650CCA">
            <w:pPr>
              <w:spacing w:line="240" w:lineRule="auto"/>
              <w:jc w:val="left"/>
              <w:rPr>
                <w:rFonts w:cs="Arial"/>
                <w:sz w:val="20"/>
                <w:szCs w:val="20"/>
              </w:rPr>
            </w:pPr>
            <w:r w:rsidRPr="007B1C60">
              <w:rPr>
                <w:rFonts w:cs="Arial"/>
                <w:sz w:val="20"/>
                <w:szCs w:val="20"/>
              </w:rPr>
              <w:t>32.5%</w:t>
            </w:r>
          </w:p>
        </w:tc>
      </w:tr>
      <w:tr w:rsidR="00CB792E" w:rsidRPr="007B1C60" w14:paraId="0C7016A0" w14:textId="77777777" w:rsidTr="00650CCA">
        <w:trPr>
          <w:trHeight w:val="284"/>
        </w:trPr>
        <w:tc>
          <w:tcPr>
            <w:tcW w:w="1980" w:type="dxa"/>
            <w:tcMar>
              <w:left w:w="28" w:type="dxa"/>
              <w:right w:w="28" w:type="dxa"/>
            </w:tcMar>
            <w:vAlign w:val="center"/>
          </w:tcPr>
          <w:p w14:paraId="45BA3C21"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Any </w:t>
            </w:r>
            <w:r>
              <w:rPr>
                <w:rFonts w:cs="Arial"/>
                <w:b/>
                <w:sz w:val="20"/>
                <w:szCs w:val="20"/>
              </w:rPr>
              <w:t>b</w:t>
            </w:r>
            <w:r w:rsidRPr="007B1C60">
              <w:rPr>
                <w:rFonts w:cs="Arial"/>
                <w:b/>
                <w:sz w:val="20"/>
                <w:szCs w:val="20"/>
              </w:rPr>
              <w:t>rachytherapy</w:t>
            </w:r>
          </w:p>
        </w:tc>
        <w:tc>
          <w:tcPr>
            <w:tcW w:w="1417" w:type="dxa"/>
            <w:tcMar>
              <w:left w:w="28" w:type="dxa"/>
              <w:right w:w="28" w:type="dxa"/>
            </w:tcMar>
            <w:vAlign w:val="center"/>
          </w:tcPr>
          <w:p w14:paraId="14A1A791" w14:textId="77777777" w:rsidR="00CB792E" w:rsidRPr="007B1C60" w:rsidRDefault="00CB792E" w:rsidP="00650CCA">
            <w:pPr>
              <w:spacing w:line="240" w:lineRule="auto"/>
              <w:jc w:val="left"/>
              <w:rPr>
                <w:rFonts w:cs="Arial"/>
                <w:sz w:val="20"/>
                <w:szCs w:val="20"/>
              </w:rPr>
            </w:pPr>
            <w:r w:rsidRPr="007B1C60">
              <w:rPr>
                <w:rFonts w:cs="Arial"/>
                <w:sz w:val="20"/>
                <w:szCs w:val="20"/>
              </w:rPr>
              <w:t>8.6%</w:t>
            </w:r>
          </w:p>
        </w:tc>
        <w:tc>
          <w:tcPr>
            <w:tcW w:w="1404" w:type="dxa"/>
            <w:tcMar>
              <w:left w:w="28" w:type="dxa"/>
              <w:right w:w="28" w:type="dxa"/>
            </w:tcMar>
            <w:vAlign w:val="center"/>
          </w:tcPr>
          <w:p w14:paraId="18A61688" w14:textId="77777777" w:rsidR="00CB792E" w:rsidRPr="007B1C60" w:rsidRDefault="00CB792E" w:rsidP="00650CCA">
            <w:pPr>
              <w:spacing w:line="240" w:lineRule="auto"/>
              <w:jc w:val="left"/>
              <w:rPr>
                <w:rFonts w:cs="Arial"/>
                <w:sz w:val="20"/>
                <w:szCs w:val="20"/>
              </w:rPr>
            </w:pPr>
            <w:r w:rsidRPr="007B1C60">
              <w:rPr>
                <w:rFonts w:cs="Arial"/>
                <w:sz w:val="20"/>
                <w:szCs w:val="20"/>
              </w:rPr>
              <w:t>10.7%</w:t>
            </w:r>
          </w:p>
        </w:tc>
        <w:tc>
          <w:tcPr>
            <w:tcW w:w="1405" w:type="dxa"/>
            <w:tcMar>
              <w:left w:w="28" w:type="dxa"/>
              <w:right w:w="28" w:type="dxa"/>
            </w:tcMar>
            <w:vAlign w:val="center"/>
          </w:tcPr>
          <w:p w14:paraId="36BB235E" w14:textId="77777777" w:rsidR="00CB792E" w:rsidRPr="007B1C60" w:rsidRDefault="00CB792E" w:rsidP="00650CCA">
            <w:pPr>
              <w:spacing w:line="240" w:lineRule="auto"/>
              <w:jc w:val="left"/>
              <w:rPr>
                <w:rFonts w:cs="Arial"/>
                <w:sz w:val="20"/>
                <w:szCs w:val="20"/>
              </w:rPr>
            </w:pPr>
            <w:r w:rsidRPr="007B1C60">
              <w:rPr>
                <w:rFonts w:cs="Arial"/>
                <w:sz w:val="20"/>
                <w:szCs w:val="20"/>
              </w:rPr>
              <w:t>7.6%</w:t>
            </w:r>
          </w:p>
        </w:tc>
        <w:tc>
          <w:tcPr>
            <w:tcW w:w="1405" w:type="dxa"/>
            <w:tcMar>
              <w:left w:w="28" w:type="dxa"/>
              <w:right w:w="28" w:type="dxa"/>
            </w:tcMar>
            <w:vAlign w:val="center"/>
          </w:tcPr>
          <w:p w14:paraId="44489D52" w14:textId="77777777" w:rsidR="00CB792E" w:rsidRPr="007B1C60" w:rsidRDefault="00CB792E" w:rsidP="00650CCA">
            <w:pPr>
              <w:spacing w:line="240" w:lineRule="auto"/>
              <w:jc w:val="left"/>
              <w:rPr>
                <w:rFonts w:cs="Arial"/>
                <w:sz w:val="20"/>
                <w:szCs w:val="20"/>
              </w:rPr>
            </w:pPr>
            <w:r w:rsidRPr="007B1C60">
              <w:rPr>
                <w:rFonts w:cs="Arial"/>
                <w:sz w:val="20"/>
                <w:szCs w:val="20"/>
              </w:rPr>
              <w:t>7.7%</w:t>
            </w:r>
          </w:p>
        </w:tc>
        <w:tc>
          <w:tcPr>
            <w:tcW w:w="1405" w:type="dxa"/>
            <w:tcMar>
              <w:left w:w="28" w:type="dxa"/>
              <w:right w:w="28" w:type="dxa"/>
            </w:tcMar>
            <w:vAlign w:val="center"/>
          </w:tcPr>
          <w:p w14:paraId="30C83A44" w14:textId="77777777" w:rsidR="00CB792E" w:rsidRPr="007B1C60" w:rsidRDefault="00CB792E" w:rsidP="00650CCA">
            <w:pPr>
              <w:spacing w:line="240" w:lineRule="auto"/>
              <w:jc w:val="left"/>
              <w:rPr>
                <w:rFonts w:cs="Arial"/>
                <w:sz w:val="20"/>
                <w:szCs w:val="20"/>
              </w:rPr>
            </w:pPr>
            <w:r w:rsidRPr="007B1C60">
              <w:rPr>
                <w:rFonts w:cs="Arial"/>
                <w:sz w:val="20"/>
                <w:szCs w:val="20"/>
              </w:rPr>
              <w:t>9.2%</w:t>
            </w:r>
          </w:p>
        </w:tc>
      </w:tr>
      <w:tr w:rsidR="00CB792E" w:rsidRPr="007B1C60" w14:paraId="569B0CE2" w14:textId="77777777" w:rsidTr="00650CCA">
        <w:trPr>
          <w:trHeight w:val="284"/>
        </w:trPr>
        <w:tc>
          <w:tcPr>
            <w:tcW w:w="1980" w:type="dxa"/>
            <w:tcMar>
              <w:left w:w="28" w:type="dxa"/>
              <w:right w:w="28" w:type="dxa"/>
            </w:tcMar>
            <w:vAlign w:val="center"/>
          </w:tcPr>
          <w:p w14:paraId="4320BC63" w14:textId="77777777" w:rsidR="00CB792E" w:rsidRPr="007B1C60" w:rsidRDefault="00CB792E" w:rsidP="00650CCA">
            <w:pPr>
              <w:spacing w:line="240" w:lineRule="auto"/>
              <w:jc w:val="left"/>
              <w:rPr>
                <w:rFonts w:cs="Arial"/>
                <w:b/>
                <w:sz w:val="20"/>
                <w:szCs w:val="20"/>
              </w:rPr>
            </w:pPr>
            <w:r w:rsidRPr="007B1C60">
              <w:rPr>
                <w:rFonts w:cs="Arial"/>
                <w:b/>
                <w:sz w:val="20"/>
                <w:szCs w:val="20"/>
              </w:rPr>
              <w:t>Any ADT</w:t>
            </w:r>
          </w:p>
        </w:tc>
        <w:tc>
          <w:tcPr>
            <w:tcW w:w="1417" w:type="dxa"/>
            <w:tcMar>
              <w:left w:w="28" w:type="dxa"/>
              <w:right w:w="28" w:type="dxa"/>
            </w:tcMar>
            <w:vAlign w:val="center"/>
          </w:tcPr>
          <w:p w14:paraId="59E7E7A6" w14:textId="77777777" w:rsidR="00CB792E" w:rsidRPr="007B1C60" w:rsidRDefault="00CB792E" w:rsidP="00650CCA">
            <w:pPr>
              <w:spacing w:line="240" w:lineRule="auto"/>
              <w:jc w:val="left"/>
              <w:rPr>
                <w:rFonts w:cs="Arial"/>
                <w:sz w:val="20"/>
                <w:szCs w:val="20"/>
              </w:rPr>
            </w:pPr>
            <w:r w:rsidRPr="007B1C60">
              <w:rPr>
                <w:rFonts w:cs="Arial"/>
                <w:sz w:val="20"/>
                <w:szCs w:val="20"/>
              </w:rPr>
              <w:t>43.0%</w:t>
            </w:r>
          </w:p>
        </w:tc>
        <w:tc>
          <w:tcPr>
            <w:tcW w:w="1404" w:type="dxa"/>
            <w:tcMar>
              <w:left w:w="28" w:type="dxa"/>
              <w:right w:w="28" w:type="dxa"/>
            </w:tcMar>
            <w:vAlign w:val="center"/>
          </w:tcPr>
          <w:p w14:paraId="30AEA24C" w14:textId="77777777" w:rsidR="00CB792E" w:rsidRPr="007B1C60" w:rsidRDefault="00CB792E" w:rsidP="00650CCA">
            <w:pPr>
              <w:spacing w:line="240" w:lineRule="auto"/>
              <w:jc w:val="left"/>
              <w:rPr>
                <w:rFonts w:cs="Arial"/>
                <w:sz w:val="20"/>
                <w:szCs w:val="20"/>
              </w:rPr>
            </w:pPr>
            <w:r w:rsidRPr="007B1C60">
              <w:rPr>
                <w:rFonts w:cs="Arial"/>
                <w:sz w:val="20"/>
                <w:szCs w:val="20"/>
              </w:rPr>
              <w:t>37.0%</w:t>
            </w:r>
          </w:p>
        </w:tc>
        <w:tc>
          <w:tcPr>
            <w:tcW w:w="1405" w:type="dxa"/>
            <w:tcMar>
              <w:left w:w="28" w:type="dxa"/>
              <w:right w:w="28" w:type="dxa"/>
            </w:tcMar>
            <w:vAlign w:val="center"/>
          </w:tcPr>
          <w:p w14:paraId="36951307" w14:textId="77777777" w:rsidR="00CB792E" w:rsidRPr="007B1C60" w:rsidRDefault="00CB792E" w:rsidP="00650CCA">
            <w:pPr>
              <w:spacing w:line="240" w:lineRule="auto"/>
              <w:jc w:val="left"/>
              <w:rPr>
                <w:rFonts w:cs="Arial"/>
                <w:sz w:val="20"/>
                <w:szCs w:val="20"/>
              </w:rPr>
            </w:pPr>
            <w:r w:rsidRPr="007B1C60">
              <w:rPr>
                <w:rFonts w:cs="Arial"/>
                <w:sz w:val="20"/>
                <w:szCs w:val="20"/>
              </w:rPr>
              <w:t>46.6%</w:t>
            </w:r>
          </w:p>
        </w:tc>
        <w:tc>
          <w:tcPr>
            <w:tcW w:w="1405" w:type="dxa"/>
            <w:tcMar>
              <w:left w:w="28" w:type="dxa"/>
              <w:right w:w="28" w:type="dxa"/>
            </w:tcMar>
            <w:vAlign w:val="center"/>
          </w:tcPr>
          <w:p w14:paraId="1007D015" w14:textId="77777777" w:rsidR="00CB792E" w:rsidRPr="007B1C60" w:rsidRDefault="00CB792E" w:rsidP="00650CCA">
            <w:pPr>
              <w:spacing w:line="240" w:lineRule="auto"/>
              <w:jc w:val="left"/>
              <w:rPr>
                <w:rFonts w:cs="Arial"/>
                <w:sz w:val="20"/>
                <w:szCs w:val="20"/>
              </w:rPr>
            </w:pPr>
            <w:r w:rsidRPr="007B1C60">
              <w:rPr>
                <w:rFonts w:cs="Arial"/>
                <w:sz w:val="20"/>
                <w:szCs w:val="20"/>
              </w:rPr>
              <w:t>42.3%</w:t>
            </w:r>
          </w:p>
        </w:tc>
        <w:tc>
          <w:tcPr>
            <w:tcW w:w="1405" w:type="dxa"/>
            <w:tcMar>
              <w:left w:w="28" w:type="dxa"/>
              <w:right w:w="28" w:type="dxa"/>
            </w:tcMar>
            <w:vAlign w:val="center"/>
          </w:tcPr>
          <w:p w14:paraId="16C6759F" w14:textId="77777777" w:rsidR="00CB792E" w:rsidRPr="007B1C60" w:rsidRDefault="00CB792E" w:rsidP="00650CCA">
            <w:pPr>
              <w:spacing w:line="240" w:lineRule="auto"/>
              <w:jc w:val="left"/>
              <w:rPr>
                <w:rFonts w:cs="Arial"/>
                <w:sz w:val="20"/>
                <w:szCs w:val="20"/>
              </w:rPr>
            </w:pPr>
            <w:r w:rsidRPr="007B1C60">
              <w:rPr>
                <w:rFonts w:cs="Arial"/>
                <w:sz w:val="20"/>
                <w:szCs w:val="20"/>
              </w:rPr>
              <w:t>37.6%</w:t>
            </w:r>
          </w:p>
        </w:tc>
      </w:tr>
      <w:tr w:rsidR="00CB792E" w:rsidRPr="007B1C60" w14:paraId="5D7E8EA4" w14:textId="77777777" w:rsidTr="00650CCA">
        <w:trPr>
          <w:trHeight w:val="284"/>
        </w:trPr>
        <w:tc>
          <w:tcPr>
            <w:tcW w:w="1980" w:type="dxa"/>
            <w:tcMar>
              <w:left w:w="28" w:type="dxa"/>
              <w:right w:w="28" w:type="dxa"/>
            </w:tcMar>
            <w:vAlign w:val="center"/>
          </w:tcPr>
          <w:p w14:paraId="154A15D1" w14:textId="77777777" w:rsidR="00CB792E" w:rsidRPr="007B1C60" w:rsidRDefault="00CB792E" w:rsidP="00650CCA">
            <w:pPr>
              <w:spacing w:line="240" w:lineRule="auto"/>
              <w:jc w:val="left"/>
              <w:rPr>
                <w:rFonts w:cs="Arial"/>
                <w:b/>
                <w:sz w:val="20"/>
                <w:szCs w:val="20"/>
              </w:rPr>
            </w:pPr>
            <w:r>
              <w:rPr>
                <w:rFonts w:cs="Arial"/>
                <w:b/>
                <w:sz w:val="20"/>
                <w:szCs w:val="20"/>
              </w:rPr>
              <w:t>Any s</w:t>
            </w:r>
            <w:r w:rsidRPr="007B1C60">
              <w:rPr>
                <w:rFonts w:cs="Arial"/>
                <w:b/>
                <w:sz w:val="20"/>
                <w:szCs w:val="20"/>
              </w:rPr>
              <w:t>ystemic</w:t>
            </w:r>
          </w:p>
        </w:tc>
        <w:tc>
          <w:tcPr>
            <w:tcW w:w="1417" w:type="dxa"/>
            <w:tcMar>
              <w:left w:w="28" w:type="dxa"/>
              <w:right w:w="28" w:type="dxa"/>
            </w:tcMar>
            <w:vAlign w:val="center"/>
          </w:tcPr>
          <w:p w14:paraId="5633B2FD" w14:textId="77777777" w:rsidR="00CB792E" w:rsidRPr="007B1C60" w:rsidRDefault="00CB792E" w:rsidP="00650CCA">
            <w:pPr>
              <w:spacing w:line="240" w:lineRule="auto"/>
              <w:jc w:val="left"/>
              <w:rPr>
                <w:rFonts w:cs="Arial"/>
                <w:sz w:val="20"/>
                <w:szCs w:val="20"/>
              </w:rPr>
            </w:pPr>
            <w:r w:rsidRPr="007B1C60">
              <w:rPr>
                <w:rFonts w:cs="Arial"/>
                <w:sz w:val="20"/>
                <w:szCs w:val="20"/>
              </w:rPr>
              <w:t>5.0%</w:t>
            </w:r>
          </w:p>
        </w:tc>
        <w:tc>
          <w:tcPr>
            <w:tcW w:w="1404" w:type="dxa"/>
            <w:tcMar>
              <w:left w:w="28" w:type="dxa"/>
              <w:right w:w="28" w:type="dxa"/>
            </w:tcMar>
            <w:vAlign w:val="center"/>
          </w:tcPr>
          <w:p w14:paraId="1866795E" w14:textId="77777777" w:rsidR="00CB792E" w:rsidRPr="007B1C60" w:rsidRDefault="00CB792E" w:rsidP="00650CCA">
            <w:pPr>
              <w:spacing w:line="240" w:lineRule="auto"/>
              <w:jc w:val="left"/>
              <w:rPr>
                <w:rFonts w:cs="Arial"/>
                <w:sz w:val="20"/>
                <w:szCs w:val="20"/>
              </w:rPr>
            </w:pPr>
            <w:r w:rsidRPr="007B1C60">
              <w:rPr>
                <w:rFonts w:cs="Arial"/>
                <w:sz w:val="20"/>
                <w:szCs w:val="20"/>
              </w:rPr>
              <w:t>2.5%</w:t>
            </w:r>
          </w:p>
        </w:tc>
        <w:tc>
          <w:tcPr>
            <w:tcW w:w="1405" w:type="dxa"/>
            <w:tcMar>
              <w:left w:w="28" w:type="dxa"/>
              <w:right w:w="28" w:type="dxa"/>
            </w:tcMar>
            <w:vAlign w:val="center"/>
          </w:tcPr>
          <w:p w14:paraId="2E4ABC61" w14:textId="77777777" w:rsidR="00CB792E" w:rsidRPr="007B1C60" w:rsidRDefault="00CB792E" w:rsidP="00650CCA">
            <w:pPr>
              <w:spacing w:line="240" w:lineRule="auto"/>
              <w:jc w:val="left"/>
              <w:rPr>
                <w:rFonts w:cs="Arial"/>
                <w:sz w:val="20"/>
                <w:szCs w:val="20"/>
              </w:rPr>
            </w:pPr>
            <w:r w:rsidRPr="007B1C60">
              <w:rPr>
                <w:rFonts w:cs="Arial"/>
                <w:sz w:val="20"/>
                <w:szCs w:val="20"/>
              </w:rPr>
              <w:t>6.2%</w:t>
            </w:r>
          </w:p>
        </w:tc>
        <w:tc>
          <w:tcPr>
            <w:tcW w:w="1405" w:type="dxa"/>
            <w:tcMar>
              <w:left w:w="28" w:type="dxa"/>
              <w:right w:w="28" w:type="dxa"/>
            </w:tcMar>
            <w:vAlign w:val="center"/>
          </w:tcPr>
          <w:p w14:paraId="042995AE" w14:textId="77777777" w:rsidR="00CB792E" w:rsidRPr="007B1C60" w:rsidRDefault="00CB792E" w:rsidP="00650CCA">
            <w:pPr>
              <w:spacing w:line="240" w:lineRule="auto"/>
              <w:jc w:val="left"/>
              <w:rPr>
                <w:rFonts w:cs="Arial"/>
                <w:sz w:val="20"/>
                <w:szCs w:val="20"/>
              </w:rPr>
            </w:pPr>
            <w:r w:rsidRPr="007B1C60">
              <w:rPr>
                <w:rFonts w:cs="Arial"/>
                <w:sz w:val="20"/>
                <w:szCs w:val="20"/>
              </w:rPr>
              <w:t>5.7%</w:t>
            </w:r>
          </w:p>
        </w:tc>
        <w:tc>
          <w:tcPr>
            <w:tcW w:w="1405" w:type="dxa"/>
            <w:tcMar>
              <w:left w:w="28" w:type="dxa"/>
              <w:right w:w="28" w:type="dxa"/>
            </w:tcMar>
            <w:vAlign w:val="center"/>
          </w:tcPr>
          <w:p w14:paraId="4A5FEFC7" w14:textId="77777777" w:rsidR="00CB792E" w:rsidRPr="007B1C60" w:rsidRDefault="00CB792E" w:rsidP="00650CCA">
            <w:pPr>
              <w:spacing w:line="240" w:lineRule="auto"/>
              <w:jc w:val="left"/>
              <w:rPr>
                <w:rFonts w:cs="Arial"/>
                <w:sz w:val="20"/>
                <w:szCs w:val="20"/>
              </w:rPr>
            </w:pPr>
            <w:r w:rsidRPr="007B1C60">
              <w:rPr>
                <w:rFonts w:cs="Arial"/>
                <w:sz w:val="20"/>
                <w:szCs w:val="20"/>
              </w:rPr>
              <w:t>4.9%</w:t>
            </w:r>
          </w:p>
        </w:tc>
      </w:tr>
      <w:tr w:rsidR="00CB792E" w:rsidRPr="007B1C60" w14:paraId="4338EC47" w14:textId="77777777" w:rsidTr="00650CCA">
        <w:trPr>
          <w:trHeight w:val="284"/>
        </w:trPr>
        <w:tc>
          <w:tcPr>
            <w:tcW w:w="1980" w:type="dxa"/>
            <w:tcMar>
              <w:left w:w="28" w:type="dxa"/>
              <w:right w:w="28" w:type="dxa"/>
            </w:tcMar>
            <w:vAlign w:val="center"/>
          </w:tcPr>
          <w:p w14:paraId="5B331240" w14:textId="77777777" w:rsidR="00CB792E" w:rsidRPr="007B1C60" w:rsidRDefault="00CB792E" w:rsidP="00650CCA">
            <w:pPr>
              <w:spacing w:line="240" w:lineRule="auto"/>
              <w:jc w:val="left"/>
              <w:rPr>
                <w:rFonts w:cs="Arial"/>
                <w:b/>
                <w:sz w:val="20"/>
                <w:szCs w:val="20"/>
              </w:rPr>
            </w:pPr>
            <w:r w:rsidRPr="007B1C60">
              <w:rPr>
                <w:rFonts w:cs="Arial"/>
                <w:b/>
                <w:sz w:val="20"/>
                <w:szCs w:val="20"/>
              </w:rPr>
              <w:t>Any other</w:t>
            </w:r>
          </w:p>
        </w:tc>
        <w:tc>
          <w:tcPr>
            <w:tcW w:w="1417" w:type="dxa"/>
            <w:tcMar>
              <w:left w:w="28" w:type="dxa"/>
              <w:right w:w="28" w:type="dxa"/>
            </w:tcMar>
            <w:vAlign w:val="center"/>
          </w:tcPr>
          <w:p w14:paraId="515017F0" w14:textId="77777777" w:rsidR="00CB792E" w:rsidRPr="007B1C60" w:rsidRDefault="00CB792E" w:rsidP="00650CCA">
            <w:pPr>
              <w:spacing w:line="240" w:lineRule="auto"/>
              <w:jc w:val="left"/>
              <w:rPr>
                <w:rFonts w:cs="Arial"/>
                <w:sz w:val="20"/>
                <w:szCs w:val="20"/>
              </w:rPr>
            </w:pPr>
            <w:r w:rsidRPr="007B1C60">
              <w:rPr>
                <w:rFonts w:cs="Arial"/>
                <w:sz w:val="20"/>
                <w:szCs w:val="20"/>
              </w:rPr>
              <w:t>14.0%</w:t>
            </w:r>
          </w:p>
        </w:tc>
        <w:tc>
          <w:tcPr>
            <w:tcW w:w="1404" w:type="dxa"/>
            <w:tcMar>
              <w:left w:w="28" w:type="dxa"/>
              <w:right w:w="28" w:type="dxa"/>
            </w:tcMar>
            <w:vAlign w:val="center"/>
          </w:tcPr>
          <w:p w14:paraId="08B3213E" w14:textId="77777777" w:rsidR="00CB792E" w:rsidRPr="007B1C60" w:rsidRDefault="00CB792E" w:rsidP="00650CCA">
            <w:pPr>
              <w:spacing w:line="240" w:lineRule="auto"/>
              <w:jc w:val="left"/>
              <w:rPr>
                <w:rFonts w:cs="Arial"/>
                <w:sz w:val="20"/>
                <w:szCs w:val="20"/>
              </w:rPr>
            </w:pPr>
            <w:r w:rsidRPr="007B1C60">
              <w:rPr>
                <w:rFonts w:cs="Arial"/>
                <w:sz w:val="20"/>
                <w:szCs w:val="20"/>
              </w:rPr>
              <w:t>15.0%</w:t>
            </w:r>
          </w:p>
        </w:tc>
        <w:tc>
          <w:tcPr>
            <w:tcW w:w="1405" w:type="dxa"/>
            <w:tcMar>
              <w:left w:w="28" w:type="dxa"/>
              <w:right w:w="28" w:type="dxa"/>
            </w:tcMar>
            <w:vAlign w:val="center"/>
          </w:tcPr>
          <w:p w14:paraId="5B0EECD6" w14:textId="77777777" w:rsidR="00CB792E" w:rsidRPr="007B1C60" w:rsidRDefault="00CB792E" w:rsidP="00650CCA">
            <w:pPr>
              <w:spacing w:line="240" w:lineRule="auto"/>
              <w:jc w:val="left"/>
              <w:rPr>
                <w:rFonts w:cs="Arial"/>
                <w:sz w:val="20"/>
                <w:szCs w:val="20"/>
              </w:rPr>
            </w:pPr>
            <w:r w:rsidRPr="007B1C60">
              <w:rPr>
                <w:rFonts w:cs="Arial"/>
                <w:sz w:val="20"/>
                <w:szCs w:val="20"/>
              </w:rPr>
              <w:t>13.3%</w:t>
            </w:r>
          </w:p>
        </w:tc>
        <w:tc>
          <w:tcPr>
            <w:tcW w:w="1405" w:type="dxa"/>
            <w:tcMar>
              <w:left w:w="28" w:type="dxa"/>
              <w:right w:w="28" w:type="dxa"/>
            </w:tcMar>
            <w:vAlign w:val="center"/>
          </w:tcPr>
          <w:p w14:paraId="66A0B91D" w14:textId="77777777" w:rsidR="00CB792E" w:rsidRPr="007B1C60" w:rsidRDefault="00CB792E" w:rsidP="00650CCA">
            <w:pPr>
              <w:spacing w:line="240" w:lineRule="auto"/>
              <w:jc w:val="left"/>
              <w:rPr>
                <w:rFonts w:cs="Arial"/>
                <w:sz w:val="20"/>
                <w:szCs w:val="20"/>
              </w:rPr>
            </w:pPr>
            <w:r w:rsidRPr="007B1C60">
              <w:rPr>
                <w:rFonts w:cs="Arial"/>
                <w:sz w:val="20"/>
                <w:szCs w:val="20"/>
              </w:rPr>
              <w:t>12.4%</w:t>
            </w:r>
          </w:p>
        </w:tc>
        <w:tc>
          <w:tcPr>
            <w:tcW w:w="1405" w:type="dxa"/>
            <w:tcMar>
              <w:left w:w="28" w:type="dxa"/>
              <w:right w:w="28" w:type="dxa"/>
            </w:tcMar>
            <w:vAlign w:val="center"/>
          </w:tcPr>
          <w:p w14:paraId="3EEA728A" w14:textId="77777777" w:rsidR="00CB792E" w:rsidRPr="007B1C60" w:rsidRDefault="00CB792E" w:rsidP="00650CCA">
            <w:pPr>
              <w:spacing w:line="240" w:lineRule="auto"/>
              <w:jc w:val="left"/>
              <w:rPr>
                <w:rFonts w:cs="Arial"/>
                <w:sz w:val="20"/>
                <w:szCs w:val="20"/>
              </w:rPr>
            </w:pPr>
            <w:r w:rsidRPr="007B1C60">
              <w:rPr>
                <w:rFonts w:cs="Arial"/>
                <w:sz w:val="20"/>
                <w:szCs w:val="20"/>
              </w:rPr>
              <w:t>18.5%</w:t>
            </w:r>
          </w:p>
        </w:tc>
      </w:tr>
      <w:tr w:rsidR="00CB792E" w:rsidRPr="007B1C60" w14:paraId="0BC15F0C" w14:textId="77777777" w:rsidTr="00650CCA">
        <w:trPr>
          <w:trHeight w:val="284"/>
        </w:trPr>
        <w:tc>
          <w:tcPr>
            <w:tcW w:w="1980" w:type="dxa"/>
            <w:tcMar>
              <w:left w:w="28" w:type="dxa"/>
              <w:right w:w="28" w:type="dxa"/>
            </w:tcMar>
            <w:vAlign w:val="center"/>
          </w:tcPr>
          <w:p w14:paraId="79CD38F4" w14:textId="77777777" w:rsidR="00CB792E" w:rsidRPr="007B1C60" w:rsidRDefault="00CB792E" w:rsidP="00650CCA">
            <w:pPr>
              <w:spacing w:line="240" w:lineRule="auto"/>
              <w:jc w:val="left"/>
              <w:rPr>
                <w:rFonts w:cs="Arial"/>
                <w:b/>
                <w:sz w:val="20"/>
                <w:szCs w:val="20"/>
              </w:rPr>
            </w:pPr>
            <w:r w:rsidRPr="007B1C60">
              <w:rPr>
                <w:rFonts w:cs="Arial"/>
                <w:b/>
                <w:sz w:val="20"/>
                <w:szCs w:val="20"/>
              </w:rPr>
              <w:t>Monitoring only</w:t>
            </w:r>
          </w:p>
        </w:tc>
        <w:tc>
          <w:tcPr>
            <w:tcW w:w="1417" w:type="dxa"/>
            <w:tcMar>
              <w:left w:w="28" w:type="dxa"/>
              <w:right w:w="28" w:type="dxa"/>
            </w:tcMar>
            <w:vAlign w:val="center"/>
          </w:tcPr>
          <w:p w14:paraId="510EEEB0" w14:textId="77777777" w:rsidR="00CB792E" w:rsidRPr="007B1C60" w:rsidRDefault="00CB792E" w:rsidP="00650CCA">
            <w:pPr>
              <w:spacing w:line="240" w:lineRule="auto"/>
              <w:jc w:val="left"/>
              <w:rPr>
                <w:rFonts w:cs="Arial"/>
                <w:sz w:val="20"/>
                <w:szCs w:val="20"/>
              </w:rPr>
            </w:pPr>
            <w:r w:rsidRPr="007B1C60">
              <w:rPr>
                <w:rFonts w:cs="Arial"/>
                <w:sz w:val="20"/>
                <w:szCs w:val="20"/>
              </w:rPr>
              <w:t>16.8%</w:t>
            </w:r>
          </w:p>
        </w:tc>
        <w:tc>
          <w:tcPr>
            <w:tcW w:w="1404" w:type="dxa"/>
            <w:tcMar>
              <w:left w:w="28" w:type="dxa"/>
              <w:right w:w="28" w:type="dxa"/>
            </w:tcMar>
            <w:vAlign w:val="center"/>
          </w:tcPr>
          <w:p w14:paraId="44E7AE21" w14:textId="77777777" w:rsidR="00CB792E" w:rsidRPr="007B1C60" w:rsidRDefault="00CB792E" w:rsidP="00650CCA">
            <w:pPr>
              <w:spacing w:line="240" w:lineRule="auto"/>
              <w:jc w:val="left"/>
              <w:rPr>
                <w:rFonts w:cs="Arial"/>
                <w:sz w:val="20"/>
                <w:szCs w:val="20"/>
              </w:rPr>
            </w:pPr>
            <w:r w:rsidRPr="007B1C60">
              <w:rPr>
                <w:rFonts w:cs="Arial"/>
                <w:sz w:val="20"/>
                <w:szCs w:val="20"/>
              </w:rPr>
              <w:t>18.1%</w:t>
            </w:r>
          </w:p>
        </w:tc>
        <w:tc>
          <w:tcPr>
            <w:tcW w:w="1405" w:type="dxa"/>
            <w:tcMar>
              <w:left w:w="28" w:type="dxa"/>
              <w:right w:w="28" w:type="dxa"/>
            </w:tcMar>
            <w:vAlign w:val="center"/>
          </w:tcPr>
          <w:p w14:paraId="070FF9D0" w14:textId="77777777" w:rsidR="00CB792E" w:rsidRPr="007B1C60" w:rsidRDefault="00CB792E" w:rsidP="00650CCA">
            <w:pPr>
              <w:spacing w:line="240" w:lineRule="auto"/>
              <w:jc w:val="left"/>
              <w:rPr>
                <w:rFonts w:cs="Arial"/>
                <w:sz w:val="20"/>
                <w:szCs w:val="20"/>
              </w:rPr>
            </w:pPr>
            <w:r w:rsidRPr="007B1C60">
              <w:rPr>
                <w:rFonts w:cs="Arial"/>
                <w:sz w:val="20"/>
                <w:szCs w:val="20"/>
              </w:rPr>
              <w:t>15.9%</w:t>
            </w:r>
          </w:p>
        </w:tc>
        <w:tc>
          <w:tcPr>
            <w:tcW w:w="1405" w:type="dxa"/>
            <w:tcMar>
              <w:left w:w="28" w:type="dxa"/>
              <w:right w:w="28" w:type="dxa"/>
            </w:tcMar>
            <w:vAlign w:val="center"/>
          </w:tcPr>
          <w:p w14:paraId="0AEF6187" w14:textId="77777777" w:rsidR="00CB792E" w:rsidRPr="007B1C60" w:rsidRDefault="00CB792E" w:rsidP="00650CCA">
            <w:pPr>
              <w:spacing w:line="240" w:lineRule="auto"/>
              <w:jc w:val="left"/>
              <w:rPr>
                <w:rFonts w:cs="Arial"/>
                <w:sz w:val="20"/>
                <w:szCs w:val="20"/>
              </w:rPr>
            </w:pPr>
            <w:r w:rsidRPr="007B1C60">
              <w:rPr>
                <w:rFonts w:cs="Arial"/>
                <w:sz w:val="20"/>
                <w:szCs w:val="20"/>
              </w:rPr>
              <w:t>17.3%</w:t>
            </w:r>
          </w:p>
        </w:tc>
        <w:tc>
          <w:tcPr>
            <w:tcW w:w="1405" w:type="dxa"/>
            <w:tcMar>
              <w:left w:w="28" w:type="dxa"/>
              <w:right w:w="28" w:type="dxa"/>
            </w:tcMar>
            <w:vAlign w:val="center"/>
          </w:tcPr>
          <w:p w14:paraId="1C7D3E07" w14:textId="77777777" w:rsidR="00CB792E" w:rsidRPr="007B1C60" w:rsidRDefault="00CB792E" w:rsidP="00650CCA">
            <w:pPr>
              <w:spacing w:line="240" w:lineRule="auto"/>
              <w:jc w:val="left"/>
              <w:rPr>
                <w:rFonts w:cs="Arial"/>
                <w:sz w:val="20"/>
                <w:szCs w:val="20"/>
              </w:rPr>
            </w:pPr>
            <w:r w:rsidRPr="007B1C60">
              <w:rPr>
                <w:rFonts w:cs="Arial"/>
                <w:sz w:val="20"/>
                <w:szCs w:val="20"/>
              </w:rPr>
              <w:t>20.2%</w:t>
            </w:r>
          </w:p>
        </w:tc>
      </w:tr>
    </w:tbl>
    <w:p w14:paraId="1468144C" w14:textId="77777777" w:rsidR="00CB792E" w:rsidRDefault="00CB792E" w:rsidP="00CB792E">
      <w:pPr>
        <w:spacing w:line="240" w:lineRule="auto"/>
        <w:rPr>
          <w:sz w:val="20"/>
          <w:szCs w:val="20"/>
        </w:rPr>
      </w:pPr>
    </w:p>
    <w:p w14:paraId="541A909C" w14:textId="77777777" w:rsidR="00CC0ED6" w:rsidRDefault="00CB792E" w:rsidP="004910ED">
      <w:pPr>
        <w:spacing w:line="240" w:lineRule="auto"/>
        <w:rPr>
          <w:sz w:val="20"/>
          <w:szCs w:val="20"/>
        </w:rPr>
      </w:pPr>
      <w:r w:rsidRPr="00B7357B">
        <w:rPr>
          <w:sz w:val="20"/>
          <w:szCs w:val="20"/>
        </w:rPr>
        <w:t>Notes:</w:t>
      </w:r>
    </w:p>
    <w:p w14:paraId="10B412C5" w14:textId="1A2A91EE" w:rsidR="004910ED" w:rsidRDefault="00CB792E" w:rsidP="004910ED">
      <w:pPr>
        <w:spacing w:line="240" w:lineRule="auto"/>
        <w:rPr>
          <w:sz w:val="20"/>
          <w:szCs w:val="20"/>
        </w:rPr>
      </w:pPr>
      <w:r w:rsidRPr="004910ED">
        <w:rPr>
          <w:sz w:val="20"/>
          <w:szCs w:val="20"/>
        </w:rPr>
        <w:t>(a)</w:t>
      </w:r>
      <w:r w:rsidRPr="004910ED">
        <w:rPr>
          <w:sz w:val="20"/>
          <w:szCs w:val="20"/>
        </w:rPr>
        <w:tab/>
        <w:t>Men may have more than one type of treatment.</w:t>
      </w:r>
    </w:p>
    <w:p w14:paraId="3948DC20" w14:textId="5504D8EF" w:rsidR="00F957C8" w:rsidRPr="004910ED" w:rsidRDefault="00F957C8" w:rsidP="00F957C8">
      <w:pPr>
        <w:spacing w:line="240" w:lineRule="auto"/>
        <w:jc w:val="left"/>
        <w:rPr>
          <w:sz w:val="20"/>
          <w:szCs w:val="20"/>
        </w:rPr>
      </w:pPr>
      <w:r w:rsidRPr="00B7357B">
        <w:rPr>
          <w:sz w:val="20"/>
          <w:szCs w:val="20"/>
        </w:rPr>
        <w:t>EBRT - External Bea</w:t>
      </w:r>
      <w:r>
        <w:rPr>
          <w:sz w:val="20"/>
          <w:szCs w:val="20"/>
        </w:rPr>
        <w:t>m Radiotherapy, ADT - Androgen Deprivation T</w:t>
      </w:r>
      <w:r w:rsidRPr="00B7357B">
        <w:rPr>
          <w:sz w:val="20"/>
          <w:szCs w:val="20"/>
        </w:rPr>
        <w:t>herapy, Systemic - Chemotherapy/</w:t>
      </w:r>
      <w:proofErr w:type="spellStart"/>
      <w:r w:rsidRPr="00B7357B">
        <w:rPr>
          <w:sz w:val="20"/>
          <w:szCs w:val="20"/>
        </w:rPr>
        <w:t>Abiraterone</w:t>
      </w:r>
      <w:proofErr w:type="spellEnd"/>
      <w:r w:rsidRPr="00B7357B">
        <w:rPr>
          <w:sz w:val="20"/>
          <w:szCs w:val="20"/>
        </w:rPr>
        <w:t>/</w:t>
      </w:r>
      <w:proofErr w:type="spellStart"/>
      <w:r w:rsidRPr="00B7357B">
        <w:rPr>
          <w:sz w:val="20"/>
          <w:szCs w:val="20"/>
        </w:rPr>
        <w:t>Enzalutamide</w:t>
      </w:r>
      <w:proofErr w:type="spellEnd"/>
      <w:r>
        <w:rPr>
          <w:sz w:val="20"/>
          <w:szCs w:val="20"/>
        </w:rPr>
        <w:t>.</w:t>
      </w:r>
    </w:p>
    <w:p w14:paraId="421836AC" w14:textId="4D0869DA" w:rsidR="004910ED" w:rsidRPr="004910ED" w:rsidRDefault="004910ED" w:rsidP="004910ED">
      <w:pPr>
        <w:pStyle w:val="ListParagraph"/>
        <w:spacing w:line="240" w:lineRule="auto"/>
        <w:ind w:left="0"/>
        <w:rPr>
          <w:sz w:val="20"/>
          <w:szCs w:val="20"/>
        </w:rPr>
      </w:pPr>
      <w:r w:rsidRPr="004910ED">
        <w:rPr>
          <w:sz w:val="20"/>
          <w:szCs w:val="20"/>
        </w:rPr>
        <w:t>Additional respondent characteristics are available in supplementary table 2</w:t>
      </w:r>
      <w:r>
        <w:rPr>
          <w:sz w:val="20"/>
          <w:szCs w:val="20"/>
        </w:rPr>
        <w:t>.</w:t>
      </w:r>
    </w:p>
    <w:p w14:paraId="5D43792C" w14:textId="77777777" w:rsidR="00CB792E" w:rsidRDefault="00CB792E" w:rsidP="00CB792E"/>
    <w:p w14:paraId="008C7E21" w14:textId="77777777" w:rsidR="00CB792E" w:rsidRDefault="00CB792E" w:rsidP="00CB792E">
      <w:r>
        <w:t xml:space="preserve"> </w:t>
      </w:r>
    </w:p>
    <w:p w14:paraId="28CF761B" w14:textId="77777777" w:rsidR="00CB792E" w:rsidRDefault="00CB792E" w:rsidP="00CB792E">
      <w:pPr>
        <w:sectPr w:rsidR="00CB792E" w:rsidSect="00376C02">
          <w:pgSz w:w="11906" w:h="16838"/>
          <w:pgMar w:top="1440" w:right="1440" w:bottom="1440" w:left="1440" w:header="709" w:footer="709" w:gutter="0"/>
          <w:cols w:space="708"/>
          <w:docGrid w:linePitch="360"/>
        </w:sectPr>
      </w:pPr>
    </w:p>
    <w:p w14:paraId="39F2B38A" w14:textId="77777777" w:rsidR="00CB792E" w:rsidRDefault="00CB792E" w:rsidP="00592654">
      <w:pPr>
        <w:pStyle w:val="Heading3"/>
        <w:rPr>
          <w:vertAlign w:val="superscript"/>
        </w:rPr>
      </w:pPr>
      <w:r>
        <w:lastRenderedPageBreak/>
        <w:t>Table 2: Age, stage, Gleason score and treatment received for PSA-detected compared to symptomatic prostate cancer survivors</w:t>
      </w:r>
      <w:r w:rsidRPr="00B7357B">
        <w:rPr>
          <w:vertAlign w:val="superscript"/>
        </w:rPr>
        <w:t>#</w:t>
      </w:r>
    </w:p>
    <w:p w14:paraId="2EDE9049" w14:textId="77777777" w:rsidR="00592654" w:rsidRPr="00592654" w:rsidRDefault="00592654" w:rsidP="00592654">
      <w:pPr>
        <w:pStyle w:val="NoSpacing"/>
      </w:pPr>
    </w:p>
    <w:tbl>
      <w:tblPr>
        <w:tblStyle w:val="TableGrid"/>
        <w:tblW w:w="0" w:type="auto"/>
        <w:tblLayout w:type="fixed"/>
        <w:tblLook w:val="04A0" w:firstRow="1" w:lastRow="0" w:firstColumn="1" w:lastColumn="0" w:noHBand="0" w:noVBand="1"/>
      </w:tblPr>
      <w:tblGrid>
        <w:gridCol w:w="2254"/>
        <w:gridCol w:w="1989"/>
        <w:gridCol w:w="1989"/>
        <w:gridCol w:w="2784"/>
      </w:tblGrid>
      <w:tr w:rsidR="00CB792E" w:rsidRPr="007B1C60" w14:paraId="45D5E97A" w14:textId="77777777" w:rsidTr="003A5A3D">
        <w:trPr>
          <w:trHeight w:val="284"/>
        </w:trPr>
        <w:tc>
          <w:tcPr>
            <w:tcW w:w="2254" w:type="dxa"/>
            <w:tcMar>
              <w:left w:w="28" w:type="dxa"/>
              <w:right w:w="28" w:type="dxa"/>
            </w:tcMar>
            <w:vAlign w:val="center"/>
          </w:tcPr>
          <w:p w14:paraId="2B5205E8" w14:textId="77777777" w:rsidR="00CB792E" w:rsidRPr="007B1C60" w:rsidRDefault="00CB792E" w:rsidP="00650CCA">
            <w:pPr>
              <w:spacing w:line="240" w:lineRule="auto"/>
              <w:rPr>
                <w:rFonts w:cs="Arial"/>
                <w:b/>
                <w:sz w:val="20"/>
                <w:szCs w:val="20"/>
              </w:rPr>
            </w:pPr>
            <w:r w:rsidRPr="007B1C60">
              <w:rPr>
                <w:rFonts w:cs="Arial"/>
                <w:b/>
                <w:sz w:val="20"/>
                <w:szCs w:val="20"/>
              </w:rPr>
              <w:t xml:space="preserve">Respondent characteristics </w:t>
            </w:r>
          </w:p>
          <w:p w14:paraId="04B95067" w14:textId="77777777" w:rsidR="00CB792E" w:rsidRPr="007B1C60" w:rsidRDefault="00CB792E" w:rsidP="00650CCA">
            <w:pPr>
              <w:spacing w:line="240" w:lineRule="auto"/>
              <w:jc w:val="left"/>
              <w:rPr>
                <w:rFonts w:cs="Arial"/>
                <w:b/>
                <w:sz w:val="20"/>
                <w:szCs w:val="20"/>
              </w:rPr>
            </w:pPr>
          </w:p>
        </w:tc>
        <w:tc>
          <w:tcPr>
            <w:tcW w:w="1989" w:type="dxa"/>
            <w:tcMar>
              <w:left w:w="28" w:type="dxa"/>
              <w:right w:w="28" w:type="dxa"/>
            </w:tcMar>
            <w:vAlign w:val="center"/>
          </w:tcPr>
          <w:p w14:paraId="544E3EF5" w14:textId="77777777" w:rsidR="00CB792E" w:rsidRDefault="00CB792E" w:rsidP="00650CCA">
            <w:pPr>
              <w:spacing w:line="240" w:lineRule="auto"/>
              <w:jc w:val="left"/>
              <w:rPr>
                <w:rFonts w:cs="Arial"/>
                <w:b/>
                <w:sz w:val="20"/>
                <w:szCs w:val="20"/>
              </w:rPr>
            </w:pPr>
            <w:r w:rsidRPr="007B1C60">
              <w:rPr>
                <w:rFonts w:cs="Arial"/>
                <w:b/>
                <w:sz w:val="20"/>
                <w:szCs w:val="20"/>
              </w:rPr>
              <w:t xml:space="preserve">Proportion PSA-detected </w:t>
            </w:r>
            <w:r w:rsidRPr="007B1C60">
              <w:rPr>
                <w:rFonts w:cs="Arial"/>
                <w:b/>
                <w:sz w:val="20"/>
                <w:szCs w:val="20"/>
                <w:vertAlign w:val="superscript"/>
              </w:rPr>
              <w:t>a</w:t>
            </w:r>
          </w:p>
          <w:p w14:paraId="58D2180A" w14:textId="77777777" w:rsidR="00CB792E" w:rsidRPr="007B1C60" w:rsidRDefault="00CB792E" w:rsidP="00650CCA">
            <w:pPr>
              <w:spacing w:line="240" w:lineRule="auto"/>
              <w:jc w:val="left"/>
              <w:rPr>
                <w:rFonts w:cs="Arial"/>
                <w:b/>
                <w:sz w:val="20"/>
                <w:szCs w:val="20"/>
              </w:rPr>
            </w:pPr>
            <w:r w:rsidRPr="007B1C60">
              <w:rPr>
                <w:rFonts w:cs="Arial"/>
                <w:b/>
                <w:sz w:val="20"/>
                <w:szCs w:val="20"/>
              </w:rPr>
              <w:t>(n= 11,210)</w:t>
            </w:r>
            <w:r w:rsidRPr="007B1C60">
              <w:rPr>
                <w:rFonts w:cs="Arial"/>
                <w:b/>
                <w:sz w:val="20"/>
                <w:szCs w:val="20"/>
              </w:rPr>
              <w:tab/>
            </w:r>
          </w:p>
        </w:tc>
        <w:tc>
          <w:tcPr>
            <w:tcW w:w="1989" w:type="dxa"/>
            <w:tcMar>
              <w:left w:w="28" w:type="dxa"/>
              <w:right w:w="28" w:type="dxa"/>
            </w:tcMar>
            <w:vAlign w:val="center"/>
          </w:tcPr>
          <w:p w14:paraId="0EF12C13" w14:textId="77777777" w:rsidR="00CB792E" w:rsidRDefault="00CB792E" w:rsidP="00650CCA">
            <w:pPr>
              <w:spacing w:line="240" w:lineRule="auto"/>
              <w:jc w:val="left"/>
              <w:rPr>
                <w:rFonts w:cs="Arial"/>
                <w:b/>
                <w:sz w:val="20"/>
                <w:szCs w:val="20"/>
              </w:rPr>
            </w:pPr>
            <w:r w:rsidRPr="007B1C60">
              <w:rPr>
                <w:rFonts w:cs="Arial"/>
                <w:b/>
                <w:sz w:val="20"/>
                <w:szCs w:val="20"/>
              </w:rPr>
              <w:t xml:space="preserve">Proportion symptomatic </w:t>
            </w:r>
            <w:r w:rsidRPr="007B1C60">
              <w:rPr>
                <w:rFonts w:cs="Arial"/>
                <w:b/>
                <w:sz w:val="20"/>
                <w:szCs w:val="20"/>
                <w:vertAlign w:val="superscript"/>
              </w:rPr>
              <w:t>a</w:t>
            </w:r>
          </w:p>
          <w:p w14:paraId="553492B8" w14:textId="77777777" w:rsidR="00CB792E" w:rsidRPr="007B1C60" w:rsidRDefault="00CB792E" w:rsidP="00650CCA">
            <w:pPr>
              <w:spacing w:line="240" w:lineRule="auto"/>
              <w:jc w:val="left"/>
              <w:rPr>
                <w:rFonts w:cs="Arial"/>
                <w:b/>
                <w:sz w:val="20"/>
                <w:szCs w:val="20"/>
              </w:rPr>
            </w:pPr>
            <w:r w:rsidRPr="007B1C60">
              <w:rPr>
                <w:rFonts w:cs="Arial"/>
                <w:b/>
                <w:sz w:val="20"/>
                <w:szCs w:val="20"/>
              </w:rPr>
              <w:t>(n=21,378)</w:t>
            </w:r>
          </w:p>
        </w:tc>
        <w:tc>
          <w:tcPr>
            <w:tcW w:w="2784" w:type="dxa"/>
            <w:tcMar>
              <w:left w:w="28" w:type="dxa"/>
              <w:right w:w="28" w:type="dxa"/>
            </w:tcMar>
            <w:vAlign w:val="center"/>
          </w:tcPr>
          <w:p w14:paraId="5CED7110" w14:textId="77777777" w:rsidR="00CB792E" w:rsidRDefault="003A5A3D" w:rsidP="00650CCA">
            <w:pPr>
              <w:spacing w:line="240" w:lineRule="auto"/>
              <w:jc w:val="left"/>
              <w:rPr>
                <w:rFonts w:cs="Arial"/>
                <w:b/>
                <w:sz w:val="20"/>
                <w:szCs w:val="20"/>
              </w:rPr>
            </w:pPr>
            <w:r>
              <w:rPr>
                <w:rFonts w:cs="Arial"/>
                <w:b/>
                <w:sz w:val="20"/>
                <w:szCs w:val="20"/>
              </w:rPr>
              <w:t>Adjusted odds ratio (95% CI) of being s</w:t>
            </w:r>
            <w:r w:rsidR="00CB792E" w:rsidRPr="007B1C60">
              <w:rPr>
                <w:rFonts w:cs="Arial"/>
                <w:b/>
                <w:sz w:val="20"/>
                <w:szCs w:val="20"/>
              </w:rPr>
              <w:t xml:space="preserve">ymptomatic </w:t>
            </w:r>
            <w:r>
              <w:rPr>
                <w:rFonts w:cs="Arial"/>
                <w:b/>
                <w:sz w:val="20"/>
                <w:szCs w:val="20"/>
              </w:rPr>
              <w:t>compared to</w:t>
            </w:r>
            <w:r w:rsidR="00CB792E" w:rsidRPr="007B1C60">
              <w:rPr>
                <w:rFonts w:cs="Arial"/>
                <w:b/>
                <w:sz w:val="20"/>
                <w:szCs w:val="20"/>
              </w:rPr>
              <w:t xml:space="preserve"> PSA-detected </w:t>
            </w:r>
            <w:r w:rsidR="00CB792E" w:rsidRPr="007B1C60">
              <w:rPr>
                <w:rFonts w:cs="Arial"/>
                <w:b/>
                <w:sz w:val="20"/>
                <w:szCs w:val="20"/>
                <w:vertAlign w:val="superscript"/>
              </w:rPr>
              <w:t>b</w:t>
            </w:r>
          </w:p>
          <w:p w14:paraId="1C1752F3" w14:textId="77777777" w:rsidR="00CB792E" w:rsidRPr="007B1C60" w:rsidRDefault="00CB792E" w:rsidP="00650CCA">
            <w:pPr>
              <w:spacing w:line="240" w:lineRule="auto"/>
              <w:jc w:val="left"/>
              <w:rPr>
                <w:rFonts w:cs="Arial"/>
                <w:b/>
                <w:sz w:val="20"/>
                <w:szCs w:val="20"/>
              </w:rPr>
            </w:pPr>
            <w:r w:rsidRPr="007B1C60">
              <w:rPr>
                <w:rFonts w:cs="Arial"/>
                <w:b/>
                <w:sz w:val="20"/>
                <w:szCs w:val="20"/>
              </w:rPr>
              <w:t>(n=32,588)</w:t>
            </w:r>
          </w:p>
        </w:tc>
      </w:tr>
      <w:tr w:rsidR="00CB792E" w:rsidRPr="007B1C60" w14:paraId="21F34188" w14:textId="77777777" w:rsidTr="003A5A3D">
        <w:trPr>
          <w:trHeight w:val="284"/>
        </w:trPr>
        <w:tc>
          <w:tcPr>
            <w:tcW w:w="2254" w:type="dxa"/>
            <w:tcMar>
              <w:left w:w="28" w:type="dxa"/>
              <w:right w:w="28" w:type="dxa"/>
            </w:tcMar>
            <w:vAlign w:val="center"/>
          </w:tcPr>
          <w:p w14:paraId="3A6AC5D0" w14:textId="1A84E281" w:rsidR="00CB792E" w:rsidRPr="007B1C60" w:rsidRDefault="00CB792E" w:rsidP="00237037">
            <w:pPr>
              <w:spacing w:line="240" w:lineRule="auto"/>
              <w:jc w:val="left"/>
              <w:rPr>
                <w:rFonts w:cs="Arial"/>
                <w:b/>
                <w:sz w:val="20"/>
                <w:szCs w:val="20"/>
              </w:rPr>
            </w:pPr>
            <w:r w:rsidRPr="007B1C60">
              <w:rPr>
                <w:rFonts w:cs="Arial"/>
                <w:b/>
                <w:sz w:val="20"/>
                <w:szCs w:val="20"/>
              </w:rPr>
              <w:t>All respondents (n=</w:t>
            </w:r>
            <w:r w:rsidR="00237037">
              <w:rPr>
                <w:rFonts w:cs="Arial"/>
                <w:b/>
                <w:sz w:val="20"/>
                <w:szCs w:val="20"/>
              </w:rPr>
              <w:t>32,588</w:t>
            </w:r>
            <w:r w:rsidRPr="007B1C60">
              <w:rPr>
                <w:rFonts w:cs="Arial"/>
                <w:b/>
                <w:sz w:val="20"/>
                <w:szCs w:val="20"/>
              </w:rPr>
              <w:t>)</w:t>
            </w:r>
          </w:p>
        </w:tc>
        <w:tc>
          <w:tcPr>
            <w:tcW w:w="1989" w:type="dxa"/>
            <w:tcMar>
              <w:left w:w="28" w:type="dxa"/>
              <w:right w:w="28" w:type="dxa"/>
            </w:tcMar>
            <w:vAlign w:val="center"/>
          </w:tcPr>
          <w:p w14:paraId="2D3383E5" w14:textId="77777777" w:rsidR="00CB792E" w:rsidRPr="007B1C60" w:rsidRDefault="00CB792E" w:rsidP="00650CCA">
            <w:pPr>
              <w:spacing w:line="240" w:lineRule="auto"/>
              <w:jc w:val="left"/>
              <w:rPr>
                <w:rFonts w:cs="Arial"/>
                <w:sz w:val="20"/>
                <w:szCs w:val="20"/>
              </w:rPr>
            </w:pPr>
            <w:r w:rsidRPr="007B1C60">
              <w:rPr>
                <w:rFonts w:cs="Arial"/>
                <w:sz w:val="20"/>
                <w:szCs w:val="20"/>
              </w:rPr>
              <w:t>34.4%</w:t>
            </w:r>
          </w:p>
        </w:tc>
        <w:tc>
          <w:tcPr>
            <w:tcW w:w="1989" w:type="dxa"/>
            <w:tcMar>
              <w:left w:w="28" w:type="dxa"/>
              <w:right w:w="28" w:type="dxa"/>
            </w:tcMar>
            <w:vAlign w:val="center"/>
          </w:tcPr>
          <w:p w14:paraId="2C57BF09" w14:textId="77777777" w:rsidR="00CB792E" w:rsidRPr="007B1C60" w:rsidRDefault="00CB792E" w:rsidP="00650CCA">
            <w:pPr>
              <w:spacing w:line="240" w:lineRule="auto"/>
              <w:jc w:val="left"/>
              <w:rPr>
                <w:rFonts w:cs="Arial"/>
                <w:sz w:val="20"/>
                <w:szCs w:val="20"/>
              </w:rPr>
            </w:pPr>
            <w:r w:rsidRPr="007B1C60">
              <w:rPr>
                <w:rFonts w:cs="Arial"/>
                <w:sz w:val="20"/>
                <w:szCs w:val="20"/>
              </w:rPr>
              <w:t>65.6%</w:t>
            </w:r>
          </w:p>
        </w:tc>
        <w:tc>
          <w:tcPr>
            <w:tcW w:w="2784" w:type="dxa"/>
            <w:tcMar>
              <w:left w:w="28" w:type="dxa"/>
              <w:right w:w="28" w:type="dxa"/>
            </w:tcMar>
            <w:vAlign w:val="center"/>
          </w:tcPr>
          <w:p w14:paraId="3D4883C0" w14:textId="77777777" w:rsidR="00CB792E" w:rsidRPr="007B1C60" w:rsidRDefault="00CB792E" w:rsidP="00650CCA">
            <w:pPr>
              <w:spacing w:line="240" w:lineRule="auto"/>
              <w:jc w:val="left"/>
              <w:rPr>
                <w:rFonts w:cs="Arial"/>
                <w:sz w:val="20"/>
                <w:szCs w:val="20"/>
              </w:rPr>
            </w:pPr>
            <w:r w:rsidRPr="007B1C60">
              <w:rPr>
                <w:rFonts w:cs="Arial"/>
                <w:sz w:val="20"/>
                <w:szCs w:val="20"/>
              </w:rPr>
              <w:t>-</w:t>
            </w:r>
          </w:p>
        </w:tc>
      </w:tr>
      <w:tr w:rsidR="00CB792E" w:rsidRPr="007B1C60" w14:paraId="23908B37" w14:textId="77777777" w:rsidTr="003A5A3D">
        <w:trPr>
          <w:trHeight w:val="284"/>
        </w:trPr>
        <w:tc>
          <w:tcPr>
            <w:tcW w:w="2254" w:type="dxa"/>
            <w:tcMar>
              <w:left w:w="28" w:type="dxa"/>
              <w:right w:w="28" w:type="dxa"/>
            </w:tcMar>
            <w:vAlign w:val="center"/>
          </w:tcPr>
          <w:p w14:paraId="0C25BDA6"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 </w:t>
            </w:r>
          </w:p>
        </w:tc>
        <w:tc>
          <w:tcPr>
            <w:tcW w:w="1989" w:type="dxa"/>
            <w:tcMar>
              <w:left w:w="28" w:type="dxa"/>
              <w:right w:w="28" w:type="dxa"/>
            </w:tcMar>
            <w:vAlign w:val="center"/>
          </w:tcPr>
          <w:p w14:paraId="1EE94879"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989" w:type="dxa"/>
            <w:tcMar>
              <w:left w:w="28" w:type="dxa"/>
              <w:right w:w="28" w:type="dxa"/>
            </w:tcMar>
            <w:vAlign w:val="center"/>
          </w:tcPr>
          <w:p w14:paraId="768E0226"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2784" w:type="dxa"/>
            <w:tcMar>
              <w:left w:w="28" w:type="dxa"/>
              <w:right w:w="28" w:type="dxa"/>
            </w:tcMar>
            <w:vAlign w:val="center"/>
          </w:tcPr>
          <w:p w14:paraId="40F574D9"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r>
      <w:tr w:rsidR="00CB792E" w:rsidRPr="007B1C60" w14:paraId="12D37378" w14:textId="77777777" w:rsidTr="003A5A3D">
        <w:trPr>
          <w:trHeight w:val="284"/>
        </w:trPr>
        <w:tc>
          <w:tcPr>
            <w:tcW w:w="2254" w:type="dxa"/>
            <w:tcMar>
              <w:left w:w="28" w:type="dxa"/>
              <w:right w:w="28" w:type="dxa"/>
            </w:tcMar>
            <w:vAlign w:val="center"/>
          </w:tcPr>
          <w:p w14:paraId="7B398369" w14:textId="77777777" w:rsidR="00CB792E" w:rsidRPr="007B1C60" w:rsidRDefault="00CB792E" w:rsidP="00650CCA">
            <w:pPr>
              <w:spacing w:line="240" w:lineRule="auto"/>
              <w:jc w:val="left"/>
              <w:rPr>
                <w:rFonts w:cs="Arial"/>
                <w:b/>
                <w:sz w:val="20"/>
                <w:szCs w:val="20"/>
              </w:rPr>
            </w:pPr>
            <w:r w:rsidRPr="007B1C60">
              <w:rPr>
                <w:rFonts w:cs="Arial"/>
                <w:b/>
                <w:sz w:val="20"/>
                <w:szCs w:val="20"/>
              </w:rPr>
              <w:t>Age at diagnosis</w:t>
            </w:r>
          </w:p>
        </w:tc>
        <w:tc>
          <w:tcPr>
            <w:tcW w:w="1989" w:type="dxa"/>
            <w:tcMar>
              <w:left w:w="28" w:type="dxa"/>
              <w:right w:w="28" w:type="dxa"/>
            </w:tcMar>
            <w:vAlign w:val="center"/>
          </w:tcPr>
          <w:p w14:paraId="68734974"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989" w:type="dxa"/>
            <w:tcMar>
              <w:left w:w="28" w:type="dxa"/>
              <w:right w:w="28" w:type="dxa"/>
            </w:tcMar>
            <w:vAlign w:val="center"/>
          </w:tcPr>
          <w:p w14:paraId="29D5E027"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2784" w:type="dxa"/>
            <w:tcMar>
              <w:left w:w="28" w:type="dxa"/>
              <w:right w:w="28" w:type="dxa"/>
            </w:tcMar>
            <w:vAlign w:val="center"/>
          </w:tcPr>
          <w:p w14:paraId="0D04F90F"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r>
      <w:tr w:rsidR="00CB792E" w:rsidRPr="007B1C60" w14:paraId="68FF7701" w14:textId="77777777" w:rsidTr="003A5A3D">
        <w:trPr>
          <w:trHeight w:val="284"/>
        </w:trPr>
        <w:tc>
          <w:tcPr>
            <w:tcW w:w="2254" w:type="dxa"/>
            <w:tcMar>
              <w:left w:w="28" w:type="dxa"/>
              <w:right w:w="28" w:type="dxa"/>
            </w:tcMar>
            <w:vAlign w:val="center"/>
          </w:tcPr>
          <w:p w14:paraId="55016CDA" w14:textId="77777777" w:rsidR="00CB792E" w:rsidRPr="007B1C60" w:rsidRDefault="00CB792E" w:rsidP="00650CCA">
            <w:pPr>
              <w:spacing w:line="240" w:lineRule="auto"/>
              <w:jc w:val="left"/>
              <w:rPr>
                <w:rFonts w:cs="Arial"/>
                <w:b/>
                <w:sz w:val="20"/>
                <w:szCs w:val="20"/>
              </w:rPr>
            </w:pPr>
            <w:r w:rsidRPr="007B1C60">
              <w:rPr>
                <w:rFonts w:cs="Arial"/>
                <w:b/>
                <w:sz w:val="20"/>
                <w:szCs w:val="20"/>
              </w:rPr>
              <w:t>&lt;54</w:t>
            </w:r>
          </w:p>
        </w:tc>
        <w:tc>
          <w:tcPr>
            <w:tcW w:w="1989" w:type="dxa"/>
            <w:tcMar>
              <w:left w:w="28" w:type="dxa"/>
              <w:right w:w="28" w:type="dxa"/>
            </w:tcMar>
            <w:vAlign w:val="center"/>
          </w:tcPr>
          <w:p w14:paraId="32B9D21E" w14:textId="77777777" w:rsidR="00CB792E" w:rsidRPr="007B1C60" w:rsidRDefault="00CB792E" w:rsidP="00650CCA">
            <w:pPr>
              <w:spacing w:line="240" w:lineRule="auto"/>
              <w:jc w:val="left"/>
              <w:rPr>
                <w:rFonts w:cs="Arial"/>
                <w:sz w:val="20"/>
                <w:szCs w:val="20"/>
              </w:rPr>
            </w:pPr>
            <w:r w:rsidRPr="007B1C60">
              <w:rPr>
                <w:rFonts w:cs="Arial"/>
                <w:sz w:val="20"/>
                <w:szCs w:val="20"/>
              </w:rPr>
              <w:t>36.3%</w:t>
            </w:r>
          </w:p>
        </w:tc>
        <w:tc>
          <w:tcPr>
            <w:tcW w:w="1989" w:type="dxa"/>
            <w:tcMar>
              <w:left w:w="28" w:type="dxa"/>
              <w:right w:w="28" w:type="dxa"/>
            </w:tcMar>
            <w:vAlign w:val="center"/>
          </w:tcPr>
          <w:p w14:paraId="1DBEAA75" w14:textId="77777777" w:rsidR="00CB792E" w:rsidRPr="007B1C60" w:rsidRDefault="00CB792E" w:rsidP="00650CCA">
            <w:pPr>
              <w:spacing w:line="240" w:lineRule="auto"/>
              <w:jc w:val="left"/>
              <w:rPr>
                <w:rFonts w:cs="Arial"/>
                <w:sz w:val="20"/>
                <w:szCs w:val="20"/>
              </w:rPr>
            </w:pPr>
            <w:r w:rsidRPr="007B1C60">
              <w:rPr>
                <w:rFonts w:cs="Arial"/>
                <w:sz w:val="20"/>
                <w:szCs w:val="20"/>
              </w:rPr>
              <w:t>63.7%</w:t>
            </w:r>
          </w:p>
        </w:tc>
        <w:tc>
          <w:tcPr>
            <w:tcW w:w="2784" w:type="dxa"/>
            <w:tcMar>
              <w:left w:w="28" w:type="dxa"/>
              <w:right w:w="28" w:type="dxa"/>
            </w:tcMar>
            <w:vAlign w:val="center"/>
          </w:tcPr>
          <w:p w14:paraId="369E1103" w14:textId="77777777" w:rsidR="00CB792E" w:rsidRPr="007B1C60" w:rsidRDefault="00CB792E" w:rsidP="00650CCA">
            <w:pPr>
              <w:spacing w:line="240" w:lineRule="auto"/>
              <w:jc w:val="left"/>
              <w:rPr>
                <w:rFonts w:cs="Arial"/>
                <w:sz w:val="20"/>
                <w:szCs w:val="20"/>
              </w:rPr>
            </w:pPr>
            <w:r w:rsidRPr="007B1C60">
              <w:rPr>
                <w:rFonts w:cs="Arial"/>
                <w:sz w:val="20"/>
                <w:szCs w:val="20"/>
              </w:rPr>
              <w:t>1.00</w:t>
            </w:r>
          </w:p>
        </w:tc>
      </w:tr>
      <w:tr w:rsidR="00CB792E" w:rsidRPr="007B1C60" w14:paraId="759A6CFD" w14:textId="77777777" w:rsidTr="003A5A3D">
        <w:trPr>
          <w:trHeight w:val="284"/>
        </w:trPr>
        <w:tc>
          <w:tcPr>
            <w:tcW w:w="2254" w:type="dxa"/>
            <w:tcMar>
              <w:left w:w="28" w:type="dxa"/>
              <w:right w:w="28" w:type="dxa"/>
            </w:tcMar>
            <w:vAlign w:val="center"/>
          </w:tcPr>
          <w:p w14:paraId="2B85562E" w14:textId="77777777" w:rsidR="00CB792E" w:rsidRPr="007B1C60" w:rsidRDefault="00CB792E" w:rsidP="00650CCA">
            <w:pPr>
              <w:spacing w:line="240" w:lineRule="auto"/>
              <w:jc w:val="left"/>
              <w:rPr>
                <w:rFonts w:cs="Arial"/>
                <w:b/>
                <w:sz w:val="20"/>
                <w:szCs w:val="20"/>
              </w:rPr>
            </w:pPr>
            <w:r w:rsidRPr="007B1C60">
              <w:rPr>
                <w:rFonts w:cs="Arial"/>
                <w:b/>
                <w:sz w:val="20"/>
                <w:szCs w:val="20"/>
              </w:rPr>
              <w:t>55-64</w:t>
            </w:r>
          </w:p>
        </w:tc>
        <w:tc>
          <w:tcPr>
            <w:tcW w:w="1989" w:type="dxa"/>
            <w:tcMar>
              <w:left w:w="28" w:type="dxa"/>
              <w:right w:w="28" w:type="dxa"/>
            </w:tcMar>
            <w:vAlign w:val="center"/>
          </w:tcPr>
          <w:p w14:paraId="3547DD02" w14:textId="77777777" w:rsidR="00CB792E" w:rsidRPr="007B1C60" w:rsidRDefault="00CB792E" w:rsidP="00650CCA">
            <w:pPr>
              <w:spacing w:line="240" w:lineRule="auto"/>
              <w:jc w:val="left"/>
              <w:rPr>
                <w:rFonts w:cs="Arial"/>
                <w:sz w:val="20"/>
                <w:szCs w:val="20"/>
              </w:rPr>
            </w:pPr>
            <w:r w:rsidRPr="007B1C60">
              <w:rPr>
                <w:rFonts w:cs="Arial"/>
                <w:sz w:val="20"/>
                <w:szCs w:val="20"/>
              </w:rPr>
              <w:t>35.0%</w:t>
            </w:r>
          </w:p>
        </w:tc>
        <w:tc>
          <w:tcPr>
            <w:tcW w:w="1989" w:type="dxa"/>
            <w:tcMar>
              <w:left w:w="28" w:type="dxa"/>
              <w:right w:w="28" w:type="dxa"/>
            </w:tcMar>
            <w:vAlign w:val="center"/>
          </w:tcPr>
          <w:p w14:paraId="20F65558" w14:textId="77777777" w:rsidR="00CB792E" w:rsidRPr="007B1C60" w:rsidRDefault="00CB792E" w:rsidP="00650CCA">
            <w:pPr>
              <w:spacing w:line="240" w:lineRule="auto"/>
              <w:jc w:val="left"/>
              <w:rPr>
                <w:rFonts w:cs="Arial"/>
                <w:sz w:val="20"/>
                <w:szCs w:val="20"/>
              </w:rPr>
            </w:pPr>
            <w:r w:rsidRPr="007B1C60">
              <w:rPr>
                <w:rFonts w:cs="Arial"/>
                <w:sz w:val="20"/>
                <w:szCs w:val="20"/>
              </w:rPr>
              <w:t>65.0%</w:t>
            </w:r>
          </w:p>
        </w:tc>
        <w:tc>
          <w:tcPr>
            <w:tcW w:w="2784" w:type="dxa"/>
            <w:tcMar>
              <w:left w:w="28" w:type="dxa"/>
              <w:right w:w="28" w:type="dxa"/>
            </w:tcMar>
            <w:vAlign w:val="center"/>
          </w:tcPr>
          <w:p w14:paraId="2534CC9D" w14:textId="77777777" w:rsidR="00CB792E" w:rsidRPr="007B1C60" w:rsidRDefault="00CB792E" w:rsidP="00650CCA">
            <w:pPr>
              <w:spacing w:line="240" w:lineRule="auto"/>
              <w:jc w:val="left"/>
              <w:rPr>
                <w:rFonts w:cs="Arial"/>
                <w:sz w:val="20"/>
                <w:szCs w:val="20"/>
              </w:rPr>
            </w:pPr>
            <w:r w:rsidRPr="007B1C60">
              <w:rPr>
                <w:rFonts w:cs="Arial"/>
                <w:sz w:val="20"/>
                <w:szCs w:val="20"/>
              </w:rPr>
              <w:t>0.92 (0.81-1.05)</w:t>
            </w:r>
          </w:p>
        </w:tc>
      </w:tr>
      <w:tr w:rsidR="00CB792E" w:rsidRPr="007B1C60" w14:paraId="0345085D" w14:textId="77777777" w:rsidTr="003A5A3D">
        <w:trPr>
          <w:trHeight w:val="284"/>
        </w:trPr>
        <w:tc>
          <w:tcPr>
            <w:tcW w:w="2254" w:type="dxa"/>
            <w:tcMar>
              <w:left w:w="28" w:type="dxa"/>
              <w:right w:w="28" w:type="dxa"/>
            </w:tcMar>
            <w:vAlign w:val="center"/>
          </w:tcPr>
          <w:p w14:paraId="40540A77" w14:textId="77777777" w:rsidR="00CB792E" w:rsidRPr="007B1C60" w:rsidRDefault="00CB792E" w:rsidP="00650CCA">
            <w:pPr>
              <w:spacing w:line="240" w:lineRule="auto"/>
              <w:jc w:val="left"/>
              <w:rPr>
                <w:rFonts w:cs="Arial"/>
                <w:b/>
                <w:sz w:val="20"/>
                <w:szCs w:val="20"/>
              </w:rPr>
            </w:pPr>
            <w:r w:rsidRPr="007B1C60">
              <w:rPr>
                <w:rFonts w:cs="Arial"/>
                <w:b/>
                <w:sz w:val="20"/>
                <w:szCs w:val="20"/>
              </w:rPr>
              <w:t>65-74</w:t>
            </w:r>
          </w:p>
        </w:tc>
        <w:tc>
          <w:tcPr>
            <w:tcW w:w="1989" w:type="dxa"/>
            <w:tcMar>
              <w:left w:w="28" w:type="dxa"/>
              <w:right w:w="28" w:type="dxa"/>
            </w:tcMar>
            <w:vAlign w:val="center"/>
          </w:tcPr>
          <w:p w14:paraId="73224813" w14:textId="77777777" w:rsidR="00CB792E" w:rsidRPr="007B1C60" w:rsidRDefault="00CB792E" w:rsidP="00650CCA">
            <w:pPr>
              <w:spacing w:line="240" w:lineRule="auto"/>
              <w:jc w:val="left"/>
              <w:rPr>
                <w:rFonts w:cs="Arial"/>
                <w:sz w:val="20"/>
                <w:szCs w:val="20"/>
              </w:rPr>
            </w:pPr>
            <w:r w:rsidRPr="007B1C60">
              <w:rPr>
                <w:rFonts w:cs="Arial"/>
                <w:sz w:val="20"/>
                <w:szCs w:val="20"/>
              </w:rPr>
              <w:t>35.3%</w:t>
            </w:r>
          </w:p>
        </w:tc>
        <w:tc>
          <w:tcPr>
            <w:tcW w:w="1989" w:type="dxa"/>
            <w:tcMar>
              <w:left w:w="28" w:type="dxa"/>
              <w:right w:w="28" w:type="dxa"/>
            </w:tcMar>
            <w:vAlign w:val="center"/>
          </w:tcPr>
          <w:p w14:paraId="053400BC" w14:textId="77777777" w:rsidR="00CB792E" w:rsidRPr="007B1C60" w:rsidRDefault="00CB792E" w:rsidP="00650CCA">
            <w:pPr>
              <w:spacing w:line="240" w:lineRule="auto"/>
              <w:jc w:val="left"/>
              <w:rPr>
                <w:rFonts w:cs="Arial"/>
                <w:sz w:val="20"/>
                <w:szCs w:val="20"/>
              </w:rPr>
            </w:pPr>
            <w:r w:rsidRPr="007B1C60">
              <w:rPr>
                <w:rFonts w:cs="Arial"/>
                <w:sz w:val="20"/>
                <w:szCs w:val="20"/>
              </w:rPr>
              <w:t>64.7%</w:t>
            </w:r>
          </w:p>
        </w:tc>
        <w:tc>
          <w:tcPr>
            <w:tcW w:w="2784" w:type="dxa"/>
            <w:tcMar>
              <w:left w:w="28" w:type="dxa"/>
              <w:right w:w="28" w:type="dxa"/>
            </w:tcMar>
            <w:vAlign w:val="center"/>
          </w:tcPr>
          <w:p w14:paraId="370CDB47" w14:textId="77777777" w:rsidR="00CB792E" w:rsidRPr="007B1C60" w:rsidRDefault="00CB792E" w:rsidP="00650CCA">
            <w:pPr>
              <w:spacing w:line="240" w:lineRule="auto"/>
              <w:jc w:val="left"/>
              <w:rPr>
                <w:rFonts w:cs="Arial"/>
                <w:sz w:val="20"/>
                <w:szCs w:val="20"/>
              </w:rPr>
            </w:pPr>
            <w:r w:rsidRPr="007B1C60">
              <w:rPr>
                <w:rFonts w:cs="Arial"/>
                <w:sz w:val="20"/>
                <w:szCs w:val="20"/>
              </w:rPr>
              <w:t>0.83 (0.72-0.95)*</w:t>
            </w:r>
          </w:p>
        </w:tc>
      </w:tr>
      <w:tr w:rsidR="00CB792E" w:rsidRPr="007B1C60" w14:paraId="638DD48F" w14:textId="77777777" w:rsidTr="003A5A3D">
        <w:trPr>
          <w:trHeight w:val="284"/>
        </w:trPr>
        <w:tc>
          <w:tcPr>
            <w:tcW w:w="2254" w:type="dxa"/>
            <w:tcMar>
              <w:left w:w="28" w:type="dxa"/>
              <w:right w:w="28" w:type="dxa"/>
            </w:tcMar>
            <w:vAlign w:val="center"/>
          </w:tcPr>
          <w:p w14:paraId="0A5E9BE6" w14:textId="77777777" w:rsidR="00CB792E" w:rsidRPr="007B1C60" w:rsidRDefault="00CB792E" w:rsidP="00650CCA">
            <w:pPr>
              <w:spacing w:line="240" w:lineRule="auto"/>
              <w:jc w:val="left"/>
              <w:rPr>
                <w:rFonts w:cs="Arial"/>
                <w:b/>
                <w:sz w:val="20"/>
                <w:szCs w:val="20"/>
              </w:rPr>
            </w:pPr>
            <w:r w:rsidRPr="007B1C60">
              <w:rPr>
                <w:rFonts w:cs="Arial"/>
                <w:b/>
                <w:sz w:val="20"/>
                <w:szCs w:val="20"/>
              </w:rPr>
              <w:t>75+</w:t>
            </w:r>
          </w:p>
        </w:tc>
        <w:tc>
          <w:tcPr>
            <w:tcW w:w="1989" w:type="dxa"/>
            <w:tcMar>
              <w:left w:w="28" w:type="dxa"/>
              <w:right w:w="28" w:type="dxa"/>
            </w:tcMar>
            <w:vAlign w:val="center"/>
          </w:tcPr>
          <w:p w14:paraId="6A8F7E4D" w14:textId="77777777" w:rsidR="00CB792E" w:rsidRPr="007B1C60" w:rsidRDefault="00CB792E" w:rsidP="00650CCA">
            <w:pPr>
              <w:spacing w:line="240" w:lineRule="auto"/>
              <w:jc w:val="left"/>
              <w:rPr>
                <w:rFonts w:cs="Arial"/>
                <w:sz w:val="20"/>
                <w:szCs w:val="20"/>
              </w:rPr>
            </w:pPr>
            <w:r w:rsidRPr="007B1C60">
              <w:rPr>
                <w:rFonts w:cs="Arial"/>
                <w:sz w:val="20"/>
                <w:szCs w:val="20"/>
              </w:rPr>
              <w:t>31.8%</w:t>
            </w:r>
          </w:p>
        </w:tc>
        <w:tc>
          <w:tcPr>
            <w:tcW w:w="1989" w:type="dxa"/>
            <w:tcMar>
              <w:left w:w="28" w:type="dxa"/>
              <w:right w:w="28" w:type="dxa"/>
            </w:tcMar>
            <w:vAlign w:val="center"/>
          </w:tcPr>
          <w:p w14:paraId="1DED4634" w14:textId="77777777" w:rsidR="00CB792E" w:rsidRPr="007B1C60" w:rsidRDefault="00CB792E" w:rsidP="00650CCA">
            <w:pPr>
              <w:spacing w:line="240" w:lineRule="auto"/>
              <w:jc w:val="left"/>
              <w:rPr>
                <w:rFonts w:cs="Arial"/>
                <w:sz w:val="20"/>
                <w:szCs w:val="20"/>
              </w:rPr>
            </w:pPr>
            <w:r w:rsidRPr="007B1C60">
              <w:rPr>
                <w:rFonts w:cs="Arial"/>
                <w:sz w:val="20"/>
                <w:szCs w:val="20"/>
              </w:rPr>
              <w:t>68.2%</w:t>
            </w:r>
          </w:p>
        </w:tc>
        <w:tc>
          <w:tcPr>
            <w:tcW w:w="2784" w:type="dxa"/>
            <w:tcMar>
              <w:left w:w="28" w:type="dxa"/>
              <w:right w:w="28" w:type="dxa"/>
            </w:tcMar>
            <w:vAlign w:val="center"/>
          </w:tcPr>
          <w:p w14:paraId="32AAF536" w14:textId="77777777" w:rsidR="00CB792E" w:rsidRPr="007B1C60" w:rsidRDefault="00CB792E" w:rsidP="00650CCA">
            <w:pPr>
              <w:spacing w:line="240" w:lineRule="auto"/>
              <w:jc w:val="left"/>
              <w:rPr>
                <w:rFonts w:cs="Arial"/>
                <w:sz w:val="20"/>
                <w:szCs w:val="20"/>
              </w:rPr>
            </w:pPr>
            <w:r w:rsidRPr="007B1C60">
              <w:rPr>
                <w:rFonts w:cs="Arial"/>
                <w:sz w:val="20"/>
                <w:szCs w:val="20"/>
              </w:rPr>
              <w:t>0.87 (0.75-1.01)</w:t>
            </w:r>
          </w:p>
        </w:tc>
      </w:tr>
      <w:tr w:rsidR="00CB792E" w:rsidRPr="007B1C60" w14:paraId="6EF70FA6" w14:textId="77777777" w:rsidTr="003A5A3D">
        <w:trPr>
          <w:trHeight w:val="284"/>
        </w:trPr>
        <w:tc>
          <w:tcPr>
            <w:tcW w:w="2254" w:type="dxa"/>
            <w:tcMar>
              <w:left w:w="28" w:type="dxa"/>
              <w:right w:w="28" w:type="dxa"/>
            </w:tcMar>
            <w:vAlign w:val="center"/>
          </w:tcPr>
          <w:p w14:paraId="532057C7"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 </w:t>
            </w:r>
          </w:p>
        </w:tc>
        <w:tc>
          <w:tcPr>
            <w:tcW w:w="1989" w:type="dxa"/>
            <w:tcMar>
              <w:left w:w="28" w:type="dxa"/>
              <w:right w:w="28" w:type="dxa"/>
            </w:tcMar>
            <w:vAlign w:val="center"/>
          </w:tcPr>
          <w:p w14:paraId="1AD4415D"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989" w:type="dxa"/>
            <w:tcMar>
              <w:left w:w="28" w:type="dxa"/>
              <w:right w:w="28" w:type="dxa"/>
            </w:tcMar>
            <w:vAlign w:val="center"/>
          </w:tcPr>
          <w:p w14:paraId="5BDC5EFB"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2784" w:type="dxa"/>
            <w:tcMar>
              <w:left w:w="28" w:type="dxa"/>
              <w:right w:w="28" w:type="dxa"/>
            </w:tcMar>
            <w:vAlign w:val="center"/>
          </w:tcPr>
          <w:p w14:paraId="3034A6FD"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r>
      <w:tr w:rsidR="00CB792E" w:rsidRPr="007B1C60" w14:paraId="7509B2C7" w14:textId="77777777" w:rsidTr="003A5A3D">
        <w:trPr>
          <w:trHeight w:val="284"/>
        </w:trPr>
        <w:tc>
          <w:tcPr>
            <w:tcW w:w="2254" w:type="dxa"/>
            <w:tcMar>
              <w:left w:w="28" w:type="dxa"/>
              <w:right w:w="28" w:type="dxa"/>
            </w:tcMar>
            <w:vAlign w:val="center"/>
          </w:tcPr>
          <w:p w14:paraId="1720480C" w14:textId="77777777" w:rsidR="00CB792E" w:rsidRPr="007B1C60" w:rsidRDefault="00CB792E" w:rsidP="00650CCA">
            <w:pPr>
              <w:spacing w:line="240" w:lineRule="auto"/>
              <w:jc w:val="left"/>
              <w:rPr>
                <w:rFonts w:cs="Arial"/>
                <w:b/>
                <w:sz w:val="20"/>
                <w:szCs w:val="20"/>
              </w:rPr>
            </w:pPr>
            <w:r w:rsidRPr="007B1C60">
              <w:rPr>
                <w:rFonts w:cs="Arial"/>
                <w:b/>
                <w:sz w:val="20"/>
                <w:szCs w:val="20"/>
              </w:rPr>
              <w:t>Stage</w:t>
            </w:r>
          </w:p>
        </w:tc>
        <w:tc>
          <w:tcPr>
            <w:tcW w:w="1989" w:type="dxa"/>
            <w:tcMar>
              <w:left w:w="28" w:type="dxa"/>
              <w:right w:w="28" w:type="dxa"/>
            </w:tcMar>
            <w:vAlign w:val="center"/>
          </w:tcPr>
          <w:p w14:paraId="4C78A7D6"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989" w:type="dxa"/>
            <w:tcMar>
              <w:left w:w="28" w:type="dxa"/>
              <w:right w:w="28" w:type="dxa"/>
            </w:tcMar>
            <w:vAlign w:val="center"/>
          </w:tcPr>
          <w:p w14:paraId="4BCB8E6A"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2784" w:type="dxa"/>
            <w:tcMar>
              <w:left w:w="28" w:type="dxa"/>
              <w:right w:w="28" w:type="dxa"/>
            </w:tcMar>
            <w:vAlign w:val="center"/>
          </w:tcPr>
          <w:p w14:paraId="5B2351E5"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r>
      <w:tr w:rsidR="00CB792E" w:rsidRPr="007B1C60" w14:paraId="1A3B3237" w14:textId="77777777" w:rsidTr="003A5A3D">
        <w:trPr>
          <w:trHeight w:val="284"/>
        </w:trPr>
        <w:tc>
          <w:tcPr>
            <w:tcW w:w="2254" w:type="dxa"/>
            <w:tcMar>
              <w:left w:w="28" w:type="dxa"/>
              <w:right w:w="28" w:type="dxa"/>
            </w:tcMar>
            <w:vAlign w:val="center"/>
          </w:tcPr>
          <w:p w14:paraId="101C6E69" w14:textId="77777777" w:rsidR="00CB792E" w:rsidRPr="007B1C60" w:rsidRDefault="00CB792E" w:rsidP="00650CCA">
            <w:pPr>
              <w:spacing w:line="240" w:lineRule="auto"/>
              <w:jc w:val="left"/>
              <w:rPr>
                <w:rFonts w:cs="Arial"/>
                <w:b/>
                <w:sz w:val="20"/>
                <w:szCs w:val="20"/>
              </w:rPr>
            </w:pPr>
            <w:r w:rsidRPr="007B1C60">
              <w:rPr>
                <w:rFonts w:cs="Arial"/>
                <w:b/>
                <w:sz w:val="20"/>
                <w:szCs w:val="20"/>
              </w:rPr>
              <w:t>I/II</w:t>
            </w:r>
          </w:p>
        </w:tc>
        <w:tc>
          <w:tcPr>
            <w:tcW w:w="1989" w:type="dxa"/>
            <w:tcMar>
              <w:left w:w="28" w:type="dxa"/>
              <w:right w:w="28" w:type="dxa"/>
            </w:tcMar>
            <w:vAlign w:val="center"/>
          </w:tcPr>
          <w:p w14:paraId="2DC47E33" w14:textId="77777777" w:rsidR="00CB792E" w:rsidRPr="007B1C60" w:rsidRDefault="00CB792E" w:rsidP="00650CCA">
            <w:pPr>
              <w:spacing w:line="240" w:lineRule="auto"/>
              <w:jc w:val="left"/>
              <w:rPr>
                <w:rFonts w:cs="Arial"/>
                <w:sz w:val="20"/>
                <w:szCs w:val="20"/>
              </w:rPr>
            </w:pPr>
            <w:r w:rsidRPr="007B1C60">
              <w:rPr>
                <w:rFonts w:cs="Arial"/>
                <w:sz w:val="20"/>
                <w:szCs w:val="20"/>
              </w:rPr>
              <w:t>38.3%</w:t>
            </w:r>
          </w:p>
        </w:tc>
        <w:tc>
          <w:tcPr>
            <w:tcW w:w="1989" w:type="dxa"/>
            <w:tcMar>
              <w:left w:w="28" w:type="dxa"/>
              <w:right w:w="28" w:type="dxa"/>
            </w:tcMar>
            <w:vAlign w:val="center"/>
          </w:tcPr>
          <w:p w14:paraId="662A2C03" w14:textId="77777777" w:rsidR="00CB792E" w:rsidRPr="007B1C60" w:rsidRDefault="00CB792E" w:rsidP="00650CCA">
            <w:pPr>
              <w:spacing w:line="240" w:lineRule="auto"/>
              <w:jc w:val="left"/>
              <w:rPr>
                <w:rFonts w:cs="Arial"/>
                <w:sz w:val="20"/>
                <w:szCs w:val="20"/>
              </w:rPr>
            </w:pPr>
            <w:r w:rsidRPr="007B1C60">
              <w:rPr>
                <w:rFonts w:cs="Arial"/>
                <w:sz w:val="20"/>
                <w:szCs w:val="20"/>
              </w:rPr>
              <w:t>61.7%</w:t>
            </w:r>
          </w:p>
        </w:tc>
        <w:tc>
          <w:tcPr>
            <w:tcW w:w="2784" w:type="dxa"/>
            <w:tcMar>
              <w:left w:w="28" w:type="dxa"/>
              <w:right w:w="28" w:type="dxa"/>
            </w:tcMar>
            <w:vAlign w:val="center"/>
          </w:tcPr>
          <w:p w14:paraId="7AE765D9" w14:textId="77777777" w:rsidR="00CB792E" w:rsidRPr="007B1C60" w:rsidRDefault="00CB792E" w:rsidP="00650CCA">
            <w:pPr>
              <w:spacing w:line="240" w:lineRule="auto"/>
              <w:jc w:val="left"/>
              <w:rPr>
                <w:rFonts w:cs="Arial"/>
                <w:sz w:val="20"/>
                <w:szCs w:val="20"/>
              </w:rPr>
            </w:pPr>
            <w:r w:rsidRPr="007B1C60">
              <w:rPr>
                <w:rFonts w:cs="Arial"/>
                <w:sz w:val="20"/>
                <w:szCs w:val="20"/>
              </w:rPr>
              <w:t>1.00</w:t>
            </w:r>
          </w:p>
        </w:tc>
      </w:tr>
      <w:tr w:rsidR="00CB792E" w:rsidRPr="007B1C60" w14:paraId="152716E4" w14:textId="77777777" w:rsidTr="003A5A3D">
        <w:trPr>
          <w:trHeight w:val="284"/>
        </w:trPr>
        <w:tc>
          <w:tcPr>
            <w:tcW w:w="2254" w:type="dxa"/>
            <w:tcMar>
              <w:left w:w="28" w:type="dxa"/>
              <w:right w:w="28" w:type="dxa"/>
            </w:tcMar>
            <w:vAlign w:val="center"/>
          </w:tcPr>
          <w:p w14:paraId="6C022F89" w14:textId="77777777" w:rsidR="00CB792E" w:rsidRPr="007B1C60" w:rsidRDefault="00CB792E" w:rsidP="00650CCA">
            <w:pPr>
              <w:spacing w:line="240" w:lineRule="auto"/>
              <w:jc w:val="left"/>
              <w:rPr>
                <w:rFonts w:cs="Arial"/>
                <w:b/>
                <w:sz w:val="20"/>
                <w:szCs w:val="20"/>
              </w:rPr>
            </w:pPr>
            <w:r w:rsidRPr="007B1C60">
              <w:rPr>
                <w:rFonts w:cs="Arial"/>
                <w:b/>
                <w:sz w:val="20"/>
                <w:szCs w:val="20"/>
              </w:rPr>
              <w:t>III</w:t>
            </w:r>
          </w:p>
        </w:tc>
        <w:tc>
          <w:tcPr>
            <w:tcW w:w="1989" w:type="dxa"/>
            <w:tcMar>
              <w:left w:w="28" w:type="dxa"/>
              <w:right w:w="28" w:type="dxa"/>
            </w:tcMar>
            <w:vAlign w:val="center"/>
          </w:tcPr>
          <w:p w14:paraId="2AE68685" w14:textId="77777777" w:rsidR="00CB792E" w:rsidRPr="007B1C60" w:rsidRDefault="00CB792E" w:rsidP="00650CCA">
            <w:pPr>
              <w:spacing w:line="240" w:lineRule="auto"/>
              <w:jc w:val="left"/>
              <w:rPr>
                <w:rFonts w:cs="Arial"/>
                <w:sz w:val="20"/>
                <w:szCs w:val="20"/>
              </w:rPr>
            </w:pPr>
            <w:r w:rsidRPr="007B1C60">
              <w:rPr>
                <w:rFonts w:cs="Arial"/>
                <w:sz w:val="20"/>
                <w:szCs w:val="20"/>
              </w:rPr>
              <w:t>32.2%</w:t>
            </w:r>
          </w:p>
        </w:tc>
        <w:tc>
          <w:tcPr>
            <w:tcW w:w="1989" w:type="dxa"/>
            <w:tcMar>
              <w:left w:w="28" w:type="dxa"/>
              <w:right w:w="28" w:type="dxa"/>
            </w:tcMar>
            <w:vAlign w:val="center"/>
          </w:tcPr>
          <w:p w14:paraId="68C35795" w14:textId="77777777" w:rsidR="00CB792E" w:rsidRPr="007B1C60" w:rsidRDefault="00CB792E" w:rsidP="00650CCA">
            <w:pPr>
              <w:spacing w:line="240" w:lineRule="auto"/>
              <w:jc w:val="left"/>
              <w:rPr>
                <w:rFonts w:cs="Arial"/>
                <w:sz w:val="20"/>
                <w:szCs w:val="20"/>
              </w:rPr>
            </w:pPr>
            <w:r w:rsidRPr="007B1C60">
              <w:rPr>
                <w:rFonts w:cs="Arial"/>
                <w:sz w:val="20"/>
                <w:szCs w:val="20"/>
              </w:rPr>
              <w:t>67.8%</w:t>
            </w:r>
          </w:p>
        </w:tc>
        <w:tc>
          <w:tcPr>
            <w:tcW w:w="2784" w:type="dxa"/>
            <w:tcMar>
              <w:left w:w="28" w:type="dxa"/>
              <w:right w:w="28" w:type="dxa"/>
            </w:tcMar>
            <w:vAlign w:val="center"/>
          </w:tcPr>
          <w:p w14:paraId="2903E2F8" w14:textId="77777777" w:rsidR="00CB792E" w:rsidRPr="007B1C60" w:rsidRDefault="00CB792E" w:rsidP="00650CCA">
            <w:pPr>
              <w:spacing w:line="240" w:lineRule="auto"/>
              <w:jc w:val="left"/>
              <w:rPr>
                <w:rFonts w:cs="Arial"/>
                <w:sz w:val="20"/>
                <w:szCs w:val="20"/>
              </w:rPr>
            </w:pPr>
            <w:r w:rsidRPr="007B1C60">
              <w:rPr>
                <w:rFonts w:cs="Arial"/>
                <w:sz w:val="20"/>
                <w:szCs w:val="20"/>
              </w:rPr>
              <w:t>1.20 (1.12-1.28)**</w:t>
            </w:r>
          </w:p>
        </w:tc>
      </w:tr>
      <w:tr w:rsidR="00CB792E" w:rsidRPr="007B1C60" w14:paraId="1E739E23" w14:textId="77777777" w:rsidTr="003A5A3D">
        <w:trPr>
          <w:trHeight w:val="284"/>
        </w:trPr>
        <w:tc>
          <w:tcPr>
            <w:tcW w:w="2254" w:type="dxa"/>
            <w:tcMar>
              <w:left w:w="28" w:type="dxa"/>
              <w:right w:w="28" w:type="dxa"/>
            </w:tcMar>
            <w:vAlign w:val="center"/>
          </w:tcPr>
          <w:p w14:paraId="17A5F7A8" w14:textId="77777777" w:rsidR="00CB792E" w:rsidRPr="007B1C60" w:rsidRDefault="00CB792E" w:rsidP="00650CCA">
            <w:pPr>
              <w:spacing w:line="240" w:lineRule="auto"/>
              <w:jc w:val="left"/>
              <w:rPr>
                <w:rFonts w:cs="Arial"/>
                <w:b/>
                <w:sz w:val="20"/>
                <w:szCs w:val="20"/>
              </w:rPr>
            </w:pPr>
            <w:r w:rsidRPr="007B1C60">
              <w:rPr>
                <w:rFonts w:cs="Arial"/>
                <w:b/>
                <w:sz w:val="20"/>
                <w:szCs w:val="20"/>
              </w:rPr>
              <w:t>IV</w:t>
            </w:r>
          </w:p>
        </w:tc>
        <w:tc>
          <w:tcPr>
            <w:tcW w:w="1989" w:type="dxa"/>
            <w:tcMar>
              <w:left w:w="28" w:type="dxa"/>
              <w:right w:w="28" w:type="dxa"/>
            </w:tcMar>
            <w:vAlign w:val="center"/>
          </w:tcPr>
          <w:p w14:paraId="551A9ECE" w14:textId="77777777" w:rsidR="00CB792E" w:rsidRPr="007B1C60" w:rsidRDefault="00CB792E" w:rsidP="00650CCA">
            <w:pPr>
              <w:spacing w:line="240" w:lineRule="auto"/>
              <w:jc w:val="left"/>
              <w:rPr>
                <w:rFonts w:cs="Arial"/>
                <w:sz w:val="20"/>
                <w:szCs w:val="20"/>
              </w:rPr>
            </w:pPr>
            <w:r w:rsidRPr="007B1C60">
              <w:rPr>
                <w:rFonts w:cs="Arial"/>
                <w:sz w:val="20"/>
                <w:szCs w:val="20"/>
              </w:rPr>
              <w:t>18.5%</w:t>
            </w:r>
          </w:p>
        </w:tc>
        <w:tc>
          <w:tcPr>
            <w:tcW w:w="1989" w:type="dxa"/>
            <w:tcMar>
              <w:left w:w="28" w:type="dxa"/>
              <w:right w:w="28" w:type="dxa"/>
            </w:tcMar>
            <w:vAlign w:val="center"/>
          </w:tcPr>
          <w:p w14:paraId="794B1634" w14:textId="77777777" w:rsidR="00CB792E" w:rsidRPr="007B1C60" w:rsidRDefault="00CB792E" w:rsidP="00650CCA">
            <w:pPr>
              <w:spacing w:line="240" w:lineRule="auto"/>
              <w:jc w:val="left"/>
              <w:rPr>
                <w:rFonts w:cs="Arial"/>
                <w:sz w:val="20"/>
                <w:szCs w:val="20"/>
              </w:rPr>
            </w:pPr>
            <w:r w:rsidRPr="007B1C60">
              <w:rPr>
                <w:rFonts w:cs="Arial"/>
                <w:sz w:val="20"/>
                <w:szCs w:val="20"/>
              </w:rPr>
              <w:t>81.5%</w:t>
            </w:r>
          </w:p>
        </w:tc>
        <w:tc>
          <w:tcPr>
            <w:tcW w:w="2784" w:type="dxa"/>
            <w:tcMar>
              <w:left w:w="28" w:type="dxa"/>
              <w:right w:w="28" w:type="dxa"/>
            </w:tcMar>
            <w:vAlign w:val="center"/>
          </w:tcPr>
          <w:p w14:paraId="509FD322" w14:textId="77777777" w:rsidR="00CB792E" w:rsidRPr="007B1C60" w:rsidRDefault="00CB792E" w:rsidP="00650CCA">
            <w:pPr>
              <w:spacing w:line="240" w:lineRule="auto"/>
              <w:jc w:val="left"/>
              <w:rPr>
                <w:rFonts w:cs="Arial"/>
                <w:sz w:val="20"/>
                <w:szCs w:val="20"/>
              </w:rPr>
            </w:pPr>
            <w:r w:rsidRPr="007B1C60">
              <w:rPr>
                <w:rFonts w:cs="Arial"/>
                <w:sz w:val="20"/>
                <w:szCs w:val="20"/>
              </w:rPr>
              <w:t>2.03 (1.82-2.27)**</w:t>
            </w:r>
          </w:p>
        </w:tc>
      </w:tr>
      <w:tr w:rsidR="00CB792E" w:rsidRPr="007B1C60" w14:paraId="2D8C0332" w14:textId="77777777" w:rsidTr="003A5A3D">
        <w:trPr>
          <w:trHeight w:val="284"/>
        </w:trPr>
        <w:tc>
          <w:tcPr>
            <w:tcW w:w="2254" w:type="dxa"/>
            <w:tcMar>
              <w:left w:w="28" w:type="dxa"/>
              <w:right w:w="28" w:type="dxa"/>
            </w:tcMar>
            <w:vAlign w:val="center"/>
          </w:tcPr>
          <w:p w14:paraId="548675F0"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 </w:t>
            </w:r>
          </w:p>
        </w:tc>
        <w:tc>
          <w:tcPr>
            <w:tcW w:w="1989" w:type="dxa"/>
            <w:tcMar>
              <w:left w:w="28" w:type="dxa"/>
              <w:right w:w="28" w:type="dxa"/>
            </w:tcMar>
            <w:vAlign w:val="center"/>
          </w:tcPr>
          <w:p w14:paraId="45674E21"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989" w:type="dxa"/>
            <w:tcMar>
              <w:left w:w="28" w:type="dxa"/>
              <w:right w:w="28" w:type="dxa"/>
            </w:tcMar>
            <w:vAlign w:val="center"/>
          </w:tcPr>
          <w:p w14:paraId="272D2EF1"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2784" w:type="dxa"/>
            <w:tcMar>
              <w:left w:w="28" w:type="dxa"/>
              <w:right w:w="28" w:type="dxa"/>
            </w:tcMar>
            <w:vAlign w:val="center"/>
          </w:tcPr>
          <w:p w14:paraId="0B6E9D0F"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r>
      <w:tr w:rsidR="00CB792E" w:rsidRPr="007B1C60" w14:paraId="08586920" w14:textId="77777777" w:rsidTr="003A5A3D">
        <w:trPr>
          <w:trHeight w:val="284"/>
        </w:trPr>
        <w:tc>
          <w:tcPr>
            <w:tcW w:w="2254" w:type="dxa"/>
            <w:tcMar>
              <w:left w:w="28" w:type="dxa"/>
              <w:right w:w="28" w:type="dxa"/>
            </w:tcMar>
            <w:vAlign w:val="center"/>
          </w:tcPr>
          <w:p w14:paraId="6F635839" w14:textId="77777777" w:rsidR="00CB792E" w:rsidRPr="007B1C60" w:rsidRDefault="00CB792E" w:rsidP="00650CCA">
            <w:pPr>
              <w:spacing w:line="240" w:lineRule="auto"/>
              <w:jc w:val="left"/>
              <w:rPr>
                <w:rFonts w:cs="Arial"/>
                <w:b/>
                <w:sz w:val="20"/>
                <w:szCs w:val="20"/>
              </w:rPr>
            </w:pPr>
            <w:r w:rsidRPr="007B1C60">
              <w:rPr>
                <w:rFonts w:cs="Arial"/>
                <w:b/>
                <w:sz w:val="20"/>
                <w:szCs w:val="20"/>
              </w:rPr>
              <w:t>Gleason score</w:t>
            </w:r>
          </w:p>
        </w:tc>
        <w:tc>
          <w:tcPr>
            <w:tcW w:w="1989" w:type="dxa"/>
            <w:tcMar>
              <w:left w:w="28" w:type="dxa"/>
              <w:right w:w="28" w:type="dxa"/>
            </w:tcMar>
            <w:vAlign w:val="center"/>
          </w:tcPr>
          <w:p w14:paraId="513C7259"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989" w:type="dxa"/>
            <w:tcMar>
              <w:left w:w="28" w:type="dxa"/>
              <w:right w:w="28" w:type="dxa"/>
            </w:tcMar>
            <w:vAlign w:val="center"/>
          </w:tcPr>
          <w:p w14:paraId="16FBB30D"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2784" w:type="dxa"/>
            <w:tcMar>
              <w:left w:w="28" w:type="dxa"/>
              <w:right w:w="28" w:type="dxa"/>
            </w:tcMar>
            <w:vAlign w:val="center"/>
          </w:tcPr>
          <w:p w14:paraId="5110B0B8"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r>
      <w:tr w:rsidR="00CB792E" w:rsidRPr="007B1C60" w14:paraId="5B7BA97C" w14:textId="77777777" w:rsidTr="003A5A3D">
        <w:trPr>
          <w:trHeight w:val="284"/>
        </w:trPr>
        <w:tc>
          <w:tcPr>
            <w:tcW w:w="2254" w:type="dxa"/>
            <w:tcMar>
              <w:left w:w="28" w:type="dxa"/>
              <w:right w:w="28" w:type="dxa"/>
            </w:tcMar>
            <w:vAlign w:val="center"/>
          </w:tcPr>
          <w:p w14:paraId="42C5A1C7" w14:textId="77777777" w:rsidR="00CB792E" w:rsidRPr="007B1C60" w:rsidRDefault="00CB792E" w:rsidP="00650CCA">
            <w:pPr>
              <w:spacing w:line="240" w:lineRule="auto"/>
              <w:jc w:val="left"/>
              <w:rPr>
                <w:rFonts w:cs="Arial"/>
                <w:b/>
                <w:sz w:val="20"/>
                <w:szCs w:val="20"/>
              </w:rPr>
            </w:pPr>
            <w:r w:rsidRPr="007B1C60">
              <w:rPr>
                <w:rFonts w:cs="Arial"/>
                <w:b/>
                <w:sz w:val="20"/>
                <w:szCs w:val="20"/>
              </w:rPr>
              <w:t>2-6</w:t>
            </w:r>
          </w:p>
        </w:tc>
        <w:tc>
          <w:tcPr>
            <w:tcW w:w="1989" w:type="dxa"/>
            <w:tcMar>
              <w:left w:w="28" w:type="dxa"/>
              <w:right w:w="28" w:type="dxa"/>
            </w:tcMar>
            <w:vAlign w:val="center"/>
          </w:tcPr>
          <w:p w14:paraId="32DC2F21" w14:textId="77777777" w:rsidR="00CB792E" w:rsidRPr="007B1C60" w:rsidRDefault="00CB792E" w:rsidP="00650CCA">
            <w:pPr>
              <w:spacing w:line="240" w:lineRule="auto"/>
              <w:jc w:val="left"/>
              <w:rPr>
                <w:rFonts w:cs="Arial"/>
                <w:sz w:val="20"/>
                <w:szCs w:val="20"/>
              </w:rPr>
            </w:pPr>
            <w:r w:rsidRPr="007B1C60">
              <w:rPr>
                <w:rFonts w:cs="Arial"/>
                <w:sz w:val="20"/>
                <w:szCs w:val="20"/>
              </w:rPr>
              <w:t>37.0%</w:t>
            </w:r>
          </w:p>
        </w:tc>
        <w:tc>
          <w:tcPr>
            <w:tcW w:w="1989" w:type="dxa"/>
            <w:tcMar>
              <w:left w:w="28" w:type="dxa"/>
              <w:right w:w="28" w:type="dxa"/>
            </w:tcMar>
            <w:vAlign w:val="center"/>
          </w:tcPr>
          <w:p w14:paraId="4408C4AD" w14:textId="77777777" w:rsidR="00CB792E" w:rsidRPr="007B1C60" w:rsidRDefault="00CB792E" w:rsidP="00650CCA">
            <w:pPr>
              <w:spacing w:line="240" w:lineRule="auto"/>
              <w:jc w:val="left"/>
              <w:rPr>
                <w:rFonts w:cs="Arial"/>
                <w:sz w:val="20"/>
                <w:szCs w:val="20"/>
              </w:rPr>
            </w:pPr>
            <w:r w:rsidRPr="007B1C60">
              <w:rPr>
                <w:rFonts w:cs="Arial"/>
                <w:sz w:val="20"/>
                <w:szCs w:val="20"/>
              </w:rPr>
              <w:t>63.0%</w:t>
            </w:r>
          </w:p>
        </w:tc>
        <w:tc>
          <w:tcPr>
            <w:tcW w:w="2784" w:type="dxa"/>
            <w:tcMar>
              <w:left w:w="28" w:type="dxa"/>
              <w:right w:w="28" w:type="dxa"/>
            </w:tcMar>
            <w:vAlign w:val="center"/>
          </w:tcPr>
          <w:p w14:paraId="1F6E09D3" w14:textId="77777777" w:rsidR="00CB792E" w:rsidRPr="007B1C60" w:rsidRDefault="00CB792E" w:rsidP="00650CCA">
            <w:pPr>
              <w:spacing w:line="240" w:lineRule="auto"/>
              <w:jc w:val="left"/>
              <w:rPr>
                <w:rFonts w:cs="Arial"/>
                <w:sz w:val="20"/>
                <w:szCs w:val="20"/>
              </w:rPr>
            </w:pPr>
            <w:r w:rsidRPr="007B1C60">
              <w:rPr>
                <w:rFonts w:cs="Arial"/>
                <w:sz w:val="20"/>
                <w:szCs w:val="20"/>
              </w:rPr>
              <w:t>1.00</w:t>
            </w:r>
          </w:p>
        </w:tc>
      </w:tr>
      <w:tr w:rsidR="00CB792E" w:rsidRPr="007B1C60" w14:paraId="350F22A2" w14:textId="77777777" w:rsidTr="003A5A3D">
        <w:trPr>
          <w:trHeight w:val="284"/>
        </w:trPr>
        <w:tc>
          <w:tcPr>
            <w:tcW w:w="2254" w:type="dxa"/>
            <w:tcMar>
              <w:left w:w="28" w:type="dxa"/>
              <w:right w:w="28" w:type="dxa"/>
            </w:tcMar>
            <w:vAlign w:val="center"/>
          </w:tcPr>
          <w:p w14:paraId="3221DEFA" w14:textId="77777777" w:rsidR="00CB792E" w:rsidRPr="007B1C60" w:rsidRDefault="00CB792E" w:rsidP="00650CCA">
            <w:pPr>
              <w:spacing w:line="240" w:lineRule="auto"/>
              <w:jc w:val="left"/>
              <w:rPr>
                <w:rFonts w:cs="Arial"/>
                <w:b/>
                <w:sz w:val="20"/>
                <w:szCs w:val="20"/>
              </w:rPr>
            </w:pPr>
            <w:r w:rsidRPr="007B1C60">
              <w:rPr>
                <w:rFonts w:cs="Arial"/>
                <w:b/>
                <w:sz w:val="20"/>
                <w:szCs w:val="20"/>
              </w:rPr>
              <w:t>7</w:t>
            </w:r>
          </w:p>
        </w:tc>
        <w:tc>
          <w:tcPr>
            <w:tcW w:w="1989" w:type="dxa"/>
            <w:tcMar>
              <w:left w:w="28" w:type="dxa"/>
              <w:right w:w="28" w:type="dxa"/>
            </w:tcMar>
            <w:vAlign w:val="center"/>
          </w:tcPr>
          <w:p w14:paraId="5873E9FF" w14:textId="77777777" w:rsidR="00CB792E" w:rsidRPr="007B1C60" w:rsidRDefault="00CB792E" w:rsidP="00650CCA">
            <w:pPr>
              <w:spacing w:line="240" w:lineRule="auto"/>
              <w:jc w:val="left"/>
              <w:rPr>
                <w:rFonts w:cs="Arial"/>
                <w:sz w:val="20"/>
                <w:szCs w:val="20"/>
              </w:rPr>
            </w:pPr>
            <w:r w:rsidRPr="007B1C60">
              <w:rPr>
                <w:rFonts w:cs="Arial"/>
                <w:sz w:val="20"/>
                <w:szCs w:val="20"/>
              </w:rPr>
              <w:t>37.3%</w:t>
            </w:r>
          </w:p>
        </w:tc>
        <w:tc>
          <w:tcPr>
            <w:tcW w:w="1989" w:type="dxa"/>
            <w:tcMar>
              <w:left w:w="28" w:type="dxa"/>
              <w:right w:w="28" w:type="dxa"/>
            </w:tcMar>
            <w:vAlign w:val="center"/>
          </w:tcPr>
          <w:p w14:paraId="71E4B8EB" w14:textId="77777777" w:rsidR="00CB792E" w:rsidRPr="007B1C60" w:rsidRDefault="00CB792E" w:rsidP="00650CCA">
            <w:pPr>
              <w:spacing w:line="240" w:lineRule="auto"/>
              <w:jc w:val="left"/>
              <w:rPr>
                <w:rFonts w:cs="Arial"/>
                <w:sz w:val="20"/>
                <w:szCs w:val="20"/>
              </w:rPr>
            </w:pPr>
            <w:r w:rsidRPr="007B1C60">
              <w:rPr>
                <w:rFonts w:cs="Arial"/>
                <w:sz w:val="20"/>
                <w:szCs w:val="20"/>
              </w:rPr>
              <w:t>62.7%</w:t>
            </w:r>
          </w:p>
        </w:tc>
        <w:tc>
          <w:tcPr>
            <w:tcW w:w="2784" w:type="dxa"/>
            <w:tcMar>
              <w:left w:w="28" w:type="dxa"/>
              <w:right w:w="28" w:type="dxa"/>
            </w:tcMar>
            <w:vAlign w:val="center"/>
          </w:tcPr>
          <w:p w14:paraId="6E97150A" w14:textId="77777777" w:rsidR="00CB792E" w:rsidRPr="007B1C60" w:rsidRDefault="00CB792E" w:rsidP="00650CCA">
            <w:pPr>
              <w:spacing w:line="240" w:lineRule="auto"/>
              <w:jc w:val="left"/>
              <w:rPr>
                <w:rFonts w:cs="Arial"/>
                <w:sz w:val="20"/>
                <w:szCs w:val="20"/>
              </w:rPr>
            </w:pPr>
            <w:r w:rsidRPr="007B1C60">
              <w:rPr>
                <w:rFonts w:cs="Arial"/>
                <w:sz w:val="20"/>
                <w:szCs w:val="20"/>
              </w:rPr>
              <w:t>0.86 (0.80-0.92)**</w:t>
            </w:r>
          </w:p>
        </w:tc>
      </w:tr>
      <w:tr w:rsidR="00CB792E" w:rsidRPr="007B1C60" w14:paraId="1025A040" w14:textId="77777777" w:rsidTr="003A5A3D">
        <w:trPr>
          <w:trHeight w:val="284"/>
        </w:trPr>
        <w:tc>
          <w:tcPr>
            <w:tcW w:w="2254" w:type="dxa"/>
            <w:tcMar>
              <w:left w:w="28" w:type="dxa"/>
              <w:right w:w="28" w:type="dxa"/>
            </w:tcMar>
            <w:vAlign w:val="center"/>
          </w:tcPr>
          <w:p w14:paraId="20B08063" w14:textId="77777777" w:rsidR="00CB792E" w:rsidRPr="007B1C60" w:rsidRDefault="00CB792E" w:rsidP="00650CCA">
            <w:pPr>
              <w:spacing w:line="240" w:lineRule="auto"/>
              <w:jc w:val="left"/>
              <w:rPr>
                <w:rFonts w:cs="Arial"/>
                <w:b/>
                <w:sz w:val="20"/>
                <w:szCs w:val="20"/>
              </w:rPr>
            </w:pPr>
            <w:r w:rsidRPr="007B1C60">
              <w:rPr>
                <w:rFonts w:cs="Arial"/>
                <w:b/>
                <w:sz w:val="20"/>
                <w:szCs w:val="20"/>
              </w:rPr>
              <w:t>8-10</w:t>
            </w:r>
          </w:p>
        </w:tc>
        <w:tc>
          <w:tcPr>
            <w:tcW w:w="1989" w:type="dxa"/>
            <w:tcMar>
              <w:left w:w="28" w:type="dxa"/>
              <w:right w:w="28" w:type="dxa"/>
            </w:tcMar>
            <w:vAlign w:val="center"/>
          </w:tcPr>
          <w:p w14:paraId="2E3A2025" w14:textId="77777777" w:rsidR="00CB792E" w:rsidRPr="007B1C60" w:rsidRDefault="00CB792E" w:rsidP="00650CCA">
            <w:pPr>
              <w:spacing w:line="240" w:lineRule="auto"/>
              <w:jc w:val="left"/>
              <w:rPr>
                <w:rFonts w:cs="Arial"/>
                <w:sz w:val="20"/>
                <w:szCs w:val="20"/>
              </w:rPr>
            </w:pPr>
            <w:r w:rsidRPr="007B1C60">
              <w:rPr>
                <w:rFonts w:cs="Arial"/>
                <w:sz w:val="20"/>
                <w:szCs w:val="20"/>
              </w:rPr>
              <w:t>25.4%</w:t>
            </w:r>
          </w:p>
        </w:tc>
        <w:tc>
          <w:tcPr>
            <w:tcW w:w="1989" w:type="dxa"/>
            <w:tcMar>
              <w:left w:w="28" w:type="dxa"/>
              <w:right w:w="28" w:type="dxa"/>
            </w:tcMar>
            <w:vAlign w:val="center"/>
          </w:tcPr>
          <w:p w14:paraId="06EFFE8A" w14:textId="77777777" w:rsidR="00CB792E" w:rsidRPr="007B1C60" w:rsidRDefault="00CB792E" w:rsidP="00650CCA">
            <w:pPr>
              <w:spacing w:line="240" w:lineRule="auto"/>
              <w:jc w:val="left"/>
              <w:rPr>
                <w:rFonts w:cs="Arial"/>
                <w:sz w:val="20"/>
                <w:szCs w:val="20"/>
              </w:rPr>
            </w:pPr>
            <w:r w:rsidRPr="007B1C60">
              <w:rPr>
                <w:rFonts w:cs="Arial"/>
                <w:sz w:val="20"/>
                <w:szCs w:val="20"/>
              </w:rPr>
              <w:t>74.6%</w:t>
            </w:r>
          </w:p>
        </w:tc>
        <w:tc>
          <w:tcPr>
            <w:tcW w:w="2784" w:type="dxa"/>
            <w:tcMar>
              <w:left w:w="28" w:type="dxa"/>
              <w:right w:w="28" w:type="dxa"/>
            </w:tcMar>
            <w:vAlign w:val="center"/>
          </w:tcPr>
          <w:p w14:paraId="4004B878" w14:textId="77777777" w:rsidR="00CB792E" w:rsidRPr="007B1C60" w:rsidRDefault="00CB792E" w:rsidP="00650CCA">
            <w:pPr>
              <w:spacing w:line="240" w:lineRule="auto"/>
              <w:jc w:val="left"/>
              <w:rPr>
                <w:rFonts w:cs="Arial"/>
                <w:sz w:val="20"/>
                <w:szCs w:val="20"/>
              </w:rPr>
            </w:pPr>
            <w:r w:rsidRPr="007B1C60">
              <w:rPr>
                <w:rFonts w:cs="Arial"/>
                <w:sz w:val="20"/>
                <w:szCs w:val="20"/>
              </w:rPr>
              <w:t>1.12 (1.03-1.22)*</w:t>
            </w:r>
          </w:p>
        </w:tc>
      </w:tr>
      <w:tr w:rsidR="00CB792E" w:rsidRPr="007B1C60" w14:paraId="45BF094F" w14:textId="77777777" w:rsidTr="003A5A3D">
        <w:trPr>
          <w:trHeight w:val="284"/>
        </w:trPr>
        <w:tc>
          <w:tcPr>
            <w:tcW w:w="2254" w:type="dxa"/>
            <w:tcMar>
              <w:left w:w="28" w:type="dxa"/>
              <w:right w:w="28" w:type="dxa"/>
            </w:tcMar>
            <w:vAlign w:val="center"/>
          </w:tcPr>
          <w:p w14:paraId="0E8163C3"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 </w:t>
            </w:r>
          </w:p>
        </w:tc>
        <w:tc>
          <w:tcPr>
            <w:tcW w:w="1989" w:type="dxa"/>
            <w:tcMar>
              <w:left w:w="28" w:type="dxa"/>
              <w:right w:w="28" w:type="dxa"/>
            </w:tcMar>
            <w:vAlign w:val="center"/>
          </w:tcPr>
          <w:p w14:paraId="14DCDF46"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989" w:type="dxa"/>
            <w:tcMar>
              <w:left w:w="28" w:type="dxa"/>
              <w:right w:w="28" w:type="dxa"/>
            </w:tcMar>
            <w:vAlign w:val="center"/>
          </w:tcPr>
          <w:p w14:paraId="786E3314"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2784" w:type="dxa"/>
            <w:tcMar>
              <w:left w:w="28" w:type="dxa"/>
              <w:right w:w="28" w:type="dxa"/>
            </w:tcMar>
            <w:vAlign w:val="center"/>
          </w:tcPr>
          <w:p w14:paraId="36AA7E60"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r>
      <w:tr w:rsidR="00CB792E" w:rsidRPr="007B1C60" w14:paraId="67B8DC30" w14:textId="77777777" w:rsidTr="003A5A3D">
        <w:trPr>
          <w:trHeight w:val="284"/>
        </w:trPr>
        <w:tc>
          <w:tcPr>
            <w:tcW w:w="2254" w:type="dxa"/>
            <w:tcMar>
              <w:left w:w="28" w:type="dxa"/>
              <w:right w:w="28" w:type="dxa"/>
            </w:tcMar>
            <w:vAlign w:val="center"/>
          </w:tcPr>
          <w:p w14:paraId="4CD4ECC5" w14:textId="77777777" w:rsidR="00CB792E" w:rsidRPr="007B1C60" w:rsidRDefault="00CB792E" w:rsidP="00650CCA">
            <w:pPr>
              <w:spacing w:line="240" w:lineRule="auto"/>
              <w:jc w:val="left"/>
              <w:rPr>
                <w:rFonts w:cs="Arial"/>
                <w:b/>
                <w:sz w:val="20"/>
                <w:szCs w:val="20"/>
              </w:rPr>
            </w:pPr>
            <w:r w:rsidRPr="007B1C60">
              <w:rPr>
                <w:rFonts w:cs="Arial"/>
                <w:b/>
                <w:sz w:val="20"/>
                <w:szCs w:val="20"/>
              </w:rPr>
              <w:t xml:space="preserve">Treatment type </w:t>
            </w:r>
            <w:r w:rsidRPr="007B1C60">
              <w:rPr>
                <w:rFonts w:cs="Arial"/>
                <w:b/>
                <w:sz w:val="20"/>
                <w:szCs w:val="20"/>
                <w:vertAlign w:val="superscript"/>
              </w:rPr>
              <w:t>c</w:t>
            </w:r>
          </w:p>
        </w:tc>
        <w:tc>
          <w:tcPr>
            <w:tcW w:w="1989" w:type="dxa"/>
            <w:tcMar>
              <w:left w:w="28" w:type="dxa"/>
              <w:right w:w="28" w:type="dxa"/>
            </w:tcMar>
            <w:vAlign w:val="center"/>
          </w:tcPr>
          <w:p w14:paraId="1F8C2FF0"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1989" w:type="dxa"/>
            <w:tcMar>
              <w:left w:w="28" w:type="dxa"/>
              <w:right w:w="28" w:type="dxa"/>
            </w:tcMar>
            <w:vAlign w:val="center"/>
          </w:tcPr>
          <w:p w14:paraId="6017D304"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c>
          <w:tcPr>
            <w:tcW w:w="2784" w:type="dxa"/>
            <w:tcMar>
              <w:left w:w="28" w:type="dxa"/>
              <w:right w:w="28" w:type="dxa"/>
            </w:tcMar>
            <w:vAlign w:val="center"/>
          </w:tcPr>
          <w:p w14:paraId="0D072F93" w14:textId="77777777" w:rsidR="00CB792E" w:rsidRPr="007B1C60" w:rsidRDefault="00CB792E" w:rsidP="00650CCA">
            <w:pPr>
              <w:spacing w:line="240" w:lineRule="auto"/>
              <w:jc w:val="left"/>
              <w:rPr>
                <w:rFonts w:cs="Arial"/>
                <w:sz w:val="20"/>
                <w:szCs w:val="20"/>
              </w:rPr>
            </w:pPr>
            <w:r w:rsidRPr="007B1C60">
              <w:rPr>
                <w:rFonts w:cs="Arial"/>
                <w:sz w:val="20"/>
                <w:szCs w:val="20"/>
              </w:rPr>
              <w:t xml:space="preserve"> </w:t>
            </w:r>
          </w:p>
        </w:tc>
      </w:tr>
      <w:tr w:rsidR="00CB792E" w:rsidRPr="007B1C60" w14:paraId="2EE09562" w14:textId="77777777" w:rsidTr="003A5A3D">
        <w:trPr>
          <w:trHeight w:val="284"/>
        </w:trPr>
        <w:tc>
          <w:tcPr>
            <w:tcW w:w="2254" w:type="dxa"/>
            <w:tcMar>
              <w:left w:w="28" w:type="dxa"/>
              <w:right w:w="28" w:type="dxa"/>
            </w:tcMar>
            <w:vAlign w:val="center"/>
          </w:tcPr>
          <w:p w14:paraId="39E409B6" w14:textId="77777777" w:rsidR="00CB792E" w:rsidRPr="007B1C60" w:rsidRDefault="00CB792E" w:rsidP="00650CCA">
            <w:pPr>
              <w:spacing w:line="240" w:lineRule="auto"/>
              <w:jc w:val="left"/>
              <w:rPr>
                <w:rFonts w:cs="Arial"/>
                <w:b/>
                <w:sz w:val="20"/>
                <w:szCs w:val="20"/>
              </w:rPr>
            </w:pPr>
            <w:r w:rsidRPr="007B1C60">
              <w:rPr>
                <w:rFonts w:cs="Arial"/>
                <w:b/>
                <w:sz w:val="20"/>
                <w:szCs w:val="20"/>
              </w:rPr>
              <w:t>Any surgery</w:t>
            </w:r>
          </w:p>
        </w:tc>
        <w:tc>
          <w:tcPr>
            <w:tcW w:w="1989" w:type="dxa"/>
            <w:tcMar>
              <w:left w:w="28" w:type="dxa"/>
              <w:right w:w="28" w:type="dxa"/>
            </w:tcMar>
            <w:vAlign w:val="center"/>
          </w:tcPr>
          <w:p w14:paraId="7C5550A6" w14:textId="77777777" w:rsidR="00CB792E" w:rsidRPr="007B1C60" w:rsidRDefault="00CB792E" w:rsidP="00650CCA">
            <w:pPr>
              <w:spacing w:line="240" w:lineRule="auto"/>
              <w:jc w:val="left"/>
              <w:rPr>
                <w:rFonts w:cs="Arial"/>
                <w:sz w:val="20"/>
                <w:szCs w:val="20"/>
              </w:rPr>
            </w:pPr>
            <w:r w:rsidRPr="007B1C60">
              <w:rPr>
                <w:rFonts w:cs="Arial"/>
                <w:sz w:val="20"/>
                <w:szCs w:val="20"/>
              </w:rPr>
              <w:t>36.7%</w:t>
            </w:r>
          </w:p>
        </w:tc>
        <w:tc>
          <w:tcPr>
            <w:tcW w:w="1989" w:type="dxa"/>
            <w:tcMar>
              <w:left w:w="28" w:type="dxa"/>
              <w:right w:w="28" w:type="dxa"/>
            </w:tcMar>
            <w:vAlign w:val="center"/>
          </w:tcPr>
          <w:p w14:paraId="7003DFB8" w14:textId="77777777" w:rsidR="00CB792E" w:rsidRPr="007B1C60" w:rsidRDefault="00CB792E" w:rsidP="00650CCA">
            <w:pPr>
              <w:spacing w:line="240" w:lineRule="auto"/>
              <w:jc w:val="left"/>
              <w:rPr>
                <w:rFonts w:cs="Arial"/>
                <w:sz w:val="20"/>
                <w:szCs w:val="20"/>
              </w:rPr>
            </w:pPr>
            <w:r w:rsidRPr="007B1C60">
              <w:rPr>
                <w:rFonts w:cs="Arial"/>
                <w:sz w:val="20"/>
                <w:szCs w:val="20"/>
              </w:rPr>
              <w:t>63.3%</w:t>
            </w:r>
          </w:p>
        </w:tc>
        <w:tc>
          <w:tcPr>
            <w:tcW w:w="2784" w:type="dxa"/>
            <w:tcMar>
              <w:left w:w="28" w:type="dxa"/>
              <w:right w:w="28" w:type="dxa"/>
            </w:tcMar>
            <w:vAlign w:val="center"/>
          </w:tcPr>
          <w:p w14:paraId="5FAA99F1" w14:textId="77777777" w:rsidR="00CB792E" w:rsidRPr="007B1C60" w:rsidRDefault="00CB792E" w:rsidP="00650CCA">
            <w:pPr>
              <w:spacing w:line="240" w:lineRule="auto"/>
              <w:jc w:val="left"/>
              <w:rPr>
                <w:rFonts w:cs="Arial"/>
                <w:sz w:val="20"/>
                <w:szCs w:val="20"/>
              </w:rPr>
            </w:pPr>
            <w:r w:rsidRPr="007B1C60">
              <w:rPr>
                <w:rFonts w:cs="Arial"/>
                <w:sz w:val="20"/>
                <w:szCs w:val="20"/>
              </w:rPr>
              <w:t>1.05 (0.98-1.13)</w:t>
            </w:r>
          </w:p>
        </w:tc>
      </w:tr>
      <w:tr w:rsidR="00CB792E" w:rsidRPr="007B1C60" w14:paraId="5885243F" w14:textId="77777777" w:rsidTr="003A5A3D">
        <w:trPr>
          <w:trHeight w:val="284"/>
        </w:trPr>
        <w:tc>
          <w:tcPr>
            <w:tcW w:w="2254" w:type="dxa"/>
            <w:tcMar>
              <w:left w:w="28" w:type="dxa"/>
              <w:right w:w="28" w:type="dxa"/>
            </w:tcMar>
            <w:vAlign w:val="center"/>
          </w:tcPr>
          <w:p w14:paraId="78CF9A7A" w14:textId="77777777" w:rsidR="00CB792E" w:rsidRPr="007B1C60" w:rsidRDefault="00CB792E" w:rsidP="00650CCA">
            <w:pPr>
              <w:spacing w:line="240" w:lineRule="auto"/>
              <w:jc w:val="left"/>
              <w:rPr>
                <w:rFonts w:cs="Arial"/>
                <w:b/>
                <w:sz w:val="20"/>
                <w:szCs w:val="20"/>
              </w:rPr>
            </w:pPr>
            <w:r w:rsidRPr="007B1C60">
              <w:rPr>
                <w:rFonts w:cs="Arial"/>
                <w:b/>
                <w:sz w:val="20"/>
                <w:szCs w:val="20"/>
              </w:rPr>
              <w:t>Any EBRT</w:t>
            </w:r>
          </w:p>
        </w:tc>
        <w:tc>
          <w:tcPr>
            <w:tcW w:w="1989" w:type="dxa"/>
            <w:tcMar>
              <w:left w:w="28" w:type="dxa"/>
              <w:right w:w="28" w:type="dxa"/>
            </w:tcMar>
            <w:vAlign w:val="center"/>
          </w:tcPr>
          <w:p w14:paraId="4F663E45" w14:textId="77777777" w:rsidR="00CB792E" w:rsidRPr="007B1C60" w:rsidRDefault="00CB792E" w:rsidP="00650CCA">
            <w:pPr>
              <w:spacing w:line="240" w:lineRule="auto"/>
              <w:jc w:val="left"/>
              <w:rPr>
                <w:rFonts w:cs="Arial"/>
                <w:sz w:val="20"/>
                <w:szCs w:val="20"/>
              </w:rPr>
            </w:pPr>
            <w:r w:rsidRPr="007B1C60">
              <w:rPr>
                <w:rFonts w:cs="Arial"/>
                <w:sz w:val="20"/>
                <w:szCs w:val="20"/>
              </w:rPr>
              <w:t>32.7%</w:t>
            </w:r>
          </w:p>
        </w:tc>
        <w:tc>
          <w:tcPr>
            <w:tcW w:w="1989" w:type="dxa"/>
            <w:tcMar>
              <w:left w:w="28" w:type="dxa"/>
              <w:right w:w="28" w:type="dxa"/>
            </w:tcMar>
            <w:vAlign w:val="center"/>
          </w:tcPr>
          <w:p w14:paraId="206FB1F6" w14:textId="77777777" w:rsidR="00CB792E" w:rsidRPr="007B1C60" w:rsidRDefault="00CB792E" w:rsidP="00650CCA">
            <w:pPr>
              <w:spacing w:line="240" w:lineRule="auto"/>
              <w:jc w:val="left"/>
              <w:rPr>
                <w:rFonts w:cs="Arial"/>
                <w:sz w:val="20"/>
                <w:szCs w:val="20"/>
              </w:rPr>
            </w:pPr>
            <w:r w:rsidRPr="007B1C60">
              <w:rPr>
                <w:rFonts w:cs="Arial"/>
                <w:sz w:val="20"/>
                <w:szCs w:val="20"/>
              </w:rPr>
              <w:t>67.3%</w:t>
            </w:r>
          </w:p>
        </w:tc>
        <w:tc>
          <w:tcPr>
            <w:tcW w:w="2784" w:type="dxa"/>
            <w:tcMar>
              <w:left w:w="28" w:type="dxa"/>
              <w:right w:w="28" w:type="dxa"/>
            </w:tcMar>
            <w:vAlign w:val="center"/>
          </w:tcPr>
          <w:p w14:paraId="780AFC7C" w14:textId="77777777" w:rsidR="00CB792E" w:rsidRPr="007B1C60" w:rsidRDefault="00CB792E" w:rsidP="00650CCA">
            <w:pPr>
              <w:spacing w:line="240" w:lineRule="auto"/>
              <w:jc w:val="left"/>
              <w:rPr>
                <w:rFonts w:cs="Arial"/>
                <w:sz w:val="20"/>
                <w:szCs w:val="20"/>
              </w:rPr>
            </w:pPr>
            <w:r w:rsidRPr="007B1C60">
              <w:rPr>
                <w:rFonts w:cs="Arial"/>
                <w:sz w:val="20"/>
                <w:szCs w:val="20"/>
              </w:rPr>
              <w:t>1.04 (0.98-1.11)</w:t>
            </w:r>
          </w:p>
        </w:tc>
      </w:tr>
      <w:tr w:rsidR="00CB792E" w:rsidRPr="007B1C60" w14:paraId="452208E2" w14:textId="77777777" w:rsidTr="003A5A3D">
        <w:trPr>
          <w:trHeight w:val="284"/>
        </w:trPr>
        <w:tc>
          <w:tcPr>
            <w:tcW w:w="2254" w:type="dxa"/>
            <w:tcMar>
              <w:left w:w="28" w:type="dxa"/>
              <w:right w:w="28" w:type="dxa"/>
            </w:tcMar>
            <w:vAlign w:val="center"/>
          </w:tcPr>
          <w:p w14:paraId="06CC60D4" w14:textId="7A585799" w:rsidR="00CB792E" w:rsidRPr="007B1C60" w:rsidRDefault="007169A9" w:rsidP="00D30E72">
            <w:pPr>
              <w:spacing w:line="240" w:lineRule="auto"/>
              <w:jc w:val="left"/>
              <w:rPr>
                <w:rFonts w:cs="Arial"/>
                <w:b/>
                <w:sz w:val="20"/>
                <w:szCs w:val="20"/>
              </w:rPr>
            </w:pPr>
            <w:r>
              <w:rPr>
                <w:rFonts w:cs="Arial"/>
                <w:b/>
                <w:sz w:val="20"/>
                <w:szCs w:val="20"/>
              </w:rPr>
              <w:t xml:space="preserve">Any </w:t>
            </w:r>
            <w:r w:rsidR="00D30E72">
              <w:rPr>
                <w:rFonts w:cs="Arial"/>
                <w:b/>
                <w:sz w:val="20"/>
                <w:szCs w:val="20"/>
              </w:rPr>
              <w:t>b</w:t>
            </w:r>
            <w:r w:rsidR="00D30E72" w:rsidRPr="007B1C60">
              <w:rPr>
                <w:rFonts w:cs="Arial"/>
                <w:b/>
                <w:sz w:val="20"/>
                <w:szCs w:val="20"/>
              </w:rPr>
              <w:t>rachytherapy</w:t>
            </w:r>
          </w:p>
        </w:tc>
        <w:tc>
          <w:tcPr>
            <w:tcW w:w="1989" w:type="dxa"/>
            <w:tcMar>
              <w:left w:w="28" w:type="dxa"/>
              <w:right w:w="28" w:type="dxa"/>
            </w:tcMar>
            <w:vAlign w:val="center"/>
          </w:tcPr>
          <w:p w14:paraId="69AB539E" w14:textId="77777777" w:rsidR="00CB792E" w:rsidRPr="007B1C60" w:rsidRDefault="00CB792E" w:rsidP="00650CCA">
            <w:pPr>
              <w:spacing w:line="240" w:lineRule="auto"/>
              <w:jc w:val="left"/>
              <w:rPr>
                <w:rFonts w:cs="Arial"/>
                <w:sz w:val="20"/>
                <w:szCs w:val="20"/>
              </w:rPr>
            </w:pPr>
            <w:r w:rsidRPr="007B1C60">
              <w:rPr>
                <w:rFonts w:cs="Arial"/>
                <w:sz w:val="20"/>
                <w:szCs w:val="20"/>
              </w:rPr>
              <w:t>42.4%</w:t>
            </w:r>
          </w:p>
        </w:tc>
        <w:tc>
          <w:tcPr>
            <w:tcW w:w="1989" w:type="dxa"/>
            <w:tcMar>
              <w:left w:w="28" w:type="dxa"/>
              <w:right w:w="28" w:type="dxa"/>
            </w:tcMar>
            <w:vAlign w:val="center"/>
          </w:tcPr>
          <w:p w14:paraId="6CB3D3D9" w14:textId="77777777" w:rsidR="00CB792E" w:rsidRPr="007B1C60" w:rsidRDefault="00CB792E" w:rsidP="00650CCA">
            <w:pPr>
              <w:spacing w:line="240" w:lineRule="auto"/>
              <w:jc w:val="left"/>
              <w:rPr>
                <w:rFonts w:cs="Arial"/>
                <w:sz w:val="20"/>
                <w:szCs w:val="20"/>
              </w:rPr>
            </w:pPr>
            <w:r>
              <w:rPr>
                <w:rFonts w:cs="Arial"/>
                <w:sz w:val="20"/>
                <w:szCs w:val="20"/>
              </w:rPr>
              <w:t>57.6</w:t>
            </w:r>
            <w:r w:rsidRPr="007B1C60">
              <w:rPr>
                <w:rFonts w:cs="Arial"/>
                <w:sz w:val="20"/>
                <w:szCs w:val="20"/>
              </w:rPr>
              <w:t>%</w:t>
            </w:r>
          </w:p>
        </w:tc>
        <w:tc>
          <w:tcPr>
            <w:tcW w:w="2784" w:type="dxa"/>
            <w:tcMar>
              <w:left w:w="28" w:type="dxa"/>
              <w:right w:w="28" w:type="dxa"/>
            </w:tcMar>
            <w:vAlign w:val="center"/>
          </w:tcPr>
          <w:p w14:paraId="49D32AE9" w14:textId="77777777" w:rsidR="00CB792E" w:rsidRPr="007B1C60" w:rsidRDefault="00CB792E" w:rsidP="00650CCA">
            <w:pPr>
              <w:spacing w:line="240" w:lineRule="auto"/>
              <w:jc w:val="left"/>
              <w:rPr>
                <w:rFonts w:cs="Arial"/>
                <w:sz w:val="20"/>
                <w:szCs w:val="20"/>
              </w:rPr>
            </w:pPr>
            <w:r w:rsidRPr="007B1C60">
              <w:rPr>
                <w:rFonts w:cs="Arial"/>
                <w:sz w:val="20"/>
                <w:szCs w:val="20"/>
              </w:rPr>
              <w:t>0.77 (0.70-0.85)**</w:t>
            </w:r>
          </w:p>
        </w:tc>
      </w:tr>
      <w:tr w:rsidR="00CB792E" w:rsidRPr="007B1C60" w14:paraId="4BAF62CF" w14:textId="77777777" w:rsidTr="003A5A3D">
        <w:trPr>
          <w:trHeight w:val="284"/>
        </w:trPr>
        <w:tc>
          <w:tcPr>
            <w:tcW w:w="2254" w:type="dxa"/>
            <w:tcMar>
              <w:left w:w="28" w:type="dxa"/>
              <w:right w:w="28" w:type="dxa"/>
            </w:tcMar>
            <w:vAlign w:val="center"/>
          </w:tcPr>
          <w:p w14:paraId="45BB9095" w14:textId="77777777" w:rsidR="00CB792E" w:rsidRPr="007B1C60" w:rsidRDefault="00CB792E" w:rsidP="00650CCA">
            <w:pPr>
              <w:spacing w:line="240" w:lineRule="auto"/>
              <w:jc w:val="left"/>
              <w:rPr>
                <w:rFonts w:cs="Arial"/>
                <w:b/>
                <w:sz w:val="20"/>
                <w:szCs w:val="20"/>
              </w:rPr>
            </w:pPr>
            <w:r w:rsidRPr="007B1C60">
              <w:rPr>
                <w:rFonts w:cs="Arial"/>
                <w:b/>
                <w:sz w:val="20"/>
                <w:szCs w:val="20"/>
              </w:rPr>
              <w:t>Any ADT</w:t>
            </w:r>
          </w:p>
        </w:tc>
        <w:tc>
          <w:tcPr>
            <w:tcW w:w="1989" w:type="dxa"/>
            <w:tcMar>
              <w:left w:w="28" w:type="dxa"/>
              <w:right w:w="28" w:type="dxa"/>
            </w:tcMar>
            <w:vAlign w:val="center"/>
          </w:tcPr>
          <w:p w14:paraId="47A66CBC" w14:textId="77777777" w:rsidR="00CB792E" w:rsidRPr="007B1C60" w:rsidRDefault="00CB792E" w:rsidP="00650CCA">
            <w:pPr>
              <w:spacing w:line="240" w:lineRule="auto"/>
              <w:jc w:val="left"/>
              <w:rPr>
                <w:rFonts w:cs="Arial"/>
                <w:sz w:val="20"/>
                <w:szCs w:val="20"/>
              </w:rPr>
            </w:pPr>
            <w:r w:rsidRPr="007B1C60">
              <w:rPr>
                <w:rFonts w:cs="Arial"/>
                <w:sz w:val="20"/>
                <w:szCs w:val="20"/>
              </w:rPr>
              <w:t>29.4%</w:t>
            </w:r>
          </w:p>
        </w:tc>
        <w:tc>
          <w:tcPr>
            <w:tcW w:w="1989" w:type="dxa"/>
            <w:tcMar>
              <w:left w:w="28" w:type="dxa"/>
              <w:right w:w="28" w:type="dxa"/>
            </w:tcMar>
            <w:vAlign w:val="center"/>
          </w:tcPr>
          <w:p w14:paraId="56A64282" w14:textId="77777777" w:rsidR="00CB792E" w:rsidRPr="007B1C60" w:rsidRDefault="00CB792E" w:rsidP="00650CCA">
            <w:pPr>
              <w:spacing w:line="240" w:lineRule="auto"/>
              <w:jc w:val="left"/>
              <w:rPr>
                <w:rFonts w:cs="Arial"/>
                <w:sz w:val="20"/>
                <w:szCs w:val="20"/>
              </w:rPr>
            </w:pPr>
            <w:r w:rsidRPr="007B1C60">
              <w:rPr>
                <w:rFonts w:cs="Arial"/>
                <w:sz w:val="20"/>
                <w:szCs w:val="20"/>
              </w:rPr>
              <w:t>70.6%</w:t>
            </w:r>
          </w:p>
        </w:tc>
        <w:tc>
          <w:tcPr>
            <w:tcW w:w="2784" w:type="dxa"/>
            <w:tcMar>
              <w:left w:w="28" w:type="dxa"/>
              <w:right w:w="28" w:type="dxa"/>
            </w:tcMar>
            <w:vAlign w:val="center"/>
          </w:tcPr>
          <w:p w14:paraId="435269BD" w14:textId="77777777" w:rsidR="00CB792E" w:rsidRPr="007B1C60" w:rsidRDefault="00CB792E" w:rsidP="00650CCA">
            <w:pPr>
              <w:spacing w:line="240" w:lineRule="auto"/>
              <w:jc w:val="left"/>
              <w:rPr>
                <w:rFonts w:cs="Arial"/>
                <w:sz w:val="20"/>
                <w:szCs w:val="20"/>
              </w:rPr>
            </w:pPr>
            <w:r w:rsidRPr="007B1C60">
              <w:rPr>
                <w:rFonts w:cs="Arial"/>
                <w:sz w:val="20"/>
                <w:szCs w:val="20"/>
              </w:rPr>
              <w:t>1.22 (1.14-1.30)**</w:t>
            </w:r>
          </w:p>
        </w:tc>
      </w:tr>
      <w:tr w:rsidR="00CB792E" w:rsidRPr="007B1C60" w14:paraId="67CADEF8" w14:textId="77777777" w:rsidTr="003A5A3D">
        <w:trPr>
          <w:trHeight w:val="284"/>
        </w:trPr>
        <w:tc>
          <w:tcPr>
            <w:tcW w:w="2254" w:type="dxa"/>
            <w:tcMar>
              <w:left w:w="28" w:type="dxa"/>
              <w:right w:w="28" w:type="dxa"/>
            </w:tcMar>
            <w:vAlign w:val="center"/>
          </w:tcPr>
          <w:p w14:paraId="226E6F4D" w14:textId="539B3058" w:rsidR="00CB792E" w:rsidRPr="007B1C60" w:rsidRDefault="007169A9" w:rsidP="00D30E72">
            <w:pPr>
              <w:spacing w:line="240" w:lineRule="auto"/>
              <w:jc w:val="left"/>
              <w:rPr>
                <w:rFonts w:cs="Arial"/>
                <w:b/>
                <w:sz w:val="20"/>
                <w:szCs w:val="20"/>
              </w:rPr>
            </w:pPr>
            <w:r>
              <w:rPr>
                <w:rFonts w:cs="Arial"/>
                <w:b/>
                <w:sz w:val="20"/>
                <w:szCs w:val="20"/>
              </w:rPr>
              <w:t xml:space="preserve">Any </w:t>
            </w:r>
            <w:r w:rsidR="00D30E72">
              <w:rPr>
                <w:rFonts w:cs="Arial"/>
                <w:b/>
                <w:sz w:val="20"/>
                <w:szCs w:val="20"/>
              </w:rPr>
              <w:t>s</w:t>
            </w:r>
            <w:r w:rsidR="00D30E72" w:rsidRPr="007B1C60">
              <w:rPr>
                <w:rFonts w:cs="Arial"/>
                <w:b/>
                <w:sz w:val="20"/>
                <w:szCs w:val="20"/>
              </w:rPr>
              <w:t>ystemic</w:t>
            </w:r>
          </w:p>
        </w:tc>
        <w:tc>
          <w:tcPr>
            <w:tcW w:w="1989" w:type="dxa"/>
            <w:tcMar>
              <w:left w:w="28" w:type="dxa"/>
              <w:right w:w="28" w:type="dxa"/>
            </w:tcMar>
            <w:vAlign w:val="center"/>
          </w:tcPr>
          <w:p w14:paraId="01B0971F" w14:textId="77777777" w:rsidR="00CB792E" w:rsidRPr="007B1C60" w:rsidRDefault="00CB792E" w:rsidP="00650CCA">
            <w:pPr>
              <w:spacing w:line="240" w:lineRule="auto"/>
              <w:jc w:val="left"/>
              <w:rPr>
                <w:rFonts w:cs="Arial"/>
                <w:sz w:val="20"/>
                <w:szCs w:val="20"/>
              </w:rPr>
            </w:pPr>
            <w:r w:rsidRPr="007B1C60">
              <w:rPr>
                <w:rFonts w:cs="Arial"/>
                <w:sz w:val="20"/>
                <w:szCs w:val="20"/>
              </w:rPr>
              <w:t>17.7%</w:t>
            </w:r>
          </w:p>
        </w:tc>
        <w:tc>
          <w:tcPr>
            <w:tcW w:w="1989" w:type="dxa"/>
            <w:tcMar>
              <w:left w:w="28" w:type="dxa"/>
              <w:right w:w="28" w:type="dxa"/>
            </w:tcMar>
            <w:vAlign w:val="center"/>
          </w:tcPr>
          <w:p w14:paraId="6EA231F0" w14:textId="77777777" w:rsidR="00CB792E" w:rsidRPr="007B1C60" w:rsidRDefault="00CB792E" w:rsidP="00650CCA">
            <w:pPr>
              <w:spacing w:line="240" w:lineRule="auto"/>
              <w:jc w:val="left"/>
              <w:rPr>
                <w:rFonts w:cs="Arial"/>
                <w:sz w:val="20"/>
                <w:szCs w:val="20"/>
              </w:rPr>
            </w:pPr>
            <w:r w:rsidRPr="007B1C60">
              <w:rPr>
                <w:rFonts w:cs="Arial"/>
                <w:sz w:val="20"/>
                <w:szCs w:val="20"/>
              </w:rPr>
              <w:t>82.3%</w:t>
            </w:r>
          </w:p>
        </w:tc>
        <w:tc>
          <w:tcPr>
            <w:tcW w:w="2784" w:type="dxa"/>
            <w:tcMar>
              <w:left w:w="28" w:type="dxa"/>
              <w:right w:w="28" w:type="dxa"/>
            </w:tcMar>
            <w:vAlign w:val="center"/>
          </w:tcPr>
          <w:p w14:paraId="5F62AE70" w14:textId="77777777" w:rsidR="00CB792E" w:rsidRPr="007B1C60" w:rsidRDefault="00CB792E" w:rsidP="00650CCA">
            <w:pPr>
              <w:spacing w:line="240" w:lineRule="auto"/>
              <w:jc w:val="left"/>
              <w:rPr>
                <w:rFonts w:cs="Arial"/>
                <w:sz w:val="20"/>
                <w:szCs w:val="20"/>
              </w:rPr>
            </w:pPr>
            <w:r w:rsidRPr="007B1C60">
              <w:rPr>
                <w:rFonts w:cs="Arial"/>
                <w:sz w:val="20"/>
                <w:szCs w:val="20"/>
              </w:rPr>
              <w:t>1.64 (1.43-1.89)**</w:t>
            </w:r>
          </w:p>
        </w:tc>
      </w:tr>
      <w:tr w:rsidR="00CB792E" w:rsidRPr="007B1C60" w14:paraId="1E8C71D5" w14:textId="77777777" w:rsidTr="003A5A3D">
        <w:trPr>
          <w:trHeight w:val="284"/>
        </w:trPr>
        <w:tc>
          <w:tcPr>
            <w:tcW w:w="2254" w:type="dxa"/>
            <w:tcMar>
              <w:left w:w="28" w:type="dxa"/>
              <w:right w:w="28" w:type="dxa"/>
            </w:tcMar>
            <w:vAlign w:val="center"/>
          </w:tcPr>
          <w:p w14:paraId="6CD8B997" w14:textId="77777777" w:rsidR="00CB792E" w:rsidRPr="007B1C60" w:rsidRDefault="00CB792E" w:rsidP="00650CCA">
            <w:pPr>
              <w:spacing w:line="240" w:lineRule="auto"/>
              <w:jc w:val="left"/>
              <w:rPr>
                <w:rFonts w:cs="Arial"/>
                <w:b/>
                <w:sz w:val="20"/>
                <w:szCs w:val="20"/>
              </w:rPr>
            </w:pPr>
            <w:r w:rsidRPr="007B1C60">
              <w:rPr>
                <w:rFonts w:cs="Arial"/>
                <w:b/>
                <w:sz w:val="20"/>
                <w:szCs w:val="20"/>
              </w:rPr>
              <w:t>Any other</w:t>
            </w:r>
          </w:p>
        </w:tc>
        <w:tc>
          <w:tcPr>
            <w:tcW w:w="1989" w:type="dxa"/>
            <w:tcMar>
              <w:left w:w="28" w:type="dxa"/>
              <w:right w:w="28" w:type="dxa"/>
            </w:tcMar>
            <w:vAlign w:val="center"/>
          </w:tcPr>
          <w:p w14:paraId="5154CC77" w14:textId="77777777" w:rsidR="00CB792E" w:rsidRPr="007B1C60" w:rsidRDefault="00CB792E" w:rsidP="00650CCA">
            <w:pPr>
              <w:spacing w:line="240" w:lineRule="auto"/>
              <w:jc w:val="left"/>
              <w:rPr>
                <w:rFonts w:cs="Arial"/>
                <w:sz w:val="20"/>
                <w:szCs w:val="20"/>
              </w:rPr>
            </w:pPr>
            <w:r w:rsidRPr="007B1C60">
              <w:rPr>
                <w:rFonts w:cs="Arial"/>
                <w:sz w:val="20"/>
                <w:szCs w:val="20"/>
              </w:rPr>
              <w:t>37.1%</w:t>
            </w:r>
          </w:p>
        </w:tc>
        <w:tc>
          <w:tcPr>
            <w:tcW w:w="1989" w:type="dxa"/>
            <w:tcMar>
              <w:left w:w="28" w:type="dxa"/>
              <w:right w:w="28" w:type="dxa"/>
            </w:tcMar>
            <w:vAlign w:val="center"/>
          </w:tcPr>
          <w:p w14:paraId="3D34DFC0" w14:textId="77777777" w:rsidR="00CB792E" w:rsidRPr="007B1C60" w:rsidRDefault="00CB792E" w:rsidP="00650CCA">
            <w:pPr>
              <w:spacing w:line="240" w:lineRule="auto"/>
              <w:jc w:val="left"/>
              <w:rPr>
                <w:rFonts w:cs="Arial"/>
                <w:sz w:val="20"/>
                <w:szCs w:val="20"/>
              </w:rPr>
            </w:pPr>
            <w:r w:rsidRPr="007B1C60">
              <w:rPr>
                <w:rFonts w:cs="Arial"/>
                <w:sz w:val="20"/>
                <w:szCs w:val="20"/>
              </w:rPr>
              <w:t>62.9%</w:t>
            </w:r>
          </w:p>
        </w:tc>
        <w:tc>
          <w:tcPr>
            <w:tcW w:w="2784" w:type="dxa"/>
            <w:tcMar>
              <w:left w:w="28" w:type="dxa"/>
              <w:right w:w="28" w:type="dxa"/>
            </w:tcMar>
            <w:vAlign w:val="center"/>
          </w:tcPr>
          <w:p w14:paraId="30789F85" w14:textId="77777777" w:rsidR="00CB792E" w:rsidRPr="007B1C60" w:rsidRDefault="00CB792E" w:rsidP="00650CCA">
            <w:pPr>
              <w:spacing w:line="240" w:lineRule="auto"/>
              <w:jc w:val="left"/>
              <w:rPr>
                <w:rFonts w:cs="Arial"/>
                <w:sz w:val="20"/>
                <w:szCs w:val="20"/>
              </w:rPr>
            </w:pPr>
            <w:r w:rsidRPr="007B1C60">
              <w:rPr>
                <w:rFonts w:cs="Arial"/>
                <w:sz w:val="20"/>
                <w:szCs w:val="20"/>
              </w:rPr>
              <w:t>1.00 (0.92-1.09)</w:t>
            </w:r>
          </w:p>
        </w:tc>
      </w:tr>
      <w:tr w:rsidR="00CB792E" w:rsidRPr="007B1C60" w14:paraId="01D5D2BD" w14:textId="77777777" w:rsidTr="003A5A3D">
        <w:trPr>
          <w:trHeight w:val="284"/>
        </w:trPr>
        <w:tc>
          <w:tcPr>
            <w:tcW w:w="2254" w:type="dxa"/>
            <w:tcMar>
              <w:left w:w="28" w:type="dxa"/>
              <w:right w:w="28" w:type="dxa"/>
            </w:tcMar>
            <w:vAlign w:val="center"/>
          </w:tcPr>
          <w:p w14:paraId="0CF7BAEB" w14:textId="77777777" w:rsidR="00CB792E" w:rsidRPr="007B1C60" w:rsidRDefault="00CB792E" w:rsidP="00650CCA">
            <w:pPr>
              <w:spacing w:line="240" w:lineRule="auto"/>
              <w:jc w:val="left"/>
              <w:rPr>
                <w:rFonts w:cs="Arial"/>
                <w:b/>
                <w:sz w:val="20"/>
                <w:szCs w:val="20"/>
              </w:rPr>
            </w:pPr>
            <w:r w:rsidRPr="007B1C60">
              <w:rPr>
                <w:rFonts w:cs="Arial"/>
                <w:b/>
                <w:sz w:val="20"/>
                <w:szCs w:val="20"/>
              </w:rPr>
              <w:t>Monitoring only</w:t>
            </w:r>
          </w:p>
        </w:tc>
        <w:tc>
          <w:tcPr>
            <w:tcW w:w="1989" w:type="dxa"/>
            <w:tcMar>
              <w:left w:w="28" w:type="dxa"/>
              <w:right w:w="28" w:type="dxa"/>
            </w:tcMar>
            <w:vAlign w:val="center"/>
          </w:tcPr>
          <w:p w14:paraId="16CA883D" w14:textId="77777777" w:rsidR="00CB792E" w:rsidRPr="007B1C60" w:rsidRDefault="00CB792E" w:rsidP="00650CCA">
            <w:pPr>
              <w:spacing w:line="240" w:lineRule="auto"/>
              <w:jc w:val="left"/>
              <w:rPr>
                <w:rFonts w:cs="Arial"/>
                <w:sz w:val="20"/>
                <w:szCs w:val="20"/>
              </w:rPr>
            </w:pPr>
            <w:r w:rsidRPr="007B1C60">
              <w:rPr>
                <w:rFonts w:cs="Arial"/>
                <w:sz w:val="20"/>
                <w:szCs w:val="20"/>
              </w:rPr>
              <w:t>37.4%</w:t>
            </w:r>
          </w:p>
        </w:tc>
        <w:tc>
          <w:tcPr>
            <w:tcW w:w="1989" w:type="dxa"/>
            <w:tcMar>
              <w:left w:w="28" w:type="dxa"/>
              <w:right w:w="28" w:type="dxa"/>
            </w:tcMar>
            <w:vAlign w:val="center"/>
          </w:tcPr>
          <w:p w14:paraId="72D94ED8" w14:textId="77777777" w:rsidR="00CB792E" w:rsidRPr="007B1C60" w:rsidRDefault="00CB792E" w:rsidP="00650CCA">
            <w:pPr>
              <w:spacing w:line="240" w:lineRule="auto"/>
              <w:jc w:val="left"/>
              <w:rPr>
                <w:rFonts w:cs="Arial"/>
                <w:sz w:val="20"/>
                <w:szCs w:val="20"/>
              </w:rPr>
            </w:pPr>
            <w:r w:rsidRPr="007B1C60">
              <w:rPr>
                <w:rFonts w:cs="Arial"/>
                <w:sz w:val="20"/>
                <w:szCs w:val="20"/>
              </w:rPr>
              <w:t>62.6%</w:t>
            </w:r>
          </w:p>
        </w:tc>
        <w:tc>
          <w:tcPr>
            <w:tcW w:w="2784" w:type="dxa"/>
            <w:tcMar>
              <w:left w:w="28" w:type="dxa"/>
              <w:right w:w="28" w:type="dxa"/>
            </w:tcMar>
            <w:vAlign w:val="center"/>
          </w:tcPr>
          <w:p w14:paraId="15B2A7A3" w14:textId="77777777" w:rsidR="00CB792E" w:rsidRPr="007B1C60" w:rsidRDefault="00CB792E" w:rsidP="00650CCA">
            <w:pPr>
              <w:spacing w:line="240" w:lineRule="auto"/>
              <w:jc w:val="left"/>
              <w:rPr>
                <w:rFonts w:cs="Arial"/>
                <w:sz w:val="20"/>
                <w:szCs w:val="20"/>
              </w:rPr>
            </w:pPr>
            <w:r w:rsidRPr="007B1C60">
              <w:rPr>
                <w:rFonts w:cs="Arial"/>
                <w:sz w:val="20"/>
                <w:szCs w:val="20"/>
              </w:rPr>
              <w:t>1.05 (0.96-1.16)</w:t>
            </w:r>
          </w:p>
        </w:tc>
      </w:tr>
    </w:tbl>
    <w:p w14:paraId="03024AD2" w14:textId="77777777" w:rsidR="00CB792E" w:rsidRDefault="00CB792E" w:rsidP="00CB792E">
      <w:pPr>
        <w:spacing w:line="240" w:lineRule="auto"/>
        <w:rPr>
          <w:sz w:val="20"/>
          <w:szCs w:val="20"/>
        </w:rPr>
      </w:pPr>
    </w:p>
    <w:p w14:paraId="09FD0993" w14:textId="77777777" w:rsidR="00CB792E" w:rsidRPr="00B7357B" w:rsidRDefault="00CB792E" w:rsidP="00CB792E">
      <w:pPr>
        <w:spacing w:line="240" w:lineRule="auto"/>
        <w:rPr>
          <w:sz w:val="20"/>
          <w:szCs w:val="20"/>
        </w:rPr>
      </w:pPr>
      <w:r w:rsidRPr="00B7357B">
        <w:rPr>
          <w:sz w:val="20"/>
          <w:szCs w:val="20"/>
        </w:rPr>
        <w:t>Notes:</w:t>
      </w:r>
    </w:p>
    <w:p w14:paraId="4B65081D" w14:textId="77777777" w:rsidR="00CB792E" w:rsidRPr="00B7357B" w:rsidRDefault="00CB792E" w:rsidP="00CB792E">
      <w:pPr>
        <w:spacing w:line="240" w:lineRule="auto"/>
        <w:rPr>
          <w:sz w:val="20"/>
          <w:szCs w:val="20"/>
        </w:rPr>
      </w:pPr>
      <w:r w:rsidRPr="00B7357B">
        <w:rPr>
          <w:sz w:val="20"/>
          <w:szCs w:val="20"/>
        </w:rPr>
        <w:t>(a)</w:t>
      </w:r>
      <w:r w:rsidRPr="00B7357B">
        <w:rPr>
          <w:sz w:val="20"/>
          <w:szCs w:val="20"/>
        </w:rPr>
        <w:tab/>
        <w:t>Denominator excludes other and missing method of presentation.</w:t>
      </w:r>
    </w:p>
    <w:p w14:paraId="7DF53032" w14:textId="77777777" w:rsidR="00CB792E" w:rsidRPr="00B7357B" w:rsidRDefault="00CB792E" w:rsidP="00CB792E">
      <w:pPr>
        <w:spacing w:line="240" w:lineRule="auto"/>
        <w:rPr>
          <w:sz w:val="20"/>
          <w:szCs w:val="20"/>
        </w:rPr>
      </w:pPr>
      <w:r w:rsidRPr="00B7357B">
        <w:rPr>
          <w:sz w:val="20"/>
          <w:szCs w:val="20"/>
        </w:rPr>
        <w:t>(b)</w:t>
      </w:r>
      <w:r w:rsidRPr="00B7357B">
        <w:rPr>
          <w:sz w:val="20"/>
          <w:szCs w:val="20"/>
        </w:rPr>
        <w:tab/>
        <w:t>Determined using multivariable logistic regression adjusted for other variables in the table plus nation, deprivation, number of comorbidities, BMI, ethnicity, marital status and employment status. An odds ratio greater than 1 represents a greater odds than the baseline (i.e. first) group of being symptomatic compared to PSA-detected.</w:t>
      </w:r>
    </w:p>
    <w:p w14:paraId="4246D8DD" w14:textId="77777777" w:rsidR="00CB792E" w:rsidRPr="00B7357B" w:rsidRDefault="00CB792E" w:rsidP="00CB792E">
      <w:pPr>
        <w:spacing w:line="240" w:lineRule="auto"/>
        <w:rPr>
          <w:sz w:val="20"/>
          <w:szCs w:val="20"/>
        </w:rPr>
      </w:pPr>
      <w:r w:rsidRPr="00B7357B">
        <w:rPr>
          <w:sz w:val="20"/>
          <w:szCs w:val="20"/>
        </w:rPr>
        <w:t>(c)</w:t>
      </w:r>
      <w:r w:rsidRPr="00B7357B">
        <w:rPr>
          <w:sz w:val="20"/>
          <w:szCs w:val="20"/>
        </w:rPr>
        <w:tab/>
        <w:t>Men may have more than one type of treatment. Odds ratios for treatment type have a reference category of not receiving that treatment type (i.e. No surgery, No EBRT etc.).</w:t>
      </w:r>
    </w:p>
    <w:p w14:paraId="32FA62F0" w14:textId="77777777" w:rsidR="00CB792E" w:rsidRPr="00B7357B" w:rsidRDefault="00CB792E" w:rsidP="00CB792E">
      <w:pPr>
        <w:spacing w:line="240" w:lineRule="auto"/>
        <w:rPr>
          <w:sz w:val="20"/>
          <w:szCs w:val="20"/>
        </w:rPr>
      </w:pPr>
      <w:r w:rsidRPr="00B7357B">
        <w:rPr>
          <w:sz w:val="20"/>
          <w:szCs w:val="20"/>
        </w:rPr>
        <w:t>EBRT - External Bea</w:t>
      </w:r>
      <w:r>
        <w:rPr>
          <w:sz w:val="20"/>
          <w:szCs w:val="20"/>
        </w:rPr>
        <w:t>m Radiotherapy, ADT - Androgen Deprivation T</w:t>
      </w:r>
      <w:r w:rsidRPr="00B7357B">
        <w:rPr>
          <w:sz w:val="20"/>
          <w:szCs w:val="20"/>
        </w:rPr>
        <w:t>herapy, Systemic - Chemotherapy/</w:t>
      </w:r>
      <w:proofErr w:type="spellStart"/>
      <w:r w:rsidRPr="00B7357B">
        <w:rPr>
          <w:sz w:val="20"/>
          <w:szCs w:val="20"/>
        </w:rPr>
        <w:t>Abiraterone</w:t>
      </w:r>
      <w:proofErr w:type="spellEnd"/>
      <w:r w:rsidRPr="00B7357B">
        <w:rPr>
          <w:sz w:val="20"/>
          <w:szCs w:val="20"/>
        </w:rPr>
        <w:t>/</w:t>
      </w:r>
      <w:proofErr w:type="spellStart"/>
      <w:r w:rsidRPr="00B7357B">
        <w:rPr>
          <w:sz w:val="20"/>
          <w:szCs w:val="20"/>
        </w:rPr>
        <w:t>Enzalutamide</w:t>
      </w:r>
      <w:proofErr w:type="spellEnd"/>
      <w:r w:rsidRPr="00B7357B">
        <w:rPr>
          <w:sz w:val="20"/>
          <w:szCs w:val="20"/>
        </w:rPr>
        <w:t xml:space="preserve"> # Alive 18-42 months after diagnosis, CI: Confidence interval, * p&lt;0.05, ** p&lt;0.001.</w:t>
      </w:r>
    </w:p>
    <w:p w14:paraId="4AB2640F" w14:textId="77777777" w:rsidR="00CB792E" w:rsidRDefault="00CB792E" w:rsidP="00CB792E"/>
    <w:p w14:paraId="38B5693E" w14:textId="77777777" w:rsidR="00CB792E" w:rsidRDefault="00CB792E" w:rsidP="00CB792E">
      <w:r>
        <w:t xml:space="preserve"> </w:t>
      </w:r>
    </w:p>
    <w:p w14:paraId="2293488A" w14:textId="77777777" w:rsidR="00CB792E" w:rsidRDefault="00CB792E" w:rsidP="00CB792E">
      <w:pPr>
        <w:sectPr w:rsidR="00CB792E" w:rsidSect="00376C02">
          <w:pgSz w:w="11906" w:h="16838"/>
          <w:pgMar w:top="1440" w:right="1440" w:bottom="1440" w:left="1440" w:header="709" w:footer="709" w:gutter="0"/>
          <w:cols w:space="708"/>
          <w:docGrid w:linePitch="360"/>
        </w:sectPr>
      </w:pPr>
    </w:p>
    <w:p w14:paraId="0752A7E2" w14:textId="77777777" w:rsidR="00CB792E" w:rsidRDefault="00CB792E" w:rsidP="00592654">
      <w:pPr>
        <w:pStyle w:val="Heading3"/>
      </w:pPr>
      <w:r>
        <w:lastRenderedPageBreak/>
        <w:t>Table 3: Case mix adjusted ratio of mean functional outcome scores (EPIC-26) of PSA-detected compared to symptomatic prostate cancer survivors</w:t>
      </w:r>
      <w:r w:rsidRPr="00B7357B">
        <w:rPr>
          <w:vertAlign w:val="superscript"/>
        </w:rPr>
        <w:t>#</w:t>
      </w:r>
      <w:r>
        <w:t xml:space="preserve"> </w:t>
      </w:r>
    </w:p>
    <w:p w14:paraId="08FF431A" w14:textId="77777777" w:rsidR="00592654" w:rsidRPr="00592654" w:rsidRDefault="00592654" w:rsidP="0059265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1"/>
        <w:gridCol w:w="1293"/>
        <w:gridCol w:w="1294"/>
        <w:gridCol w:w="1294"/>
        <w:gridCol w:w="1294"/>
        <w:gridCol w:w="1294"/>
      </w:tblGrid>
      <w:tr w:rsidR="00CB792E" w:rsidRPr="007B1C60" w14:paraId="273D80A1" w14:textId="77777777" w:rsidTr="00650CCA">
        <w:tc>
          <w:tcPr>
            <w:tcW w:w="1696" w:type="dxa"/>
            <w:vMerge w:val="restart"/>
            <w:shd w:val="clear" w:color="auto" w:fill="auto"/>
            <w:noWrap/>
            <w:tcMar>
              <w:left w:w="28" w:type="dxa"/>
              <w:right w:w="28" w:type="dxa"/>
            </w:tcMar>
            <w:vAlign w:val="center"/>
          </w:tcPr>
          <w:p w14:paraId="43BDE030"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Respondent characteristics at diagnosis </w:t>
            </w:r>
          </w:p>
        </w:tc>
        <w:tc>
          <w:tcPr>
            <w:tcW w:w="851" w:type="dxa"/>
            <w:vMerge w:val="restart"/>
            <w:shd w:val="clear" w:color="auto" w:fill="auto"/>
            <w:tcMar>
              <w:left w:w="28" w:type="dxa"/>
              <w:right w:w="28" w:type="dxa"/>
            </w:tcMar>
            <w:vAlign w:val="center"/>
          </w:tcPr>
          <w:p w14:paraId="664E5D90"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Number of cases</w:t>
            </w:r>
          </w:p>
        </w:tc>
        <w:tc>
          <w:tcPr>
            <w:tcW w:w="6469" w:type="dxa"/>
            <w:gridSpan w:val="5"/>
            <w:shd w:val="clear" w:color="auto" w:fill="auto"/>
            <w:tcMar>
              <w:left w:w="28" w:type="dxa"/>
              <w:right w:w="28" w:type="dxa"/>
            </w:tcMar>
            <w:vAlign w:val="center"/>
          </w:tcPr>
          <w:p w14:paraId="67684C21"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Adjusted mean ratio (95% CI) – symptomatic vs. PSA-detected</w:t>
            </w:r>
            <w:r w:rsidRPr="007B1C60">
              <w:rPr>
                <w:rFonts w:eastAsia="Times New Roman" w:cs="Arial"/>
                <w:b/>
                <w:bCs/>
                <w:color w:val="000000"/>
                <w:sz w:val="20"/>
                <w:szCs w:val="20"/>
                <w:vertAlign w:val="superscript"/>
                <w:lang w:eastAsia="en-GB"/>
              </w:rPr>
              <w:t xml:space="preserve"> a</w:t>
            </w:r>
          </w:p>
        </w:tc>
      </w:tr>
      <w:tr w:rsidR="00CB792E" w:rsidRPr="007B1C60" w14:paraId="30150FD6" w14:textId="77777777" w:rsidTr="00650CCA">
        <w:tc>
          <w:tcPr>
            <w:tcW w:w="1696" w:type="dxa"/>
            <w:vMerge/>
            <w:shd w:val="clear" w:color="auto" w:fill="auto"/>
            <w:noWrap/>
            <w:tcMar>
              <w:left w:w="28" w:type="dxa"/>
              <w:right w:w="28" w:type="dxa"/>
            </w:tcMar>
            <w:vAlign w:val="center"/>
            <w:hideMark/>
          </w:tcPr>
          <w:p w14:paraId="7D7C76E1" w14:textId="77777777" w:rsidR="00CB792E" w:rsidRPr="007B1C60" w:rsidRDefault="00CB792E" w:rsidP="00650CCA">
            <w:pPr>
              <w:spacing w:line="240" w:lineRule="auto"/>
              <w:jc w:val="left"/>
              <w:rPr>
                <w:rFonts w:eastAsia="Times New Roman" w:cs="Arial"/>
                <w:color w:val="000000"/>
                <w:sz w:val="20"/>
                <w:szCs w:val="20"/>
                <w:lang w:eastAsia="en-GB"/>
              </w:rPr>
            </w:pPr>
          </w:p>
        </w:tc>
        <w:tc>
          <w:tcPr>
            <w:tcW w:w="851" w:type="dxa"/>
            <w:vMerge/>
            <w:shd w:val="clear" w:color="auto" w:fill="auto"/>
            <w:tcMar>
              <w:left w:w="28" w:type="dxa"/>
              <w:right w:w="28" w:type="dxa"/>
            </w:tcMar>
            <w:vAlign w:val="center"/>
            <w:hideMark/>
          </w:tcPr>
          <w:p w14:paraId="2AE98023" w14:textId="77777777" w:rsidR="00CB792E" w:rsidRPr="007B1C60" w:rsidRDefault="00CB792E" w:rsidP="00650CCA">
            <w:pPr>
              <w:spacing w:line="240" w:lineRule="auto"/>
              <w:jc w:val="left"/>
              <w:rPr>
                <w:rFonts w:eastAsia="Times New Roman" w:cs="Arial"/>
                <w:b/>
                <w:bCs/>
                <w:color w:val="000000"/>
                <w:sz w:val="20"/>
                <w:szCs w:val="20"/>
                <w:lang w:eastAsia="en-GB"/>
              </w:rPr>
            </w:pPr>
          </w:p>
        </w:tc>
        <w:tc>
          <w:tcPr>
            <w:tcW w:w="1293" w:type="dxa"/>
            <w:shd w:val="clear" w:color="auto" w:fill="auto"/>
            <w:tcMar>
              <w:left w:w="28" w:type="dxa"/>
              <w:right w:w="28" w:type="dxa"/>
            </w:tcMar>
            <w:vAlign w:val="center"/>
            <w:hideMark/>
          </w:tcPr>
          <w:p w14:paraId="5AE595DB"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Urinary incontinence</w:t>
            </w:r>
          </w:p>
        </w:tc>
        <w:tc>
          <w:tcPr>
            <w:tcW w:w="1294" w:type="dxa"/>
            <w:shd w:val="clear" w:color="auto" w:fill="auto"/>
            <w:tcMar>
              <w:left w:w="28" w:type="dxa"/>
              <w:right w:w="28" w:type="dxa"/>
            </w:tcMar>
            <w:vAlign w:val="center"/>
            <w:hideMark/>
          </w:tcPr>
          <w:p w14:paraId="34B2D5EA"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Urinary irritation/ obstruction</w:t>
            </w:r>
          </w:p>
        </w:tc>
        <w:tc>
          <w:tcPr>
            <w:tcW w:w="1294" w:type="dxa"/>
            <w:shd w:val="clear" w:color="auto" w:fill="auto"/>
            <w:tcMar>
              <w:left w:w="28" w:type="dxa"/>
              <w:right w:w="28" w:type="dxa"/>
            </w:tcMar>
            <w:vAlign w:val="center"/>
            <w:hideMark/>
          </w:tcPr>
          <w:p w14:paraId="4BC5464D"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Bowel function</w:t>
            </w:r>
          </w:p>
        </w:tc>
        <w:tc>
          <w:tcPr>
            <w:tcW w:w="1294" w:type="dxa"/>
            <w:shd w:val="clear" w:color="auto" w:fill="auto"/>
            <w:tcMar>
              <w:left w:w="28" w:type="dxa"/>
              <w:right w:w="28" w:type="dxa"/>
            </w:tcMar>
            <w:vAlign w:val="center"/>
            <w:hideMark/>
          </w:tcPr>
          <w:p w14:paraId="6A26DF12"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Sexual function</w:t>
            </w:r>
          </w:p>
        </w:tc>
        <w:tc>
          <w:tcPr>
            <w:tcW w:w="1294" w:type="dxa"/>
            <w:shd w:val="clear" w:color="auto" w:fill="auto"/>
            <w:tcMar>
              <w:left w:w="28" w:type="dxa"/>
              <w:right w:w="28" w:type="dxa"/>
            </w:tcMar>
            <w:vAlign w:val="center"/>
            <w:hideMark/>
          </w:tcPr>
          <w:p w14:paraId="7048B357"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Vitality/ hormonal function</w:t>
            </w:r>
          </w:p>
        </w:tc>
      </w:tr>
      <w:tr w:rsidR="00CB792E" w:rsidRPr="007B1C60" w14:paraId="350A82A6" w14:textId="77777777" w:rsidTr="00650CCA">
        <w:tc>
          <w:tcPr>
            <w:tcW w:w="1696" w:type="dxa"/>
            <w:shd w:val="clear" w:color="auto" w:fill="auto"/>
            <w:noWrap/>
            <w:tcMar>
              <w:left w:w="28" w:type="dxa"/>
              <w:right w:w="28" w:type="dxa"/>
            </w:tcMar>
            <w:vAlign w:val="center"/>
            <w:hideMark/>
          </w:tcPr>
          <w:p w14:paraId="330D48B4"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All respondents</w:t>
            </w:r>
          </w:p>
        </w:tc>
        <w:tc>
          <w:tcPr>
            <w:tcW w:w="851" w:type="dxa"/>
            <w:shd w:val="clear" w:color="auto" w:fill="auto"/>
            <w:noWrap/>
            <w:tcMar>
              <w:left w:w="28" w:type="dxa"/>
              <w:right w:w="28" w:type="dxa"/>
            </w:tcMar>
            <w:vAlign w:val="center"/>
            <w:hideMark/>
          </w:tcPr>
          <w:p w14:paraId="1FAAF191"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32,588</w:t>
            </w:r>
          </w:p>
        </w:tc>
        <w:tc>
          <w:tcPr>
            <w:tcW w:w="1293" w:type="dxa"/>
            <w:shd w:val="clear" w:color="auto" w:fill="auto"/>
            <w:noWrap/>
            <w:tcMar>
              <w:left w:w="28" w:type="dxa"/>
              <w:right w:w="28" w:type="dxa"/>
            </w:tcMar>
            <w:vAlign w:val="center"/>
            <w:hideMark/>
          </w:tcPr>
          <w:p w14:paraId="7C0208C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7518014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(0.96-0.97)**</w:t>
            </w:r>
          </w:p>
        </w:tc>
        <w:tc>
          <w:tcPr>
            <w:tcW w:w="1294" w:type="dxa"/>
            <w:shd w:val="clear" w:color="auto" w:fill="auto"/>
            <w:noWrap/>
            <w:tcMar>
              <w:left w:w="28" w:type="dxa"/>
              <w:right w:w="28" w:type="dxa"/>
            </w:tcMar>
            <w:vAlign w:val="center"/>
            <w:hideMark/>
          </w:tcPr>
          <w:p w14:paraId="34F6D19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7BD3A05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00BB079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221E1720"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(0.97-0.98)**</w:t>
            </w:r>
          </w:p>
        </w:tc>
        <w:tc>
          <w:tcPr>
            <w:tcW w:w="1294" w:type="dxa"/>
            <w:shd w:val="clear" w:color="auto" w:fill="auto"/>
            <w:noWrap/>
            <w:tcMar>
              <w:left w:w="28" w:type="dxa"/>
              <w:right w:w="28" w:type="dxa"/>
            </w:tcMar>
            <w:vAlign w:val="center"/>
            <w:hideMark/>
          </w:tcPr>
          <w:p w14:paraId="7769EB1C"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0.90</w:t>
            </w:r>
          </w:p>
          <w:p w14:paraId="356D774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(0.88-0.92)**</w:t>
            </w:r>
          </w:p>
        </w:tc>
        <w:tc>
          <w:tcPr>
            <w:tcW w:w="1294" w:type="dxa"/>
            <w:shd w:val="clear" w:color="auto" w:fill="auto"/>
            <w:noWrap/>
            <w:tcMar>
              <w:left w:w="28" w:type="dxa"/>
              <w:right w:w="28" w:type="dxa"/>
            </w:tcMar>
            <w:vAlign w:val="center"/>
            <w:hideMark/>
          </w:tcPr>
          <w:p w14:paraId="43851EB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64F8BA2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(0.96-0.96)**</w:t>
            </w:r>
          </w:p>
        </w:tc>
      </w:tr>
      <w:tr w:rsidR="00CB792E" w:rsidRPr="007B1C60" w14:paraId="33F8C318" w14:textId="77777777" w:rsidTr="00650CCA">
        <w:tc>
          <w:tcPr>
            <w:tcW w:w="1696" w:type="dxa"/>
            <w:shd w:val="clear" w:color="auto" w:fill="auto"/>
            <w:noWrap/>
            <w:tcMar>
              <w:left w:w="28" w:type="dxa"/>
              <w:right w:w="28" w:type="dxa"/>
            </w:tcMar>
            <w:vAlign w:val="center"/>
            <w:hideMark/>
          </w:tcPr>
          <w:p w14:paraId="6F42E64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 </w:t>
            </w:r>
          </w:p>
        </w:tc>
        <w:tc>
          <w:tcPr>
            <w:tcW w:w="851" w:type="dxa"/>
            <w:shd w:val="clear" w:color="auto" w:fill="auto"/>
            <w:noWrap/>
            <w:tcMar>
              <w:left w:w="28" w:type="dxa"/>
              <w:right w:w="28" w:type="dxa"/>
            </w:tcMar>
            <w:vAlign w:val="center"/>
            <w:hideMark/>
          </w:tcPr>
          <w:p w14:paraId="74893909" w14:textId="77777777" w:rsidR="00CB792E" w:rsidRPr="007B1C60" w:rsidRDefault="00CB792E" w:rsidP="00650CCA">
            <w:pPr>
              <w:spacing w:line="240" w:lineRule="auto"/>
              <w:jc w:val="left"/>
              <w:rPr>
                <w:rFonts w:eastAsia="Times New Roman" w:cs="Arial"/>
                <w:color w:val="000000"/>
                <w:sz w:val="20"/>
                <w:szCs w:val="20"/>
                <w:lang w:eastAsia="en-GB"/>
              </w:rPr>
            </w:pPr>
          </w:p>
        </w:tc>
        <w:tc>
          <w:tcPr>
            <w:tcW w:w="1293" w:type="dxa"/>
            <w:shd w:val="clear" w:color="auto" w:fill="auto"/>
            <w:noWrap/>
            <w:tcMar>
              <w:left w:w="28" w:type="dxa"/>
              <w:right w:w="28" w:type="dxa"/>
            </w:tcMar>
            <w:vAlign w:val="center"/>
            <w:hideMark/>
          </w:tcPr>
          <w:p w14:paraId="4F5E093A"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6594D2C1"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19662A68"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7F7587A8"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5AE23ADB" w14:textId="77777777" w:rsidR="00CB792E" w:rsidRPr="007B1C60" w:rsidRDefault="00CB792E" w:rsidP="00650CCA">
            <w:pPr>
              <w:spacing w:line="240" w:lineRule="auto"/>
              <w:jc w:val="left"/>
              <w:rPr>
                <w:rFonts w:eastAsia="Times New Roman" w:cs="Arial"/>
                <w:sz w:val="20"/>
                <w:szCs w:val="20"/>
                <w:lang w:eastAsia="en-GB"/>
              </w:rPr>
            </w:pPr>
          </w:p>
        </w:tc>
      </w:tr>
      <w:tr w:rsidR="00CB792E" w:rsidRPr="007B1C60" w14:paraId="6B522A35" w14:textId="77777777" w:rsidTr="00650CCA">
        <w:tc>
          <w:tcPr>
            <w:tcW w:w="1696" w:type="dxa"/>
            <w:shd w:val="clear" w:color="auto" w:fill="auto"/>
            <w:noWrap/>
            <w:tcMar>
              <w:left w:w="28" w:type="dxa"/>
              <w:right w:w="28" w:type="dxa"/>
            </w:tcMar>
            <w:vAlign w:val="center"/>
            <w:hideMark/>
          </w:tcPr>
          <w:p w14:paraId="696139E5"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Age group</w:t>
            </w:r>
          </w:p>
        </w:tc>
        <w:tc>
          <w:tcPr>
            <w:tcW w:w="851" w:type="dxa"/>
            <w:shd w:val="clear" w:color="auto" w:fill="auto"/>
            <w:noWrap/>
            <w:tcMar>
              <w:left w:w="28" w:type="dxa"/>
              <w:right w:w="28" w:type="dxa"/>
            </w:tcMar>
            <w:vAlign w:val="center"/>
            <w:hideMark/>
          </w:tcPr>
          <w:p w14:paraId="51F6FFA6" w14:textId="77777777" w:rsidR="00CB792E" w:rsidRPr="007B1C60" w:rsidRDefault="00CB792E" w:rsidP="00650CCA">
            <w:pPr>
              <w:spacing w:line="240" w:lineRule="auto"/>
              <w:jc w:val="left"/>
              <w:rPr>
                <w:rFonts w:eastAsia="Times New Roman" w:cs="Arial"/>
                <w:b/>
                <w:bCs/>
                <w:color w:val="000000"/>
                <w:sz w:val="20"/>
                <w:szCs w:val="20"/>
                <w:lang w:eastAsia="en-GB"/>
              </w:rPr>
            </w:pPr>
          </w:p>
        </w:tc>
        <w:tc>
          <w:tcPr>
            <w:tcW w:w="1293" w:type="dxa"/>
            <w:shd w:val="clear" w:color="auto" w:fill="auto"/>
            <w:noWrap/>
            <w:tcMar>
              <w:left w:w="28" w:type="dxa"/>
              <w:right w:w="28" w:type="dxa"/>
            </w:tcMar>
            <w:vAlign w:val="center"/>
            <w:hideMark/>
          </w:tcPr>
          <w:p w14:paraId="0BBA6E02"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0A1AE905"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456A1153"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112772F3"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317186EE" w14:textId="77777777" w:rsidR="00CB792E" w:rsidRPr="007B1C60" w:rsidRDefault="00CB792E" w:rsidP="00650CCA">
            <w:pPr>
              <w:spacing w:line="240" w:lineRule="auto"/>
              <w:jc w:val="left"/>
              <w:rPr>
                <w:rFonts w:eastAsia="Times New Roman" w:cs="Arial"/>
                <w:sz w:val="20"/>
                <w:szCs w:val="20"/>
                <w:lang w:eastAsia="en-GB"/>
              </w:rPr>
            </w:pPr>
          </w:p>
        </w:tc>
      </w:tr>
      <w:tr w:rsidR="00CB792E" w:rsidRPr="007B1C60" w14:paraId="63378479" w14:textId="77777777" w:rsidTr="00650CCA">
        <w:tc>
          <w:tcPr>
            <w:tcW w:w="1696" w:type="dxa"/>
            <w:shd w:val="clear" w:color="auto" w:fill="auto"/>
            <w:noWrap/>
            <w:tcMar>
              <w:left w:w="28" w:type="dxa"/>
              <w:right w:w="28" w:type="dxa"/>
            </w:tcMar>
            <w:vAlign w:val="center"/>
            <w:hideMark/>
          </w:tcPr>
          <w:p w14:paraId="4A2A139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Under 75</w:t>
            </w:r>
          </w:p>
        </w:tc>
        <w:tc>
          <w:tcPr>
            <w:tcW w:w="851" w:type="dxa"/>
            <w:shd w:val="clear" w:color="auto" w:fill="auto"/>
            <w:noWrap/>
            <w:tcMar>
              <w:left w:w="28" w:type="dxa"/>
              <w:right w:w="28" w:type="dxa"/>
            </w:tcMar>
            <w:vAlign w:val="center"/>
            <w:hideMark/>
          </w:tcPr>
          <w:p w14:paraId="4B3F384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24,566</w:t>
            </w:r>
          </w:p>
        </w:tc>
        <w:tc>
          <w:tcPr>
            <w:tcW w:w="1293" w:type="dxa"/>
            <w:shd w:val="clear" w:color="auto" w:fill="auto"/>
            <w:noWrap/>
            <w:tcMar>
              <w:left w:w="28" w:type="dxa"/>
              <w:right w:w="28" w:type="dxa"/>
            </w:tcMar>
            <w:vAlign w:val="center"/>
            <w:hideMark/>
          </w:tcPr>
          <w:p w14:paraId="535F48F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097E527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4E2F78C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0E3A1FD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66E3A2D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45EAECFE"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(0.97-0.98)**</w:t>
            </w:r>
          </w:p>
        </w:tc>
        <w:tc>
          <w:tcPr>
            <w:tcW w:w="1294" w:type="dxa"/>
            <w:shd w:val="clear" w:color="auto" w:fill="auto"/>
            <w:noWrap/>
            <w:tcMar>
              <w:left w:w="28" w:type="dxa"/>
              <w:right w:w="28" w:type="dxa"/>
            </w:tcMar>
            <w:vAlign w:val="center"/>
            <w:hideMark/>
          </w:tcPr>
          <w:p w14:paraId="6092B2C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0.91</w:t>
            </w:r>
          </w:p>
          <w:p w14:paraId="76E1425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(0.89-0.93)**</w:t>
            </w:r>
          </w:p>
        </w:tc>
        <w:tc>
          <w:tcPr>
            <w:tcW w:w="1294" w:type="dxa"/>
            <w:shd w:val="clear" w:color="auto" w:fill="auto"/>
            <w:noWrap/>
            <w:tcMar>
              <w:left w:w="28" w:type="dxa"/>
              <w:right w:w="28" w:type="dxa"/>
            </w:tcMar>
            <w:vAlign w:val="center"/>
            <w:hideMark/>
          </w:tcPr>
          <w:p w14:paraId="3ABB4A2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3E19149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r>
      <w:tr w:rsidR="00CB792E" w:rsidRPr="007B1C60" w14:paraId="0C25AC99" w14:textId="77777777" w:rsidTr="00650CCA">
        <w:tc>
          <w:tcPr>
            <w:tcW w:w="1696" w:type="dxa"/>
            <w:shd w:val="clear" w:color="auto" w:fill="auto"/>
            <w:noWrap/>
            <w:tcMar>
              <w:left w:w="28" w:type="dxa"/>
              <w:right w:w="28" w:type="dxa"/>
            </w:tcMar>
            <w:vAlign w:val="center"/>
            <w:hideMark/>
          </w:tcPr>
          <w:p w14:paraId="63E208D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75 and over</w:t>
            </w:r>
          </w:p>
        </w:tc>
        <w:tc>
          <w:tcPr>
            <w:tcW w:w="851" w:type="dxa"/>
            <w:shd w:val="clear" w:color="auto" w:fill="auto"/>
            <w:noWrap/>
            <w:tcMar>
              <w:left w:w="28" w:type="dxa"/>
              <w:right w:w="28" w:type="dxa"/>
            </w:tcMar>
            <w:vAlign w:val="center"/>
            <w:hideMark/>
          </w:tcPr>
          <w:p w14:paraId="71794B95"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8,017</w:t>
            </w:r>
          </w:p>
        </w:tc>
        <w:tc>
          <w:tcPr>
            <w:tcW w:w="1293" w:type="dxa"/>
            <w:shd w:val="clear" w:color="auto" w:fill="auto"/>
            <w:noWrap/>
            <w:tcMar>
              <w:left w:w="28" w:type="dxa"/>
              <w:right w:w="28" w:type="dxa"/>
            </w:tcMar>
            <w:vAlign w:val="center"/>
            <w:hideMark/>
          </w:tcPr>
          <w:p w14:paraId="5555978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4FA2EE6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(0.95-0.98)**</w:t>
            </w:r>
          </w:p>
        </w:tc>
        <w:tc>
          <w:tcPr>
            <w:tcW w:w="1294" w:type="dxa"/>
            <w:shd w:val="clear" w:color="auto" w:fill="auto"/>
            <w:noWrap/>
            <w:tcMar>
              <w:left w:w="28" w:type="dxa"/>
              <w:right w:w="28" w:type="dxa"/>
            </w:tcMar>
            <w:vAlign w:val="center"/>
            <w:hideMark/>
          </w:tcPr>
          <w:p w14:paraId="38A0055C"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6DFA7981"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(0.95-0.97)**</w:t>
            </w:r>
          </w:p>
        </w:tc>
        <w:tc>
          <w:tcPr>
            <w:tcW w:w="1294" w:type="dxa"/>
            <w:shd w:val="clear" w:color="auto" w:fill="auto"/>
            <w:noWrap/>
            <w:tcMar>
              <w:left w:w="28" w:type="dxa"/>
              <w:right w:w="28" w:type="dxa"/>
            </w:tcMar>
            <w:vAlign w:val="center"/>
            <w:hideMark/>
          </w:tcPr>
          <w:p w14:paraId="3D1436F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0.98</w:t>
            </w:r>
          </w:p>
          <w:p w14:paraId="4B8D40D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(0.97-0.99)**</w:t>
            </w:r>
          </w:p>
        </w:tc>
        <w:tc>
          <w:tcPr>
            <w:tcW w:w="1294" w:type="dxa"/>
            <w:shd w:val="clear" w:color="auto" w:fill="auto"/>
            <w:noWrap/>
            <w:tcMar>
              <w:left w:w="28" w:type="dxa"/>
              <w:right w:w="28" w:type="dxa"/>
            </w:tcMar>
            <w:vAlign w:val="center"/>
            <w:hideMark/>
          </w:tcPr>
          <w:p w14:paraId="04FCC71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0.91</w:t>
            </w:r>
          </w:p>
          <w:p w14:paraId="706F123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(0.86-0.96)*</w:t>
            </w:r>
          </w:p>
        </w:tc>
        <w:tc>
          <w:tcPr>
            <w:tcW w:w="1294" w:type="dxa"/>
            <w:shd w:val="clear" w:color="auto" w:fill="auto"/>
            <w:noWrap/>
            <w:tcMar>
              <w:left w:w="28" w:type="dxa"/>
              <w:right w:w="28" w:type="dxa"/>
            </w:tcMar>
            <w:vAlign w:val="center"/>
            <w:hideMark/>
          </w:tcPr>
          <w:p w14:paraId="701B167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5A3A5D9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(0.95-0.98)**</w:t>
            </w:r>
          </w:p>
        </w:tc>
      </w:tr>
      <w:tr w:rsidR="00CB792E" w:rsidRPr="007B1C60" w14:paraId="55833C54" w14:textId="77777777" w:rsidTr="00650CCA">
        <w:tc>
          <w:tcPr>
            <w:tcW w:w="1696" w:type="dxa"/>
            <w:shd w:val="clear" w:color="auto" w:fill="auto"/>
            <w:noWrap/>
            <w:tcMar>
              <w:left w:w="28" w:type="dxa"/>
              <w:right w:w="28" w:type="dxa"/>
            </w:tcMar>
            <w:vAlign w:val="center"/>
            <w:hideMark/>
          </w:tcPr>
          <w:p w14:paraId="1C5B204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 </w:t>
            </w:r>
          </w:p>
        </w:tc>
        <w:tc>
          <w:tcPr>
            <w:tcW w:w="851" w:type="dxa"/>
            <w:shd w:val="clear" w:color="auto" w:fill="auto"/>
            <w:noWrap/>
            <w:tcMar>
              <w:left w:w="28" w:type="dxa"/>
              <w:right w:w="28" w:type="dxa"/>
            </w:tcMar>
            <w:vAlign w:val="center"/>
            <w:hideMark/>
          </w:tcPr>
          <w:p w14:paraId="6EF2348F" w14:textId="77777777" w:rsidR="00CB792E" w:rsidRPr="007B1C60" w:rsidRDefault="00CB792E" w:rsidP="00650CCA">
            <w:pPr>
              <w:spacing w:line="240" w:lineRule="auto"/>
              <w:jc w:val="left"/>
              <w:rPr>
                <w:rFonts w:eastAsia="Times New Roman" w:cs="Arial"/>
                <w:color w:val="000000"/>
                <w:sz w:val="20"/>
                <w:szCs w:val="20"/>
                <w:lang w:eastAsia="en-GB"/>
              </w:rPr>
            </w:pPr>
          </w:p>
        </w:tc>
        <w:tc>
          <w:tcPr>
            <w:tcW w:w="1293" w:type="dxa"/>
            <w:shd w:val="clear" w:color="auto" w:fill="auto"/>
            <w:noWrap/>
            <w:tcMar>
              <w:left w:w="28" w:type="dxa"/>
              <w:right w:w="28" w:type="dxa"/>
            </w:tcMar>
            <w:vAlign w:val="center"/>
            <w:hideMark/>
          </w:tcPr>
          <w:p w14:paraId="5CD739F3"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47D6FD9D"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1DCC3DD0"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3F6C1CDE"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319C555A" w14:textId="77777777" w:rsidR="00CB792E" w:rsidRPr="007B1C60" w:rsidRDefault="00CB792E" w:rsidP="00650CCA">
            <w:pPr>
              <w:spacing w:line="240" w:lineRule="auto"/>
              <w:jc w:val="left"/>
              <w:rPr>
                <w:rFonts w:eastAsia="Times New Roman" w:cs="Arial"/>
                <w:sz w:val="20"/>
                <w:szCs w:val="20"/>
                <w:lang w:eastAsia="en-GB"/>
              </w:rPr>
            </w:pPr>
          </w:p>
        </w:tc>
      </w:tr>
      <w:tr w:rsidR="00CB792E" w:rsidRPr="007B1C60" w14:paraId="45D39094" w14:textId="77777777" w:rsidTr="00650CCA">
        <w:tc>
          <w:tcPr>
            <w:tcW w:w="1696" w:type="dxa"/>
            <w:shd w:val="clear" w:color="auto" w:fill="auto"/>
            <w:noWrap/>
            <w:tcMar>
              <w:left w:w="28" w:type="dxa"/>
              <w:right w:w="28" w:type="dxa"/>
            </w:tcMar>
            <w:vAlign w:val="center"/>
            <w:hideMark/>
          </w:tcPr>
          <w:p w14:paraId="26AE4C2B"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Stage</w:t>
            </w:r>
          </w:p>
        </w:tc>
        <w:tc>
          <w:tcPr>
            <w:tcW w:w="851" w:type="dxa"/>
            <w:shd w:val="clear" w:color="auto" w:fill="auto"/>
            <w:noWrap/>
            <w:tcMar>
              <w:left w:w="28" w:type="dxa"/>
              <w:right w:w="28" w:type="dxa"/>
            </w:tcMar>
            <w:vAlign w:val="center"/>
            <w:hideMark/>
          </w:tcPr>
          <w:p w14:paraId="07ACC572" w14:textId="77777777" w:rsidR="00CB792E" w:rsidRPr="007B1C60" w:rsidRDefault="00CB792E" w:rsidP="00650CCA">
            <w:pPr>
              <w:spacing w:line="240" w:lineRule="auto"/>
              <w:jc w:val="left"/>
              <w:rPr>
                <w:rFonts w:eastAsia="Times New Roman" w:cs="Arial"/>
                <w:b/>
                <w:bCs/>
                <w:color w:val="000000"/>
                <w:sz w:val="20"/>
                <w:szCs w:val="20"/>
                <w:lang w:eastAsia="en-GB"/>
              </w:rPr>
            </w:pPr>
          </w:p>
        </w:tc>
        <w:tc>
          <w:tcPr>
            <w:tcW w:w="1293" w:type="dxa"/>
            <w:shd w:val="clear" w:color="auto" w:fill="auto"/>
            <w:noWrap/>
            <w:tcMar>
              <w:left w:w="28" w:type="dxa"/>
              <w:right w:w="28" w:type="dxa"/>
            </w:tcMar>
            <w:vAlign w:val="center"/>
            <w:hideMark/>
          </w:tcPr>
          <w:p w14:paraId="0A1F6642"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71A29C29"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064DB4DA"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6E1FCEA8"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5547FD77" w14:textId="77777777" w:rsidR="00CB792E" w:rsidRPr="007B1C60" w:rsidRDefault="00CB792E" w:rsidP="00650CCA">
            <w:pPr>
              <w:spacing w:line="240" w:lineRule="auto"/>
              <w:jc w:val="left"/>
              <w:rPr>
                <w:rFonts w:eastAsia="Times New Roman" w:cs="Arial"/>
                <w:sz w:val="20"/>
                <w:szCs w:val="20"/>
                <w:lang w:eastAsia="en-GB"/>
              </w:rPr>
            </w:pPr>
          </w:p>
        </w:tc>
      </w:tr>
      <w:tr w:rsidR="00CB792E" w:rsidRPr="007B1C60" w14:paraId="75F0DD1F" w14:textId="77777777" w:rsidTr="00650CCA">
        <w:tc>
          <w:tcPr>
            <w:tcW w:w="1696" w:type="dxa"/>
            <w:shd w:val="clear" w:color="auto" w:fill="auto"/>
            <w:noWrap/>
            <w:tcMar>
              <w:left w:w="28" w:type="dxa"/>
              <w:right w:w="28" w:type="dxa"/>
            </w:tcMar>
            <w:vAlign w:val="center"/>
            <w:hideMark/>
          </w:tcPr>
          <w:p w14:paraId="605E4924"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I/II</w:t>
            </w:r>
          </w:p>
        </w:tc>
        <w:tc>
          <w:tcPr>
            <w:tcW w:w="851" w:type="dxa"/>
            <w:shd w:val="clear" w:color="auto" w:fill="auto"/>
            <w:noWrap/>
            <w:tcMar>
              <w:left w:w="28" w:type="dxa"/>
              <w:right w:w="28" w:type="dxa"/>
            </w:tcMar>
            <w:vAlign w:val="center"/>
            <w:hideMark/>
          </w:tcPr>
          <w:p w14:paraId="1C28DFF1"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17,818</w:t>
            </w:r>
          </w:p>
        </w:tc>
        <w:tc>
          <w:tcPr>
            <w:tcW w:w="1293" w:type="dxa"/>
            <w:shd w:val="clear" w:color="auto" w:fill="auto"/>
            <w:noWrap/>
            <w:tcMar>
              <w:left w:w="28" w:type="dxa"/>
              <w:right w:w="28" w:type="dxa"/>
            </w:tcMar>
            <w:vAlign w:val="center"/>
            <w:hideMark/>
          </w:tcPr>
          <w:p w14:paraId="6723EFAC"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68AE927E"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0C36D30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2E4A728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7919A89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6864D3F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(0.97-0.98)**</w:t>
            </w:r>
          </w:p>
        </w:tc>
        <w:tc>
          <w:tcPr>
            <w:tcW w:w="1294" w:type="dxa"/>
            <w:shd w:val="clear" w:color="auto" w:fill="auto"/>
            <w:noWrap/>
            <w:tcMar>
              <w:left w:w="28" w:type="dxa"/>
              <w:right w:w="28" w:type="dxa"/>
            </w:tcMar>
            <w:vAlign w:val="center"/>
            <w:hideMark/>
          </w:tcPr>
          <w:p w14:paraId="7F2465F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0.91</w:t>
            </w:r>
          </w:p>
          <w:p w14:paraId="3269DB7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(0.88-0.93)**</w:t>
            </w:r>
          </w:p>
        </w:tc>
        <w:tc>
          <w:tcPr>
            <w:tcW w:w="1294" w:type="dxa"/>
            <w:shd w:val="clear" w:color="auto" w:fill="auto"/>
            <w:noWrap/>
            <w:tcMar>
              <w:left w:w="28" w:type="dxa"/>
              <w:right w:w="28" w:type="dxa"/>
            </w:tcMar>
            <w:vAlign w:val="center"/>
            <w:hideMark/>
          </w:tcPr>
          <w:p w14:paraId="2215AA45"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3431CF7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(0.96-0.97)**</w:t>
            </w:r>
          </w:p>
        </w:tc>
      </w:tr>
      <w:tr w:rsidR="00CB792E" w:rsidRPr="007B1C60" w14:paraId="4D6197FA" w14:textId="77777777" w:rsidTr="00650CCA">
        <w:tc>
          <w:tcPr>
            <w:tcW w:w="1696" w:type="dxa"/>
            <w:shd w:val="clear" w:color="auto" w:fill="auto"/>
            <w:noWrap/>
            <w:tcMar>
              <w:left w:w="28" w:type="dxa"/>
              <w:right w:w="28" w:type="dxa"/>
            </w:tcMar>
            <w:vAlign w:val="center"/>
            <w:hideMark/>
          </w:tcPr>
          <w:p w14:paraId="345FE6B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III</w:t>
            </w:r>
          </w:p>
        </w:tc>
        <w:tc>
          <w:tcPr>
            <w:tcW w:w="851" w:type="dxa"/>
            <w:shd w:val="clear" w:color="auto" w:fill="auto"/>
            <w:noWrap/>
            <w:tcMar>
              <w:left w:w="28" w:type="dxa"/>
              <w:right w:w="28" w:type="dxa"/>
            </w:tcMar>
            <w:vAlign w:val="center"/>
            <w:hideMark/>
          </w:tcPr>
          <w:p w14:paraId="5E240A3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6,643</w:t>
            </w:r>
          </w:p>
        </w:tc>
        <w:tc>
          <w:tcPr>
            <w:tcW w:w="1293" w:type="dxa"/>
            <w:shd w:val="clear" w:color="auto" w:fill="auto"/>
            <w:noWrap/>
            <w:tcMar>
              <w:left w:w="28" w:type="dxa"/>
              <w:right w:w="28" w:type="dxa"/>
            </w:tcMar>
            <w:vAlign w:val="center"/>
            <w:hideMark/>
          </w:tcPr>
          <w:p w14:paraId="27A9089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1ABA970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(0.95-0.98)**</w:t>
            </w:r>
          </w:p>
        </w:tc>
        <w:tc>
          <w:tcPr>
            <w:tcW w:w="1294" w:type="dxa"/>
            <w:shd w:val="clear" w:color="auto" w:fill="auto"/>
            <w:noWrap/>
            <w:tcMar>
              <w:left w:w="28" w:type="dxa"/>
              <w:right w:w="28" w:type="dxa"/>
            </w:tcMar>
            <w:vAlign w:val="center"/>
            <w:hideMark/>
          </w:tcPr>
          <w:p w14:paraId="034137D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780831CE"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(0.95-0.97)**</w:t>
            </w:r>
          </w:p>
        </w:tc>
        <w:tc>
          <w:tcPr>
            <w:tcW w:w="1294" w:type="dxa"/>
            <w:shd w:val="clear" w:color="auto" w:fill="auto"/>
            <w:noWrap/>
            <w:tcMar>
              <w:left w:w="28" w:type="dxa"/>
              <w:right w:w="28" w:type="dxa"/>
            </w:tcMar>
            <w:vAlign w:val="center"/>
            <w:hideMark/>
          </w:tcPr>
          <w:p w14:paraId="6D6BB1F5"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0.98</w:t>
            </w:r>
          </w:p>
          <w:p w14:paraId="5796FA2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(0.97-0.99)**</w:t>
            </w:r>
          </w:p>
        </w:tc>
        <w:tc>
          <w:tcPr>
            <w:tcW w:w="1294" w:type="dxa"/>
            <w:shd w:val="clear" w:color="auto" w:fill="auto"/>
            <w:noWrap/>
            <w:tcMar>
              <w:left w:w="28" w:type="dxa"/>
              <w:right w:w="28" w:type="dxa"/>
            </w:tcMar>
            <w:vAlign w:val="center"/>
            <w:hideMark/>
          </w:tcPr>
          <w:p w14:paraId="56080854"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0.88</w:t>
            </w:r>
          </w:p>
          <w:p w14:paraId="0D346E0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(0.83-0.94)**</w:t>
            </w:r>
          </w:p>
        </w:tc>
        <w:tc>
          <w:tcPr>
            <w:tcW w:w="1294" w:type="dxa"/>
            <w:shd w:val="clear" w:color="auto" w:fill="auto"/>
            <w:noWrap/>
            <w:tcMar>
              <w:left w:w="28" w:type="dxa"/>
              <w:right w:w="28" w:type="dxa"/>
            </w:tcMar>
            <w:vAlign w:val="center"/>
            <w:hideMark/>
          </w:tcPr>
          <w:p w14:paraId="2F6D275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098BA5B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(0.94-0.97)**</w:t>
            </w:r>
          </w:p>
        </w:tc>
      </w:tr>
      <w:tr w:rsidR="00CB792E" w:rsidRPr="007B1C60" w14:paraId="0740ACC8" w14:textId="77777777" w:rsidTr="00650CCA">
        <w:tc>
          <w:tcPr>
            <w:tcW w:w="1696" w:type="dxa"/>
            <w:shd w:val="clear" w:color="auto" w:fill="auto"/>
            <w:noWrap/>
            <w:tcMar>
              <w:left w:w="28" w:type="dxa"/>
              <w:right w:w="28" w:type="dxa"/>
            </w:tcMar>
            <w:vAlign w:val="center"/>
            <w:hideMark/>
          </w:tcPr>
          <w:p w14:paraId="34102FA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IV</w:t>
            </w:r>
          </w:p>
        </w:tc>
        <w:tc>
          <w:tcPr>
            <w:tcW w:w="851" w:type="dxa"/>
            <w:shd w:val="clear" w:color="auto" w:fill="auto"/>
            <w:noWrap/>
            <w:tcMar>
              <w:left w:w="28" w:type="dxa"/>
              <w:right w:w="28" w:type="dxa"/>
            </w:tcMar>
            <w:vAlign w:val="center"/>
            <w:hideMark/>
          </w:tcPr>
          <w:p w14:paraId="6C001D3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3,535</w:t>
            </w:r>
          </w:p>
        </w:tc>
        <w:tc>
          <w:tcPr>
            <w:tcW w:w="1293" w:type="dxa"/>
            <w:shd w:val="clear" w:color="auto" w:fill="auto"/>
            <w:noWrap/>
            <w:tcMar>
              <w:left w:w="28" w:type="dxa"/>
              <w:right w:w="28" w:type="dxa"/>
            </w:tcMar>
            <w:vAlign w:val="center"/>
            <w:hideMark/>
          </w:tcPr>
          <w:p w14:paraId="5B6D85C5"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0.98</w:t>
            </w:r>
          </w:p>
          <w:p w14:paraId="13B1B8C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(0.96-1.00)</w:t>
            </w:r>
          </w:p>
        </w:tc>
        <w:tc>
          <w:tcPr>
            <w:tcW w:w="1294" w:type="dxa"/>
            <w:shd w:val="clear" w:color="auto" w:fill="auto"/>
            <w:noWrap/>
            <w:tcMar>
              <w:left w:w="28" w:type="dxa"/>
              <w:right w:w="28" w:type="dxa"/>
            </w:tcMar>
            <w:vAlign w:val="center"/>
            <w:hideMark/>
          </w:tcPr>
          <w:p w14:paraId="240B48F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5FFB2A4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(0.95-0.98)**</w:t>
            </w:r>
          </w:p>
        </w:tc>
        <w:tc>
          <w:tcPr>
            <w:tcW w:w="1294" w:type="dxa"/>
            <w:shd w:val="clear" w:color="auto" w:fill="auto"/>
            <w:noWrap/>
            <w:tcMar>
              <w:left w:w="28" w:type="dxa"/>
              <w:right w:w="28" w:type="dxa"/>
            </w:tcMar>
            <w:vAlign w:val="center"/>
            <w:hideMark/>
          </w:tcPr>
          <w:p w14:paraId="4192045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0.99</w:t>
            </w:r>
          </w:p>
          <w:p w14:paraId="19BD64E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(0.97-1.01)</w:t>
            </w:r>
          </w:p>
        </w:tc>
        <w:tc>
          <w:tcPr>
            <w:tcW w:w="1294" w:type="dxa"/>
            <w:shd w:val="clear" w:color="auto" w:fill="auto"/>
            <w:noWrap/>
            <w:tcMar>
              <w:left w:w="28" w:type="dxa"/>
              <w:right w:w="28" w:type="dxa"/>
            </w:tcMar>
            <w:vAlign w:val="center"/>
            <w:hideMark/>
          </w:tcPr>
          <w:p w14:paraId="11D5EAC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0.86</w:t>
            </w:r>
          </w:p>
          <w:p w14:paraId="569DD3B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(0.76-0.96)*</w:t>
            </w:r>
          </w:p>
        </w:tc>
        <w:tc>
          <w:tcPr>
            <w:tcW w:w="1294" w:type="dxa"/>
            <w:shd w:val="clear" w:color="auto" w:fill="auto"/>
            <w:noWrap/>
            <w:tcMar>
              <w:left w:w="28" w:type="dxa"/>
              <w:right w:w="28" w:type="dxa"/>
            </w:tcMar>
            <w:vAlign w:val="center"/>
            <w:hideMark/>
          </w:tcPr>
          <w:p w14:paraId="7FCF655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526EFF30"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(0.92-0.97)**</w:t>
            </w:r>
          </w:p>
        </w:tc>
      </w:tr>
      <w:tr w:rsidR="00CB792E" w:rsidRPr="007B1C60" w14:paraId="5931531E" w14:textId="77777777" w:rsidTr="00650CCA">
        <w:tc>
          <w:tcPr>
            <w:tcW w:w="1696" w:type="dxa"/>
            <w:shd w:val="clear" w:color="auto" w:fill="auto"/>
            <w:noWrap/>
            <w:tcMar>
              <w:left w:w="28" w:type="dxa"/>
              <w:right w:w="28" w:type="dxa"/>
            </w:tcMar>
            <w:vAlign w:val="center"/>
            <w:hideMark/>
          </w:tcPr>
          <w:p w14:paraId="57312E0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 </w:t>
            </w:r>
          </w:p>
        </w:tc>
        <w:tc>
          <w:tcPr>
            <w:tcW w:w="851" w:type="dxa"/>
            <w:shd w:val="clear" w:color="auto" w:fill="auto"/>
            <w:noWrap/>
            <w:tcMar>
              <w:left w:w="28" w:type="dxa"/>
              <w:right w:w="28" w:type="dxa"/>
            </w:tcMar>
            <w:vAlign w:val="center"/>
            <w:hideMark/>
          </w:tcPr>
          <w:p w14:paraId="14C087CF" w14:textId="77777777" w:rsidR="00CB792E" w:rsidRPr="007B1C60" w:rsidRDefault="00CB792E" w:rsidP="00650CCA">
            <w:pPr>
              <w:spacing w:line="240" w:lineRule="auto"/>
              <w:jc w:val="left"/>
              <w:rPr>
                <w:rFonts w:eastAsia="Times New Roman" w:cs="Arial"/>
                <w:color w:val="000000"/>
                <w:sz w:val="20"/>
                <w:szCs w:val="20"/>
                <w:lang w:eastAsia="en-GB"/>
              </w:rPr>
            </w:pPr>
          </w:p>
        </w:tc>
        <w:tc>
          <w:tcPr>
            <w:tcW w:w="1293" w:type="dxa"/>
            <w:shd w:val="clear" w:color="auto" w:fill="auto"/>
            <w:noWrap/>
            <w:tcMar>
              <w:left w:w="28" w:type="dxa"/>
              <w:right w:w="28" w:type="dxa"/>
            </w:tcMar>
            <w:vAlign w:val="center"/>
            <w:hideMark/>
          </w:tcPr>
          <w:p w14:paraId="3926D6EF"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22105449"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677E369B"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7001BA16"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0D4CDFC5" w14:textId="77777777" w:rsidR="00CB792E" w:rsidRPr="007B1C60" w:rsidRDefault="00CB792E" w:rsidP="00650CCA">
            <w:pPr>
              <w:spacing w:line="240" w:lineRule="auto"/>
              <w:jc w:val="left"/>
              <w:rPr>
                <w:rFonts w:eastAsia="Times New Roman" w:cs="Arial"/>
                <w:sz w:val="20"/>
                <w:szCs w:val="20"/>
                <w:lang w:eastAsia="en-GB"/>
              </w:rPr>
            </w:pPr>
          </w:p>
        </w:tc>
      </w:tr>
      <w:tr w:rsidR="00CB792E" w:rsidRPr="007B1C60" w14:paraId="15424914" w14:textId="77777777" w:rsidTr="00650CCA">
        <w:tc>
          <w:tcPr>
            <w:tcW w:w="1696" w:type="dxa"/>
            <w:shd w:val="clear" w:color="auto" w:fill="auto"/>
            <w:noWrap/>
            <w:tcMar>
              <w:left w:w="28" w:type="dxa"/>
              <w:right w:w="28" w:type="dxa"/>
            </w:tcMar>
            <w:vAlign w:val="center"/>
            <w:hideMark/>
          </w:tcPr>
          <w:p w14:paraId="544E9BD6"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Gleason score</w:t>
            </w:r>
          </w:p>
        </w:tc>
        <w:tc>
          <w:tcPr>
            <w:tcW w:w="851" w:type="dxa"/>
            <w:shd w:val="clear" w:color="auto" w:fill="auto"/>
            <w:noWrap/>
            <w:tcMar>
              <w:left w:w="28" w:type="dxa"/>
              <w:right w:w="28" w:type="dxa"/>
            </w:tcMar>
            <w:vAlign w:val="center"/>
            <w:hideMark/>
          </w:tcPr>
          <w:p w14:paraId="66BD36D5" w14:textId="77777777" w:rsidR="00CB792E" w:rsidRPr="007B1C60" w:rsidRDefault="00CB792E" w:rsidP="00650CCA">
            <w:pPr>
              <w:spacing w:line="240" w:lineRule="auto"/>
              <w:jc w:val="left"/>
              <w:rPr>
                <w:rFonts w:eastAsia="Times New Roman" w:cs="Arial"/>
                <w:b/>
                <w:bCs/>
                <w:color w:val="000000"/>
                <w:sz w:val="20"/>
                <w:szCs w:val="20"/>
                <w:lang w:eastAsia="en-GB"/>
              </w:rPr>
            </w:pPr>
          </w:p>
        </w:tc>
        <w:tc>
          <w:tcPr>
            <w:tcW w:w="1293" w:type="dxa"/>
            <w:shd w:val="clear" w:color="auto" w:fill="auto"/>
            <w:noWrap/>
            <w:tcMar>
              <w:left w:w="28" w:type="dxa"/>
              <w:right w:w="28" w:type="dxa"/>
            </w:tcMar>
            <w:vAlign w:val="center"/>
            <w:hideMark/>
          </w:tcPr>
          <w:p w14:paraId="03ED7E45"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4911DE54"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4D8B1E5F"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6D1904E4"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73DD8B9F" w14:textId="77777777" w:rsidR="00CB792E" w:rsidRPr="007B1C60" w:rsidRDefault="00CB792E" w:rsidP="00650CCA">
            <w:pPr>
              <w:spacing w:line="240" w:lineRule="auto"/>
              <w:jc w:val="left"/>
              <w:rPr>
                <w:rFonts w:eastAsia="Times New Roman" w:cs="Arial"/>
                <w:sz w:val="20"/>
                <w:szCs w:val="20"/>
                <w:lang w:eastAsia="en-GB"/>
              </w:rPr>
            </w:pPr>
          </w:p>
        </w:tc>
      </w:tr>
      <w:tr w:rsidR="00CB792E" w:rsidRPr="007B1C60" w14:paraId="210E7604" w14:textId="77777777" w:rsidTr="00650CCA">
        <w:tc>
          <w:tcPr>
            <w:tcW w:w="1696" w:type="dxa"/>
            <w:shd w:val="clear" w:color="auto" w:fill="auto"/>
            <w:noWrap/>
            <w:tcMar>
              <w:left w:w="28" w:type="dxa"/>
              <w:right w:w="28" w:type="dxa"/>
            </w:tcMar>
            <w:vAlign w:val="center"/>
            <w:hideMark/>
          </w:tcPr>
          <w:p w14:paraId="2AFA308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2-6</w:t>
            </w:r>
          </w:p>
        </w:tc>
        <w:tc>
          <w:tcPr>
            <w:tcW w:w="851" w:type="dxa"/>
            <w:shd w:val="clear" w:color="auto" w:fill="auto"/>
            <w:noWrap/>
            <w:tcMar>
              <w:left w:w="28" w:type="dxa"/>
              <w:right w:w="28" w:type="dxa"/>
            </w:tcMar>
            <w:vAlign w:val="center"/>
            <w:hideMark/>
          </w:tcPr>
          <w:p w14:paraId="5B25521C"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8,083</w:t>
            </w:r>
          </w:p>
        </w:tc>
        <w:tc>
          <w:tcPr>
            <w:tcW w:w="1293" w:type="dxa"/>
            <w:shd w:val="clear" w:color="auto" w:fill="auto"/>
            <w:noWrap/>
            <w:tcMar>
              <w:left w:w="28" w:type="dxa"/>
              <w:right w:w="28" w:type="dxa"/>
            </w:tcMar>
            <w:vAlign w:val="center"/>
            <w:hideMark/>
          </w:tcPr>
          <w:p w14:paraId="41CBE18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4598AED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(0.96-0.98)**</w:t>
            </w:r>
          </w:p>
        </w:tc>
        <w:tc>
          <w:tcPr>
            <w:tcW w:w="1294" w:type="dxa"/>
            <w:shd w:val="clear" w:color="auto" w:fill="auto"/>
            <w:noWrap/>
            <w:tcMar>
              <w:left w:w="28" w:type="dxa"/>
              <w:right w:w="28" w:type="dxa"/>
            </w:tcMar>
            <w:vAlign w:val="center"/>
            <w:hideMark/>
          </w:tcPr>
          <w:p w14:paraId="0D787F65"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62BC00E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(0.94-0.96)**</w:t>
            </w:r>
          </w:p>
        </w:tc>
        <w:tc>
          <w:tcPr>
            <w:tcW w:w="1294" w:type="dxa"/>
            <w:shd w:val="clear" w:color="auto" w:fill="auto"/>
            <w:noWrap/>
            <w:tcMar>
              <w:left w:w="28" w:type="dxa"/>
              <w:right w:w="28" w:type="dxa"/>
            </w:tcMar>
            <w:vAlign w:val="center"/>
            <w:hideMark/>
          </w:tcPr>
          <w:p w14:paraId="617ACAF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3EC98960"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(0.97-0.98)**</w:t>
            </w:r>
          </w:p>
        </w:tc>
        <w:tc>
          <w:tcPr>
            <w:tcW w:w="1294" w:type="dxa"/>
            <w:shd w:val="clear" w:color="auto" w:fill="auto"/>
            <w:noWrap/>
            <w:tcMar>
              <w:left w:w="28" w:type="dxa"/>
              <w:right w:w="28" w:type="dxa"/>
            </w:tcMar>
            <w:vAlign w:val="center"/>
            <w:hideMark/>
          </w:tcPr>
          <w:p w14:paraId="54A7F65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0.93</w:t>
            </w:r>
          </w:p>
          <w:p w14:paraId="4AA1AEC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(0.90-0.96)**</w:t>
            </w:r>
          </w:p>
        </w:tc>
        <w:tc>
          <w:tcPr>
            <w:tcW w:w="1294" w:type="dxa"/>
            <w:shd w:val="clear" w:color="auto" w:fill="auto"/>
            <w:noWrap/>
            <w:tcMar>
              <w:left w:w="28" w:type="dxa"/>
              <w:right w:w="28" w:type="dxa"/>
            </w:tcMar>
            <w:vAlign w:val="center"/>
            <w:hideMark/>
          </w:tcPr>
          <w:p w14:paraId="37BC212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47519D5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(0.96-0.97)**</w:t>
            </w:r>
          </w:p>
        </w:tc>
      </w:tr>
      <w:tr w:rsidR="00CB792E" w:rsidRPr="007B1C60" w14:paraId="1A70AB8E" w14:textId="77777777" w:rsidTr="00650CCA">
        <w:tc>
          <w:tcPr>
            <w:tcW w:w="1696" w:type="dxa"/>
            <w:shd w:val="clear" w:color="auto" w:fill="auto"/>
            <w:noWrap/>
            <w:tcMar>
              <w:left w:w="28" w:type="dxa"/>
              <w:right w:w="28" w:type="dxa"/>
            </w:tcMar>
            <w:vAlign w:val="center"/>
            <w:hideMark/>
          </w:tcPr>
          <w:p w14:paraId="42D235A5"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7</w:t>
            </w:r>
          </w:p>
        </w:tc>
        <w:tc>
          <w:tcPr>
            <w:tcW w:w="851" w:type="dxa"/>
            <w:shd w:val="clear" w:color="auto" w:fill="auto"/>
            <w:noWrap/>
            <w:tcMar>
              <w:left w:w="28" w:type="dxa"/>
              <w:right w:w="28" w:type="dxa"/>
            </w:tcMar>
            <w:vAlign w:val="center"/>
            <w:hideMark/>
          </w:tcPr>
          <w:p w14:paraId="1560CBA4"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12,917</w:t>
            </w:r>
          </w:p>
        </w:tc>
        <w:tc>
          <w:tcPr>
            <w:tcW w:w="1293" w:type="dxa"/>
            <w:shd w:val="clear" w:color="auto" w:fill="auto"/>
            <w:noWrap/>
            <w:tcMar>
              <w:left w:w="28" w:type="dxa"/>
              <w:right w:w="28" w:type="dxa"/>
            </w:tcMar>
            <w:vAlign w:val="center"/>
            <w:hideMark/>
          </w:tcPr>
          <w:p w14:paraId="3D711E1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379CCF3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15C76AC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1E57DAF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2B77EF94"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332EBCE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(0.96-0.98)**</w:t>
            </w:r>
          </w:p>
        </w:tc>
        <w:tc>
          <w:tcPr>
            <w:tcW w:w="1294" w:type="dxa"/>
            <w:shd w:val="clear" w:color="auto" w:fill="auto"/>
            <w:noWrap/>
            <w:tcMar>
              <w:left w:w="28" w:type="dxa"/>
              <w:right w:w="28" w:type="dxa"/>
            </w:tcMar>
            <w:vAlign w:val="center"/>
            <w:hideMark/>
          </w:tcPr>
          <w:p w14:paraId="2312F13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0.88</w:t>
            </w:r>
          </w:p>
          <w:p w14:paraId="28BBD2D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(0.85-0.91)**</w:t>
            </w:r>
          </w:p>
        </w:tc>
        <w:tc>
          <w:tcPr>
            <w:tcW w:w="1294" w:type="dxa"/>
            <w:shd w:val="clear" w:color="auto" w:fill="auto"/>
            <w:noWrap/>
            <w:tcMar>
              <w:left w:w="28" w:type="dxa"/>
              <w:right w:w="28" w:type="dxa"/>
            </w:tcMar>
            <w:vAlign w:val="center"/>
            <w:hideMark/>
          </w:tcPr>
          <w:p w14:paraId="48958855"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0.88</w:t>
            </w:r>
          </w:p>
          <w:p w14:paraId="2B9BFE1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(0.85-0.91)**</w:t>
            </w:r>
          </w:p>
        </w:tc>
      </w:tr>
      <w:tr w:rsidR="00CB792E" w:rsidRPr="007B1C60" w14:paraId="707ED07A" w14:textId="77777777" w:rsidTr="00650CCA">
        <w:tc>
          <w:tcPr>
            <w:tcW w:w="1696" w:type="dxa"/>
            <w:shd w:val="clear" w:color="auto" w:fill="auto"/>
            <w:noWrap/>
            <w:tcMar>
              <w:left w:w="28" w:type="dxa"/>
              <w:right w:w="28" w:type="dxa"/>
            </w:tcMar>
            <w:vAlign w:val="center"/>
            <w:hideMark/>
          </w:tcPr>
          <w:p w14:paraId="6F72143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8-10</w:t>
            </w:r>
          </w:p>
        </w:tc>
        <w:tc>
          <w:tcPr>
            <w:tcW w:w="851" w:type="dxa"/>
            <w:shd w:val="clear" w:color="auto" w:fill="auto"/>
            <w:noWrap/>
            <w:tcMar>
              <w:left w:w="28" w:type="dxa"/>
              <w:right w:w="28" w:type="dxa"/>
            </w:tcMar>
            <w:vAlign w:val="center"/>
            <w:hideMark/>
          </w:tcPr>
          <w:p w14:paraId="067E739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6,077</w:t>
            </w:r>
          </w:p>
        </w:tc>
        <w:tc>
          <w:tcPr>
            <w:tcW w:w="1293" w:type="dxa"/>
            <w:shd w:val="clear" w:color="auto" w:fill="auto"/>
            <w:noWrap/>
            <w:tcMar>
              <w:left w:w="28" w:type="dxa"/>
              <w:right w:w="28" w:type="dxa"/>
            </w:tcMar>
            <w:vAlign w:val="center"/>
            <w:hideMark/>
          </w:tcPr>
          <w:p w14:paraId="3C248FF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61B3CE18" w14:textId="788ADC4E"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(0.96-0.99)*</w:t>
            </w:r>
          </w:p>
        </w:tc>
        <w:tc>
          <w:tcPr>
            <w:tcW w:w="1294" w:type="dxa"/>
            <w:shd w:val="clear" w:color="auto" w:fill="auto"/>
            <w:noWrap/>
            <w:tcMar>
              <w:left w:w="28" w:type="dxa"/>
              <w:right w:w="28" w:type="dxa"/>
            </w:tcMar>
            <w:vAlign w:val="center"/>
            <w:hideMark/>
          </w:tcPr>
          <w:p w14:paraId="49F666F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0CD9731E"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(0.95-0.97)**</w:t>
            </w:r>
          </w:p>
        </w:tc>
        <w:tc>
          <w:tcPr>
            <w:tcW w:w="1294" w:type="dxa"/>
            <w:shd w:val="clear" w:color="auto" w:fill="auto"/>
            <w:noWrap/>
            <w:tcMar>
              <w:left w:w="28" w:type="dxa"/>
              <w:right w:w="28" w:type="dxa"/>
            </w:tcMar>
            <w:vAlign w:val="center"/>
            <w:hideMark/>
          </w:tcPr>
          <w:p w14:paraId="0D2207C4"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0.99</w:t>
            </w:r>
          </w:p>
          <w:p w14:paraId="6D9090B7"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(0.98-1.00)</w:t>
            </w:r>
          </w:p>
        </w:tc>
        <w:tc>
          <w:tcPr>
            <w:tcW w:w="1294" w:type="dxa"/>
            <w:shd w:val="clear" w:color="auto" w:fill="auto"/>
            <w:noWrap/>
            <w:tcMar>
              <w:left w:w="28" w:type="dxa"/>
              <w:right w:w="28" w:type="dxa"/>
            </w:tcMar>
            <w:vAlign w:val="center"/>
            <w:hideMark/>
          </w:tcPr>
          <w:p w14:paraId="5E0CA441"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0.87</w:t>
            </w:r>
          </w:p>
          <w:p w14:paraId="2606417C" w14:textId="0232A276"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(0.80-0.93)*</w:t>
            </w:r>
          </w:p>
        </w:tc>
        <w:tc>
          <w:tcPr>
            <w:tcW w:w="1294" w:type="dxa"/>
            <w:shd w:val="clear" w:color="auto" w:fill="auto"/>
            <w:noWrap/>
            <w:tcMar>
              <w:left w:w="28" w:type="dxa"/>
              <w:right w:w="28" w:type="dxa"/>
            </w:tcMar>
            <w:vAlign w:val="center"/>
            <w:hideMark/>
          </w:tcPr>
          <w:p w14:paraId="590AECC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132AEAC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(0.93-0.96)**</w:t>
            </w:r>
          </w:p>
        </w:tc>
      </w:tr>
      <w:tr w:rsidR="00CB792E" w:rsidRPr="007B1C60" w14:paraId="21131A8D" w14:textId="77777777" w:rsidTr="00650CCA">
        <w:tc>
          <w:tcPr>
            <w:tcW w:w="1696" w:type="dxa"/>
            <w:shd w:val="clear" w:color="auto" w:fill="auto"/>
            <w:noWrap/>
            <w:tcMar>
              <w:left w:w="28" w:type="dxa"/>
              <w:right w:w="28" w:type="dxa"/>
            </w:tcMar>
            <w:vAlign w:val="center"/>
            <w:hideMark/>
          </w:tcPr>
          <w:p w14:paraId="4C10CAE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 </w:t>
            </w:r>
          </w:p>
        </w:tc>
        <w:tc>
          <w:tcPr>
            <w:tcW w:w="851" w:type="dxa"/>
            <w:shd w:val="clear" w:color="auto" w:fill="auto"/>
            <w:noWrap/>
            <w:tcMar>
              <w:left w:w="28" w:type="dxa"/>
              <w:right w:w="28" w:type="dxa"/>
            </w:tcMar>
            <w:vAlign w:val="center"/>
            <w:hideMark/>
          </w:tcPr>
          <w:p w14:paraId="3B4435F7" w14:textId="77777777" w:rsidR="00CB792E" w:rsidRPr="007B1C60" w:rsidRDefault="00CB792E" w:rsidP="00650CCA">
            <w:pPr>
              <w:spacing w:line="240" w:lineRule="auto"/>
              <w:jc w:val="left"/>
              <w:rPr>
                <w:rFonts w:eastAsia="Times New Roman" w:cs="Arial"/>
                <w:color w:val="000000"/>
                <w:sz w:val="20"/>
                <w:szCs w:val="20"/>
                <w:lang w:eastAsia="en-GB"/>
              </w:rPr>
            </w:pPr>
          </w:p>
        </w:tc>
        <w:tc>
          <w:tcPr>
            <w:tcW w:w="1293" w:type="dxa"/>
            <w:shd w:val="clear" w:color="auto" w:fill="auto"/>
            <w:noWrap/>
            <w:tcMar>
              <w:left w:w="28" w:type="dxa"/>
              <w:right w:w="28" w:type="dxa"/>
            </w:tcMar>
            <w:vAlign w:val="center"/>
            <w:hideMark/>
          </w:tcPr>
          <w:p w14:paraId="42D713DB"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50218B34"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31E63125"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66F81774"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56A8B420" w14:textId="77777777" w:rsidR="00CB792E" w:rsidRPr="007B1C60" w:rsidRDefault="00CB792E" w:rsidP="00650CCA">
            <w:pPr>
              <w:spacing w:line="240" w:lineRule="auto"/>
              <w:jc w:val="left"/>
              <w:rPr>
                <w:rFonts w:eastAsia="Times New Roman" w:cs="Arial"/>
                <w:sz w:val="20"/>
                <w:szCs w:val="20"/>
                <w:lang w:eastAsia="en-GB"/>
              </w:rPr>
            </w:pPr>
          </w:p>
        </w:tc>
      </w:tr>
      <w:tr w:rsidR="00CB792E" w:rsidRPr="007B1C60" w14:paraId="0022E473" w14:textId="77777777" w:rsidTr="00650CCA">
        <w:tc>
          <w:tcPr>
            <w:tcW w:w="1696" w:type="dxa"/>
            <w:shd w:val="clear" w:color="auto" w:fill="auto"/>
            <w:noWrap/>
            <w:tcMar>
              <w:left w:w="28" w:type="dxa"/>
              <w:right w:w="28" w:type="dxa"/>
            </w:tcMar>
            <w:vAlign w:val="center"/>
            <w:hideMark/>
          </w:tcPr>
          <w:p w14:paraId="74EE4E6A" w14:textId="77777777" w:rsidR="00CB792E" w:rsidRPr="007B1C60" w:rsidRDefault="00CB792E" w:rsidP="00650CCA">
            <w:pPr>
              <w:spacing w:line="240" w:lineRule="auto"/>
              <w:jc w:val="left"/>
              <w:rPr>
                <w:rFonts w:eastAsia="Times New Roman" w:cs="Arial"/>
                <w:b/>
                <w:bCs/>
                <w:color w:val="000000"/>
                <w:sz w:val="20"/>
                <w:szCs w:val="20"/>
                <w:lang w:eastAsia="en-GB"/>
              </w:rPr>
            </w:pPr>
            <w:r w:rsidRPr="007B1C60">
              <w:rPr>
                <w:rFonts w:eastAsia="Times New Roman" w:cs="Arial"/>
                <w:b/>
                <w:bCs/>
                <w:color w:val="000000"/>
                <w:sz w:val="20"/>
                <w:szCs w:val="20"/>
                <w:lang w:eastAsia="en-GB"/>
              </w:rPr>
              <w:t xml:space="preserve">Treatment type </w:t>
            </w:r>
            <w:r w:rsidRPr="007B1C60">
              <w:rPr>
                <w:rFonts w:eastAsia="Times New Roman" w:cs="Arial"/>
                <w:b/>
                <w:bCs/>
                <w:color w:val="000000"/>
                <w:sz w:val="20"/>
                <w:szCs w:val="20"/>
                <w:vertAlign w:val="superscript"/>
                <w:lang w:eastAsia="en-GB"/>
              </w:rPr>
              <w:t>b</w:t>
            </w:r>
          </w:p>
        </w:tc>
        <w:tc>
          <w:tcPr>
            <w:tcW w:w="851" w:type="dxa"/>
            <w:shd w:val="clear" w:color="auto" w:fill="auto"/>
            <w:noWrap/>
            <w:tcMar>
              <w:left w:w="28" w:type="dxa"/>
              <w:right w:w="28" w:type="dxa"/>
            </w:tcMar>
            <w:vAlign w:val="center"/>
            <w:hideMark/>
          </w:tcPr>
          <w:p w14:paraId="75432560" w14:textId="77777777" w:rsidR="00CB792E" w:rsidRPr="007B1C60" w:rsidRDefault="00CB792E" w:rsidP="00650CCA">
            <w:pPr>
              <w:spacing w:line="240" w:lineRule="auto"/>
              <w:jc w:val="left"/>
              <w:rPr>
                <w:rFonts w:eastAsia="Times New Roman" w:cs="Arial"/>
                <w:b/>
                <w:bCs/>
                <w:color w:val="000000"/>
                <w:sz w:val="20"/>
                <w:szCs w:val="20"/>
                <w:lang w:eastAsia="en-GB"/>
              </w:rPr>
            </w:pPr>
          </w:p>
        </w:tc>
        <w:tc>
          <w:tcPr>
            <w:tcW w:w="1293" w:type="dxa"/>
            <w:shd w:val="clear" w:color="auto" w:fill="auto"/>
            <w:noWrap/>
            <w:tcMar>
              <w:left w:w="28" w:type="dxa"/>
              <w:right w:w="28" w:type="dxa"/>
            </w:tcMar>
            <w:vAlign w:val="center"/>
            <w:hideMark/>
          </w:tcPr>
          <w:p w14:paraId="2BFDD13B"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435099ED"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062DFC9B"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2D40822E" w14:textId="77777777" w:rsidR="00CB792E" w:rsidRPr="007B1C60" w:rsidRDefault="00CB792E" w:rsidP="00650CCA">
            <w:pPr>
              <w:spacing w:line="240" w:lineRule="auto"/>
              <w:jc w:val="left"/>
              <w:rPr>
                <w:rFonts w:eastAsia="Times New Roman" w:cs="Arial"/>
                <w:sz w:val="20"/>
                <w:szCs w:val="20"/>
                <w:lang w:eastAsia="en-GB"/>
              </w:rPr>
            </w:pPr>
          </w:p>
        </w:tc>
        <w:tc>
          <w:tcPr>
            <w:tcW w:w="1294" w:type="dxa"/>
            <w:shd w:val="clear" w:color="auto" w:fill="auto"/>
            <w:noWrap/>
            <w:tcMar>
              <w:left w:w="28" w:type="dxa"/>
              <w:right w:w="28" w:type="dxa"/>
            </w:tcMar>
            <w:vAlign w:val="center"/>
            <w:hideMark/>
          </w:tcPr>
          <w:p w14:paraId="1ECED736" w14:textId="77777777" w:rsidR="00CB792E" w:rsidRPr="007B1C60" w:rsidRDefault="00CB792E" w:rsidP="00650CCA">
            <w:pPr>
              <w:spacing w:line="240" w:lineRule="auto"/>
              <w:jc w:val="left"/>
              <w:rPr>
                <w:rFonts w:eastAsia="Times New Roman" w:cs="Arial"/>
                <w:sz w:val="20"/>
                <w:szCs w:val="20"/>
                <w:lang w:eastAsia="en-GB"/>
              </w:rPr>
            </w:pPr>
          </w:p>
        </w:tc>
      </w:tr>
      <w:tr w:rsidR="00CB792E" w:rsidRPr="007B1C60" w14:paraId="4A3DCA16" w14:textId="77777777" w:rsidTr="00650CCA">
        <w:tc>
          <w:tcPr>
            <w:tcW w:w="1696" w:type="dxa"/>
            <w:shd w:val="clear" w:color="auto" w:fill="auto"/>
            <w:noWrap/>
            <w:tcMar>
              <w:left w:w="28" w:type="dxa"/>
              <w:right w:w="28" w:type="dxa"/>
            </w:tcMar>
            <w:vAlign w:val="center"/>
            <w:hideMark/>
          </w:tcPr>
          <w:p w14:paraId="55A2BB3C"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Any surgery</w:t>
            </w:r>
          </w:p>
        </w:tc>
        <w:tc>
          <w:tcPr>
            <w:tcW w:w="851" w:type="dxa"/>
            <w:shd w:val="clear" w:color="auto" w:fill="auto"/>
            <w:noWrap/>
            <w:tcMar>
              <w:left w:w="28" w:type="dxa"/>
              <w:right w:w="28" w:type="dxa"/>
            </w:tcMar>
            <w:vAlign w:val="center"/>
            <w:hideMark/>
          </w:tcPr>
          <w:p w14:paraId="5EF5D41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9,710</w:t>
            </w:r>
          </w:p>
        </w:tc>
        <w:tc>
          <w:tcPr>
            <w:tcW w:w="1293" w:type="dxa"/>
            <w:shd w:val="clear" w:color="auto" w:fill="auto"/>
            <w:noWrap/>
            <w:tcMar>
              <w:left w:w="28" w:type="dxa"/>
              <w:right w:w="28" w:type="dxa"/>
            </w:tcMar>
            <w:vAlign w:val="center"/>
            <w:hideMark/>
          </w:tcPr>
          <w:p w14:paraId="17D7A3F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46BB3558" w14:textId="6B8F41BC"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(0.96-0.99)*</w:t>
            </w:r>
          </w:p>
        </w:tc>
        <w:tc>
          <w:tcPr>
            <w:tcW w:w="1294" w:type="dxa"/>
            <w:shd w:val="clear" w:color="auto" w:fill="auto"/>
            <w:noWrap/>
            <w:tcMar>
              <w:left w:w="28" w:type="dxa"/>
              <w:right w:w="28" w:type="dxa"/>
            </w:tcMar>
            <w:vAlign w:val="center"/>
            <w:hideMark/>
          </w:tcPr>
          <w:p w14:paraId="16FA444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1A1AA420"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(0.96-0.97)**</w:t>
            </w:r>
          </w:p>
        </w:tc>
        <w:tc>
          <w:tcPr>
            <w:tcW w:w="1294" w:type="dxa"/>
            <w:shd w:val="clear" w:color="auto" w:fill="auto"/>
            <w:noWrap/>
            <w:tcMar>
              <w:left w:w="28" w:type="dxa"/>
              <w:right w:w="28" w:type="dxa"/>
            </w:tcMar>
            <w:vAlign w:val="center"/>
            <w:hideMark/>
          </w:tcPr>
          <w:p w14:paraId="0B171FE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11302801"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(0.97-0.98)**</w:t>
            </w:r>
          </w:p>
        </w:tc>
        <w:tc>
          <w:tcPr>
            <w:tcW w:w="1294" w:type="dxa"/>
            <w:shd w:val="clear" w:color="auto" w:fill="auto"/>
            <w:noWrap/>
            <w:tcMar>
              <w:left w:w="28" w:type="dxa"/>
              <w:right w:w="28" w:type="dxa"/>
            </w:tcMar>
            <w:vAlign w:val="center"/>
            <w:hideMark/>
          </w:tcPr>
          <w:p w14:paraId="7F7B799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0.93</w:t>
            </w:r>
          </w:p>
          <w:p w14:paraId="3EF47DC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(0.89-0.97)*</w:t>
            </w:r>
          </w:p>
        </w:tc>
        <w:tc>
          <w:tcPr>
            <w:tcW w:w="1294" w:type="dxa"/>
            <w:shd w:val="clear" w:color="auto" w:fill="auto"/>
            <w:noWrap/>
            <w:tcMar>
              <w:left w:w="28" w:type="dxa"/>
              <w:right w:w="28" w:type="dxa"/>
            </w:tcMar>
            <w:vAlign w:val="center"/>
            <w:hideMark/>
          </w:tcPr>
          <w:p w14:paraId="448A391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05BD4CF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(0.96-0.97)**</w:t>
            </w:r>
          </w:p>
        </w:tc>
      </w:tr>
      <w:tr w:rsidR="00CB792E" w:rsidRPr="007B1C60" w14:paraId="5DFCD48F" w14:textId="77777777" w:rsidTr="00650CCA">
        <w:tc>
          <w:tcPr>
            <w:tcW w:w="1696" w:type="dxa"/>
            <w:shd w:val="clear" w:color="auto" w:fill="auto"/>
            <w:noWrap/>
            <w:tcMar>
              <w:left w:w="28" w:type="dxa"/>
              <w:right w:w="28" w:type="dxa"/>
            </w:tcMar>
            <w:vAlign w:val="center"/>
            <w:hideMark/>
          </w:tcPr>
          <w:p w14:paraId="3F7E969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Any EBRT</w:t>
            </w:r>
          </w:p>
        </w:tc>
        <w:tc>
          <w:tcPr>
            <w:tcW w:w="851" w:type="dxa"/>
            <w:shd w:val="clear" w:color="auto" w:fill="auto"/>
            <w:noWrap/>
            <w:tcMar>
              <w:left w:w="28" w:type="dxa"/>
              <w:right w:w="28" w:type="dxa"/>
            </w:tcMar>
            <w:vAlign w:val="center"/>
            <w:hideMark/>
          </w:tcPr>
          <w:p w14:paraId="76640E9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12,780</w:t>
            </w:r>
          </w:p>
        </w:tc>
        <w:tc>
          <w:tcPr>
            <w:tcW w:w="1293" w:type="dxa"/>
            <w:shd w:val="clear" w:color="auto" w:fill="auto"/>
            <w:noWrap/>
            <w:tcMar>
              <w:left w:w="28" w:type="dxa"/>
              <w:right w:w="28" w:type="dxa"/>
            </w:tcMar>
            <w:vAlign w:val="center"/>
            <w:hideMark/>
          </w:tcPr>
          <w:p w14:paraId="778FF09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680D02D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(0.95-0.97)**</w:t>
            </w:r>
          </w:p>
        </w:tc>
        <w:tc>
          <w:tcPr>
            <w:tcW w:w="1294" w:type="dxa"/>
            <w:shd w:val="clear" w:color="auto" w:fill="auto"/>
            <w:noWrap/>
            <w:tcMar>
              <w:left w:w="28" w:type="dxa"/>
              <w:right w:w="28" w:type="dxa"/>
            </w:tcMar>
            <w:vAlign w:val="center"/>
            <w:hideMark/>
          </w:tcPr>
          <w:p w14:paraId="5633621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0C47516C"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270B44C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765A1DA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(0.97-0.98)**</w:t>
            </w:r>
          </w:p>
        </w:tc>
        <w:tc>
          <w:tcPr>
            <w:tcW w:w="1294" w:type="dxa"/>
            <w:shd w:val="clear" w:color="auto" w:fill="auto"/>
            <w:noWrap/>
            <w:tcMar>
              <w:left w:w="28" w:type="dxa"/>
              <w:right w:w="28" w:type="dxa"/>
            </w:tcMar>
            <w:vAlign w:val="center"/>
            <w:hideMark/>
          </w:tcPr>
          <w:p w14:paraId="7A311CB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0.84</w:t>
            </w:r>
          </w:p>
          <w:p w14:paraId="49283CA0"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(0.80-0.87)**</w:t>
            </w:r>
          </w:p>
        </w:tc>
        <w:tc>
          <w:tcPr>
            <w:tcW w:w="1294" w:type="dxa"/>
            <w:shd w:val="clear" w:color="auto" w:fill="auto"/>
            <w:noWrap/>
            <w:tcMar>
              <w:left w:w="28" w:type="dxa"/>
              <w:right w:w="28" w:type="dxa"/>
            </w:tcMar>
            <w:vAlign w:val="center"/>
            <w:hideMark/>
          </w:tcPr>
          <w:p w14:paraId="27AAA85C"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590989E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(0.94-0.96)**</w:t>
            </w:r>
          </w:p>
        </w:tc>
      </w:tr>
      <w:tr w:rsidR="00CB792E" w:rsidRPr="007B1C60" w14:paraId="137FCE98" w14:textId="77777777" w:rsidTr="00650CCA">
        <w:tc>
          <w:tcPr>
            <w:tcW w:w="1696" w:type="dxa"/>
            <w:shd w:val="clear" w:color="auto" w:fill="auto"/>
            <w:noWrap/>
            <w:tcMar>
              <w:left w:w="28" w:type="dxa"/>
              <w:right w:w="28" w:type="dxa"/>
            </w:tcMar>
            <w:vAlign w:val="center"/>
            <w:hideMark/>
          </w:tcPr>
          <w:p w14:paraId="47736A2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Any ADT</w:t>
            </w:r>
          </w:p>
        </w:tc>
        <w:tc>
          <w:tcPr>
            <w:tcW w:w="851" w:type="dxa"/>
            <w:shd w:val="clear" w:color="auto" w:fill="auto"/>
            <w:noWrap/>
            <w:tcMar>
              <w:left w:w="28" w:type="dxa"/>
              <w:right w:w="28" w:type="dxa"/>
            </w:tcMar>
            <w:vAlign w:val="center"/>
            <w:hideMark/>
          </w:tcPr>
          <w:p w14:paraId="31BB81AE"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14,016</w:t>
            </w:r>
          </w:p>
        </w:tc>
        <w:tc>
          <w:tcPr>
            <w:tcW w:w="1293" w:type="dxa"/>
            <w:shd w:val="clear" w:color="auto" w:fill="auto"/>
            <w:noWrap/>
            <w:tcMar>
              <w:left w:w="28" w:type="dxa"/>
              <w:right w:w="28" w:type="dxa"/>
            </w:tcMar>
            <w:vAlign w:val="center"/>
            <w:hideMark/>
          </w:tcPr>
          <w:p w14:paraId="016AB63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75DC68A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(0.95-0.97)**</w:t>
            </w:r>
          </w:p>
        </w:tc>
        <w:tc>
          <w:tcPr>
            <w:tcW w:w="1294" w:type="dxa"/>
            <w:shd w:val="clear" w:color="auto" w:fill="auto"/>
            <w:noWrap/>
            <w:tcMar>
              <w:left w:w="28" w:type="dxa"/>
              <w:right w:w="28" w:type="dxa"/>
            </w:tcMar>
            <w:vAlign w:val="center"/>
            <w:hideMark/>
          </w:tcPr>
          <w:p w14:paraId="23A82D0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w:t>
            </w:r>
          </w:p>
          <w:p w14:paraId="05D55BA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(0.95-0.96)**</w:t>
            </w:r>
          </w:p>
        </w:tc>
        <w:tc>
          <w:tcPr>
            <w:tcW w:w="1294" w:type="dxa"/>
            <w:shd w:val="clear" w:color="auto" w:fill="auto"/>
            <w:noWrap/>
            <w:tcMar>
              <w:left w:w="28" w:type="dxa"/>
              <w:right w:w="28" w:type="dxa"/>
            </w:tcMar>
            <w:vAlign w:val="center"/>
            <w:hideMark/>
          </w:tcPr>
          <w:p w14:paraId="652A399C"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0.98</w:t>
            </w:r>
          </w:p>
          <w:p w14:paraId="1FF0FFF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(0.97-0.98)**</w:t>
            </w:r>
          </w:p>
        </w:tc>
        <w:tc>
          <w:tcPr>
            <w:tcW w:w="1294" w:type="dxa"/>
            <w:shd w:val="clear" w:color="auto" w:fill="auto"/>
            <w:noWrap/>
            <w:tcMar>
              <w:left w:w="28" w:type="dxa"/>
              <w:right w:w="28" w:type="dxa"/>
            </w:tcMar>
            <w:vAlign w:val="center"/>
            <w:hideMark/>
          </w:tcPr>
          <w:p w14:paraId="7B99A9C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0.86</w:t>
            </w:r>
          </w:p>
          <w:p w14:paraId="511451A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(0.82-0.90)**</w:t>
            </w:r>
          </w:p>
        </w:tc>
        <w:tc>
          <w:tcPr>
            <w:tcW w:w="1294" w:type="dxa"/>
            <w:shd w:val="clear" w:color="auto" w:fill="auto"/>
            <w:noWrap/>
            <w:tcMar>
              <w:left w:w="28" w:type="dxa"/>
              <w:right w:w="28" w:type="dxa"/>
            </w:tcMar>
            <w:vAlign w:val="center"/>
            <w:hideMark/>
          </w:tcPr>
          <w:p w14:paraId="138E2DD8"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508182B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(0.94-0.96)**</w:t>
            </w:r>
          </w:p>
        </w:tc>
      </w:tr>
      <w:tr w:rsidR="00CB792E" w:rsidRPr="007B1C60" w14:paraId="0694120F" w14:textId="77777777" w:rsidTr="00650CCA">
        <w:tc>
          <w:tcPr>
            <w:tcW w:w="1696" w:type="dxa"/>
            <w:shd w:val="clear" w:color="auto" w:fill="auto"/>
            <w:noWrap/>
            <w:tcMar>
              <w:left w:w="28" w:type="dxa"/>
              <w:right w:w="28" w:type="dxa"/>
            </w:tcMar>
            <w:vAlign w:val="center"/>
            <w:hideMark/>
          </w:tcPr>
          <w:p w14:paraId="29254E39"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Monitoring only</w:t>
            </w:r>
          </w:p>
        </w:tc>
        <w:tc>
          <w:tcPr>
            <w:tcW w:w="851" w:type="dxa"/>
            <w:shd w:val="clear" w:color="auto" w:fill="auto"/>
            <w:noWrap/>
            <w:tcMar>
              <w:left w:w="28" w:type="dxa"/>
              <w:right w:w="28" w:type="dxa"/>
            </w:tcMar>
            <w:vAlign w:val="center"/>
            <w:hideMark/>
          </w:tcPr>
          <w:p w14:paraId="1736B29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5,378</w:t>
            </w:r>
          </w:p>
        </w:tc>
        <w:tc>
          <w:tcPr>
            <w:tcW w:w="1293" w:type="dxa"/>
            <w:shd w:val="clear" w:color="auto" w:fill="auto"/>
            <w:noWrap/>
            <w:tcMar>
              <w:left w:w="28" w:type="dxa"/>
              <w:right w:w="28" w:type="dxa"/>
            </w:tcMar>
            <w:vAlign w:val="center"/>
            <w:hideMark/>
          </w:tcPr>
          <w:p w14:paraId="286EAC3E"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0.95</w:t>
            </w:r>
          </w:p>
          <w:p w14:paraId="38D28863"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(0.94-0.96)**</w:t>
            </w:r>
          </w:p>
        </w:tc>
        <w:tc>
          <w:tcPr>
            <w:tcW w:w="1294" w:type="dxa"/>
            <w:shd w:val="clear" w:color="auto" w:fill="auto"/>
            <w:noWrap/>
            <w:tcMar>
              <w:left w:w="28" w:type="dxa"/>
              <w:right w:w="28" w:type="dxa"/>
            </w:tcMar>
            <w:vAlign w:val="center"/>
            <w:hideMark/>
          </w:tcPr>
          <w:p w14:paraId="7FC70AD6"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0.94</w:t>
            </w:r>
          </w:p>
          <w:p w14:paraId="11F7C1E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(0.93-0.94)**</w:t>
            </w:r>
          </w:p>
        </w:tc>
        <w:tc>
          <w:tcPr>
            <w:tcW w:w="1294" w:type="dxa"/>
            <w:shd w:val="clear" w:color="auto" w:fill="auto"/>
            <w:noWrap/>
            <w:tcMar>
              <w:left w:w="28" w:type="dxa"/>
              <w:right w:w="28" w:type="dxa"/>
            </w:tcMar>
            <w:vAlign w:val="center"/>
            <w:hideMark/>
          </w:tcPr>
          <w:p w14:paraId="68D5C49B"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6BE44F6A"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(0.97-0.98)**</w:t>
            </w:r>
          </w:p>
        </w:tc>
        <w:tc>
          <w:tcPr>
            <w:tcW w:w="1294" w:type="dxa"/>
            <w:shd w:val="clear" w:color="auto" w:fill="auto"/>
            <w:noWrap/>
            <w:tcMar>
              <w:left w:w="28" w:type="dxa"/>
              <w:right w:w="28" w:type="dxa"/>
            </w:tcMar>
            <w:vAlign w:val="center"/>
            <w:hideMark/>
          </w:tcPr>
          <w:p w14:paraId="30C77EEF"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0.91</w:t>
            </w:r>
          </w:p>
          <w:p w14:paraId="705D602D"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(0.88-0.94)**</w:t>
            </w:r>
          </w:p>
        </w:tc>
        <w:tc>
          <w:tcPr>
            <w:tcW w:w="1294" w:type="dxa"/>
            <w:shd w:val="clear" w:color="auto" w:fill="auto"/>
            <w:noWrap/>
            <w:tcMar>
              <w:left w:w="28" w:type="dxa"/>
              <w:right w:w="28" w:type="dxa"/>
            </w:tcMar>
            <w:vAlign w:val="center"/>
            <w:hideMark/>
          </w:tcPr>
          <w:p w14:paraId="493F97E2"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0.97</w:t>
            </w:r>
          </w:p>
          <w:p w14:paraId="27B2848E" w14:textId="77777777" w:rsidR="00CB792E" w:rsidRPr="007B1C60" w:rsidRDefault="00CB792E" w:rsidP="00650CCA">
            <w:pPr>
              <w:spacing w:line="240" w:lineRule="auto"/>
              <w:jc w:val="left"/>
              <w:rPr>
                <w:rFonts w:eastAsia="Times New Roman" w:cs="Arial"/>
                <w:color w:val="000000"/>
                <w:sz w:val="20"/>
                <w:szCs w:val="20"/>
                <w:lang w:eastAsia="en-GB"/>
              </w:rPr>
            </w:pPr>
            <w:r w:rsidRPr="007B1C60">
              <w:rPr>
                <w:rFonts w:eastAsia="Times New Roman" w:cs="Arial"/>
                <w:color w:val="000000"/>
                <w:sz w:val="20"/>
                <w:szCs w:val="20"/>
                <w:lang w:eastAsia="en-GB"/>
              </w:rPr>
              <w:t>(0.96-0.98)**</w:t>
            </w:r>
          </w:p>
        </w:tc>
      </w:tr>
    </w:tbl>
    <w:p w14:paraId="79856E16" w14:textId="77777777" w:rsidR="00CB792E" w:rsidRDefault="00CB792E" w:rsidP="00CB792E">
      <w:pPr>
        <w:spacing w:line="240" w:lineRule="auto"/>
        <w:rPr>
          <w:sz w:val="20"/>
          <w:szCs w:val="20"/>
        </w:rPr>
      </w:pPr>
    </w:p>
    <w:p w14:paraId="0EDD3B61" w14:textId="77777777" w:rsidR="00CB792E" w:rsidRPr="00B7357B" w:rsidRDefault="00CB792E" w:rsidP="00CB792E">
      <w:pPr>
        <w:spacing w:line="240" w:lineRule="auto"/>
        <w:rPr>
          <w:sz w:val="20"/>
          <w:szCs w:val="20"/>
        </w:rPr>
      </w:pPr>
      <w:r w:rsidRPr="00B7357B">
        <w:rPr>
          <w:sz w:val="20"/>
          <w:szCs w:val="20"/>
        </w:rPr>
        <w:t>Notes:</w:t>
      </w:r>
    </w:p>
    <w:p w14:paraId="583BB59A" w14:textId="77777777" w:rsidR="00CB792E" w:rsidRPr="00B7357B" w:rsidRDefault="00CB792E" w:rsidP="00CB792E">
      <w:pPr>
        <w:spacing w:line="240" w:lineRule="auto"/>
        <w:rPr>
          <w:sz w:val="20"/>
          <w:szCs w:val="20"/>
        </w:rPr>
      </w:pPr>
      <w:r w:rsidRPr="00B7357B">
        <w:rPr>
          <w:sz w:val="20"/>
          <w:szCs w:val="20"/>
        </w:rPr>
        <w:t>(a)</w:t>
      </w:r>
      <w:r w:rsidRPr="00B7357B">
        <w:rPr>
          <w:sz w:val="20"/>
          <w:szCs w:val="20"/>
        </w:rPr>
        <w:tab/>
        <w:t>Determined using multivariable log-linear model adjusted for other variables in the table plus nation, deprivation, number of comorbidities, BMI, ethnicity, marital status and employment status. An adjusted mean score of less than 1 can be interpreted to mean that symptomatic patients have poorer functionality than PSA-detected patients.</w:t>
      </w:r>
    </w:p>
    <w:p w14:paraId="05B2CC16" w14:textId="77777777" w:rsidR="00CB792E" w:rsidRPr="00B7357B" w:rsidRDefault="00CB792E" w:rsidP="00CB792E">
      <w:pPr>
        <w:spacing w:line="240" w:lineRule="auto"/>
        <w:rPr>
          <w:sz w:val="20"/>
          <w:szCs w:val="20"/>
        </w:rPr>
      </w:pPr>
      <w:r w:rsidRPr="00B7357B">
        <w:rPr>
          <w:sz w:val="20"/>
          <w:szCs w:val="20"/>
        </w:rPr>
        <w:t>(b)</w:t>
      </w:r>
      <w:r w:rsidRPr="00B7357B">
        <w:rPr>
          <w:sz w:val="20"/>
          <w:szCs w:val="20"/>
        </w:rPr>
        <w:tab/>
        <w:t>Men may have more than one type of treatment.</w:t>
      </w:r>
    </w:p>
    <w:p w14:paraId="374C1420" w14:textId="2DF49B4A" w:rsidR="00CB792E" w:rsidRPr="00B7357B" w:rsidRDefault="00CB792E" w:rsidP="00CB792E">
      <w:pPr>
        <w:spacing w:line="240" w:lineRule="auto"/>
        <w:rPr>
          <w:sz w:val="20"/>
          <w:szCs w:val="20"/>
        </w:rPr>
      </w:pPr>
      <w:r w:rsidRPr="00B7357B">
        <w:rPr>
          <w:sz w:val="20"/>
          <w:szCs w:val="20"/>
        </w:rPr>
        <w:t># Alive 18-42 months after diagnosis; *p&lt;0.05, **p&lt;0.001</w:t>
      </w:r>
      <w:r w:rsidR="00060C54">
        <w:rPr>
          <w:sz w:val="20"/>
          <w:szCs w:val="20"/>
        </w:rPr>
        <w:t xml:space="preserve"> </w:t>
      </w:r>
      <w:r w:rsidR="00060C54" w:rsidRPr="00060C54">
        <w:rPr>
          <w:sz w:val="20"/>
          <w:szCs w:val="20"/>
        </w:rPr>
        <w:t xml:space="preserve">after </w:t>
      </w:r>
      <w:proofErr w:type="spellStart"/>
      <w:r w:rsidR="00060C54" w:rsidRPr="00060C54">
        <w:rPr>
          <w:sz w:val="20"/>
          <w:szCs w:val="20"/>
        </w:rPr>
        <w:t>Bonferroni</w:t>
      </w:r>
      <w:proofErr w:type="spellEnd"/>
      <w:r w:rsidR="00060C54" w:rsidRPr="00060C54">
        <w:rPr>
          <w:sz w:val="20"/>
          <w:szCs w:val="20"/>
        </w:rPr>
        <w:t xml:space="preserve"> correction for multiple comparisons</w:t>
      </w:r>
      <w:r w:rsidRPr="00B7357B">
        <w:rPr>
          <w:sz w:val="20"/>
          <w:szCs w:val="20"/>
        </w:rPr>
        <w:t>; CI - Confidence Interval; EBRT - External Beam Radiotherapy; ADT - Androgen Deprivation Therapy.</w:t>
      </w:r>
    </w:p>
    <w:p w14:paraId="10712CD0" w14:textId="2C885843" w:rsidR="00CB792E" w:rsidRDefault="00CB792E" w:rsidP="00CB792E"/>
    <w:p w14:paraId="3BFC6DB8" w14:textId="77777777" w:rsidR="00A6628F" w:rsidRDefault="00A6628F" w:rsidP="00B7357B">
      <w:pPr>
        <w:sectPr w:rsidR="00A6628F" w:rsidSect="00376C0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pPr>
    </w:p>
    <w:p w14:paraId="5604491A" w14:textId="4B4F7917" w:rsidR="00A6628F" w:rsidRDefault="00A6628F" w:rsidP="00A6628F">
      <w:pPr>
        <w:pStyle w:val="Heading2"/>
      </w:pPr>
      <w:r w:rsidRPr="00357B0B">
        <w:lastRenderedPageBreak/>
        <w:t>Supplementary data</w:t>
      </w:r>
    </w:p>
    <w:p w14:paraId="7D755CB5" w14:textId="77777777" w:rsidR="00A6628F" w:rsidRPr="00ED4A76" w:rsidRDefault="00A6628F" w:rsidP="00A6628F"/>
    <w:p w14:paraId="1A728C09" w14:textId="77777777" w:rsidR="00A6628F" w:rsidRDefault="00A6628F" w:rsidP="00A6628F">
      <w:pPr>
        <w:pStyle w:val="Heading3"/>
        <w:jc w:val="left"/>
      </w:pPr>
      <w:r w:rsidRPr="00357B0B">
        <w:t>Table S1: Data item completeness by method of presentation</w:t>
      </w:r>
    </w:p>
    <w:p w14:paraId="3772E78C" w14:textId="77777777" w:rsidR="00A6628F" w:rsidRPr="00592654" w:rsidRDefault="00A6628F" w:rsidP="00A6628F">
      <w:pPr>
        <w:pStyle w:val="NoSpacing"/>
      </w:pPr>
    </w:p>
    <w:p w14:paraId="4E29BB21" w14:textId="77777777" w:rsidR="00A6628F" w:rsidRDefault="00A6628F" w:rsidP="00A6628F">
      <w:pPr>
        <w:pStyle w:val="Heading3"/>
        <w:jc w:val="left"/>
      </w:pPr>
      <w:r w:rsidRPr="00357B0B">
        <w:t>Table S2: Additional respondent characteristics by method of presentation</w:t>
      </w:r>
    </w:p>
    <w:p w14:paraId="31FCAF97" w14:textId="77777777" w:rsidR="00A6628F" w:rsidRPr="00592654" w:rsidRDefault="00A6628F" w:rsidP="00A6628F">
      <w:pPr>
        <w:pStyle w:val="NoSpacing"/>
      </w:pPr>
    </w:p>
    <w:p w14:paraId="45E8FC16" w14:textId="77777777" w:rsidR="00A6628F" w:rsidRDefault="00A6628F" w:rsidP="00A6628F">
      <w:pPr>
        <w:pStyle w:val="Heading3"/>
        <w:jc w:val="left"/>
      </w:pPr>
      <w:r w:rsidRPr="00357B0B">
        <w:t>Table S3: Unadjusted responses to individual items from the EPIC-26 question set by method of presentation</w:t>
      </w:r>
    </w:p>
    <w:p w14:paraId="161BB5BB" w14:textId="77777777" w:rsidR="00A6628F" w:rsidRPr="00592654" w:rsidRDefault="00A6628F" w:rsidP="00A6628F">
      <w:pPr>
        <w:pStyle w:val="NoSpacing"/>
      </w:pPr>
    </w:p>
    <w:p w14:paraId="40178353" w14:textId="77777777" w:rsidR="00A6628F" w:rsidRDefault="00A6628F" w:rsidP="00A6628F">
      <w:pPr>
        <w:pStyle w:val="Heading3"/>
        <w:jc w:val="left"/>
      </w:pPr>
      <w:r w:rsidRPr="00357B0B">
        <w:t>Table S4: Mean functional outcome scores (EPIC-26) by respondent characteristics and method of presentation</w:t>
      </w:r>
    </w:p>
    <w:p w14:paraId="6115F06D" w14:textId="77777777" w:rsidR="00A6628F" w:rsidRPr="00592654" w:rsidRDefault="00A6628F" w:rsidP="00A6628F">
      <w:pPr>
        <w:pStyle w:val="NoSpacing"/>
      </w:pPr>
    </w:p>
    <w:p w14:paraId="21B5674E" w14:textId="77777777" w:rsidR="00A6628F" w:rsidRPr="00357B0B" w:rsidRDefault="00A6628F" w:rsidP="00A6628F">
      <w:pPr>
        <w:pStyle w:val="Heading3"/>
        <w:jc w:val="left"/>
      </w:pPr>
      <w:r w:rsidRPr="00357B0B">
        <w:t>Table S5: Case mix adjusted ratio of mean functional outcome scores (EPIC-26) of PSA-detected compared to symptomatic prostate cancer survivors – Complete case analysis</w:t>
      </w:r>
    </w:p>
    <w:p w14:paraId="4748EFC8" w14:textId="77777777" w:rsidR="00A6628F" w:rsidRPr="00365405" w:rsidRDefault="00A6628F" w:rsidP="00A6628F">
      <w:pPr>
        <w:rPr>
          <w:lang w:val="en-US" w:bidi="en-US"/>
        </w:rPr>
      </w:pPr>
    </w:p>
    <w:p w14:paraId="54239A54" w14:textId="77777777" w:rsidR="00A6628F" w:rsidRPr="00C10AE2" w:rsidRDefault="00A6628F" w:rsidP="00A6628F">
      <w:pPr>
        <w:rPr>
          <w:lang w:val="en-US" w:bidi="en-US"/>
        </w:rPr>
      </w:pPr>
    </w:p>
    <w:p w14:paraId="74E47E13" w14:textId="77777777" w:rsidR="00A6628F" w:rsidRDefault="00A6628F" w:rsidP="00A6628F">
      <w:pPr>
        <w:rPr>
          <w:lang w:val="en-US" w:bidi="en-US"/>
        </w:rPr>
      </w:pPr>
    </w:p>
    <w:p w14:paraId="7CC59EE0" w14:textId="77777777" w:rsidR="00A6628F" w:rsidRPr="00F6058D" w:rsidRDefault="00A6628F" w:rsidP="00A6628F">
      <w:pPr>
        <w:rPr>
          <w:lang w:val="en-US" w:bidi="en-US"/>
        </w:rPr>
        <w:sectPr w:rsidR="00A6628F" w:rsidRPr="00F6058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pPr>
    </w:p>
    <w:p w14:paraId="446D00DE" w14:textId="77777777" w:rsidR="00A6628F" w:rsidRDefault="00A6628F" w:rsidP="00A6628F">
      <w:pPr>
        <w:pStyle w:val="Heading3"/>
      </w:pPr>
      <w:r>
        <w:lastRenderedPageBreak/>
        <w:t>T</w:t>
      </w:r>
      <w:r w:rsidRPr="004C4E56">
        <w:t xml:space="preserve">able </w:t>
      </w:r>
      <w:r>
        <w:t>S</w:t>
      </w:r>
      <w:r w:rsidRPr="004C4E56">
        <w:t xml:space="preserve">1: Data item completeness </w:t>
      </w:r>
      <w:r w:rsidRPr="00793687">
        <w:t>by method of presentation</w:t>
      </w:r>
    </w:p>
    <w:p w14:paraId="24C72A7A" w14:textId="77777777" w:rsidR="00A6628F" w:rsidRPr="00357B0B" w:rsidRDefault="00A6628F" w:rsidP="00A6628F">
      <w:pPr>
        <w:pStyle w:val="NoSpacing"/>
      </w:pPr>
    </w:p>
    <w:tbl>
      <w:tblPr>
        <w:tblW w:w="6860" w:type="dxa"/>
        <w:tblLook w:val="04A0" w:firstRow="1" w:lastRow="0" w:firstColumn="1" w:lastColumn="0" w:noHBand="0" w:noVBand="1"/>
      </w:tblPr>
      <w:tblGrid>
        <w:gridCol w:w="3260"/>
        <w:gridCol w:w="1818"/>
        <w:gridCol w:w="1782"/>
      </w:tblGrid>
      <w:tr w:rsidR="00A6628F" w:rsidRPr="004C4E56" w14:paraId="2A9B9C7C" w14:textId="77777777" w:rsidTr="007155F2">
        <w:trPr>
          <w:trHeight w:val="288"/>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55E65"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Respondent characteristic</w:t>
            </w:r>
          </w:p>
        </w:tc>
        <w:tc>
          <w:tcPr>
            <w:tcW w:w="36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F2F486" w14:textId="77777777" w:rsidR="00A6628F" w:rsidRPr="004C4E56" w:rsidRDefault="00A6628F" w:rsidP="007155F2">
            <w:pPr>
              <w:spacing w:line="240" w:lineRule="auto"/>
              <w:jc w:val="right"/>
              <w:rPr>
                <w:rFonts w:eastAsia="Times New Roman" w:cs="Arial"/>
                <w:b/>
                <w:bCs/>
                <w:color w:val="000000"/>
                <w:sz w:val="20"/>
                <w:szCs w:val="20"/>
                <w:lang w:eastAsia="en-GB"/>
              </w:rPr>
            </w:pPr>
            <w:r w:rsidRPr="004C4E56">
              <w:rPr>
                <w:rFonts w:eastAsia="Times New Roman" w:cs="Arial"/>
                <w:b/>
                <w:bCs/>
                <w:color w:val="000000"/>
                <w:sz w:val="20"/>
                <w:szCs w:val="20"/>
                <w:lang w:eastAsia="en-GB"/>
              </w:rPr>
              <w:t>Proportion complete</w:t>
            </w:r>
          </w:p>
        </w:tc>
      </w:tr>
      <w:tr w:rsidR="00A6628F" w:rsidRPr="004C4E56" w14:paraId="7DFA545A" w14:textId="77777777" w:rsidTr="007155F2">
        <w:trPr>
          <w:trHeight w:val="288"/>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2ECF18CA" w14:textId="77777777" w:rsidR="00A6628F" w:rsidRPr="004C4E56" w:rsidRDefault="00A6628F" w:rsidP="007155F2">
            <w:pPr>
              <w:spacing w:line="240" w:lineRule="auto"/>
              <w:jc w:val="left"/>
              <w:rPr>
                <w:rFonts w:eastAsia="Times New Roman" w:cs="Arial"/>
                <w:b/>
                <w:bCs/>
                <w:color w:val="000000"/>
                <w:sz w:val="20"/>
                <w:szCs w:val="20"/>
                <w:lang w:eastAsia="en-GB"/>
              </w:rPr>
            </w:pPr>
          </w:p>
        </w:tc>
        <w:tc>
          <w:tcPr>
            <w:tcW w:w="1818" w:type="dxa"/>
            <w:tcBorders>
              <w:top w:val="nil"/>
              <w:left w:val="nil"/>
              <w:bottom w:val="single" w:sz="4" w:space="0" w:color="auto"/>
              <w:right w:val="single" w:sz="4" w:space="0" w:color="auto"/>
            </w:tcBorders>
            <w:shd w:val="clear" w:color="auto" w:fill="auto"/>
            <w:noWrap/>
            <w:vAlign w:val="bottom"/>
            <w:hideMark/>
          </w:tcPr>
          <w:p w14:paraId="59F6CBC2" w14:textId="77777777" w:rsidR="00A6628F" w:rsidRPr="004C4E56" w:rsidRDefault="00A6628F" w:rsidP="007155F2">
            <w:pPr>
              <w:spacing w:line="240" w:lineRule="auto"/>
              <w:jc w:val="right"/>
              <w:rPr>
                <w:rFonts w:eastAsia="Times New Roman" w:cs="Arial"/>
                <w:b/>
                <w:bCs/>
                <w:color w:val="000000"/>
                <w:sz w:val="20"/>
                <w:szCs w:val="20"/>
                <w:lang w:eastAsia="en-GB"/>
              </w:rPr>
            </w:pPr>
            <w:r w:rsidRPr="004C4E56">
              <w:rPr>
                <w:rFonts w:eastAsia="Times New Roman" w:cs="Arial"/>
                <w:b/>
                <w:bCs/>
                <w:color w:val="000000"/>
                <w:sz w:val="20"/>
                <w:szCs w:val="20"/>
                <w:lang w:eastAsia="en-GB"/>
              </w:rPr>
              <w:t>PSA-detected</w:t>
            </w:r>
          </w:p>
        </w:tc>
        <w:tc>
          <w:tcPr>
            <w:tcW w:w="1782" w:type="dxa"/>
            <w:tcBorders>
              <w:top w:val="nil"/>
              <w:left w:val="nil"/>
              <w:bottom w:val="single" w:sz="4" w:space="0" w:color="auto"/>
              <w:right w:val="single" w:sz="4" w:space="0" w:color="auto"/>
            </w:tcBorders>
            <w:shd w:val="clear" w:color="auto" w:fill="auto"/>
            <w:noWrap/>
            <w:vAlign w:val="bottom"/>
            <w:hideMark/>
          </w:tcPr>
          <w:p w14:paraId="6BF3AB2A" w14:textId="77777777" w:rsidR="00A6628F" w:rsidRPr="004C4E56" w:rsidRDefault="00A6628F" w:rsidP="007155F2">
            <w:pPr>
              <w:spacing w:line="240" w:lineRule="auto"/>
              <w:jc w:val="right"/>
              <w:rPr>
                <w:rFonts w:eastAsia="Times New Roman" w:cs="Arial"/>
                <w:b/>
                <w:bCs/>
                <w:color w:val="000000"/>
                <w:sz w:val="20"/>
                <w:szCs w:val="20"/>
                <w:lang w:eastAsia="en-GB"/>
              </w:rPr>
            </w:pPr>
            <w:r w:rsidRPr="004C4E56">
              <w:rPr>
                <w:rFonts w:eastAsia="Times New Roman" w:cs="Arial"/>
                <w:b/>
                <w:bCs/>
                <w:color w:val="000000"/>
                <w:sz w:val="20"/>
                <w:szCs w:val="20"/>
                <w:lang w:eastAsia="en-GB"/>
              </w:rPr>
              <w:t>Symptomatic</w:t>
            </w:r>
          </w:p>
        </w:tc>
      </w:tr>
      <w:tr w:rsidR="00A6628F" w:rsidRPr="004C4E56" w14:paraId="1F48EF13"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78308B2"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Age</w:t>
            </w:r>
          </w:p>
        </w:tc>
        <w:tc>
          <w:tcPr>
            <w:tcW w:w="1818" w:type="dxa"/>
            <w:tcBorders>
              <w:top w:val="nil"/>
              <w:left w:val="nil"/>
              <w:bottom w:val="single" w:sz="4" w:space="0" w:color="auto"/>
              <w:right w:val="single" w:sz="4" w:space="0" w:color="auto"/>
            </w:tcBorders>
            <w:shd w:val="clear" w:color="auto" w:fill="auto"/>
            <w:noWrap/>
            <w:vAlign w:val="bottom"/>
            <w:hideMark/>
          </w:tcPr>
          <w:p w14:paraId="48F13BDA"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100.0%</w:t>
            </w:r>
          </w:p>
        </w:tc>
        <w:tc>
          <w:tcPr>
            <w:tcW w:w="1782" w:type="dxa"/>
            <w:tcBorders>
              <w:top w:val="nil"/>
              <w:left w:val="nil"/>
              <w:bottom w:val="single" w:sz="4" w:space="0" w:color="auto"/>
              <w:right w:val="single" w:sz="4" w:space="0" w:color="auto"/>
            </w:tcBorders>
            <w:shd w:val="clear" w:color="auto" w:fill="auto"/>
            <w:noWrap/>
            <w:vAlign w:val="bottom"/>
            <w:hideMark/>
          </w:tcPr>
          <w:p w14:paraId="6991F3F5"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100.0%</w:t>
            </w:r>
          </w:p>
        </w:tc>
      </w:tr>
      <w:tr w:rsidR="00A6628F" w:rsidRPr="004C4E56" w14:paraId="27693A95"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C08630D"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Deprivation indicator</w:t>
            </w:r>
          </w:p>
        </w:tc>
        <w:tc>
          <w:tcPr>
            <w:tcW w:w="1818" w:type="dxa"/>
            <w:tcBorders>
              <w:top w:val="nil"/>
              <w:left w:val="nil"/>
              <w:bottom w:val="single" w:sz="4" w:space="0" w:color="auto"/>
              <w:right w:val="single" w:sz="4" w:space="0" w:color="auto"/>
            </w:tcBorders>
            <w:shd w:val="clear" w:color="auto" w:fill="auto"/>
            <w:noWrap/>
            <w:vAlign w:val="bottom"/>
            <w:hideMark/>
          </w:tcPr>
          <w:p w14:paraId="78CCB792"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97.7%</w:t>
            </w:r>
          </w:p>
        </w:tc>
        <w:tc>
          <w:tcPr>
            <w:tcW w:w="1782" w:type="dxa"/>
            <w:tcBorders>
              <w:top w:val="nil"/>
              <w:left w:val="nil"/>
              <w:bottom w:val="single" w:sz="4" w:space="0" w:color="auto"/>
              <w:right w:val="single" w:sz="4" w:space="0" w:color="auto"/>
            </w:tcBorders>
            <w:shd w:val="clear" w:color="auto" w:fill="auto"/>
            <w:noWrap/>
            <w:vAlign w:val="bottom"/>
            <w:hideMark/>
          </w:tcPr>
          <w:p w14:paraId="60AB51AD"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97.6%</w:t>
            </w:r>
          </w:p>
        </w:tc>
      </w:tr>
      <w:tr w:rsidR="00A6628F" w:rsidRPr="004C4E56" w14:paraId="50D0B755"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AF92CB7"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Marital status</w:t>
            </w:r>
          </w:p>
        </w:tc>
        <w:tc>
          <w:tcPr>
            <w:tcW w:w="1818" w:type="dxa"/>
            <w:tcBorders>
              <w:top w:val="nil"/>
              <w:left w:val="nil"/>
              <w:bottom w:val="single" w:sz="4" w:space="0" w:color="auto"/>
              <w:right w:val="single" w:sz="4" w:space="0" w:color="auto"/>
            </w:tcBorders>
            <w:shd w:val="clear" w:color="auto" w:fill="auto"/>
            <w:noWrap/>
            <w:vAlign w:val="bottom"/>
            <w:hideMark/>
          </w:tcPr>
          <w:p w14:paraId="14352001"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98.9%</w:t>
            </w:r>
          </w:p>
        </w:tc>
        <w:tc>
          <w:tcPr>
            <w:tcW w:w="1782" w:type="dxa"/>
            <w:tcBorders>
              <w:top w:val="nil"/>
              <w:left w:val="nil"/>
              <w:bottom w:val="single" w:sz="4" w:space="0" w:color="auto"/>
              <w:right w:val="single" w:sz="4" w:space="0" w:color="auto"/>
            </w:tcBorders>
            <w:shd w:val="clear" w:color="auto" w:fill="auto"/>
            <w:noWrap/>
            <w:vAlign w:val="bottom"/>
            <w:hideMark/>
          </w:tcPr>
          <w:p w14:paraId="551990B1"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98.8%</w:t>
            </w:r>
          </w:p>
        </w:tc>
      </w:tr>
      <w:tr w:rsidR="00A6628F" w:rsidRPr="004C4E56" w14:paraId="04663B63"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72161A55"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Employment status</w:t>
            </w:r>
          </w:p>
        </w:tc>
        <w:tc>
          <w:tcPr>
            <w:tcW w:w="1818" w:type="dxa"/>
            <w:tcBorders>
              <w:top w:val="nil"/>
              <w:left w:val="nil"/>
              <w:bottom w:val="single" w:sz="4" w:space="0" w:color="auto"/>
              <w:right w:val="single" w:sz="4" w:space="0" w:color="auto"/>
            </w:tcBorders>
            <w:shd w:val="clear" w:color="auto" w:fill="auto"/>
            <w:noWrap/>
            <w:vAlign w:val="bottom"/>
            <w:hideMark/>
          </w:tcPr>
          <w:p w14:paraId="54FD22A4"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96.5%</w:t>
            </w:r>
          </w:p>
        </w:tc>
        <w:tc>
          <w:tcPr>
            <w:tcW w:w="1782" w:type="dxa"/>
            <w:tcBorders>
              <w:top w:val="nil"/>
              <w:left w:val="nil"/>
              <w:bottom w:val="single" w:sz="4" w:space="0" w:color="auto"/>
              <w:right w:val="single" w:sz="4" w:space="0" w:color="auto"/>
            </w:tcBorders>
            <w:shd w:val="clear" w:color="auto" w:fill="auto"/>
            <w:noWrap/>
            <w:vAlign w:val="bottom"/>
            <w:hideMark/>
          </w:tcPr>
          <w:p w14:paraId="0E26DFD9"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96.9%</w:t>
            </w:r>
          </w:p>
        </w:tc>
      </w:tr>
      <w:tr w:rsidR="00A6628F" w:rsidRPr="004C4E56" w14:paraId="59A85AA3"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6100F73D"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Ethnicity</w:t>
            </w:r>
          </w:p>
        </w:tc>
        <w:tc>
          <w:tcPr>
            <w:tcW w:w="1818" w:type="dxa"/>
            <w:tcBorders>
              <w:top w:val="nil"/>
              <w:left w:val="nil"/>
              <w:bottom w:val="single" w:sz="4" w:space="0" w:color="auto"/>
              <w:right w:val="single" w:sz="4" w:space="0" w:color="auto"/>
            </w:tcBorders>
            <w:shd w:val="clear" w:color="auto" w:fill="auto"/>
            <w:noWrap/>
            <w:vAlign w:val="bottom"/>
            <w:hideMark/>
          </w:tcPr>
          <w:p w14:paraId="7D19DACA"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96.6%</w:t>
            </w:r>
          </w:p>
        </w:tc>
        <w:tc>
          <w:tcPr>
            <w:tcW w:w="1782" w:type="dxa"/>
            <w:tcBorders>
              <w:top w:val="nil"/>
              <w:left w:val="nil"/>
              <w:bottom w:val="single" w:sz="4" w:space="0" w:color="auto"/>
              <w:right w:val="single" w:sz="4" w:space="0" w:color="auto"/>
            </w:tcBorders>
            <w:shd w:val="clear" w:color="auto" w:fill="auto"/>
            <w:noWrap/>
            <w:vAlign w:val="bottom"/>
            <w:hideMark/>
          </w:tcPr>
          <w:p w14:paraId="63EB6C58"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97.2%</w:t>
            </w:r>
          </w:p>
        </w:tc>
      </w:tr>
      <w:tr w:rsidR="00A6628F" w:rsidRPr="004C4E56" w14:paraId="42D57646"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AAA03EC"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Body Mass Index</w:t>
            </w:r>
          </w:p>
        </w:tc>
        <w:tc>
          <w:tcPr>
            <w:tcW w:w="1818" w:type="dxa"/>
            <w:tcBorders>
              <w:top w:val="nil"/>
              <w:left w:val="nil"/>
              <w:bottom w:val="single" w:sz="4" w:space="0" w:color="auto"/>
              <w:right w:val="single" w:sz="4" w:space="0" w:color="auto"/>
            </w:tcBorders>
            <w:shd w:val="clear" w:color="auto" w:fill="auto"/>
            <w:noWrap/>
            <w:vAlign w:val="bottom"/>
            <w:hideMark/>
          </w:tcPr>
          <w:p w14:paraId="57652D01"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92.3%</w:t>
            </w:r>
          </w:p>
        </w:tc>
        <w:tc>
          <w:tcPr>
            <w:tcW w:w="1782" w:type="dxa"/>
            <w:tcBorders>
              <w:top w:val="nil"/>
              <w:left w:val="nil"/>
              <w:bottom w:val="single" w:sz="4" w:space="0" w:color="auto"/>
              <w:right w:val="single" w:sz="4" w:space="0" w:color="auto"/>
            </w:tcBorders>
            <w:shd w:val="clear" w:color="auto" w:fill="auto"/>
            <w:noWrap/>
            <w:vAlign w:val="bottom"/>
            <w:hideMark/>
          </w:tcPr>
          <w:p w14:paraId="5F7C6903"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91.9%</w:t>
            </w:r>
          </w:p>
        </w:tc>
      </w:tr>
      <w:tr w:rsidR="00A6628F" w:rsidRPr="004C4E56" w14:paraId="169DDF68"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122741A3"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Stage at diagnosis</w:t>
            </w:r>
          </w:p>
        </w:tc>
        <w:tc>
          <w:tcPr>
            <w:tcW w:w="1818" w:type="dxa"/>
            <w:tcBorders>
              <w:top w:val="nil"/>
              <w:left w:val="nil"/>
              <w:bottom w:val="single" w:sz="4" w:space="0" w:color="auto"/>
              <w:right w:val="single" w:sz="4" w:space="0" w:color="auto"/>
            </w:tcBorders>
            <w:shd w:val="clear" w:color="auto" w:fill="auto"/>
            <w:noWrap/>
            <w:vAlign w:val="bottom"/>
            <w:hideMark/>
          </w:tcPr>
          <w:p w14:paraId="070DB467"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85.1%</w:t>
            </w:r>
          </w:p>
        </w:tc>
        <w:tc>
          <w:tcPr>
            <w:tcW w:w="1782" w:type="dxa"/>
            <w:tcBorders>
              <w:top w:val="nil"/>
              <w:left w:val="nil"/>
              <w:bottom w:val="single" w:sz="4" w:space="0" w:color="auto"/>
              <w:right w:val="single" w:sz="4" w:space="0" w:color="auto"/>
            </w:tcBorders>
            <w:shd w:val="clear" w:color="auto" w:fill="auto"/>
            <w:noWrap/>
            <w:vAlign w:val="bottom"/>
            <w:hideMark/>
          </w:tcPr>
          <w:p w14:paraId="33CE9103"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86.3%</w:t>
            </w:r>
          </w:p>
        </w:tc>
      </w:tr>
      <w:tr w:rsidR="00A6628F" w:rsidRPr="004C4E56" w14:paraId="01324B62"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1905EEA"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Treatment type</w:t>
            </w:r>
          </w:p>
        </w:tc>
        <w:tc>
          <w:tcPr>
            <w:tcW w:w="1818" w:type="dxa"/>
            <w:tcBorders>
              <w:top w:val="nil"/>
              <w:left w:val="nil"/>
              <w:bottom w:val="single" w:sz="4" w:space="0" w:color="auto"/>
              <w:right w:val="single" w:sz="4" w:space="0" w:color="auto"/>
            </w:tcBorders>
            <w:shd w:val="clear" w:color="auto" w:fill="auto"/>
            <w:noWrap/>
            <w:vAlign w:val="bottom"/>
            <w:hideMark/>
          </w:tcPr>
          <w:p w14:paraId="5A961172"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99.2%</w:t>
            </w:r>
          </w:p>
        </w:tc>
        <w:tc>
          <w:tcPr>
            <w:tcW w:w="1782" w:type="dxa"/>
            <w:tcBorders>
              <w:top w:val="nil"/>
              <w:left w:val="nil"/>
              <w:bottom w:val="single" w:sz="4" w:space="0" w:color="auto"/>
              <w:right w:val="single" w:sz="4" w:space="0" w:color="auto"/>
            </w:tcBorders>
            <w:shd w:val="clear" w:color="auto" w:fill="auto"/>
            <w:noWrap/>
            <w:vAlign w:val="bottom"/>
            <w:hideMark/>
          </w:tcPr>
          <w:p w14:paraId="4A282578"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99.4%</w:t>
            </w:r>
          </w:p>
        </w:tc>
      </w:tr>
      <w:tr w:rsidR="00A6628F" w:rsidRPr="004C4E56" w14:paraId="794723D3"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1829977"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 </w:t>
            </w:r>
          </w:p>
        </w:tc>
        <w:tc>
          <w:tcPr>
            <w:tcW w:w="1818" w:type="dxa"/>
            <w:tcBorders>
              <w:top w:val="nil"/>
              <w:left w:val="nil"/>
              <w:bottom w:val="single" w:sz="4" w:space="0" w:color="auto"/>
              <w:right w:val="single" w:sz="4" w:space="0" w:color="auto"/>
            </w:tcBorders>
            <w:shd w:val="clear" w:color="auto" w:fill="auto"/>
            <w:noWrap/>
            <w:vAlign w:val="bottom"/>
            <w:hideMark/>
          </w:tcPr>
          <w:p w14:paraId="0A4619D1"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 </w:t>
            </w:r>
          </w:p>
        </w:tc>
        <w:tc>
          <w:tcPr>
            <w:tcW w:w="1782" w:type="dxa"/>
            <w:tcBorders>
              <w:top w:val="nil"/>
              <w:left w:val="nil"/>
              <w:bottom w:val="single" w:sz="4" w:space="0" w:color="auto"/>
              <w:right w:val="single" w:sz="4" w:space="0" w:color="auto"/>
            </w:tcBorders>
            <w:shd w:val="clear" w:color="auto" w:fill="auto"/>
            <w:noWrap/>
            <w:vAlign w:val="bottom"/>
            <w:hideMark/>
          </w:tcPr>
          <w:p w14:paraId="3E590CA6"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 </w:t>
            </w:r>
          </w:p>
        </w:tc>
      </w:tr>
      <w:tr w:rsidR="00A6628F" w:rsidRPr="004C4E56" w14:paraId="33073393"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9364F7D"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EPIC-26 domain scores</w:t>
            </w:r>
          </w:p>
        </w:tc>
        <w:tc>
          <w:tcPr>
            <w:tcW w:w="1818" w:type="dxa"/>
            <w:tcBorders>
              <w:top w:val="nil"/>
              <w:left w:val="nil"/>
              <w:bottom w:val="single" w:sz="4" w:space="0" w:color="auto"/>
              <w:right w:val="single" w:sz="4" w:space="0" w:color="auto"/>
            </w:tcBorders>
            <w:shd w:val="clear" w:color="auto" w:fill="auto"/>
            <w:noWrap/>
            <w:vAlign w:val="bottom"/>
            <w:hideMark/>
          </w:tcPr>
          <w:p w14:paraId="73942F5F"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 </w:t>
            </w:r>
          </w:p>
        </w:tc>
        <w:tc>
          <w:tcPr>
            <w:tcW w:w="1782" w:type="dxa"/>
            <w:tcBorders>
              <w:top w:val="nil"/>
              <w:left w:val="nil"/>
              <w:bottom w:val="single" w:sz="4" w:space="0" w:color="auto"/>
              <w:right w:val="single" w:sz="4" w:space="0" w:color="auto"/>
            </w:tcBorders>
            <w:shd w:val="clear" w:color="auto" w:fill="auto"/>
            <w:noWrap/>
            <w:vAlign w:val="bottom"/>
            <w:hideMark/>
          </w:tcPr>
          <w:p w14:paraId="16EA3BDC"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 </w:t>
            </w:r>
          </w:p>
        </w:tc>
      </w:tr>
      <w:tr w:rsidR="00A6628F" w:rsidRPr="004C4E56" w14:paraId="679A91F4"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36526146"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 xml:space="preserve">     Urinary incontinence</w:t>
            </w:r>
          </w:p>
        </w:tc>
        <w:tc>
          <w:tcPr>
            <w:tcW w:w="1818" w:type="dxa"/>
            <w:tcBorders>
              <w:top w:val="nil"/>
              <w:left w:val="nil"/>
              <w:bottom w:val="single" w:sz="4" w:space="0" w:color="auto"/>
              <w:right w:val="single" w:sz="4" w:space="0" w:color="auto"/>
            </w:tcBorders>
            <w:shd w:val="clear" w:color="auto" w:fill="auto"/>
            <w:noWrap/>
            <w:vAlign w:val="bottom"/>
            <w:hideMark/>
          </w:tcPr>
          <w:p w14:paraId="116A903A"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90.2%</w:t>
            </w:r>
          </w:p>
        </w:tc>
        <w:tc>
          <w:tcPr>
            <w:tcW w:w="1782" w:type="dxa"/>
            <w:tcBorders>
              <w:top w:val="nil"/>
              <w:left w:val="nil"/>
              <w:bottom w:val="single" w:sz="4" w:space="0" w:color="auto"/>
              <w:right w:val="single" w:sz="4" w:space="0" w:color="auto"/>
            </w:tcBorders>
            <w:shd w:val="clear" w:color="auto" w:fill="auto"/>
            <w:noWrap/>
            <w:vAlign w:val="bottom"/>
            <w:hideMark/>
          </w:tcPr>
          <w:p w14:paraId="402BB3B9"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88.4%</w:t>
            </w:r>
          </w:p>
        </w:tc>
      </w:tr>
      <w:tr w:rsidR="00A6628F" w:rsidRPr="004C4E56" w14:paraId="052C0AA6"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FDE1E00"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 xml:space="preserve">     Urinary irritation/obstruction</w:t>
            </w:r>
          </w:p>
        </w:tc>
        <w:tc>
          <w:tcPr>
            <w:tcW w:w="1818" w:type="dxa"/>
            <w:tcBorders>
              <w:top w:val="nil"/>
              <w:left w:val="nil"/>
              <w:bottom w:val="single" w:sz="4" w:space="0" w:color="auto"/>
              <w:right w:val="single" w:sz="4" w:space="0" w:color="auto"/>
            </w:tcBorders>
            <w:shd w:val="clear" w:color="auto" w:fill="auto"/>
            <w:noWrap/>
            <w:vAlign w:val="bottom"/>
            <w:hideMark/>
          </w:tcPr>
          <w:p w14:paraId="7731B01A"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83.7%</w:t>
            </w:r>
          </w:p>
        </w:tc>
        <w:tc>
          <w:tcPr>
            <w:tcW w:w="1782" w:type="dxa"/>
            <w:tcBorders>
              <w:top w:val="nil"/>
              <w:left w:val="nil"/>
              <w:bottom w:val="single" w:sz="4" w:space="0" w:color="auto"/>
              <w:right w:val="single" w:sz="4" w:space="0" w:color="auto"/>
            </w:tcBorders>
            <w:shd w:val="clear" w:color="auto" w:fill="auto"/>
            <w:noWrap/>
            <w:vAlign w:val="bottom"/>
            <w:hideMark/>
          </w:tcPr>
          <w:p w14:paraId="483DC7F0"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81.0%</w:t>
            </w:r>
          </w:p>
        </w:tc>
      </w:tr>
      <w:tr w:rsidR="00A6628F" w:rsidRPr="004C4E56" w14:paraId="433AD3CE"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05A12839"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 xml:space="preserve">     Bowel function</w:t>
            </w:r>
          </w:p>
        </w:tc>
        <w:tc>
          <w:tcPr>
            <w:tcW w:w="1818" w:type="dxa"/>
            <w:tcBorders>
              <w:top w:val="nil"/>
              <w:left w:val="nil"/>
              <w:bottom w:val="single" w:sz="4" w:space="0" w:color="auto"/>
              <w:right w:val="single" w:sz="4" w:space="0" w:color="auto"/>
            </w:tcBorders>
            <w:shd w:val="clear" w:color="auto" w:fill="auto"/>
            <w:noWrap/>
            <w:vAlign w:val="bottom"/>
            <w:hideMark/>
          </w:tcPr>
          <w:p w14:paraId="1290C2BD"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87.1%</w:t>
            </w:r>
          </w:p>
        </w:tc>
        <w:tc>
          <w:tcPr>
            <w:tcW w:w="1782" w:type="dxa"/>
            <w:tcBorders>
              <w:top w:val="nil"/>
              <w:left w:val="nil"/>
              <w:bottom w:val="single" w:sz="4" w:space="0" w:color="auto"/>
              <w:right w:val="single" w:sz="4" w:space="0" w:color="auto"/>
            </w:tcBorders>
            <w:shd w:val="clear" w:color="auto" w:fill="auto"/>
            <w:noWrap/>
            <w:vAlign w:val="bottom"/>
            <w:hideMark/>
          </w:tcPr>
          <w:p w14:paraId="568B90B2"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86.0%</w:t>
            </w:r>
          </w:p>
        </w:tc>
      </w:tr>
      <w:tr w:rsidR="00A6628F" w:rsidRPr="004C4E56" w14:paraId="69AD0BBA"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42DC6931"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 xml:space="preserve">     Sexual function</w:t>
            </w:r>
          </w:p>
        </w:tc>
        <w:tc>
          <w:tcPr>
            <w:tcW w:w="1818" w:type="dxa"/>
            <w:tcBorders>
              <w:top w:val="nil"/>
              <w:left w:val="nil"/>
              <w:bottom w:val="single" w:sz="4" w:space="0" w:color="auto"/>
              <w:right w:val="single" w:sz="4" w:space="0" w:color="auto"/>
            </w:tcBorders>
            <w:shd w:val="clear" w:color="auto" w:fill="auto"/>
            <w:noWrap/>
            <w:vAlign w:val="bottom"/>
            <w:hideMark/>
          </w:tcPr>
          <w:p w14:paraId="1CBC5119"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91.7%</w:t>
            </w:r>
          </w:p>
        </w:tc>
        <w:tc>
          <w:tcPr>
            <w:tcW w:w="1782" w:type="dxa"/>
            <w:tcBorders>
              <w:top w:val="nil"/>
              <w:left w:val="nil"/>
              <w:bottom w:val="single" w:sz="4" w:space="0" w:color="auto"/>
              <w:right w:val="single" w:sz="4" w:space="0" w:color="auto"/>
            </w:tcBorders>
            <w:shd w:val="clear" w:color="auto" w:fill="auto"/>
            <w:noWrap/>
            <w:vAlign w:val="bottom"/>
            <w:hideMark/>
          </w:tcPr>
          <w:p w14:paraId="7F7FECD1"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90.8%</w:t>
            </w:r>
          </w:p>
        </w:tc>
      </w:tr>
      <w:tr w:rsidR="00A6628F" w:rsidRPr="004C4E56" w14:paraId="231D831C" w14:textId="77777777" w:rsidTr="007155F2">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14:paraId="2EA7DDE0" w14:textId="77777777" w:rsidR="00A6628F" w:rsidRPr="004C4E56" w:rsidRDefault="00A6628F" w:rsidP="007155F2">
            <w:pPr>
              <w:spacing w:line="240" w:lineRule="auto"/>
              <w:jc w:val="left"/>
              <w:rPr>
                <w:rFonts w:eastAsia="Times New Roman" w:cs="Arial"/>
                <w:b/>
                <w:bCs/>
                <w:color w:val="000000"/>
                <w:sz w:val="20"/>
                <w:szCs w:val="20"/>
                <w:lang w:eastAsia="en-GB"/>
              </w:rPr>
            </w:pPr>
            <w:r w:rsidRPr="004C4E56">
              <w:rPr>
                <w:rFonts w:eastAsia="Times New Roman" w:cs="Arial"/>
                <w:b/>
                <w:bCs/>
                <w:color w:val="000000"/>
                <w:sz w:val="20"/>
                <w:szCs w:val="20"/>
                <w:lang w:eastAsia="en-GB"/>
              </w:rPr>
              <w:t xml:space="preserve">     Vitality/Hormonal function</w:t>
            </w:r>
          </w:p>
        </w:tc>
        <w:tc>
          <w:tcPr>
            <w:tcW w:w="1818" w:type="dxa"/>
            <w:tcBorders>
              <w:top w:val="nil"/>
              <w:left w:val="nil"/>
              <w:bottom w:val="single" w:sz="4" w:space="0" w:color="auto"/>
              <w:right w:val="single" w:sz="4" w:space="0" w:color="auto"/>
            </w:tcBorders>
            <w:shd w:val="clear" w:color="auto" w:fill="auto"/>
            <w:noWrap/>
            <w:vAlign w:val="bottom"/>
            <w:hideMark/>
          </w:tcPr>
          <w:p w14:paraId="78F7A526"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89.6%</w:t>
            </w:r>
          </w:p>
        </w:tc>
        <w:tc>
          <w:tcPr>
            <w:tcW w:w="1782" w:type="dxa"/>
            <w:tcBorders>
              <w:top w:val="nil"/>
              <w:left w:val="nil"/>
              <w:bottom w:val="single" w:sz="4" w:space="0" w:color="auto"/>
              <w:right w:val="single" w:sz="4" w:space="0" w:color="auto"/>
            </w:tcBorders>
            <w:shd w:val="clear" w:color="auto" w:fill="auto"/>
            <w:noWrap/>
            <w:vAlign w:val="bottom"/>
            <w:hideMark/>
          </w:tcPr>
          <w:p w14:paraId="4F87ADA5" w14:textId="77777777" w:rsidR="00A6628F" w:rsidRPr="004C4E56" w:rsidRDefault="00A6628F" w:rsidP="007155F2">
            <w:pPr>
              <w:spacing w:line="240" w:lineRule="auto"/>
              <w:jc w:val="right"/>
              <w:rPr>
                <w:rFonts w:eastAsia="Times New Roman" w:cs="Arial"/>
                <w:color w:val="000000"/>
                <w:sz w:val="20"/>
                <w:szCs w:val="20"/>
                <w:lang w:eastAsia="en-GB"/>
              </w:rPr>
            </w:pPr>
            <w:r w:rsidRPr="004C4E56">
              <w:rPr>
                <w:rFonts w:eastAsia="Times New Roman" w:cs="Arial"/>
                <w:color w:val="000000"/>
                <w:sz w:val="20"/>
                <w:szCs w:val="20"/>
                <w:lang w:eastAsia="en-GB"/>
              </w:rPr>
              <w:t>88.6%</w:t>
            </w:r>
          </w:p>
        </w:tc>
      </w:tr>
    </w:tbl>
    <w:p w14:paraId="3E3B9FCA" w14:textId="77777777" w:rsidR="00A6628F" w:rsidRPr="004C4E56" w:rsidRDefault="00A6628F" w:rsidP="00A6628F">
      <w:pPr>
        <w:sectPr w:rsidR="00A6628F" w:rsidRPr="004C4E56">
          <w:pgSz w:w="11906" w:h="16838"/>
          <w:pgMar w:top="1440" w:right="1440" w:bottom="1440" w:left="1440" w:header="708" w:footer="708" w:gutter="0"/>
          <w:cols w:space="708"/>
          <w:docGrid w:linePitch="360"/>
        </w:sectPr>
      </w:pPr>
    </w:p>
    <w:p w14:paraId="106DE153" w14:textId="77777777" w:rsidR="00A6628F" w:rsidRDefault="00A6628F" w:rsidP="00A6628F">
      <w:pPr>
        <w:pStyle w:val="Heading3"/>
      </w:pPr>
      <w:r w:rsidRPr="00793687">
        <w:lastRenderedPageBreak/>
        <w:t>Table S</w:t>
      </w:r>
      <w:r>
        <w:t>2:</w:t>
      </w:r>
      <w:r w:rsidRPr="00793687">
        <w:t xml:space="preserve"> Additional respondent characteristics by method of </w:t>
      </w:r>
      <w:r w:rsidRPr="00357B0B">
        <w:t>presentation</w:t>
      </w:r>
    </w:p>
    <w:p w14:paraId="6269F7EE" w14:textId="77777777" w:rsidR="00A6628F" w:rsidRPr="00357B0B" w:rsidRDefault="00A6628F" w:rsidP="00A6628F">
      <w:pPr>
        <w:pStyle w:val="NoSpacing"/>
      </w:pP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8"/>
        <w:gridCol w:w="1412"/>
        <w:gridCol w:w="1320"/>
        <w:gridCol w:w="1320"/>
        <w:gridCol w:w="1320"/>
      </w:tblGrid>
      <w:tr w:rsidR="00A6628F" w:rsidRPr="00357B0B" w14:paraId="3D034DD4" w14:textId="77777777" w:rsidTr="007155F2">
        <w:tc>
          <w:tcPr>
            <w:tcW w:w="2410" w:type="dxa"/>
            <w:vMerge w:val="restart"/>
            <w:shd w:val="clear" w:color="auto" w:fill="auto"/>
            <w:noWrap/>
            <w:tcMar>
              <w:left w:w="28" w:type="dxa"/>
              <w:right w:w="28" w:type="dxa"/>
            </w:tcMar>
            <w:vAlign w:val="bottom"/>
            <w:hideMark/>
          </w:tcPr>
          <w:p w14:paraId="165949F1" w14:textId="77777777" w:rsidR="00A6628F" w:rsidRPr="00357B0B" w:rsidRDefault="00A6628F" w:rsidP="007155F2">
            <w:pPr>
              <w:spacing w:line="240" w:lineRule="auto"/>
              <w:jc w:val="left"/>
              <w:rPr>
                <w:rFonts w:eastAsia="Times New Roman" w:cs="Arial"/>
                <w:sz w:val="18"/>
                <w:szCs w:val="18"/>
                <w:lang w:eastAsia="en-GB"/>
              </w:rPr>
            </w:pPr>
          </w:p>
        </w:tc>
        <w:tc>
          <w:tcPr>
            <w:tcW w:w="1418" w:type="dxa"/>
            <w:vMerge w:val="restart"/>
            <w:shd w:val="clear" w:color="auto" w:fill="auto"/>
            <w:tcMar>
              <w:left w:w="28" w:type="dxa"/>
              <w:right w:w="28" w:type="dxa"/>
            </w:tcMar>
            <w:vAlign w:val="center"/>
            <w:hideMark/>
          </w:tcPr>
          <w:p w14:paraId="7A766C47"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All respondents</w:t>
            </w:r>
          </w:p>
          <w:p w14:paraId="2C24D5CE"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color w:val="000000"/>
                <w:sz w:val="18"/>
                <w:szCs w:val="18"/>
                <w:lang w:eastAsia="en-GB"/>
              </w:rPr>
              <w:t>(n=35,823)</w:t>
            </w:r>
          </w:p>
        </w:tc>
        <w:tc>
          <w:tcPr>
            <w:tcW w:w="5372" w:type="dxa"/>
            <w:gridSpan w:val="4"/>
            <w:shd w:val="clear" w:color="auto" w:fill="auto"/>
            <w:noWrap/>
            <w:tcMar>
              <w:left w:w="28" w:type="dxa"/>
              <w:right w:w="28" w:type="dxa"/>
            </w:tcMar>
            <w:vAlign w:val="center"/>
            <w:hideMark/>
          </w:tcPr>
          <w:p w14:paraId="1C2B1CF9"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Method of presentation</w:t>
            </w:r>
          </w:p>
        </w:tc>
      </w:tr>
      <w:tr w:rsidR="00A6628F" w:rsidRPr="00357B0B" w14:paraId="26040B7C" w14:textId="77777777" w:rsidTr="007155F2">
        <w:tc>
          <w:tcPr>
            <w:tcW w:w="2410" w:type="dxa"/>
            <w:vMerge/>
            <w:shd w:val="clear" w:color="auto" w:fill="auto"/>
            <w:noWrap/>
            <w:tcMar>
              <w:left w:w="28" w:type="dxa"/>
              <w:right w:w="28" w:type="dxa"/>
            </w:tcMar>
            <w:vAlign w:val="center"/>
            <w:hideMark/>
          </w:tcPr>
          <w:p w14:paraId="42CDA1E5"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8" w:type="dxa"/>
            <w:vMerge/>
            <w:tcMar>
              <w:left w:w="28" w:type="dxa"/>
              <w:right w:w="28" w:type="dxa"/>
            </w:tcMar>
            <w:vAlign w:val="center"/>
            <w:hideMark/>
          </w:tcPr>
          <w:p w14:paraId="65C8ACE6"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2" w:type="dxa"/>
            <w:shd w:val="clear" w:color="auto" w:fill="auto"/>
            <w:noWrap/>
            <w:tcMar>
              <w:left w:w="28" w:type="dxa"/>
              <w:right w:w="28" w:type="dxa"/>
            </w:tcMar>
            <w:vAlign w:val="center"/>
            <w:hideMark/>
          </w:tcPr>
          <w:p w14:paraId="5E9DE42C"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 test only</w:t>
            </w:r>
          </w:p>
          <w:p w14:paraId="6A47460C"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color w:val="000000"/>
                <w:sz w:val="18"/>
                <w:szCs w:val="18"/>
                <w:lang w:eastAsia="en-GB"/>
              </w:rPr>
              <w:t>(n=11,210)</w:t>
            </w:r>
          </w:p>
        </w:tc>
        <w:tc>
          <w:tcPr>
            <w:tcW w:w="1320" w:type="dxa"/>
            <w:shd w:val="clear" w:color="auto" w:fill="auto"/>
            <w:noWrap/>
            <w:tcMar>
              <w:left w:w="28" w:type="dxa"/>
              <w:right w:w="28" w:type="dxa"/>
            </w:tcMar>
            <w:vAlign w:val="center"/>
            <w:hideMark/>
          </w:tcPr>
          <w:p w14:paraId="4B5720F0"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p w14:paraId="68976436"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color w:val="000000"/>
                <w:sz w:val="18"/>
                <w:szCs w:val="18"/>
                <w:lang w:eastAsia="en-GB"/>
              </w:rPr>
              <w:t>(n=21,378)</w:t>
            </w:r>
          </w:p>
        </w:tc>
        <w:tc>
          <w:tcPr>
            <w:tcW w:w="1320" w:type="dxa"/>
            <w:shd w:val="clear" w:color="auto" w:fill="auto"/>
            <w:noWrap/>
            <w:tcMar>
              <w:left w:w="28" w:type="dxa"/>
              <w:right w:w="28" w:type="dxa"/>
            </w:tcMar>
            <w:vAlign w:val="center"/>
            <w:hideMark/>
          </w:tcPr>
          <w:p w14:paraId="12EC6155"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Other</w:t>
            </w:r>
          </w:p>
          <w:p w14:paraId="115EBB12"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color w:val="000000"/>
                <w:sz w:val="18"/>
                <w:szCs w:val="18"/>
                <w:lang w:eastAsia="en-GB"/>
              </w:rPr>
              <w:t>(n=1,821)</w:t>
            </w:r>
          </w:p>
        </w:tc>
        <w:tc>
          <w:tcPr>
            <w:tcW w:w="1320" w:type="dxa"/>
            <w:shd w:val="clear" w:color="auto" w:fill="auto"/>
            <w:noWrap/>
            <w:tcMar>
              <w:left w:w="28" w:type="dxa"/>
              <w:right w:w="28" w:type="dxa"/>
            </w:tcMar>
            <w:vAlign w:val="center"/>
            <w:hideMark/>
          </w:tcPr>
          <w:p w14:paraId="7A3B5610"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Unknown</w:t>
            </w:r>
          </w:p>
          <w:p w14:paraId="51618A50"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color w:val="000000"/>
                <w:sz w:val="18"/>
                <w:szCs w:val="18"/>
                <w:lang w:eastAsia="en-GB"/>
              </w:rPr>
              <w:t>(n=1,414)</w:t>
            </w:r>
          </w:p>
        </w:tc>
      </w:tr>
      <w:tr w:rsidR="00A6628F" w:rsidRPr="00357B0B" w14:paraId="5BC2665C" w14:textId="77777777" w:rsidTr="007155F2">
        <w:tc>
          <w:tcPr>
            <w:tcW w:w="2410" w:type="dxa"/>
            <w:shd w:val="clear" w:color="auto" w:fill="auto"/>
            <w:noWrap/>
            <w:tcMar>
              <w:left w:w="28" w:type="dxa"/>
              <w:right w:w="28" w:type="dxa"/>
            </w:tcMar>
            <w:vAlign w:val="bottom"/>
            <w:hideMark/>
          </w:tcPr>
          <w:p w14:paraId="04396785"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Nation</w:t>
            </w:r>
          </w:p>
        </w:tc>
        <w:tc>
          <w:tcPr>
            <w:tcW w:w="1418" w:type="dxa"/>
            <w:shd w:val="clear" w:color="auto" w:fill="auto"/>
            <w:noWrap/>
            <w:tcMar>
              <w:left w:w="28" w:type="dxa"/>
              <w:right w:w="28" w:type="dxa"/>
            </w:tcMar>
            <w:vAlign w:val="bottom"/>
            <w:hideMark/>
          </w:tcPr>
          <w:p w14:paraId="29451A22"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2" w:type="dxa"/>
            <w:shd w:val="clear" w:color="auto" w:fill="auto"/>
            <w:noWrap/>
            <w:tcMar>
              <w:left w:w="28" w:type="dxa"/>
              <w:right w:w="28" w:type="dxa"/>
            </w:tcMar>
            <w:vAlign w:val="center"/>
            <w:hideMark/>
          </w:tcPr>
          <w:p w14:paraId="5B08426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66E817CC"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70E5D7A8"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3C8F2D1C"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21A88C45" w14:textId="77777777" w:rsidTr="007155F2">
        <w:tc>
          <w:tcPr>
            <w:tcW w:w="2410" w:type="dxa"/>
            <w:shd w:val="clear" w:color="auto" w:fill="auto"/>
            <w:noWrap/>
            <w:tcMar>
              <w:left w:w="28" w:type="dxa"/>
              <w:right w:w="28" w:type="dxa"/>
            </w:tcMar>
            <w:vAlign w:val="bottom"/>
            <w:hideMark/>
          </w:tcPr>
          <w:p w14:paraId="4BDDB36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England</w:t>
            </w:r>
          </w:p>
        </w:tc>
        <w:tc>
          <w:tcPr>
            <w:tcW w:w="1418" w:type="dxa"/>
            <w:shd w:val="clear" w:color="auto" w:fill="auto"/>
            <w:noWrap/>
            <w:tcMar>
              <w:left w:w="28" w:type="dxa"/>
              <w:right w:w="28" w:type="dxa"/>
            </w:tcMar>
            <w:vAlign w:val="bottom"/>
            <w:hideMark/>
          </w:tcPr>
          <w:p w14:paraId="1339854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85.0%</w:t>
            </w:r>
          </w:p>
        </w:tc>
        <w:tc>
          <w:tcPr>
            <w:tcW w:w="1412" w:type="dxa"/>
            <w:shd w:val="clear" w:color="auto" w:fill="auto"/>
            <w:noWrap/>
            <w:tcMar>
              <w:left w:w="28" w:type="dxa"/>
              <w:right w:w="28" w:type="dxa"/>
            </w:tcMar>
            <w:vAlign w:val="bottom"/>
            <w:hideMark/>
          </w:tcPr>
          <w:p w14:paraId="20BA305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86.0%</w:t>
            </w:r>
          </w:p>
        </w:tc>
        <w:tc>
          <w:tcPr>
            <w:tcW w:w="1320" w:type="dxa"/>
            <w:shd w:val="clear" w:color="auto" w:fill="auto"/>
            <w:noWrap/>
            <w:tcMar>
              <w:left w:w="28" w:type="dxa"/>
              <w:right w:w="28" w:type="dxa"/>
            </w:tcMar>
            <w:vAlign w:val="bottom"/>
            <w:hideMark/>
          </w:tcPr>
          <w:p w14:paraId="21DC1FC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84.4%</w:t>
            </w:r>
          </w:p>
        </w:tc>
        <w:tc>
          <w:tcPr>
            <w:tcW w:w="1320" w:type="dxa"/>
            <w:shd w:val="clear" w:color="auto" w:fill="auto"/>
            <w:noWrap/>
            <w:tcMar>
              <w:left w:w="28" w:type="dxa"/>
              <w:right w:w="28" w:type="dxa"/>
            </w:tcMar>
            <w:vAlign w:val="bottom"/>
            <w:hideMark/>
          </w:tcPr>
          <w:p w14:paraId="14BC611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84.6%</w:t>
            </w:r>
          </w:p>
        </w:tc>
        <w:tc>
          <w:tcPr>
            <w:tcW w:w="1320" w:type="dxa"/>
            <w:shd w:val="clear" w:color="auto" w:fill="auto"/>
            <w:noWrap/>
            <w:tcMar>
              <w:left w:w="28" w:type="dxa"/>
              <w:right w:w="28" w:type="dxa"/>
            </w:tcMar>
            <w:vAlign w:val="bottom"/>
            <w:hideMark/>
          </w:tcPr>
          <w:p w14:paraId="19E5D85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87.8%</w:t>
            </w:r>
          </w:p>
        </w:tc>
      </w:tr>
      <w:tr w:rsidR="00A6628F" w:rsidRPr="00357B0B" w14:paraId="22C10740" w14:textId="77777777" w:rsidTr="007155F2">
        <w:tc>
          <w:tcPr>
            <w:tcW w:w="2410" w:type="dxa"/>
            <w:shd w:val="clear" w:color="auto" w:fill="auto"/>
            <w:noWrap/>
            <w:tcMar>
              <w:left w:w="28" w:type="dxa"/>
              <w:right w:w="28" w:type="dxa"/>
            </w:tcMar>
            <w:vAlign w:val="bottom"/>
            <w:hideMark/>
          </w:tcPr>
          <w:p w14:paraId="5A19FBA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Wales</w:t>
            </w:r>
          </w:p>
        </w:tc>
        <w:tc>
          <w:tcPr>
            <w:tcW w:w="1418" w:type="dxa"/>
            <w:shd w:val="clear" w:color="auto" w:fill="auto"/>
            <w:noWrap/>
            <w:tcMar>
              <w:left w:w="28" w:type="dxa"/>
              <w:right w:w="28" w:type="dxa"/>
            </w:tcMar>
            <w:vAlign w:val="bottom"/>
            <w:hideMark/>
          </w:tcPr>
          <w:p w14:paraId="31D8CFB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7.0%</w:t>
            </w:r>
          </w:p>
        </w:tc>
        <w:tc>
          <w:tcPr>
            <w:tcW w:w="1412" w:type="dxa"/>
            <w:shd w:val="clear" w:color="auto" w:fill="auto"/>
            <w:noWrap/>
            <w:tcMar>
              <w:left w:w="28" w:type="dxa"/>
              <w:right w:w="28" w:type="dxa"/>
            </w:tcMar>
            <w:vAlign w:val="bottom"/>
            <w:hideMark/>
          </w:tcPr>
          <w:p w14:paraId="65A4D42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w:t>
            </w:r>
          </w:p>
        </w:tc>
        <w:tc>
          <w:tcPr>
            <w:tcW w:w="1320" w:type="dxa"/>
            <w:shd w:val="clear" w:color="auto" w:fill="auto"/>
            <w:noWrap/>
            <w:tcMar>
              <w:left w:w="28" w:type="dxa"/>
              <w:right w:w="28" w:type="dxa"/>
            </w:tcMar>
            <w:vAlign w:val="bottom"/>
            <w:hideMark/>
          </w:tcPr>
          <w:p w14:paraId="7F6CAD7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6.9%</w:t>
            </w:r>
          </w:p>
        </w:tc>
        <w:tc>
          <w:tcPr>
            <w:tcW w:w="1320" w:type="dxa"/>
            <w:shd w:val="clear" w:color="auto" w:fill="auto"/>
            <w:noWrap/>
            <w:tcMar>
              <w:left w:w="28" w:type="dxa"/>
              <w:right w:w="28" w:type="dxa"/>
            </w:tcMar>
            <w:vAlign w:val="bottom"/>
            <w:hideMark/>
          </w:tcPr>
          <w:p w14:paraId="0748B13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w:t>
            </w:r>
          </w:p>
        </w:tc>
        <w:tc>
          <w:tcPr>
            <w:tcW w:w="1320" w:type="dxa"/>
            <w:shd w:val="clear" w:color="auto" w:fill="auto"/>
            <w:noWrap/>
            <w:tcMar>
              <w:left w:w="28" w:type="dxa"/>
              <w:right w:w="28" w:type="dxa"/>
            </w:tcMar>
            <w:vAlign w:val="bottom"/>
            <w:hideMark/>
          </w:tcPr>
          <w:p w14:paraId="0AC42B6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5.4%</w:t>
            </w:r>
          </w:p>
        </w:tc>
      </w:tr>
      <w:tr w:rsidR="00A6628F" w:rsidRPr="00357B0B" w14:paraId="3CA320BE" w14:textId="77777777" w:rsidTr="007155F2">
        <w:tc>
          <w:tcPr>
            <w:tcW w:w="2410" w:type="dxa"/>
            <w:shd w:val="clear" w:color="auto" w:fill="auto"/>
            <w:noWrap/>
            <w:tcMar>
              <w:left w:w="28" w:type="dxa"/>
              <w:right w:w="28" w:type="dxa"/>
            </w:tcMar>
            <w:vAlign w:val="bottom"/>
            <w:hideMark/>
          </w:tcPr>
          <w:p w14:paraId="623FE20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Scotland</w:t>
            </w:r>
          </w:p>
        </w:tc>
        <w:tc>
          <w:tcPr>
            <w:tcW w:w="1418" w:type="dxa"/>
            <w:shd w:val="clear" w:color="auto" w:fill="auto"/>
            <w:noWrap/>
            <w:tcMar>
              <w:left w:w="28" w:type="dxa"/>
              <w:right w:w="28" w:type="dxa"/>
            </w:tcMar>
            <w:vAlign w:val="bottom"/>
            <w:hideMark/>
          </w:tcPr>
          <w:p w14:paraId="47CE7D0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5.1%</w:t>
            </w:r>
          </w:p>
        </w:tc>
        <w:tc>
          <w:tcPr>
            <w:tcW w:w="1412" w:type="dxa"/>
            <w:shd w:val="clear" w:color="auto" w:fill="auto"/>
            <w:noWrap/>
            <w:tcMar>
              <w:left w:w="28" w:type="dxa"/>
              <w:right w:w="28" w:type="dxa"/>
            </w:tcMar>
            <w:vAlign w:val="bottom"/>
            <w:hideMark/>
          </w:tcPr>
          <w:p w14:paraId="579F83F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3.4%</w:t>
            </w:r>
          </w:p>
        </w:tc>
        <w:tc>
          <w:tcPr>
            <w:tcW w:w="1320" w:type="dxa"/>
            <w:shd w:val="clear" w:color="auto" w:fill="auto"/>
            <w:noWrap/>
            <w:tcMar>
              <w:left w:w="28" w:type="dxa"/>
              <w:right w:w="28" w:type="dxa"/>
            </w:tcMar>
            <w:vAlign w:val="bottom"/>
            <w:hideMark/>
          </w:tcPr>
          <w:p w14:paraId="1D97197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6.0%</w:t>
            </w:r>
          </w:p>
        </w:tc>
        <w:tc>
          <w:tcPr>
            <w:tcW w:w="1320" w:type="dxa"/>
            <w:shd w:val="clear" w:color="auto" w:fill="auto"/>
            <w:noWrap/>
            <w:tcMar>
              <w:left w:w="28" w:type="dxa"/>
              <w:right w:w="28" w:type="dxa"/>
            </w:tcMar>
            <w:vAlign w:val="bottom"/>
            <w:hideMark/>
          </w:tcPr>
          <w:p w14:paraId="48B99A1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5.1%</w:t>
            </w:r>
          </w:p>
        </w:tc>
        <w:tc>
          <w:tcPr>
            <w:tcW w:w="1320" w:type="dxa"/>
            <w:shd w:val="clear" w:color="auto" w:fill="auto"/>
            <w:noWrap/>
            <w:tcMar>
              <w:left w:w="28" w:type="dxa"/>
              <w:right w:w="28" w:type="dxa"/>
            </w:tcMar>
            <w:vAlign w:val="bottom"/>
            <w:hideMark/>
          </w:tcPr>
          <w:p w14:paraId="135846D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w:t>
            </w:r>
          </w:p>
        </w:tc>
      </w:tr>
      <w:tr w:rsidR="00A6628F" w:rsidRPr="00357B0B" w14:paraId="5B6E5920" w14:textId="77777777" w:rsidTr="007155F2">
        <w:tc>
          <w:tcPr>
            <w:tcW w:w="2410" w:type="dxa"/>
            <w:shd w:val="clear" w:color="auto" w:fill="auto"/>
            <w:noWrap/>
            <w:tcMar>
              <w:left w:w="28" w:type="dxa"/>
              <w:right w:w="28" w:type="dxa"/>
            </w:tcMar>
            <w:vAlign w:val="bottom"/>
            <w:hideMark/>
          </w:tcPr>
          <w:p w14:paraId="592BE30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Northern Ireland</w:t>
            </w:r>
          </w:p>
        </w:tc>
        <w:tc>
          <w:tcPr>
            <w:tcW w:w="1418" w:type="dxa"/>
            <w:shd w:val="clear" w:color="auto" w:fill="auto"/>
            <w:noWrap/>
            <w:tcMar>
              <w:left w:w="28" w:type="dxa"/>
              <w:right w:w="28" w:type="dxa"/>
            </w:tcMar>
            <w:vAlign w:val="bottom"/>
            <w:hideMark/>
          </w:tcPr>
          <w:p w14:paraId="03B2554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w:t>
            </w:r>
          </w:p>
        </w:tc>
        <w:tc>
          <w:tcPr>
            <w:tcW w:w="1412" w:type="dxa"/>
            <w:shd w:val="clear" w:color="auto" w:fill="auto"/>
            <w:noWrap/>
            <w:tcMar>
              <w:left w:w="28" w:type="dxa"/>
              <w:right w:w="28" w:type="dxa"/>
            </w:tcMar>
            <w:vAlign w:val="bottom"/>
            <w:hideMark/>
          </w:tcPr>
          <w:p w14:paraId="6B7D1E7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3.2%</w:t>
            </w:r>
          </w:p>
        </w:tc>
        <w:tc>
          <w:tcPr>
            <w:tcW w:w="1320" w:type="dxa"/>
            <w:shd w:val="clear" w:color="auto" w:fill="auto"/>
            <w:noWrap/>
            <w:tcMar>
              <w:left w:w="28" w:type="dxa"/>
              <w:right w:w="28" w:type="dxa"/>
            </w:tcMar>
            <w:vAlign w:val="bottom"/>
            <w:hideMark/>
          </w:tcPr>
          <w:p w14:paraId="3A06872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2.7%</w:t>
            </w:r>
          </w:p>
        </w:tc>
        <w:tc>
          <w:tcPr>
            <w:tcW w:w="1320" w:type="dxa"/>
            <w:shd w:val="clear" w:color="auto" w:fill="auto"/>
            <w:noWrap/>
            <w:tcMar>
              <w:left w:w="28" w:type="dxa"/>
              <w:right w:w="28" w:type="dxa"/>
            </w:tcMar>
            <w:vAlign w:val="bottom"/>
            <w:hideMark/>
          </w:tcPr>
          <w:p w14:paraId="277AFD5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2.5%</w:t>
            </w:r>
          </w:p>
        </w:tc>
        <w:tc>
          <w:tcPr>
            <w:tcW w:w="1320" w:type="dxa"/>
            <w:shd w:val="clear" w:color="auto" w:fill="auto"/>
            <w:noWrap/>
            <w:tcMar>
              <w:left w:w="28" w:type="dxa"/>
              <w:right w:w="28" w:type="dxa"/>
            </w:tcMar>
            <w:vAlign w:val="bottom"/>
            <w:hideMark/>
          </w:tcPr>
          <w:p w14:paraId="3455D23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2.7%</w:t>
            </w:r>
          </w:p>
        </w:tc>
      </w:tr>
      <w:tr w:rsidR="00A6628F" w:rsidRPr="00357B0B" w14:paraId="7213B20D" w14:textId="77777777" w:rsidTr="007155F2">
        <w:tc>
          <w:tcPr>
            <w:tcW w:w="2410" w:type="dxa"/>
            <w:shd w:val="clear" w:color="auto" w:fill="auto"/>
            <w:noWrap/>
            <w:tcMar>
              <w:left w:w="28" w:type="dxa"/>
              <w:right w:w="28" w:type="dxa"/>
            </w:tcMar>
            <w:vAlign w:val="bottom"/>
            <w:hideMark/>
          </w:tcPr>
          <w:p w14:paraId="335E15F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418" w:type="dxa"/>
            <w:shd w:val="clear" w:color="auto" w:fill="auto"/>
            <w:noWrap/>
            <w:tcMar>
              <w:left w:w="28" w:type="dxa"/>
              <w:right w:w="28" w:type="dxa"/>
            </w:tcMar>
            <w:vAlign w:val="bottom"/>
            <w:hideMark/>
          </w:tcPr>
          <w:p w14:paraId="3B7D6971"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412" w:type="dxa"/>
            <w:shd w:val="clear" w:color="auto" w:fill="auto"/>
            <w:noWrap/>
            <w:tcMar>
              <w:left w:w="28" w:type="dxa"/>
              <w:right w:w="28" w:type="dxa"/>
            </w:tcMar>
            <w:vAlign w:val="center"/>
            <w:hideMark/>
          </w:tcPr>
          <w:p w14:paraId="5542DD2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012C1258"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12C86B46"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2DC823D7"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2B97B6FB" w14:textId="77777777" w:rsidTr="007155F2">
        <w:tc>
          <w:tcPr>
            <w:tcW w:w="2410" w:type="dxa"/>
            <w:shd w:val="clear" w:color="auto" w:fill="auto"/>
            <w:noWrap/>
            <w:tcMar>
              <w:left w:w="28" w:type="dxa"/>
              <w:right w:w="28" w:type="dxa"/>
            </w:tcMar>
            <w:vAlign w:val="bottom"/>
            <w:hideMark/>
          </w:tcPr>
          <w:p w14:paraId="78A29518"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Deprivation</w:t>
            </w:r>
          </w:p>
        </w:tc>
        <w:tc>
          <w:tcPr>
            <w:tcW w:w="1418" w:type="dxa"/>
            <w:shd w:val="clear" w:color="auto" w:fill="auto"/>
            <w:noWrap/>
            <w:tcMar>
              <w:left w:w="28" w:type="dxa"/>
              <w:right w:w="28" w:type="dxa"/>
            </w:tcMar>
            <w:vAlign w:val="bottom"/>
            <w:hideMark/>
          </w:tcPr>
          <w:p w14:paraId="103E9F66"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2" w:type="dxa"/>
            <w:shd w:val="clear" w:color="auto" w:fill="auto"/>
            <w:noWrap/>
            <w:tcMar>
              <w:left w:w="28" w:type="dxa"/>
              <w:right w:w="28" w:type="dxa"/>
            </w:tcMar>
            <w:vAlign w:val="center"/>
            <w:hideMark/>
          </w:tcPr>
          <w:p w14:paraId="4D75D24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3C1035BF"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54EABF52"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4CBA8BF3"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299B2AE6" w14:textId="77777777" w:rsidTr="007155F2">
        <w:tc>
          <w:tcPr>
            <w:tcW w:w="2410" w:type="dxa"/>
            <w:shd w:val="clear" w:color="auto" w:fill="auto"/>
            <w:noWrap/>
            <w:tcMar>
              <w:left w:w="28" w:type="dxa"/>
              <w:right w:w="28" w:type="dxa"/>
            </w:tcMar>
            <w:vAlign w:val="bottom"/>
            <w:hideMark/>
          </w:tcPr>
          <w:p w14:paraId="76537C8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Least deprived</w:t>
            </w:r>
          </w:p>
        </w:tc>
        <w:tc>
          <w:tcPr>
            <w:tcW w:w="1418" w:type="dxa"/>
            <w:shd w:val="clear" w:color="auto" w:fill="auto"/>
            <w:noWrap/>
            <w:tcMar>
              <w:left w:w="28" w:type="dxa"/>
              <w:right w:w="28" w:type="dxa"/>
            </w:tcMar>
            <w:vAlign w:val="bottom"/>
            <w:hideMark/>
          </w:tcPr>
          <w:p w14:paraId="7BDCE32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26.9%</w:t>
            </w:r>
          </w:p>
        </w:tc>
        <w:tc>
          <w:tcPr>
            <w:tcW w:w="1412" w:type="dxa"/>
            <w:shd w:val="clear" w:color="auto" w:fill="auto"/>
            <w:noWrap/>
            <w:tcMar>
              <w:left w:w="28" w:type="dxa"/>
              <w:right w:w="28" w:type="dxa"/>
            </w:tcMar>
            <w:vAlign w:val="bottom"/>
            <w:hideMark/>
          </w:tcPr>
          <w:p w14:paraId="6402BA6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28.9%</w:t>
            </w:r>
          </w:p>
        </w:tc>
        <w:tc>
          <w:tcPr>
            <w:tcW w:w="1320" w:type="dxa"/>
            <w:shd w:val="clear" w:color="auto" w:fill="auto"/>
            <w:noWrap/>
            <w:tcMar>
              <w:left w:w="28" w:type="dxa"/>
              <w:right w:w="28" w:type="dxa"/>
            </w:tcMar>
            <w:vAlign w:val="bottom"/>
            <w:hideMark/>
          </w:tcPr>
          <w:p w14:paraId="57B6425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26.0%</w:t>
            </w:r>
          </w:p>
        </w:tc>
        <w:tc>
          <w:tcPr>
            <w:tcW w:w="1320" w:type="dxa"/>
            <w:shd w:val="clear" w:color="auto" w:fill="auto"/>
            <w:noWrap/>
            <w:tcMar>
              <w:left w:w="28" w:type="dxa"/>
              <w:right w:w="28" w:type="dxa"/>
            </w:tcMar>
            <w:vAlign w:val="bottom"/>
            <w:hideMark/>
          </w:tcPr>
          <w:p w14:paraId="061C92B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27.9%</w:t>
            </w:r>
          </w:p>
        </w:tc>
        <w:tc>
          <w:tcPr>
            <w:tcW w:w="1320" w:type="dxa"/>
            <w:shd w:val="clear" w:color="auto" w:fill="auto"/>
            <w:noWrap/>
            <w:tcMar>
              <w:left w:w="28" w:type="dxa"/>
              <w:right w:w="28" w:type="dxa"/>
            </w:tcMar>
            <w:vAlign w:val="bottom"/>
            <w:hideMark/>
          </w:tcPr>
          <w:p w14:paraId="1134974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22.9%</w:t>
            </w:r>
          </w:p>
        </w:tc>
      </w:tr>
      <w:tr w:rsidR="00A6628F" w:rsidRPr="00357B0B" w14:paraId="0688475D" w14:textId="77777777" w:rsidTr="007155F2">
        <w:tc>
          <w:tcPr>
            <w:tcW w:w="2410" w:type="dxa"/>
            <w:shd w:val="clear" w:color="auto" w:fill="auto"/>
            <w:noWrap/>
            <w:tcMar>
              <w:left w:w="28" w:type="dxa"/>
              <w:right w:w="28" w:type="dxa"/>
            </w:tcMar>
            <w:vAlign w:val="bottom"/>
            <w:hideMark/>
          </w:tcPr>
          <w:p w14:paraId="40C9795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Quintile 2</w:t>
            </w:r>
          </w:p>
        </w:tc>
        <w:tc>
          <w:tcPr>
            <w:tcW w:w="1418" w:type="dxa"/>
            <w:shd w:val="clear" w:color="auto" w:fill="auto"/>
            <w:noWrap/>
            <w:tcMar>
              <w:left w:w="28" w:type="dxa"/>
              <w:right w:w="28" w:type="dxa"/>
            </w:tcMar>
            <w:vAlign w:val="bottom"/>
            <w:hideMark/>
          </w:tcPr>
          <w:p w14:paraId="0C40085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26.5%</w:t>
            </w:r>
          </w:p>
        </w:tc>
        <w:tc>
          <w:tcPr>
            <w:tcW w:w="1412" w:type="dxa"/>
            <w:shd w:val="clear" w:color="auto" w:fill="auto"/>
            <w:noWrap/>
            <w:tcMar>
              <w:left w:w="28" w:type="dxa"/>
              <w:right w:w="28" w:type="dxa"/>
            </w:tcMar>
            <w:vAlign w:val="bottom"/>
            <w:hideMark/>
          </w:tcPr>
          <w:p w14:paraId="0F8DE63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27.6%</w:t>
            </w:r>
          </w:p>
        </w:tc>
        <w:tc>
          <w:tcPr>
            <w:tcW w:w="1320" w:type="dxa"/>
            <w:shd w:val="clear" w:color="auto" w:fill="auto"/>
            <w:noWrap/>
            <w:tcMar>
              <w:left w:w="28" w:type="dxa"/>
              <w:right w:w="28" w:type="dxa"/>
            </w:tcMar>
            <w:vAlign w:val="center"/>
            <w:hideMark/>
          </w:tcPr>
          <w:p w14:paraId="51C5FE0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26.2%</w:t>
            </w:r>
          </w:p>
        </w:tc>
        <w:tc>
          <w:tcPr>
            <w:tcW w:w="1320" w:type="dxa"/>
            <w:shd w:val="clear" w:color="auto" w:fill="auto"/>
            <w:noWrap/>
            <w:tcMar>
              <w:left w:w="28" w:type="dxa"/>
              <w:right w:w="28" w:type="dxa"/>
            </w:tcMar>
            <w:vAlign w:val="center"/>
            <w:hideMark/>
          </w:tcPr>
          <w:p w14:paraId="33AE82B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26.7%</w:t>
            </w:r>
          </w:p>
        </w:tc>
        <w:tc>
          <w:tcPr>
            <w:tcW w:w="1320" w:type="dxa"/>
            <w:shd w:val="clear" w:color="auto" w:fill="auto"/>
            <w:noWrap/>
            <w:tcMar>
              <w:left w:w="28" w:type="dxa"/>
              <w:right w:w="28" w:type="dxa"/>
            </w:tcMar>
            <w:vAlign w:val="center"/>
            <w:hideMark/>
          </w:tcPr>
          <w:p w14:paraId="48DAA21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23.1%</w:t>
            </w:r>
          </w:p>
        </w:tc>
      </w:tr>
      <w:tr w:rsidR="00A6628F" w:rsidRPr="00357B0B" w14:paraId="50DEDC33" w14:textId="77777777" w:rsidTr="007155F2">
        <w:tc>
          <w:tcPr>
            <w:tcW w:w="2410" w:type="dxa"/>
            <w:shd w:val="clear" w:color="auto" w:fill="auto"/>
            <w:noWrap/>
            <w:tcMar>
              <w:left w:w="28" w:type="dxa"/>
              <w:right w:w="28" w:type="dxa"/>
            </w:tcMar>
            <w:vAlign w:val="bottom"/>
            <w:hideMark/>
          </w:tcPr>
          <w:p w14:paraId="35265E7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Quintile 3</w:t>
            </w:r>
          </w:p>
        </w:tc>
        <w:tc>
          <w:tcPr>
            <w:tcW w:w="1418" w:type="dxa"/>
            <w:shd w:val="clear" w:color="auto" w:fill="auto"/>
            <w:noWrap/>
            <w:tcMar>
              <w:left w:w="28" w:type="dxa"/>
              <w:right w:w="28" w:type="dxa"/>
            </w:tcMar>
            <w:vAlign w:val="bottom"/>
            <w:hideMark/>
          </w:tcPr>
          <w:p w14:paraId="1C024D4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21.1%</w:t>
            </w:r>
          </w:p>
        </w:tc>
        <w:tc>
          <w:tcPr>
            <w:tcW w:w="1412" w:type="dxa"/>
            <w:shd w:val="clear" w:color="auto" w:fill="auto"/>
            <w:noWrap/>
            <w:tcMar>
              <w:left w:w="28" w:type="dxa"/>
              <w:right w:w="28" w:type="dxa"/>
            </w:tcMar>
            <w:vAlign w:val="bottom"/>
            <w:hideMark/>
          </w:tcPr>
          <w:p w14:paraId="1F5C4F8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20.7%</w:t>
            </w:r>
          </w:p>
        </w:tc>
        <w:tc>
          <w:tcPr>
            <w:tcW w:w="1320" w:type="dxa"/>
            <w:shd w:val="clear" w:color="auto" w:fill="auto"/>
            <w:noWrap/>
            <w:tcMar>
              <w:left w:w="28" w:type="dxa"/>
              <w:right w:w="28" w:type="dxa"/>
            </w:tcMar>
            <w:vAlign w:val="center"/>
            <w:hideMark/>
          </w:tcPr>
          <w:p w14:paraId="3364A02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21.3%</w:t>
            </w:r>
          </w:p>
        </w:tc>
        <w:tc>
          <w:tcPr>
            <w:tcW w:w="1320" w:type="dxa"/>
            <w:shd w:val="clear" w:color="auto" w:fill="auto"/>
            <w:noWrap/>
            <w:tcMar>
              <w:left w:w="28" w:type="dxa"/>
              <w:right w:w="28" w:type="dxa"/>
            </w:tcMar>
            <w:vAlign w:val="center"/>
            <w:hideMark/>
          </w:tcPr>
          <w:p w14:paraId="365FC58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21.0%</w:t>
            </w:r>
          </w:p>
        </w:tc>
        <w:tc>
          <w:tcPr>
            <w:tcW w:w="1320" w:type="dxa"/>
            <w:shd w:val="clear" w:color="auto" w:fill="auto"/>
            <w:noWrap/>
            <w:tcMar>
              <w:left w:w="28" w:type="dxa"/>
              <w:right w:w="28" w:type="dxa"/>
            </w:tcMar>
            <w:vAlign w:val="center"/>
            <w:hideMark/>
          </w:tcPr>
          <w:p w14:paraId="132A17C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21.2%</w:t>
            </w:r>
          </w:p>
        </w:tc>
      </w:tr>
      <w:tr w:rsidR="00A6628F" w:rsidRPr="00357B0B" w14:paraId="50593442" w14:textId="77777777" w:rsidTr="007155F2">
        <w:tc>
          <w:tcPr>
            <w:tcW w:w="2410" w:type="dxa"/>
            <w:shd w:val="clear" w:color="auto" w:fill="auto"/>
            <w:noWrap/>
            <w:tcMar>
              <w:left w:w="28" w:type="dxa"/>
              <w:right w:w="28" w:type="dxa"/>
            </w:tcMar>
            <w:vAlign w:val="bottom"/>
            <w:hideMark/>
          </w:tcPr>
          <w:p w14:paraId="10B25F2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Quintile 4</w:t>
            </w:r>
          </w:p>
        </w:tc>
        <w:tc>
          <w:tcPr>
            <w:tcW w:w="1418" w:type="dxa"/>
            <w:shd w:val="clear" w:color="auto" w:fill="auto"/>
            <w:noWrap/>
            <w:tcMar>
              <w:left w:w="28" w:type="dxa"/>
              <w:right w:w="28" w:type="dxa"/>
            </w:tcMar>
            <w:vAlign w:val="bottom"/>
            <w:hideMark/>
          </w:tcPr>
          <w:p w14:paraId="25F83D3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15.1%</w:t>
            </w:r>
          </w:p>
        </w:tc>
        <w:tc>
          <w:tcPr>
            <w:tcW w:w="1412" w:type="dxa"/>
            <w:shd w:val="clear" w:color="auto" w:fill="auto"/>
            <w:noWrap/>
            <w:tcMar>
              <w:left w:w="28" w:type="dxa"/>
              <w:right w:w="28" w:type="dxa"/>
            </w:tcMar>
            <w:vAlign w:val="bottom"/>
            <w:hideMark/>
          </w:tcPr>
          <w:p w14:paraId="3F516B1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13.9%</w:t>
            </w:r>
          </w:p>
        </w:tc>
        <w:tc>
          <w:tcPr>
            <w:tcW w:w="1320" w:type="dxa"/>
            <w:shd w:val="clear" w:color="auto" w:fill="auto"/>
            <w:noWrap/>
            <w:tcMar>
              <w:left w:w="28" w:type="dxa"/>
              <w:right w:w="28" w:type="dxa"/>
            </w:tcMar>
            <w:vAlign w:val="center"/>
            <w:hideMark/>
          </w:tcPr>
          <w:p w14:paraId="3185C10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15.6%</w:t>
            </w:r>
          </w:p>
        </w:tc>
        <w:tc>
          <w:tcPr>
            <w:tcW w:w="1320" w:type="dxa"/>
            <w:shd w:val="clear" w:color="auto" w:fill="auto"/>
            <w:noWrap/>
            <w:tcMar>
              <w:left w:w="28" w:type="dxa"/>
              <w:right w:w="28" w:type="dxa"/>
            </w:tcMar>
            <w:vAlign w:val="center"/>
            <w:hideMark/>
          </w:tcPr>
          <w:p w14:paraId="734AC61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14.4%</w:t>
            </w:r>
          </w:p>
        </w:tc>
        <w:tc>
          <w:tcPr>
            <w:tcW w:w="1320" w:type="dxa"/>
            <w:shd w:val="clear" w:color="auto" w:fill="auto"/>
            <w:noWrap/>
            <w:tcMar>
              <w:left w:w="28" w:type="dxa"/>
              <w:right w:w="28" w:type="dxa"/>
            </w:tcMar>
            <w:vAlign w:val="center"/>
            <w:hideMark/>
          </w:tcPr>
          <w:p w14:paraId="169E421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17.9%</w:t>
            </w:r>
          </w:p>
        </w:tc>
      </w:tr>
      <w:tr w:rsidR="00A6628F" w:rsidRPr="00357B0B" w14:paraId="70298E62" w14:textId="77777777" w:rsidTr="007155F2">
        <w:tc>
          <w:tcPr>
            <w:tcW w:w="2410" w:type="dxa"/>
            <w:shd w:val="clear" w:color="auto" w:fill="auto"/>
            <w:noWrap/>
            <w:tcMar>
              <w:left w:w="28" w:type="dxa"/>
              <w:right w:w="28" w:type="dxa"/>
            </w:tcMar>
            <w:vAlign w:val="bottom"/>
            <w:hideMark/>
          </w:tcPr>
          <w:p w14:paraId="093696A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Most deprived</w:t>
            </w:r>
          </w:p>
        </w:tc>
        <w:tc>
          <w:tcPr>
            <w:tcW w:w="1418" w:type="dxa"/>
            <w:shd w:val="clear" w:color="auto" w:fill="auto"/>
            <w:noWrap/>
            <w:tcMar>
              <w:left w:w="28" w:type="dxa"/>
              <w:right w:w="28" w:type="dxa"/>
            </w:tcMar>
            <w:vAlign w:val="bottom"/>
            <w:hideMark/>
          </w:tcPr>
          <w:p w14:paraId="0E3E53D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10.4%</w:t>
            </w:r>
          </w:p>
        </w:tc>
        <w:tc>
          <w:tcPr>
            <w:tcW w:w="1412" w:type="dxa"/>
            <w:shd w:val="clear" w:color="auto" w:fill="auto"/>
            <w:noWrap/>
            <w:tcMar>
              <w:left w:w="28" w:type="dxa"/>
              <w:right w:w="28" w:type="dxa"/>
            </w:tcMar>
            <w:vAlign w:val="bottom"/>
            <w:hideMark/>
          </w:tcPr>
          <w:p w14:paraId="0824454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w:t>
            </w:r>
          </w:p>
        </w:tc>
        <w:tc>
          <w:tcPr>
            <w:tcW w:w="1320" w:type="dxa"/>
            <w:shd w:val="clear" w:color="auto" w:fill="auto"/>
            <w:noWrap/>
            <w:tcMar>
              <w:left w:w="28" w:type="dxa"/>
              <w:right w:w="28" w:type="dxa"/>
            </w:tcMar>
            <w:vAlign w:val="bottom"/>
            <w:hideMark/>
          </w:tcPr>
          <w:p w14:paraId="7281FE7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10.9%</w:t>
            </w:r>
          </w:p>
        </w:tc>
        <w:tc>
          <w:tcPr>
            <w:tcW w:w="1320" w:type="dxa"/>
            <w:shd w:val="clear" w:color="auto" w:fill="auto"/>
            <w:noWrap/>
            <w:tcMar>
              <w:left w:w="28" w:type="dxa"/>
              <w:right w:w="28" w:type="dxa"/>
            </w:tcMar>
            <w:vAlign w:val="bottom"/>
            <w:hideMark/>
          </w:tcPr>
          <w:p w14:paraId="000C275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10.2%</w:t>
            </w:r>
          </w:p>
        </w:tc>
        <w:tc>
          <w:tcPr>
            <w:tcW w:w="1320" w:type="dxa"/>
            <w:shd w:val="clear" w:color="auto" w:fill="auto"/>
            <w:noWrap/>
            <w:tcMar>
              <w:left w:w="28" w:type="dxa"/>
              <w:right w:w="28" w:type="dxa"/>
            </w:tcMar>
            <w:vAlign w:val="bottom"/>
            <w:hideMark/>
          </w:tcPr>
          <w:p w14:paraId="6D4E4E9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14.9%</w:t>
            </w:r>
          </w:p>
        </w:tc>
      </w:tr>
      <w:tr w:rsidR="00A6628F" w:rsidRPr="00357B0B" w14:paraId="11E4CC77" w14:textId="77777777" w:rsidTr="007155F2">
        <w:tc>
          <w:tcPr>
            <w:tcW w:w="2410" w:type="dxa"/>
            <w:shd w:val="clear" w:color="auto" w:fill="auto"/>
            <w:noWrap/>
            <w:tcMar>
              <w:left w:w="28" w:type="dxa"/>
              <w:right w:w="28" w:type="dxa"/>
            </w:tcMar>
            <w:vAlign w:val="bottom"/>
            <w:hideMark/>
          </w:tcPr>
          <w:p w14:paraId="05482E9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418" w:type="dxa"/>
            <w:shd w:val="clear" w:color="auto" w:fill="auto"/>
            <w:noWrap/>
            <w:tcMar>
              <w:left w:w="28" w:type="dxa"/>
              <w:right w:w="28" w:type="dxa"/>
            </w:tcMar>
            <w:vAlign w:val="bottom"/>
            <w:hideMark/>
          </w:tcPr>
          <w:p w14:paraId="3D2FA9AD"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412" w:type="dxa"/>
            <w:shd w:val="clear" w:color="auto" w:fill="auto"/>
            <w:noWrap/>
            <w:tcMar>
              <w:left w:w="28" w:type="dxa"/>
              <w:right w:w="28" w:type="dxa"/>
            </w:tcMar>
            <w:vAlign w:val="center"/>
            <w:hideMark/>
          </w:tcPr>
          <w:p w14:paraId="688D176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07C6D3A9"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71B2B1B0"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6F57AF16"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3ECEE82C" w14:textId="77777777" w:rsidTr="007155F2">
        <w:tc>
          <w:tcPr>
            <w:tcW w:w="2410" w:type="dxa"/>
            <w:shd w:val="clear" w:color="auto" w:fill="auto"/>
            <w:noWrap/>
            <w:tcMar>
              <w:left w:w="28" w:type="dxa"/>
              <w:right w:w="28" w:type="dxa"/>
            </w:tcMar>
            <w:vAlign w:val="bottom"/>
            <w:hideMark/>
          </w:tcPr>
          <w:p w14:paraId="1184B33F"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Ethnicity</w:t>
            </w:r>
          </w:p>
        </w:tc>
        <w:tc>
          <w:tcPr>
            <w:tcW w:w="1418" w:type="dxa"/>
            <w:shd w:val="clear" w:color="auto" w:fill="auto"/>
            <w:noWrap/>
            <w:tcMar>
              <w:left w:w="28" w:type="dxa"/>
              <w:right w:w="28" w:type="dxa"/>
            </w:tcMar>
            <w:vAlign w:val="bottom"/>
            <w:hideMark/>
          </w:tcPr>
          <w:p w14:paraId="2ADD2C57"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2" w:type="dxa"/>
            <w:shd w:val="clear" w:color="auto" w:fill="auto"/>
            <w:noWrap/>
            <w:tcMar>
              <w:left w:w="28" w:type="dxa"/>
              <w:right w:w="28" w:type="dxa"/>
            </w:tcMar>
            <w:vAlign w:val="center"/>
            <w:hideMark/>
          </w:tcPr>
          <w:p w14:paraId="01FABEC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0B75A27A"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3AE6CF0E"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43A2276A"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04C65D11" w14:textId="77777777" w:rsidTr="007155F2">
        <w:tc>
          <w:tcPr>
            <w:tcW w:w="2410" w:type="dxa"/>
            <w:shd w:val="clear" w:color="auto" w:fill="auto"/>
            <w:noWrap/>
            <w:tcMar>
              <w:left w:w="28" w:type="dxa"/>
              <w:right w:w="28" w:type="dxa"/>
            </w:tcMar>
            <w:vAlign w:val="bottom"/>
            <w:hideMark/>
          </w:tcPr>
          <w:p w14:paraId="22ADB19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White</w:t>
            </w:r>
          </w:p>
        </w:tc>
        <w:tc>
          <w:tcPr>
            <w:tcW w:w="1418" w:type="dxa"/>
            <w:shd w:val="clear" w:color="auto" w:fill="auto"/>
            <w:noWrap/>
            <w:tcMar>
              <w:left w:w="28" w:type="dxa"/>
              <w:right w:w="28" w:type="dxa"/>
            </w:tcMar>
            <w:vAlign w:val="bottom"/>
            <w:hideMark/>
          </w:tcPr>
          <w:p w14:paraId="7C82738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97.0%</w:t>
            </w:r>
          </w:p>
        </w:tc>
        <w:tc>
          <w:tcPr>
            <w:tcW w:w="1412" w:type="dxa"/>
            <w:shd w:val="clear" w:color="auto" w:fill="auto"/>
            <w:noWrap/>
            <w:tcMar>
              <w:left w:w="28" w:type="dxa"/>
              <w:right w:w="28" w:type="dxa"/>
            </w:tcMar>
            <w:vAlign w:val="bottom"/>
            <w:hideMark/>
          </w:tcPr>
          <w:p w14:paraId="3397BA9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96.6%</w:t>
            </w:r>
          </w:p>
        </w:tc>
        <w:tc>
          <w:tcPr>
            <w:tcW w:w="1320" w:type="dxa"/>
            <w:shd w:val="clear" w:color="auto" w:fill="auto"/>
            <w:noWrap/>
            <w:tcMar>
              <w:left w:w="28" w:type="dxa"/>
              <w:right w:w="28" w:type="dxa"/>
            </w:tcMar>
            <w:vAlign w:val="bottom"/>
            <w:hideMark/>
          </w:tcPr>
          <w:p w14:paraId="5EDD3E7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97.2%</w:t>
            </w:r>
          </w:p>
        </w:tc>
        <w:tc>
          <w:tcPr>
            <w:tcW w:w="1320" w:type="dxa"/>
            <w:shd w:val="clear" w:color="auto" w:fill="auto"/>
            <w:noWrap/>
            <w:tcMar>
              <w:left w:w="28" w:type="dxa"/>
              <w:right w:w="28" w:type="dxa"/>
            </w:tcMar>
            <w:vAlign w:val="bottom"/>
            <w:hideMark/>
          </w:tcPr>
          <w:p w14:paraId="68B33E3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98.1%</w:t>
            </w:r>
          </w:p>
        </w:tc>
        <w:tc>
          <w:tcPr>
            <w:tcW w:w="1320" w:type="dxa"/>
            <w:shd w:val="clear" w:color="auto" w:fill="auto"/>
            <w:noWrap/>
            <w:tcMar>
              <w:left w:w="28" w:type="dxa"/>
              <w:right w:w="28" w:type="dxa"/>
            </w:tcMar>
            <w:vAlign w:val="bottom"/>
            <w:hideMark/>
          </w:tcPr>
          <w:p w14:paraId="3F679B8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95.7%</w:t>
            </w:r>
          </w:p>
        </w:tc>
      </w:tr>
      <w:tr w:rsidR="00A6628F" w:rsidRPr="00357B0B" w14:paraId="6B76A4F1" w14:textId="77777777" w:rsidTr="007155F2">
        <w:tc>
          <w:tcPr>
            <w:tcW w:w="2410" w:type="dxa"/>
            <w:shd w:val="clear" w:color="auto" w:fill="auto"/>
            <w:noWrap/>
            <w:tcMar>
              <w:left w:w="28" w:type="dxa"/>
              <w:right w:w="28" w:type="dxa"/>
            </w:tcMar>
            <w:vAlign w:val="bottom"/>
            <w:hideMark/>
          </w:tcPr>
          <w:p w14:paraId="48ED128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Non-white</w:t>
            </w:r>
          </w:p>
        </w:tc>
        <w:tc>
          <w:tcPr>
            <w:tcW w:w="1418" w:type="dxa"/>
            <w:shd w:val="clear" w:color="auto" w:fill="auto"/>
            <w:noWrap/>
            <w:tcMar>
              <w:left w:w="28" w:type="dxa"/>
              <w:right w:w="28" w:type="dxa"/>
            </w:tcMar>
            <w:vAlign w:val="bottom"/>
            <w:hideMark/>
          </w:tcPr>
          <w:p w14:paraId="49ED2F4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3.0%</w:t>
            </w:r>
          </w:p>
        </w:tc>
        <w:tc>
          <w:tcPr>
            <w:tcW w:w="1412" w:type="dxa"/>
            <w:shd w:val="clear" w:color="auto" w:fill="auto"/>
            <w:noWrap/>
            <w:tcMar>
              <w:left w:w="28" w:type="dxa"/>
              <w:right w:w="28" w:type="dxa"/>
            </w:tcMar>
            <w:vAlign w:val="bottom"/>
            <w:hideMark/>
          </w:tcPr>
          <w:p w14:paraId="2B3B3C9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3.4%</w:t>
            </w:r>
          </w:p>
        </w:tc>
        <w:tc>
          <w:tcPr>
            <w:tcW w:w="1320" w:type="dxa"/>
            <w:shd w:val="clear" w:color="auto" w:fill="auto"/>
            <w:noWrap/>
            <w:tcMar>
              <w:left w:w="28" w:type="dxa"/>
              <w:right w:w="28" w:type="dxa"/>
            </w:tcMar>
            <w:vAlign w:val="bottom"/>
            <w:hideMark/>
          </w:tcPr>
          <w:p w14:paraId="1A8F39A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w:t>
            </w:r>
          </w:p>
        </w:tc>
        <w:tc>
          <w:tcPr>
            <w:tcW w:w="1320" w:type="dxa"/>
            <w:shd w:val="clear" w:color="auto" w:fill="auto"/>
            <w:noWrap/>
            <w:tcMar>
              <w:left w:w="28" w:type="dxa"/>
              <w:right w:w="28" w:type="dxa"/>
            </w:tcMar>
            <w:vAlign w:val="bottom"/>
            <w:hideMark/>
          </w:tcPr>
          <w:p w14:paraId="03A29CC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w:t>
            </w:r>
          </w:p>
        </w:tc>
        <w:tc>
          <w:tcPr>
            <w:tcW w:w="1320" w:type="dxa"/>
            <w:shd w:val="clear" w:color="auto" w:fill="auto"/>
            <w:noWrap/>
            <w:tcMar>
              <w:left w:w="28" w:type="dxa"/>
              <w:right w:w="28" w:type="dxa"/>
            </w:tcMar>
            <w:vAlign w:val="bottom"/>
            <w:hideMark/>
          </w:tcPr>
          <w:p w14:paraId="10641B4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4.3%</w:t>
            </w:r>
          </w:p>
        </w:tc>
      </w:tr>
      <w:tr w:rsidR="00A6628F" w:rsidRPr="00357B0B" w14:paraId="0B55BACB" w14:textId="77777777" w:rsidTr="007155F2">
        <w:tc>
          <w:tcPr>
            <w:tcW w:w="2410" w:type="dxa"/>
            <w:shd w:val="clear" w:color="auto" w:fill="auto"/>
            <w:noWrap/>
            <w:tcMar>
              <w:left w:w="28" w:type="dxa"/>
              <w:right w:w="28" w:type="dxa"/>
            </w:tcMar>
            <w:vAlign w:val="bottom"/>
            <w:hideMark/>
          </w:tcPr>
          <w:p w14:paraId="41A295F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418" w:type="dxa"/>
            <w:shd w:val="clear" w:color="auto" w:fill="auto"/>
            <w:noWrap/>
            <w:tcMar>
              <w:left w:w="28" w:type="dxa"/>
              <w:right w:w="28" w:type="dxa"/>
            </w:tcMar>
            <w:vAlign w:val="bottom"/>
            <w:hideMark/>
          </w:tcPr>
          <w:p w14:paraId="155F9AC5"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412" w:type="dxa"/>
            <w:shd w:val="clear" w:color="auto" w:fill="auto"/>
            <w:noWrap/>
            <w:tcMar>
              <w:left w:w="28" w:type="dxa"/>
              <w:right w:w="28" w:type="dxa"/>
            </w:tcMar>
            <w:vAlign w:val="center"/>
            <w:hideMark/>
          </w:tcPr>
          <w:p w14:paraId="0FC124F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7FB44124"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4133F65E"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017F4A65"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6413BC10" w14:textId="77777777" w:rsidTr="007155F2">
        <w:tc>
          <w:tcPr>
            <w:tcW w:w="2410" w:type="dxa"/>
            <w:shd w:val="clear" w:color="auto" w:fill="auto"/>
            <w:noWrap/>
            <w:tcMar>
              <w:left w:w="28" w:type="dxa"/>
              <w:right w:w="28" w:type="dxa"/>
            </w:tcMar>
            <w:vAlign w:val="bottom"/>
            <w:hideMark/>
          </w:tcPr>
          <w:p w14:paraId="72EBB6C4"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Employment status</w:t>
            </w:r>
          </w:p>
        </w:tc>
        <w:tc>
          <w:tcPr>
            <w:tcW w:w="1418" w:type="dxa"/>
            <w:shd w:val="clear" w:color="auto" w:fill="auto"/>
            <w:noWrap/>
            <w:tcMar>
              <w:left w:w="28" w:type="dxa"/>
              <w:right w:w="28" w:type="dxa"/>
            </w:tcMar>
            <w:vAlign w:val="bottom"/>
            <w:hideMark/>
          </w:tcPr>
          <w:p w14:paraId="57CF6B4F"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2" w:type="dxa"/>
            <w:shd w:val="clear" w:color="auto" w:fill="auto"/>
            <w:noWrap/>
            <w:tcMar>
              <w:left w:w="28" w:type="dxa"/>
              <w:right w:w="28" w:type="dxa"/>
            </w:tcMar>
            <w:vAlign w:val="center"/>
            <w:hideMark/>
          </w:tcPr>
          <w:p w14:paraId="4B549FB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088056E0"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3E917A9C"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6E198517"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005D8CFC" w14:textId="77777777" w:rsidTr="007155F2">
        <w:tc>
          <w:tcPr>
            <w:tcW w:w="2410" w:type="dxa"/>
            <w:shd w:val="clear" w:color="auto" w:fill="auto"/>
            <w:noWrap/>
            <w:tcMar>
              <w:left w:w="28" w:type="dxa"/>
              <w:right w:w="28" w:type="dxa"/>
            </w:tcMar>
            <w:vAlign w:val="bottom"/>
            <w:hideMark/>
          </w:tcPr>
          <w:p w14:paraId="6422A3A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Employed</w:t>
            </w:r>
          </w:p>
        </w:tc>
        <w:tc>
          <w:tcPr>
            <w:tcW w:w="1418" w:type="dxa"/>
            <w:shd w:val="clear" w:color="auto" w:fill="auto"/>
            <w:noWrap/>
            <w:tcMar>
              <w:left w:w="28" w:type="dxa"/>
              <w:right w:w="28" w:type="dxa"/>
            </w:tcMar>
            <w:vAlign w:val="bottom"/>
            <w:hideMark/>
          </w:tcPr>
          <w:p w14:paraId="1FEC2DF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19.8%</w:t>
            </w:r>
          </w:p>
        </w:tc>
        <w:tc>
          <w:tcPr>
            <w:tcW w:w="1412" w:type="dxa"/>
            <w:shd w:val="clear" w:color="auto" w:fill="auto"/>
            <w:noWrap/>
            <w:tcMar>
              <w:left w:w="28" w:type="dxa"/>
              <w:right w:w="28" w:type="dxa"/>
            </w:tcMar>
            <w:vAlign w:val="bottom"/>
            <w:hideMark/>
          </w:tcPr>
          <w:p w14:paraId="42ABDB0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22.5%</w:t>
            </w:r>
          </w:p>
        </w:tc>
        <w:tc>
          <w:tcPr>
            <w:tcW w:w="1320" w:type="dxa"/>
            <w:shd w:val="clear" w:color="auto" w:fill="auto"/>
            <w:noWrap/>
            <w:tcMar>
              <w:left w:w="28" w:type="dxa"/>
              <w:right w:w="28" w:type="dxa"/>
            </w:tcMar>
            <w:vAlign w:val="bottom"/>
            <w:hideMark/>
          </w:tcPr>
          <w:p w14:paraId="55FDAEB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18.4%</w:t>
            </w:r>
          </w:p>
        </w:tc>
        <w:tc>
          <w:tcPr>
            <w:tcW w:w="1320" w:type="dxa"/>
            <w:shd w:val="clear" w:color="auto" w:fill="auto"/>
            <w:noWrap/>
            <w:tcMar>
              <w:left w:w="28" w:type="dxa"/>
              <w:right w:w="28" w:type="dxa"/>
            </w:tcMar>
            <w:vAlign w:val="bottom"/>
            <w:hideMark/>
          </w:tcPr>
          <w:p w14:paraId="0025B91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22.1%</w:t>
            </w:r>
          </w:p>
        </w:tc>
        <w:tc>
          <w:tcPr>
            <w:tcW w:w="1320" w:type="dxa"/>
            <w:shd w:val="clear" w:color="auto" w:fill="auto"/>
            <w:noWrap/>
            <w:tcMar>
              <w:left w:w="28" w:type="dxa"/>
              <w:right w:w="28" w:type="dxa"/>
            </w:tcMar>
            <w:vAlign w:val="bottom"/>
            <w:hideMark/>
          </w:tcPr>
          <w:p w14:paraId="423B84A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15.8%</w:t>
            </w:r>
          </w:p>
        </w:tc>
      </w:tr>
      <w:tr w:rsidR="00A6628F" w:rsidRPr="00357B0B" w14:paraId="431472B8" w14:textId="77777777" w:rsidTr="007155F2">
        <w:tc>
          <w:tcPr>
            <w:tcW w:w="2410" w:type="dxa"/>
            <w:shd w:val="clear" w:color="auto" w:fill="auto"/>
            <w:noWrap/>
            <w:tcMar>
              <w:left w:w="28" w:type="dxa"/>
              <w:right w:w="28" w:type="dxa"/>
            </w:tcMar>
            <w:vAlign w:val="bottom"/>
            <w:hideMark/>
          </w:tcPr>
          <w:p w14:paraId="1FF660E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Retired</w:t>
            </w:r>
          </w:p>
        </w:tc>
        <w:tc>
          <w:tcPr>
            <w:tcW w:w="1418" w:type="dxa"/>
            <w:shd w:val="clear" w:color="auto" w:fill="auto"/>
            <w:noWrap/>
            <w:tcMar>
              <w:left w:w="28" w:type="dxa"/>
              <w:right w:w="28" w:type="dxa"/>
            </w:tcMar>
            <w:vAlign w:val="bottom"/>
            <w:hideMark/>
          </w:tcPr>
          <w:p w14:paraId="49EFA6E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77.3%</w:t>
            </w:r>
          </w:p>
        </w:tc>
        <w:tc>
          <w:tcPr>
            <w:tcW w:w="1412" w:type="dxa"/>
            <w:shd w:val="clear" w:color="auto" w:fill="auto"/>
            <w:noWrap/>
            <w:tcMar>
              <w:left w:w="28" w:type="dxa"/>
              <w:right w:w="28" w:type="dxa"/>
            </w:tcMar>
            <w:vAlign w:val="bottom"/>
            <w:hideMark/>
          </w:tcPr>
          <w:p w14:paraId="09E3BEB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75.4%</w:t>
            </w:r>
          </w:p>
        </w:tc>
        <w:tc>
          <w:tcPr>
            <w:tcW w:w="1320" w:type="dxa"/>
            <w:shd w:val="clear" w:color="auto" w:fill="auto"/>
            <w:noWrap/>
            <w:tcMar>
              <w:left w:w="28" w:type="dxa"/>
              <w:right w:w="28" w:type="dxa"/>
            </w:tcMar>
            <w:vAlign w:val="bottom"/>
            <w:hideMark/>
          </w:tcPr>
          <w:p w14:paraId="0119676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78.2%</w:t>
            </w:r>
          </w:p>
        </w:tc>
        <w:tc>
          <w:tcPr>
            <w:tcW w:w="1320" w:type="dxa"/>
            <w:shd w:val="clear" w:color="auto" w:fill="auto"/>
            <w:noWrap/>
            <w:tcMar>
              <w:left w:w="28" w:type="dxa"/>
              <w:right w:w="28" w:type="dxa"/>
            </w:tcMar>
            <w:vAlign w:val="bottom"/>
            <w:hideMark/>
          </w:tcPr>
          <w:p w14:paraId="46A08ED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75.0%</w:t>
            </w:r>
          </w:p>
        </w:tc>
        <w:tc>
          <w:tcPr>
            <w:tcW w:w="1320" w:type="dxa"/>
            <w:shd w:val="clear" w:color="auto" w:fill="auto"/>
            <w:noWrap/>
            <w:tcMar>
              <w:left w:w="28" w:type="dxa"/>
              <w:right w:w="28" w:type="dxa"/>
            </w:tcMar>
            <w:vAlign w:val="bottom"/>
            <w:hideMark/>
          </w:tcPr>
          <w:p w14:paraId="1895BA3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81.3%</w:t>
            </w:r>
          </w:p>
        </w:tc>
      </w:tr>
      <w:tr w:rsidR="00A6628F" w:rsidRPr="00357B0B" w14:paraId="23695F08" w14:textId="77777777" w:rsidTr="007155F2">
        <w:tc>
          <w:tcPr>
            <w:tcW w:w="2410" w:type="dxa"/>
            <w:shd w:val="clear" w:color="auto" w:fill="auto"/>
            <w:noWrap/>
            <w:tcMar>
              <w:left w:w="28" w:type="dxa"/>
              <w:right w:w="28" w:type="dxa"/>
            </w:tcMar>
            <w:vAlign w:val="bottom"/>
            <w:hideMark/>
          </w:tcPr>
          <w:p w14:paraId="0281C7E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Unemployed</w:t>
            </w:r>
          </w:p>
        </w:tc>
        <w:tc>
          <w:tcPr>
            <w:tcW w:w="1418" w:type="dxa"/>
            <w:shd w:val="clear" w:color="auto" w:fill="auto"/>
            <w:noWrap/>
            <w:tcMar>
              <w:left w:w="28" w:type="dxa"/>
              <w:right w:w="28" w:type="dxa"/>
            </w:tcMar>
            <w:vAlign w:val="bottom"/>
            <w:hideMark/>
          </w:tcPr>
          <w:p w14:paraId="47DF82B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2.2%</w:t>
            </w:r>
          </w:p>
        </w:tc>
        <w:tc>
          <w:tcPr>
            <w:tcW w:w="1412" w:type="dxa"/>
            <w:shd w:val="clear" w:color="auto" w:fill="auto"/>
            <w:noWrap/>
            <w:tcMar>
              <w:left w:w="28" w:type="dxa"/>
              <w:right w:w="28" w:type="dxa"/>
            </w:tcMar>
            <w:vAlign w:val="bottom"/>
            <w:hideMark/>
          </w:tcPr>
          <w:p w14:paraId="64A6D2D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1.4%</w:t>
            </w:r>
          </w:p>
        </w:tc>
        <w:tc>
          <w:tcPr>
            <w:tcW w:w="1320" w:type="dxa"/>
            <w:shd w:val="clear" w:color="auto" w:fill="auto"/>
            <w:noWrap/>
            <w:tcMar>
              <w:left w:w="28" w:type="dxa"/>
              <w:right w:w="28" w:type="dxa"/>
            </w:tcMar>
            <w:vAlign w:val="bottom"/>
            <w:hideMark/>
          </w:tcPr>
          <w:p w14:paraId="6EF2841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w:t>
            </w:r>
          </w:p>
        </w:tc>
        <w:tc>
          <w:tcPr>
            <w:tcW w:w="1320" w:type="dxa"/>
            <w:shd w:val="clear" w:color="auto" w:fill="auto"/>
            <w:noWrap/>
            <w:tcMar>
              <w:left w:w="28" w:type="dxa"/>
              <w:right w:w="28" w:type="dxa"/>
            </w:tcMar>
            <w:vAlign w:val="bottom"/>
            <w:hideMark/>
          </w:tcPr>
          <w:p w14:paraId="68C1B92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w:t>
            </w:r>
          </w:p>
        </w:tc>
        <w:tc>
          <w:tcPr>
            <w:tcW w:w="1320" w:type="dxa"/>
            <w:shd w:val="clear" w:color="auto" w:fill="auto"/>
            <w:noWrap/>
            <w:tcMar>
              <w:left w:w="28" w:type="dxa"/>
              <w:right w:w="28" w:type="dxa"/>
            </w:tcMar>
            <w:vAlign w:val="bottom"/>
            <w:hideMark/>
          </w:tcPr>
          <w:p w14:paraId="6AE9B8F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w:t>
            </w:r>
          </w:p>
        </w:tc>
      </w:tr>
      <w:tr w:rsidR="00A6628F" w:rsidRPr="00357B0B" w14:paraId="67374266" w14:textId="77777777" w:rsidTr="007155F2">
        <w:tc>
          <w:tcPr>
            <w:tcW w:w="2410" w:type="dxa"/>
            <w:shd w:val="clear" w:color="auto" w:fill="auto"/>
            <w:noWrap/>
            <w:tcMar>
              <w:left w:w="28" w:type="dxa"/>
              <w:right w:w="28" w:type="dxa"/>
            </w:tcMar>
            <w:vAlign w:val="bottom"/>
            <w:hideMark/>
          </w:tcPr>
          <w:p w14:paraId="1C6F691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Other</w:t>
            </w:r>
          </w:p>
        </w:tc>
        <w:tc>
          <w:tcPr>
            <w:tcW w:w="1418" w:type="dxa"/>
            <w:shd w:val="clear" w:color="auto" w:fill="auto"/>
            <w:noWrap/>
            <w:tcMar>
              <w:left w:w="28" w:type="dxa"/>
              <w:right w:w="28" w:type="dxa"/>
            </w:tcMar>
            <w:vAlign w:val="bottom"/>
            <w:hideMark/>
          </w:tcPr>
          <w:p w14:paraId="791F26C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0.8%</w:t>
            </w:r>
          </w:p>
        </w:tc>
        <w:tc>
          <w:tcPr>
            <w:tcW w:w="1412" w:type="dxa"/>
            <w:shd w:val="clear" w:color="auto" w:fill="auto"/>
            <w:noWrap/>
            <w:tcMar>
              <w:left w:w="28" w:type="dxa"/>
              <w:right w:w="28" w:type="dxa"/>
            </w:tcMar>
            <w:vAlign w:val="bottom"/>
            <w:hideMark/>
          </w:tcPr>
          <w:p w14:paraId="3B1FFD4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0.7%</w:t>
            </w:r>
          </w:p>
        </w:tc>
        <w:tc>
          <w:tcPr>
            <w:tcW w:w="1320" w:type="dxa"/>
            <w:shd w:val="clear" w:color="auto" w:fill="auto"/>
            <w:noWrap/>
            <w:tcMar>
              <w:left w:w="28" w:type="dxa"/>
              <w:right w:w="28" w:type="dxa"/>
            </w:tcMar>
            <w:vAlign w:val="bottom"/>
            <w:hideMark/>
          </w:tcPr>
          <w:p w14:paraId="554399C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0.8%</w:t>
            </w:r>
          </w:p>
        </w:tc>
        <w:tc>
          <w:tcPr>
            <w:tcW w:w="1320" w:type="dxa"/>
            <w:shd w:val="clear" w:color="auto" w:fill="auto"/>
            <w:noWrap/>
            <w:tcMar>
              <w:left w:w="28" w:type="dxa"/>
              <w:right w:w="28" w:type="dxa"/>
            </w:tcMar>
            <w:vAlign w:val="bottom"/>
            <w:hideMark/>
          </w:tcPr>
          <w:p w14:paraId="1D6F481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1.0%</w:t>
            </w:r>
          </w:p>
        </w:tc>
        <w:tc>
          <w:tcPr>
            <w:tcW w:w="1320" w:type="dxa"/>
            <w:shd w:val="clear" w:color="auto" w:fill="auto"/>
            <w:noWrap/>
            <w:tcMar>
              <w:left w:w="28" w:type="dxa"/>
              <w:right w:w="28" w:type="dxa"/>
            </w:tcMar>
            <w:vAlign w:val="bottom"/>
            <w:hideMark/>
          </w:tcPr>
          <w:p w14:paraId="512DDAF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0.7%</w:t>
            </w:r>
          </w:p>
        </w:tc>
      </w:tr>
      <w:tr w:rsidR="00A6628F" w:rsidRPr="00357B0B" w14:paraId="5AEC9A7D" w14:textId="77777777" w:rsidTr="007155F2">
        <w:tc>
          <w:tcPr>
            <w:tcW w:w="2410" w:type="dxa"/>
            <w:shd w:val="clear" w:color="auto" w:fill="auto"/>
            <w:noWrap/>
            <w:tcMar>
              <w:left w:w="28" w:type="dxa"/>
              <w:right w:w="28" w:type="dxa"/>
            </w:tcMar>
            <w:vAlign w:val="bottom"/>
            <w:hideMark/>
          </w:tcPr>
          <w:p w14:paraId="4DFB341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418" w:type="dxa"/>
            <w:shd w:val="clear" w:color="auto" w:fill="auto"/>
            <w:noWrap/>
            <w:tcMar>
              <w:left w:w="28" w:type="dxa"/>
              <w:right w:w="28" w:type="dxa"/>
            </w:tcMar>
            <w:vAlign w:val="bottom"/>
            <w:hideMark/>
          </w:tcPr>
          <w:p w14:paraId="390B66C6"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412" w:type="dxa"/>
            <w:shd w:val="clear" w:color="auto" w:fill="auto"/>
            <w:noWrap/>
            <w:tcMar>
              <w:left w:w="28" w:type="dxa"/>
              <w:right w:w="28" w:type="dxa"/>
            </w:tcMar>
            <w:vAlign w:val="center"/>
            <w:hideMark/>
          </w:tcPr>
          <w:p w14:paraId="057287C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15CFD2EF"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60DBD50B"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6C88E601"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4E596B37" w14:textId="77777777" w:rsidTr="007155F2">
        <w:tc>
          <w:tcPr>
            <w:tcW w:w="2410" w:type="dxa"/>
            <w:shd w:val="clear" w:color="auto" w:fill="auto"/>
            <w:noWrap/>
            <w:tcMar>
              <w:left w:w="28" w:type="dxa"/>
              <w:right w:w="28" w:type="dxa"/>
            </w:tcMar>
            <w:vAlign w:val="bottom"/>
            <w:hideMark/>
          </w:tcPr>
          <w:p w14:paraId="41EF9D6E"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Marital status</w:t>
            </w:r>
          </w:p>
        </w:tc>
        <w:tc>
          <w:tcPr>
            <w:tcW w:w="1418" w:type="dxa"/>
            <w:shd w:val="clear" w:color="auto" w:fill="auto"/>
            <w:noWrap/>
            <w:tcMar>
              <w:left w:w="28" w:type="dxa"/>
              <w:right w:w="28" w:type="dxa"/>
            </w:tcMar>
            <w:vAlign w:val="bottom"/>
            <w:hideMark/>
          </w:tcPr>
          <w:p w14:paraId="20774DA5"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2" w:type="dxa"/>
            <w:shd w:val="clear" w:color="auto" w:fill="auto"/>
            <w:noWrap/>
            <w:tcMar>
              <w:left w:w="28" w:type="dxa"/>
              <w:right w:w="28" w:type="dxa"/>
            </w:tcMar>
            <w:vAlign w:val="center"/>
            <w:hideMark/>
          </w:tcPr>
          <w:p w14:paraId="1BEA6DC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0B819BDF"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06457F2D"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332C8790"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335F2351" w14:textId="77777777" w:rsidTr="007155F2">
        <w:tc>
          <w:tcPr>
            <w:tcW w:w="2410" w:type="dxa"/>
            <w:shd w:val="clear" w:color="auto" w:fill="auto"/>
            <w:noWrap/>
            <w:tcMar>
              <w:left w:w="28" w:type="dxa"/>
              <w:right w:w="28" w:type="dxa"/>
            </w:tcMar>
            <w:vAlign w:val="bottom"/>
            <w:hideMark/>
          </w:tcPr>
          <w:p w14:paraId="5772F6E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Married/Civil partnership</w:t>
            </w:r>
          </w:p>
        </w:tc>
        <w:tc>
          <w:tcPr>
            <w:tcW w:w="1418" w:type="dxa"/>
            <w:shd w:val="clear" w:color="auto" w:fill="auto"/>
            <w:noWrap/>
            <w:tcMar>
              <w:left w:w="28" w:type="dxa"/>
              <w:right w:w="28" w:type="dxa"/>
            </w:tcMar>
            <w:vAlign w:val="bottom"/>
            <w:hideMark/>
          </w:tcPr>
          <w:p w14:paraId="707687D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80.3%</w:t>
            </w:r>
          </w:p>
        </w:tc>
        <w:tc>
          <w:tcPr>
            <w:tcW w:w="1412" w:type="dxa"/>
            <w:shd w:val="clear" w:color="auto" w:fill="auto"/>
            <w:noWrap/>
            <w:tcMar>
              <w:left w:w="28" w:type="dxa"/>
              <w:right w:w="28" w:type="dxa"/>
            </w:tcMar>
            <w:vAlign w:val="bottom"/>
            <w:hideMark/>
          </w:tcPr>
          <w:p w14:paraId="0E45CBA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81.7%</w:t>
            </w:r>
          </w:p>
        </w:tc>
        <w:tc>
          <w:tcPr>
            <w:tcW w:w="1320" w:type="dxa"/>
            <w:shd w:val="clear" w:color="auto" w:fill="auto"/>
            <w:noWrap/>
            <w:tcMar>
              <w:left w:w="28" w:type="dxa"/>
              <w:right w:w="28" w:type="dxa"/>
            </w:tcMar>
            <w:vAlign w:val="bottom"/>
            <w:hideMark/>
          </w:tcPr>
          <w:p w14:paraId="26A26E0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79.8%</w:t>
            </w:r>
          </w:p>
        </w:tc>
        <w:tc>
          <w:tcPr>
            <w:tcW w:w="1320" w:type="dxa"/>
            <w:shd w:val="clear" w:color="auto" w:fill="auto"/>
            <w:noWrap/>
            <w:tcMar>
              <w:left w:w="28" w:type="dxa"/>
              <w:right w:w="28" w:type="dxa"/>
            </w:tcMar>
            <w:vAlign w:val="bottom"/>
            <w:hideMark/>
          </w:tcPr>
          <w:p w14:paraId="4064E54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80.1%</w:t>
            </w:r>
          </w:p>
        </w:tc>
        <w:tc>
          <w:tcPr>
            <w:tcW w:w="1320" w:type="dxa"/>
            <w:shd w:val="clear" w:color="auto" w:fill="auto"/>
            <w:noWrap/>
            <w:tcMar>
              <w:left w:w="28" w:type="dxa"/>
              <w:right w:w="28" w:type="dxa"/>
            </w:tcMar>
            <w:vAlign w:val="bottom"/>
            <w:hideMark/>
          </w:tcPr>
          <w:p w14:paraId="79BBC41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75.7%</w:t>
            </w:r>
          </w:p>
        </w:tc>
      </w:tr>
      <w:tr w:rsidR="00A6628F" w:rsidRPr="00357B0B" w14:paraId="258DA51B" w14:textId="77777777" w:rsidTr="007155F2">
        <w:tc>
          <w:tcPr>
            <w:tcW w:w="2410" w:type="dxa"/>
            <w:shd w:val="clear" w:color="auto" w:fill="auto"/>
            <w:noWrap/>
            <w:tcMar>
              <w:left w:w="28" w:type="dxa"/>
              <w:right w:w="28" w:type="dxa"/>
            </w:tcMar>
            <w:vAlign w:val="bottom"/>
            <w:hideMark/>
          </w:tcPr>
          <w:p w14:paraId="63DA964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Divorced/Separated</w:t>
            </w:r>
          </w:p>
        </w:tc>
        <w:tc>
          <w:tcPr>
            <w:tcW w:w="1418" w:type="dxa"/>
            <w:shd w:val="clear" w:color="auto" w:fill="auto"/>
            <w:noWrap/>
            <w:tcMar>
              <w:left w:w="28" w:type="dxa"/>
              <w:right w:w="28" w:type="dxa"/>
            </w:tcMar>
            <w:vAlign w:val="bottom"/>
            <w:hideMark/>
          </w:tcPr>
          <w:p w14:paraId="53C49A1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w:t>
            </w:r>
          </w:p>
        </w:tc>
        <w:tc>
          <w:tcPr>
            <w:tcW w:w="1412" w:type="dxa"/>
            <w:shd w:val="clear" w:color="auto" w:fill="auto"/>
            <w:noWrap/>
            <w:tcMar>
              <w:left w:w="28" w:type="dxa"/>
              <w:right w:w="28" w:type="dxa"/>
            </w:tcMar>
            <w:vAlign w:val="bottom"/>
            <w:hideMark/>
          </w:tcPr>
          <w:p w14:paraId="3858D60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w:t>
            </w:r>
          </w:p>
        </w:tc>
        <w:tc>
          <w:tcPr>
            <w:tcW w:w="1320" w:type="dxa"/>
            <w:shd w:val="clear" w:color="auto" w:fill="auto"/>
            <w:noWrap/>
            <w:tcMar>
              <w:left w:w="28" w:type="dxa"/>
              <w:right w:w="28" w:type="dxa"/>
            </w:tcMar>
            <w:vAlign w:val="bottom"/>
            <w:hideMark/>
          </w:tcPr>
          <w:p w14:paraId="43168FD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7.6%</w:t>
            </w:r>
          </w:p>
        </w:tc>
        <w:tc>
          <w:tcPr>
            <w:tcW w:w="1320" w:type="dxa"/>
            <w:shd w:val="clear" w:color="auto" w:fill="auto"/>
            <w:noWrap/>
            <w:tcMar>
              <w:left w:w="28" w:type="dxa"/>
              <w:right w:w="28" w:type="dxa"/>
            </w:tcMar>
            <w:vAlign w:val="bottom"/>
            <w:hideMark/>
          </w:tcPr>
          <w:p w14:paraId="5398529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7.3%</w:t>
            </w:r>
          </w:p>
        </w:tc>
        <w:tc>
          <w:tcPr>
            <w:tcW w:w="1320" w:type="dxa"/>
            <w:shd w:val="clear" w:color="auto" w:fill="auto"/>
            <w:noWrap/>
            <w:tcMar>
              <w:left w:w="28" w:type="dxa"/>
              <w:right w:w="28" w:type="dxa"/>
            </w:tcMar>
            <w:vAlign w:val="bottom"/>
            <w:hideMark/>
          </w:tcPr>
          <w:p w14:paraId="15A63D6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w:t>
            </w:r>
          </w:p>
        </w:tc>
      </w:tr>
      <w:tr w:rsidR="00A6628F" w:rsidRPr="00357B0B" w14:paraId="493A735D" w14:textId="77777777" w:rsidTr="007155F2">
        <w:tc>
          <w:tcPr>
            <w:tcW w:w="2410" w:type="dxa"/>
            <w:shd w:val="clear" w:color="auto" w:fill="auto"/>
            <w:noWrap/>
            <w:tcMar>
              <w:left w:w="28" w:type="dxa"/>
              <w:right w:w="28" w:type="dxa"/>
            </w:tcMar>
            <w:vAlign w:val="bottom"/>
            <w:hideMark/>
          </w:tcPr>
          <w:p w14:paraId="4603C1B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Widowed</w:t>
            </w:r>
          </w:p>
        </w:tc>
        <w:tc>
          <w:tcPr>
            <w:tcW w:w="1418" w:type="dxa"/>
            <w:shd w:val="clear" w:color="auto" w:fill="auto"/>
            <w:noWrap/>
            <w:tcMar>
              <w:left w:w="28" w:type="dxa"/>
              <w:right w:w="28" w:type="dxa"/>
            </w:tcMar>
            <w:vAlign w:val="bottom"/>
            <w:hideMark/>
          </w:tcPr>
          <w:p w14:paraId="192C74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w:t>
            </w:r>
          </w:p>
        </w:tc>
        <w:tc>
          <w:tcPr>
            <w:tcW w:w="1412" w:type="dxa"/>
            <w:shd w:val="clear" w:color="auto" w:fill="auto"/>
            <w:noWrap/>
            <w:tcMar>
              <w:left w:w="28" w:type="dxa"/>
              <w:right w:w="28" w:type="dxa"/>
            </w:tcMar>
            <w:vAlign w:val="bottom"/>
            <w:hideMark/>
          </w:tcPr>
          <w:p w14:paraId="596D3BB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7.3%</w:t>
            </w:r>
          </w:p>
        </w:tc>
        <w:tc>
          <w:tcPr>
            <w:tcW w:w="1320" w:type="dxa"/>
            <w:shd w:val="clear" w:color="auto" w:fill="auto"/>
            <w:noWrap/>
            <w:tcMar>
              <w:left w:w="28" w:type="dxa"/>
              <w:right w:w="28" w:type="dxa"/>
            </w:tcMar>
            <w:vAlign w:val="bottom"/>
            <w:hideMark/>
          </w:tcPr>
          <w:p w14:paraId="4E98B44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w:t>
            </w:r>
          </w:p>
        </w:tc>
        <w:tc>
          <w:tcPr>
            <w:tcW w:w="1320" w:type="dxa"/>
            <w:shd w:val="clear" w:color="auto" w:fill="auto"/>
            <w:noWrap/>
            <w:tcMar>
              <w:left w:w="28" w:type="dxa"/>
              <w:right w:w="28" w:type="dxa"/>
            </w:tcMar>
            <w:vAlign w:val="bottom"/>
            <w:hideMark/>
          </w:tcPr>
          <w:p w14:paraId="53489E4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w:t>
            </w:r>
          </w:p>
        </w:tc>
        <w:tc>
          <w:tcPr>
            <w:tcW w:w="1320" w:type="dxa"/>
            <w:shd w:val="clear" w:color="auto" w:fill="auto"/>
            <w:noWrap/>
            <w:tcMar>
              <w:left w:w="28" w:type="dxa"/>
              <w:right w:w="28" w:type="dxa"/>
            </w:tcMar>
            <w:vAlign w:val="bottom"/>
            <w:hideMark/>
          </w:tcPr>
          <w:p w14:paraId="23ECA9C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11.4%</w:t>
            </w:r>
          </w:p>
        </w:tc>
      </w:tr>
      <w:tr w:rsidR="00A6628F" w:rsidRPr="00357B0B" w14:paraId="2F43A162" w14:textId="77777777" w:rsidTr="007155F2">
        <w:tc>
          <w:tcPr>
            <w:tcW w:w="2410" w:type="dxa"/>
            <w:shd w:val="clear" w:color="auto" w:fill="auto"/>
            <w:noWrap/>
            <w:tcMar>
              <w:left w:w="28" w:type="dxa"/>
              <w:right w:w="28" w:type="dxa"/>
            </w:tcMar>
            <w:vAlign w:val="bottom"/>
            <w:hideMark/>
          </w:tcPr>
          <w:p w14:paraId="62688D7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Single</w:t>
            </w:r>
          </w:p>
        </w:tc>
        <w:tc>
          <w:tcPr>
            <w:tcW w:w="1418" w:type="dxa"/>
            <w:shd w:val="clear" w:color="auto" w:fill="auto"/>
            <w:noWrap/>
            <w:tcMar>
              <w:left w:w="28" w:type="dxa"/>
              <w:right w:w="28" w:type="dxa"/>
            </w:tcMar>
            <w:vAlign w:val="bottom"/>
            <w:hideMark/>
          </w:tcPr>
          <w:p w14:paraId="6008613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w:t>
            </w:r>
          </w:p>
        </w:tc>
        <w:tc>
          <w:tcPr>
            <w:tcW w:w="1412" w:type="dxa"/>
            <w:shd w:val="clear" w:color="auto" w:fill="auto"/>
            <w:noWrap/>
            <w:tcMar>
              <w:left w:w="28" w:type="dxa"/>
              <w:right w:w="28" w:type="dxa"/>
            </w:tcMar>
            <w:vAlign w:val="bottom"/>
            <w:hideMark/>
          </w:tcPr>
          <w:p w14:paraId="3C86DB1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3.6%</w:t>
            </w:r>
          </w:p>
        </w:tc>
        <w:tc>
          <w:tcPr>
            <w:tcW w:w="1320" w:type="dxa"/>
            <w:shd w:val="clear" w:color="auto" w:fill="auto"/>
            <w:noWrap/>
            <w:tcMar>
              <w:left w:w="28" w:type="dxa"/>
              <w:right w:w="28" w:type="dxa"/>
            </w:tcMar>
            <w:vAlign w:val="bottom"/>
            <w:hideMark/>
          </w:tcPr>
          <w:p w14:paraId="1C8FE63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w:t>
            </w:r>
          </w:p>
        </w:tc>
        <w:tc>
          <w:tcPr>
            <w:tcW w:w="1320" w:type="dxa"/>
            <w:shd w:val="clear" w:color="auto" w:fill="auto"/>
            <w:noWrap/>
            <w:tcMar>
              <w:left w:w="28" w:type="dxa"/>
              <w:right w:w="28" w:type="dxa"/>
            </w:tcMar>
            <w:vAlign w:val="bottom"/>
            <w:hideMark/>
          </w:tcPr>
          <w:p w14:paraId="577F6BD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4.9%</w:t>
            </w:r>
          </w:p>
        </w:tc>
        <w:tc>
          <w:tcPr>
            <w:tcW w:w="1320" w:type="dxa"/>
            <w:shd w:val="clear" w:color="auto" w:fill="auto"/>
            <w:noWrap/>
            <w:tcMar>
              <w:left w:w="28" w:type="dxa"/>
              <w:right w:w="28" w:type="dxa"/>
            </w:tcMar>
            <w:vAlign w:val="bottom"/>
            <w:hideMark/>
          </w:tcPr>
          <w:p w14:paraId="4E585F0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4.4%</w:t>
            </w:r>
          </w:p>
        </w:tc>
      </w:tr>
      <w:tr w:rsidR="00A6628F" w:rsidRPr="00357B0B" w14:paraId="06E0C440" w14:textId="77777777" w:rsidTr="007155F2">
        <w:tc>
          <w:tcPr>
            <w:tcW w:w="2410" w:type="dxa"/>
            <w:shd w:val="clear" w:color="auto" w:fill="auto"/>
            <w:noWrap/>
            <w:tcMar>
              <w:left w:w="28" w:type="dxa"/>
              <w:right w:w="28" w:type="dxa"/>
            </w:tcMar>
            <w:vAlign w:val="bottom"/>
            <w:hideMark/>
          </w:tcPr>
          <w:p w14:paraId="50930BC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418" w:type="dxa"/>
            <w:shd w:val="clear" w:color="auto" w:fill="auto"/>
            <w:noWrap/>
            <w:tcMar>
              <w:left w:w="28" w:type="dxa"/>
              <w:right w:w="28" w:type="dxa"/>
            </w:tcMar>
            <w:vAlign w:val="bottom"/>
            <w:hideMark/>
          </w:tcPr>
          <w:p w14:paraId="3437058B"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412" w:type="dxa"/>
            <w:shd w:val="clear" w:color="auto" w:fill="auto"/>
            <w:noWrap/>
            <w:tcMar>
              <w:left w:w="28" w:type="dxa"/>
              <w:right w:w="28" w:type="dxa"/>
            </w:tcMar>
            <w:vAlign w:val="center"/>
            <w:hideMark/>
          </w:tcPr>
          <w:p w14:paraId="3DDC66D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4B61E234"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052FC328"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145E75FA"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41E32CB8" w14:textId="77777777" w:rsidTr="007155F2">
        <w:tc>
          <w:tcPr>
            <w:tcW w:w="2410" w:type="dxa"/>
            <w:shd w:val="clear" w:color="auto" w:fill="auto"/>
            <w:noWrap/>
            <w:tcMar>
              <w:left w:w="28" w:type="dxa"/>
              <w:right w:w="28" w:type="dxa"/>
            </w:tcMar>
            <w:vAlign w:val="bottom"/>
            <w:hideMark/>
          </w:tcPr>
          <w:p w14:paraId="77D58936"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Number of co-morbidities</w:t>
            </w:r>
          </w:p>
        </w:tc>
        <w:tc>
          <w:tcPr>
            <w:tcW w:w="1418" w:type="dxa"/>
            <w:shd w:val="clear" w:color="auto" w:fill="auto"/>
            <w:noWrap/>
            <w:tcMar>
              <w:left w:w="28" w:type="dxa"/>
              <w:right w:w="28" w:type="dxa"/>
            </w:tcMar>
            <w:vAlign w:val="bottom"/>
            <w:hideMark/>
          </w:tcPr>
          <w:p w14:paraId="55FDE523"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2" w:type="dxa"/>
            <w:shd w:val="clear" w:color="auto" w:fill="auto"/>
            <w:noWrap/>
            <w:tcMar>
              <w:left w:w="28" w:type="dxa"/>
              <w:right w:w="28" w:type="dxa"/>
            </w:tcMar>
            <w:vAlign w:val="center"/>
            <w:hideMark/>
          </w:tcPr>
          <w:p w14:paraId="084C47C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7169A15C"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7C6035FD"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12041696"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7EC111FA" w14:textId="77777777" w:rsidTr="007155F2">
        <w:tc>
          <w:tcPr>
            <w:tcW w:w="2410" w:type="dxa"/>
            <w:shd w:val="clear" w:color="auto" w:fill="auto"/>
            <w:noWrap/>
            <w:tcMar>
              <w:left w:w="28" w:type="dxa"/>
              <w:right w:w="28" w:type="dxa"/>
            </w:tcMar>
            <w:vAlign w:val="bottom"/>
            <w:hideMark/>
          </w:tcPr>
          <w:p w14:paraId="433759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None</w:t>
            </w:r>
          </w:p>
        </w:tc>
        <w:tc>
          <w:tcPr>
            <w:tcW w:w="1418" w:type="dxa"/>
            <w:shd w:val="clear" w:color="auto" w:fill="auto"/>
            <w:noWrap/>
            <w:tcMar>
              <w:left w:w="28" w:type="dxa"/>
              <w:right w:w="28" w:type="dxa"/>
            </w:tcMar>
            <w:vAlign w:val="bottom"/>
            <w:hideMark/>
          </w:tcPr>
          <w:p w14:paraId="3D704D8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29.0%</w:t>
            </w:r>
          </w:p>
        </w:tc>
        <w:tc>
          <w:tcPr>
            <w:tcW w:w="1412" w:type="dxa"/>
            <w:shd w:val="clear" w:color="auto" w:fill="auto"/>
            <w:noWrap/>
            <w:tcMar>
              <w:left w:w="28" w:type="dxa"/>
              <w:right w:w="28" w:type="dxa"/>
            </w:tcMar>
            <w:vAlign w:val="bottom"/>
            <w:hideMark/>
          </w:tcPr>
          <w:p w14:paraId="1859F9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32.1%</w:t>
            </w:r>
          </w:p>
        </w:tc>
        <w:tc>
          <w:tcPr>
            <w:tcW w:w="1320" w:type="dxa"/>
            <w:shd w:val="clear" w:color="auto" w:fill="auto"/>
            <w:noWrap/>
            <w:tcMar>
              <w:left w:w="28" w:type="dxa"/>
              <w:right w:w="28" w:type="dxa"/>
            </w:tcMar>
            <w:vAlign w:val="bottom"/>
            <w:hideMark/>
          </w:tcPr>
          <w:p w14:paraId="4EC465D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27.5%</w:t>
            </w:r>
          </w:p>
        </w:tc>
        <w:tc>
          <w:tcPr>
            <w:tcW w:w="1320" w:type="dxa"/>
            <w:shd w:val="clear" w:color="auto" w:fill="auto"/>
            <w:noWrap/>
            <w:tcMar>
              <w:left w:w="28" w:type="dxa"/>
              <w:right w:w="28" w:type="dxa"/>
            </w:tcMar>
            <w:vAlign w:val="bottom"/>
            <w:hideMark/>
          </w:tcPr>
          <w:p w14:paraId="5F8466A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29.8%</w:t>
            </w:r>
          </w:p>
        </w:tc>
        <w:tc>
          <w:tcPr>
            <w:tcW w:w="1320" w:type="dxa"/>
            <w:shd w:val="clear" w:color="auto" w:fill="auto"/>
            <w:noWrap/>
            <w:tcMar>
              <w:left w:w="28" w:type="dxa"/>
              <w:right w:w="28" w:type="dxa"/>
            </w:tcMar>
            <w:vAlign w:val="bottom"/>
            <w:hideMark/>
          </w:tcPr>
          <w:p w14:paraId="7563550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27.4%</w:t>
            </w:r>
          </w:p>
        </w:tc>
      </w:tr>
      <w:tr w:rsidR="00A6628F" w:rsidRPr="00357B0B" w14:paraId="52AE32D4" w14:textId="77777777" w:rsidTr="007155F2">
        <w:tc>
          <w:tcPr>
            <w:tcW w:w="2410" w:type="dxa"/>
            <w:shd w:val="clear" w:color="auto" w:fill="auto"/>
            <w:noWrap/>
            <w:tcMar>
              <w:left w:w="28" w:type="dxa"/>
              <w:right w:w="28" w:type="dxa"/>
            </w:tcMar>
            <w:vAlign w:val="bottom"/>
            <w:hideMark/>
          </w:tcPr>
          <w:p w14:paraId="4FDBA58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 co-morbidity</w:t>
            </w:r>
          </w:p>
        </w:tc>
        <w:tc>
          <w:tcPr>
            <w:tcW w:w="1418" w:type="dxa"/>
            <w:shd w:val="clear" w:color="auto" w:fill="auto"/>
            <w:noWrap/>
            <w:tcMar>
              <w:left w:w="28" w:type="dxa"/>
              <w:right w:w="28" w:type="dxa"/>
            </w:tcMar>
            <w:vAlign w:val="bottom"/>
            <w:hideMark/>
          </w:tcPr>
          <w:p w14:paraId="3869C95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35.0%</w:t>
            </w:r>
          </w:p>
        </w:tc>
        <w:tc>
          <w:tcPr>
            <w:tcW w:w="1412" w:type="dxa"/>
            <w:shd w:val="clear" w:color="auto" w:fill="auto"/>
            <w:noWrap/>
            <w:tcMar>
              <w:left w:w="28" w:type="dxa"/>
              <w:right w:w="28" w:type="dxa"/>
            </w:tcMar>
            <w:vAlign w:val="bottom"/>
            <w:hideMark/>
          </w:tcPr>
          <w:p w14:paraId="4D5DE94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36.8%</w:t>
            </w:r>
          </w:p>
        </w:tc>
        <w:tc>
          <w:tcPr>
            <w:tcW w:w="1320" w:type="dxa"/>
            <w:shd w:val="clear" w:color="auto" w:fill="auto"/>
            <w:noWrap/>
            <w:tcMar>
              <w:left w:w="28" w:type="dxa"/>
              <w:right w:w="28" w:type="dxa"/>
            </w:tcMar>
            <w:vAlign w:val="bottom"/>
            <w:hideMark/>
          </w:tcPr>
          <w:p w14:paraId="26CACDA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34.2%</w:t>
            </w:r>
          </w:p>
        </w:tc>
        <w:tc>
          <w:tcPr>
            <w:tcW w:w="1320" w:type="dxa"/>
            <w:shd w:val="clear" w:color="auto" w:fill="auto"/>
            <w:noWrap/>
            <w:tcMar>
              <w:left w:w="28" w:type="dxa"/>
              <w:right w:w="28" w:type="dxa"/>
            </w:tcMar>
            <w:vAlign w:val="bottom"/>
            <w:hideMark/>
          </w:tcPr>
          <w:p w14:paraId="4D40C52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33.1%</w:t>
            </w:r>
          </w:p>
        </w:tc>
        <w:tc>
          <w:tcPr>
            <w:tcW w:w="1320" w:type="dxa"/>
            <w:shd w:val="clear" w:color="auto" w:fill="auto"/>
            <w:noWrap/>
            <w:tcMar>
              <w:left w:w="28" w:type="dxa"/>
              <w:right w:w="28" w:type="dxa"/>
            </w:tcMar>
            <w:vAlign w:val="bottom"/>
            <w:hideMark/>
          </w:tcPr>
          <w:p w14:paraId="48D9480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35.0%</w:t>
            </w:r>
          </w:p>
        </w:tc>
      </w:tr>
      <w:tr w:rsidR="00A6628F" w:rsidRPr="00357B0B" w14:paraId="53E21056" w14:textId="77777777" w:rsidTr="007155F2">
        <w:tc>
          <w:tcPr>
            <w:tcW w:w="2410" w:type="dxa"/>
            <w:shd w:val="clear" w:color="auto" w:fill="auto"/>
            <w:noWrap/>
            <w:tcMar>
              <w:left w:w="28" w:type="dxa"/>
              <w:right w:w="28" w:type="dxa"/>
            </w:tcMar>
            <w:vAlign w:val="bottom"/>
            <w:hideMark/>
          </w:tcPr>
          <w:p w14:paraId="7FE0BE8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 co-morbidities</w:t>
            </w:r>
          </w:p>
        </w:tc>
        <w:tc>
          <w:tcPr>
            <w:tcW w:w="1418" w:type="dxa"/>
            <w:shd w:val="clear" w:color="auto" w:fill="auto"/>
            <w:noWrap/>
            <w:tcMar>
              <w:left w:w="28" w:type="dxa"/>
              <w:right w:w="28" w:type="dxa"/>
            </w:tcMar>
            <w:vAlign w:val="bottom"/>
            <w:hideMark/>
          </w:tcPr>
          <w:p w14:paraId="6BF99D1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20.0%</w:t>
            </w:r>
          </w:p>
        </w:tc>
        <w:tc>
          <w:tcPr>
            <w:tcW w:w="1412" w:type="dxa"/>
            <w:shd w:val="clear" w:color="auto" w:fill="auto"/>
            <w:noWrap/>
            <w:tcMar>
              <w:left w:w="28" w:type="dxa"/>
              <w:right w:w="28" w:type="dxa"/>
            </w:tcMar>
            <w:vAlign w:val="bottom"/>
            <w:hideMark/>
          </w:tcPr>
          <w:p w14:paraId="620BDAE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18.5%</w:t>
            </w:r>
          </w:p>
        </w:tc>
        <w:tc>
          <w:tcPr>
            <w:tcW w:w="1320" w:type="dxa"/>
            <w:shd w:val="clear" w:color="auto" w:fill="auto"/>
            <w:noWrap/>
            <w:tcMar>
              <w:left w:w="28" w:type="dxa"/>
              <w:right w:w="28" w:type="dxa"/>
            </w:tcMar>
            <w:vAlign w:val="bottom"/>
            <w:hideMark/>
          </w:tcPr>
          <w:p w14:paraId="7BDA03F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20.7%</w:t>
            </w:r>
          </w:p>
        </w:tc>
        <w:tc>
          <w:tcPr>
            <w:tcW w:w="1320" w:type="dxa"/>
            <w:shd w:val="clear" w:color="auto" w:fill="auto"/>
            <w:noWrap/>
            <w:tcMar>
              <w:left w:w="28" w:type="dxa"/>
              <w:right w:w="28" w:type="dxa"/>
            </w:tcMar>
            <w:vAlign w:val="bottom"/>
            <w:hideMark/>
          </w:tcPr>
          <w:p w14:paraId="75D72D7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19.8%</w:t>
            </w:r>
          </w:p>
        </w:tc>
        <w:tc>
          <w:tcPr>
            <w:tcW w:w="1320" w:type="dxa"/>
            <w:shd w:val="clear" w:color="auto" w:fill="auto"/>
            <w:noWrap/>
            <w:tcMar>
              <w:left w:w="28" w:type="dxa"/>
              <w:right w:w="28" w:type="dxa"/>
            </w:tcMar>
            <w:vAlign w:val="bottom"/>
            <w:hideMark/>
          </w:tcPr>
          <w:p w14:paraId="5AF714B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21.1%</w:t>
            </w:r>
          </w:p>
        </w:tc>
      </w:tr>
      <w:tr w:rsidR="00A6628F" w:rsidRPr="00357B0B" w14:paraId="17852553" w14:textId="77777777" w:rsidTr="007155F2">
        <w:tc>
          <w:tcPr>
            <w:tcW w:w="2410" w:type="dxa"/>
            <w:shd w:val="clear" w:color="auto" w:fill="auto"/>
            <w:noWrap/>
            <w:tcMar>
              <w:left w:w="28" w:type="dxa"/>
              <w:right w:w="28" w:type="dxa"/>
            </w:tcMar>
            <w:vAlign w:val="bottom"/>
            <w:hideMark/>
          </w:tcPr>
          <w:p w14:paraId="2299900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 co-morbidities</w:t>
            </w:r>
          </w:p>
        </w:tc>
        <w:tc>
          <w:tcPr>
            <w:tcW w:w="1418" w:type="dxa"/>
            <w:shd w:val="clear" w:color="auto" w:fill="auto"/>
            <w:noWrap/>
            <w:tcMar>
              <w:left w:w="28" w:type="dxa"/>
              <w:right w:w="28" w:type="dxa"/>
            </w:tcMar>
            <w:vAlign w:val="bottom"/>
            <w:hideMark/>
          </w:tcPr>
          <w:p w14:paraId="78364B4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w:t>
            </w:r>
          </w:p>
        </w:tc>
        <w:tc>
          <w:tcPr>
            <w:tcW w:w="1412" w:type="dxa"/>
            <w:shd w:val="clear" w:color="auto" w:fill="auto"/>
            <w:noWrap/>
            <w:tcMar>
              <w:left w:w="28" w:type="dxa"/>
              <w:right w:w="28" w:type="dxa"/>
            </w:tcMar>
            <w:vAlign w:val="bottom"/>
            <w:hideMark/>
          </w:tcPr>
          <w:p w14:paraId="55F1F51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7.2%</w:t>
            </w:r>
          </w:p>
        </w:tc>
        <w:tc>
          <w:tcPr>
            <w:tcW w:w="1320" w:type="dxa"/>
            <w:shd w:val="clear" w:color="auto" w:fill="auto"/>
            <w:noWrap/>
            <w:tcMar>
              <w:left w:w="28" w:type="dxa"/>
              <w:right w:w="28" w:type="dxa"/>
            </w:tcMar>
            <w:vAlign w:val="bottom"/>
            <w:hideMark/>
          </w:tcPr>
          <w:p w14:paraId="3E549CE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9.7%</w:t>
            </w:r>
          </w:p>
        </w:tc>
        <w:tc>
          <w:tcPr>
            <w:tcW w:w="1320" w:type="dxa"/>
            <w:shd w:val="clear" w:color="auto" w:fill="auto"/>
            <w:noWrap/>
            <w:tcMar>
              <w:left w:w="28" w:type="dxa"/>
              <w:right w:w="28" w:type="dxa"/>
            </w:tcMar>
            <w:vAlign w:val="bottom"/>
            <w:hideMark/>
          </w:tcPr>
          <w:p w14:paraId="4F14BF3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9.7%</w:t>
            </w:r>
          </w:p>
        </w:tc>
        <w:tc>
          <w:tcPr>
            <w:tcW w:w="1320" w:type="dxa"/>
            <w:shd w:val="clear" w:color="auto" w:fill="auto"/>
            <w:noWrap/>
            <w:tcMar>
              <w:left w:w="28" w:type="dxa"/>
              <w:right w:w="28" w:type="dxa"/>
            </w:tcMar>
            <w:vAlign w:val="bottom"/>
            <w:hideMark/>
          </w:tcPr>
          <w:p w14:paraId="69F92EC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w:t>
            </w:r>
          </w:p>
        </w:tc>
      </w:tr>
      <w:tr w:rsidR="00A6628F" w:rsidRPr="00357B0B" w14:paraId="739758E0" w14:textId="77777777" w:rsidTr="007155F2">
        <w:tc>
          <w:tcPr>
            <w:tcW w:w="2410" w:type="dxa"/>
            <w:shd w:val="clear" w:color="auto" w:fill="auto"/>
            <w:noWrap/>
            <w:tcMar>
              <w:left w:w="28" w:type="dxa"/>
              <w:right w:w="28" w:type="dxa"/>
            </w:tcMar>
            <w:vAlign w:val="bottom"/>
            <w:hideMark/>
          </w:tcPr>
          <w:p w14:paraId="69F5932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 or more co-morbidities</w:t>
            </w:r>
          </w:p>
        </w:tc>
        <w:tc>
          <w:tcPr>
            <w:tcW w:w="1418" w:type="dxa"/>
            <w:shd w:val="clear" w:color="auto" w:fill="auto"/>
            <w:noWrap/>
            <w:tcMar>
              <w:left w:w="28" w:type="dxa"/>
              <w:right w:w="28" w:type="dxa"/>
            </w:tcMar>
            <w:vAlign w:val="bottom"/>
            <w:hideMark/>
          </w:tcPr>
          <w:p w14:paraId="0D1A38C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7.2%</w:t>
            </w:r>
          </w:p>
        </w:tc>
        <w:tc>
          <w:tcPr>
            <w:tcW w:w="1412" w:type="dxa"/>
            <w:shd w:val="clear" w:color="auto" w:fill="auto"/>
            <w:noWrap/>
            <w:tcMar>
              <w:left w:w="28" w:type="dxa"/>
              <w:right w:w="28" w:type="dxa"/>
            </w:tcMar>
            <w:vAlign w:val="bottom"/>
            <w:hideMark/>
          </w:tcPr>
          <w:p w14:paraId="41FFD6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5.4%</w:t>
            </w:r>
          </w:p>
        </w:tc>
        <w:tc>
          <w:tcPr>
            <w:tcW w:w="1320" w:type="dxa"/>
            <w:shd w:val="clear" w:color="auto" w:fill="auto"/>
            <w:noWrap/>
            <w:tcMar>
              <w:left w:w="28" w:type="dxa"/>
              <w:right w:w="28" w:type="dxa"/>
            </w:tcMar>
            <w:vAlign w:val="bottom"/>
            <w:hideMark/>
          </w:tcPr>
          <w:p w14:paraId="0ED3A6B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w:t>
            </w:r>
          </w:p>
        </w:tc>
        <w:tc>
          <w:tcPr>
            <w:tcW w:w="1320" w:type="dxa"/>
            <w:shd w:val="clear" w:color="auto" w:fill="auto"/>
            <w:noWrap/>
            <w:tcMar>
              <w:left w:w="28" w:type="dxa"/>
              <w:right w:w="28" w:type="dxa"/>
            </w:tcMar>
            <w:vAlign w:val="bottom"/>
            <w:hideMark/>
          </w:tcPr>
          <w:p w14:paraId="68AE99C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7.6%</w:t>
            </w:r>
          </w:p>
        </w:tc>
        <w:tc>
          <w:tcPr>
            <w:tcW w:w="1320" w:type="dxa"/>
            <w:shd w:val="clear" w:color="auto" w:fill="auto"/>
            <w:noWrap/>
            <w:tcMar>
              <w:left w:w="28" w:type="dxa"/>
              <w:right w:w="28" w:type="dxa"/>
            </w:tcMar>
            <w:vAlign w:val="bottom"/>
            <w:hideMark/>
          </w:tcPr>
          <w:p w14:paraId="0D4D8FE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w:t>
            </w:r>
          </w:p>
        </w:tc>
      </w:tr>
      <w:tr w:rsidR="00A6628F" w:rsidRPr="00357B0B" w14:paraId="03D17B05" w14:textId="77777777" w:rsidTr="007155F2">
        <w:tc>
          <w:tcPr>
            <w:tcW w:w="2410" w:type="dxa"/>
            <w:shd w:val="clear" w:color="auto" w:fill="auto"/>
            <w:noWrap/>
            <w:tcMar>
              <w:left w:w="28" w:type="dxa"/>
              <w:right w:w="28" w:type="dxa"/>
            </w:tcMar>
            <w:vAlign w:val="bottom"/>
            <w:hideMark/>
          </w:tcPr>
          <w:p w14:paraId="10398B2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418" w:type="dxa"/>
            <w:shd w:val="clear" w:color="auto" w:fill="auto"/>
            <w:noWrap/>
            <w:tcMar>
              <w:left w:w="28" w:type="dxa"/>
              <w:right w:w="28" w:type="dxa"/>
            </w:tcMar>
            <w:vAlign w:val="bottom"/>
            <w:hideMark/>
          </w:tcPr>
          <w:p w14:paraId="0A9C21BA"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412" w:type="dxa"/>
            <w:shd w:val="clear" w:color="auto" w:fill="auto"/>
            <w:noWrap/>
            <w:tcMar>
              <w:left w:w="28" w:type="dxa"/>
              <w:right w:w="28" w:type="dxa"/>
            </w:tcMar>
            <w:vAlign w:val="center"/>
            <w:hideMark/>
          </w:tcPr>
          <w:p w14:paraId="22C685C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35071FC0"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6D59D746"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2AA4800F"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62B2B18A" w14:textId="77777777" w:rsidTr="007155F2">
        <w:tc>
          <w:tcPr>
            <w:tcW w:w="2410" w:type="dxa"/>
            <w:shd w:val="clear" w:color="auto" w:fill="auto"/>
            <w:noWrap/>
            <w:tcMar>
              <w:left w:w="28" w:type="dxa"/>
              <w:right w:w="28" w:type="dxa"/>
            </w:tcMar>
            <w:vAlign w:val="bottom"/>
            <w:hideMark/>
          </w:tcPr>
          <w:p w14:paraId="166931CE"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Body Mass Index (BMI)</w:t>
            </w:r>
          </w:p>
        </w:tc>
        <w:tc>
          <w:tcPr>
            <w:tcW w:w="1418" w:type="dxa"/>
            <w:shd w:val="clear" w:color="auto" w:fill="auto"/>
            <w:noWrap/>
            <w:tcMar>
              <w:left w:w="28" w:type="dxa"/>
              <w:right w:w="28" w:type="dxa"/>
            </w:tcMar>
            <w:vAlign w:val="bottom"/>
            <w:hideMark/>
          </w:tcPr>
          <w:p w14:paraId="5CA86E25"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412" w:type="dxa"/>
            <w:shd w:val="clear" w:color="auto" w:fill="auto"/>
            <w:noWrap/>
            <w:tcMar>
              <w:left w:w="28" w:type="dxa"/>
              <w:right w:w="28" w:type="dxa"/>
            </w:tcMar>
            <w:vAlign w:val="center"/>
            <w:hideMark/>
          </w:tcPr>
          <w:p w14:paraId="4496782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320" w:type="dxa"/>
            <w:shd w:val="clear" w:color="auto" w:fill="auto"/>
            <w:noWrap/>
            <w:tcMar>
              <w:left w:w="28" w:type="dxa"/>
              <w:right w:w="28" w:type="dxa"/>
            </w:tcMar>
            <w:vAlign w:val="center"/>
            <w:hideMark/>
          </w:tcPr>
          <w:p w14:paraId="5B8B5909"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320" w:type="dxa"/>
            <w:shd w:val="clear" w:color="auto" w:fill="auto"/>
            <w:noWrap/>
            <w:tcMar>
              <w:left w:w="28" w:type="dxa"/>
              <w:right w:w="28" w:type="dxa"/>
            </w:tcMar>
            <w:vAlign w:val="center"/>
            <w:hideMark/>
          </w:tcPr>
          <w:p w14:paraId="0BE3A050" w14:textId="77777777" w:rsidR="00A6628F" w:rsidRPr="00357B0B" w:rsidRDefault="00A6628F" w:rsidP="007155F2">
            <w:pPr>
              <w:spacing w:line="240" w:lineRule="auto"/>
              <w:jc w:val="left"/>
              <w:rPr>
                <w:rFonts w:eastAsia="Times New Roman" w:cs="Arial"/>
                <w:sz w:val="18"/>
                <w:szCs w:val="18"/>
                <w:lang w:eastAsia="en-GB"/>
              </w:rPr>
            </w:pPr>
          </w:p>
        </w:tc>
        <w:tc>
          <w:tcPr>
            <w:tcW w:w="1320" w:type="dxa"/>
            <w:shd w:val="clear" w:color="auto" w:fill="auto"/>
            <w:noWrap/>
            <w:tcMar>
              <w:left w:w="28" w:type="dxa"/>
              <w:right w:w="28" w:type="dxa"/>
            </w:tcMar>
            <w:vAlign w:val="center"/>
            <w:hideMark/>
          </w:tcPr>
          <w:p w14:paraId="3689E213"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7C63D0BC" w14:textId="77777777" w:rsidTr="007155F2">
        <w:tc>
          <w:tcPr>
            <w:tcW w:w="2410" w:type="dxa"/>
            <w:shd w:val="clear" w:color="auto" w:fill="auto"/>
            <w:noWrap/>
            <w:tcMar>
              <w:left w:w="28" w:type="dxa"/>
              <w:right w:w="28" w:type="dxa"/>
            </w:tcMar>
            <w:vAlign w:val="bottom"/>
            <w:hideMark/>
          </w:tcPr>
          <w:p w14:paraId="7C51F5A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Under/healthy weight (&lt;25)</w:t>
            </w:r>
          </w:p>
        </w:tc>
        <w:tc>
          <w:tcPr>
            <w:tcW w:w="1418" w:type="dxa"/>
            <w:shd w:val="clear" w:color="auto" w:fill="auto"/>
            <w:noWrap/>
            <w:tcMar>
              <w:left w:w="28" w:type="dxa"/>
              <w:right w:w="28" w:type="dxa"/>
            </w:tcMar>
            <w:vAlign w:val="bottom"/>
            <w:hideMark/>
          </w:tcPr>
          <w:p w14:paraId="6F496DB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31.1%</w:t>
            </w:r>
          </w:p>
        </w:tc>
        <w:tc>
          <w:tcPr>
            <w:tcW w:w="1412" w:type="dxa"/>
            <w:shd w:val="clear" w:color="auto" w:fill="auto"/>
            <w:noWrap/>
            <w:tcMar>
              <w:left w:w="28" w:type="dxa"/>
              <w:right w:w="28" w:type="dxa"/>
            </w:tcMar>
            <w:vAlign w:val="bottom"/>
            <w:hideMark/>
          </w:tcPr>
          <w:p w14:paraId="6F03F1D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32.1%</w:t>
            </w:r>
          </w:p>
        </w:tc>
        <w:tc>
          <w:tcPr>
            <w:tcW w:w="1320" w:type="dxa"/>
            <w:shd w:val="clear" w:color="auto" w:fill="auto"/>
            <w:noWrap/>
            <w:tcMar>
              <w:left w:w="28" w:type="dxa"/>
              <w:right w:w="28" w:type="dxa"/>
            </w:tcMar>
            <w:vAlign w:val="bottom"/>
            <w:hideMark/>
          </w:tcPr>
          <w:p w14:paraId="056244B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30.5%</w:t>
            </w:r>
          </w:p>
        </w:tc>
        <w:tc>
          <w:tcPr>
            <w:tcW w:w="1320" w:type="dxa"/>
            <w:shd w:val="clear" w:color="auto" w:fill="auto"/>
            <w:noWrap/>
            <w:tcMar>
              <w:left w:w="28" w:type="dxa"/>
              <w:right w:w="28" w:type="dxa"/>
            </w:tcMar>
            <w:vAlign w:val="bottom"/>
            <w:hideMark/>
          </w:tcPr>
          <w:p w14:paraId="25F1DD9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31.7%</w:t>
            </w:r>
          </w:p>
        </w:tc>
        <w:tc>
          <w:tcPr>
            <w:tcW w:w="1320" w:type="dxa"/>
            <w:shd w:val="clear" w:color="auto" w:fill="auto"/>
            <w:noWrap/>
            <w:tcMar>
              <w:left w:w="28" w:type="dxa"/>
              <w:right w:w="28" w:type="dxa"/>
            </w:tcMar>
            <w:vAlign w:val="bottom"/>
            <w:hideMark/>
          </w:tcPr>
          <w:p w14:paraId="4ACED8E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32.6%</w:t>
            </w:r>
          </w:p>
        </w:tc>
      </w:tr>
      <w:tr w:rsidR="00A6628F" w:rsidRPr="00357B0B" w14:paraId="74C61027" w14:textId="77777777" w:rsidTr="007155F2">
        <w:tc>
          <w:tcPr>
            <w:tcW w:w="2410" w:type="dxa"/>
            <w:shd w:val="clear" w:color="auto" w:fill="auto"/>
            <w:noWrap/>
            <w:tcMar>
              <w:left w:w="28" w:type="dxa"/>
              <w:right w:w="28" w:type="dxa"/>
            </w:tcMar>
            <w:vAlign w:val="bottom"/>
            <w:hideMark/>
          </w:tcPr>
          <w:p w14:paraId="1C4BACB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Overweight (25-30)</w:t>
            </w:r>
          </w:p>
        </w:tc>
        <w:tc>
          <w:tcPr>
            <w:tcW w:w="1418" w:type="dxa"/>
            <w:shd w:val="clear" w:color="auto" w:fill="auto"/>
            <w:noWrap/>
            <w:tcMar>
              <w:left w:w="28" w:type="dxa"/>
              <w:right w:w="28" w:type="dxa"/>
            </w:tcMar>
            <w:vAlign w:val="bottom"/>
            <w:hideMark/>
          </w:tcPr>
          <w:p w14:paraId="1E2CC77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47.8%</w:t>
            </w:r>
          </w:p>
        </w:tc>
        <w:tc>
          <w:tcPr>
            <w:tcW w:w="1412" w:type="dxa"/>
            <w:shd w:val="clear" w:color="auto" w:fill="auto"/>
            <w:noWrap/>
            <w:tcMar>
              <w:left w:w="28" w:type="dxa"/>
              <w:right w:w="28" w:type="dxa"/>
            </w:tcMar>
            <w:vAlign w:val="bottom"/>
            <w:hideMark/>
          </w:tcPr>
          <w:p w14:paraId="36ECC67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48.8%</w:t>
            </w:r>
          </w:p>
        </w:tc>
        <w:tc>
          <w:tcPr>
            <w:tcW w:w="1320" w:type="dxa"/>
            <w:shd w:val="clear" w:color="auto" w:fill="auto"/>
            <w:noWrap/>
            <w:tcMar>
              <w:left w:w="28" w:type="dxa"/>
              <w:right w:w="28" w:type="dxa"/>
            </w:tcMar>
            <w:vAlign w:val="bottom"/>
            <w:hideMark/>
          </w:tcPr>
          <w:p w14:paraId="3485CF5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47.5%</w:t>
            </w:r>
          </w:p>
        </w:tc>
        <w:tc>
          <w:tcPr>
            <w:tcW w:w="1320" w:type="dxa"/>
            <w:shd w:val="clear" w:color="auto" w:fill="auto"/>
            <w:noWrap/>
            <w:tcMar>
              <w:left w:w="28" w:type="dxa"/>
              <w:right w:w="28" w:type="dxa"/>
            </w:tcMar>
            <w:vAlign w:val="bottom"/>
            <w:hideMark/>
          </w:tcPr>
          <w:p w14:paraId="0C6F305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46.7%</w:t>
            </w:r>
          </w:p>
        </w:tc>
        <w:tc>
          <w:tcPr>
            <w:tcW w:w="1320" w:type="dxa"/>
            <w:shd w:val="clear" w:color="auto" w:fill="auto"/>
            <w:noWrap/>
            <w:tcMar>
              <w:left w:w="28" w:type="dxa"/>
              <w:right w:w="28" w:type="dxa"/>
            </w:tcMar>
            <w:vAlign w:val="bottom"/>
            <w:hideMark/>
          </w:tcPr>
          <w:p w14:paraId="209E523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46.5%</w:t>
            </w:r>
          </w:p>
        </w:tc>
      </w:tr>
      <w:tr w:rsidR="00A6628F" w:rsidRPr="00357B0B" w14:paraId="21E02CC8" w14:textId="77777777" w:rsidTr="007155F2">
        <w:tc>
          <w:tcPr>
            <w:tcW w:w="2410" w:type="dxa"/>
            <w:shd w:val="clear" w:color="auto" w:fill="auto"/>
            <w:noWrap/>
            <w:tcMar>
              <w:left w:w="28" w:type="dxa"/>
              <w:right w:w="28" w:type="dxa"/>
            </w:tcMar>
            <w:vAlign w:val="bottom"/>
            <w:hideMark/>
          </w:tcPr>
          <w:p w14:paraId="6D669D2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Obese (30+)</w:t>
            </w:r>
          </w:p>
        </w:tc>
        <w:tc>
          <w:tcPr>
            <w:tcW w:w="1418" w:type="dxa"/>
            <w:shd w:val="clear" w:color="auto" w:fill="auto"/>
            <w:noWrap/>
            <w:tcMar>
              <w:left w:w="28" w:type="dxa"/>
              <w:right w:w="28" w:type="dxa"/>
            </w:tcMar>
            <w:vAlign w:val="bottom"/>
            <w:hideMark/>
          </w:tcPr>
          <w:p w14:paraId="14A6E9A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21.0%</w:t>
            </w:r>
          </w:p>
        </w:tc>
        <w:tc>
          <w:tcPr>
            <w:tcW w:w="1412" w:type="dxa"/>
            <w:shd w:val="clear" w:color="auto" w:fill="auto"/>
            <w:noWrap/>
            <w:tcMar>
              <w:left w:w="28" w:type="dxa"/>
              <w:right w:w="28" w:type="dxa"/>
            </w:tcMar>
            <w:vAlign w:val="bottom"/>
            <w:hideMark/>
          </w:tcPr>
          <w:p w14:paraId="625EB6C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19.1%</w:t>
            </w:r>
          </w:p>
        </w:tc>
        <w:tc>
          <w:tcPr>
            <w:tcW w:w="1320" w:type="dxa"/>
            <w:shd w:val="clear" w:color="auto" w:fill="auto"/>
            <w:noWrap/>
            <w:tcMar>
              <w:left w:w="28" w:type="dxa"/>
              <w:right w:w="28" w:type="dxa"/>
            </w:tcMar>
            <w:vAlign w:val="bottom"/>
            <w:hideMark/>
          </w:tcPr>
          <w:p w14:paraId="669808C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22.0%</w:t>
            </w:r>
          </w:p>
        </w:tc>
        <w:tc>
          <w:tcPr>
            <w:tcW w:w="1320" w:type="dxa"/>
            <w:shd w:val="clear" w:color="auto" w:fill="auto"/>
            <w:noWrap/>
            <w:tcMar>
              <w:left w:w="28" w:type="dxa"/>
              <w:right w:w="28" w:type="dxa"/>
            </w:tcMar>
            <w:vAlign w:val="bottom"/>
            <w:hideMark/>
          </w:tcPr>
          <w:p w14:paraId="719685F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21.5%</w:t>
            </w:r>
          </w:p>
        </w:tc>
        <w:tc>
          <w:tcPr>
            <w:tcW w:w="1320" w:type="dxa"/>
            <w:shd w:val="clear" w:color="auto" w:fill="auto"/>
            <w:noWrap/>
            <w:tcMar>
              <w:left w:w="28" w:type="dxa"/>
              <w:right w:w="28" w:type="dxa"/>
            </w:tcMar>
            <w:vAlign w:val="bottom"/>
            <w:hideMark/>
          </w:tcPr>
          <w:p w14:paraId="369F8C8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20.9%</w:t>
            </w:r>
          </w:p>
        </w:tc>
      </w:tr>
    </w:tbl>
    <w:p w14:paraId="3022BE89" w14:textId="77777777" w:rsidR="00A6628F" w:rsidRDefault="00A6628F" w:rsidP="00A6628F">
      <w:pPr>
        <w:rPr>
          <w:lang w:val="en-US" w:bidi="en-US"/>
        </w:rPr>
      </w:pPr>
    </w:p>
    <w:p w14:paraId="3FF46B5B" w14:textId="77777777" w:rsidR="00A6628F" w:rsidRDefault="00A6628F" w:rsidP="00A6628F">
      <w:pPr>
        <w:rPr>
          <w:lang w:val="en-US" w:bidi="en-US"/>
        </w:rPr>
      </w:pPr>
    </w:p>
    <w:p w14:paraId="1EC756E1" w14:textId="77777777" w:rsidR="00A6628F" w:rsidRDefault="00A6628F" w:rsidP="00A6628F">
      <w:pPr>
        <w:rPr>
          <w:lang w:val="en-US" w:bidi="en-US"/>
        </w:rPr>
        <w:sectPr w:rsidR="00A6628F">
          <w:pgSz w:w="11906" w:h="16838"/>
          <w:pgMar w:top="1440" w:right="1440" w:bottom="1440" w:left="1440" w:header="708" w:footer="708" w:gutter="0"/>
          <w:cols w:space="708"/>
          <w:docGrid w:linePitch="360"/>
        </w:sectPr>
      </w:pPr>
    </w:p>
    <w:p w14:paraId="605CC0E4" w14:textId="77777777" w:rsidR="00A6628F" w:rsidRDefault="00A6628F" w:rsidP="00A6628F">
      <w:pPr>
        <w:pStyle w:val="Heading3"/>
      </w:pPr>
      <w:r w:rsidRPr="00793687">
        <w:lastRenderedPageBreak/>
        <w:t>Table S</w:t>
      </w:r>
      <w:r>
        <w:t>3</w:t>
      </w:r>
      <w:r w:rsidRPr="00793687">
        <w:t xml:space="preserve">: Unadjusted responses to individual </w:t>
      </w:r>
      <w:r w:rsidRPr="00357B0B">
        <w:t>items</w:t>
      </w:r>
      <w:r w:rsidRPr="00793687">
        <w:t xml:space="preserve"> from the EPIC-26 question set by method of presentation</w:t>
      </w:r>
    </w:p>
    <w:p w14:paraId="6160CBC9" w14:textId="77777777" w:rsidR="00A6628F" w:rsidRPr="00357B0B" w:rsidRDefault="00A6628F" w:rsidP="00A6628F">
      <w:pPr>
        <w:pStyle w:val="NoSpacing"/>
      </w:pPr>
    </w:p>
    <w:tbl>
      <w:tblPr>
        <w:tblW w:w="14180" w:type="dxa"/>
        <w:tblLook w:val="04A0" w:firstRow="1" w:lastRow="0" w:firstColumn="1" w:lastColumn="0" w:noHBand="0" w:noVBand="1"/>
      </w:tblPr>
      <w:tblGrid>
        <w:gridCol w:w="7040"/>
        <w:gridCol w:w="2817"/>
        <w:gridCol w:w="2817"/>
        <w:gridCol w:w="1506"/>
      </w:tblGrid>
      <w:tr w:rsidR="00A6628F" w:rsidRPr="00357B0B" w14:paraId="2CF96E34" w14:textId="77777777" w:rsidTr="007155F2">
        <w:trPr>
          <w:trHeight w:val="255"/>
        </w:trPr>
        <w:tc>
          <w:tcPr>
            <w:tcW w:w="7040" w:type="dxa"/>
            <w:vMerge w:val="restart"/>
            <w:tcBorders>
              <w:top w:val="single" w:sz="4" w:space="0" w:color="auto"/>
              <w:left w:val="single" w:sz="4" w:space="0" w:color="auto"/>
              <w:right w:val="single" w:sz="4" w:space="0" w:color="auto"/>
            </w:tcBorders>
            <w:shd w:val="clear" w:color="auto" w:fill="auto"/>
            <w:noWrap/>
            <w:tcMar>
              <w:left w:w="28" w:type="dxa"/>
              <w:right w:w="28" w:type="dxa"/>
            </w:tcMar>
            <w:vAlign w:val="center"/>
            <w:hideMark/>
          </w:tcPr>
          <w:p w14:paraId="5976B981" w14:textId="77777777" w:rsidR="00A6628F" w:rsidRPr="00357B0B" w:rsidRDefault="00A6628F" w:rsidP="007155F2">
            <w:pPr>
              <w:spacing w:line="240" w:lineRule="auto"/>
              <w:jc w:val="left"/>
              <w:rPr>
                <w:rFonts w:eastAsia="Times New Roman" w:cs="Arial"/>
                <w:b/>
                <w:color w:val="000000"/>
                <w:sz w:val="20"/>
                <w:szCs w:val="20"/>
                <w:lang w:eastAsia="en-GB"/>
              </w:rPr>
            </w:pPr>
            <w:r w:rsidRPr="00357B0B">
              <w:rPr>
                <w:rFonts w:eastAsia="Times New Roman" w:cs="Arial"/>
                <w:b/>
                <w:color w:val="000000"/>
                <w:sz w:val="20"/>
                <w:szCs w:val="20"/>
                <w:lang w:eastAsia="en-GB"/>
              </w:rPr>
              <w:t xml:space="preserve">EPIC-26 item </w:t>
            </w:r>
          </w:p>
        </w:tc>
        <w:tc>
          <w:tcPr>
            <w:tcW w:w="7140" w:type="dxa"/>
            <w:gridSpan w:val="3"/>
            <w:tcBorders>
              <w:top w:val="single" w:sz="4" w:space="0" w:color="auto"/>
              <w:left w:val="nil"/>
              <w:bottom w:val="single" w:sz="4" w:space="0" w:color="auto"/>
              <w:right w:val="single" w:sz="4" w:space="0" w:color="auto"/>
            </w:tcBorders>
            <w:shd w:val="clear" w:color="auto" w:fill="auto"/>
            <w:noWrap/>
            <w:tcMar>
              <w:left w:w="28" w:type="dxa"/>
              <w:right w:w="28" w:type="dxa"/>
            </w:tcMar>
            <w:vAlign w:val="bottom"/>
            <w:hideMark/>
          </w:tcPr>
          <w:p w14:paraId="3AB781C0" w14:textId="77777777" w:rsidR="00A6628F" w:rsidRPr="00357B0B" w:rsidRDefault="00A6628F" w:rsidP="007155F2">
            <w:pPr>
              <w:spacing w:line="240" w:lineRule="auto"/>
              <w:jc w:val="left"/>
              <w:rPr>
                <w:rFonts w:eastAsia="Times New Roman" w:cs="Arial"/>
                <w:b/>
                <w:bCs/>
                <w:color w:val="000000"/>
                <w:sz w:val="20"/>
                <w:szCs w:val="20"/>
                <w:lang w:eastAsia="en-GB"/>
              </w:rPr>
            </w:pPr>
            <w:r w:rsidRPr="00357B0B">
              <w:rPr>
                <w:rFonts w:eastAsia="Times New Roman" w:cs="Arial"/>
                <w:b/>
                <w:bCs/>
                <w:color w:val="000000"/>
                <w:sz w:val="20"/>
                <w:szCs w:val="20"/>
                <w:lang w:eastAsia="en-GB"/>
              </w:rPr>
              <w:t>Proportion reporting problems on each EPIC-26 question (95% CI)</w:t>
            </w:r>
          </w:p>
        </w:tc>
      </w:tr>
      <w:tr w:rsidR="00A6628F" w:rsidRPr="00357B0B" w14:paraId="5F096CA6" w14:textId="77777777" w:rsidTr="007155F2">
        <w:trPr>
          <w:trHeight w:val="255"/>
        </w:trPr>
        <w:tc>
          <w:tcPr>
            <w:tcW w:w="7040" w:type="dxa"/>
            <w:vMerge/>
            <w:tcBorders>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805975B" w14:textId="77777777" w:rsidR="00A6628F" w:rsidRPr="00357B0B" w:rsidRDefault="00A6628F" w:rsidP="007155F2">
            <w:pPr>
              <w:spacing w:line="240" w:lineRule="auto"/>
              <w:jc w:val="left"/>
              <w:rPr>
                <w:rFonts w:eastAsia="Times New Roman" w:cs="Arial"/>
                <w:color w:val="000000"/>
                <w:sz w:val="20"/>
                <w:szCs w:val="20"/>
                <w:lang w:eastAsia="en-GB"/>
              </w:rPr>
            </w:pP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98C6F6E" w14:textId="77777777" w:rsidR="00A6628F" w:rsidRPr="00357B0B" w:rsidRDefault="00A6628F" w:rsidP="007155F2">
            <w:pPr>
              <w:spacing w:line="240" w:lineRule="auto"/>
              <w:jc w:val="left"/>
              <w:rPr>
                <w:rFonts w:eastAsia="Times New Roman" w:cs="Arial"/>
                <w:b/>
                <w:color w:val="000000"/>
                <w:sz w:val="20"/>
                <w:szCs w:val="20"/>
                <w:lang w:eastAsia="en-GB"/>
              </w:rPr>
            </w:pPr>
            <w:r w:rsidRPr="00357B0B">
              <w:rPr>
                <w:rFonts w:eastAsia="Times New Roman" w:cs="Arial"/>
                <w:b/>
                <w:color w:val="000000"/>
                <w:sz w:val="20"/>
                <w:szCs w:val="20"/>
                <w:lang w:eastAsia="en-GB"/>
              </w:rPr>
              <w:t>PSA-detected (n=11,210)</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B9B7BB1" w14:textId="77777777" w:rsidR="00A6628F" w:rsidRPr="00357B0B" w:rsidRDefault="00A6628F" w:rsidP="007155F2">
            <w:pPr>
              <w:spacing w:line="240" w:lineRule="auto"/>
              <w:jc w:val="left"/>
              <w:rPr>
                <w:rFonts w:eastAsia="Times New Roman" w:cs="Arial"/>
                <w:b/>
                <w:color w:val="000000"/>
                <w:sz w:val="20"/>
                <w:szCs w:val="20"/>
                <w:lang w:eastAsia="en-GB"/>
              </w:rPr>
            </w:pPr>
            <w:r w:rsidRPr="00357B0B">
              <w:rPr>
                <w:rFonts w:eastAsia="Times New Roman" w:cs="Arial"/>
                <w:b/>
                <w:color w:val="000000"/>
                <w:sz w:val="20"/>
                <w:szCs w:val="20"/>
                <w:lang w:eastAsia="en-GB"/>
              </w:rPr>
              <w:t>Symptomatic (n=21,378)</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E52000" w14:textId="77777777" w:rsidR="00A6628F" w:rsidRPr="00357B0B" w:rsidRDefault="00A6628F" w:rsidP="007155F2">
            <w:pPr>
              <w:spacing w:line="240" w:lineRule="auto"/>
              <w:jc w:val="left"/>
              <w:rPr>
                <w:rFonts w:eastAsia="Times New Roman" w:cs="Arial"/>
                <w:b/>
                <w:color w:val="000000"/>
                <w:sz w:val="20"/>
                <w:szCs w:val="20"/>
                <w:lang w:eastAsia="en-GB"/>
              </w:rPr>
            </w:pPr>
            <w:r w:rsidRPr="00357B0B">
              <w:rPr>
                <w:rFonts w:eastAsia="Times New Roman" w:cs="Arial"/>
                <w:b/>
                <w:color w:val="000000"/>
                <w:sz w:val="20"/>
                <w:szCs w:val="20"/>
                <w:lang w:eastAsia="en-GB"/>
              </w:rPr>
              <w:t xml:space="preserve">p-value </w:t>
            </w:r>
            <w:r w:rsidRPr="00357B0B">
              <w:rPr>
                <w:rFonts w:eastAsia="Times New Roman" w:cs="Arial"/>
                <w:b/>
                <w:color w:val="000000"/>
                <w:sz w:val="20"/>
                <w:szCs w:val="20"/>
                <w:vertAlign w:val="superscript"/>
                <w:lang w:eastAsia="en-GB"/>
              </w:rPr>
              <w:t>a</w:t>
            </w:r>
          </w:p>
        </w:tc>
      </w:tr>
      <w:tr w:rsidR="00A6628F" w:rsidRPr="00357B0B" w14:paraId="6F6FA583"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79A158B"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Leaked urine daily (or more)</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3924ED"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11.0% (10.4% - 11.6%)</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4A711D"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14.3% (13.8% - 14.8%)</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6E23748"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6ED47824"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92D830F"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Frequent dribbling/no urinary control</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209A2A7"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5.7% (5.3% - 6.2%)</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6B1B017"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9.0% (8.6% - 9.4%)</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BD50DF"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311DB2C7"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811E41A"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Pads used for urinary leakage</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68B05C"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11.7% (11.1% - 12.3%)</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427703"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13.8% (13.3% - 14.3%)</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8DC93C5"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5DA889CC"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B603756"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dripping or leaking urine</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537BD2E"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6.0% (5.6% - 6.5%)</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6614682"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9.5% (9.1% - 9.9%)</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DAB6EE"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4C614BE2"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5BB3FF0"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pain or burning on urination</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909216"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2.1% (1.7% - 2.4%)</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411CCD"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3.8% (3.5% - 4.0%)</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0FAB0E7"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2EFE4269"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BA8FF42"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bleeding with urination</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D555EDE"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0.6% (0.4% - 0.7%)</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F2546F6"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1.2% (1.1% - 1.4%)</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201CD1"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78A6A91E"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B4690BB"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weak urine stream or incomplete emptying</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D2B46EE"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8.5% (7.9% - 9.0%)</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04CC8A4"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15.6% (15.1% - 16.1%)</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BA0D8D"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247A3F7B"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CB2EE5E"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need to urinate frequently during the day</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6F5966"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14.2% (13.5% - 14.8%)</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C5824F"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22.9% (22.3% - 23.5%)</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524EBE2"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15E31E76"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0E20743"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urinary function</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A3D43F1"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8.7% (8.2% - 9.3%)</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647402"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15.7% (15.2% - 16.2%)</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7C32EB0"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06EA95B1"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514468B"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urgency to have a bowel movement</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5E32CBF"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7.8% (7.3% - 8.3%)</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7386497"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11.4% (11.0% - 11.9%)</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977E073"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70546788"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07D48CB"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increased frequency of bowel movements</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15E7502"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6.3% (5.8% - 6.7%)</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FBB7882"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8.6% (8.2% - 9.0%)</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60B0891"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51C207B3"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114C9D5"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losing control of bowel movements</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8FF347"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3.7% (3.3% - 4.1%)</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74D138"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5.2% (4.9% - 5.6%)</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8B36CC"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077BC7C8"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BAE44D5"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bloody stools</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7935AF3"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2.8% (2.5% - 3.2%)</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B14DF44"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3.2% (3.0% - 3.5%)</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AC5F604"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0.063</w:t>
            </w:r>
          </w:p>
        </w:tc>
      </w:tr>
      <w:tr w:rsidR="00A6628F" w:rsidRPr="00357B0B" w14:paraId="19EE9A53"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32ABEC58"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abdominal, pelvic, rectal or back passage pain</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896B7A6"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2.8% (2.5% - 3.1%)</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9102051"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6.1% (5.7% - 6.4%)</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B48212"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536B95B5"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1A314F3"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bowel habits</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867B454"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6.1% (5.7% - 6.5%)</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D7DAC57"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10.4% (10.0% - 10.9%)</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9497DCB"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07980FF1"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15B2D19"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Poor ability to have an erection</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DE0AF4"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74.6% (73.8% - 75.4%)</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E56D136"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82.3% (81.8% - 82.9%)</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A4E2A8"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17E780A4"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FA839E9"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Poor ability to reach orgasm</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3C283AD"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67.6% (66.7% - 68.5%)</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8424A34"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78.0% (77.4% - 78.6%)</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2259C3C"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0F2C12A7"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73EDB10"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Erections not firm</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166B33B"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83.8% (83.1% - 84.5%)</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F69DAC"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89.1% (88.6% - 89.5%)</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0BB503"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7A50F964"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8D44CFD"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Erections unreliable</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9A41DA"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80.3% (79.6% - 81.1%)</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FDD2E05"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86.5% (86.0% - 87.0%)</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33B7053"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3DF4764F"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F7C57FC"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Poor ability to function sexually</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480C54"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74.0% (73.2% - 74.8%)</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70DCBAE"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82.1% (81.6% - 82.7%)</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74BB1E5"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5D14F190"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66B7F8D"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sexual function</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5092FAB"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42.3% (41.3% - 43.2%)</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C769F19"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46.1% (45.4% - 46.8%)</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DC22BBE"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4AFB1EFA"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0783FD7A"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hot flushes</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D9FF4D4"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12.8% (12.2% - 13.5%)</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C805C1B"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20.3% (19.7% - 20.9%)</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35A51A6"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6539E174"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1EE03636"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breast tenderness/ enlargement</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8C83D8"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4.3% (3.9% - 4.7%)</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BAAC139"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7.0% (6.6% - 7.3%)</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0C373B0"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7C85815D"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788B1A05"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feeling depressed</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B72394A"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7.4% (6.8% - 7.9%)</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80C8EF2"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11.7% (11.2% - 12.1%)</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54D4A331"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350083F6"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28C0C293"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lack of energy</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5F54990"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16.8% (16.1% - 17.6%)</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2E13C9B8"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27.0% (26.4% - 27.6%)</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82E585B"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r w:rsidR="00A6628F" w:rsidRPr="00357B0B" w14:paraId="53CC720F" w14:textId="77777777" w:rsidTr="007155F2">
        <w:trPr>
          <w:trHeight w:val="255"/>
        </w:trPr>
        <w:tc>
          <w:tcPr>
            <w:tcW w:w="704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FD3333B" w14:textId="77777777" w:rsidR="00A6628F" w:rsidRPr="00357B0B" w:rsidRDefault="00A6628F" w:rsidP="007155F2">
            <w:pPr>
              <w:spacing w:line="240" w:lineRule="auto"/>
              <w:jc w:val="left"/>
              <w:rPr>
                <w:rFonts w:eastAsia="Times New Roman" w:cs="Arial"/>
                <w:bCs/>
                <w:color w:val="000000"/>
                <w:sz w:val="20"/>
                <w:szCs w:val="20"/>
                <w:lang w:eastAsia="en-GB"/>
              </w:rPr>
            </w:pPr>
            <w:r w:rsidRPr="00357B0B">
              <w:rPr>
                <w:rFonts w:eastAsia="Times New Roman" w:cs="Arial"/>
                <w:bCs/>
                <w:color w:val="000000"/>
                <w:sz w:val="20"/>
                <w:szCs w:val="20"/>
                <w:lang w:eastAsia="en-GB"/>
              </w:rPr>
              <w:t>Moderate/big problems with change in body weight</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461477C"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11.3% (10.7% - 11.9%)</w:t>
            </w:r>
          </w:p>
        </w:tc>
        <w:tc>
          <w:tcPr>
            <w:tcW w:w="281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002CFF"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17.1% (16.6% - 17.6%)</w:t>
            </w:r>
          </w:p>
        </w:tc>
        <w:tc>
          <w:tcPr>
            <w:tcW w:w="150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8CB2161" w14:textId="77777777" w:rsidR="00A6628F" w:rsidRPr="00357B0B" w:rsidRDefault="00A6628F" w:rsidP="007155F2">
            <w:pPr>
              <w:spacing w:line="240" w:lineRule="auto"/>
              <w:jc w:val="left"/>
              <w:rPr>
                <w:rFonts w:eastAsia="Times New Roman" w:cs="Arial"/>
                <w:color w:val="000000"/>
                <w:sz w:val="20"/>
                <w:szCs w:val="20"/>
                <w:lang w:eastAsia="en-GB"/>
              </w:rPr>
            </w:pPr>
            <w:r w:rsidRPr="00357B0B">
              <w:rPr>
                <w:rFonts w:eastAsia="Times New Roman" w:cs="Arial"/>
                <w:color w:val="000000"/>
                <w:sz w:val="20"/>
                <w:szCs w:val="20"/>
                <w:lang w:eastAsia="en-GB"/>
              </w:rPr>
              <w:t>&lt;0.001</w:t>
            </w:r>
          </w:p>
        </w:tc>
      </w:tr>
    </w:tbl>
    <w:p w14:paraId="654091E6" w14:textId="77777777" w:rsidR="00A6628F" w:rsidRDefault="00A6628F" w:rsidP="00A6628F">
      <w:pPr>
        <w:spacing w:line="240" w:lineRule="auto"/>
        <w:rPr>
          <w:rFonts w:ascii="Times New Roman" w:hAnsi="Times New Roman" w:cs="Times New Roman"/>
          <w:sz w:val="16"/>
          <w:szCs w:val="16"/>
          <w:lang w:val="en-US" w:bidi="en-US"/>
        </w:rPr>
      </w:pPr>
    </w:p>
    <w:p w14:paraId="792A0655" w14:textId="77777777" w:rsidR="00A6628F" w:rsidRPr="00357B0B" w:rsidRDefault="00A6628F" w:rsidP="00A6628F">
      <w:pPr>
        <w:spacing w:line="240" w:lineRule="auto"/>
        <w:rPr>
          <w:rFonts w:cs="Arial"/>
          <w:sz w:val="16"/>
          <w:szCs w:val="16"/>
          <w:lang w:val="en-US" w:bidi="en-US"/>
        </w:rPr>
      </w:pPr>
      <w:r w:rsidRPr="00357B0B">
        <w:rPr>
          <w:rFonts w:cs="Arial"/>
          <w:sz w:val="16"/>
          <w:szCs w:val="16"/>
          <w:lang w:val="en-US" w:bidi="en-US"/>
        </w:rPr>
        <w:t>Notes:</w:t>
      </w:r>
    </w:p>
    <w:p w14:paraId="5C41ECA7" w14:textId="77777777" w:rsidR="00A6628F" w:rsidRPr="00357B0B" w:rsidRDefault="00A6628F" w:rsidP="00A6628F">
      <w:pPr>
        <w:pStyle w:val="ListParagraph"/>
        <w:numPr>
          <w:ilvl w:val="0"/>
          <w:numId w:val="17"/>
        </w:numPr>
        <w:spacing w:line="240" w:lineRule="auto"/>
        <w:rPr>
          <w:rFonts w:cs="Arial"/>
          <w:sz w:val="16"/>
          <w:szCs w:val="16"/>
          <w:lang w:val="en-US" w:bidi="en-US"/>
        </w:rPr>
      </w:pPr>
      <w:r w:rsidRPr="00357B0B">
        <w:rPr>
          <w:rFonts w:cs="Arial"/>
          <w:sz w:val="16"/>
          <w:szCs w:val="16"/>
          <w:lang w:val="en-US" w:bidi="en-US"/>
        </w:rPr>
        <w:t>The p-value refers to the results of a z-test comparing the proportion reporting problems by method of presentation (symptomatic vs PSA-detected).</w:t>
      </w:r>
    </w:p>
    <w:p w14:paraId="6820B395" w14:textId="77777777" w:rsidR="00A6628F" w:rsidRDefault="00A6628F" w:rsidP="00A6628F">
      <w:pPr>
        <w:spacing w:line="240" w:lineRule="auto"/>
        <w:rPr>
          <w:rFonts w:cs="Arial"/>
          <w:i/>
          <w:sz w:val="16"/>
          <w:szCs w:val="16"/>
        </w:rPr>
      </w:pPr>
      <w:r w:rsidRPr="00357B0B">
        <w:rPr>
          <w:rFonts w:cs="Arial"/>
          <w:sz w:val="16"/>
          <w:szCs w:val="16"/>
          <w:lang w:val="en-US" w:bidi="en-US"/>
        </w:rPr>
        <w:t>CI: Confidence interval</w:t>
      </w:r>
    </w:p>
    <w:p w14:paraId="49965111" w14:textId="77777777" w:rsidR="00A6628F" w:rsidRDefault="00A6628F" w:rsidP="00A6628F">
      <w:pPr>
        <w:spacing w:line="240" w:lineRule="auto"/>
        <w:rPr>
          <w:rFonts w:cs="Arial"/>
          <w:i/>
          <w:sz w:val="16"/>
          <w:szCs w:val="16"/>
        </w:rPr>
        <w:sectPr w:rsidR="00A6628F" w:rsidSect="00650CCA">
          <w:pgSz w:w="16838" w:h="11906" w:orient="landscape"/>
          <w:pgMar w:top="1440" w:right="1440" w:bottom="1440" w:left="1440" w:header="708" w:footer="708" w:gutter="0"/>
          <w:cols w:space="708"/>
          <w:docGrid w:linePitch="360"/>
        </w:sectPr>
      </w:pPr>
    </w:p>
    <w:p w14:paraId="26B0CF45" w14:textId="77777777" w:rsidR="00A6628F" w:rsidRDefault="00A6628F" w:rsidP="00A6628F">
      <w:pPr>
        <w:pStyle w:val="Heading3"/>
      </w:pPr>
      <w:r w:rsidRPr="00354511">
        <w:lastRenderedPageBreak/>
        <w:t>Table S</w:t>
      </w:r>
      <w:r>
        <w:t>4</w:t>
      </w:r>
      <w:r w:rsidRPr="00354511">
        <w:t>: Mean functional outcome scores (EPIC-26) by respondent characteristics and method of presentation</w:t>
      </w:r>
    </w:p>
    <w:p w14:paraId="680C5897" w14:textId="77777777" w:rsidR="00A6628F" w:rsidRPr="00357B0B" w:rsidRDefault="00A6628F" w:rsidP="00A6628F">
      <w:pPr>
        <w:pStyle w:val="NoSpacing"/>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40"/>
        <w:gridCol w:w="1240"/>
        <w:gridCol w:w="1240"/>
        <w:gridCol w:w="1241"/>
        <w:gridCol w:w="1240"/>
        <w:gridCol w:w="1240"/>
        <w:gridCol w:w="1241"/>
        <w:gridCol w:w="1240"/>
        <w:gridCol w:w="1240"/>
        <w:gridCol w:w="1241"/>
      </w:tblGrid>
      <w:tr w:rsidR="00A6628F" w:rsidRPr="00357B0B" w14:paraId="52AD2083" w14:textId="77777777" w:rsidTr="007155F2">
        <w:trPr>
          <w:trHeight w:val="227"/>
        </w:trPr>
        <w:tc>
          <w:tcPr>
            <w:tcW w:w="1555" w:type="dxa"/>
            <w:vMerge w:val="restart"/>
            <w:shd w:val="clear" w:color="auto" w:fill="auto"/>
            <w:tcMar>
              <w:left w:w="28" w:type="dxa"/>
              <w:right w:w="28" w:type="dxa"/>
            </w:tcMar>
            <w:vAlign w:val="center"/>
          </w:tcPr>
          <w:p w14:paraId="3CAF807B"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Respondent characteristics </w:t>
            </w:r>
          </w:p>
        </w:tc>
        <w:tc>
          <w:tcPr>
            <w:tcW w:w="12403" w:type="dxa"/>
            <w:gridSpan w:val="10"/>
            <w:shd w:val="clear" w:color="auto" w:fill="auto"/>
            <w:tcMar>
              <w:left w:w="28" w:type="dxa"/>
              <w:right w:w="28" w:type="dxa"/>
            </w:tcMar>
            <w:vAlign w:val="center"/>
          </w:tcPr>
          <w:p w14:paraId="33E0D08A"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rPr>
              <w:t xml:space="preserve">Mean functional outcome score (EPIC-26) (95% CI) </w:t>
            </w:r>
            <w:proofErr w:type="spellStart"/>
            <w:r w:rsidRPr="00357B0B">
              <w:rPr>
                <w:rFonts w:eastAsia="Times New Roman" w:cs="Arial"/>
                <w:b/>
                <w:bCs/>
                <w:color w:val="000000"/>
                <w:sz w:val="18"/>
                <w:szCs w:val="18"/>
                <w:vertAlign w:val="superscript"/>
              </w:rPr>
              <w:t>a,b</w:t>
            </w:r>
            <w:proofErr w:type="spellEnd"/>
            <w:r w:rsidRPr="00357B0B">
              <w:rPr>
                <w:rFonts w:eastAsia="Times New Roman" w:cs="Arial"/>
                <w:b/>
                <w:bCs/>
                <w:color w:val="000000"/>
                <w:sz w:val="18"/>
                <w:szCs w:val="18"/>
                <w:vertAlign w:val="superscript"/>
              </w:rPr>
              <w:t xml:space="preserve">  </w:t>
            </w:r>
            <w:r w:rsidRPr="00357B0B">
              <w:rPr>
                <w:rFonts w:eastAsia="Times New Roman" w:cs="Arial"/>
                <w:b/>
                <w:color w:val="000000"/>
                <w:sz w:val="18"/>
                <w:szCs w:val="18"/>
                <w:lang w:eastAsia="en-GB"/>
              </w:rPr>
              <w:t>(n=32,588)</w:t>
            </w:r>
          </w:p>
        </w:tc>
      </w:tr>
      <w:tr w:rsidR="00A6628F" w:rsidRPr="00357B0B" w14:paraId="5703FD10" w14:textId="77777777" w:rsidTr="007155F2">
        <w:trPr>
          <w:trHeight w:val="227"/>
        </w:trPr>
        <w:tc>
          <w:tcPr>
            <w:tcW w:w="1555" w:type="dxa"/>
            <w:vMerge/>
            <w:shd w:val="clear" w:color="auto" w:fill="auto"/>
            <w:tcMar>
              <w:left w:w="28" w:type="dxa"/>
              <w:right w:w="28" w:type="dxa"/>
            </w:tcMar>
            <w:vAlign w:val="center"/>
            <w:hideMark/>
          </w:tcPr>
          <w:p w14:paraId="56C52E62"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2480" w:type="dxa"/>
            <w:gridSpan w:val="2"/>
            <w:shd w:val="clear" w:color="auto" w:fill="auto"/>
            <w:tcMar>
              <w:left w:w="28" w:type="dxa"/>
              <w:right w:w="28" w:type="dxa"/>
            </w:tcMar>
            <w:vAlign w:val="center"/>
            <w:hideMark/>
          </w:tcPr>
          <w:p w14:paraId="65915BE9"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Urinary incontinence</w:t>
            </w:r>
          </w:p>
        </w:tc>
        <w:tc>
          <w:tcPr>
            <w:tcW w:w="2481" w:type="dxa"/>
            <w:gridSpan w:val="2"/>
            <w:shd w:val="clear" w:color="auto" w:fill="auto"/>
            <w:tcMar>
              <w:left w:w="28" w:type="dxa"/>
              <w:right w:w="28" w:type="dxa"/>
            </w:tcMar>
            <w:vAlign w:val="center"/>
            <w:hideMark/>
          </w:tcPr>
          <w:p w14:paraId="147FF295"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Urinary irritation/ obstruction</w:t>
            </w:r>
          </w:p>
        </w:tc>
        <w:tc>
          <w:tcPr>
            <w:tcW w:w="2480" w:type="dxa"/>
            <w:gridSpan w:val="2"/>
            <w:shd w:val="clear" w:color="auto" w:fill="auto"/>
            <w:tcMar>
              <w:left w:w="28" w:type="dxa"/>
              <w:right w:w="28" w:type="dxa"/>
            </w:tcMar>
            <w:vAlign w:val="center"/>
            <w:hideMark/>
          </w:tcPr>
          <w:p w14:paraId="0B89F80D"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Bowel function</w:t>
            </w:r>
          </w:p>
        </w:tc>
        <w:tc>
          <w:tcPr>
            <w:tcW w:w="2481" w:type="dxa"/>
            <w:gridSpan w:val="2"/>
            <w:shd w:val="clear" w:color="auto" w:fill="auto"/>
            <w:tcMar>
              <w:left w:w="28" w:type="dxa"/>
              <w:right w:w="28" w:type="dxa"/>
            </w:tcMar>
            <w:vAlign w:val="center"/>
            <w:hideMark/>
          </w:tcPr>
          <w:p w14:paraId="46FDCDDC"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Sexual function</w:t>
            </w:r>
          </w:p>
        </w:tc>
        <w:tc>
          <w:tcPr>
            <w:tcW w:w="2481" w:type="dxa"/>
            <w:gridSpan w:val="2"/>
            <w:shd w:val="clear" w:color="auto" w:fill="auto"/>
            <w:tcMar>
              <w:left w:w="28" w:type="dxa"/>
              <w:right w:w="28" w:type="dxa"/>
            </w:tcMar>
            <w:vAlign w:val="center"/>
            <w:hideMark/>
          </w:tcPr>
          <w:p w14:paraId="11CF412C"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Vitality/hormonal function</w:t>
            </w:r>
          </w:p>
        </w:tc>
      </w:tr>
      <w:tr w:rsidR="00A6628F" w:rsidRPr="00357B0B" w14:paraId="1129DAD3" w14:textId="77777777" w:rsidTr="007155F2">
        <w:trPr>
          <w:trHeight w:val="320"/>
        </w:trPr>
        <w:tc>
          <w:tcPr>
            <w:tcW w:w="1555" w:type="dxa"/>
            <w:vMerge/>
            <w:shd w:val="clear" w:color="auto" w:fill="auto"/>
            <w:noWrap/>
            <w:tcMar>
              <w:left w:w="28" w:type="dxa"/>
              <w:right w:w="28" w:type="dxa"/>
            </w:tcMar>
            <w:vAlign w:val="center"/>
            <w:hideMark/>
          </w:tcPr>
          <w:p w14:paraId="4F1044F9"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tcMar>
              <w:left w:w="28" w:type="dxa"/>
              <w:right w:w="28" w:type="dxa"/>
            </w:tcMar>
            <w:vAlign w:val="center"/>
            <w:hideMark/>
          </w:tcPr>
          <w:p w14:paraId="3E32EF74"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0" w:type="dxa"/>
            <w:shd w:val="clear" w:color="auto" w:fill="auto"/>
            <w:tcMar>
              <w:left w:w="28" w:type="dxa"/>
              <w:right w:w="28" w:type="dxa"/>
            </w:tcMar>
            <w:vAlign w:val="center"/>
            <w:hideMark/>
          </w:tcPr>
          <w:p w14:paraId="43191DAA"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c>
          <w:tcPr>
            <w:tcW w:w="1240" w:type="dxa"/>
            <w:shd w:val="clear" w:color="auto" w:fill="auto"/>
            <w:tcMar>
              <w:left w:w="28" w:type="dxa"/>
              <w:right w:w="28" w:type="dxa"/>
            </w:tcMar>
            <w:vAlign w:val="center"/>
            <w:hideMark/>
          </w:tcPr>
          <w:p w14:paraId="3593EB82"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1" w:type="dxa"/>
            <w:shd w:val="clear" w:color="auto" w:fill="auto"/>
            <w:tcMar>
              <w:left w:w="28" w:type="dxa"/>
              <w:right w:w="28" w:type="dxa"/>
            </w:tcMar>
            <w:vAlign w:val="center"/>
            <w:hideMark/>
          </w:tcPr>
          <w:p w14:paraId="06BEB186"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c>
          <w:tcPr>
            <w:tcW w:w="1240" w:type="dxa"/>
            <w:shd w:val="clear" w:color="auto" w:fill="auto"/>
            <w:tcMar>
              <w:left w:w="28" w:type="dxa"/>
              <w:right w:w="28" w:type="dxa"/>
            </w:tcMar>
            <w:vAlign w:val="center"/>
            <w:hideMark/>
          </w:tcPr>
          <w:p w14:paraId="5CAD063E"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0" w:type="dxa"/>
            <w:shd w:val="clear" w:color="auto" w:fill="auto"/>
            <w:tcMar>
              <w:left w:w="28" w:type="dxa"/>
              <w:right w:w="28" w:type="dxa"/>
            </w:tcMar>
            <w:vAlign w:val="center"/>
            <w:hideMark/>
          </w:tcPr>
          <w:p w14:paraId="74D56AF0"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c>
          <w:tcPr>
            <w:tcW w:w="1241" w:type="dxa"/>
            <w:shd w:val="clear" w:color="auto" w:fill="auto"/>
            <w:tcMar>
              <w:left w:w="28" w:type="dxa"/>
              <w:right w:w="28" w:type="dxa"/>
            </w:tcMar>
            <w:vAlign w:val="center"/>
            <w:hideMark/>
          </w:tcPr>
          <w:p w14:paraId="3A74610A"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0" w:type="dxa"/>
            <w:shd w:val="clear" w:color="auto" w:fill="auto"/>
            <w:tcMar>
              <w:left w:w="28" w:type="dxa"/>
              <w:right w:w="28" w:type="dxa"/>
            </w:tcMar>
            <w:vAlign w:val="center"/>
            <w:hideMark/>
          </w:tcPr>
          <w:p w14:paraId="1DBB8D2F"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c>
          <w:tcPr>
            <w:tcW w:w="1240" w:type="dxa"/>
            <w:shd w:val="clear" w:color="auto" w:fill="auto"/>
            <w:tcMar>
              <w:left w:w="28" w:type="dxa"/>
              <w:right w:w="28" w:type="dxa"/>
            </w:tcMar>
            <w:vAlign w:val="center"/>
            <w:hideMark/>
          </w:tcPr>
          <w:p w14:paraId="3F2401AA"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1" w:type="dxa"/>
            <w:shd w:val="clear" w:color="auto" w:fill="auto"/>
            <w:tcMar>
              <w:left w:w="28" w:type="dxa"/>
              <w:right w:w="28" w:type="dxa"/>
            </w:tcMar>
            <w:vAlign w:val="center"/>
            <w:hideMark/>
          </w:tcPr>
          <w:p w14:paraId="6360BC6F"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r>
      <w:tr w:rsidR="00A6628F" w:rsidRPr="00357B0B" w14:paraId="28C798D5" w14:textId="77777777" w:rsidTr="007155F2">
        <w:tc>
          <w:tcPr>
            <w:tcW w:w="1555" w:type="dxa"/>
            <w:shd w:val="clear" w:color="auto" w:fill="auto"/>
            <w:noWrap/>
            <w:tcMar>
              <w:left w:w="28" w:type="dxa"/>
              <w:right w:w="28" w:type="dxa"/>
            </w:tcMar>
            <w:vAlign w:val="center"/>
            <w:hideMark/>
          </w:tcPr>
          <w:p w14:paraId="0DBC84BB"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All respondents</w:t>
            </w:r>
          </w:p>
        </w:tc>
        <w:tc>
          <w:tcPr>
            <w:tcW w:w="1240" w:type="dxa"/>
            <w:shd w:val="clear" w:color="auto" w:fill="auto"/>
            <w:noWrap/>
            <w:tcMar>
              <w:left w:w="28" w:type="dxa"/>
              <w:right w:w="28" w:type="dxa"/>
            </w:tcMar>
            <w:vAlign w:val="center"/>
            <w:hideMark/>
          </w:tcPr>
          <w:p w14:paraId="143CB6A1"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noWrap/>
            <w:tcMar>
              <w:left w:w="28" w:type="dxa"/>
              <w:right w:w="28" w:type="dxa"/>
            </w:tcMar>
            <w:vAlign w:val="center"/>
            <w:hideMark/>
          </w:tcPr>
          <w:p w14:paraId="7836F6E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6FAB19DD"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120C2F9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788A9AE1"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7864A09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1" w:type="dxa"/>
            <w:shd w:val="clear" w:color="auto" w:fill="auto"/>
            <w:noWrap/>
            <w:tcMar>
              <w:left w:w="28" w:type="dxa"/>
              <w:right w:w="28" w:type="dxa"/>
            </w:tcMar>
            <w:vAlign w:val="center"/>
            <w:hideMark/>
          </w:tcPr>
          <w:p w14:paraId="4771048A"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55C7F39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72D85F9C"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71D8E49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r>
      <w:tr w:rsidR="00A6628F" w:rsidRPr="00357B0B" w14:paraId="79E29FB0" w14:textId="77777777" w:rsidTr="007155F2">
        <w:tc>
          <w:tcPr>
            <w:tcW w:w="1555" w:type="dxa"/>
            <w:shd w:val="clear" w:color="auto" w:fill="auto"/>
            <w:noWrap/>
            <w:tcMar>
              <w:left w:w="28" w:type="dxa"/>
              <w:right w:w="28" w:type="dxa"/>
            </w:tcMar>
            <w:vAlign w:val="center"/>
            <w:hideMark/>
          </w:tcPr>
          <w:p w14:paraId="0C3EDA9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240" w:type="dxa"/>
            <w:shd w:val="clear" w:color="auto" w:fill="auto"/>
            <w:noWrap/>
            <w:tcMar>
              <w:left w:w="28" w:type="dxa"/>
              <w:right w:w="28" w:type="dxa"/>
            </w:tcMar>
            <w:vAlign w:val="center"/>
            <w:hideMark/>
          </w:tcPr>
          <w:p w14:paraId="62551AC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84.0</w:t>
            </w:r>
          </w:p>
          <w:p w14:paraId="75F09C5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(83.6-84.3)</w:t>
            </w:r>
          </w:p>
        </w:tc>
        <w:tc>
          <w:tcPr>
            <w:tcW w:w="1240" w:type="dxa"/>
            <w:shd w:val="clear" w:color="auto" w:fill="auto"/>
            <w:noWrap/>
            <w:tcMar>
              <w:left w:w="28" w:type="dxa"/>
              <w:right w:w="28" w:type="dxa"/>
            </w:tcMar>
            <w:vAlign w:val="center"/>
            <w:hideMark/>
          </w:tcPr>
          <w:p w14:paraId="2AAB300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80.1</w:t>
            </w:r>
          </w:p>
          <w:p w14:paraId="045DE51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(79.8-80.5)</w:t>
            </w:r>
          </w:p>
        </w:tc>
        <w:tc>
          <w:tcPr>
            <w:tcW w:w="1240" w:type="dxa"/>
            <w:shd w:val="clear" w:color="auto" w:fill="auto"/>
            <w:noWrap/>
            <w:tcMar>
              <w:left w:w="28" w:type="dxa"/>
              <w:right w:w="28" w:type="dxa"/>
            </w:tcMar>
            <w:vAlign w:val="center"/>
            <w:hideMark/>
          </w:tcPr>
          <w:p w14:paraId="212A82D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87.3</w:t>
            </w:r>
          </w:p>
          <w:p w14:paraId="76E94F2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(87.0-87.6)</w:t>
            </w:r>
          </w:p>
        </w:tc>
        <w:tc>
          <w:tcPr>
            <w:tcW w:w="1241" w:type="dxa"/>
            <w:shd w:val="clear" w:color="auto" w:fill="auto"/>
            <w:noWrap/>
            <w:tcMar>
              <w:left w:w="28" w:type="dxa"/>
              <w:right w:w="28" w:type="dxa"/>
            </w:tcMar>
            <w:vAlign w:val="center"/>
            <w:hideMark/>
          </w:tcPr>
          <w:p w14:paraId="6F8DC8E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82.5</w:t>
            </w:r>
          </w:p>
          <w:p w14:paraId="2D623CC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(82.3-82.7)</w:t>
            </w:r>
          </w:p>
        </w:tc>
        <w:tc>
          <w:tcPr>
            <w:tcW w:w="1240" w:type="dxa"/>
            <w:shd w:val="clear" w:color="auto" w:fill="auto"/>
            <w:noWrap/>
            <w:tcMar>
              <w:left w:w="28" w:type="dxa"/>
              <w:right w:w="28" w:type="dxa"/>
            </w:tcMar>
            <w:vAlign w:val="center"/>
            <w:hideMark/>
          </w:tcPr>
          <w:p w14:paraId="2CC2BB4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90.0</w:t>
            </w:r>
          </w:p>
          <w:p w14:paraId="45970E2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(89.7-90.3)</w:t>
            </w:r>
          </w:p>
        </w:tc>
        <w:tc>
          <w:tcPr>
            <w:tcW w:w="1240" w:type="dxa"/>
            <w:shd w:val="clear" w:color="auto" w:fill="auto"/>
            <w:noWrap/>
            <w:tcMar>
              <w:left w:w="28" w:type="dxa"/>
              <w:right w:w="28" w:type="dxa"/>
            </w:tcMar>
            <w:vAlign w:val="center"/>
            <w:hideMark/>
          </w:tcPr>
          <w:p w14:paraId="4F06979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86.6</w:t>
            </w:r>
          </w:p>
          <w:p w14:paraId="4AF2D9F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(86.3-86.8)</w:t>
            </w:r>
          </w:p>
        </w:tc>
        <w:tc>
          <w:tcPr>
            <w:tcW w:w="1241" w:type="dxa"/>
            <w:shd w:val="clear" w:color="auto" w:fill="auto"/>
            <w:noWrap/>
            <w:tcMar>
              <w:left w:w="28" w:type="dxa"/>
              <w:right w:w="28" w:type="dxa"/>
            </w:tcMar>
            <w:vAlign w:val="center"/>
            <w:hideMark/>
          </w:tcPr>
          <w:p w14:paraId="619FDB1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29.3</w:t>
            </w:r>
          </w:p>
          <w:p w14:paraId="4CA450A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(28.8-29.9)</w:t>
            </w:r>
          </w:p>
        </w:tc>
        <w:tc>
          <w:tcPr>
            <w:tcW w:w="1240" w:type="dxa"/>
            <w:shd w:val="clear" w:color="auto" w:fill="auto"/>
            <w:noWrap/>
            <w:tcMar>
              <w:left w:w="28" w:type="dxa"/>
              <w:right w:w="28" w:type="dxa"/>
            </w:tcMar>
            <w:vAlign w:val="center"/>
            <w:hideMark/>
          </w:tcPr>
          <w:p w14:paraId="56B6EDF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23.1</w:t>
            </w:r>
          </w:p>
          <w:p w14:paraId="42D3C14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(22.7-23.4)</w:t>
            </w:r>
          </w:p>
        </w:tc>
        <w:tc>
          <w:tcPr>
            <w:tcW w:w="1240" w:type="dxa"/>
            <w:shd w:val="clear" w:color="auto" w:fill="auto"/>
            <w:noWrap/>
            <w:tcMar>
              <w:left w:w="28" w:type="dxa"/>
              <w:right w:w="28" w:type="dxa"/>
            </w:tcMar>
            <w:vAlign w:val="center"/>
            <w:hideMark/>
          </w:tcPr>
          <w:p w14:paraId="50AB4CA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83.6</w:t>
            </w:r>
          </w:p>
          <w:p w14:paraId="56A8D73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(83.2-83.9)</w:t>
            </w:r>
          </w:p>
        </w:tc>
        <w:tc>
          <w:tcPr>
            <w:tcW w:w="1241" w:type="dxa"/>
            <w:shd w:val="clear" w:color="auto" w:fill="auto"/>
            <w:noWrap/>
            <w:tcMar>
              <w:left w:w="28" w:type="dxa"/>
              <w:right w:w="28" w:type="dxa"/>
            </w:tcMar>
            <w:vAlign w:val="center"/>
            <w:hideMark/>
          </w:tcPr>
          <w:p w14:paraId="26565C4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76.8</w:t>
            </w:r>
          </w:p>
          <w:p w14:paraId="5A1F328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(76.5-77.1)</w:t>
            </w:r>
          </w:p>
        </w:tc>
      </w:tr>
      <w:tr w:rsidR="00A6628F" w:rsidRPr="00357B0B" w14:paraId="53FC59DB" w14:textId="77777777" w:rsidTr="007155F2">
        <w:tc>
          <w:tcPr>
            <w:tcW w:w="1555" w:type="dxa"/>
            <w:shd w:val="clear" w:color="auto" w:fill="auto"/>
            <w:noWrap/>
            <w:tcMar>
              <w:left w:w="28" w:type="dxa"/>
              <w:right w:w="28" w:type="dxa"/>
            </w:tcMar>
            <w:vAlign w:val="center"/>
            <w:hideMark/>
          </w:tcPr>
          <w:p w14:paraId="06150EB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240" w:type="dxa"/>
            <w:shd w:val="clear" w:color="auto" w:fill="auto"/>
            <w:noWrap/>
            <w:tcMar>
              <w:left w:w="28" w:type="dxa"/>
              <w:right w:w="28" w:type="dxa"/>
            </w:tcMar>
            <w:vAlign w:val="center"/>
            <w:hideMark/>
          </w:tcPr>
          <w:p w14:paraId="70E13134"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0A298BBC"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76E257E0"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64522F7F"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3FF5168B"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386EB28E"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09C4C62F"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5CF3AF52"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0B99CA1D"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25EB6E8A"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4074A36E" w14:textId="77777777" w:rsidTr="007155F2">
        <w:tc>
          <w:tcPr>
            <w:tcW w:w="1555" w:type="dxa"/>
            <w:shd w:val="clear" w:color="auto" w:fill="auto"/>
            <w:noWrap/>
            <w:tcMar>
              <w:left w:w="28" w:type="dxa"/>
              <w:right w:w="28" w:type="dxa"/>
            </w:tcMar>
            <w:vAlign w:val="center"/>
            <w:hideMark/>
          </w:tcPr>
          <w:p w14:paraId="13100978"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Age at diagnosis</w:t>
            </w:r>
          </w:p>
        </w:tc>
        <w:tc>
          <w:tcPr>
            <w:tcW w:w="1240" w:type="dxa"/>
            <w:shd w:val="clear" w:color="auto" w:fill="auto"/>
            <w:noWrap/>
            <w:tcMar>
              <w:left w:w="28" w:type="dxa"/>
              <w:right w:w="28" w:type="dxa"/>
            </w:tcMar>
            <w:vAlign w:val="center"/>
            <w:hideMark/>
          </w:tcPr>
          <w:p w14:paraId="6947EB13"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noWrap/>
            <w:tcMar>
              <w:left w:w="28" w:type="dxa"/>
              <w:right w:w="28" w:type="dxa"/>
            </w:tcMar>
            <w:vAlign w:val="center"/>
            <w:hideMark/>
          </w:tcPr>
          <w:p w14:paraId="071237B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60F0D620"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1253779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2720DB1E"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3282C4E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1" w:type="dxa"/>
            <w:shd w:val="clear" w:color="auto" w:fill="auto"/>
            <w:noWrap/>
            <w:tcMar>
              <w:left w:w="28" w:type="dxa"/>
              <w:right w:w="28" w:type="dxa"/>
            </w:tcMar>
            <w:vAlign w:val="center"/>
            <w:hideMark/>
          </w:tcPr>
          <w:p w14:paraId="5DC86B78"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6CCFB21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76F0BC01"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0C69587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r>
      <w:tr w:rsidR="00A6628F" w:rsidRPr="00357B0B" w14:paraId="44E477CD" w14:textId="77777777" w:rsidTr="007155F2">
        <w:tc>
          <w:tcPr>
            <w:tcW w:w="1555" w:type="dxa"/>
            <w:shd w:val="clear" w:color="auto" w:fill="auto"/>
            <w:noWrap/>
            <w:tcMar>
              <w:left w:w="28" w:type="dxa"/>
              <w:right w:w="28" w:type="dxa"/>
            </w:tcMar>
            <w:vAlign w:val="center"/>
            <w:hideMark/>
          </w:tcPr>
          <w:p w14:paraId="55AE7BA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&lt;54</w:t>
            </w:r>
          </w:p>
        </w:tc>
        <w:tc>
          <w:tcPr>
            <w:tcW w:w="1240" w:type="dxa"/>
            <w:shd w:val="clear" w:color="auto" w:fill="auto"/>
            <w:noWrap/>
            <w:tcMar>
              <w:left w:w="28" w:type="dxa"/>
              <w:right w:w="28" w:type="dxa"/>
            </w:tcMar>
            <w:vAlign w:val="center"/>
            <w:hideMark/>
          </w:tcPr>
          <w:p w14:paraId="21CA23C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82.5</w:t>
            </w:r>
          </w:p>
          <w:p w14:paraId="62CAB9D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(80.4-84.6)</w:t>
            </w:r>
          </w:p>
        </w:tc>
        <w:tc>
          <w:tcPr>
            <w:tcW w:w="1240" w:type="dxa"/>
            <w:shd w:val="clear" w:color="auto" w:fill="auto"/>
            <w:noWrap/>
            <w:tcMar>
              <w:left w:w="28" w:type="dxa"/>
              <w:right w:w="28" w:type="dxa"/>
            </w:tcMar>
            <w:vAlign w:val="center"/>
            <w:hideMark/>
          </w:tcPr>
          <w:p w14:paraId="1649652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77.8</w:t>
            </w:r>
          </w:p>
          <w:p w14:paraId="18BB159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(76.0-79.5)</w:t>
            </w:r>
          </w:p>
        </w:tc>
        <w:tc>
          <w:tcPr>
            <w:tcW w:w="1240" w:type="dxa"/>
            <w:shd w:val="clear" w:color="auto" w:fill="auto"/>
            <w:noWrap/>
            <w:tcMar>
              <w:left w:w="28" w:type="dxa"/>
              <w:right w:w="28" w:type="dxa"/>
            </w:tcMar>
            <w:vAlign w:val="center"/>
            <w:hideMark/>
          </w:tcPr>
          <w:p w14:paraId="5C37013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89.0</w:t>
            </w:r>
          </w:p>
          <w:p w14:paraId="453674E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(87.7-90.4)</w:t>
            </w:r>
          </w:p>
        </w:tc>
        <w:tc>
          <w:tcPr>
            <w:tcW w:w="1241" w:type="dxa"/>
            <w:shd w:val="clear" w:color="auto" w:fill="auto"/>
            <w:noWrap/>
            <w:tcMar>
              <w:left w:w="28" w:type="dxa"/>
              <w:right w:w="28" w:type="dxa"/>
            </w:tcMar>
            <w:vAlign w:val="center"/>
            <w:hideMark/>
          </w:tcPr>
          <w:p w14:paraId="552F4DD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81.7</w:t>
            </w:r>
          </w:p>
          <w:p w14:paraId="12C9B9A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(80.4-83.0)</w:t>
            </w:r>
          </w:p>
        </w:tc>
        <w:tc>
          <w:tcPr>
            <w:tcW w:w="1240" w:type="dxa"/>
            <w:shd w:val="clear" w:color="auto" w:fill="auto"/>
            <w:noWrap/>
            <w:tcMar>
              <w:left w:w="28" w:type="dxa"/>
              <w:right w:w="28" w:type="dxa"/>
            </w:tcMar>
            <w:vAlign w:val="center"/>
            <w:hideMark/>
          </w:tcPr>
          <w:p w14:paraId="5FE3E3E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91.2</w:t>
            </w:r>
          </w:p>
          <w:p w14:paraId="44AB038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(89.8-92.6)</w:t>
            </w:r>
          </w:p>
        </w:tc>
        <w:tc>
          <w:tcPr>
            <w:tcW w:w="1240" w:type="dxa"/>
            <w:shd w:val="clear" w:color="auto" w:fill="auto"/>
            <w:noWrap/>
            <w:tcMar>
              <w:left w:w="28" w:type="dxa"/>
              <w:right w:w="28" w:type="dxa"/>
            </w:tcMar>
            <w:vAlign w:val="center"/>
            <w:hideMark/>
          </w:tcPr>
          <w:p w14:paraId="6FB2965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86.5</w:t>
            </w:r>
          </w:p>
          <w:p w14:paraId="313DD0E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(85.2-87.9)</w:t>
            </w:r>
          </w:p>
        </w:tc>
        <w:tc>
          <w:tcPr>
            <w:tcW w:w="1241" w:type="dxa"/>
            <w:shd w:val="clear" w:color="auto" w:fill="auto"/>
            <w:noWrap/>
            <w:tcMar>
              <w:left w:w="28" w:type="dxa"/>
              <w:right w:w="28" w:type="dxa"/>
            </w:tcMar>
            <w:vAlign w:val="center"/>
            <w:hideMark/>
          </w:tcPr>
          <w:p w14:paraId="2B843DB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49.3</w:t>
            </w:r>
          </w:p>
          <w:p w14:paraId="0B40120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(46.2-52.4)</w:t>
            </w:r>
          </w:p>
        </w:tc>
        <w:tc>
          <w:tcPr>
            <w:tcW w:w="1240" w:type="dxa"/>
            <w:shd w:val="clear" w:color="auto" w:fill="auto"/>
            <w:noWrap/>
            <w:tcMar>
              <w:left w:w="28" w:type="dxa"/>
              <w:right w:w="28" w:type="dxa"/>
            </w:tcMar>
            <w:vAlign w:val="center"/>
            <w:hideMark/>
          </w:tcPr>
          <w:p w14:paraId="3400AF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41.3</w:t>
            </w:r>
          </w:p>
          <w:p w14:paraId="1958846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(38.9-43.7)</w:t>
            </w:r>
          </w:p>
        </w:tc>
        <w:tc>
          <w:tcPr>
            <w:tcW w:w="1240" w:type="dxa"/>
            <w:shd w:val="clear" w:color="auto" w:fill="auto"/>
            <w:noWrap/>
            <w:tcMar>
              <w:left w:w="28" w:type="dxa"/>
              <w:right w:w="28" w:type="dxa"/>
            </w:tcMar>
            <w:vAlign w:val="center"/>
            <w:hideMark/>
          </w:tcPr>
          <w:p w14:paraId="73DB6BC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84.4</w:t>
            </w:r>
          </w:p>
          <w:p w14:paraId="43C1C83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(82.6-86.3)</w:t>
            </w:r>
          </w:p>
        </w:tc>
        <w:tc>
          <w:tcPr>
            <w:tcW w:w="1241" w:type="dxa"/>
            <w:shd w:val="clear" w:color="auto" w:fill="auto"/>
            <w:noWrap/>
            <w:tcMar>
              <w:left w:w="28" w:type="dxa"/>
              <w:right w:w="28" w:type="dxa"/>
            </w:tcMar>
            <w:vAlign w:val="center"/>
            <w:hideMark/>
          </w:tcPr>
          <w:p w14:paraId="7C2BD98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75.9</w:t>
            </w:r>
          </w:p>
          <w:p w14:paraId="3945C6B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(74.2-77.6)</w:t>
            </w:r>
          </w:p>
        </w:tc>
      </w:tr>
      <w:tr w:rsidR="00A6628F" w:rsidRPr="00357B0B" w14:paraId="6911861E" w14:textId="77777777" w:rsidTr="007155F2">
        <w:tc>
          <w:tcPr>
            <w:tcW w:w="1555" w:type="dxa"/>
            <w:shd w:val="clear" w:color="auto" w:fill="auto"/>
            <w:noWrap/>
            <w:tcMar>
              <w:left w:w="28" w:type="dxa"/>
              <w:right w:w="28" w:type="dxa"/>
            </w:tcMar>
            <w:vAlign w:val="center"/>
            <w:hideMark/>
          </w:tcPr>
          <w:p w14:paraId="0BD4C4D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55-64</w:t>
            </w:r>
          </w:p>
        </w:tc>
        <w:tc>
          <w:tcPr>
            <w:tcW w:w="1240" w:type="dxa"/>
            <w:shd w:val="clear" w:color="auto" w:fill="auto"/>
            <w:noWrap/>
            <w:tcMar>
              <w:left w:w="28" w:type="dxa"/>
              <w:right w:w="28" w:type="dxa"/>
            </w:tcMar>
            <w:vAlign w:val="center"/>
            <w:hideMark/>
          </w:tcPr>
          <w:p w14:paraId="7C90765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83.7</w:t>
            </w:r>
          </w:p>
          <w:p w14:paraId="4D19130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(82.9-84.5)</w:t>
            </w:r>
          </w:p>
        </w:tc>
        <w:tc>
          <w:tcPr>
            <w:tcW w:w="1240" w:type="dxa"/>
            <w:shd w:val="clear" w:color="auto" w:fill="auto"/>
            <w:noWrap/>
            <w:tcMar>
              <w:left w:w="28" w:type="dxa"/>
              <w:right w:w="28" w:type="dxa"/>
            </w:tcMar>
            <w:vAlign w:val="center"/>
            <w:hideMark/>
          </w:tcPr>
          <w:p w14:paraId="55FC574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78.7</w:t>
            </w:r>
          </w:p>
          <w:p w14:paraId="4CAC0C5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(78.0-79.3)</w:t>
            </w:r>
          </w:p>
        </w:tc>
        <w:tc>
          <w:tcPr>
            <w:tcW w:w="1240" w:type="dxa"/>
            <w:shd w:val="clear" w:color="auto" w:fill="auto"/>
            <w:noWrap/>
            <w:tcMar>
              <w:left w:w="28" w:type="dxa"/>
              <w:right w:w="28" w:type="dxa"/>
            </w:tcMar>
            <w:vAlign w:val="center"/>
            <w:hideMark/>
          </w:tcPr>
          <w:p w14:paraId="7F613FA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88.7</w:t>
            </w:r>
          </w:p>
          <w:p w14:paraId="50D3439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(88.1-89.2)</w:t>
            </w:r>
          </w:p>
        </w:tc>
        <w:tc>
          <w:tcPr>
            <w:tcW w:w="1241" w:type="dxa"/>
            <w:shd w:val="clear" w:color="auto" w:fill="auto"/>
            <w:noWrap/>
            <w:tcMar>
              <w:left w:w="28" w:type="dxa"/>
              <w:right w:w="28" w:type="dxa"/>
            </w:tcMar>
            <w:vAlign w:val="center"/>
            <w:hideMark/>
          </w:tcPr>
          <w:p w14:paraId="53D560A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82.3</w:t>
            </w:r>
          </w:p>
          <w:p w14:paraId="3BE9F49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(81.8-82.8)</w:t>
            </w:r>
          </w:p>
        </w:tc>
        <w:tc>
          <w:tcPr>
            <w:tcW w:w="1240" w:type="dxa"/>
            <w:shd w:val="clear" w:color="auto" w:fill="auto"/>
            <w:noWrap/>
            <w:tcMar>
              <w:left w:w="28" w:type="dxa"/>
              <w:right w:w="28" w:type="dxa"/>
            </w:tcMar>
            <w:vAlign w:val="center"/>
            <w:hideMark/>
          </w:tcPr>
          <w:p w14:paraId="1958D30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92.1</w:t>
            </w:r>
          </w:p>
          <w:p w14:paraId="7FA426F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(91.5-92.6)</w:t>
            </w:r>
          </w:p>
        </w:tc>
        <w:tc>
          <w:tcPr>
            <w:tcW w:w="1240" w:type="dxa"/>
            <w:shd w:val="clear" w:color="auto" w:fill="auto"/>
            <w:noWrap/>
            <w:tcMar>
              <w:left w:w="28" w:type="dxa"/>
              <w:right w:w="28" w:type="dxa"/>
            </w:tcMar>
            <w:vAlign w:val="center"/>
            <w:hideMark/>
          </w:tcPr>
          <w:p w14:paraId="57774B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87.0</w:t>
            </w:r>
          </w:p>
          <w:p w14:paraId="1687785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(86.4-87.5)</w:t>
            </w:r>
          </w:p>
        </w:tc>
        <w:tc>
          <w:tcPr>
            <w:tcW w:w="1241" w:type="dxa"/>
            <w:shd w:val="clear" w:color="auto" w:fill="auto"/>
            <w:noWrap/>
            <w:tcMar>
              <w:left w:w="28" w:type="dxa"/>
              <w:right w:w="28" w:type="dxa"/>
            </w:tcMar>
            <w:vAlign w:val="center"/>
            <w:hideMark/>
          </w:tcPr>
          <w:p w14:paraId="6621293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38.4</w:t>
            </w:r>
          </w:p>
          <w:p w14:paraId="21368A2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(37.2-39.6)</w:t>
            </w:r>
          </w:p>
        </w:tc>
        <w:tc>
          <w:tcPr>
            <w:tcW w:w="1240" w:type="dxa"/>
            <w:shd w:val="clear" w:color="auto" w:fill="auto"/>
            <w:noWrap/>
            <w:tcMar>
              <w:left w:w="28" w:type="dxa"/>
              <w:right w:w="28" w:type="dxa"/>
            </w:tcMar>
            <w:vAlign w:val="center"/>
            <w:hideMark/>
          </w:tcPr>
          <w:p w14:paraId="445FDBD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29.4</w:t>
            </w:r>
          </w:p>
          <w:p w14:paraId="2C813B0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(28.6-30.2)</w:t>
            </w:r>
          </w:p>
        </w:tc>
        <w:tc>
          <w:tcPr>
            <w:tcW w:w="1240" w:type="dxa"/>
            <w:shd w:val="clear" w:color="auto" w:fill="auto"/>
            <w:noWrap/>
            <w:tcMar>
              <w:left w:w="28" w:type="dxa"/>
              <w:right w:w="28" w:type="dxa"/>
            </w:tcMar>
            <w:vAlign w:val="center"/>
            <w:hideMark/>
          </w:tcPr>
          <w:p w14:paraId="74C2E57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85.8</w:t>
            </w:r>
          </w:p>
          <w:p w14:paraId="73EA099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(85.1-86.5)</w:t>
            </w:r>
          </w:p>
        </w:tc>
        <w:tc>
          <w:tcPr>
            <w:tcW w:w="1241" w:type="dxa"/>
            <w:shd w:val="clear" w:color="auto" w:fill="auto"/>
            <w:noWrap/>
            <w:tcMar>
              <w:left w:w="28" w:type="dxa"/>
              <w:right w:w="28" w:type="dxa"/>
            </w:tcMar>
            <w:vAlign w:val="center"/>
            <w:hideMark/>
          </w:tcPr>
          <w:p w14:paraId="747E5CA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76.2</w:t>
            </w:r>
          </w:p>
          <w:p w14:paraId="2EB4CC6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(75.5-76.8)</w:t>
            </w:r>
          </w:p>
        </w:tc>
      </w:tr>
      <w:tr w:rsidR="00A6628F" w:rsidRPr="00357B0B" w14:paraId="2D46B606" w14:textId="77777777" w:rsidTr="007155F2">
        <w:tc>
          <w:tcPr>
            <w:tcW w:w="1555" w:type="dxa"/>
            <w:shd w:val="clear" w:color="auto" w:fill="auto"/>
            <w:noWrap/>
            <w:tcMar>
              <w:left w:w="28" w:type="dxa"/>
              <w:right w:w="28" w:type="dxa"/>
            </w:tcMar>
            <w:vAlign w:val="center"/>
            <w:hideMark/>
          </w:tcPr>
          <w:p w14:paraId="605327C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65-74</w:t>
            </w:r>
          </w:p>
        </w:tc>
        <w:tc>
          <w:tcPr>
            <w:tcW w:w="1240" w:type="dxa"/>
            <w:shd w:val="clear" w:color="auto" w:fill="auto"/>
            <w:noWrap/>
            <w:tcMar>
              <w:left w:w="28" w:type="dxa"/>
              <w:right w:w="28" w:type="dxa"/>
            </w:tcMar>
            <w:vAlign w:val="center"/>
            <w:hideMark/>
          </w:tcPr>
          <w:p w14:paraId="7129F94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83.9</w:t>
            </w:r>
          </w:p>
          <w:p w14:paraId="724DCA0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(83.4-84.5)</w:t>
            </w:r>
          </w:p>
        </w:tc>
        <w:tc>
          <w:tcPr>
            <w:tcW w:w="1240" w:type="dxa"/>
            <w:shd w:val="clear" w:color="auto" w:fill="auto"/>
            <w:noWrap/>
            <w:tcMar>
              <w:left w:w="28" w:type="dxa"/>
              <w:right w:w="28" w:type="dxa"/>
            </w:tcMar>
            <w:vAlign w:val="center"/>
            <w:hideMark/>
          </w:tcPr>
          <w:p w14:paraId="2D4D2ED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80.8</w:t>
            </w:r>
          </w:p>
          <w:p w14:paraId="050B9B8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(80.4-81.3)</w:t>
            </w:r>
          </w:p>
        </w:tc>
        <w:tc>
          <w:tcPr>
            <w:tcW w:w="1240" w:type="dxa"/>
            <w:shd w:val="clear" w:color="auto" w:fill="auto"/>
            <w:noWrap/>
            <w:tcMar>
              <w:left w:w="28" w:type="dxa"/>
              <w:right w:w="28" w:type="dxa"/>
            </w:tcMar>
            <w:vAlign w:val="center"/>
            <w:hideMark/>
          </w:tcPr>
          <w:p w14:paraId="295AF35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87.3</w:t>
            </w:r>
          </w:p>
          <w:p w14:paraId="21374F1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(86.9-87.7)</w:t>
            </w:r>
          </w:p>
        </w:tc>
        <w:tc>
          <w:tcPr>
            <w:tcW w:w="1241" w:type="dxa"/>
            <w:shd w:val="clear" w:color="auto" w:fill="auto"/>
            <w:noWrap/>
            <w:tcMar>
              <w:left w:w="28" w:type="dxa"/>
              <w:right w:w="28" w:type="dxa"/>
            </w:tcMar>
            <w:vAlign w:val="center"/>
            <w:hideMark/>
          </w:tcPr>
          <w:p w14:paraId="61E2EFF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83.2</w:t>
            </w:r>
          </w:p>
          <w:p w14:paraId="5A1BB35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(82.8-83.5)</w:t>
            </w:r>
          </w:p>
        </w:tc>
        <w:tc>
          <w:tcPr>
            <w:tcW w:w="1240" w:type="dxa"/>
            <w:shd w:val="clear" w:color="auto" w:fill="auto"/>
            <w:noWrap/>
            <w:tcMar>
              <w:left w:w="28" w:type="dxa"/>
              <w:right w:w="28" w:type="dxa"/>
            </w:tcMar>
            <w:vAlign w:val="center"/>
            <w:hideMark/>
          </w:tcPr>
          <w:p w14:paraId="73BAD7D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89.8</w:t>
            </w:r>
          </w:p>
          <w:p w14:paraId="61F6E3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(89.3-90.2)</w:t>
            </w:r>
          </w:p>
        </w:tc>
        <w:tc>
          <w:tcPr>
            <w:tcW w:w="1240" w:type="dxa"/>
            <w:shd w:val="clear" w:color="auto" w:fill="auto"/>
            <w:noWrap/>
            <w:tcMar>
              <w:left w:w="28" w:type="dxa"/>
              <w:right w:w="28" w:type="dxa"/>
            </w:tcMar>
            <w:vAlign w:val="center"/>
            <w:hideMark/>
          </w:tcPr>
          <w:p w14:paraId="5771D12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86.9</w:t>
            </w:r>
          </w:p>
          <w:p w14:paraId="4472888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(86.6-87.3)</w:t>
            </w:r>
          </w:p>
        </w:tc>
        <w:tc>
          <w:tcPr>
            <w:tcW w:w="1241" w:type="dxa"/>
            <w:shd w:val="clear" w:color="auto" w:fill="auto"/>
            <w:noWrap/>
            <w:tcMar>
              <w:left w:w="28" w:type="dxa"/>
              <w:right w:w="28" w:type="dxa"/>
            </w:tcMar>
            <w:vAlign w:val="center"/>
            <w:hideMark/>
          </w:tcPr>
          <w:p w14:paraId="78EDAE4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28.0</w:t>
            </w:r>
          </w:p>
          <w:p w14:paraId="51442CA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(27.2-28.7)</w:t>
            </w:r>
          </w:p>
        </w:tc>
        <w:tc>
          <w:tcPr>
            <w:tcW w:w="1240" w:type="dxa"/>
            <w:shd w:val="clear" w:color="auto" w:fill="auto"/>
            <w:noWrap/>
            <w:tcMar>
              <w:left w:w="28" w:type="dxa"/>
              <w:right w:w="28" w:type="dxa"/>
            </w:tcMar>
            <w:vAlign w:val="center"/>
            <w:hideMark/>
          </w:tcPr>
          <w:p w14:paraId="3F716ED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22.2</w:t>
            </w:r>
          </w:p>
          <w:p w14:paraId="7DB4F63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(21.8-22.7)</w:t>
            </w:r>
          </w:p>
        </w:tc>
        <w:tc>
          <w:tcPr>
            <w:tcW w:w="1240" w:type="dxa"/>
            <w:shd w:val="clear" w:color="auto" w:fill="auto"/>
            <w:noWrap/>
            <w:tcMar>
              <w:left w:w="28" w:type="dxa"/>
              <w:right w:w="28" w:type="dxa"/>
            </w:tcMar>
            <w:vAlign w:val="center"/>
            <w:hideMark/>
          </w:tcPr>
          <w:p w14:paraId="2257190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84.1</w:t>
            </w:r>
          </w:p>
          <w:p w14:paraId="0267715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(83.6-84.6)</w:t>
            </w:r>
          </w:p>
        </w:tc>
        <w:tc>
          <w:tcPr>
            <w:tcW w:w="1241" w:type="dxa"/>
            <w:shd w:val="clear" w:color="auto" w:fill="auto"/>
            <w:noWrap/>
            <w:tcMar>
              <w:left w:w="28" w:type="dxa"/>
              <w:right w:w="28" w:type="dxa"/>
            </w:tcMar>
            <w:vAlign w:val="center"/>
            <w:hideMark/>
          </w:tcPr>
          <w:p w14:paraId="5574DE7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77.9</w:t>
            </w:r>
          </w:p>
          <w:p w14:paraId="7F885C3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(77.5-78.3)</w:t>
            </w:r>
          </w:p>
        </w:tc>
      </w:tr>
      <w:tr w:rsidR="00A6628F" w:rsidRPr="00357B0B" w14:paraId="49572FB7" w14:textId="77777777" w:rsidTr="007155F2">
        <w:tc>
          <w:tcPr>
            <w:tcW w:w="1555" w:type="dxa"/>
            <w:shd w:val="clear" w:color="auto" w:fill="auto"/>
            <w:noWrap/>
            <w:tcMar>
              <w:left w:w="28" w:type="dxa"/>
              <w:right w:w="28" w:type="dxa"/>
            </w:tcMar>
            <w:vAlign w:val="center"/>
            <w:hideMark/>
          </w:tcPr>
          <w:p w14:paraId="0CC1CA6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w:t>
            </w:r>
          </w:p>
        </w:tc>
        <w:tc>
          <w:tcPr>
            <w:tcW w:w="1240" w:type="dxa"/>
            <w:shd w:val="clear" w:color="auto" w:fill="auto"/>
            <w:noWrap/>
            <w:tcMar>
              <w:left w:w="28" w:type="dxa"/>
              <w:right w:w="28" w:type="dxa"/>
            </w:tcMar>
            <w:vAlign w:val="center"/>
            <w:hideMark/>
          </w:tcPr>
          <w:p w14:paraId="017E196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84.5</w:t>
            </w:r>
          </w:p>
          <w:p w14:paraId="5DA0307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(83.8-85.3)</w:t>
            </w:r>
          </w:p>
        </w:tc>
        <w:tc>
          <w:tcPr>
            <w:tcW w:w="1240" w:type="dxa"/>
            <w:shd w:val="clear" w:color="auto" w:fill="auto"/>
            <w:noWrap/>
            <w:tcMar>
              <w:left w:w="28" w:type="dxa"/>
              <w:right w:w="28" w:type="dxa"/>
            </w:tcMar>
            <w:vAlign w:val="center"/>
            <w:hideMark/>
          </w:tcPr>
          <w:p w14:paraId="656F649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80.6</w:t>
            </w:r>
          </w:p>
          <w:p w14:paraId="7D72349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(80.0-81.2)</w:t>
            </w:r>
          </w:p>
        </w:tc>
        <w:tc>
          <w:tcPr>
            <w:tcW w:w="1240" w:type="dxa"/>
            <w:shd w:val="clear" w:color="auto" w:fill="auto"/>
            <w:noWrap/>
            <w:tcMar>
              <w:left w:w="28" w:type="dxa"/>
              <w:right w:w="28" w:type="dxa"/>
            </w:tcMar>
            <w:vAlign w:val="center"/>
            <w:hideMark/>
          </w:tcPr>
          <w:p w14:paraId="21577E5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85.6</w:t>
            </w:r>
          </w:p>
          <w:p w14:paraId="3497679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(85.0-86.2)</w:t>
            </w:r>
          </w:p>
        </w:tc>
        <w:tc>
          <w:tcPr>
            <w:tcW w:w="1241" w:type="dxa"/>
            <w:shd w:val="clear" w:color="auto" w:fill="auto"/>
            <w:noWrap/>
            <w:tcMar>
              <w:left w:w="28" w:type="dxa"/>
              <w:right w:w="28" w:type="dxa"/>
            </w:tcMar>
            <w:vAlign w:val="center"/>
            <w:hideMark/>
          </w:tcPr>
          <w:p w14:paraId="2F6EC3D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81.5</w:t>
            </w:r>
          </w:p>
          <w:p w14:paraId="475C8FE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(81.0-81.9)</w:t>
            </w:r>
          </w:p>
        </w:tc>
        <w:tc>
          <w:tcPr>
            <w:tcW w:w="1240" w:type="dxa"/>
            <w:shd w:val="clear" w:color="auto" w:fill="auto"/>
            <w:noWrap/>
            <w:tcMar>
              <w:left w:w="28" w:type="dxa"/>
              <w:right w:w="28" w:type="dxa"/>
            </w:tcMar>
            <w:vAlign w:val="center"/>
            <w:hideMark/>
          </w:tcPr>
          <w:p w14:paraId="4508BD7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88.0</w:t>
            </w:r>
          </w:p>
          <w:p w14:paraId="7B58B14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(87.3-88.6)</w:t>
            </w:r>
          </w:p>
        </w:tc>
        <w:tc>
          <w:tcPr>
            <w:tcW w:w="1240" w:type="dxa"/>
            <w:shd w:val="clear" w:color="auto" w:fill="auto"/>
            <w:noWrap/>
            <w:tcMar>
              <w:left w:w="28" w:type="dxa"/>
              <w:right w:w="28" w:type="dxa"/>
            </w:tcMar>
            <w:vAlign w:val="center"/>
            <w:hideMark/>
          </w:tcPr>
          <w:p w14:paraId="1495DC1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85.5</w:t>
            </w:r>
          </w:p>
          <w:p w14:paraId="54293C6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(85.0-86.0)</w:t>
            </w:r>
          </w:p>
        </w:tc>
        <w:tc>
          <w:tcPr>
            <w:tcW w:w="1241" w:type="dxa"/>
            <w:shd w:val="clear" w:color="auto" w:fill="auto"/>
            <w:noWrap/>
            <w:tcMar>
              <w:left w:w="28" w:type="dxa"/>
              <w:right w:w="28" w:type="dxa"/>
            </w:tcMar>
            <w:vAlign w:val="center"/>
            <w:hideMark/>
          </w:tcPr>
          <w:p w14:paraId="4CFEA09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19.1</w:t>
            </w:r>
          </w:p>
          <w:p w14:paraId="5F63C00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(18.3-19.9)</w:t>
            </w:r>
          </w:p>
        </w:tc>
        <w:tc>
          <w:tcPr>
            <w:tcW w:w="1240" w:type="dxa"/>
            <w:shd w:val="clear" w:color="auto" w:fill="auto"/>
            <w:noWrap/>
            <w:tcMar>
              <w:left w:w="28" w:type="dxa"/>
              <w:right w:w="28" w:type="dxa"/>
            </w:tcMar>
            <w:vAlign w:val="center"/>
            <w:hideMark/>
          </w:tcPr>
          <w:p w14:paraId="10C9EFE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16.1</w:t>
            </w:r>
          </w:p>
          <w:p w14:paraId="2E066A2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(15.7-16.6)</w:t>
            </w:r>
          </w:p>
        </w:tc>
        <w:tc>
          <w:tcPr>
            <w:tcW w:w="1240" w:type="dxa"/>
            <w:shd w:val="clear" w:color="auto" w:fill="auto"/>
            <w:noWrap/>
            <w:tcMar>
              <w:left w:w="28" w:type="dxa"/>
              <w:right w:w="28" w:type="dxa"/>
            </w:tcMar>
            <w:vAlign w:val="center"/>
            <w:hideMark/>
          </w:tcPr>
          <w:p w14:paraId="4724560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80.0</w:t>
            </w:r>
          </w:p>
          <w:p w14:paraId="58062DC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(79.2-80.7)</w:t>
            </w:r>
          </w:p>
        </w:tc>
        <w:tc>
          <w:tcPr>
            <w:tcW w:w="1241" w:type="dxa"/>
            <w:shd w:val="clear" w:color="auto" w:fill="auto"/>
            <w:noWrap/>
            <w:tcMar>
              <w:left w:w="28" w:type="dxa"/>
              <w:right w:w="28" w:type="dxa"/>
            </w:tcMar>
            <w:vAlign w:val="center"/>
            <w:hideMark/>
          </w:tcPr>
          <w:p w14:paraId="00170B3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75.3</w:t>
            </w:r>
          </w:p>
          <w:p w14:paraId="0F15908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(74.7-75.9)</w:t>
            </w:r>
          </w:p>
        </w:tc>
      </w:tr>
      <w:tr w:rsidR="00A6628F" w:rsidRPr="00357B0B" w14:paraId="1DB73715" w14:textId="77777777" w:rsidTr="007155F2">
        <w:tc>
          <w:tcPr>
            <w:tcW w:w="1555" w:type="dxa"/>
            <w:shd w:val="clear" w:color="auto" w:fill="auto"/>
            <w:noWrap/>
            <w:tcMar>
              <w:left w:w="28" w:type="dxa"/>
              <w:right w:w="28" w:type="dxa"/>
            </w:tcMar>
            <w:vAlign w:val="center"/>
            <w:hideMark/>
          </w:tcPr>
          <w:p w14:paraId="30CE535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240" w:type="dxa"/>
            <w:shd w:val="clear" w:color="auto" w:fill="auto"/>
            <w:noWrap/>
            <w:tcMar>
              <w:left w:w="28" w:type="dxa"/>
              <w:right w:w="28" w:type="dxa"/>
            </w:tcMar>
            <w:vAlign w:val="center"/>
            <w:hideMark/>
          </w:tcPr>
          <w:p w14:paraId="766032C1"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63880382"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73FB738E"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108D0CEB"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0E355071"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2E5BB3F4"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0F135443"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73943FCA"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19602418"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18555C00"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012DE4B5" w14:textId="77777777" w:rsidTr="007155F2">
        <w:tc>
          <w:tcPr>
            <w:tcW w:w="1555" w:type="dxa"/>
            <w:shd w:val="clear" w:color="auto" w:fill="auto"/>
            <w:noWrap/>
            <w:tcMar>
              <w:left w:w="28" w:type="dxa"/>
              <w:right w:w="28" w:type="dxa"/>
            </w:tcMar>
            <w:vAlign w:val="center"/>
            <w:hideMark/>
          </w:tcPr>
          <w:p w14:paraId="18C8D442"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Stage</w:t>
            </w:r>
          </w:p>
        </w:tc>
        <w:tc>
          <w:tcPr>
            <w:tcW w:w="1240" w:type="dxa"/>
            <w:shd w:val="clear" w:color="auto" w:fill="auto"/>
            <w:noWrap/>
            <w:tcMar>
              <w:left w:w="28" w:type="dxa"/>
              <w:right w:w="28" w:type="dxa"/>
            </w:tcMar>
            <w:vAlign w:val="center"/>
            <w:hideMark/>
          </w:tcPr>
          <w:p w14:paraId="6B83A138"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noWrap/>
            <w:tcMar>
              <w:left w:w="28" w:type="dxa"/>
              <w:right w:w="28" w:type="dxa"/>
            </w:tcMar>
            <w:vAlign w:val="center"/>
            <w:hideMark/>
          </w:tcPr>
          <w:p w14:paraId="33CCD8D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54A8189B"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4FC4E45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4F7915B4"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73427F6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1" w:type="dxa"/>
            <w:shd w:val="clear" w:color="auto" w:fill="auto"/>
            <w:noWrap/>
            <w:tcMar>
              <w:left w:w="28" w:type="dxa"/>
              <w:right w:w="28" w:type="dxa"/>
            </w:tcMar>
            <w:vAlign w:val="center"/>
            <w:hideMark/>
          </w:tcPr>
          <w:p w14:paraId="591E19D6"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72D1FFF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7D5626D5"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6D1CB3E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r>
      <w:tr w:rsidR="00A6628F" w:rsidRPr="00357B0B" w14:paraId="785E91AA" w14:textId="77777777" w:rsidTr="007155F2">
        <w:tc>
          <w:tcPr>
            <w:tcW w:w="1555" w:type="dxa"/>
            <w:shd w:val="clear" w:color="auto" w:fill="auto"/>
            <w:noWrap/>
            <w:tcMar>
              <w:left w:w="28" w:type="dxa"/>
              <w:right w:w="28" w:type="dxa"/>
            </w:tcMar>
            <w:vAlign w:val="center"/>
            <w:hideMark/>
          </w:tcPr>
          <w:p w14:paraId="58ABB41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I/II</w:t>
            </w:r>
          </w:p>
        </w:tc>
        <w:tc>
          <w:tcPr>
            <w:tcW w:w="1240" w:type="dxa"/>
            <w:shd w:val="clear" w:color="auto" w:fill="auto"/>
            <w:noWrap/>
            <w:tcMar>
              <w:left w:w="28" w:type="dxa"/>
              <w:right w:w="28" w:type="dxa"/>
            </w:tcMar>
            <w:vAlign w:val="center"/>
            <w:hideMark/>
          </w:tcPr>
          <w:p w14:paraId="4E29BDD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84.7</w:t>
            </w:r>
          </w:p>
          <w:p w14:paraId="326599D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(84.2-85.1)</w:t>
            </w:r>
          </w:p>
        </w:tc>
        <w:tc>
          <w:tcPr>
            <w:tcW w:w="1240" w:type="dxa"/>
            <w:shd w:val="clear" w:color="auto" w:fill="auto"/>
            <w:noWrap/>
            <w:tcMar>
              <w:left w:w="28" w:type="dxa"/>
              <w:right w:w="28" w:type="dxa"/>
            </w:tcMar>
            <w:vAlign w:val="center"/>
            <w:hideMark/>
          </w:tcPr>
          <w:p w14:paraId="7ECC46D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80.0</w:t>
            </w:r>
          </w:p>
          <w:p w14:paraId="7DC68F9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(79.6-80.4)</w:t>
            </w:r>
          </w:p>
        </w:tc>
        <w:tc>
          <w:tcPr>
            <w:tcW w:w="1240" w:type="dxa"/>
            <w:shd w:val="clear" w:color="auto" w:fill="auto"/>
            <w:noWrap/>
            <w:tcMar>
              <w:left w:w="28" w:type="dxa"/>
              <w:right w:w="28" w:type="dxa"/>
            </w:tcMar>
            <w:vAlign w:val="center"/>
            <w:hideMark/>
          </w:tcPr>
          <w:p w14:paraId="457FFD8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87.4</w:t>
            </w:r>
          </w:p>
          <w:p w14:paraId="5A2F1F1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(87.1-87.7)</w:t>
            </w:r>
          </w:p>
        </w:tc>
        <w:tc>
          <w:tcPr>
            <w:tcW w:w="1241" w:type="dxa"/>
            <w:shd w:val="clear" w:color="auto" w:fill="auto"/>
            <w:noWrap/>
            <w:tcMar>
              <w:left w:w="28" w:type="dxa"/>
              <w:right w:w="28" w:type="dxa"/>
            </w:tcMar>
            <w:vAlign w:val="center"/>
            <w:hideMark/>
          </w:tcPr>
          <w:p w14:paraId="5CC9259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82.5</w:t>
            </w:r>
          </w:p>
          <w:p w14:paraId="2BB35F4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(82.2-82.8)</w:t>
            </w:r>
          </w:p>
        </w:tc>
        <w:tc>
          <w:tcPr>
            <w:tcW w:w="1240" w:type="dxa"/>
            <w:shd w:val="clear" w:color="auto" w:fill="auto"/>
            <w:noWrap/>
            <w:tcMar>
              <w:left w:w="28" w:type="dxa"/>
              <w:right w:w="28" w:type="dxa"/>
            </w:tcMar>
            <w:vAlign w:val="center"/>
            <w:hideMark/>
          </w:tcPr>
          <w:p w14:paraId="1B5B0FB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90.6</w:t>
            </w:r>
          </w:p>
          <w:p w14:paraId="0F75DE8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(90.3-91.0)</w:t>
            </w:r>
          </w:p>
        </w:tc>
        <w:tc>
          <w:tcPr>
            <w:tcW w:w="1240" w:type="dxa"/>
            <w:shd w:val="clear" w:color="auto" w:fill="auto"/>
            <w:noWrap/>
            <w:tcMar>
              <w:left w:w="28" w:type="dxa"/>
              <w:right w:w="28" w:type="dxa"/>
            </w:tcMar>
            <w:vAlign w:val="center"/>
            <w:hideMark/>
          </w:tcPr>
          <w:p w14:paraId="37E6CA1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87.2</w:t>
            </w:r>
          </w:p>
          <w:p w14:paraId="2BE3C78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(86.9-87.5)</w:t>
            </w:r>
          </w:p>
        </w:tc>
        <w:tc>
          <w:tcPr>
            <w:tcW w:w="1241" w:type="dxa"/>
            <w:shd w:val="clear" w:color="auto" w:fill="auto"/>
            <w:noWrap/>
            <w:tcMar>
              <w:left w:w="28" w:type="dxa"/>
              <w:right w:w="28" w:type="dxa"/>
            </w:tcMar>
            <w:vAlign w:val="center"/>
            <w:hideMark/>
          </w:tcPr>
          <w:p w14:paraId="5C6A1A1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33.6</w:t>
            </w:r>
          </w:p>
          <w:p w14:paraId="6D790B2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(32.9-34.2)</w:t>
            </w:r>
          </w:p>
        </w:tc>
        <w:tc>
          <w:tcPr>
            <w:tcW w:w="1240" w:type="dxa"/>
            <w:shd w:val="clear" w:color="auto" w:fill="auto"/>
            <w:noWrap/>
            <w:tcMar>
              <w:left w:w="28" w:type="dxa"/>
              <w:right w:w="28" w:type="dxa"/>
            </w:tcMar>
            <w:vAlign w:val="center"/>
            <w:hideMark/>
          </w:tcPr>
          <w:p w14:paraId="57AE971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28.5</w:t>
            </w:r>
          </w:p>
          <w:p w14:paraId="5FE7FE6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(28.0-29.0)</w:t>
            </w:r>
          </w:p>
        </w:tc>
        <w:tc>
          <w:tcPr>
            <w:tcW w:w="1240" w:type="dxa"/>
            <w:shd w:val="clear" w:color="auto" w:fill="auto"/>
            <w:noWrap/>
            <w:tcMar>
              <w:left w:w="28" w:type="dxa"/>
              <w:right w:w="28" w:type="dxa"/>
            </w:tcMar>
            <w:vAlign w:val="center"/>
            <w:hideMark/>
          </w:tcPr>
          <w:p w14:paraId="6217076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86.0</w:t>
            </w:r>
          </w:p>
          <w:p w14:paraId="2884331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(85.6-86.4)</w:t>
            </w:r>
          </w:p>
        </w:tc>
        <w:tc>
          <w:tcPr>
            <w:tcW w:w="1241" w:type="dxa"/>
            <w:shd w:val="clear" w:color="auto" w:fill="auto"/>
            <w:noWrap/>
            <w:tcMar>
              <w:left w:w="28" w:type="dxa"/>
              <w:right w:w="28" w:type="dxa"/>
            </w:tcMar>
            <w:vAlign w:val="center"/>
            <w:hideMark/>
          </w:tcPr>
          <w:p w14:paraId="72A9D5E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81.0</w:t>
            </w:r>
          </w:p>
          <w:p w14:paraId="7880984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(80.6-81.4)</w:t>
            </w:r>
          </w:p>
        </w:tc>
      </w:tr>
      <w:tr w:rsidR="00A6628F" w:rsidRPr="00357B0B" w14:paraId="51D764CE" w14:textId="77777777" w:rsidTr="007155F2">
        <w:tc>
          <w:tcPr>
            <w:tcW w:w="1555" w:type="dxa"/>
            <w:shd w:val="clear" w:color="auto" w:fill="auto"/>
            <w:noWrap/>
            <w:tcMar>
              <w:left w:w="28" w:type="dxa"/>
              <w:right w:w="28" w:type="dxa"/>
            </w:tcMar>
            <w:vAlign w:val="center"/>
            <w:hideMark/>
          </w:tcPr>
          <w:p w14:paraId="5F0717A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III</w:t>
            </w:r>
          </w:p>
        </w:tc>
        <w:tc>
          <w:tcPr>
            <w:tcW w:w="1240" w:type="dxa"/>
            <w:shd w:val="clear" w:color="auto" w:fill="auto"/>
            <w:noWrap/>
            <w:tcMar>
              <w:left w:w="28" w:type="dxa"/>
              <w:right w:w="28" w:type="dxa"/>
            </w:tcMar>
            <w:vAlign w:val="center"/>
            <w:hideMark/>
          </w:tcPr>
          <w:p w14:paraId="2E24177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82.0</w:t>
            </w:r>
          </w:p>
          <w:p w14:paraId="39A6403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(81.1-82.9)</w:t>
            </w:r>
          </w:p>
        </w:tc>
        <w:tc>
          <w:tcPr>
            <w:tcW w:w="1240" w:type="dxa"/>
            <w:shd w:val="clear" w:color="auto" w:fill="auto"/>
            <w:noWrap/>
            <w:tcMar>
              <w:left w:w="28" w:type="dxa"/>
              <w:right w:w="28" w:type="dxa"/>
            </w:tcMar>
            <w:vAlign w:val="center"/>
            <w:hideMark/>
          </w:tcPr>
          <w:p w14:paraId="39F9AEE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79.6</w:t>
            </w:r>
          </w:p>
          <w:p w14:paraId="3AB8C87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(78.9-80.2)</w:t>
            </w:r>
          </w:p>
        </w:tc>
        <w:tc>
          <w:tcPr>
            <w:tcW w:w="1240" w:type="dxa"/>
            <w:shd w:val="clear" w:color="auto" w:fill="auto"/>
            <w:noWrap/>
            <w:tcMar>
              <w:left w:w="28" w:type="dxa"/>
              <w:right w:w="28" w:type="dxa"/>
            </w:tcMar>
            <w:vAlign w:val="center"/>
            <w:hideMark/>
          </w:tcPr>
          <w:p w14:paraId="5DEF353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87.3</w:t>
            </w:r>
          </w:p>
          <w:p w14:paraId="3CD8D9A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(86.7-88.0)</w:t>
            </w:r>
          </w:p>
        </w:tc>
        <w:tc>
          <w:tcPr>
            <w:tcW w:w="1241" w:type="dxa"/>
            <w:shd w:val="clear" w:color="auto" w:fill="auto"/>
            <w:noWrap/>
            <w:tcMar>
              <w:left w:w="28" w:type="dxa"/>
              <w:right w:w="28" w:type="dxa"/>
            </w:tcMar>
            <w:vAlign w:val="center"/>
            <w:hideMark/>
          </w:tcPr>
          <w:p w14:paraId="66233D6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82.8</w:t>
            </w:r>
          </w:p>
          <w:p w14:paraId="70F8634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(82.3-83.3)</w:t>
            </w:r>
          </w:p>
        </w:tc>
        <w:tc>
          <w:tcPr>
            <w:tcW w:w="1240" w:type="dxa"/>
            <w:shd w:val="clear" w:color="auto" w:fill="auto"/>
            <w:noWrap/>
            <w:tcMar>
              <w:left w:w="28" w:type="dxa"/>
              <w:right w:w="28" w:type="dxa"/>
            </w:tcMar>
            <w:vAlign w:val="center"/>
            <w:hideMark/>
          </w:tcPr>
          <w:p w14:paraId="04065F9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88.5</w:t>
            </w:r>
          </w:p>
          <w:p w14:paraId="038EA70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(87.7-89.2)</w:t>
            </w:r>
          </w:p>
        </w:tc>
        <w:tc>
          <w:tcPr>
            <w:tcW w:w="1240" w:type="dxa"/>
            <w:shd w:val="clear" w:color="auto" w:fill="auto"/>
            <w:noWrap/>
            <w:tcMar>
              <w:left w:w="28" w:type="dxa"/>
              <w:right w:w="28" w:type="dxa"/>
            </w:tcMar>
            <w:vAlign w:val="center"/>
            <w:hideMark/>
          </w:tcPr>
          <w:p w14:paraId="12AAC3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85.3</w:t>
            </w:r>
          </w:p>
          <w:p w14:paraId="3C09F88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(84.7-85.9)</w:t>
            </w:r>
          </w:p>
        </w:tc>
        <w:tc>
          <w:tcPr>
            <w:tcW w:w="1241" w:type="dxa"/>
            <w:shd w:val="clear" w:color="auto" w:fill="auto"/>
            <w:noWrap/>
            <w:tcMar>
              <w:left w:w="28" w:type="dxa"/>
              <w:right w:w="28" w:type="dxa"/>
            </w:tcMar>
            <w:vAlign w:val="center"/>
            <w:hideMark/>
          </w:tcPr>
          <w:p w14:paraId="65904A5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19.9</w:t>
            </w:r>
          </w:p>
          <w:p w14:paraId="6B8058F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(19.0-20.8)</w:t>
            </w:r>
          </w:p>
        </w:tc>
        <w:tc>
          <w:tcPr>
            <w:tcW w:w="1240" w:type="dxa"/>
            <w:shd w:val="clear" w:color="auto" w:fill="auto"/>
            <w:noWrap/>
            <w:tcMar>
              <w:left w:w="28" w:type="dxa"/>
              <w:right w:w="28" w:type="dxa"/>
            </w:tcMar>
            <w:vAlign w:val="center"/>
            <w:hideMark/>
          </w:tcPr>
          <w:p w14:paraId="35E1335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16.3</w:t>
            </w:r>
          </w:p>
          <w:p w14:paraId="1B7BCBD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(15.7-16.8)</w:t>
            </w:r>
          </w:p>
        </w:tc>
        <w:tc>
          <w:tcPr>
            <w:tcW w:w="1240" w:type="dxa"/>
            <w:shd w:val="clear" w:color="auto" w:fill="auto"/>
            <w:noWrap/>
            <w:tcMar>
              <w:left w:w="28" w:type="dxa"/>
              <w:right w:w="28" w:type="dxa"/>
            </w:tcMar>
            <w:vAlign w:val="center"/>
            <w:hideMark/>
          </w:tcPr>
          <w:p w14:paraId="774840F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79.1</w:t>
            </w:r>
          </w:p>
          <w:p w14:paraId="29F1043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(78.2-80.0)</w:t>
            </w:r>
          </w:p>
        </w:tc>
        <w:tc>
          <w:tcPr>
            <w:tcW w:w="1241" w:type="dxa"/>
            <w:shd w:val="clear" w:color="auto" w:fill="auto"/>
            <w:noWrap/>
            <w:tcMar>
              <w:left w:w="28" w:type="dxa"/>
              <w:right w:w="28" w:type="dxa"/>
            </w:tcMar>
            <w:vAlign w:val="center"/>
            <w:hideMark/>
          </w:tcPr>
          <w:p w14:paraId="1E3CA78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72.7</w:t>
            </w:r>
          </w:p>
          <w:p w14:paraId="17F29F5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(72.0-73.4)</w:t>
            </w:r>
          </w:p>
        </w:tc>
      </w:tr>
      <w:tr w:rsidR="00A6628F" w:rsidRPr="00357B0B" w14:paraId="35505929" w14:textId="77777777" w:rsidTr="007155F2">
        <w:tc>
          <w:tcPr>
            <w:tcW w:w="1555" w:type="dxa"/>
            <w:shd w:val="clear" w:color="auto" w:fill="auto"/>
            <w:noWrap/>
            <w:tcMar>
              <w:left w:w="28" w:type="dxa"/>
              <w:right w:w="28" w:type="dxa"/>
            </w:tcMar>
            <w:vAlign w:val="center"/>
            <w:hideMark/>
          </w:tcPr>
          <w:p w14:paraId="4F43266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IV</w:t>
            </w:r>
          </w:p>
        </w:tc>
        <w:tc>
          <w:tcPr>
            <w:tcW w:w="1240" w:type="dxa"/>
            <w:shd w:val="clear" w:color="auto" w:fill="auto"/>
            <w:noWrap/>
            <w:tcMar>
              <w:left w:w="28" w:type="dxa"/>
              <w:right w:w="28" w:type="dxa"/>
            </w:tcMar>
            <w:vAlign w:val="center"/>
            <w:hideMark/>
          </w:tcPr>
          <w:p w14:paraId="5E240E2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82.8</w:t>
            </w:r>
          </w:p>
          <w:p w14:paraId="28401A3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(81.1-84.4)</w:t>
            </w:r>
          </w:p>
        </w:tc>
        <w:tc>
          <w:tcPr>
            <w:tcW w:w="1240" w:type="dxa"/>
            <w:shd w:val="clear" w:color="auto" w:fill="auto"/>
            <w:noWrap/>
            <w:tcMar>
              <w:left w:w="28" w:type="dxa"/>
              <w:right w:w="28" w:type="dxa"/>
            </w:tcMar>
            <w:vAlign w:val="center"/>
            <w:hideMark/>
          </w:tcPr>
          <w:p w14:paraId="3E3A188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81.4</w:t>
            </w:r>
          </w:p>
          <w:p w14:paraId="55CBD28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(80.6-82.2)</w:t>
            </w:r>
          </w:p>
        </w:tc>
        <w:tc>
          <w:tcPr>
            <w:tcW w:w="1240" w:type="dxa"/>
            <w:shd w:val="clear" w:color="auto" w:fill="auto"/>
            <w:noWrap/>
            <w:tcMar>
              <w:left w:w="28" w:type="dxa"/>
              <w:right w:w="28" w:type="dxa"/>
            </w:tcMar>
            <w:vAlign w:val="center"/>
            <w:hideMark/>
          </w:tcPr>
          <w:p w14:paraId="0757621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86.0</w:t>
            </w:r>
          </w:p>
          <w:p w14:paraId="3E5A4A1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(84.8-87.2)</w:t>
            </w:r>
          </w:p>
        </w:tc>
        <w:tc>
          <w:tcPr>
            <w:tcW w:w="1241" w:type="dxa"/>
            <w:shd w:val="clear" w:color="auto" w:fill="auto"/>
            <w:noWrap/>
            <w:tcMar>
              <w:left w:w="28" w:type="dxa"/>
              <w:right w:w="28" w:type="dxa"/>
            </w:tcMar>
            <w:vAlign w:val="center"/>
            <w:hideMark/>
          </w:tcPr>
          <w:p w14:paraId="28DA4B3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82.0</w:t>
            </w:r>
          </w:p>
          <w:p w14:paraId="598499E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(81.4-82.6)</w:t>
            </w:r>
          </w:p>
        </w:tc>
        <w:tc>
          <w:tcPr>
            <w:tcW w:w="1240" w:type="dxa"/>
            <w:shd w:val="clear" w:color="auto" w:fill="auto"/>
            <w:noWrap/>
            <w:tcMar>
              <w:left w:w="28" w:type="dxa"/>
              <w:right w:w="28" w:type="dxa"/>
            </w:tcMar>
            <w:vAlign w:val="center"/>
            <w:hideMark/>
          </w:tcPr>
          <w:p w14:paraId="4F10343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87.9</w:t>
            </w:r>
          </w:p>
          <w:p w14:paraId="3BAFF5E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(86.6-89.2)</w:t>
            </w:r>
          </w:p>
        </w:tc>
        <w:tc>
          <w:tcPr>
            <w:tcW w:w="1240" w:type="dxa"/>
            <w:shd w:val="clear" w:color="auto" w:fill="auto"/>
            <w:noWrap/>
            <w:tcMar>
              <w:left w:w="28" w:type="dxa"/>
              <w:right w:w="28" w:type="dxa"/>
            </w:tcMar>
            <w:vAlign w:val="center"/>
            <w:hideMark/>
          </w:tcPr>
          <w:p w14:paraId="6879632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86.3</w:t>
            </w:r>
          </w:p>
          <w:p w14:paraId="13DEA16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(85.6-87.0)</w:t>
            </w:r>
          </w:p>
        </w:tc>
        <w:tc>
          <w:tcPr>
            <w:tcW w:w="1241" w:type="dxa"/>
            <w:shd w:val="clear" w:color="auto" w:fill="auto"/>
            <w:noWrap/>
            <w:tcMar>
              <w:left w:w="28" w:type="dxa"/>
              <w:right w:w="28" w:type="dxa"/>
            </w:tcMar>
            <w:vAlign w:val="center"/>
            <w:hideMark/>
          </w:tcPr>
          <w:p w14:paraId="5EE276A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15.6</w:t>
            </w:r>
          </w:p>
          <w:p w14:paraId="30EFECF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(14.0-17.3)</w:t>
            </w:r>
          </w:p>
        </w:tc>
        <w:tc>
          <w:tcPr>
            <w:tcW w:w="1240" w:type="dxa"/>
            <w:shd w:val="clear" w:color="auto" w:fill="auto"/>
            <w:noWrap/>
            <w:tcMar>
              <w:left w:w="28" w:type="dxa"/>
              <w:right w:w="28" w:type="dxa"/>
            </w:tcMar>
            <w:vAlign w:val="center"/>
            <w:hideMark/>
          </w:tcPr>
          <w:p w14:paraId="7F63A8C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12.8</w:t>
            </w:r>
          </w:p>
          <w:p w14:paraId="2D4FF38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(12.3-13.4)</w:t>
            </w:r>
          </w:p>
        </w:tc>
        <w:tc>
          <w:tcPr>
            <w:tcW w:w="1240" w:type="dxa"/>
            <w:shd w:val="clear" w:color="auto" w:fill="auto"/>
            <w:noWrap/>
            <w:tcMar>
              <w:left w:w="28" w:type="dxa"/>
              <w:right w:w="28" w:type="dxa"/>
            </w:tcMar>
            <w:vAlign w:val="center"/>
            <w:hideMark/>
          </w:tcPr>
          <w:p w14:paraId="6F3F46D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72.8</w:t>
            </w:r>
          </w:p>
          <w:p w14:paraId="698E293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(71.0-74.5)</w:t>
            </w:r>
          </w:p>
        </w:tc>
        <w:tc>
          <w:tcPr>
            <w:tcW w:w="1241" w:type="dxa"/>
            <w:shd w:val="clear" w:color="auto" w:fill="auto"/>
            <w:noWrap/>
            <w:tcMar>
              <w:left w:w="28" w:type="dxa"/>
              <w:right w:w="28" w:type="dxa"/>
            </w:tcMar>
            <w:vAlign w:val="center"/>
            <w:hideMark/>
          </w:tcPr>
          <w:p w14:paraId="0DCFB49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66.7</w:t>
            </w:r>
          </w:p>
          <w:p w14:paraId="744FD2A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(65.9-67.5)</w:t>
            </w:r>
          </w:p>
        </w:tc>
      </w:tr>
      <w:tr w:rsidR="00A6628F" w:rsidRPr="00357B0B" w14:paraId="1D9236C6" w14:textId="77777777" w:rsidTr="007155F2">
        <w:tc>
          <w:tcPr>
            <w:tcW w:w="1555" w:type="dxa"/>
            <w:shd w:val="clear" w:color="auto" w:fill="auto"/>
            <w:noWrap/>
            <w:tcMar>
              <w:left w:w="28" w:type="dxa"/>
              <w:right w:w="28" w:type="dxa"/>
            </w:tcMar>
            <w:vAlign w:val="center"/>
            <w:hideMark/>
          </w:tcPr>
          <w:p w14:paraId="6679384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240" w:type="dxa"/>
            <w:shd w:val="clear" w:color="auto" w:fill="auto"/>
            <w:noWrap/>
            <w:tcMar>
              <w:left w:w="28" w:type="dxa"/>
              <w:right w:w="28" w:type="dxa"/>
            </w:tcMar>
            <w:vAlign w:val="center"/>
            <w:hideMark/>
          </w:tcPr>
          <w:p w14:paraId="5372144D"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5A81B380"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3CD0140F"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159E6622"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78C0E24B" w14:textId="77777777" w:rsidR="00A6628F" w:rsidRPr="00357B0B" w:rsidRDefault="00A6628F" w:rsidP="007155F2">
            <w:pPr>
              <w:spacing w:line="240" w:lineRule="auto"/>
              <w:jc w:val="left"/>
              <w:rPr>
                <w:rFonts w:eastAsia="Times New Roman" w:cs="Arial"/>
                <w:sz w:val="18"/>
                <w:szCs w:val="18"/>
                <w:lang w:eastAsia="en-GB"/>
              </w:rPr>
            </w:pPr>
            <w:r w:rsidRPr="00357B0B">
              <w:rPr>
                <w:rFonts w:eastAsia="Times New Roman" w:cs="Arial"/>
                <w:sz w:val="18"/>
                <w:szCs w:val="18"/>
                <w:lang w:eastAsia="en-GB"/>
              </w:rPr>
              <w:t xml:space="preserve"> </w:t>
            </w:r>
          </w:p>
        </w:tc>
        <w:tc>
          <w:tcPr>
            <w:tcW w:w="1240" w:type="dxa"/>
            <w:shd w:val="clear" w:color="auto" w:fill="auto"/>
            <w:noWrap/>
            <w:tcMar>
              <w:left w:w="28" w:type="dxa"/>
              <w:right w:w="28" w:type="dxa"/>
            </w:tcMar>
            <w:vAlign w:val="center"/>
            <w:hideMark/>
          </w:tcPr>
          <w:p w14:paraId="1AB63D14"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5C51D60C"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4A8D6386"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2D2FEB5D"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226526E7"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3125F0D0" w14:textId="77777777" w:rsidTr="007155F2">
        <w:tc>
          <w:tcPr>
            <w:tcW w:w="1555" w:type="dxa"/>
            <w:shd w:val="clear" w:color="auto" w:fill="auto"/>
            <w:noWrap/>
            <w:tcMar>
              <w:left w:w="28" w:type="dxa"/>
              <w:right w:w="28" w:type="dxa"/>
            </w:tcMar>
            <w:vAlign w:val="center"/>
            <w:hideMark/>
          </w:tcPr>
          <w:p w14:paraId="0D4C0F04"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Gleason score</w:t>
            </w:r>
          </w:p>
        </w:tc>
        <w:tc>
          <w:tcPr>
            <w:tcW w:w="1240" w:type="dxa"/>
            <w:shd w:val="clear" w:color="auto" w:fill="auto"/>
            <w:noWrap/>
            <w:tcMar>
              <w:left w:w="28" w:type="dxa"/>
              <w:right w:w="28" w:type="dxa"/>
            </w:tcMar>
            <w:vAlign w:val="center"/>
            <w:hideMark/>
          </w:tcPr>
          <w:p w14:paraId="39E8D210"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noWrap/>
            <w:tcMar>
              <w:left w:w="28" w:type="dxa"/>
              <w:right w:w="28" w:type="dxa"/>
            </w:tcMar>
            <w:vAlign w:val="center"/>
            <w:hideMark/>
          </w:tcPr>
          <w:p w14:paraId="33CF7FD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3A680E48"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44F8BC5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155D594D"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3937ABB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1" w:type="dxa"/>
            <w:shd w:val="clear" w:color="auto" w:fill="auto"/>
            <w:noWrap/>
            <w:tcMar>
              <w:left w:w="28" w:type="dxa"/>
              <w:right w:w="28" w:type="dxa"/>
            </w:tcMar>
            <w:vAlign w:val="center"/>
            <w:hideMark/>
          </w:tcPr>
          <w:p w14:paraId="27C2CBDE"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7713D55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4EEB842E"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3C3AA70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r>
      <w:tr w:rsidR="00A6628F" w:rsidRPr="00357B0B" w14:paraId="26162DD9" w14:textId="77777777" w:rsidTr="007155F2">
        <w:tc>
          <w:tcPr>
            <w:tcW w:w="1555" w:type="dxa"/>
            <w:shd w:val="clear" w:color="auto" w:fill="auto"/>
            <w:noWrap/>
            <w:tcMar>
              <w:left w:w="28" w:type="dxa"/>
              <w:right w:w="28" w:type="dxa"/>
            </w:tcMar>
            <w:vAlign w:val="center"/>
            <w:hideMark/>
          </w:tcPr>
          <w:p w14:paraId="1794236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w:t>
            </w:r>
          </w:p>
        </w:tc>
        <w:tc>
          <w:tcPr>
            <w:tcW w:w="1240" w:type="dxa"/>
            <w:shd w:val="clear" w:color="auto" w:fill="auto"/>
            <w:noWrap/>
            <w:tcMar>
              <w:left w:w="28" w:type="dxa"/>
              <w:right w:w="28" w:type="dxa"/>
            </w:tcMar>
            <w:vAlign w:val="center"/>
            <w:hideMark/>
          </w:tcPr>
          <w:p w14:paraId="291FA12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85.4</w:t>
            </w:r>
          </w:p>
          <w:p w14:paraId="3D753FF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(84.7-86.1)</w:t>
            </w:r>
          </w:p>
        </w:tc>
        <w:tc>
          <w:tcPr>
            <w:tcW w:w="1240" w:type="dxa"/>
            <w:shd w:val="clear" w:color="auto" w:fill="auto"/>
            <w:noWrap/>
            <w:tcMar>
              <w:left w:w="28" w:type="dxa"/>
              <w:right w:w="28" w:type="dxa"/>
            </w:tcMar>
            <w:vAlign w:val="center"/>
            <w:hideMark/>
          </w:tcPr>
          <w:p w14:paraId="56248DF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81.0</w:t>
            </w:r>
          </w:p>
          <w:p w14:paraId="5366703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(80.3-81.6)</w:t>
            </w:r>
          </w:p>
        </w:tc>
        <w:tc>
          <w:tcPr>
            <w:tcW w:w="1240" w:type="dxa"/>
            <w:shd w:val="clear" w:color="auto" w:fill="auto"/>
            <w:noWrap/>
            <w:tcMar>
              <w:left w:w="28" w:type="dxa"/>
              <w:right w:w="28" w:type="dxa"/>
            </w:tcMar>
            <w:vAlign w:val="center"/>
            <w:hideMark/>
          </w:tcPr>
          <w:p w14:paraId="1BEC4FD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86.9</w:t>
            </w:r>
          </w:p>
          <w:p w14:paraId="53BECA3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(86.4-87.4)</w:t>
            </w:r>
          </w:p>
        </w:tc>
        <w:tc>
          <w:tcPr>
            <w:tcW w:w="1241" w:type="dxa"/>
            <w:shd w:val="clear" w:color="auto" w:fill="auto"/>
            <w:noWrap/>
            <w:tcMar>
              <w:left w:w="28" w:type="dxa"/>
              <w:right w:w="28" w:type="dxa"/>
            </w:tcMar>
            <w:vAlign w:val="center"/>
            <w:hideMark/>
          </w:tcPr>
          <w:p w14:paraId="59613A4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81.9</w:t>
            </w:r>
          </w:p>
          <w:p w14:paraId="0206D2B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(81.5-82.4)</w:t>
            </w:r>
          </w:p>
        </w:tc>
        <w:tc>
          <w:tcPr>
            <w:tcW w:w="1240" w:type="dxa"/>
            <w:shd w:val="clear" w:color="auto" w:fill="auto"/>
            <w:noWrap/>
            <w:tcMar>
              <w:left w:w="28" w:type="dxa"/>
              <w:right w:w="28" w:type="dxa"/>
            </w:tcMar>
            <w:vAlign w:val="center"/>
            <w:hideMark/>
          </w:tcPr>
          <w:p w14:paraId="5ACEDDD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92.2</w:t>
            </w:r>
          </w:p>
          <w:p w14:paraId="4D22859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(91.7-92.7)</w:t>
            </w:r>
          </w:p>
        </w:tc>
        <w:tc>
          <w:tcPr>
            <w:tcW w:w="1240" w:type="dxa"/>
            <w:shd w:val="clear" w:color="auto" w:fill="auto"/>
            <w:noWrap/>
            <w:tcMar>
              <w:left w:w="28" w:type="dxa"/>
              <w:right w:w="28" w:type="dxa"/>
            </w:tcMar>
            <w:vAlign w:val="center"/>
            <w:hideMark/>
          </w:tcPr>
          <w:p w14:paraId="406C9B1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89.0</w:t>
            </w:r>
          </w:p>
          <w:p w14:paraId="2186D75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(88.5-89.4)</w:t>
            </w:r>
          </w:p>
        </w:tc>
        <w:tc>
          <w:tcPr>
            <w:tcW w:w="1241" w:type="dxa"/>
            <w:shd w:val="clear" w:color="auto" w:fill="auto"/>
            <w:noWrap/>
            <w:tcMar>
              <w:left w:w="28" w:type="dxa"/>
              <w:right w:w="28" w:type="dxa"/>
            </w:tcMar>
            <w:vAlign w:val="center"/>
            <w:hideMark/>
          </w:tcPr>
          <w:p w14:paraId="4D00D6F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40.2</w:t>
            </w:r>
          </w:p>
          <w:p w14:paraId="3444775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(39.0-41.3)</w:t>
            </w:r>
          </w:p>
        </w:tc>
        <w:tc>
          <w:tcPr>
            <w:tcW w:w="1240" w:type="dxa"/>
            <w:shd w:val="clear" w:color="auto" w:fill="auto"/>
            <w:noWrap/>
            <w:tcMar>
              <w:left w:w="28" w:type="dxa"/>
              <w:right w:w="28" w:type="dxa"/>
            </w:tcMar>
            <w:vAlign w:val="center"/>
            <w:hideMark/>
          </w:tcPr>
          <w:p w14:paraId="41A2E66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34.9</w:t>
            </w:r>
          </w:p>
          <w:p w14:paraId="216DADD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(34.0-35.7)</w:t>
            </w:r>
          </w:p>
        </w:tc>
        <w:tc>
          <w:tcPr>
            <w:tcW w:w="1240" w:type="dxa"/>
            <w:shd w:val="clear" w:color="auto" w:fill="auto"/>
            <w:noWrap/>
            <w:tcMar>
              <w:left w:w="28" w:type="dxa"/>
              <w:right w:w="28" w:type="dxa"/>
            </w:tcMar>
            <w:vAlign w:val="center"/>
            <w:hideMark/>
          </w:tcPr>
          <w:p w14:paraId="07B2382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88.6</w:t>
            </w:r>
          </w:p>
          <w:p w14:paraId="5B218C2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(88.1-89.1)</w:t>
            </w:r>
          </w:p>
        </w:tc>
        <w:tc>
          <w:tcPr>
            <w:tcW w:w="1241" w:type="dxa"/>
            <w:shd w:val="clear" w:color="auto" w:fill="auto"/>
            <w:noWrap/>
            <w:tcMar>
              <w:left w:w="28" w:type="dxa"/>
              <w:right w:w="28" w:type="dxa"/>
            </w:tcMar>
            <w:vAlign w:val="center"/>
            <w:hideMark/>
          </w:tcPr>
          <w:p w14:paraId="310ABFC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84.1</w:t>
            </w:r>
          </w:p>
          <w:p w14:paraId="046B5E8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(83.5-84.6)</w:t>
            </w:r>
          </w:p>
        </w:tc>
      </w:tr>
      <w:tr w:rsidR="00A6628F" w:rsidRPr="00357B0B" w14:paraId="7EB8696F" w14:textId="77777777" w:rsidTr="007155F2">
        <w:tc>
          <w:tcPr>
            <w:tcW w:w="1555" w:type="dxa"/>
            <w:shd w:val="clear" w:color="auto" w:fill="auto"/>
            <w:noWrap/>
            <w:tcMar>
              <w:left w:w="28" w:type="dxa"/>
              <w:right w:w="28" w:type="dxa"/>
            </w:tcMar>
            <w:vAlign w:val="center"/>
            <w:hideMark/>
          </w:tcPr>
          <w:p w14:paraId="3BE9984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w:t>
            </w:r>
          </w:p>
        </w:tc>
        <w:tc>
          <w:tcPr>
            <w:tcW w:w="1240" w:type="dxa"/>
            <w:shd w:val="clear" w:color="auto" w:fill="auto"/>
            <w:noWrap/>
            <w:tcMar>
              <w:left w:w="28" w:type="dxa"/>
              <w:right w:w="28" w:type="dxa"/>
            </w:tcMar>
            <w:vAlign w:val="center"/>
            <w:hideMark/>
          </w:tcPr>
          <w:p w14:paraId="0B83A95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83.4</w:t>
            </w:r>
          </w:p>
          <w:p w14:paraId="55046EB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(82.8-83.9)</w:t>
            </w:r>
          </w:p>
        </w:tc>
        <w:tc>
          <w:tcPr>
            <w:tcW w:w="1240" w:type="dxa"/>
            <w:shd w:val="clear" w:color="auto" w:fill="auto"/>
            <w:noWrap/>
            <w:tcMar>
              <w:left w:w="28" w:type="dxa"/>
              <w:right w:w="28" w:type="dxa"/>
            </w:tcMar>
            <w:vAlign w:val="center"/>
            <w:hideMark/>
          </w:tcPr>
          <w:p w14:paraId="2618ED0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79.2</w:t>
            </w:r>
          </w:p>
          <w:p w14:paraId="2548F68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(78.7-79.7)</w:t>
            </w:r>
          </w:p>
        </w:tc>
        <w:tc>
          <w:tcPr>
            <w:tcW w:w="1240" w:type="dxa"/>
            <w:shd w:val="clear" w:color="auto" w:fill="auto"/>
            <w:noWrap/>
            <w:tcMar>
              <w:left w:w="28" w:type="dxa"/>
              <w:right w:w="28" w:type="dxa"/>
            </w:tcMar>
            <w:vAlign w:val="center"/>
            <w:hideMark/>
          </w:tcPr>
          <w:p w14:paraId="7B25CD7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88.0</w:t>
            </w:r>
          </w:p>
          <w:p w14:paraId="7447375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(87.6-88.4)</w:t>
            </w:r>
          </w:p>
        </w:tc>
        <w:tc>
          <w:tcPr>
            <w:tcW w:w="1241" w:type="dxa"/>
            <w:shd w:val="clear" w:color="auto" w:fill="auto"/>
            <w:noWrap/>
            <w:tcMar>
              <w:left w:w="28" w:type="dxa"/>
              <w:right w:w="28" w:type="dxa"/>
            </w:tcMar>
            <w:vAlign w:val="center"/>
            <w:hideMark/>
          </w:tcPr>
          <w:p w14:paraId="6B224BE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83.2</w:t>
            </w:r>
          </w:p>
          <w:p w14:paraId="1DC60A2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(82.8-83.6)</w:t>
            </w:r>
          </w:p>
        </w:tc>
        <w:tc>
          <w:tcPr>
            <w:tcW w:w="1240" w:type="dxa"/>
            <w:shd w:val="clear" w:color="auto" w:fill="auto"/>
            <w:noWrap/>
            <w:tcMar>
              <w:left w:w="28" w:type="dxa"/>
              <w:right w:w="28" w:type="dxa"/>
            </w:tcMar>
            <w:vAlign w:val="center"/>
            <w:hideMark/>
          </w:tcPr>
          <w:p w14:paraId="517F2C3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89.8</w:t>
            </w:r>
          </w:p>
          <w:p w14:paraId="16CF20F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(89.4-90.2)</w:t>
            </w:r>
          </w:p>
        </w:tc>
        <w:tc>
          <w:tcPr>
            <w:tcW w:w="1240" w:type="dxa"/>
            <w:shd w:val="clear" w:color="auto" w:fill="auto"/>
            <w:noWrap/>
            <w:tcMar>
              <w:left w:w="28" w:type="dxa"/>
              <w:right w:w="28" w:type="dxa"/>
            </w:tcMar>
            <w:vAlign w:val="center"/>
            <w:hideMark/>
          </w:tcPr>
          <w:p w14:paraId="2330F41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86.1</w:t>
            </w:r>
          </w:p>
          <w:p w14:paraId="28118F1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(85.7-86.5)</w:t>
            </w:r>
          </w:p>
        </w:tc>
        <w:tc>
          <w:tcPr>
            <w:tcW w:w="1241" w:type="dxa"/>
            <w:shd w:val="clear" w:color="auto" w:fill="auto"/>
            <w:noWrap/>
            <w:tcMar>
              <w:left w:w="28" w:type="dxa"/>
              <w:right w:w="28" w:type="dxa"/>
            </w:tcMar>
            <w:vAlign w:val="center"/>
            <w:hideMark/>
          </w:tcPr>
          <w:p w14:paraId="44AC4D8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27.4</w:t>
            </w:r>
          </w:p>
          <w:p w14:paraId="2127603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(26.7-28.1)</w:t>
            </w:r>
          </w:p>
        </w:tc>
        <w:tc>
          <w:tcPr>
            <w:tcW w:w="1240" w:type="dxa"/>
            <w:shd w:val="clear" w:color="auto" w:fill="auto"/>
            <w:noWrap/>
            <w:tcMar>
              <w:left w:w="28" w:type="dxa"/>
              <w:right w:w="28" w:type="dxa"/>
            </w:tcMar>
            <w:vAlign w:val="center"/>
            <w:hideMark/>
          </w:tcPr>
          <w:p w14:paraId="7EA37AA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21.9</w:t>
            </w:r>
          </w:p>
          <w:p w14:paraId="60A4E32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(21.4-22.4)</w:t>
            </w:r>
          </w:p>
        </w:tc>
        <w:tc>
          <w:tcPr>
            <w:tcW w:w="1240" w:type="dxa"/>
            <w:shd w:val="clear" w:color="auto" w:fill="auto"/>
            <w:noWrap/>
            <w:tcMar>
              <w:left w:w="28" w:type="dxa"/>
              <w:right w:w="28" w:type="dxa"/>
            </w:tcMar>
            <w:vAlign w:val="center"/>
            <w:hideMark/>
          </w:tcPr>
          <w:p w14:paraId="30AB5FD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83.9</w:t>
            </w:r>
          </w:p>
          <w:p w14:paraId="398924B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(83.4-84.4)</w:t>
            </w:r>
          </w:p>
        </w:tc>
        <w:tc>
          <w:tcPr>
            <w:tcW w:w="1241" w:type="dxa"/>
            <w:shd w:val="clear" w:color="auto" w:fill="auto"/>
            <w:noWrap/>
            <w:tcMar>
              <w:left w:w="28" w:type="dxa"/>
              <w:right w:w="28" w:type="dxa"/>
            </w:tcMar>
            <w:vAlign w:val="center"/>
            <w:hideMark/>
          </w:tcPr>
          <w:p w14:paraId="5D53016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77.8</w:t>
            </w:r>
          </w:p>
          <w:p w14:paraId="5469ED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(77.4-78.3)</w:t>
            </w:r>
          </w:p>
        </w:tc>
      </w:tr>
      <w:tr w:rsidR="00A6628F" w:rsidRPr="00357B0B" w14:paraId="61F50115" w14:textId="77777777" w:rsidTr="007155F2">
        <w:tc>
          <w:tcPr>
            <w:tcW w:w="1555" w:type="dxa"/>
            <w:shd w:val="clear" w:color="auto" w:fill="auto"/>
            <w:noWrap/>
            <w:tcMar>
              <w:left w:w="28" w:type="dxa"/>
              <w:right w:w="28" w:type="dxa"/>
            </w:tcMar>
            <w:vAlign w:val="center"/>
            <w:hideMark/>
          </w:tcPr>
          <w:p w14:paraId="03B1B36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8-10</w:t>
            </w:r>
          </w:p>
        </w:tc>
        <w:tc>
          <w:tcPr>
            <w:tcW w:w="1240" w:type="dxa"/>
            <w:shd w:val="clear" w:color="auto" w:fill="auto"/>
            <w:noWrap/>
            <w:tcMar>
              <w:left w:w="28" w:type="dxa"/>
              <w:right w:w="28" w:type="dxa"/>
            </w:tcMar>
            <w:vAlign w:val="center"/>
            <w:hideMark/>
          </w:tcPr>
          <w:p w14:paraId="533B1AA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83.1</w:t>
            </w:r>
          </w:p>
          <w:p w14:paraId="1D7A5C0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(82.1-84.1)</w:t>
            </w:r>
          </w:p>
        </w:tc>
        <w:tc>
          <w:tcPr>
            <w:tcW w:w="1240" w:type="dxa"/>
            <w:shd w:val="clear" w:color="auto" w:fill="auto"/>
            <w:noWrap/>
            <w:tcMar>
              <w:left w:w="28" w:type="dxa"/>
              <w:right w:w="28" w:type="dxa"/>
            </w:tcMar>
            <w:vAlign w:val="center"/>
            <w:hideMark/>
          </w:tcPr>
          <w:p w14:paraId="7A2926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80.9</w:t>
            </w:r>
          </w:p>
          <w:p w14:paraId="17B5D7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(80.3-81.5)</w:t>
            </w:r>
          </w:p>
        </w:tc>
        <w:tc>
          <w:tcPr>
            <w:tcW w:w="1240" w:type="dxa"/>
            <w:shd w:val="clear" w:color="auto" w:fill="auto"/>
            <w:noWrap/>
            <w:tcMar>
              <w:left w:w="28" w:type="dxa"/>
              <w:right w:w="28" w:type="dxa"/>
            </w:tcMar>
            <w:vAlign w:val="center"/>
            <w:hideMark/>
          </w:tcPr>
          <w:p w14:paraId="360831E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86.1</w:t>
            </w:r>
          </w:p>
          <w:p w14:paraId="736ED0B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(85.4-86.8)</w:t>
            </w:r>
          </w:p>
        </w:tc>
        <w:tc>
          <w:tcPr>
            <w:tcW w:w="1241" w:type="dxa"/>
            <w:shd w:val="clear" w:color="auto" w:fill="auto"/>
            <w:noWrap/>
            <w:tcMar>
              <w:left w:w="28" w:type="dxa"/>
              <w:right w:w="28" w:type="dxa"/>
            </w:tcMar>
            <w:vAlign w:val="center"/>
            <w:hideMark/>
          </w:tcPr>
          <w:p w14:paraId="7D4900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81.9</w:t>
            </w:r>
          </w:p>
          <w:p w14:paraId="74A40AA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(81.4-82.3)</w:t>
            </w:r>
          </w:p>
        </w:tc>
        <w:tc>
          <w:tcPr>
            <w:tcW w:w="1240" w:type="dxa"/>
            <w:shd w:val="clear" w:color="auto" w:fill="auto"/>
            <w:noWrap/>
            <w:tcMar>
              <w:left w:w="28" w:type="dxa"/>
              <w:right w:w="28" w:type="dxa"/>
            </w:tcMar>
            <w:vAlign w:val="center"/>
            <w:hideMark/>
          </w:tcPr>
          <w:p w14:paraId="5438B94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86.5</w:t>
            </w:r>
          </w:p>
          <w:p w14:paraId="1F27A25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(85.6-87.5)</w:t>
            </w:r>
          </w:p>
        </w:tc>
        <w:tc>
          <w:tcPr>
            <w:tcW w:w="1240" w:type="dxa"/>
            <w:shd w:val="clear" w:color="auto" w:fill="auto"/>
            <w:noWrap/>
            <w:tcMar>
              <w:left w:w="28" w:type="dxa"/>
              <w:right w:w="28" w:type="dxa"/>
            </w:tcMar>
            <w:vAlign w:val="center"/>
            <w:hideMark/>
          </w:tcPr>
          <w:p w14:paraId="4E8BD87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84.9</w:t>
            </w:r>
          </w:p>
          <w:p w14:paraId="65FD416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(84.3-85.4)</w:t>
            </w:r>
          </w:p>
        </w:tc>
        <w:tc>
          <w:tcPr>
            <w:tcW w:w="1241" w:type="dxa"/>
            <w:shd w:val="clear" w:color="auto" w:fill="auto"/>
            <w:noWrap/>
            <w:tcMar>
              <w:left w:w="28" w:type="dxa"/>
              <w:right w:w="28" w:type="dxa"/>
            </w:tcMar>
            <w:vAlign w:val="center"/>
            <w:hideMark/>
          </w:tcPr>
          <w:p w14:paraId="3FC2C7E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15.9</w:t>
            </w:r>
          </w:p>
          <w:p w14:paraId="2E7C180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(15.0-16.8)</w:t>
            </w:r>
          </w:p>
        </w:tc>
        <w:tc>
          <w:tcPr>
            <w:tcW w:w="1240" w:type="dxa"/>
            <w:shd w:val="clear" w:color="auto" w:fill="auto"/>
            <w:noWrap/>
            <w:tcMar>
              <w:left w:w="28" w:type="dxa"/>
              <w:right w:w="28" w:type="dxa"/>
            </w:tcMar>
            <w:vAlign w:val="center"/>
            <w:hideMark/>
          </w:tcPr>
          <w:p w14:paraId="69B28AF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13.0</w:t>
            </w:r>
          </w:p>
          <w:p w14:paraId="018A68C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(12.6-13.4)</w:t>
            </w:r>
          </w:p>
        </w:tc>
        <w:tc>
          <w:tcPr>
            <w:tcW w:w="1240" w:type="dxa"/>
            <w:shd w:val="clear" w:color="auto" w:fill="auto"/>
            <w:noWrap/>
            <w:tcMar>
              <w:left w:w="28" w:type="dxa"/>
              <w:right w:w="28" w:type="dxa"/>
            </w:tcMar>
            <w:vAlign w:val="center"/>
            <w:hideMark/>
          </w:tcPr>
          <w:p w14:paraId="35E2202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73.6</w:t>
            </w:r>
          </w:p>
          <w:p w14:paraId="3EF7BF0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(72.6-74.6)</w:t>
            </w:r>
          </w:p>
        </w:tc>
        <w:tc>
          <w:tcPr>
            <w:tcW w:w="1241" w:type="dxa"/>
            <w:shd w:val="clear" w:color="auto" w:fill="auto"/>
            <w:noWrap/>
            <w:tcMar>
              <w:left w:w="28" w:type="dxa"/>
              <w:right w:w="28" w:type="dxa"/>
            </w:tcMar>
            <w:vAlign w:val="center"/>
            <w:hideMark/>
          </w:tcPr>
          <w:p w14:paraId="4167319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67.5</w:t>
            </w:r>
          </w:p>
          <w:p w14:paraId="2EE6A92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(66.9-68.1)</w:t>
            </w:r>
          </w:p>
        </w:tc>
      </w:tr>
    </w:tbl>
    <w:p w14:paraId="0F376563" w14:textId="77777777" w:rsidR="00A6628F" w:rsidRDefault="00A6628F" w:rsidP="00A6628F"/>
    <w:p w14:paraId="5B3949E0" w14:textId="77777777" w:rsidR="00A6628F" w:rsidRDefault="00A6628F" w:rsidP="00A6628F"/>
    <w:p w14:paraId="3FD3F815" w14:textId="77777777" w:rsidR="00A6628F" w:rsidRPr="00357B0B" w:rsidRDefault="00A6628F" w:rsidP="00A6628F">
      <w:pPr>
        <w:rPr>
          <w:rFonts w:cs="Arial"/>
          <w:sz w:val="20"/>
          <w:szCs w:val="20"/>
        </w:rPr>
      </w:pPr>
      <w:r w:rsidRPr="00357B0B">
        <w:rPr>
          <w:rFonts w:cs="Arial"/>
          <w:i/>
          <w:sz w:val="20"/>
          <w:szCs w:val="20"/>
        </w:rPr>
        <w:lastRenderedPageBreak/>
        <w:t>Table S4 continued</w:t>
      </w: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40"/>
        <w:gridCol w:w="1240"/>
        <w:gridCol w:w="1240"/>
        <w:gridCol w:w="1241"/>
        <w:gridCol w:w="1240"/>
        <w:gridCol w:w="1240"/>
        <w:gridCol w:w="1241"/>
        <w:gridCol w:w="1240"/>
        <w:gridCol w:w="1240"/>
        <w:gridCol w:w="1241"/>
      </w:tblGrid>
      <w:tr w:rsidR="00A6628F" w:rsidRPr="00357B0B" w14:paraId="149DC9F8" w14:textId="77777777" w:rsidTr="007155F2">
        <w:trPr>
          <w:trHeight w:val="227"/>
        </w:trPr>
        <w:tc>
          <w:tcPr>
            <w:tcW w:w="1555" w:type="dxa"/>
            <w:vMerge w:val="restart"/>
            <w:shd w:val="clear" w:color="auto" w:fill="auto"/>
            <w:tcMar>
              <w:left w:w="28" w:type="dxa"/>
              <w:right w:w="28" w:type="dxa"/>
            </w:tcMar>
            <w:vAlign w:val="center"/>
          </w:tcPr>
          <w:p w14:paraId="41E11213"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Respondent characteristics </w:t>
            </w:r>
          </w:p>
        </w:tc>
        <w:tc>
          <w:tcPr>
            <w:tcW w:w="12403" w:type="dxa"/>
            <w:gridSpan w:val="10"/>
            <w:shd w:val="clear" w:color="auto" w:fill="auto"/>
            <w:tcMar>
              <w:left w:w="28" w:type="dxa"/>
              <w:right w:w="28" w:type="dxa"/>
            </w:tcMar>
            <w:vAlign w:val="center"/>
          </w:tcPr>
          <w:p w14:paraId="727F3193"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rPr>
              <w:t xml:space="preserve">Mean functional outcome score (EPIC-26) (95% CI) </w:t>
            </w:r>
            <w:proofErr w:type="spellStart"/>
            <w:r w:rsidRPr="00357B0B">
              <w:rPr>
                <w:rFonts w:eastAsia="Times New Roman" w:cs="Arial"/>
                <w:b/>
                <w:bCs/>
                <w:color w:val="000000"/>
                <w:sz w:val="18"/>
                <w:szCs w:val="18"/>
                <w:vertAlign w:val="superscript"/>
              </w:rPr>
              <w:t>a,b</w:t>
            </w:r>
            <w:proofErr w:type="spellEnd"/>
            <w:r w:rsidRPr="00357B0B">
              <w:rPr>
                <w:rFonts w:eastAsia="Times New Roman" w:cs="Arial"/>
                <w:b/>
                <w:bCs/>
                <w:color w:val="000000"/>
                <w:sz w:val="18"/>
                <w:szCs w:val="18"/>
                <w:vertAlign w:val="superscript"/>
              </w:rPr>
              <w:t xml:space="preserve">  </w:t>
            </w:r>
            <w:r w:rsidRPr="00357B0B">
              <w:rPr>
                <w:rFonts w:eastAsia="Times New Roman" w:cs="Arial"/>
                <w:b/>
                <w:color w:val="000000"/>
                <w:sz w:val="18"/>
                <w:szCs w:val="18"/>
                <w:lang w:eastAsia="en-GB"/>
              </w:rPr>
              <w:t>(n=32,588)</w:t>
            </w:r>
          </w:p>
        </w:tc>
      </w:tr>
      <w:tr w:rsidR="00A6628F" w:rsidRPr="00357B0B" w14:paraId="38614832" w14:textId="77777777" w:rsidTr="007155F2">
        <w:trPr>
          <w:trHeight w:val="227"/>
        </w:trPr>
        <w:tc>
          <w:tcPr>
            <w:tcW w:w="1555" w:type="dxa"/>
            <w:vMerge/>
            <w:shd w:val="clear" w:color="auto" w:fill="auto"/>
            <w:tcMar>
              <w:left w:w="28" w:type="dxa"/>
              <w:right w:w="28" w:type="dxa"/>
            </w:tcMar>
            <w:vAlign w:val="center"/>
            <w:hideMark/>
          </w:tcPr>
          <w:p w14:paraId="0459E26C"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2480" w:type="dxa"/>
            <w:gridSpan w:val="2"/>
            <w:shd w:val="clear" w:color="auto" w:fill="auto"/>
            <w:tcMar>
              <w:left w:w="28" w:type="dxa"/>
              <w:right w:w="28" w:type="dxa"/>
            </w:tcMar>
            <w:vAlign w:val="center"/>
            <w:hideMark/>
          </w:tcPr>
          <w:p w14:paraId="07500CF9"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Urinary incontinence</w:t>
            </w:r>
          </w:p>
        </w:tc>
        <w:tc>
          <w:tcPr>
            <w:tcW w:w="2481" w:type="dxa"/>
            <w:gridSpan w:val="2"/>
            <w:shd w:val="clear" w:color="auto" w:fill="auto"/>
            <w:tcMar>
              <w:left w:w="28" w:type="dxa"/>
              <w:right w:w="28" w:type="dxa"/>
            </w:tcMar>
            <w:vAlign w:val="center"/>
            <w:hideMark/>
          </w:tcPr>
          <w:p w14:paraId="250E67BA"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Urinary irritation/ obstruction</w:t>
            </w:r>
          </w:p>
        </w:tc>
        <w:tc>
          <w:tcPr>
            <w:tcW w:w="2480" w:type="dxa"/>
            <w:gridSpan w:val="2"/>
            <w:shd w:val="clear" w:color="auto" w:fill="auto"/>
            <w:tcMar>
              <w:left w:w="28" w:type="dxa"/>
              <w:right w:w="28" w:type="dxa"/>
            </w:tcMar>
            <w:vAlign w:val="center"/>
            <w:hideMark/>
          </w:tcPr>
          <w:p w14:paraId="34AE180C"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Bowel function</w:t>
            </w:r>
          </w:p>
        </w:tc>
        <w:tc>
          <w:tcPr>
            <w:tcW w:w="2481" w:type="dxa"/>
            <w:gridSpan w:val="2"/>
            <w:shd w:val="clear" w:color="auto" w:fill="auto"/>
            <w:tcMar>
              <w:left w:w="28" w:type="dxa"/>
              <w:right w:w="28" w:type="dxa"/>
            </w:tcMar>
            <w:vAlign w:val="center"/>
            <w:hideMark/>
          </w:tcPr>
          <w:p w14:paraId="15DD5728"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Sexual function</w:t>
            </w:r>
          </w:p>
        </w:tc>
        <w:tc>
          <w:tcPr>
            <w:tcW w:w="2481" w:type="dxa"/>
            <w:gridSpan w:val="2"/>
            <w:shd w:val="clear" w:color="auto" w:fill="auto"/>
            <w:tcMar>
              <w:left w:w="28" w:type="dxa"/>
              <w:right w:w="28" w:type="dxa"/>
            </w:tcMar>
            <w:vAlign w:val="center"/>
            <w:hideMark/>
          </w:tcPr>
          <w:p w14:paraId="6765685B"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Vitality/hormonal function</w:t>
            </w:r>
          </w:p>
        </w:tc>
      </w:tr>
      <w:tr w:rsidR="00A6628F" w:rsidRPr="00357B0B" w14:paraId="1E68E54C" w14:textId="77777777" w:rsidTr="007155F2">
        <w:trPr>
          <w:trHeight w:val="320"/>
        </w:trPr>
        <w:tc>
          <w:tcPr>
            <w:tcW w:w="1555" w:type="dxa"/>
            <w:vMerge/>
            <w:shd w:val="clear" w:color="auto" w:fill="auto"/>
            <w:noWrap/>
            <w:tcMar>
              <w:left w:w="28" w:type="dxa"/>
              <w:right w:w="28" w:type="dxa"/>
            </w:tcMar>
            <w:vAlign w:val="center"/>
            <w:hideMark/>
          </w:tcPr>
          <w:p w14:paraId="071B778A"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tcMar>
              <w:left w:w="28" w:type="dxa"/>
              <w:right w:w="28" w:type="dxa"/>
            </w:tcMar>
            <w:vAlign w:val="center"/>
            <w:hideMark/>
          </w:tcPr>
          <w:p w14:paraId="43C5A6A6"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0" w:type="dxa"/>
            <w:shd w:val="clear" w:color="auto" w:fill="auto"/>
            <w:tcMar>
              <w:left w:w="28" w:type="dxa"/>
              <w:right w:w="28" w:type="dxa"/>
            </w:tcMar>
            <w:vAlign w:val="center"/>
            <w:hideMark/>
          </w:tcPr>
          <w:p w14:paraId="10970D04"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c>
          <w:tcPr>
            <w:tcW w:w="1240" w:type="dxa"/>
            <w:shd w:val="clear" w:color="auto" w:fill="auto"/>
            <w:tcMar>
              <w:left w:w="28" w:type="dxa"/>
              <w:right w:w="28" w:type="dxa"/>
            </w:tcMar>
            <w:vAlign w:val="center"/>
            <w:hideMark/>
          </w:tcPr>
          <w:p w14:paraId="0DDB1CB6"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1" w:type="dxa"/>
            <w:shd w:val="clear" w:color="auto" w:fill="auto"/>
            <w:tcMar>
              <w:left w:w="28" w:type="dxa"/>
              <w:right w:w="28" w:type="dxa"/>
            </w:tcMar>
            <w:vAlign w:val="center"/>
            <w:hideMark/>
          </w:tcPr>
          <w:p w14:paraId="29E925D2"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c>
          <w:tcPr>
            <w:tcW w:w="1240" w:type="dxa"/>
            <w:shd w:val="clear" w:color="auto" w:fill="auto"/>
            <w:tcMar>
              <w:left w:w="28" w:type="dxa"/>
              <w:right w:w="28" w:type="dxa"/>
            </w:tcMar>
            <w:vAlign w:val="center"/>
            <w:hideMark/>
          </w:tcPr>
          <w:p w14:paraId="705CA980"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0" w:type="dxa"/>
            <w:shd w:val="clear" w:color="auto" w:fill="auto"/>
            <w:tcMar>
              <w:left w:w="28" w:type="dxa"/>
              <w:right w:w="28" w:type="dxa"/>
            </w:tcMar>
            <w:vAlign w:val="center"/>
            <w:hideMark/>
          </w:tcPr>
          <w:p w14:paraId="2DDF86E4"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c>
          <w:tcPr>
            <w:tcW w:w="1241" w:type="dxa"/>
            <w:shd w:val="clear" w:color="auto" w:fill="auto"/>
            <w:tcMar>
              <w:left w:w="28" w:type="dxa"/>
              <w:right w:w="28" w:type="dxa"/>
            </w:tcMar>
            <w:vAlign w:val="center"/>
            <w:hideMark/>
          </w:tcPr>
          <w:p w14:paraId="7346A82D"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0" w:type="dxa"/>
            <w:shd w:val="clear" w:color="auto" w:fill="auto"/>
            <w:tcMar>
              <w:left w:w="28" w:type="dxa"/>
              <w:right w:w="28" w:type="dxa"/>
            </w:tcMar>
            <w:vAlign w:val="center"/>
            <w:hideMark/>
          </w:tcPr>
          <w:p w14:paraId="78AEADE5"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c>
          <w:tcPr>
            <w:tcW w:w="1240" w:type="dxa"/>
            <w:shd w:val="clear" w:color="auto" w:fill="auto"/>
            <w:tcMar>
              <w:left w:w="28" w:type="dxa"/>
              <w:right w:w="28" w:type="dxa"/>
            </w:tcMar>
            <w:vAlign w:val="center"/>
            <w:hideMark/>
          </w:tcPr>
          <w:p w14:paraId="60522B97"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PSA-detected</w:t>
            </w:r>
          </w:p>
        </w:tc>
        <w:tc>
          <w:tcPr>
            <w:tcW w:w="1241" w:type="dxa"/>
            <w:shd w:val="clear" w:color="auto" w:fill="auto"/>
            <w:tcMar>
              <w:left w:w="28" w:type="dxa"/>
              <w:right w:w="28" w:type="dxa"/>
            </w:tcMar>
            <w:vAlign w:val="center"/>
            <w:hideMark/>
          </w:tcPr>
          <w:p w14:paraId="4B5F345E"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Symptomatic</w:t>
            </w:r>
          </w:p>
        </w:tc>
      </w:tr>
      <w:tr w:rsidR="00A6628F" w:rsidRPr="00357B0B" w14:paraId="53F5F835" w14:textId="77777777" w:rsidTr="007155F2">
        <w:tc>
          <w:tcPr>
            <w:tcW w:w="1555" w:type="dxa"/>
            <w:shd w:val="clear" w:color="auto" w:fill="auto"/>
            <w:noWrap/>
            <w:tcMar>
              <w:left w:w="28" w:type="dxa"/>
              <w:right w:w="28" w:type="dxa"/>
            </w:tcMar>
            <w:vAlign w:val="center"/>
            <w:hideMark/>
          </w:tcPr>
          <w:p w14:paraId="393164B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240" w:type="dxa"/>
            <w:shd w:val="clear" w:color="auto" w:fill="auto"/>
            <w:noWrap/>
            <w:tcMar>
              <w:left w:w="28" w:type="dxa"/>
              <w:right w:w="28" w:type="dxa"/>
            </w:tcMar>
            <w:vAlign w:val="center"/>
            <w:hideMark/>
          </w:tcPr>
          <w:p w14:paraId="36F15443"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633A6661"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5276817C"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2752619E"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1E77AFA2"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7099AD65"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529DE9D6"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0F20912F"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6F6E74C3"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7B8261FC"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5169C525" w14:textId="77777777" w:rsidTr="007155F2">
        <w:tc>
          <w:tcPr>
            <w:tcW w:w="1555" w:type="dxa"/>
            <w:shd w:val="clear" w:color="auto" w:fill="auto"/>
            <w:noWrap/>
            <w:tcMar>
              <w:left w:w="28" w:type="dxa"/>
              <w:right w:w="28" w:type="dxa"/>
            </w:tcMar>
            <w:vAlign w:val="center"/>
            <w:hideMark/>
          </w:tcPr>
          <w:p w14:paraId="1E3FE63E"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Surgery</w:t>
            </w:r>
          </w:p>
        </w:tc>
        <w:tc>
          <w:tcPr>
            <w:tcW w:w="1240" w:type="dxa"/>
            <w:shd w:val="clear" w:color="auto" w:fill="auto"/>
            <w:noWrap/>
            <w:tcMar>
              <w:left w:w="28" w:type="dxa"/>
              <w:right w:w="28" w:type="dxa"/>
            </w:tcMar>
            <w:vAlign w:val="center"/>
            <w:hideMark/>
          </w:tcPr>
          <w:p w14:paraId="14709BF6"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noWrap/>
            <w:tcMar>
              <w:left w:w="28" w:type="dxa"/>
              <w:right w:w="28" w:type="dxa"/>
            </w:tcMar>
            <w:vAlign w:val="center"/>
            <w:hideMark/>
          </w:tcPr>
          <w:p w14:paraId="3F1BF22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2E249396"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4C3EB2C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1C5DCC4C"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55733C1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1" w:type="dxa"/>
            <w:shd w:val="clear" w:color="auto" w:fill="auto"/>
            <w:noWrap/>
            <w:tcMar>
              <w:left w:w="28" w:type="dxa"/>
              <w:right w:w="28" w:type="dxa"/>
            </w:tcMar>
            <w:vAlign w:val="center"/>
            <w:hideMark/>
          </w:tcPr>
          <w:p w14:paraId="40D49525"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366A8A0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303E035D"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5613D1F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r>
      <w:tr w:rsidR="00A6628F" w:rsidRPr="00357B0B" w14:paraId="0D9E0584" w14:textId="77777777" w:rsidTr="007155F2">
        <w:tc>
          <w:tcPr>
            <w:tcW w:w="1555" w:type="dxa"/>
            <w:shd w:val="clear" w:color="auto" w:fill="auto"/>
            <w:noWrap/>
            <w:tcMar>
              <w:left w:w="28" w:type="dxa"/>
              <w:right w:w="28" w:type="dxa"/>
            </w:tcMar>
            <w:vAlign w:val="center"/>
            <w:hideMark/>
          </w:tcPr>
          <w:p w14:paraId="61BCF7E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No</w:t>
            </w:r>
          </w:p>
        </w:tc>
        <w:tc>
          <w:tcPr>
            <w:tcW w:w="1240" w:type="dxa"/>
            <w:shd w:val="clear" w:color="auto" w:fill="auto"/>
            <w:noWrap/>
            <w:tcMar>
              <w:left w:w="28" w:type="dxa"/>
              <w:right w:w="28" w:type="dxa"/>
            </w:tcMar>
            <w:vAlign w:val="center"/>
            <w:hideMark/>
          </w:tcPr>
          <w:p w14:paraId="298036F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88.0</w:t>
            </w:r>
          </w:p>
          <w:p w14:paraId="36CA2D0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(87.6-88.4)</w:t>
            </w:r>
          </w:p>
        </w:tc>
        <w:tc>
          <w:tcPr>
            <w:tcW w:w="1240" w:type="dxa"/>
            <w:shd w:val="clear" w:color="auto" w:fill="auto"/>
            <w:noWrap/>
            <w:tcMar>
              <w:left w:w="28" w:type="dxa"/>
              <w:right w:w="28" w:type="dxa"/>
            </w:tcMar>
            <w:vAlign w:val="center"/>
            <w:hideMark/>
          </w:tcPr>
          <w:p w14:paraId="052D2F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83.3</w:t>
            </w:r>
          </w:p>
          <w:p w14:paraId="3182D99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(83.0-83.7)</w:t>
            </w:r>
          </w:p>
        </w:tc>
        <w:tc>
          <w:tcPr>
            <w:tcW w:w="1240" w:type="dxa"/>
            <w:shd w:val="clear" w:color="auto" w:fill="auto"/>
            <w:noWrap/>
            <w:tcMar>
              <w:left w:w="28" w:type="dxa"/>
              <w:right w:w="28" w:type="dxa"/>
            </w:tcMar>
            <w:vAlign w:val="center"/>
            <w:hideMark/>
          </w:tcPr>
          <w:p w14:paraId="03E2959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86.1</w:t>
            </w:r>
          </w:p>
          <w:p w14:paraId="269218A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(85.7-86.4)</w:t>
            </w:r>
          </w:p>
        </w:tc>
        <w:tc>
          <w:tcPr>
            <w:tcW w:w="1241" w:type="dxa"/>
            <w:shd w:val="clear" w:color="auto" w:fill="auto"/>
            <w:noWrap/>
            <w:tcMar>
              <w:left w:w="28" w:type="dxa"/>
              <w:right w:w="28" w:type="dxa"/>
            </w:tcMar>
            <w:vAlign w:val="center"/>
            <w:hideMark/>
          </w:tcPr>
          <w:p w14:paraId="4DC9759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81.3</w:t>
            </w:r>
          </w:p>
          <w:p w14:paraId="44B2274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(81.0-81.6)</w:t>
            </w:r>
          </w:p>
        </w:tc>
        <w:tc>
          <w:tcPr>
            <w:tcW w:w="1240" w:type="dxa"/>
            <w:shd w:val="clear" w:color="auto" w:fill="auto"/>
            <w:noWrap/>
            <w:tcMar>
              <w:left w:w="28" w:type="dxa"/>
              <w:right w:w="28" w:type="dxa"/>
            </w:tcMar>
            <w:vAlign w:val="center"/>
            <w:hideMark/>
          </w:tcPr>
          <w:p w14:paraId="0198E84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88.7</w:t>
            </w:r>
          </w:p>
          <w:p w14:paraId="62144C8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(88.3-89.1)</w:t>
            </w:r>
          </w:p>
        </w:tc>
        <w:tc>
          <w:tcPr>
            <w:tcW w:w="1240" w:type="dxa"/>
            <w:shd w:val="clear" w:color="auto" w:fill="auto"/>
            <w:noWrap/>
            <w:tcMar>
              <w:left w:w="28" w:type="dxa"/>
              <w:right w:w="28" w:type="dxa"/>
            </w:tcMar>
            <w:vAlign w:val="center"/>
            <w:hideMark/>
          </w:tcPr>
          <w:p w14:paraId="3FC7C0B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85.7</w:t>
            </w:r>
          </w:p>
          <w:p w14:paraId="6D39E9B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(85.4-86.0)</w:t>
            </w:r>
          </w:p>
        </w:tc>
        <w:tc>
          <w:tcPr>
            <w:tcW w:w="1241" w:type="dxa"/>
            <w:shd w:val="clear" w:color="auto" w:fill="auto"/>
            <w:noWrap/>
            <w:tcMar>
              <w:left w:w="28" w:type="dxa"/>
              <w:right w:w="28" w:type="dxa"/>
            </w:tcMar>
            <w:vAlign w:val="center"/>
            <w:hideMark/>
          </w:tcPr>
          <w:p w14:paraId="61C860F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30.9</w:t>
            </w:r>
          </w:p>
          <w:p w14:paraId="5F3C6F7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(30.2-31.5)</w:t>
            </w:r>
          </w:p>
        </w:tc>
        <w:tc>
          <w:tcPr>
            <w:tcW w:w="1240" w:type="dxa"/>
            <w:shd w:val="clear" w:color="auto" w:fill="auto"/>
            <w:noWrap/>
            <w:tcMar>
              <w:left w:w="28" w:type="dxa"/>
              <w:right w:w="28" w:type="dxa"/>
            </w:tcMar>
            <w:vAlign w:val="center"/>
            <w:hideMark/>
          </w:tcPr>
          <w:p w14:paraId="2C8E227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23.6</w:t>
            </w:r>
          </w:p>
          <w:p w14:paraId="63CD2C6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(23.2-24.0)</w:t>
            </w:r>
          </w:p>
        </w:tc>
        <w:tc>
          <w:tcPr>
            <w:tcW w:w="1240" w:type="dxa"/>
            <w:shd w:val="clear" w:color="auto" w:fill="auto"/>
            <w:noWrap/>
            <w:tcMar>
              <w:left w:w="28" w:type="dxa"/>
              <w:right w:w="28" w:type="dxa"/>
            </w:tcMar>
            <w:vAlign w:val="center"/>
            <w:hideMark/>
          </w:tcPr>
          <w:p w14:paraId="512E8C2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81.5</w:t>
            </w:r>
          </w:p>
          <w:p w14:paraId="01C4326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(81.0-81.9)</w:t>
            </w:r>
          </w:p>
        </w:tc>
        <w:tc>
          <w:tcPr>
            <w:tcW w:w="1241" w:type="dxa"/>
            <w:shd w:val="clear" w:color="auto" w:fill="auto"/>
            <w:noWrap/>
            <w:tcMar>
              <w:left w:w="28" w:type="dxa"/>
              <w:right w:w="28" w:type="dxa"/>
            </w:tcMar>
            <w:vAlign w:val="center"/>
            <w:hideMark/>
          </w:tcPr>
          <w:p w14:paraId="5ECE58A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74.6</w:t>
            </w:r>
          </w:p>
          <w:p w14:paraId="2D2C0A9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(74.2-74.9)</w:t>
            </w:r>
          </w:p>
        </w:tc>
      </w:tr>
      <w:tr w:rsidR="00A6628F" w:rsidRPr="00357B0B" w14:paraId="3775B412" w14:textId="77777777" w:rsidTr="007155F2">
        <w:tc>
          <w:tcPr>
            <w:tcW w:w="1555" w:type="dxa"/>
            <w:shd w:val="clear" w:color="auto" w:fill="auto"/>
            <w:noWrap/>
            <w:tcMar>
              <w:left w:w="28" w:type="dxa"/>
              <w:right w:w="28" w:type="dxa"/>
            </w:tcMar>
            <w:vAlign w:val="center"/>
            <w:hideMark/>
          </w:tcPr>
          <w:p w14:paraId="02464C3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Yes</w:t>
            </w:r>
          </w:p>
        </w:tc>
        <w:tc>
          <w:tcPr>
            <w:tcW w:w="1240" w:type="dxa"/>
            <w:shd w:val="clear" w:color="auto" w:fill="auto"/>
            <w:noWrap/>
            <w:tcMar>
              <w:left w:w="28" w:type="dxa"/>
              <w:right w:w="28" w:type="dxa"/>
            </w:tcMar>
            <w:vAlign w:val="center"/>
            <w:hideMark/>
          </w:tcPr>
          <w:p w14:paraId="5DE64A0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75.4</w:t>
            </w:r>
          </w:p>
          <w:p w14:paraId="66B2879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(74.5-76.2)</w:t>
            </w:r>
          </w:p>
        </w:tc>
        <w:tc>
          <w:tcPr>
            <w:tcW w:w="1240" w:type="dxa"/>
            <w:shd w:val="clear" w:color="auto" w:fill="auto"/>
            <w:noWrap/>
            <w:tcMar>
              <w:left w:w="28" w:type="dxa"/>
              <w:right w:w="28" w:type="dxa"/>
            </w:tcMar>
            <w:vAlign w:val="center"/>
            <w:hideMark/>
          </w:tcPr>
          <w:p w14:paraId="6A07D02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72.3</w:t>
            </w:r>
          </w:p>
          <w:p w14:paraId="48C8E8B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(71.6-73.0)</w:t>
            </w:r>
          </w:p>
        </w:tc>
        <w:tc>
          <w:tcPr>
            <w:tcW w:w="1240" w:type="dxa"/>
            <w:shd w:val="clear" w:color="auto" w:fill="auto"/>
            <w:noWrap/>
            <w:tcMar>
              <w:left w:w="28" w:type="dxa"/>
              <w:right w:w="28" w:type="dxa"/>
            </w:tcMar>
            <w:vAlign w:val="center"/>
            <w:hideMark/>
          </w:tcPr>
          <w:p w14:paraId="5E93B28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90.0</w:t>
            </w:r>
          </w:p>
          <w:p w14:paraId="6335CCC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(89.5-90.4)</w:t>
            </w:r>
          </w:p>
        </w:tc>
        <w:tc>
          <w:tcPr>
            <w:tcW w:w="1241" w:type="dxa"/>
            <w:shd w:val="clear" w:color="auto" w:fill="auto"/>
            <w:noWrap/>
            <w:tcMar>
              <w:left w:w="28" w:type="dxa"/>
              <w:right w:w="28" w:type="dxa"/>
            </w:tcMar>
            <w:vAlign w:val="center"/>
            <w:hideMark/>
          </w:tcPr>
          <w:p w14:paraId="21FDA3F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85.4</w:t>
            </w:r>
          </w:p>
          <w:p w14:paraId="1A87307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(84.9-85.8)</w:t>
            </w:r>
          </w:p>
        </w:tc>
        <w:tc>
          <w:tcPr>
            <w:tcW w:w="1240" w:type="dxa"/>
            <w:shd w:val="clear" w:color="auto" w:fill="auto"/>
            <w:noWrap/>
            <w:tcMar>
              <w:left w:w="28" w:type="dxa"/>
              <w:right w:w="28" w:type="dxa"/>
            </w:tcMar>
            <w:vAlign w:val="center"/>
            <w:hideMark/>
          </w:tcPr>
          <w:p w14:paraId="4F5C006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92.7</w:t>
            </w:r>
          </w:p>
          <w:p w14:paraId="1787625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(92.2-93.1)</w:t>
            </w:r>
          </w:p>
        </w:tc>
        <w:tc>
          <w:tcPr>
            <w:tcW w:w="1240" w:type="dxa"/>
            <w:shd w:val="clear" w:color="auto" w:fill="auto"/>
            <w:noWrap/>
            <w:tcMar>
              <w:left w:w="28" w:type="dxa"/>
              <w:right w:w="28" w:type="dxa"/>
            </w:tcMar>
            <w:vAlign w:val="center"/>
            <w:hideMark/>
          </w:tcPr>
          <w:p w14:paraId="3FD4093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88.8</w:t>
            </w:r>
          </w:p>
          <w:p w14:paraId="4472F8A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(88.4-89.2)</w:t>
            </w:r>
          </w:p>
        </w:tc>
        <w:tc>
          <w:tcPr>
            <w:tcW w:w="1241" w:type="dxa"/>
            <w:shd w:val="clear" w:color="auto" w:fill="auto"/>
            <w:noWrap/>
            <w:tcMar>
              <w:left w:w="28" w:type="dxa"/>
              <w:right w:w="28" w:type="dxa"/>
            </w:tcMar>
            <w:vAlign w:val="center"/>
            <w:hideMark/>
          </w:tcPr>
          <w:p w14:paraId="09BAA8F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26.1</w:t>
            </w:r>
          </w:p>
          <w:p w14:paraId="58F0D45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(25.3-27.0)</w:t>
            </w:r>
          </w:p>
        </w:tc>
        <w:tc>
          <w:tcPr>
            <w:tcW w:w="1240" w:type="dxa"/>
            <w:shd w:val="clear" w:color="auto" w:fill="auto"/>
            <w:noWrap/>
            <w:tcMar>
              <w:left w:w="28" w:type="dxa"/>
              <w:right w:w="28" w:type="dxa"/>
            </w:tcMar>
            <w:vAlign w:val="center"/>
            <w:hideMark/>
          </w:tcPr>
          <w:p w14:paraId="2A0EC17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21.8</w:t>
            </w:r>
          </w:p>
          <w:p w14:paraId="132073A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(21.2-22.4)</w:t>
            </w:r>
          </w:p>
        </w:tc>
        <w:tc>
          <w:tcPr>
            <w:tcW w:w="1240" w:type="dxa"/>
            <w:shd w:val="clear" w:color="auto" w:fill="auto"/>
            <w:noWrap/>
            <w:tcMar>
              <w:left w:w="28" w:type="dxa"/>
              <w:right w:w="28" w:type="dxa"/>
            </w:tcMar>
            <w:vAlign w:val="center"/>
            <w:hideMark/>
          </w:tcPr>
          <w:p w14:paraId="5F01B8D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88.0</w:t>
            </w:r>
          </w:p>
          <w:p w14:paraId="601BFA0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(87.5-88.6)</w:t>
            </w:r>
          </w:p>
        </w:tc>
        <w:tc>
          <w:tcPr>
            <w:tcW w:w="1241" w:type="dxa"/>
            <w:shd w:val="clear" w:color="auto" w:fill="auto"/>
            <w:noWrap/>
            <w:tcMar>
              <w:left w:w="28" w:type="dxa"/>
              <w:right w:w="28" w:type="dxa"/>
            </w:tcMar>
            <w:vAlign w:val="center"/>
            <w:hideMark/>
          </w:tcPr>
          <w:p w14:paraId="2C5398B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82.1</w:t>
            </w:r>
          </w:p>
          <w:p w14:paraId="1E156FF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(81.6-82.6)</w:t>
            </w:r>
          </w:p>
        </w:tc>
      </w:tr>
      <w:tr w:rsidR="00A6628F" w:rsidRPr="00357B0B" w14:paraId="12FC0267" w14:textId="77777777" w:rsidTr="007155F2">
        <w:tc>
          <w:tcPr>
            <w:tcW w:w="1555" w:type="dxa"/>
            <w:shd w:val="clear" w:color="auto" w:fill="auto"/>
            <w:noWrap/>
            <w:tcMar>
              <w:left w:w="28" w:type="dxa"/>
              <w:right w:w="28" w:type="dxa"/>
            </w:tcMar>
            <w:vAlign w:val="center"/>
            <w:hideMark/>
          </w:tcPr>
          <w:p w14:paraId="3989DFB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240" w:type="dxa"/>
            <w:shd w:val="clear" w:color="auto" w:fill="auto"/>
            <w:noWrap/>
            <w:tcMar>
              <w:left w:w="28" w:type="dxa"/>
              <w:right w:w="28" w:type="dxa"/>
            </w:tcMar>
            <w:vAlign w:val="center"/>
            <w:hideMark/>
          </w:tcPr>
          <w:p w14:paraId="7959679E"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75E9124E"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0970288F"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2ED0B0EB"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171FFF57"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41936986"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4F440701"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7FCD9C95"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0DFCFD90"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3D98337C"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4539F3D9" w14:textId="77777777" w:rsidTr="007155F2">
        <w:tc>
          <w:tcPr>
            <w:tcW w:w="1555" w:type="dxa"/>
            <w:shd w:val="clear" w:color="auto" w:fill="auto"/>
            <w:noWrap/>
            <w:tcMar>
              <w:left w:w="28" w:type="dxa"/>
              <w:right w:w="28" w:type="dxa"/>
            </w:tcMar>
            <w:vAlign w:val="center"/>
            <w:hideMark/>
          </w:tcPr>
          <w:p w14:paraId="68F4E189"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EBRT</w:t>
            </w:r>
          </w:p>
        </w:tc>
        <w:tc>
          <w:tcPr>
            <w:tcW w:w="1240" w:type="dxa"/>
            <w:shd w:val="clear" w:color="auto" w:fill="auto"/>
            <w:noWrap/>
            <w:tcMar>
              <w:left w:w="28" w:type="dxa"/>
              <w:right w:w="28" w:type="dxa"/>
            </w:tcMar>
            <w:vAlign w:val="center"/>
            <w:hideMark/>
          </w:tcPr>
          <w:p w14:paraId="157D46D9"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noWrap/>
            <w:tcMar>
              <w:left w:w="28" w:type="dxa"/>
              <w:right w:w="28" w:type="dxa"/>
            </w:tcMar>
            <w:vAlign w:val="center"/>
            <w:hideMark/>
          </w:tcPr>
          <w:p w14:paraId="0213B2E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48C2E0A5"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7730F18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2BAEEC36"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70A8AC8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1" w:type="dxa"/>
            <w:shd w:val="clear" w:color="auto" w:fill="auto"/>
            <w:noWrap/>
            <w:tcMar>
              <w:left w:w="28" w:type="dxa"/>
              <w:right w:w="28" w:type="dxa"/>
            </w:tcMar>
            <w:vAlign w:val="center"/>
            <w:hideMark/>
          </w:tcPr>
          <w:p w14:paraId="11F0B4BB"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5A52283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1CDD0432"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65F6B99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r>
      <w:tr w:rsidR="00A6628F" w:rsidRPr="00357B0B" w14:paraId="57529CCB" w14:textId="77777777" w:rsidTr="007155F2">
        <w:tc>
          <w:tcPr>
            <w:tcW w:w="1555" w:type="dxa"/>
            <w:shd w:val="clear" w:color="auto" w:fill="auto"/>
            <w:noWrap/>
            <w:tcMar>
              <w:left w:w="28" w:type="dxa"/>
              <w:right w:w="28" w:type="dxa"/>
            </w:tcMar>
            <w:vAlign w:val="center"/>
            <w:hideMark/>
          </w:tcPr>
          <w:p w14:paraId="5B4CB58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No</w:t>
            </w:r>
          </w:p>
        </w:tc>
        <w:tc>
          <w:tcPr>
            <w:tcW w:w="1240" w:type="dxa"/>
            <w:shd w:val="clear" w:color="auto" w:fill="auto"/>
            <w:noWrap/>
            <w:tcMar>
              <w:left w:w="28" w:type="dxa"/>
              <w:right w:w="28" w:type="dxa"/>
            </w:tcMar>
            <w:vAlign w:val="center"/>
            <w:hideMark/>
          </w:tcPr>
          <w:p w14:paraId="28DDEDB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82.7</w:t>
            </w:r>
          </w:p>
          <w:p w14:paraId="64F64DB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(82.2-83.2)</w:t>
            </w:r>
          </w:p>
        </w:tc>
        <w:tc>
          <w:tcPr>
            <w:tcW w:w="1240" w:type="dxa"/>
            <w:shd w:val="clear" w:color="auto" w:fill="auto"/>
            <w:noWrap/>
            <w:tcMar>
              <w:left w:w="28" w:type="dxa"/>
              <w:right w:w="28" w:type="dxa"/>
            </w:tcMar>
            <w:vAlign w:val="center"/>
            <w:hideMark/>
          </w:tcPr>
          <w:p w14:paraId="581142F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79.0</w:t>
            </w:r>
          </w:p>
          <w:p w14:paraId="29421E5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(78.6-79.4)</w:t>
            </w:r>
          </w:p>
        </w:tc>
        <w:tc>
          <w:tcPr>
            <w:tcW w:w="1240" w:type="dxa"/>
            <w:shd w:val="clear" w:color="auto" w:fill="auto"/>
            <w:noWrap/>
            <w:tcMar>
              <w:left w:w="28" w:type="dxa"/>
              <w:right w:w="28" w:type="dxa"/>
            </w:tcMar>
            <w:vAlign w:val="center"/>
            <w:hideMark/>
          </w:tcPr>
          <w:p w14:paraId="68930D6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87.7</w:t>
            </w:r>
          </w:p>
          <w:p w14:paraId="6C7616C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(87.4-88.1)</w:t>
            </w:r>
          </w:p>
        </w:tc>
        <w:tc>
          <w:tcPr>
            <w:tcW w:w="1241" w:type="dxa"/>
            <w:shd w:val="clear" w:color="auto" w:fill="auto"/>
            <w:noWrap/>
            <w:tcMar>
              <w:left w:w="28" w:type="dxa"/>
              <w:right w:w="28" w:type="dxa"/>
            </w:tcMar>
            <w:vAlign w:val="center"/>
            <w:hideMark/>
          </w:tcPr>
          <w:p w14:paraId="09550C3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82.6</w:t>
            </w:r>
          </w:p>
          <w:p w14:paraId="1EC262B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(82.3-82.9)</w:t>
            </w:r>
          </w:p>
        </w:tc>
        <w:tc>
          <w:tcPr>
            <w:tcW w:w="1240" w:type="dxa"/>
            <w:shd w:val="clear" w:color="auto" w:fill="auto"/>
            <w:noWrap/>
            <w:tcMar>
              <w:left w:w="28" w:type="dxa"/>
              <w:right w:w="28" w:type="dxa"/>
            </w:tcMar>
            <w:vAlign w:val="center"/>
            <w:hideMark/>
          </w:tcPr>
          <w:p w14:paraId="2252AE7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92.6</w:t>
            </w:r>
          </w:p>
          <w:p w14:paraId="58FB37A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(92.3-92.9)</w:t>
            </w:r>
          </w:p>
        </w:tc>
        <w:tc>
          <w:tcPr>
            <w:tcW w:w="1240" w:type="dxa"/>
            <w:shd w:val="clear" w:color="auto" w:fill="auto"/>
            <w:noWrap/>
            <w:tcMar>
              <w:left w:w="28" w:type="dxa"/>
              <w:right w:w="28" w:type="dxa"/>
            </w:tcMar>
            <w:vAlign w:val="center"/>
            <w:hideMark/>
          </w:tcPr>
          <w:p w14:paraId="389420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89.2</w:t>
            </w:r>
          </w:p>
          <w:p w14:paraId="25AE8B0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(88.9-89.5)</w:t>
            </w:r>
          </w:p>
        </w:tc>
        <w:tc>
          <w:tcPr>
            <w:tcW w:w="1241" w:type="dxa"/>
            <w:shd w:val="clear" w:color="auto" w:fill="auto"/>
            <w:noWrap/>
            <w:tcMar>
              <w:left w:w="28" w:type="dxa"/>
              <w:right w:w="28" w:type="dxa"/>
            </w:tcMar>
            <w:vAlign w:val="center"/>
            <w:hideMark/>
          </w:tcPr>
          <w:p w14:paraId="3417CFC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32.9</w:t>
            </w:r>
          </w:p>
          <w:p w14:paraId="1089D48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(32.2-33.6)</w:t>
            </w:r>
          </w:p>
        </w:tc>
        <w:tc>
          <w:tcPr>
            <w:tcW w:w="1240" w:type="dxa"/>
            <w:shd w:val="clear" w:color="auto" w:fill="auto"/>
            <w:noWrap/>
            <w:tcMar>
              <w:left w:w="28" w:type="dxa"/>
              <w:right w:w="28" w:type="dxa"/>
            </w:tcMar>
            <w:vAlign w:val="center"/>
            <w:hideMark/>
          </w:tcPr>
          <w:p w14:paraId="12AB792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26.3</w:t>
            </w:r>
          </w:p>
          <w:p w14:paraId="5754219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(25.8-26.8)</w:t>
            </w:r>
          </w:p>
        </w:tc>
        <w:tc>
          <w:tcPr>
            <w:tcW w:w="1240" w:type="dxa"/>
            <w:shd w:val="clear" w:color="auto" w:fill="auto"/>
            <w:noWrap/>
            <w:tcMar>
              <w:left w:w="28" w:type="dxa"/>
              <w:right w:w="28" w:type="dxa"/>
            </w:tcMar>
            <w:vAlign w:val="center"/>
            <w:hideMark/>
          </w:tcPr>
          <w:p w14:paraId="519975D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86.9</w:t>
            </w:r>
          </w:p>
          <w:p w14:paraId="0749DC9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(86.5-87.3)</w:t>
            </w:r>
          </w:p>
        </w:tc>
        <w:tc>
          <w:tcPr>
            <w:tcW w:w="1241" w:type="dxa"/>
            <w:shd w:val="clear" w:color="auto" w:fill="auto"/>
            <w:noWrap/>
            <w:tcMar>
              <w:left w:w="28" w:type="dxa"/>
              <w:right w:w="28" w:type="dxa"/>
            </w:tcMar>
            <w:vAlign w:val="center"/>
            <w:hideMark/>
          </w:tcPr>
          <w:p w14:paraId="379F9A5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80.1</w:t>
            </w:r>
          </w:p>
          <w:p w14:paraId="00F1CD0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(79.7-80.4)</w:t>
            </w:r>
          </w:p>
        </w:tc>
      </w:tr>
      <w:tr w:rsidR="00A6628F" w:rsidRPr="00357B0B" w14:paraId="1C511D18" w14:textId="77777777" w:rsidTr="007155F2">
        <w:tc>
          <w:tcPr>
            <w:tcW w:w="1555" w:type="dxa"/>
            <w:shd w:val="clear" w:color="auto" w:fill="auto"/>
            <w:noWrap/>
            <w:tcMar>
              <w:left w:w="28" w:type="dxa"/>
              <w:right w:w="28" w:type="dxa"/>
            </w:tcMar>
            <w:vAlign w:val="center"/>
            <w:hideMark/>
          </w:tcPr>
          <w:p w14:paraId="1755F42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Yes</w:t>
            </w:r>
          </w:p>
        </w:tc>
        <w:tc>
          <w:tcPr>
            <w:tcW w:w="1240" w:type="dxa"/>
            <w:shd w:val="clear" w:color="auto" w:fill="auto"/>
            <w:noWrap/>
            <w:tcMar>
              <w:left w:w="28" w:type="dxa"/>
              <w:right w:w="28" w:type="dxa"/>
            </w:tcMar>
            <w:vAlign w:val="center"/>
            <w:hideMark/>
          </w:tcPr>
          <w:p w14:paraId="5783A03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86.0</w:t>
            </w:r>
          </w:p>
          <w:p w14:paraId="6FA6D62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(85.5-86.6)</w:t>
            </w:r>
          </w:p>
        </w:tc>
        <w:tc>
          <w:tcPr>
            <w:tcW w:w="1240" w:type="dxa"/>
            <w:shd w:val="clear" w:color="auto" w:fill="auto"/>
            <w:noWrap/>
            <w:tcMar>
              <w:left w:w="28" w:type="dxa"/>
              <w:right w:w="28" w:type="dxa"/>
            </w:tcMar>
            <w:vAlign w:val="center"/>
            <w:hideMark/>
          </w:tcPr>
          <w:p w14:paraId="6E7213B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81.8</w:t>
            </w:r>
          </w:p>
          <w:p w14:paraId="296A6DC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(81.3-82.3)</w:t>
            </w:r>
          </w:p>
        </w:tc>
        <w:tc>
          <w:tcPr>
            <w:tcW w:w="1240" w:type="dxa"/>
            <w:shd w:val="clear" w:color="auto" w:fill="auto"/>
            <w:noWrap/>
            <w:tcMar>
              <w:left w:w="28" w:type="dxa"/>
              <w:right w:w="28" w:type="dxa"/>
            </w:tcMar>
            <w:vAlign w:val="center"/>
            <w:hideMark/>
          </w:tcPr>
          <w:p w14:paraId="73033F1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86.6</w:t>
            </w:r>
          </w:p>
          <w:p w14:paraId="5E984B9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(86.2-87.1)</w:t>
            </w:r>
          </w:p>
        </w:tc>
        <w:tc>
          <w:tcPr>
            <w:tcW w:w="1241" w:type="dxa"/>
            <w:shd w:val="clear" w:color="auto" w:fill="auto"/>
            <w:noWrap/>
            <w:tcMar>
              <w:left w:w="28" w:type="dxa"/>
              <w:right w:w="28" w:type="dxa"/>
            </w:tcMar>
            <w:vAlign w:val="center"/>
            <w:hideMark/>
          </w:tcPr>
          <w:p w14:paraId="1398D1F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82.3</w:t>
            </w:r>
          </w:p>
          <w:p w14:paraId="68BC096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(81.9-82.6)</w:t>
            </w:r>
          </w:p>
        </w:tc>
        <w:tc>
          <w:tcPr>
            <w:tcW w:w="1240" w:type="dxa"/>
            <w:shd w:val="clear" w:color="auto" w:fill="auto"/>
            <w:noWrap/>
            <w:tcMar>
              <w:left w:w="28" w:type="dxa"/>
              <w:right w:w="28" w:type="dxa"/>
            </w:tcMar>
            <w:vAlign w:val="center"/>
            <w:hideMark/>
          </w:tcPr>
          <w:p w14:paraId="10C2C83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85.6</w:t>
            </w:r>
          </w:p>
          <w:p w14:paraId="1B876DC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(85.1-86.2)</w:t>
            </w:r>
          </w:p>
        </w:tc>
        <w:tc>
          <w:tcPr>
            <w:tcW w:w="1240" w:type="dxa"/>
            <w:shd w:val="clear" w:color="auto" w:fill="auto"/>
            <w:noWrap/>
            <w:tcMar>
              <w:left w:w="28" w:type="dxa"/>
              <w:right w:w="28" w:type="dxa"/>
            </w:tcMar>
            <w:vAlign w:val="center"/>
            <w:hideMark/>
          </w:tcPr>
          <w:p w14:paraId="358B1A9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82.7</w:t>
            </w:r>
          </w:p>
          <w:p w14:paraId="3487447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(82.3-83.1)</w:t>
            </w:r>
          </w:p>
        </w:tc>
        <w:tc>
          <w:tcPr>
            <w:tcW w:w="1241" w:type="dxa"/>
            <w:shd w:val="clear" w:color="auto" w:fill="auto"/>
            <w:noWrap/>
            <w:tcMar>
              <w:left w:w="28" w:type="dxa"/>
              <w:right w:w="28" w:type="dxa"/>
            </w:tcMar>
            <w:vAlign w:val="center"/>
            <w:hideMark/>
          </w:tcPr>
          <w:p w14:paraId="445AFCA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23.4</w:t>
            </w:r>
          </w:p>
          <w:p w14:paraId="719C321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(22.6-24.1)</w:t>
            </w:r>
          </w:p>
        </w:tc>
        <w:tc>
          <w:tcPr>
            <w:tcW w:w="1240" w:type="dxa"/>
            <w:shd w:val="clear" w:color="auto" w:fill="auto"/>
            <w:noWrap/>
            <w:tcMar>
              <w:left w:w="28" w:type="dxa"/>
              <w:right w:w="28" w:type="dxa"/>
            </w:tcMar>
            <w:vAlign w:val="center"/>
            <w:hideMark/>
          </w:tcPr>
          <w:p w14:paraId="103A93D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18.3</w:t>
            </w:r>
          </w:p>
          <w:p w14:paraId="32477AB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(17.9-18.8)</w:t>
            </w:r>
          </w:p>
        </w:tc>
        <w:tc>
          <w:tcPr>
            <w:tcW w:w="1240" w:type="dxa"/>
            <w:shd w:val="clear" w:color="auto" w:fill="auto"/>
            <w:noWrap/>
            <w:tcMar>
              <w:left w:w="28" w:type="dxa"/>
              <w:right w:w="28" w:type="dxa"/>
            </w:tcMar>
            <w:vAlign w:val="center"/>
            <w:hideMark/>
          </w:tcPr>
          <w:p w14:paraId="7B3AF0B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78.0</w:t>
            </w:r>
          </w:p>
          <w:p w14:paraId="1F3114C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(77.4-78.6)</w:t>
            </w:r>
          </w:p>
        </w:tc>
        <w:tc>
          <w:tcPr>
            <w:tcW w:w="1241" w:type="dxa"/>
            <w:shd w:val="clear" w:color="auto" w:fill="auto"/>
            <w:noWrap/>
            <w:tcMar>
              <w:left w:w="28" w:type="dxa"/>
              <w:right w:w="28" w:type="dxa"/>
            </w:tcMar>
            <w:vAlign w:val="center"/>
            <w:hideMark/>
          </w:tcPr>
          <w:p w14:paraId="38F661E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71.9</w:t>
            </w:r>
          </w:p>
          <w:p w14:paraId="5F174F7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(71.4-72.4)</w:t>
            </w:r>
          </w:p>
        </w:tc>
      </w:tr>
      <w:tr w:rsidR="00A6628F" w:rsidRPr="00357B0B" w14:paraId="6E582362" w14:textId="77777777" w:rsidTr="007155F2">
        <w:tc>
          <w:tcPr>
            <w:tcW w:w="1555" w:type="dxa"/>
            <w:shd w:val="clear" w:color="auto" w:fill="auto"/>
            <w:noWrap/>
            <w:tcMar>
              <w:left w:w="28" w:type="dxa"/>
              <w:right w:w="28" w:type="dxa"/>
            </w:tcMar>
            <w:vAlign w:val="center"/>
            <w:hideMark/>
          </w:tcPr>
          <w:p w14:paraId="6ED5DB6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240" w:type="dxa"/>
            <w:shd w:val="clear" w:color="auto" w:fill="auto"/>
            <w:noWrap/>
            <w:tcMar>
              <w:left w:w="28" w:type="dxa"/>
              <w:right w:w="28" w:type="dxa"/>
            </w:tcMar>
            <w:vAlign w:val="center"/>
            <w:hideMark/>
          </w:tcPr>
          <w:p w14:paraId="1D4F461B"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05413023"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30E05647"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295AB80A"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18530DBC"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45429E51"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27C06C09"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1BFD4A3F"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5F161678"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6D68F3A6"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1D046923" w14:textId="77777777" w:rsidTr="007155F2">
        <w:tc>
          <w:tcPr>
            <w:tcW w:w="1555" w:type="dxa"/>
            <w:shd w:val="clear" w:color="auto" w:fill="auto"/>
            <w:noWrap/>
            <w:tcMar>
              <w:left w:w="28" w:type="dxa"/>
              <w:right w:w="28" w:type="dxa"/>
            </w:tcMar>
            <w:vAlign w:val="center"/>
            <w:hideMark/>
          </w:tcPr>
          <w:p w14:paraId="46525F03"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ADT</w:t>
            </w:r>
          </w:p>
        </w:tc>
        <w:tc>
          <w:tcPr>
            <w:tcW w:w="1240" w:type="dxa"/>
            <w:shd w:val="clear" w:color="auto" w:fill="auto"/>
            <w:noWrap/>
            <w:tcMar>
              <w:left w:w="28" w:type="dxa"/>
              <w:right w:w="28" w:type="dxa"/>
            </w:tcMar>
            <w:vAlign w:val="center"/>
            <w:hideMark/>
          </w:tcPr>
          <w:p w14:paraId="6113CC08"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noWrap/>
            <w:tcMar>
              <w:left w:w="28" w:type="dxa"/>
              <w:right w:w="28" w:type="dxa"/>
            </w:tcMar>
            <w:vAlign w:val="center"/>
            <w:hideMark/>
          </w:tcPr>
          <w:p w14:paraId="4F8735D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112A026E"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13ABF0B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463E12D1"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5664A53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1" w:type="dxa"/>
            <w:shd w:val="clear" w:color="auto" w:fill="auto"/>
            <w:noWrap/>
            <w:tcMar>
              <w:left w:w="28" w:type="dxa"/>
              <w:right w:w="28" w:type="dxa"/>
            </w:tcMar>
            <w:vAlign w:val="center"/>
            <w:hideMark/>
          </w:tcPr>
          <w:p w14:paraId="6E22AE74"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438B8DE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5BD0AB9E"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6F54A32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r>
      <w:tr w:rsidR="00A6628F" w:rsidRPr="00357B0B" w14:paraId="79AB92C7" w14:textId="77777777" w:rsidTr="007155F2">
        <w:tc>
          <w:tcPr>
            <w:tcW w:w="1555" w:type="dxa"/>
            <w:shd w:val="clear" w:color="auto" w:fill="auto"/>
            <w:noWrap/>
            <w:tcMar>
              <w:left w:w="28" w:type="dxa"/>
              <w:right w:w="28" w:type="dxa"/>
            </w:tcMar>
            <w:vAlign w:val="center"/>
            <w:hideMark/>
          </w:tcPr>
          <w:p w14:paraId="4D42265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No</w:t>
            </w:r>
          </w:p>
        </w:tc>
        <w:tc>
          <w:tcPr>
            <w:tcW w:w="1240" w:type="dxa"/>
            <w:shd w:val="clear" w:color="auto" w:fill="auto"/>
            <w:noWrap/>
            <w:tcMar>
              <w:left w:w="28" w:type="dxa"/>
              <w:right w:w="28" w:type="dxa"/>
            </w:tcMar>
            <w:vAlign w:val="center"/>
            <w:hideMark/>
          </w:tcPr>
          <w:p w14:paraId="7DC52A5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82.6</w:t>
            </w:r>
          </w:p>
          <w:p w14:paraId="0FF67D4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(82.1-83.1)</w:t>
            </w:r>
          </w:p>
        </w:tc>
        <w:tc>
          <w:tcPr>
            <w:tcW w:w="1240" w:type="dxa"/>
            <w:shd w:val="clear" w:color="auto" w:fill="auto"/>
            <w:noWrap/>
            <w:tcMar>
              <w:left w:w="28" w:type="dxa"/>
              <w:right w:w="28" w:type="dxa"/>
            </w:tcMar>
            <w:vAlign w:val="center"/>
            <w:hideMark/>
          </w:tcPr>
          <w:p w14:paraId="7E30409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78.3</w:t>
            </w:r>
          </w:p>
          <w:p w14:paraId="1C2AC51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(77.9-78.8)</w:t>
            </w:r>
          </w:p>
        </w:tc>
        <w:tc>
          <w:tcPr>
            <w:tcW w:w="1240" w:type="dxa"/>
            <w:shd w:val="clear" w:color="auto" w:fill="auto"/>
            <w:noWrap/>
            <w:tcMar>
              <w:left w:w="28" w:type="dxa"/>
              <w:right w:w="28" w:type="dxa"/>
            </w:tcMar>
            <w:vAlign w:val="center"/>
            <w:hideMark/>
          </w:tcPr>
          <w:p w14:paraId="2FD89E8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88.0</w:t>
            </w:r>
          </w:p>
          <w:p w14:paraId="2445CB2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(87.7-88.3)</w:t>
            </w:r>
          </w:p>
        </w:tc>
        <w:tc>
          <w:tcPr>
            <w:tcW w:w="1241" w:type="dxa"/>
            <w:shd w:val="clear" w:color="auto" w:fill="auto"/>
            <w:noWrap/>
            <w:tcMar>
              <w:left w:w="28" w:type="dxa"/>
              <w:right w:w="28" w:type="dxa"/>
            </w:tcMar>
            <w:vAlign w:val="center"/>
            <w:hideMark/>
          </w:tcPr>
          <w:p w14:paraId="2490510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83.1</w:t>
            </w:r>
          </w:p>
          <w:p w14:paraId="4F81E8B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(82.7-83.4)</w:t>
            </w:r>
          </w:p>
        </w:tc>
        <w:tc>
          <w:tcPr>
            <w:tcW w:w="1240" w:type="dxa"/>
            <w:shd w:val="clear" w:color="auto" w:fill="auto"/>
            <w:noWrap/>
            <w:tcMar>
              <w:left w:w="28" w:type="dxa"/>
              <w:right w:w="28" w:type="dxa"/>
            </w:tcMar>
            <w:vAlign w:val="center"/>
            <w:hideMark/>
          </w:tcPr>
          <w:p w14:paraId="45C9868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91.9</w:t>
            </w:r>
          </w:p>
          <w:p w14:paraId="5F3ABEE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(91.6-92.3)</w:t>
            </w:r>
          </w:p>
        </w:tc>
        <w:tc>
          <w:tcPr>
            <w:tcW w:w="1240" w:type="dxa"/>
            <w:shd w:val="clear" w:color="auto" w:fill="auto"/>
            <w:noWrap/>
            <w:tcMar>
              <w:left w:w="28" w:type="dxa"/>
              <w:right w:w="28" w:type="dxa"/>
            </w:tcMar>
            <w:vAlign w:val="center"/>
            <w:hideMark/>
          </w:tcPr>
          <w:p w14:paraId="6BBAD0A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88.4</w:t>
            </w:r>
          </w:p>
          <w:p w14:paraId="78E27E1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(88.1-88.8)</w:t>
            </w:r>
          </w:p>
        </w:tc>
        <w:tc>
          <w:tcPr>
            <w:tcW w:w="1241" w:type="dxa"/>
            <w:shd w:val="clear" w:color="auto" w:fill="auto"/>
            <w:noWrap/>
            <w:tcMar>
              <w:left w:w="28" w:type="dxa"/>
              <w:right w:w="28" w:type="dxa"/>
            </w:tcMar>
            <w:vAlign w:val="center"/>
            <w:hideMark/>
          </w:tcPr>
          <w:p w14:paraId="240CFF4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34.7</w:t>
            </w:r>
          </w:p>
          <w:p w14:paraId="21A9C0B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(34.0-35.4)</w:t>
            </w:r>
          </w:p>
        </w:tc>
        <w:tc>
          <w:tcPr>
            <w:tcW w:w="1240" w:type="dxa"/>
            <w:shd w:val="clear" w:color="auto" w:fill="auto"/>
            <w:noWrap/>
            <w:tcMar>
              <w:left w:w="28" w:type="dxa"/>
              <w:right w:w="28" w:type="dxa"/>
            </w:tcMar>
            <w:vAlign w:val="center"/>
            <w:hideMark/>
          </w:tcPr>
          <w:p w14:paraId="08535E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29.2</w:t>
            </w:r>
          </w:p>
          <w:p w14:paraId="014C520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(28.7-29.7)</w:t>
            </w:r>
          </w:p>
        </w:tc>
        <w:tc>
          <w:tcPr>
            <w:tcW w:w="1240" w:type="dxa"/>
            <w:shd w:val="clear" w:color="auto" w:fill="auto"/>
            <w:noWrap/>
            <w:tcMar>
              <w:left w:w="28" w:type="dxa"/>
              <w:right w:w="28" w:type="dxa"/>
            </w:tcMar>
            <w:vAlign w:val="center"/>
            <w:hideMark/>
          </w:tcPr>
          <w:p w14:paraId="67F36B3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88.8</w:t>
            </w:r>
          </w:p>
          <w:p w14:paraId="006548A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(88.5-89.2)</w:t>
            </w:r>
          </w:p>
        </w:tc>
        <w:tc>
          <w:tcPr>
            <w:tcW w:w="1241" w:type="dxa"/>
            <w:shd w:val="clear" w:color="auto" w:fill="auto"/>
            <w:noWrap/>
            <w:tcMar>
              <w:left w:w="28" w:type="dxa"/>
              <w:right w:w="28" w:type="dxa"/>
            </w:tcMar>
            <w:vAlign w:val="center"/>
            <w:hideMark/>
          </w:tcPr>
          <w:p w14:paraId="48A0A63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83.7</w:t>
            </w:r>
          </w:p>
          <w:p w14:paraId="5614DE9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(83.3-84.0)</w:t>
            </w:r>
          </w:p>
        </w:tc>
      </w:tr>
      <w:tr w:rsidR="00A6628F" w:rsidRPr="00357B0B" w14:paraId="6346F32D" w14:textId="77777777" w:rsidTr="007155F2">
        <w:tc>
          <w:tcPr>
            <w:tcW w:w="1555" w:type="dxa"/>
            <w:shd w:val="clear" w:color="auto" w:fill="auto"/>
            <w:noWrap/>
            <w:tcMar>
              <w:left w:w="28" w:type="dxa"/>
              <w:right w:w="28" w:type="dxa"/>
            </w:tcMar>
            <w:vAlign w:val="center"/>
            <w:hideMark/>
          </w:tcPr>
          <w:p w14:paraId="462AD34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Yes</w:t>
            </w:r>
          </w:p>
        </w:tc>
        <w:tc>
          <w:tcPr>
            <w:tcW w:w="1240" w:type="dxa"/>
            <w:shd w:val="clear" w:color="auto" w:fill="auto"/>
            <w:noWrap/>
            <w:tcMar>
              <w:left w:w="28" w:type="dxa"/>
              <w:right w:w="28" w:type="dxa"/>
            </w:tcMar>
            <w:vAlign w:val="center"/>
            <w:hideMark/>
          </w:tcPr>
          <w:p w14:paraId="73F835B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86.3</w:t>
            </w:r>
          </w:p>
          <w:p w14:paraId="14318F0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(85.7-86.8)</w:t>
            </w:r>
          </w:p>
        </w:tc>
        <w:tc>
          <w:tcPr>
            <w:tcW w:w="1240" w:type="dxa"/>
            <w:shd w:val="clear" w:color="auto" w:fill="auto"/>
            <w:noWrap/>
            <w:tcMar>
              <w:left w:w="28" w:type="dxa"/>
              <w:right w:w="28" w:type="dxa"/>
            </w:tcMar>
            <w:vAlign w:val="center"/>
            <w:hideMark/>
          </w:tcPr>
          <w:p w14:paraId="4C49394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82.2</w:t>
            </w:r>
          </w:p>
          <w:p w14:paraId="3027B0B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(81.8-82.7)</w:t>
            </w:r>
          </w:p>
        </w:tc>
        <w:tc>
          <w:tcPr>
            <w:tcW w:w="1240" w:type="dxa"/>
            <w:shd w:val="clear" w:color="auto" w:fill="auto"/>
            <w:noWrap/>
            <w:tcMar>
              <w:left w:w="28" w:type="dxa"/>
              <w:right w:w="28" w:type="dxa"/>
            </w:tcMar>
            <w:vAlign w:val="center"/>
            <w:hideMark/>
          </w:tcPr>
          <w:p w14:paraId="7DB408D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86.1</w:t>
            </w:r>
          </w:p>
          <w:p w14:paraId="7EC50E0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(85.7-86.6)</w:t>
            </w:r>
          </w:p>
        </w:tc>
        <w:tc>
          <w:tcPr>
            <w:tcW w:w="1241" w:type="dxa"/>
            <w:shd w:val="clear" w:color="auto" w:fill="auto"/>
            <w:noWrap/>
            <w:tcMar>
              <w:left w:w="28" w:type="dxa"/>
              <w:right w:w="28" w:type="dxa"/>
            </w:tcMar>
            <w:vAlign w:val="center"/>
            <w:hideMark/>
          </w:tcPr>
          <w:p w14:paraId="68B90E0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81.8</w:t>
            </w:r>
          </w:p>
          <w:p w14:paraId="1E5BB50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(81.5-82.2)</w:t>
            </w:r>
          </w:p>
        </w:tc>
        <w:tc>
          <w:tcPr>
            <w:tcW w:w="1240" w:type="dxa"/>
            <w:shd w:val="clear" w:color="auto" w:fill="auto"/>
            <w:noWrap/>
            <w:tcMar>
              <w:left w:w="28" w:type="dxa"/>
              <w:right w:w="28" w:type="dxa"/>
            </w:tcMar>
            <w:vAlign w:val="center"/>
            <w:hideMark/>
          </w:tcPr>
          <w:p w14:paraId="3F3D886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86.6</w:t>
            </w:r>
          </w:p>
          <w:p w14:paraId="36A647E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(86.1-87.2)</w:t>
            </w:r>
          </w:p>
        </w:tc>
        <w:tc>
          <w:tcPr>
            <w:tcW w:w="1240" w:type="dxa"/>
            <w:shd w:val="clear" w:color="auto" w:fill="auto"/>
            <w:noWrap/>
            <w:tcMar>
              <w:left w:w="28" w:type="dxa"/>
              <w:right w:w="28" w:type="dxa"/>
            </w:tcMar>
            <w:vAlign w:val="center"/>
            <w:hideMark/>
          </w:tcPr>
          <w:p w14:paraId="2421787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84.4</w:t>
            </w:r>
          </w:p>
          <w:p w14:paraId="3317E16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(84.0-84.8)</w:t>
            </w:r>
          </w:p>
        </w:tc>
        <w:tc>
          <w:tcPr>
            <w:tcW w:w="1241" w:type="dxa"/>
            <w:shd w:val="clear" w:color="auto" w:fill="auto"/>
            <w:noWrap/>
            <w:tcMar>
              <w:left w:w="28" w:type="dxa"/>
              <w:right w:w="28" w:type="dxa"/>
            </w:tcMar>
            <w:vAlign w:val="center"/>
            <w:hideMark/>
          </w:tcPr>
          <w:p w14:paraId="362FC4C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20.2</w:t>
            </w:r>
          </w:p>
          <w:p w14:paraId="619DBAC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(19.5-20.9)</w:t>
            </w:r>
          </w:p>
        </w:tc>
        <w:tc>
          <w:tcPr>
            <w:tcW w:w="1240" w:type="dxa"/>
            <w:shd w:val="clear" w:color="auto" w:fill="auto"/>
            <w:noWrap/>
            <w:tcMar>
              <w:left w:w="28" w:type="dxa"/>
              <w:right w:w="28" w:type="dxa"/>
            </w:tcMar>
            <w:vAlign w:val="center"/>
            <w:hideMark/>
          </w:tcPr>
          <w:p w14:paraId="7B1310A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16.1</w:t>
            </w:r>
          </w:p>
          <w:p w14:paraId="25729E8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(15.7-16.5)</w:t>
            </w:r>
          </w:p>
        </w:tc>
        <w:tc>
          <w:tcPr>
            <w:tcW w:w="1240" w:type="dxa"/>
            <w:shd w:val="clear" w:color="auto" w:fill="auto"/>
            <w:noWrap/>
            <w:tcMar>
              <w:left w:w="28" w:type="dxa"/>
              <w:right w:w="28" w:type="dxa"/>
            </w:tcMar>
            <w:vAlign w:val="center"/>
            <w:hideMark/>
          </w:tcPr>
          <w:p w14:paraId="39385C0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74.7</w:t>
            </w:r>
          </w:p>
          <w:p w14:paraId="422EB70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(74.0-75.4)</w:t>
            </w:r>
          </w:p>
        </w:tc>
        <w:tc>
          <w:tcPr>
            <w:tcW w:w="1241" w:type="dxa"/>
            <w:shd w:val="clear" w:color="auto" w:fill="auto"/>
            <w:noWrap/>
            <w:tcMar>
              <w:left w:w="28" w:type="dxa"/>
              <w:right w:w="28" w:type="dxa"/>
            </w:tcMar>
            <w:vAlign w:val="center"/>
            <w:hideMark/>
          </w:tcPr>
          <w:p w14:paraId="1531775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68.8</w:t>
            </w:r>
          </w:p>
          <w:p w14:paraId="25BD1E7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(68.4-69.3)</w:t>
            </w:r>
          </w:p>
        </w:tc>
      </w:tr>
      <w:tr w:rsidR="00A6628F" w:rsidRPr="00357B0B" w14:paraId="2497788A" w14:textId="77777777" w:rsidTr="007155F2">
        <w:tc>
          <w:tcPr>
            <w:tcW w:w="1555" w:type="dxa"/>
            <w:shd w:val="clear" w:color="auto" w:fill="auto"/>
            <w:noWrap/>
            <w:tcMar>
              <w:left w:w="28" w:type="dxa"/>
              <w:right w:w="28" w:type="dxa"/>
            </w:tcMar>
            <w:vAlign w:val="center"/>
            <w:hideMark/>
          </w:tcPr>
          <w:p w14:paraId="33EC02C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1240" w:type="dxa"/>
            <w:shd w:val="clear" w:color="auto" w:fill="auto"/>
            <w:noWrap/>
            <w:tcMar>
              <w:left w:w="28" w:type="dxa"/>
              <w:right w:w="28" w:type="dxa"/>
            </w:tcMar>
            <w:vAlign w:val="center"/>
            <w:hideMark/>
          </w:tcPr>
          <w:p w14:paraId="003368AF"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4F43B3A0"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734EE7DA"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35217F8C"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6126E052"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2B78880D"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4A082188"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34FB2AD6" w14:textId="77777777" w:rsidR="00A6628F" w:rsidRPr="00357B0B" w:rsidRDefault="00A6628F" w:rsidP="007155F2">
            <w:pPr>
              <w:spacing w:line="240" w:lineRule="auto"/>
              <w:jc w:val="left"/>
              <w:rPr>
                <w:rFonts w:eastAsia="Times New Roman" w:cs="Arial"/>
                <w:sz w:val="18"/>
                <w:szCs w:val="18"/>
                <w:lang w:eastAsia="en-GB"/>
              </w:rPr>
            </w:pPr>
          </w:p>
        </w:tc>
        <w:tc>
          <w:tcPr>
            <w:tcW w:w="1240" w:type="dxa"/>
            <w:shd w:val="clear" w:color="auto" w:fill="auto"/>
            <w:noWrap/>
            <w:tcMar>
              <w:left w:w="28" w:type="dxa"/>
              <w:right w:w="28" w:type="dxa"/>
            </w:tcMar>
            <w:vAlign w:val="center"/>
            <w:hideMark/>
          </w:tcPr>
          <w:p w14:paraId="22A711B6" w14:textId="77777777" w:rsidR="00A6628F" w:rsidRPr="00357B0B" w:rsidRDefault="00A6628F" w:rsidP="007155F2">
            <w:pPr>
              <w:spacing w:line="240" w:lineRule="auto"/>
              <w:jc w:val="left"/>
              <w:rPr>
                <w:rFonts w:eastAsia="Times New Roman" w:cs="Arial"/>
                <w:sz w:val="18"/>
                <w:szCs w:val="18"/>
                <w:lang w:eastAsia="en-GB"/>
              </w:rPr>
            </w:pPr>
          </w:p>
        </w:tc>
        <w:tc>
          <w:tcPr>
            <w:tcW w:w="1241" w:type="dxa"/>
            <w:shd w:val="clear" w:color="auto" w:fill="auto"/>
            <w:noWrap/>
            <w:tcMar>
              <w:left w:w="28" w:type="dxa"/>
              <w:right w:w="28" w:type="dxa"/>
            </w:tcMar>
            <w:vAlign w:val="center"/>
            <w:hideMark/>
          </w:tcPr>
          <w:p w14:paraId="7E5F2EE8"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73B16D94" w14:textId="77777777" w:rsidTr="007155F2">
        <w:tc>
          <w:tcPr>
            <w:tcW w:w="1555" w:type="dxa"/>
            <w:shd w:val="clear" w:color="auto" w:fill="auto"/>
            <w:noWrap/>
            <w:tcMar>
              <w:left w:w="28" w:type="dxa"/>
              <w:right w:w="28" w:type="dxa"/>
            </w:tcMar>
            <w:vAlign w:val="center"/>
            <w:hideMark/>
          </w:tcPr>
          <w:p w14:paraId="61F7FC28"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Monitoring only</w:t>
            </w:r>
          </w:p>
        </w:tc>
        <w:tc>
          <w:tcPr>
            <w:tcW w:w="1240" w:type="dxa"/>
            <w:shd w:val="clear" w:color="auto" w:fill="auto"/>
            <w:noWrap/>
            <w:tcMar>
              <w:left w:w="28" w:type="dxa"/>
              <w:right w:w="28" w:type="dxa"/>
            </w:tcMar>
            <w:vAlign w:val="center"/>
            <w:hideMark/>
          </w:tcPr>
          <w:p w14:paraId="019162F3"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240" w:type="dxa"/>
            <w:shd w:val="clear" w:color="auto" w:fill="auto"/>
            <w:noWrap/>
            <w:tcMar>
              <w:left w:w="28" w:type="dxa"/>
              <w:right w:w="28" w:type="dxa"/>
            </w:tcMar>
            <w:vAlign w:val="center"/>
            <w:hideMark/>
          </w:tcPr>
          <w:p w14:paraId="418DC4A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76BDA28A"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6411811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c>
          <w:tcPr>
            <w:tcW w:w="1240" w:type="dxa"/>
            <w:shd w:val="clear" w:color="auto" w:fill="auto"/>
            <w:noWrap/>
            <w:tcMar>
              <w:left w:w="28" w:type="dxa"/>
              <w:right w:w="28" w:type="dxa"/>
            </w:tcMar>
            <w:vAlign w:val="center"/>
            <w:hideMark/>
          </w:tcPr>
          <w:p w14:paraId="0E91499D"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76C1B6B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1" w:type="dxa"/>
            <w:shd w:val="clear" w:color="auto" w:fill="auto"/>
            <w:noWrap/>
            <w:tcMar>
              <w:left w:w="28" w:type="dxa"/>
              <w:right w:w="28" w:type="dxa"/>
            </w:tcMar>
            <w:vAlign w:val="center"/>
            <w:hideMark/>
          </w:tcPr>
          <w:p w14:paraId="008C8566"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0" w:type="dxa"/>
            <w:shd w:val="clear" w:color="auto" w:fill="auto"/>
            <w:noWrap/>
            <w:tcMar>
              <w:left w:w="28" w:type="dxa"/>
              <w:right w:w="28" w:type="dxa"/>
            </w:tcMar>
            <w:vAlign w:val="center"/>
            <w:hideMark/>
          </w:tcPr>
          <w:p w14:paraId="29E63C9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p>
        </w:tc>
        <w:tc>
          <w:tcPr>
            <w:tcW w:w="1240" w:type="dxa"/>
            <w:shd w:val="clear" w:color="auto" w:fill="auto"/>
            <w:noWrap/>
            <w:tcMar>
              <w:left w:w="28" w:type="dxa"/>
              <w:right w:w="28" w:type="dxa"/>
            </w:tcMar>
            <w:vAlign w:val="center"/>
            <w:hideMark/>
          </w:tcPr>
          <w:p w14:paraId="00AF8950"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241" w:type="dxa"/>
            <w:shd w:val="clear" w:color="auto" w:fill="auto"/>
            <w:noWrap/>
            <w:tcMar>
              <w:left w:w="28" w:type="dxa"/>
              <w:right w:w="28" w:type="dxa"/>
            </w:tcMar>
            <w:vAlign w:val="center"/>
            <w:hideMark/>
          </w:tcPr>
          <w:p w14:paraId="693364D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p&lt;0.001</w:t>
            </w:r>
            <w:r w:rsidRPr="00357B0B">
              <w:rPr>
                <w:rFonts w:eastAsia="Times New Roman" w:cs="Arial"/>
                <w:color w:val="000000"/>
                <w:sz w:val="18"/>
                <w:szCs w:val="18"/>
                <w:vertAlign w:val="superscript"/>
                <w:lang w:eastAsia="en-GB"/>
              </w:rPr>
              <w:t xml:space="preserve"> I</w:t>
            </w:r>
          </w:p>
        </w:tc>
      </w:tr>
      <w:tr w:rsidR="00A6628F" w:rsidRPr="00357B0B" w14:paraId="28A25E1F" w14:textId="77777777" w:rsidTr="007155F2">
        <w:tc>
          <w:tcPr>
            <w:tcW w:w="1555" w:type="dxa"/>
            <w:shd w:val="clear" w:color="auto" w:fill="auto"/>
            <w:noWrap/>
            <w:tcMar>
              <w:left w:w="28" w:type="dxa"/>
              <w:right w:w="28" w:type="dxa"/>
            </w:tcMar>
            <w:vAlign w:val="center"/>
            <w:hideMark/>
          </w:tcPr>
          <w:p w14:paraId="78C5BB0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No</w:t>
            </w:r>
          </w:p>
        </w:tc>
        <w:tc>
          <w:tcPr>
            <w:tcW w:w="1240" w:type="dxa"/>
            <w:shd w:val="clear" w:color="auto" w:fill="auto"/>
            <w:noWrap/>
            <w:tcMar>
              <w:left w:w="28" w:type="dxa"/>
              <w:right w:w="28" w:type="dxa"/>
            </w:tcMar>
            <w:vAlign w:val="center"/>
            <w:hideMark/>
          </w:tcPr>
          <w:p w14:paraId="54A5DE5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82.9</w:t>
            </w:r>
          </w:p>
          <w:p w14:paraId="7A4F190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(82.5-83.4)</w:t>
            </w:r>
          </w:p>
        </w:tc>
        <w:tc>
          <w:tcPr>
            <w:tcW w:w="1240" w:type="dxa"/>
            <w:shd w:val="clear" w:color="auto" w:fill="auto"/>
            <w:noWrap/>
            <w:tcMar>
              <w:left w:w="28" w:type="dxa"/>
              <w:right w:w="28" w:type="dxa"/>
            </w:tcMar>
            <w:vAlign w:val="center"/>
            <w:hideMark/>
          </w:tcPr>
          <w:p w14:paraId="4780EE1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79.5</w:t>
            </w:r>
          </w:p>
          <w:p w14:paraId="383A2D8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(79.2-79.9)</w:t>
            </w:r>
          </w:p>
        </w:tc>
        <w:tc>
          <w:tcPr>
            <w:tcW w:w="1240" w:type="dxa"/>
            <w:shd w:val="clear" w:color="auto" w:fill="auto"/>
            <w:noWrap/>
            <w:tcMar>
              <w:left w:w="28" w:type="dxa"/>
              <w:right w:w="28" w:type="dxa"/>
            </w:tcMar>
            <w:vAlign w:val="center"/>
            <w:hideMark/>
          </w:tcPr>
          <w:p w14:paraId="2AF1CA6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87.6</w:t>
            </w:r>
          </w:p>
          <w:p w14:paraId="18EF490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(87.3-87.9)</w:t>
            </w:r>
          </w:p>
        </w:tc>
        <w:tc>
          <w:tcPr>
            <w:tcW w:w="1241" w:type="dxa"/>
            <w:shd w:val="clear" w:color="auto" w:fill="auto"/>
            <w:noWrap/>
            <w:tcMar>
              <w:left w:w="28" w:type="dxa"/>
              <w:right w:w="28" w:type="dxa"/>
            </w:tcMar>
            <w:vAlign w:val="center"/>
            <w:hideMark/>
          </w:tcPr>
          <w:p w14:paraId="2ED2844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83.0</w:t>
            </w:r>
          </w:p>
          <w:p w14:paraId="5D29DB6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(82.7-83.3)</w:t>
            </w:r>
          </w:p>
        </w:tc>
        <w:tc>
          <w:tcPr>
            <w:tcW w:w="1240" w:type="dxa"/>
            <w:shd w:val="clear" w:color="auto" w:fill="auto"/>
            <w:noWrap/>
            <w:tcMar>
              <w:left w:w="28" w:type="dxa"/>
              <w:right w:w="28" w:type="dxa"/>
            </w:tcMar>
            <w:vAlign w:val="center"/>
            <w:hideMark/>
          </w:tcPr>
          <w:p w14:paraId="29D3EEE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89.2</w:t>
            </w:r>
          </w:p>
          <w:p w14:paraId="42816CB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(88.9-89.5)</w:t>
            </w:r>
          </w:p>
        </w:tc>
        <w:tc>
          <w:tcPr>
            <w:tcW w:w="1240" w:type="dxa"/>
            <w:shd w:val="clear" w:color="auto" w:fill="auto"/>
            <w:noWrap/>
            <w:tcMar>
              <w:left w:w="28" w:type="dxa"/>
              <w:right w:w="28" w:type="dxa"/>
            </w:tcMar>
            <w:vAlign w:val="center"/>
            <w:hideMark/>
          </w:tcPr>
          <w:p w14:paraId="7A33621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85.9</w:t>
            </w:r>
          </w:p>
          <w:p w14:paraId="204626F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(85.6-86.2)</w:t>
            </w:r>
          </w:p>
        </w:tc>
        <w:tc>
          <w:tcPr>
            <w:tcW w:w="1241" w:type="dxa"/>
            <w:shd w:val="clear" w:color="auto" w:fill="auto"/>
            <w:noWrap/>
            <w:tcMar>
              <w:left w:w="28" w:type="dxa"/>
              <w:right w:w="28" w:type="dxa"/>
            </w:tcMar>
            <w:vAlign w:val="center"/>
            <w:hideMark/>
          </w:tcPr>
          <w:p w14:paraId="3E5227F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25.8</w:t>
            </w:r>
          </w:p>
          <w:p w14:paraId="70D37B0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(25.2-26.3)</w:t>
            </w:r>
          </w:p>
        </w:tc>
        <w:tc>
          <w:tcPr>
            <w:tcW w:w="1240" w:type="dxa"/>
            <w:shd w:val="clear" w:color="auto" w:fill="auto"/>
            <w:noWrap/>
            <w:tcMar>
              <w:left w:w="28" w:type="dxa"/>
              <w:right w:w="28" w:type="dxa"/>
            </w:tcMar>
            <w:vAlign w:val="center"/>
            <w:hideMark/>
          </w:tcPr>
          <w:p w14:paraId="7C23AF0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19.9</w:t>
            </w:r>
          </w:p>
          <w:p w14:paraId="7FFDB61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(19.5-20.2)</w:t>
            </w:r>
          </w:p>
        </w:tc>
        <w:tc>
          <w:tcPr>
            <w:tcW w:w="1240" w:type="dxa"/>
            <w:shd w:val="clear" w:color="auto" w:fill="auto"/>
            <w:noWrap/>
            <w:tcMar>
              <w:left w:w="28" w:type="dxa"/>
              <w:right w:w="28" w:type="dxa"/>
            </w:tcMar>
            <w:vAlign w:val="center"/>
            <w:hideMark/>
          </w:tcPr>
          <w:p w14:paraId="4340875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82.2</w:t>
            </w:r>
          </w:p>
          <w:p w14:paraId="1D9625B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(81.8-82.6)</w:t>
            </w:r>
          </w:p>
        </w:tc>
        <w:tc>
          <w:tcPr>
            <w:tcW w:w="1241" w:type="dxa"/>
            <w:shd w:val="clear" w:color="auto" w:fill="auto"/>
            <w:noWrap/>
            <w:tcMar>
              <w:left w:w="28" w:type="dxa"/>
              <w:right w:w="28" w:type="dxa"/>
            </w:tcMar>
            <w:vAlign w:val="center"/>
            <w:hideMark/>
          </w:tcPr>
          <w:p w14:paraId="243103D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75.1</w:t>
            </w:r>
          </w:p>
          <w:p w14:paraId="076E2C3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(74.8-75.4)</w:t>
            </w:r>
          </w:p>
        </w:tc>
      </w:tr>
      <w:tr w:rsidR="00A6628F" w:rsidRPr="00357B0B" w14:paraId="3A6514E0" w14:textId="77777777" w:rsidTr="007155F2">
        <w:tc>
          <w:tcPr>
            <w:tcW w:w="1555" w:type="dxa"/>
            <w:shd w:val="clear" w:color="auto" w:fill="auto"/>
            <w:noWrap/>
            <w:tcMar>
              <w:left w:w="28" w:type="dxa"/>
              <w:right w:w="28" w:type="dxa"/>
            </w:tcMar>
            <w:vAlign w:val="center"/>
            <w:hideMark/>
          </w:tcPr>
          <w:p w14:paraId="78018A9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Yes</w:t>
            </w:r>
          </w:p>
        </w:tc>
        <w:tc>
          <w:tcPr>
            <w:tcW w:w="1240" w:type="dxa"/>
            <w:shd w:val="clear" w:color="auto" w:fill="auto"/>
            <w:noWrap/>
            <w:tcMar>
              <w:left w:w="28" w:type="dxa"/>
              <w:right w:w="28" w:type="dxa"/>
            </w:tcMar>
            <w:vAlign w:val="center"/>
            <w:hideMark/>
          </w:tcPr>
          <w:p w14:paraId="6E2E15E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88.6</w:t>
            </w:r>
          </w:p>
          <w:p w14:paraId="790AF2F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(87.8-89.3)</w:t>
            </w:r>
          </w:p>
        </w:tc>
        <w:tc>
          <w:tcPr>
            <w:tcW w:w="1240" w:type="dxa"/>
            <w:shd w:val="clear" w:color="auto" w:fill="auto"/>
            <w:noWrap/>
            <w:tcMar>
              <w:left w:w="28" w:type="dxa"/>
              <w:right w:w="28" w:type="dxa"/>
            </w:tcMar>
            <w:vAlign w:val="center"/>
            <w:hideMark/>
          </w:tcPr>
          <w:p w14:paraId="3418DD6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83.3</w:t>
            </w:r>
          </w:p>
          <w:p w14:paraId="38F29E3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(82.6-84.0)</w:t>
            </w:r>
          </w:p>
        </w:tc>
        <w:tc>
          <w:tcPr>
            <w:tcW w:w="1240" w:type="dxa"/>
            <w:shd w:val="clear" w:color="auto" w:fill="auto"/>
            <w:noWrap/>
            <w:tcMar>
              <w:left w:w="28" w:type="dxa"/>
              <w:right w:w="28" w:type="dxa"/>
            </w:tcMar>
            <w:vAlign w:val="center"/>
            <w:hideMark/>
          </w:tcPr>
          <w:p w14:paraId="4EADAAF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86.1</w:t>
            </w:r>
          </w:p>
          <w:p w14:paraId="77844B3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(85.5-86.8)</w:t>
            </w:r>
          </w:p>
        </w:tc>
        <w:tc>
          <w:tcPr>
            <w:tcW w:w="1241" w:type="dxa"/>
            <w:shd w:val="clear" w:color="auto" w:fill="auto"/>
            <w:noWrap/>
            <w:tcMar>
              <w:left w:w="28" w:type="dxa"/>
              <w:right w:w="28" w:type="dxa"/>
            </w:tcMar>
            <w:vAlign w:val="center"/>
            <w:hideMark/>
          </w:tcPr>
          <w:p w14:paraId="2945C75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79.8</w:t>
            </w:r>
          </w:p>
          <w:p w14:paraId="74FCDF9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(79.2-80.4)</w:t>
            </w:r>
          </w:p>
        </w:tc>
        <w:tc>
          <w:tcPr>
            <w:tcW w:w="1240" w:type="dxa"/>
            <w:shd w:val="clear" w:color="auto" w:fill="auto"/>
            <w:noWrap/>
            <w:tcMar>
              <w:left w:w="28" w:type="dxa"/>
              <w:right w:w="28" w:type="dxa"/>
            </w:tcMar>
            <w:vAlign w:val="center"/>
            <w:hideMark/>
          </w:tcPr>
          <w:p w14:paraId="241BA52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93.5</w:t>
            </w:r>
          </w:p>
          <w:p w14:paraId="539B098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(93.0-94.0)</w:t>
            </w:r>
          </w:p>
        </w:tc>
        <w:tc>
          <w:tcPr>
            <w:tcW w:w="1240" w:type="dxa"/>
            <w:shd w:val="clear" w:color="auto" w:fill="auto"/>
            <w:noWrap/>
            <w:tcMar>
              <w:left w:w="28" w:type="dxa"/>
              <w:right w:w="28" w:type="dxa"/>
            </w:tcMar>
            <w:vAlign w:val="center"/>
            <w:hideMark/>
          </w:tcPr>
          <w:p w14:paraId="7DCA5E4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90.1</w:t>
            </w:r>
          </w:p>
          <w:p w14:paraId="578EE35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(89.6-90.6)</w:t>
            </w:r>
          </w:p>
        </w:tc>
        <w:tc>
          <w:tcPr>
            <w:tcW w:w="1241" w:type="dxa"/>
            <w:shd w:val="clear" w:color="auto" w:fill="auto"/>
            <w:noWrap/>
            <w:tcMar>
              <w:left w:w="28" w:type="dxa"/>
              <w:right w:w="28" w:type="dxa"/>
            </w:tcMar>
            <w:vAlign w:val="center"/>
            <w:hideMark/>
          </w:tcPr>
          <w:p w14:paraId="1FB55B7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45.5</w:t>
            </w:r>
          </w:p>
          <w:p w14:paraId="0B821D8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(44.0-46.9)</w:t>
            </w:r>
          </w:p>
        </w:tc>
        <w:tc>
          <w:tcPr>
            <w:tcW w:w="1240" w:type="dxa"/>
            <w:shd w:val="clear" w:color="auto" w:fill="auto"/>
            <w:noWrap/>
            <w:tcMar>
              <w:left w:w="28" w:type="dxa"/>
              <w:right w:w="28" w:type="dxa"/>
            </w:tcMar>
            <w:vAlign w:val="center"/>
            <w:hideMark/>
          </w:tcPr>
          <w:p w14:paraId="19B27F5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40.1</w:t>
            </w:r>
          </w:p>
          <w:p w14:paraId="6FCCA75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(39.0-41.2)</w:t>
            </w:r>
          </w:p>
        </w:tc>
        <w:tc>
          <w:tcPr>
            <w:tcW w:w="1240" w:type="dxa"/>
            <w:shd w:val="clear" w:color="auto" w:fill="auto"/>
            <w:noWrap/>
            <w:tcMar>
              <w:left w:w="28" w:type="dxa"/>
              <w:right w:w="28" w:type="dxa"/>
            </w:tcMar>
            <w:vAlign w:val="center"/>
            <w:hideMark/>
          </w:tcPr>
          <w:p w14:paraId="193B9F6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89.7</w:t>
            </w:r>
          </w:p>
          <w:p w14:paraId="1F5FD9B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(89.1-90.3)</w:t>
            </w:r>
          </w:p>
        </w:tc>
        <w:tc>
          <w:tcPr>
            <w:tcW w:w="1241" w:type="dxa"/>
            <w:shd w:val="clear" w:color="auto" w:fill="auto"/>
            <w:noWrap/>
            <w:tcMar>
              <w:left w:w="28" w:type="dxa"/>
              <w:right w:w="28" w:type="dxa"/>
            </w:tcMar>
            <w:vAlign w:val="center"/>
            <w:hideMark/>
          </w:tcPr>
          <w:p w14:paraId="3B2FEF0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85.5</w:t>
            </w:r>
          </w:p>
          <w:p w14:paraId="38F216E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(84.9-86.1)</w:t>
            </w:r>
          </w:p>
        </w:tc>
      </w:tr>
    </w:tbl>
    <w:p w14:paraId="52DEAC5E" w14:textId="77777777" w:rsidR="00A6628F" w:rsidRDefault="00A6628F" w:rsidP="00A6628F">
      <w:pPr>
        <w:spacing w:line="240" w:lineRule="auto"/>
        <w:rPr>
          <w:rFonts w:ascii="Times New Roman" w:hAnsi="Times New Roman" w:cs="Times New Roman"/>
          <w:sz w:val="16"/>
          <w:szCs w:val="16"/>
          <w:lang w:val="en-US" w:bidi="en-US"/>
        </w:rPr>
      </w:pPr>
    </w:p>
    <w:p w14:paraId="43876791" w14:textId="77777777" w:rsidR="00A6628F" w:rsidRPr="00357B0B" w:rsidRDefault="00A6628F" w:rsidP="00A6628F">
      <w:pPr>
        <w:spacing w:line="240" w:lineRule="auto"/>
        <w:rPr>
          <w:rFonts w:cs="Arial"/>
          <w:sz w:val="16"/>
          <w:szCs w:val="16"/>
          <w:lang w:val="en-US" w:bidi="en-US"/>
        </w:rPr>
      </w:pPr>
      <w:r w:rsidRPr="00357B0B">
        <w:rPr>
          <w:rFonts w:cs="Arial"/>
          <w:sz w:val="16"/>
          <w:szCs w:val="16"/>
          <w:lang w:val="en-US" w:bidi="en-US"/>
        </w:rPr>
        <w:t>Notes:</w:t>
      </w:r>
    </w:p>
    <w:p w14:paraId="3C9D0236" w14:textId="77777777" w:rsidR="00A6628F" w:rsidRPr="00357B0B" w:rsidRDefault="00A6628F" w:rsidP="00A6628F">
      <w:pPr>
        <w:pStyle w:val="ListParagraph"/>
        <w:numPr>
          <w:ilvl w:val="0"/>
          <w:numId w:val="25"/>
        </w:numPr>
        <w:spacing w:line="240" w:lineRule="auto"/>
        <w:rPr>
          <w:rFonts w:cs="Arial"/>
          <w:sz w:val="16"/>
          <w:szCs w:val="16"/>
          <w:lang w:val="en-US" w:bidi="en-US"/>
        </w:rPr>
      </w:pPr>
      <w:r w:rsidRPr="00357B0B">
        <w:rPr>
          <w:rFonts w:cs="Arial"/>
          <w:sz w:val="16"/>
          <w:szCs w:val="16"/>
          <w:lang w:val="en-US" w:bidi="en-US"/>
        </w:rPr>
        <w:t>A higher score indicates better functioning (100 = No problems).</w:t>
      </w:r>
    </w:p>
    <w:p w14:paraId="6E6AB7F7" w14:textId="77777777" w:rsidR="00A6628F" w:rsidRPr="00357B0B" w:rsidRDefault="00A6628F" w:rsidP="00A6628F">
      <w:pPr>
        <w:pStyle w:val="ListParagraph"/>
        <w:numPr>
          <w:ilvl w:val="0"/>
          <w:numId w:val="25"/>
        </w:numPr>
        <w:spacing w:line="240" w:lineRule="auto"/>
        <w:rPr>
          <w:rFonts w:cs="Arial"/>
          <w:sz w:val="16"/>
          <w:szCs w:val="16"/>
          <w:lang w:val="en-US" w:bidi="en-US"/>
        </w:rPr>
      </w:pPr>
      <w:r w:rsidRPr="00357B0B">
        <w:rPr>
          <w:rFonts w:cs="Arial"/>
          <w:sz w:val="16"/>
          <w:szCs w:val="16"/>
          <w:lang w:val="en-US" w:bidi="en-US"/>
        </w:rPr>
        <w:t>The p-value refers to the significance of method of presentation (symptomatic vs PSA-detected) in a two-way ANOVA, with the respondent characteristic as second independent variable. “I” indicates a significant interaction (p&lt;0.05) between method of presentation and the respondent characteristic.</w:t>
      </w:r>
    </w:p>
    <w:p w14:paraId="0F208395" w14:textId="77777777" w:rsidR="00A6628F" w:rsidRPr="00357B0B" w:rsidRDefault="00A6628F" w:rsidP="00A6628F">
      <w:pPr>
        <w:spacing w:line="240" w:lineRule="auto"/>
        <w:rPr>
          <w:rFonts w:cs="Arial"/>
        </w:rPr>
        <w:sectPr w:rsidR="00A6628F" w:rsidRPr="00357B0B" w:rsidSect="00650CCA">
          <w:pgSz w:w="16838" w:h="11906" w:orient="landscape"/>
          <w:pgMar w:top="1440" w:right="1440" w:bottom="1440" w:left="1440" w:header="708" w:footer="708" w:gutter="0"/>
          <w:cols w:space="708"/>
          <w:docGrid w:linePitch="360"/>
        </w:sectPr>
      </w:pPr>
      <w:r w:rsidRPr="00357B0B">
        <w:rPr>
          <w:rFonts w:cs="Arial"/>
          <w:sz w:val="16"/>
          <w:szCs w:val="16"/>
        </w:rPr>
        <w:t xml:space="preserve">EBRT - External Beam Radiotherapy, ADT - Androgen deprivation therapy, </w:t>
      </w:r>
      <w:r w:rsidRPr="00357B0B">
        <w:rPr>
          <w:rFonts w:cs="Arial"/>
          <w:sz w:val="16"/>
          <w:szCs w:val="16"/>
          <w:lang w:val="en-US" w:bidi="en-US"/>
        </w:rPr>
        <w:t>CI: Confidence interval.</w:t>
      </w:r>
    </w:p>
    <w:p w14:paraId="6D64A08D" w14:textId="77777777" w:rsidR="00A6628F" w:rsidRDefault="00A6628F" w:rsidP="00A6628F">
      <w:pPr>
        <w:pStyle w:val="Heading3"/>
      </w:pPr>
      <w:r w:rsidRPr="00357B0B">
        <w:lastRenderedPageBreak/>
        <w:t>Table S5: Case mix adjusted ratio of mean functional outcome scores (EPIC-26) of PSA-detected compared to symptomatic prostate cancer survivors – Complete case analysis</w:t>
      </w:r>
    </w:p>
    <w:p w14:paraId="48702E9E" w14:textId="77777777" w:rsidR="00A6628F" w:rsidRPr="00357B0B" w:rsidRDefault="00A6628F" w:rsidP="00A6628F">
      <w:pPr>
        <w:pStyle w:val="NoSpacing"/>
      </w:pPr>
    </w:p>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850"/>
        <w:gridCol w:w="1630"/>
        <w:gridCol w:w="780"/>
        <w:gridCol w:w="1701"/>
        <w:gridCol w:w="850"/>
        <w:gridCol w:w="1630"/>
        <w:gridCol w:w="780"/>
        <w:gridCol w:w="1701"/>
        <w:gridCol w:w="851"/>
        <w:gridCol w:w="1630"/>
      </w:tblGrid>
      <w:tr w:rsidR="00A6628F" w:rsidRPr="00357B0B" w14:paraId="0277A2A7" w14:textId="77777777" w:rsidTr="007155F2">
        <w:tc>
          <w:tcPr>
            <w:tcW w:w="1555" w:type="dxa"/>
            <w:vMerge w:val="restart"/>
            <w:shd w:val="clear" w:color="auto" w:fill="auto"/>
            <w:noWrap/>
            <w:tcMar>
              <w:left w:w="28" w:type="dxa"/>
              <w:right w:w="28" w:type="dxa"/>
            </w:tcMar>
            <w:vAlign w:val="center"/>
            <w:hideMark/>
          </w:tcPr>
          <w:p w14:paraId="12B944B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b/>
                <w:bCs/>
                <w:color w:val="000000"/>
                <w:sz w:val="18"/>
                <w:szCs w:val="18"/>
                <w:lang w:eastAsia="en-GB"/>
              </w:rPr>
              <w:t>Respondent characteristics</w:t>
            </w:r>
          </w:p>
        </w:tc>
        <w:tc>
          <w:tcPr>
            <w:tcW w:w="2480" w:type="dxa"/>
            <w:gridSpan w:val="2"/>
            <w:shd w:val="clear" w:color="auto" w:fill="auto"/>
            <w:tcMar>
              <w:left w:w="28" w:type="dxa"/>
              <w:right w:w="28" w:type="dxa"/>
            </w:tcMar>
            <w:vAlign w:val="center"/>
            <w:hideMark/>
          </w:tcPr>
          <w:p w14:paraId="688E91E6"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Urinary incontinence</w:t>
            </w:r>
          </w:p>
        </w:tc>
        <w:tc>
          <w:tcPr>
            <w:tcW w:w="2481" w:type="dxa"/>
            <w:gridSpan w:val="2"/>
            <w:shd w:val="clear" w:color="auto" w:fill="auto"/>
            <w:tcMar>
              <w:left w:w="28" w:type="dxa"/>
              <w:right w:w="28" w:type="dxa"/>
            </w:tcMar>
            <w:vAlign w:val="center"/>
            <w:hideMark/>
          </w:tcPr>
          <w:p w14:paraId="408007D6"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Urinary irritation/ obstruction</w:t>
            </w:r>
          </w:p>
        </w:tc>
        <w:tc>
          <w:tcPr>
            <w:tcW w:w="2480" w:type="dxa"/>
            <w:gridSpan w:val="2"/>
            <w:shd w:val="clear" w:color="auto" w:fill="auto"/>
            <w:tcMar>
              <w:left w:w="28" w:type="dxa"/>
              <w:right w:w="28" w:type="dxa"/>
            </w:tcMar>
            <w:vAlign w:val="center"/>
            <w:hideMark/>
          </w:tcPr>
          <w:p w14:paraId="0AB96A12"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Bowel function</w:t>
            </w:r>
          </w:p>
        </w:tc>
        <w:tc>
          <w:tcPr>
            <w:tcW w:w="2481" w:type="dxa"/>
            <w:gridSpan w:val="2"/>
            <w:shd w:val="clear" w:color="auto" w:fill="auto"/>
            <w:tcMar>
              <w:left w:w="28" w:type="dxa"/>
              <w:right w:w="28" w:type="dxa"/>
            </w:tcMar>
            <w:vAlign w:val="center"/>
            <w:hideMark/>
          </w:tcPr>
          <w:p w14:paraId="0626F967"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Sexual function</w:t>
            </w:r>
          </w:p>
        </w:tc>
        <w:tc>
          <w:tcPr>
            <w:tcW w:w="2481" w:type="dxa"/>
            <w:gridSpan w:val="2"/>
            <w:shd w:val="clear" w:color="auto" w:fill="auto"/>
            <w:tcMar>
              <w:left w:w="28" w:type="dxa"/>
              <w:right w:w="28" w:type="dxa"/>
            </w:tcMar>
            <w:vAlign w:val="center"/>
            <w:hideMark/>
          </w:tcPr>
          <w:p w14:paraId="203A9520"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Vitality\hormonal function</w:t>
            </w:r>
          </w:p>
        </w:tc>
      </w:tr>
      <w:tr w:rsidR="00A6628F" w:rsidRPr="00357B0B" w14:paraId="744E189E" w14:textId="77777777" w:rsidTr="007155F2">
        <w:tc>
          <w:tcPr>
            <w:tcW w:w="1555" w:type="dxa"/>
            <w:vMerge/>
            <w:shd w:val="clear" w:color="auto" w:fill="auto"/>
            <w:tcMar>
              <w:left w:w="28" w:type="dxa"/>
              <w:right w:w="28" w:type="dxa"/>
            </w:tcMar>
            <w:vAlign w:val="center"/>
            <w:hideMark/>
          </w:tcPr>
          <w:p w14:paraId="42A792B8"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850" w:type="dxa"/>
            <w:shd w:val="clear" w:color="auto" w:fill="auto"/>
            <w:tcMar>
              <w:left w:w="28" w:type="dxa"/>
              <w:right w:w="28" w:type="dxa"/>
            </w:tcMar>
            <w:vAlign w:val="center"/>
            <w:hideMark/>
          </w:tcPr>
          <w:p w14:paraId="31B48393"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Number of cases</w:t>
            </w:r>
          </w:p>
        </w:tc>
        <w:tc>
          <w:tcPr>
            <w:tcW w:w="1630" w:type="dxa"/>
            <w:shd w:val="clear" w:color="auto" w:fill="auto"/>
            <w:tcMar>
              <w:left w:w="28" w:type="dxa"/>
              <w:right w:w="28" w:type="dxa"/>
            </w:tcMar>
            <w:vAlign w:val="center"/>
            <w:hideMark/>
          </w:tcPr>
          <w:p w14:paraId="75286A01"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Adjusted mean ratio (95% CI) – symptomatic vs. PSA-detected</w:t>
            </w:r>
            <w:r w:rsidRPr="00357B0B">
              <w:rPr>
                <w:rFonts w:eastAsia="Times New Roman" w:cs="Arial"/>
                <w:b/>
                <w:bCs/>
                <w:color w:val="000000"/>
                <w:sz w:val="18"/>
                <w:szCs w:val="18"/>
                <w:vertAlign w:val="superscript"/>
                <w:lang w:eastAsia="en-GB"/>
              </w:rPr>
              <w:t xml:space="preserve"> a</w:t>
            </w:r>
          </w:p>
        </w:tc>
        <w:tc>
          <w:tcPr>
            <w:tcW w:w="780" w:type="dxa"/>
            <w:shd w:val="clear" w:color="auto" w:fill="auto"/>
            <w:tcMar>
              <w:left w:w="28" w:type="dxa"/>
              <w:right w:w="28" w:type="dxa"/>
            </w:tcMar>
            <w:vAlign w:val="center"/>
            <w:hideMark/>
          </w:tcPr>
          <w:p w14:paraId="2A778CC5"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Number of cases</w:t>
            </w:r>
          </w:p>
        </w:tc>
        <w:tc>
          <w:tcPr>
            <w:tcW w:w="1701" w:type="dxa"/>
            <w:shd w:val="clear" w:color="auto" w:fill="auto"/>
            <w:tcMar>
              <w:left w:w="28" w:type="dxa"/>
              <w:right w:w="28" w:type="dxa"/>
            </w:tcMar>
            <w:vAlign w:val="center"/>
            <w:hideMark/>
          </w:tcPr>
          <w:p w14:paraId="47602454"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Adjusted mean ratio (95% CI) – symptomatic vs. PSA-detected</w:t>
            </w:r>
            <w:r w:rsidRPr="00357B0B">
              <w:rPr>
                <w:rFonts w:eastAsia="Times New Roman" w:cs="Arial"/>
                <w:b/>
                <w:bCs/>
                <w:color w:val="000000"/>
                <w:sz w:val="18"/>
                <w:szCs w:val="18"/>
                <w:vertAlign w:val="superscript"/>
                <w:lang w:eastAsia="en-GB"/>
              </w:rPr>
              <w:t xml:space="preserve"> a</w:t>
            </w:r>
          </w:p>
        </w:tc>
        <w:tc>
          <w:tcPr>
            <w:tcW w:w="850" w:type="dxa"/>
            <w:shd w:val="clear" w:color="auto" w:fill="auto"/>
            <w:tcMar>
              <w:left w:w="28" w:type="dxa"/>
              <w:right w:w="28" w:type="dxa"/>
            </w:tcMar>
            <w:vAlign w:val="center"/>
            <w:hideMark/>
          </w:tcPr>
          <w:p w14:paraId="4E5E7E49"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Number of cases</w:t>
            </w:r>
          </w:p>
        </w:tc>
        <w:tc>
          <w:tcPr>
            <w:tcW w:w="1630" w:type="dxa"/>
            <w:shd w:val="clear" w:color="auto" w:fill="auto"/>
            <w:tcMar>
              <w:left w:w="28" w:type="dxa"/>
              <w:right w:w="28" w:type="dxa"/>
            </w:tcMar>
            <w:vAlign w:val="center"/>
            <w:hideMark/>
          </w:tcPr>
          <w:p w14:paraId="1A1F9335"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Adjusted mean ratio (95% CI) – symptomatic vs. PSA-detected</w:t>
            </w:r>
            <w:r w:rsidRPr="00357B0B">
              <w:rPr>
                <w:rFonts w:eastAsia="Times New Roman" w:cs="Arial"/>
                <w:b/>
                <w:bCs/>
                <w:color w:val="000000"/>
                <w:sz w:val="18"/>
                <w:szCs w:val="18"/>
                <w:vertAlign w:val="superscript"/>
                <w:lang w:eastAsia="en-GB"/>
              </w:rPr>
              <w:t xml:space="preserve"> a</w:t>
            </w:r>
          </w:p>
        </w:tc>
        <w:tc>
          <w:tcPr>
            <w:tcW w:w="780" w:type="dxa"/>
            <w:shd w:val="clear" w:color="auto" w:fill="auto"/>
            <w:tcMar>
              <w:left w:w="28" w:type="dxa"/>
              <w:right w:w="28" w:type="dxa"/>
            </w:tcMar>
            <w:vAlign w:val="center"/>
            <w:hideMark/>
          </w:tcPr>
          <w:p w14:paraId="485F262E"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Number of cases</w:t>
            </w:r>
          </w:p>
        </w:tc>
        <w:tc>
          <w:tcPr>
            <w:tcW w:w="1701" w:type="dxa"/>
            <w:shd w:val="clear" w:color="auto" w:fill="auto"/>
            <w:tcMar>
              <w:left w:w="28" w:type="dxa"/>
              <w:right w:w="28" w:type="dxa"/>
            </w:tcMar>
            <w:vAlign w:val="center"/>
            <w:hideMark/>
          </w:tcPr>
          <w:p w14:paraId="054888F5"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Adjusted mean ratio (95% CI) – symptomatic vs. PSA-detected</w:t>
            </w:r>
            <w:r w:rsidRPr="00357B0B">
              <w:rPr>
                <w:rFonts w:eastAsia="Times New Roman" w:cs="Arial"/>
                <w:b/>
                <w:bCs/>
                <w:color w:val="000000"/>
                <w:sz w:val="18"/>
                <w:szCs w:val="18"/>
                <w:vertAlign w:val="superscript"/>
                <w:lang w:eastAsia="en-GB"/>
              </w:rPr>
              <w:t xml:space="preserve"> a</w:t>
            </w:r>
          </w:p>
        </w:tc>
        <w:tc>
          <w:tcPr>
            <w:tcW w:w="851" w:type="dxa"/>
            <w:shd w:val="clear" w:color="auto" w:fill="auto"/>
            <w:tcMar>
              <w:left w:w="28" w:type="dxa"/>
              <w:right w:w="28" w:type="dxa"/>
            </w:tcMar>
            <w:vAlign w:val="center"/>
            <w:hideMark/>
          </w:tcPr>
          <w:p w14:paraId="4ABAD51A"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Number of cases</w:t>
            </w:r>
          </w:p>
        </w:tc>
        <w:tc>
          <w:tcPr>
            <w:tcW w:w="1630" w:type="dxa"/>
            <w:shd w:val="clear" w:color="auto" w:fill="auto"/>
            <w:tcMar>
              <w:left w:w="28" w:type="dxa"/>
              <w:right w:w="28" w:type="dxa"/>
            </w:tcMar>
            <w:vAlign w:val="center"/>
            <w:hideMark/>
          </w:tcPr>
          <w:p w14:paraId="7C8E25D3"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Adjusted mean ratio (95% CI) – symptomatic vs. PSA-detected</w:t>
            </w:r>
            <w:r w:rsidRPr="00357B0B">
              <w:rPr>
                <w:rFonts w:eastAsia="Times New Roman" w:cs="Arial"/>
                <w:b/>
                <w:bCs/>
                <w:color w:val="000000"/>
                <w:sz w:val="18"/>
                <w:szCs w:val="18"/>
                <w:vertAlign w:val="superscript"/>
                <w:lang w:eastAsia="en-GB"/>
              </w:rPr>
              <w:t xml:space="preserve"> a</w:t>
            </w:r>
          </w:p>
        </w:tc>
      </w:tr>
      <w:tr w:rsidR="00A6628F" w:rsidRPr="00357B0B" w14:paraId="08F851EF" w14:textId="77777777" w:rsidTr="007155F2">
        <w:tc>
          <w:tcPr>
            <w:tcW w:w="1555" w:type="dxa"/>
            <w:shd w:val="clear" w:color="auto" w:fill="auto"/>
            <w:noWrap/>
            <w:tcMar>
              <w:left w:w="28" w:type="dxa"/>
              <w:right w:w="28" w:type="dxa"/>
            </w:tcMar>
            <w:vAlign w:val="center"/>
            <w:hideMark/>
          </w:tcPr>
          <w:p w14:paraId="73136719"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All</w:t>
            </w:r>
          </w:p>
        </w:tc>
        <w:tc>
          <w:tcPr>
            <w:tcW w:w="850" w:type="dxa"/>
            <w:shd w:val="clear" w:color="auto" w:fill="auto"/>
            <w:noWrap/>
            <w:tcMar>
              <w:left w:w="28" w:type="dxa"/>
              <w:right w:w="28" w:type="dxa"/>
            </w:tcMar>
            <w:vAlign w:val="center"/>
            <w:hideMark/>
          </w:tcPr>
          <w:p w14:paraId="4A67141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18,395</w:t>
            </w:r>
          </w:p>
        </w:tc>
        <w:tc>
          <w:tcPr>
            <w:tcW w:w="1630" w:type="dxa"/>
            <w:shd w:val="clear" w:color="auto" w:fill="auto"/>
            <w:noWrap/>
            <w:tcMar>
              <w:left w:w="28" w:type="dxa"/>
              <w:right w:w="28" w:type="dxa"/>
            </w:tcMar>
            <w:vAlign w:val="center"/>
            <w:hideMark/>
          </w:tcPr>
          <w:p w14:paraId="6F7B2A8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780" w:type="dxa"/>
            <w:shd w:val="clear" w:color="auto" w:fill="auto"/>
            <w:noWrap/>
            <w:tcMar>
              <w:left w:w="28" w:type="dxa"/>
              <w:right w:w="28" w:type="dxa"/>
            </w:tcMar>
            <w:vAlign w:val="center"/>
            <w:hideMark/>
          </w:tcPr>
          <w:p w14:paraId="631C156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17,090</w:t>
            </w:r>
          </w:p>
        </w:tc>
        <w:tc>
          <w:tcPr>
            <w:tcW w:w="1701" w:type="dxa"/>
            <w:shd w:val="clear" w:color="auto" w:fill="auto"/>
            <w:noWrap/>
            <w:tcMar>
              <w:left w:w="28" w:type="dxa"/>
              <w:right w:w="28" w:type="dxa"/>
            </w:tcMar>
            <w:vAlign w:val="center"/>
            <w:hideMark/>
          </w:tcPr>
          <w:p w14:paraId="476EC50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(0.95-0.96)**</w:t>
            </w:r>
          </w:p>
        </w:tc>
        <w:tc>
          <w:tcPr>
            <w:tcW w:w="850" w:type="dxa"/>
            <w:shd w:val="clear" w:color="auto" w:fill="auto"/>
            <w:noWrap/>
            <w:tcMar>
              <w:left w:w="28" w:type="dxa"/>
              <w:right w:w="28" w:type="dxa"/>
            </w:tcMar>
            <w:vAlign w:val="center"/>
            <w:hideMark/>
          </w:tcPr>
          <w:p w14:paraId="7F8A3E0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17,929</w:t>
            </w:r>
          </w:p>
        </w:tc>
        <w:tc>
          <w:tcPr>
            <w:tcW w:w="1630" w:type="dxa"/>
            <w:shd w:val="clear" w:color="auto" w:fill="auto"/>
            <w:noWrap/>
            <w:tcMar>
              <w:left w:w="28" w:type="dxa"/>
              <w:right w:w="28" w:type="dxa"/>
            </w:tcMar>
            <w:vAlign w:val="center"/>
            <w:hideMark/>
          </w:tcPr>
          <w:p w14:paraId="757A056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(0.97-0.98)**</w:t>
            </w:r>
          </w:p>
        </w:tc>
        <w:tc>
          <w:tcPr>
            <w:tcW w:w="780" w:type="dxa"/>
            <w:shd w:val="clear" w:color="auto" w:fill="auto"/>
            <w:noWrap/>
            <w:tcMar>
              <w:left w:w="28" w:type="dxa"/>
              <w:right w:w="28" w:type="dxa"/>
            </w:tcMar>
            <w:vAlign w:val="center"/>
            <w:hideMark/>
          </w:tcPr>
          <w:p w14:paraId="652F2F0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18,812</w:t>
            </w:r>
          </w:p>
        </w:tc>
        <w:tc>
          <w:tcPr>
            <w:tcW w:w="1701" w:type="dxa"/>
            <w:shd w:val="clear" w:color="auto" w:fill="auto"/>
            <w:noWrap/>
            <w:tcMar>
              <w:left w:w="28" w:type="dxa"/>
              <w:right w:w="28" w:type="dxa"/>
            </w:tcMar>
            <w:vAlign w:val="center"/>
            <w:hideMark/>
          </w:tcPr>
          <w:p w14:paraId="5E2C89F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0.90 (0.88-0.93)**</w:t>
            </w:r>
          </w:p>
        </w:tc>
        <w:tc>
          <w:tcPr>
            <w:tcW w:w="851" w:type="dxa"/>
            <w:shd w:val="clear" w:color="auto" w:fill="auto"/>
            <w:noWrap/>
            <w:tcMar>
              <w:left w:w="28" w:type="dxa"/>
              <w:right w:w="28" w:type="dxa"/>
            </w:tcMar>
            <w:vAlign w:val="center"/>
            <w:hideMark/>
          </w:tcPr>
          <w:p w14:paraId="6DB6BCA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18,468</w:t>
            </w:r>
          </w:p>
        </w:tc>
        <w:tc>
          <w:tcPr>
            <w:tcW w:w="1630" w:type="dxa"/>
            <w:shd w:val="clear" w:color="auto" w:fill="auto"/>
            <w:noWrap/>
            <w:tcMar>
              <w:left w:w="28" w:type="dxa"/>
              <w:right w:w="28" w:type="dxa"/>
            </w:tcMar>
            <w:vAlign w:val="center"/>
            <w:hideMark/>
          </w:tcPr>
          <w:p w14:paraId="167105C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(0.96-0.97)**</w:t>
            </w:r>
          </w:p>
        </w:tc>
      </w:tr>
      <w:tr w:rsidR="00A6628F" w:rsidRPr="00357B0B" w14:paraId="52F45C83" w14:textId="77777777" w:rsidTr="007155F2">
        <w:tc>
          <w:tcPr>
            <w:tcW w:w="1555" w:type="dxa"/>
            <w:shd w:val="clear" w:color="auto" w:fill="auto"/>
            <w:noWrap/>
            <w:tcMar>
              <w:left w:w="28" w:type="dxa"/>
              <w:right w:w="28" w:type="dxa"/>
            </w:tcMar>
            <w:vAlign w:val="center"/>
            <w:hideMark/>
          </w:tcPr>
          <w:p w14:paraId="396BE3B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850" w:type="dxa"/>
            <w:shd w:val="clear" w:color="auto" w:fill="auto"/>
            <w:noWrap/>
            <w:tcMar>
              <w:left w:w="28" w:type="dxa"/>
              <w:right w:w="28" w:type="dxa"/>
            </w:tcMar>
            <w:vAlign w:val="center"/>
            <w:hideMark/>
          </w:tcPr>
          <w:p w14:paraId="7B0CA00D"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630" w:type="dxa"/>
            <w:shd w:val="clear" w:color="auto" w:fill="auto"/>
            <w:noWrap/>
            <w:tcMar>
              <w:left w:w="28" w:type="dxa"/>
              <w:right w:w="28" w:type="dxa"/>
            </w:tcMar>
            <w:vAlign w:val="center"/>
            <w:hideMark/>
          </w:tcPr>
          <w:p w14:paraId="2E64FD1F"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734F6567"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47F203C6" w14:textId="77777777" w:rsidR="00A6628F" w:rsidRPr="00357B0B" w:rsidRDefault="00A6628F" w:rsidP="007155F2">
            <w:pPr>
              <w:spacing w:line="240" w:lineRule="auto"/>
              <w:jc w:val="left"/>
              <w:rPr>
                <w:rFonts w:eastAsia="Times New Roman" w:cs="Arial"/>
                <w:sz w:val="18"/>
                <w:szCs w:val="18"/>
                <w:lang w:eastAsia="en-GB"/>
              </w:rPr>
            </w:pPr>
          </w:p>
        </w:tc>
        <w:tc>
          <w:tcPr>
            <w:tcW w:w="850" w:type="dxa"/>
            <w:shd w:val="clear" w:color="auto" w:fill="auto"/>
            <w:noWrap/>
            <w:tcMar>
              <w:left w:w="28" w:type="dxa"/>
              <w:right w:w="28" w:type="dxa"/>
            </w:tcMar>
            <w:vAlign w:val="center"/>
            <w:hideMark/>
          </w:tcPr>
          <w:p w14:paraId="2A879760"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2EC70C8D"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25394C6C"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2235A4DA" w14:textId="77777777" w:rsidR="00A6628F" w:rsidRPr="00357B0B" w:rsidRDefault="00A6628F" w:rsidP="007155F2">
            <w:pPr>
              <w:spacing w:line="240" w:lineRule="auto"/>
              <w:jc w:val="left"/>
              <w:rPr>
                <w:rFonts w:eastAsia="Times New Roman" w:cs="Arial"/>
                <w:sz w:val="18"/>
                <w:szCs w:val="18"/>
                <w:lang w:eastAsia="en-GB"/>
              </w:rPr>
            </w:pPr>
          </w:p>
        </w:tc>
        <w:tc>
          <w:tcPr>
            <w:tcW w:w="851" w:type="dxa"/>
            <w:shd w:val="clear" w:color="auto" w:fill="auto"/>
            <w:noWrap/>
            <w:tcMar>
              <w:left w:w="28" w:type="dxa"/>
              <w:right w:w="28" w:type="dxa"/>
            </w:tcMar>
            <w:vAlign w:val="center"/>
            <w:hideMark/>
          </w:tcPr>
          <w:p w14:paraId="7F01FBF5"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0A2BF220"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4DA9D787" w14:textId="77777777" w:rsidTr="007155F2">
        <w:tc>
          <w:tcPr>
            <w:tcW w:w="1555" w:type="dxa"/>
            <w:shd w:val="clear" w:color="auto" w:fill="auto"/>
            <w:noWrap/>
            <w:tcMar>
              <w:left w:w="28" w:type="dxa"/>
              <w:right w:w="28" w:type="dxa"/>
            </w:tcMar>
            <w:vAlign w:val="center"/>
            <w:hideMark/>
          </w:tcPr>
          <w:p w14:paraId="038DF1D9"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Age at diagnosis</w:t>
            </w:r>
          </w:p>
        </w:tc>
        <w:tc>
          <w:tcPr>
            <w:tcW w:w="850" w:type="dxa"/>
            <w:shd w:val="clear" w:color="auto" w:fill="auto"/>
            <w:noWrap/>
            <w:tcMar>
              <w:left w:w="28" w:type="dxa"/>
              <w:right w:w="28" w:type="dxa"/>
            </w:tcMar>
            <w:vAlign w:val="center"/>
            <w:hideMark/>
          </w:tcPr>
          <w:p w14:paraId="7783C6A7"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630" w:type="dxa"/>
            <w:shd w:val="clear" w:color="auto" w:fill="auto"/>
            <w:noWrap/>
            <w:tcMar>
              <w:left w:w="28" w:type="dxa"/>
              <w:right w:w="28" w:type="dxa"/>
            </w:tcMar>
            <w:vAlign w:val="center"/>
            <w:hideMark/>
          </w:tcPr>
          <w:p w14:paraId="1568F70C"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76DA3CEE"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2D6071CB" w14:textId="77777777" w:rsidR="00A6628F" w:rsidRPr="00357B0B" w:rsidRDefault="00A6628F" w:rsidP="007155F2">
            <w:pPr>
              <w:spacing w:line="240" w:lineRule="auto"/>
              <w:jc w:val="left"/>
              <w:rPr>
                <w:rFonts w:eastAsia="Times New Roman" w:cs="Arial"/>
                <w:sz w:val="18"/>
                <w:szCs w:val="18"/>
                <w:lang w:eastAsia="en-GB"/>
              </w:rPr>
            </w:pPr>
          </w:p>
        </w:tc>
        <w:tc>
          <w:tcPr>
            <w:tcW w:w="850" w:type="dxa"/>
            <w:shd w:val="clear" w:color="auto" w:fill="auto"/>
            <w:noWrap/>
            <w:tcMar>
              <w:left w:w="28" w:type="dxa"/>
              <w:right w:w="28" w:type="dxa"/>
            </w:tcMar>
            <w:vAlign w:val="center"/>
            <w:hideMark/>
          </w:tcPr>
          <w:p w14:paraId="67FA51FC"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09281734"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620ED385"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6DD586E8" w14:textId="77777777" w:rsidR="00A6628F" w:rsidRPr="00357B0B" w:rsidRDefault="00A6628F" w:rsidP="007155F2">
            <w:pPr>
              <w:spacing w:line="240" w:lineRule="auto"/>
              <w:jc w:val="left"/>
              <w:rPr>
                <w:rFonts w:eastAsia="Times New Roman" w:cs="Arial"/>
                <w:sz w:val="18"/>
                <w:szCs w:val="18"/>
                <w:lang w:eastAsia="en-GB"/>
              </w:rPr>
            </w:pPr>
          </w:p>
        </w:tc>
        <w:tc>
          <w:tcPr>
            <w:tcW w:w="851" w:type="dxa"/>
            <w:shd w:val="clear" w:color="auto" w:fill="auto"/>
            <w:noWrap/>
            <w:tcMar>
              <w:left w:w="28" w:type="dxa"/>
              <w:right w:w="28" w:type="dxa"/>
            </w:tcMar>
            <w:vAlign w:val="center"/>
            <w:hideMark/>
          </w:tcPr>
          <w:p w14:paraId="33A55A35"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69827AB1"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3F6DE456" w14:textId="77777777" w:rsidTr="007155F2">
        <w:tc>
          <w:tcPr>
            <w:tcW w:w="1555" w:type="dxa"/>
            <w:shd w:val="clear" w:color="auto" w:fill="auto"/>
            <w:noWrap/>
            <w:tcMar>
              <w:left w:w="28" w:type="dxa"/>
              <w:right w:w="28" w:type="dxa"/>
            </w:tcMar>
            <w:vAlign w:val="center"/>
            <w:hideMark/>
          </w:tcPr>
          <w:p w14:paraId="07BE403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Under 75</w:t>
            </w:r>
          </w:p>
        </w:tc>
        <w:tc>
          <w:tcPr>
            <w:tcW w:w="850" w:type="dxa"/>
            <w:shd w:val="clear" w:color="auto" w:fill="auto"/>
            <w:noWrap/>
            <w:tcMar>
              <w:left w:w="28" w:type="dxa"/>
              <w:right w:w="28" w:type="dxa"/>
            </w:tcMar>
            <w:vAlign w:val="center"/>
            <w:hideMark/>
          </w:tcPr>
          <w:p w14:paraId="28B2669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14,890</w:t>
            </w:r>
          </w:p>
        </w:tc>
        <w:tc>
          <w:tcPr>
            <w:tcW w:w="1630" w:type="dxa"/>
            <w:shd w:val="clear" w:color="auto" w:fill="auto"/>
            <w:noWrap/>
            <w:tcMar>
              <w:left w:w="28" w:type="dxa"/>
              <w:right w:w="28" w:type="dxa"/>
            </w:tcMar>
            <w:vAlign w:val="center"/>
            <w:hideMark/>
          </w:tcPr>
          <w:p w14:paraId="5F162B7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780" w:type="dxa"/>
            <w:shd w:val="clear" w:color="auto" w:fill="auto"/>
            <w:noWrap/>
            <w:tcMar>
              <w:left w:w="28" w:type="dxa"/>
              <w:right w:w="28" w:type="dxa"/>
            </w:tcMar>
            <w:vAlign w:val="center"/>
            <w:hideMark/>
          </w:tcPr>
          <w:p w14:paraId="708F073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13,982</w:t>
            </w:r>
          </w:p>
        </w:tc>
        <w:tc>
          <w:tcPr>
            <w:tcW w:w="1701" w:type="dxa"/>
            <w:shd w:val="clear" w:color="auto" w:fill="auto"/>
            <w:noWrap/>
            <w:tcMar>
              <w:left w:w="28" w:type="dxa"/>
              <w:right w:w="28" w:type="dxa"/>
            </w:tcMar>
            <w:vAlign w:val="center"/>
            <w:hideMark/>
          </w:tcPr>
          <w:p w14:paraId="3A14BAA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(0.95-0.96)**</w:t>
            </w:r>
          </w:p>
        </w:tc>
        <w:tc>
          <w:tcPr>
            <w:tcW w:w="850" w:type="dxa"/>
            <w:shd w:val="clear" w:color="auto" w:fill="auto"/>
            <w:noWrap/>
            <w:tcMar>
              <w:left w:w="28" w:type="dxa"/>
              <w:right w:w="28" w:type="dxa"/>
            </w:tcMar>
            <w:vAlign w:val="center"/>
            <w:hideMark/>
          </w:tcPr>
          <w:p w14:paraId="48493AE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14,619</w:t>
            </w:r>
          </w:p>
        </w:tc>
        <w:tc>
          <w:tcPr>
            <w:tcW w:w="1630" w:type="dxa"/>
            <w:shd w:val="clear" w:color="auto" w:fill="auto"/>
            <w:noWrap/>
            <w:tcMar>
              <w:left w:w="28" w:type="dxa"/>
              <w:right w:w="28" w:type="dxa"/>
            </w:tcMar>
            <w:vAlign w:val="center"/>
            <w:hideMark/>
          </w:tcPr>
          <w:p w14:paraId="3C65D6D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(0.97-0.98)**</w:t>
            </w:r>
          </w:p>
        </w:tc>
        <w:tc>
          <w:tcPr>
            <w:tcW w:w="780" w:type="dxa"/>
            <w:shd w:val="clear" w:color="auto" w:fill="auto"/>
            <w:noWrap/>
            <w:tcMar>
              <w:left w:w="28" w:type="dxa"/>
              <w:right w:w="28" w:type="dxa"/>
            </w:tcMar>
            <w:vAlign w:val="center"/>
            <w:hideMark/>
          </w:tcPr>
          <w:p w14:paraId="29F0841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15,311</w:t>
            </w:r>
          </w:p>
        </w:tc>
        <w:tc>
          <w:tcPr>
            <w:tcW w:w="1701" w:type="dxa"/>
            <w:shd w:val="clear" w:color="auto" w:fill="auto"/>
            <w:noWrap/>
            <w:tcMar>
              <w:left w:w="28" w:type="dxa"/>
              <w:right w:w="28" w:type="dxa"/>
            </w:tcMar>
            <w:vAlign w:val="center"/>
            <w:hideMark/>
          </w:tcPr>
          <w:p w14:paraId="0B0791B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0.91 (0.88-0.94)**</w:t>
            </w:r>
          </w:p>
        </w:tc>
        <w:tc>
          <w:tcPr>
            <w:tcW w:w="851" w:type="dxa"/>
            <w:shd w:val="clear" w:color="auto" w:fill="auto"/>
            <w:noWrap/>
            <w:tcMar>
              <w:left w:w="28" w:type="dxa"/>
              <w:right w:w="28" w:type="dxa"/>
            </w:tcMar>
            <w:vAlign w:val="center"/>
            <w:hideMark/>
          </w:tcPr>
          <w:p w14:paraId="3C6CDD0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14,995</w:t>
            </w:r>
          </w:p>
        </w:tc>
        <w:tc>
          <w:tcPr>
            <w:tcW w:w="1630" w:type="dxa"/>
            <w:shd w:val="clear" w:color="auto" w:fill="auto"/>
            <w:noWrap/>
            <w:tcMar>
              <w:left w:w="28" w:type="dxa"/>
              <w:right w:w="28" w:type="dxa"/>
            </w:tcMar>
            <w:vAlign w:val="center"/>
            <w:hideMark/>
          </w:tcPr>
          <w:p w14:paraId="376882C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(0.96-0.97)**</w:t>
            </w:r>
          </w:p>
        </w:tc>
      </w:tr>
      <w:tr w:rsidR="00A6628F" w:rsidRPr="00357B0B" w14:paraId="517D6ADC" w14:textId="77777777" w:rsidTr="007155F2">
        <w:tc>
          <w:tcPr>
            <w:tcW w:w="1555" w:type="dxa"/>
            <w:shd w:val="clear" w:color="auto" w:fill="auto"/>
            <w:noWrap/>
            <w:tcMar>
              <w:left w:w="28" w:type="dxa"/>
              <w:right w:w="28" w:type="dxa"/>
            </w:tcMar>
            <w:vAlign w:val="center"/>
            <w:hideMark/>
          </w:tcPr>
          <w:p w14:paraId="75DD7B2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75 and over</w:t>
            </w:r>
          </w:p>
        </w:tc>
        <w:tc>
          <w:tcPr>
            <w:tcW w:w="850" w:type="dxa"/>
            <w:shd w:val="clear" w:color="auto" w:fill="auto"/>
            <w:noWrap/>
            <w:tcMar>
              <w:left w:w="28" w:type="dxa"/>
              <w:right w:w="28" w:type="dxa"/>
            </w:tcMar>
            <w:vAlign w:val="center"/>
            <w:hideMark/>
          </w:tcPr>
          <w:p w14:paraId="4CC96A3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3,505</w:t>
            </w:r>
          </w:p>
        </w:tc>
        <w:tc>
          <w:tcPr>
            <w:tcW w:w="1630" w:type="dxa"/>
            <w:shd w:val="clear" w:color="auto" w:fill="auto"/>
            <w:noWrap/>
            <w:tcMar>
              <w:left w:w="28" w:type="dxa"/>
              <w:right w:w="28" w:type="dxa"/>
            </w:tcMar>
            <w:vAlign w:val="center"/>
            <w:hideMark/>
          </w:tcPr>
          <w:p w14:paraId="65FBC5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(0.95-0.98)**</w:t>
            </w:r>
          </w:p>
        </w:tc>
        <w:tc>
          <w:tcPr>
            <w:tcW w:w="780" w:type="dxa"/>
            <w:shd w:val="clear" w:color="auto" w:fill="auto"/>
            <w:noWrap/>
            <w:tcMar>
              <w:left w:w="28" w:type="dxa"/>
              <w:right w:w="28" w:type="dxa"/>
            </w:tcMar>
            <w:vAlign w:val="center"/>
            <w:hideMark/>
          </w:tcPr>
          <w:p w14:paraId="06D38D7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3,108</w:t>
            </w:r>
          </w:p>
        </w:tc>
        <w:tc>
          <w:tcPr>
            <w:tcW w:w="1701" w:type="dxa"/>
            <w:shd w:val="clear" w:color="auto" w:fill="auto"/>
            <w:noWrap/>
            <w:tcMar>
              <w:left w:w="28" w:type="dxa"/>
              <w:right w:w="28" w:type="dxa"/>
            </w:tcMar>
            <w:vAlign w:val="center"/>
            <w:hideMark/>
          </w:tcPr>
          <w:p w14:paraId="7CE71E9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850" w:type="dxa"/>
            <w:shd w:val="clear" w:color="auto" w:fill="auto"/>
            <w:noWrap/>
            <w:tcMar>
              <w:left w:w="28" w:type="dxa"/>
              <w:right w:w="28" w:type="dxa"/>
            </w:tcMar>
            <w:vAlign w:val="center"/>
            <w:hideMark/>
          </w:tcPr>
          <w:p w14:paraId="498E6E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3,310</w:t>
            </w:r>
          </w:p>
        </w:tc>
        <w:tc>
          <w:tcPr>
            <w:tcW w:w="1630" w:type="dxa"/>
            <w:shd w:val="clear" w:color="auto" w:fill="auto"/>
            <w:noWrap/>
            <w:tcMar>
              <w:left w:w="28" w:type="dxa"/>
              <w:right w:w="28" w:type="dxa"/>
            </w:tcMar>
            <w:vAlign w:val="center"/>
            <w:hideMark/>
          </w:tcPr>
          <w:p w14:paraId="78212D8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(0.97-0.99)*</w:t>
            </w:r>
          </w:p>
        </w:tc>
        <w:tc>
          <w:tcPr>
            <w:tcW w:w="780" w:type="dxa"/>
            <w:shd w:val="clear" w:color="auto" w:fill="auto"/>
            <w:noWrap/>
            <w:tcMar>
              <w:left w:w="28" w:type="dxa"/>
              <w:right w:w="28" w:type="dxa"/>
            </w:tcMar>
            <w:vAlign w:val="center"/>
            <w:hideMark/>
          </w:tcPr>
          <w:p w14:paraId="2BDDA74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3,501</w:t>
            </w:r>
          </w:p>
        </w:tc>
        <w:tc>
          <w:tcPr>
            <w:tcW w:w="1701" w:type="dxa"/>
            <w:shd w:val="clear" w:color="auto" w:fill="auto"/>
            <w:noWrap/>
            <w:tcMar>
              <w:left w:w="28" w:type="dxa"/>
              <w:right w:w="28" w:type="dxa"/>
            </w:tcMar>
            <w:vAlign w:val="center"/>
            <w:hideMark/>
          </w:tcPr>
          <w:p w14:paraId="71684BF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0.93 (0.85-1.01)</w:t>
            </w:r>
          </w:p>
        </w:tc>
        <w:tc>
          <w:tcPr>
            <w:tcW w:w="851" w:type="dxa"/>
            <w:shd w:val="clear" w:color="auto" w:fill="auto"/>
            <w:noWrap/>
            <w:tcMar>
              <w:left w:w="28" w:type="dxa"/>
              <w:right w:w="28" w:type="dxa"/>
            </w:tcMar>
            <w:vAlign w:val="center"/>
            <w:hideMark/>
          </w:tcPr>
          <w:p w14:paraId="4936A9B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3,473</w:t>
            </w:r>
          </w:p>
        </w:tc>
        <w:tc>
          <w:tcPr>
            <w:tcW w:w="1630" w:type="dxa"/>
            <w:shd w:val="clear" w:color="auto" w:fill="auto"/>
            <w:noWrap/>
            <w:tcMar>
              <w:left w:w="28" w:type="dxa"/>
              <w:right w:w="28" w:type="dxa"/>
            </w:tcMar>
            <w:vAlign w:val="center"/>
            <w:hideMark/>
          </w:tcPr>
          <w:p w14:paraId="5119451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(0.95-0.98)**</w:t>
            </w:r>
          </w:p>
        </w:tc>
      </w:tr>
      <w:tr w:rsidR="00A6628F" w:rsidRPr="00357B0B" w14:paraId="04D58DEB" w14:textId="77777777" w:rsidTr="007155F2">
        <w:tc>
          <w:tcPr>
            <w:tcW w:w="1555" w:type="dxa"/>
            <w:shd w:val="clear" w:color="auto" w:fill="auto"/>
            <w:noWrap/>
            <w:tcMar>
              <w:left w:w="28" w:type="dxa"/>
              <w:right w:w="28" w:type="dxa"/>
            </w:tcMar>
            <w:vAlign w:val="center"/>
            <w:hideMark/>
          </w:tcPr>
          <w:p w14:paraId="5379676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850" w:type="dxa"/>
            <w:shd w:val="clear" w:color="auto" w:fill="auto"/>
            <w:noWrap/>
            <w:tcMar>
              <w:left w:w="28" w:type="dxa"/>
              <w:right w:w="28" w:type="dxa"/>
            </w:tcMar>
            <w:vAlign w:val="center"/>
            <w:hideMark/>
          </w:tcPr>
          <w:p w14:paraId="73804FA0"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630" w:type="dxa"/>
            <w:shd w:val="clear" w:color="auto" w:fill="auto"/>
            <w:noWrap/>
            <w:tcMar>
              <w:left w:w="28" w:type="dxa"/>
              <w:right w:w="28" w:type="dxa"/>
            </w:tcMar>
            <w:vAlign w:val="center"/>
            <w:hideMark/>
          </w:tcPr>
          <w:p w14:paraId="1C7BA756"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4ECF4B9C"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01947073" w14:textId="77777777" w:rsidR="00A6628F" w:rsidRPr="00357B0B" w:rsidRDefault="00A6628F" w:rsidP="007155F2">
            <w:pPr>
              <w:spacing w:line="240" w:lineRule="auto"/>
              <w:jc w:val="left"/>
              <w:rPr>
                <w:rFonts w:eastAsia="Times New Roman" w:cs="Arial"/>
                <w:sz w:val="18"/>
                <w:szCs w:val="18"/>
                <w:lang w:eastAsia="en-GB"/>
              </w:rPr>
            </w:pPr>
          </w:p>
        </w:tc>
        <w:tc>
          <w:tcPr>
            <w:tcW w:w="850" w:type="dxa"/>
            <w:shd w:val="clear" w:color="auto" w:fill="auto"/>
            <w:noWrap/>
            <w:tcMar>
              <w:left w:w="28" w:type="dxa"/>
              <w:right w:w="28" w:type="dxa"/>
            </w:tcMar>
            <w:vAlign w:val="center"/>
            <w:hideMark/>
          </w:tcPr>
          <w:p w14:paraId="36AA97E9"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49929EF6"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18E91617"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41013836" w14:textId="77777777" w:rsidR="00A6628F" w:rsidRPr="00357B0B" w:rsidRDefault="00A6628F" w:rsidP="007155F2">
            <w:pPr>
              <w:spacing w:line="240" w:lineRule="auto"/>
              <w:jc w:val="left"/>
              <w:rPr>
                <w:rFonts w:eastAsia="Times New Roman" w:cs="Arial"/>
                <w:sz w:val="18"/>
                <w:szCs w:val="18"/>
                <w:lang w:eastAsia="en-GB"/>
              </w:rPr>
            </w:pPr>
          </w:p>
        </w:tc>
        <w:tc>
          <w:tcPr>
            <w:tcW w:w="851" w:type="dxa"/>
            <w:shd w:val="clear" w:color="auto" w:fill="auto"/>
            <w:noWrap/>
            <w:tcMar>
              <w:left w:w="28" w:type="dxa"/>
              <w:right w:w="28" w:type="dxa"/>
            </w:tcMar>
            <w:vAlign w:val="center"/>
            <w:hideMark/>
          </w:tcPr>
          <w:p w14:paraId="66D650DF"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46E9725F"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58AFA9E2" w14:textId="77777777" w:rsidTr="007155F2">
        <w:tc>
          <w:tcPr>
            <w:tcW w:w="1555" w:type="dxa"/>
            <w:shd w:val="clear" w:color="auto" w:fill="auto"/>
            <w:noWrap/>
            <w:tcMar>
              <w:left w:w="28" w:type="dxa"/>
              <w:right w:w="28" w:type="dxa"/>
            </w:tcMar>
            <w:vAlign w:val="center"/>
            <w:hideMark/>
          </w:tcPr>
          <w:p w14:paraId="0FB216F6"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Stage</w:t>
            </w:r>
          </w:p>
        </w:tc>
        <w:tc>
          <w:tcPr>
            <w:tcW w:w="850" w:type="dxa"/>
            <w:shd w:val="clear" w:color="auto" w:fill="auto"/>
            <w:noWrap/>
            <w:tcMar>
              <w:left w:w="28" w:type="dxa"/>
              <w:right w:w="28" w:type="dxa"/>
            </w:tcMar>
            <w:vAlign w:val="center"/>
            <w:hideMark/>
          </w:tcPr>
          <w:p w14:paraId="3E27A3C0"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630" w:type="dxa"/>
            <w:shd w:val="clear" w:color="auto" w:fill="auto"/>
            <w:noWrap/>
            <w:tcMar>
              <w:left w:w="28" w:type="dxa"/>
              <w:right w:w="28" w:type="dxa"/>
            </w:tcMar>
            <w:vAlign w:val="center"/>
            <w:hideMark/>
          </w:tcPr>
          <w:p w14:paraId="11C1C210"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513E93F6"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68BF2E63" w14:textId="77777777" w:rsidR="00A6628F" w:rsidRPr="00357B0B" w:rsidRDefault="00A6628F" w:rsidP="007155F2">
            <w:pPr>
              <w:spacing w:line="240" w:lineRule="auto"/>
              <w:jc w:val="left"/>
              <w:rPr>
                <w:rFonts w:eastAsia="Times New Roman" w:cs="Arial"/>
                <w:sz w:val="18"/>
                <w:szCs w:val="18"/>
                <w:lang w:eastAsia="en-GB"/>
              </w:rPr>
            </w:pPr>
          </w:p>
        </w:tc>
        <w:tc>
          <w:tcPr>
            <w:tcW w:w="850" w:type="dxa"/>
            <w:shd w:val="clear" w:color="auto" w:fill="auto"/>
            <w:noWrap/>
            <w:tcMar>
              <w:left w:w="28" w:type="dxa"/>
              <w:right w:w="28" w:type="dxa"/>
            </w:tcMar>
            <w:vAlign w:val="center"/>
            <w:hideMark/>
          </w:tcPr>
          <w:p w14:paraId="09638CFF"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4B24BDDF"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5B94E66E"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7A5902AB" w14:textId="77777777" w:rsidR="00A6628F" w:rsidRPr="00357B0B" w:rsidRDefault="00A6628F" w:rsidP="007155F2">
            <w:pPr>
              <w:spacing w:line="240" w:lineRule="auto"/>
              <w:jc w:val="left"/>
              <w:rPr>
                <w:rFonts w:eastAsia="Times New Roman" w:cs="Arial"/>
                <w:sz w:val="18"/>
                <w:szCs w:val="18"/>
                <w:lang w:eastAsia="en-GB"/>
              </w:rPr>
            </w:pPr>
          </w:p>
        </w:tc>
        <w:tc>
          <w:tcPr>
            <w:tcW w:w="851" w:type="dxa"/>
            <w:shd w:val="clear" w:color="auto" w:fill="auto"/>
            <w:noWrap/>
            <w:tcMar>
              <w:left w:w="28" w:type="dxa"/>
              <w:right w:w="28" w:type="dxa"/>
            </w:tcMar>
            <w:vAlign w:val="center"/>
            <w:hideMark/>
          </w:tcPr>
          <w:p w14:paraId="43C84BDD"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76132CEE"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5E64BB42" w14:textId="77777777" w:rsidTr="007155F2">
        <w:tc>
          <w:tcPr>
            <w:tcW w:w="1555" w:type="dxa"/>
            <w:shd w:val="clear" w:color="auto" w:fill="auto"/>
            <w:noWrap/>
            <w:tcMar>
              <w:left w:w="28" w:type="dxa"/>
              <w:right w:w="28" w:type="dxa"/>
            </w:tcMar>
            <w:vAlign w:val="center"/>
            <w:hideMark/>
          </w:tcPr>
          <w:p w14:paraId="6615340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I/II</w:t>
            </w:r>
          </w:p>
        </w:tc>
        <w:tc>
          <w:tcPr>
            <w:tcW w:w="850" w:type="dxa"/>
            <w:shd w:val="clear" w:color="auto" w:fill="auto"/>
            <w:noWrap/>
            <w:tcMar>
              <w:left w:w="28" w:type="dxa"/>
              <w:right w:w="28" w:type="dxa"/>
            </w:tcMar>
            <w:vAlign w:val="center"/>
            <w:hideMark/>
          </w:tcPr>
          <w:p w14:paraId="5679736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12,145</w:t>
            </w:r>
          </w:p>
        </w:tc>
        <w:tc>
          <w:tcPr>
            <w:tcW w:w="1630" w:type="dxa"/>
            <w:shd w:val="clear" w:color="auto" w:fill="auto"/>
            <w:noWrap/>
            <w:tcMar>
              <w:left w:w="28" w:type="dxa"/>
              <w:right w:w="28" w:type="dxa"/>
            </w:tcMar>
            <w:vAlign w:val="center"/>
            <w:hideMark/>
          </w:tcPr>
          <w:p w14:paraId="0C4C996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780" w:type="dxa"/>
            <w:shd w:val="clear" w:color="auto" w:fill="auto"/>
            <w:noWrap/>
            <w:tcMar>
              <w:left w:w="28" w:type="dxa"/>
              <w:right w:w="28" w:type="dxa"/>
            </w:tcMar>
            <w:vAlign w:val="center"/>
            <w:hideMark/>
          </w:tcPr>
          <w:p w14:paraId="71A692C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11,325</w:t>
            </w:r>
          </w:p>
        </w:tc>
        <w:tc>
          <w:tcPr>
            <w:tcW w:w="1701" w:type="dxa"/>
            <w:shd w:val="clear" w:color="auto" w:fill="auto"/>
            <w:noWrap/>
            <w:tcMar>
              <w:left w:w="28" w:type="dxa"/>
              <w:right w:w="28" w:type="dxa"/>
            </w:tcMar>
            <w:vAlign w:val="center"/>
            <w:hideMark/>
          </w:tcPr>
          <w:p w14:paraId="1E59041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(0.95-0.96)**</w:t>
            </w:r>
          </w:p>
        </w:tc>
        <w:tc>
          <w:tcPr>
            <w:tcW w:w="850" w:type="dxa"/>
            <w:shd w:val="clear" w:color="auto" w:fill="auto"/>
            <w:noWrap/>
            <w:tcMar>
              <w:left w:w="28" w:type="dxa"/>
              <w:right w:w="28" w:type="dxa"/>
            </w:tcMar>
            <w:vAlign w:val="center"/>
            <w:hideMark/>
          </w:tcPr>
          <w:p w14:paraId="57FF3B6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11,905</w:t>
            </w:r>
          </w:p>
        </w:tc>
        <w:tc>
          <w:tcPr>
            <w:tcW w:w="1630" w:type="dxa"/>
            <w:shd w:val="clear" w:color="auto" w:fill="auto"/>
            <w:noWrap/>
            <w:tcMar>
              <w:left w:w="28" w:type="dxa"/>
              <w:right w:w="28" w:type="dxa"/>
            </w:tcMar>
            <w:vAlign w:val="center"/>
            <w:hideMark/>
          </w:tcPr>
          <w:p w14:paraId="7595BB3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(0.97-0.98)**</w:t>
            </w:r>
          </w:p>
        </w:tc>
        <w:tc>
          <w:tcPr>
            <w:tcW w:w="780" w:type="dxa"/>
            <w:shd w:val="clear" w:color="auto" w:fill="auto"/>
            <w:noWrap/>
            <w:tcMar>
              <w:left w:w="28" w:type="dxa"/>
              <w:right w:w="28" w:type="dxa"/>
            </w:tcMar>
            <w:vAlign w:val="center"/>
            <w:hideMark/>
          </w:tcPr>
          <w:p w14:paraId="0C3C626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12,418</w:t>
            </w:r>
          </w:p>
        </w:tc>
        <w:tc>
          <w:tcPr>
            <w:tcW w:w="1701" w:type="dxa"/>
            <w:shd w:val="clear" w:color="auto" w:fill="auto"/>
            <w:noWrap/>
            <w:tcMar>
              <w:left w:w="28" w:type="dxa"/>
              <w:right w:w="28" w:type="dxa"/>
            </w:tcMar>
            <w:vAlign w:val="center"/>
            <w:hideMark/>
          </w:tcPr>
          <w:p w14:paraId="03971A0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0.90 (0.88-0.93)**</w:t>
            </w:r>
          </w:p>
        </w:tc>
        <w:tc>
          <w:tcPr>
            <w:tcW w:w="851" w:type="dxa"/>
            <w:shd w:val="clear" w:color="auto" w:fill="auto"/>
            <w:noWrap/>
            <w:tcMar>
              <w:left w:w="28" w:type="dxa"/>
              <w:right w:w="28" w:type="dxa"/>
            </w:tcMar>
            <w:vAlign w:val="center"/>
            <w:hideMark/>
          </w:tcPr>
          <w:p w14:paraId="56CD480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12,163</w:t>
            </w:r>
          </w:p>
        </w:tc>
        <w:tc>
          <w:tcPr>
            <w:tcW w:w="1630" w:type="dxa"/>
            <w:shd w:val="clear" w:color="auto" w:fill="auto"/>
            <w:noWrap/>
            <w:tcMar>
              <w:left w:w="28" w:type="dxa"/>
              <w:right w:w="28" w:type="dxa"/>
            </w:tcMar>
            <w:vAlign w:val="center"/>
            <w:hideMark/>
          </w:tcPr>
          <w:p w14:paraId="1C50AF6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(0.96-0.97)**</w:t>
            </w:r>
          </w:p>
        </w:tc>
      </w:tr>
      <w:tr w:rsidR="00A6628F" w:rsidRPr="00357B0B" w14:paraId="2E6426EC" w14:textId="77777777" w:rsidTr="007155F2">
        <w:tc>
          <w:tcPr>
            <w:tcW w:w="1555" w:type="dxa"/>
            <w:shd w:val="clear" w:color="auto" w:fill="auto"/>
            <w:noWrap/>
            <w:tcMar>
              <w:left w:w="28" w:type="dxa"/>
              <w:right w:w="28" w:type="dxa"/>
            </w:tcMar>
            <w:vAlign w:val="center"/>
            <w:hideMark/>
          </w:tcPr>
          <w:p w14:paraId="5970B47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III</w:t>
            </w:r>
          </w:p>
        </w:tc>
        <w:tc>
          <w:tcPr>
            <w:tcW w:w="850" w:type="dxa"/>
            <w:shd w:val="clear" w:color="auto" w:fill="auto"/>
            <w:noWrap/>
            <w:tcMar>
              <w:left w:w="28" w:type="dxa"/>
              <w:right w:w="28" w:type="dxa"/>
            </w:tcMar>
            <w:vAlign w:val="center"/>
            <w:hideMark/>
          </w:tcPr>
          <w:p w14:paraId="53C7D26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4,451</w:t>
            </w:r>
          </w:p>
        </w:tc>
        <w:tc>
          <w:tcPr>
            <w:tcW w:w="1630" w:type="dxa"/>
            <w:shd w:val="clear" w:color="auto" w:fill="auto"/>
            <w:noWrap/>
            <w:tcMar>
              <w:left w:w="28" w:type="dxa"/>
              <w:right w:w="28" w:type="dxa"/>
            </w:tcMar>
            <w:vAlign w:val="center"/>
            <w:hideMark/>
          </w:tcPr>
          <w:p w14:paraId="33DFBAD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(0.95-0.98)**</w:t>
            </w:r>
          </w:p>
        </w:tc>
        <w:tc>
          <w:tcPr>
            <w:tcW w:w="780" w:type="dxa"/>
            <w:shd w:val="clear" w:color="auto" w:fill="auto"/>
            <w:noWrap/>
            <w:tcMar>
              <w:left w:w="28" w:type="dxa"/>
              <w:right w:w="28" w:type="dxa"/>
            </w:tcMar>
            <w:vAlign w:val="center"/>
            <w:hideMark/>
          </w:tcPr>
          <w:p w14:paraId="290ED85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4,088</w:t>
            </w:r>
          </w:p>
        </w:tc>
        <w:tc>
          <w:tcPr>
            <w:tcW w:w="1701" w:type="dxa"/>
            <w:shd w:val="clear" w:color="auto" w:fill="auto"/>
            <w:noWrap/>
            <w:tcMar>
              <w:left w:w="28" w:type="dxa"/>
              <w:right w:w="28" w:type="dxa"/>
            </w:tcMar>
            <w:vAlign w:val="center"/>
            <w:hideMark/>
          </w:tcPr>
          <w:p w14:paraId="398F4BF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850" w:type="dxa"/>
            <w:shd w:val="clear" w:color="auto" w:fill="auto"/>
            <w:noWrap/>
            <w:tcMar>
              <w:left w:w="28" w:type="dxa"/>
              <w:right w:w="28" w:type="dxa"/>
            </w:tcMar>
            <w:vAlign w:val="center"/>
            <w:hideMark/>
          </w:tcPr>
          <w:p w14:paraId="496216F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4,274</w:t>
            </w:r>
          </w:p>
        </w:tc>
        <w:tc>
          <w:tcPr>
            <w:tcW w:w="1630" w:type="dxa"/>
            <w:shd w:val="clear" w:color="auto" w:fill="auto"/>
            <w:noWrap/>
            <w:tcMar>
              <w:left w:w="28" w:type="dxa"/>
              <w:right w:w="28" w:type="dxa"/>
            </w:tcMar>
            <w:vAlign w:val="center"/>
            <w:hideMark/>
          </w:tcPr>
          <w:p w14:paraId="5317486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(0.97-0.99)*</w:t>
            </w:r>
          </w:p>
        </w:tc>
        <w:tc>
          <w:tcPr>
            <w:tcW w:w="780" w:type="dxa"/>
            <w:shd w:val="clear" w:color="auto" w:fill="auto"/>
            <w:noWrap/>
            <w:tcMar>
              <w:left w:w="28" w:type="dxa"/>
              <w:right w:w="28" w:type="dxa"/>
            </w:tcMar>
            <w:vAlign w:val="center"/>
            <w:hideMark/>
          </w:tcPr>
          <w:p w14:paraId="3F41BFB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4,557</w:t>
            </w:r>
          </w:p>
        </w:tc>
        <w:tc>
          <w:tcPr>
            <w:tcW w:w="1701" w:type="dxa"/>
            <w:shd w:val="clear" w:color="auto" w:fill="auto"/>
            <w:noWrap/>
            <w:tcMar>
              <w:left w:w="28" w:type="dxa"/>
              <w:right w:w="28" w:type="dxa"/>
            </w:tcMar>
            <w:vAlign w:val="center"/>
            <w:hideMark/>
          </w:tcPr>
          <w:p w14:paraId="58645B3E" w14:textId="77777777" w:rsidR="00A6628F" w:rsidRPr="00357B0B" w:rsidRDefault="00A6628F" w:rsidP="007155F2">
            <w:pPr>
              <w:spacing w:line="240" w:lineRule="auto"/>
              <w:jc w:val="left"/>
              <w:rPr>
                <w:rFonts w:eastAsia="Times New Roman" w:cs="Arial"/>
                <w:color w:val="000000"/>
                <w:sz w:val="18"/>
                <w:szCs w:val="18"/>
                <w:lang w:eastAsia="en-GB"/>
              </w:rPr>
            </w:pPr>
            <w:r>
              <w:rPr>
                <w:rFonts w:eastAsia="Times New Roman" w:cs="Arial"/>
                <w:color w:val="000000"/>
                <w:sz w:val="18"/>
                <w:szCs w:val="18"/>
                <w:lang w:eastAsia="en-GB"/>
              </w:rPr>
              <w:t>0.90 (0.84-0.98)</w:t>
            </w:r>
          </w:p>
        </w:tc>
        <w:tc>
          <w:tcPr>
            <w:tcW w:w="851" w:type="dxa"/>
            <w:shd w:val="clear" w:color="auto" w:fill="auto"/>
            <w:noWrap/>
            <w:tcMar>
              <w:left w:w="28" w:type="dxa"/>
              <w:right w:w="28" w:type="dxa"/>
            </w:tcMar>
            <w:vAlign w:val="center"/>
            <w:hideMark/>
          </w:tcPr>
          <w:p w14:paraId="1D0D473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4,449</w:t>
            </w:r>
          </w:p>
        </w:tc>
        <w:tc>
          <w:tcPr>
            <w:tcW w:w="1630" w:type="dxa"/>
            <w:shd w:val="clear" w:color="auto" w:fill="auto"/>
            <w:noWrap/>
            <w:tcMar>
              <w:left w:w="28" w:type="dxa"/>
              <w:right w:w="28" w:type="dxa"/>
            </w:tcMar>
            <w:vAlign w:val="center"/>
            <w:hideMark/>
          </w:tcPr>
          <w:p w14:paraId="2172063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0.95 (0.94-0.96)**</w:t>
            </w:r>
          </w:p>
        </w:tc>
      </w:tr>
      <w:tr w:rsidR="00A6628F" w:rsidRPr="00357B0B" w14:paraId="66FEB27A" w14:textId="77777777" w:rsidTr="007155F2">
        <w:tc>
          <w:tcPr>
            <w:tcW w:w="1555" w:type="dxa"/>
            <w:shd w:val="clear" w:color="auto" w:fill="auto"/>
            <w:noWrap/>
            <w:tcMar>
              <w:left w:w="28" w:type="dxa"/>
              <w:right w:w="28" w:type="dxa"/>
            </w:tcMar>
            <w:vAlign w:val="center"/>
            <w:hideMark/>
          </w:tcPr>
          <w:p w14:paraId="5335EA2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IV</w:t>
            </w:r>
          </w:p>
        </w:tc>
        <w:tc>
          <w:tcPr>
            <w:tcW w:w="850" w:type="dxa"/>
            <w:shd w:val="clear" w:color="auto" w:fill="auto"/>
            <w:noWrap/>
            <w:tcMar>
              <w:left w:w="28" w:type="dxa"/>
              <w:right w:w="28" w:type="dxa"/>
            </w:tcMar>
            <w:vAlign w:val="center"/>
            <w:hideMark/>
          </w:tcPr>
          <w:p w14:paraId="5664996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1,799</w:t>
            </w:r>
          </w:p>
        </w:tc>
        <w:tc>
          <w:tcPr>
            <w:tcW w:w="1630" w:type="dxa"/>
            <w:shd w:val="clear" w:color="auto" w:fill="auto"/>
            <w:noWrap/>
            <w:tcMar>
              <w:left w:w="28" w:type="dxa"/>
              <w:right w:w="28" w:type="dxa"/>
            </w:tcMar>
            <w:vAlign w:val="center"/>
            <w:hideMark/>
          </w:tcPr>
          <w:p w14:paraId="6C5E104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(0.95-1.01)</w:t>
            </w:r>
          </w:p>
        </w:tc>
        <w:tc>
          <w:tcPr>
            <w:tcW w:w="780" w:type="dxa"/>
            <w:shd w:val="clear" w:color="auto" w:fill="auto"/>
            <w:noWrap/>
            <w:tcMar>
              <w:left w:w="28" w:type="dxa"/>
              <w:right w:w="28" w:type="dxa"/>
            </w:tcMar>
            <w:vAlign w:val="center"/>
            <w:hideMark/>
          </w:tcPr>
          <w:p w14:paraId="6FA4854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1,677</w:t>
            </w:r>
          </w:p>
        </w:tc>
        <w:tc>
          <w:tcPr>
            <w:tcW w:w="1701" w:type="dxa"/>
            <w:shd w:val="clear" w:color="auto" w:fill="auto"/>
            <w:noWrap/>
            <w:tcMar>
              <w:left w:w="28" w:type="dxa"/>
              <w:right w:w="28" w:type="dxa"/>
            </w:tcMar>
            <w:vAlign w:val="center"/>
            <w:hideMark/>
          </w:tcPr>
          <w:p w14:paraId="159917C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(0.95-0.99)*</w:t>
            </w:r>
          </w:p>
        </w:tc>
        <w:tc>
          <w:tcPr>
            <w:tcW w:w="850" w:type="dxa"/>
            <w:shd w:val="clear" w:color="auto" w:fill="auto"/>
            <w:noWrap/>
            <w:tcMar>
              <w:left w:w="28" w:type="dxa"/>
              <w:right w:w="28" w:type="dxa"/>
            </w:tcMar>
            <w:vAlign w:val="center"/>
            <w:hideMark/>
          </w:tcPr>
          <w:p w14:paraId="2D332A2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1,750</w:t>
            </w:r>
          </w:p>
        </w:tc>
        <w:tc>
          <w:tcPr>
            <w:tcW w:w="1630" w:type="dxa"/>
            <w:shd w:val="clear" w:color="auto" w:fill="auto"/>
            <w:noWrap/>
            <w:tcMar>
              <w:left w:w="28" w:type="dxa"/>
              <w:right w:w="28" w:type="dxa"/>
            </w:tcMar>
            <w:vAlign w:val="center"/>
            <w:hideMark/>
          </w:tcPr>
          <w:p w14:paraId="1EE4FEB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1.01 (0.99-1.03)</w:t>
            </w:r>
          </w:p>
        </w:tc>
        <w:tc>
          <w:tcPr>
            <w:tcW w:w="780" w:type="dxa"/>
            <w:shd w:val="clear" w:color="auto" w:fill="auto"/>
            <w:noWrap/>
            <w:tcMar>
              <w:left w:w="28" w:type="dxa"/>
              <w:right w:w="28" w:type="dxa"/>
            </w:tcMar>
            <w:vAlign w:val="center"/>
            <w:hideMark/>
          </w:tcPr>
          <w:p w14:paraId="520CCFE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1,837</w:t>
            </w:r>
          </w:p>
        </w:tc>
        <w:tc>
          <w:tcPr>
            <w:tcW w:w="1701" w:type="dxa"/>
            <w:shd w:val="clear" w:color="auto" w:fill="auto"/>
            <w:noWrap/>
            <w:tcMar>
              <w:left w:w="28" w:type="dxa"/>
              <w:right w:w="28" w:type="dxa"/>
            </w:tcMar>
            <w:vAlign w:val="center"/>
            <w:hideMark/>
          </w:tcPr>
          <w:p w14:paraId="5090C2C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0.88 (0.75-1.03)</w:t>
            </w:r>
          </w:p>
        </w:tc>
        <w:tc>
          <w:tcPr>
            <w:tcW w:w="851" w:type="dxa"/>
            <w:shd w:val="clear" w:color="auto" w:fill="auto"/>
            <w:noWrap/>
            <w:tcMar>
              <w:left w:w="28" w:type="dxa"/>
              <w:right w:w="28" w:type="dxa"/>
            </w:tcMar>
            <w:vAlign w:val="center"/>
            <w:hideMark/>
          </w:tcPr>
          <w:p w14:paraId="5C8E5CA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1,856</w:t>
            </w:r>
          </w:p>
        </w:tc>
        <w:tc>
          <w:tcPr>
            <w:tcW w:w="1630" w:type="dxa"/>
            <w:shd w:val="clear" w:color="auto" w:fill="auto"/>
            <w:noWrap/>
            <w:tcMar>
              <w:left w:w="28" w:type="dxa"/>
              <w:right w:w="28" w:type="dxa"/>
            </w:tcMar>
            <w:vAlign w:val="center"/>
            <w:hideMark/>
          </w:tcPr>
          <w:p w14:paraId="5C84A018" w14:textId="77777777" w:rsidR="00A6628F" w:rsidRPr="00357B0B" w:rsidRDefault="00A6628F" w:rsidP="007155F2">
            <w:pPr>
              <w:spacing w:line="240" w:lineRule="auto"/>
              <w:jc w:val="left"/>
              <w:rPr>
                <w:rFonts w:eastAsia="Times New Roman" w:cs="Arial"/>
                <w:color w:val="000000"/>
                <w:sz w:val="18"/>
                <w:szCs w:val="18"/>
                <w:lang w:eastAsia="en-GB"/>
              </w:rPr>
            </w:pPr>
            <w:r>
              <w:rPr>
                <w:rFonts w:eastAsia="Times New Roman" w:cs="Arial"/>
                <w:color w:val="000000"/>
                <w:sz w:val="18"/>
                <w:szCs w:val="18"/>
                <w:lang w:eastAsia="en-GB"/>
              </w:rPr>
              <w:t>0.96 (0.93-0.99)</w:t>
            </w:r>
          </w:p>
        </w:tc>
      </w:tr>
      <w:tr w:rsidR="00A6628F" w:rsidRPr="00357B0B" w14:paraId="0C130F30" w14:textId="77777777" w:rsidTr="007155F2">
        <w:tc>
          <w:tcPr>
            <w:tcW w:w="1555" w:type="dxa"/>
            <w:shd w:val="clear" w:color="auto" w:fill="auto"/>
            <w:noWrap/>
            <w:tcMar>
              <w:left w:w="28" w:type="dxa"/>
              <w:right w:w="28" w:type="dxa"/>
            </w:tcMar>
            <w:vAlign w:val="center"/>
            <w:hideMark/>
          </w:tcPr>
          <w:p w14:paraId="5411D28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850" w:type="dxa"/>
            <w:shd w:val="clear" w:color="auto" w:fill="auto"/>
            <w:noWrap/>
            <w:tcMar>
              <w:left w:w="28" w:type="dxa"/>
              <w:right w:w="28" w:type="dxa"/>
            </w:tcMar>
            <w:vAlign w:val="center"/>
            <w:hideMark/>
          </w:tcPr>
          <w:p w14:paraId="4AC66793"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630" w:type="dxa"/>
            <w:shd w:val="clear" w:color="auto" w:fill="auto"/>
            <w:noWrap/>
            <w:tcMar>
              <w:left w:w="28" w:type="dxa"/>
              <w:right w:w="28" w:type="dxa"/>
            </w:tcMar>
            <w:vAlign w:val="center"/>
            <w:hideMark/>
          </w:tcPr>
          <w:p w14:paraId="388046C6"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2C27E1A3"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1107FD8A" w14:textId="77777777" w:rsidR="00A6628F" w:rsidRPr="00357B0B" w:rsidRDefault="00A6628F" w:rsidP="007155F2">
            <w:pPr>
              <w:spacing w:line="240" w:lineRule="auto"/>
              <w:jc w:val="left"/>
              <w:rPr>
                <w:rFonts w:eastAsia="Times New Roman" w:cs="Arial"/>
                <w:sz w:val="18"/>
                <w:szCs w:val="18"/>
                <w:lang w:eastAsia="en-GB"/>
              </w:rPr>
            </w:pPr>
          </w:p>
        </w:tc>
        <w:tc>
          <w:tcPr>
            <w:tcW w:w="850" w:type="dxa"/>
            <w:shd w:val="clear" w:color="auto" w:fill="auto"/>
            <w:noWrap/>
            <w:tcMar>
              <w:left w:w="28" w:type="dxa"/>
              <w:right w:w="28" w:type="dxa"/>
            </w:tcMar>
            <w:vAlign w:val="center"/>
            <w:hideMark/>
          </w:tcPr>
          <w:p w14:paraId="7A964A02"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72A21560"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4F1AFE62"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599DCED7" w14:textId="77777777" w:rsidR="00A6628F" w:rsidRPr="00357B0B" w:rsidRDefault="00A6628F" w:rsidP="007155F2">
            <w:pPr>
              <w:spacing w:line="240" w:lineRule="auto"/>
              <w:jc w:val="left"/>
              <w:rPr>
                <w:rFonts w:eastAsia="Times New Roman" w:cs="Arial"/>
                <w:sz w:val="18"/>
                <w:szCs w:val="18"/>
                <w:lang w:eastAsia="en-GB"/>
              </w:rPr>
            </w:pPr>
          </w:p>
        </w:tc>
        <w:tc>
          <w:tcPr>
            <w:tcW w:w="851" w:type="dxa"/>
            <w:shd w:val="clear" w:color="auto" w:fill="auto"/>
            <w:noWrap/>
            <w:tcMar>
              <w:left w:w="28" w:type="dxa"/>
              <w:right w:w="28" w:type="dxa"/>
            </w:tcMar>
            <w:vAlign w:val="center"/>
            <w:hideMark/>
          </w:tcPr>
          <w:p w14:paraId="1614F4C3"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3CFE8A79"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312883A2" w14:textId="77777777" w:rsidTr="007155F2">
        <w:tc>
          <w:tcPr>
            <w:tcW w:w="1555" w:type="dxa"/>
            <w:shd w:val="clear" w:color="auto" w:fill="auto"/>
            <w:noWrap/>
            <w:tcMar>
              <w:left w:w="28" w:type="dxa"/>
              <w:right w:w="28" w:type="dxa"/>
            </w:tcMar>
            <w:vAlign w:val="center"/>
            <w:hideMark/>
          </w:tcPr>
          <w:p w14:paraId="523A6600"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Gleason score</w:t>
            </w:r>
          </w:p>
        </w:tc>
        <w:tc>
          <w:tcPr>
            <w:tcW w:w="850" w:type="dxa"/>
            <w:shd w:val="clear" w:color="auto" w:fill="auto"/>
            <w:noWrap/>
            <w:tcMar>
              <w:left w:w="28" w:type="dxa"/>
              <w:right w:w="28" w:type="dxa"/>
            </w:tcMar>
            <w:vAlign w:val="center"/>
            <w:hideMark/>
          </w:tcPr>
          <w:p w14:paraId="2567E55E"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630" w:type="dxa"/>
            <w:shd w:val="clear" w:color="auto" w:fill="auto"/>
            <w:noWrap/>
            <w:tcMar>
              <w:left w:w="28" w:type="dxa"/>
              <w:right w:w="28" w:type="dxa"/>
            </w:tcMar>
            <w:vAlign w:val="center"/>
            <w:hideMark/>
          </w:tcPr>
          <w:p w14:paraId="1DD7190C"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5FE8A94A"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7BB3641B" w14:textId="77777777" w:rsidR="00A6628F" w:rsidRPr="00357B0B" w:rsidRDefault="00A6628F" w:rsidP="007155F2">
            <w:pPr>
              <w:spacing w:line="240" w:lineRule="auto"/>
              <w:jc w:val="left"/>
              <w:rPr>
                <w:rFonts w:eastAsia="Times New Roman" w:cs="Arial"/>
                <w:sz w:val="18"/>
                <w:szCs w:val="18"/>
                <w:lang w:eastAsia="en-GB"/>
              </w:rPr>
            </w:pPr>
          </w:p>
        </w:tc>
        <w:tc>
          <w:tcPr>
            <w:tcW w:w="850" w:type="dxa"/>
            <w:shd w:val="clear" w:color="auto" w:fill="auto"/>
            <w:noWrap/>
            <w:tcMar>
              <w:left w:w="28" w:type="dxa"/>
              <w:right w:w="28" w:type="dxa"/>
            </w:tcMar>
            <w:vAlign w:val="center"/>
            <w:hideMark/>
          </w:tcPr>
          <w:p w14:paraId="2C14530D"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22C2DB49"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286356E3"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0609145E" w14:textId="77777777" w:rsidR="00A6628F" w:rsidRPr="00357B0B" w:rsidRDefault="00A6628F" w:rsidP="007155F2">
            <w:pPr>
              <w:spacing w:line="240" w:lineRule="auto"/>
              <w:jc w:val="left"/>
              <w:rPr>
                <w:rFonts w:eastAsia="Times New Roman" w:cs="Arial"/>
                <w:sz w:val="18"/>
                <w:szCs w:val="18"/>
                <w:lang w:eastAsia="en-GB"/>
              </w:rPr>
            </w:pPr>
          </w:p>
        </w:tc>
        <w:tc>
          <w:tcPr>
            <w:tcW w:w="851" w:type="dxa"/>
            <w:shd w:val="clear" w:color="auto" w:fill="auto"/>
            <w:noWrap/>
            <w:tcMar>
              <w:left w:w="28" w:type="dxa"/>
              <w:right w:w="28" w:type="dxa"/>
            </w:tcMar>
            <w:vAlign w:val="center"/>
            <w:hideMark/>
          </w:tcPr>
          <w:p w14:paraId="255EFBB8"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47EB83B5"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0F298C70" w14:textId="77777777" w:rsidTr="007155F2">
        <w:tc>
          <w:tcPr>
            <w:tcW w:w="1555" w:type="dxa"/>
            <w:shd w:val="clear" w:color="auto" w:fill="auto"/>
            <w:noWrap/>
            <w:tcMar>
              <w:left w:w="28" w:type="dxa"/>
              <w:right w:w="28" w:type="dxa"/>
            </w:tcMar>
            <w:vAlign w:val="center"/>
            <w:hideMark/>
          </w:tcPr>
          <w:p w14:paraId="7A4E9F4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2-6</w:t>
            </w:r>
          </w:p>
        </w:tc>
        <w:tc>
          <w:tcPr>
            <w:tcW w:w="850" w:type="dxa"/>
            <w:shd w:val="clear" w:color="auto" w:fill="auto"/>
            <w:noWrap/>
            <w:tcMar>
              <w:left w:w="28" w:type="dxa"/>
              <w:right w:w="28" w:type="dxa"/>
            </w:tcMar>
            <w:vAlign w:val="center"/>
            <w:hideMark/>
          </w:tcPr>
          <w:p w14:paraId="3540BD2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5,527</w:t>
            </w:r>
          </w:p>
        </w:tc>
        <w:tc>
          <w:tcPr>
            <w:tcW w:w="1630" w:type="dxa"/>
            <w:shd w:val="clear" w:color="auto" w:fill="auto"/>
            <w:noWrap/>
            <w:tcMar>
              <w:left w:w="28" w:type="dxa"/>
              <w:right w:w="28" w:type="dxa"/>
            </w:tcMar>
            <w:vAlign w:val="center"/>
            <w:hideMark/>
          </w:tcPr>
          <w:p w14:paraId="0FA49B7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(0.96-0.98)**</w:t>
            </w:r>
          </w:p>
        </w:tc>
        <w:tc>
          <w:tcPr>
            <w:tcW w:w="780" w:type="dxa"/>
            <w:shd w:val="clear" w:color="auto" w:fill="auto"/>
            <w:noWrap/>
            <w:tcMar>
              <w:left w:w="28" w:type="dxa"/>
              <w:right w:w="28" w:type="dxa"/>
            </w:tcMar>
            <w:vAlign w:val="center"/>
            <w:hideMark/>
          </w:tcPr>
          <w:p w14:paraId="38EDF7F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5,180</w:t>
            </w:r>
          </w:p>
        </w:tc>
        <w:tc>
          <w:tcPr>
            <w:tcW w:w="1701" w:type="dxa"/>
            <w:shd w:val="clear" w:color="auto" w:fill="auto"/>
            <w:noWrap/>
            <w:tcMar>
              <w:left w:w="28" w:type="dxa"/>
              <w:right w:w="28" w:type="dxa"/>
            </w:tcMar>
            <w:vAlign w:val="center"/>
            <w:hideMark/>
          </w:tcPr>
          <w:p w14:paraId="1C4E3AE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850" w:type="dxa"/>
            <w:shd w:val="clear" w:color="auto" w:fill="auto"/>
            <w:noWrap/>
            <w:tcMar>
              <w:left w:w="28" w:type="dxa"/>
              <w:right w:w="28" w:type="dxa"/>
            </w:tcMar>
            <w:vAlign w:val="center"/>
            <w:hideMark/>
          </w:tcPr>
          <w:p w14:paraId="0036CC5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5,470</w:t>
            </w:r>
          </w:p>
        </w:tc>
        <w:tc>
          <w:tcPr>
            <w:tcW w:w="1630" w:type="dxa"/>
            <w:shd w:val="clear" w:color="auto" w:fill="auto"/>
            <w:noWrap/>
            <w:tcMar>
              <w:left w:w="28" w:type="dxa"/>
              <w:right w:w="28" w:type="dxa"/>
            </w:tcMar>
            <w:vAlign w:val="center"/>
            <w:hideMark/>
          </w:tcPr>
          <w:p w14:paraId="514B162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(0.97-0.98)**</w:t>
            </w:r>
          </w:p>
        </w:tc>
        <w:tc>
          <w:tcPr>
            <w:tcW w:w="780" w:type="dxa"/>
            <w:shd w:val="clear" w:color="auto" w:fill="auto"/>
            <w:noWrap/>
            <w:tcMar>
              <w:left w:w="28" w:type="dxa"/>
              <w:right w:w="28" w:type="dxa"/>
            </w:tcMar>
            <w:vAlign w:val="center"/>
            <w:hideMark/>
          </w:tcPr>
          <w:p w14:paraId="489EA8F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5,629</w:t>
            </w:r>
          </w:p>
        </w:tc>
        <w:tc>
          <w:tcPr>
            <w:tcW w:w="1701" w:type="dxa"/>
            <w:shd w:val="clear" w:color="auto" w:fill="auto"/>
            <w:noWrap/>
            <w:tcMar>
              <w:left w:w="28" w:type="dxa"/>
              <w:right w:w="28" w:type="dxa"/>
            </w:tcMar>
            <w:vAlign w:val="center"/>
            <w:hideMark/>
          </w:tcPr>
          <w:p w14:paraId="09C60F0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0.92 (0.89-0.96)**</w:t>
            </w:r>
          </w:p>
        </w:tc>
        <w:tc>
          <w:tcPr>
            <w:tcW w:w="851" w:type="dxa"/>
            <w:shd w:val="clear" w:color="auto" w:fill="auto"/>
            <w:noWrap/>
            <w:tcMar>
              <w:left w:w="28" w:type="dxa"/>
              <w:right w:w="28" w:type="dxa"/>
            </w:tcMar>
            <w:vAlign w:val="center"/>
            <w:hideMark/>
          </w:tcPr>
          <w:p w14:paraId="0E3BA24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5,534</w:t>
            </w:r>
          </w:p>
        </w:tc>
        <w:tc>
          <w:tcPr>
            <w:tcW w:w="1630" w:type="dxa"/>
            <w:shd w:val="clear" w:color="auto" w:fill="auto"/>
            <w:noWrap/>
            <w:tcMar>
              <w:left w:w="28" w:type="dxa"/>
              <w:right w:w="28" w:type="dxa"/>
            </w:tcMar>
            <w:vAlign w:val="center"/>
            <w:hideMark/>
          </w:tcPr>
          <w:p w14:paraId="20CDB87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(0.96-0.98)**</w:t>
            </w:r>
          </w:p>
        </w:tc>
      </w:tr>
      <w:tr w:rsidR="00A6628F" w:rsidRPr="00357B0B" w14:paraId="71A175C7" w14:textId="77777777" w:rsidTr="007155F2">
        <w:tc>
          <w:tcPr>
            <w:tcW w:w="1555" w:type="dxa"/>
            <w:shd w:val="clear" w:color="auto" w:fill="auto"/>
            <w:noWrap/>
            <w:tcMar>
              <w:left w:w="28" w:type="dxa"/>
              <w:right w:w="28" w:type="dxa"/>
            </w:tcMar>
            <w:vAlign w:val="center"/>
            <w:hideMark/>
          </w:tcPr>
          <w:p w14:paraId="47FD5FC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7</w:t>
            </w:r>
          </w:p>
        </w:tc>
        <w:tc>
          <w:tcPr>
            <w:tcW w:w="850" w:type="dxa"/>
            <w:shd w:val="clear" w:color="auto" w:fill="auto"/>
            <w:noWrap/>
            <w:tcMar>
              <w:left w:w="28" w:type="dxa"/>
              <w:right w:w="28" w:type="dxa"/>
            </w:tcMar>
            <w:vAlign w:val="center"/>
            <w:hideMark/>
          </w:tcPr>
          <w:p w14:paraId="5E5147B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8,755</w:t>
            </w:r>
          </w:p>
        </w:tc>
        <w:tc>
          <w:tcPr>
            <w:tcW w:w="1630" w:type="dxa"/>
            <w:shd w:val="clear" w:color="auto" w:fill="auto"/>
            <w:noWrap/>
            <w:tcMar>
              <w:left w:w="28" w:type="dxa"/>
              <w:right w:w="28" w:type="dxa"/>
            </w:tcMar>
            <w:vAlign w:val="center"/>
            <w:hideMark/>
          </w:tcPr>
          <w:p w14:paraId="6F39F8B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0.95 (0.94-0.96)**</w:t>
            </w:r>
          </w:p>
        </w:tc>
        <w:tc>
          <w:tcPr>
            <w:tcW w:w="780" w:type="dxa"/>
            <w:shd w:val="clear" w:color="auto" w:fill="auto"/>
            <w:noWrap/>
            <w:tcMar>
              <w:left w:w="28" w:type="dxa"/>
              <w:right w:w="28" w:type="dxa"/>
            </w:tcMar>
            <w:vAlign w:val="center"/>
            <w:hideMark/>
          </w:tcPr>
          <w:p w14:paraId="1E06B91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8,100</w:t>
            </w:r>
          </w:p>
        </w:tc>
        <w:tc>
          <w:tcPr>
            <w:tcW w:w="1701" w:type="dxa"/>
            <w:shd w:val="clear" w:color="auto" w:fill="auto"/>
            <w:noWrap/>
            <w:tcMar>
              <w:left w:w="28" w:type="dxa"/>
              <w:right w:w="28" w:type="dxa"/>
            </w:tcMar>
            <w:vAlign w:val="center"/>
            <w:hideMark/>
          </w:tcPr>
          <w:p w14:paraId="02F7FEC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850" w:type="dxa"/>
            <w:shd w:val="clear" w:color="auto" w:fill="auto"/>
            <w:noWrap/>
            <w:tcMar>
              <w:left w:w="28" w:type="dxa"/>
              <w:right w:w="28" w:type="dxa"/>
            </w:tcMar>
            <w:vAlign w:val="center"/>
            <w:hideMark/>
          </w:tcPr>
          <w:p w14:paraId="7EF5D41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8,478</w:t>
            </w:r>
          </w:p>
        </w:tc>
        <w:tc>
          <w:tcPr>
            <w:tcW w:w="1630" w:type="dxa"/>
            <w:shd w:val="clear" w:color="auto" w:fill="auto"/>
            <w:noWrap/>
            <w:tcMar>
              <w:left w:w="28" w:type="dxa"/>
              <w:right w:w="28" w:type="dxa"/>
            </w:tcMar>
            <w:vAlign w:val="center"/>
            <w:hideMark/>
          </w:tcPr>
          <w:p w14:paraId="37D627E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(0.97-0.98)**</w:t>
            </w:r>
          </w:p>
        </w:tc>
        <w:tc>
          <w:tcPr>
            <w:tcW w:w="780" w:type="dxa"/>
            <w:shd w:val="clear" w:color="auto" w:fill="auto"/>
            <w:noWrap/>
            <w:tcMar>
              <w:left w:w="28" w:type="dxa"/>
              <w:right w:w="28" w:type="dxa"/>
            </w:tcMar>
            <w:vAlign w:val="center"/>
            <w:hideMark/>
          </w:tcPr>
          <w:p w14:paraId="2DC4FC6B"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9,005</w:t>
            </w:r>
          </w:p>
        </w:tc>
        <w:tc>
          <w:tcPr>
            <w:tcW w:w="1701" w:type="dxa"/>
            <w:shd w:val="clear" w:color="auto" w:fill="auto"/>
            <w:noWrap/>
            <w:tcMar>
              <w:left w:w="28" w:type="dxa"/>
              <w:right w:w="28" w:type="dxa"/>
            </w:tcMar>
            <w:vAlign w:val="center"/>
            <w:hideMark/>
          </w:tcPr>
          <w:p w14:paraId="79145D4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0.87 (0.84-0.91)**</w:t>
            </w:r>
          </w:p>
        </w:tc>
        <w:tc>
          <w:tcPr>
            <w:tcW w:w="851" w:type="dxa"/>
            <w:shd w:val="clear" w:color="auto" w:fill="auto"/>
            <w:noWrap/>
            <w:tcMar>
              <w:left w:w="28" w:type="dxa"/>
              <w:right w:w="28" w:type="dxa"/>
            </w:tcMar>
            <w:vAlign w:val="center"/>
            <w:hideMark/>
          </w:tcPr>
          <w:p w14:paraId="1D4A4BE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8,777</w:t>
            </w:r>
          </w:p>
        </w:tc>
        <w:tc>
          <w:tcPr>
            <w:tcW w:w="1630" w:type="dxa"/>
            <w:shd w:val="clear" w:color="auto" w:fill="auto"/>
            <w:noWrap/>
            <w:tcMar>
              <w:left w:w="28" w:type="dxa"/>
              <w:right w:w="28" w:type="dxa"/>
            </w:tcMar>
            <w:vAlign w:val="center"/>
            <w:hideMark/>
          </w:tcPr>
          <w:p w14:paraId="464F775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0.87 (0.84-0.91)**</w:t>
            </w:r>
          </w:p>
        </w:tc>
      </w:tr>
      <w:tr w:rsidR="00A6628F" w:rsidRPr="00357B0B" w14:paraId="03717F70" w14:textId="77777777" w:rsidTr="007155F2">
        <w:tc>
          <w:tcPr>
            <w:tcW w:w="1555" w:type="dxa"/>
            <w:shd w:val="clear" w:color="auto" w:fill="auto"/>
            <w:noWrap/>
            <w:tcMar>
              <w:left w:w="28" w:type="dxa"/>
              <w:right w:w="28" w:type="dxa"/>
            </w:tcMar>
            <w:vAlign w:val="center"/>
            <w:hideMark/>
          </w:tcPr>
          <w:p w14:paraId="5A30503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8-10</w:t>
            </w:r>
          </w:p>
        </w:tc>
        <w:tc>
          <w:tcPr>
            <w:tcW w:w="850" w:type="dxa"/>
            <w:shd w:val="clear" w:color="auto" w:fill="auto"/>
            <w:noWrap/>
            <w:tcMar>
              <w:left w:w="28" w:type="dxa"/>
              <w:right w:w="28" w:type="dxa"/>
            </w:tcMar>
            <w:vAlign w:val="center"/>
            <w:hideMark/>
          </w:tcPr>
          <w:p w14:paraId="0A81869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4,113</w:t>
            </w:r>
          </w:p>
        </w:tc>
        <w:tc>
          <w:tcPr>
            <w:tcW w:w="1630" w:type="dxa"/>
            <w:shd w:val="clear" w:color="auto" w:fill="auto"/>
            <w:noWrap/>
            <w:tcMar>
              <w:left w:w="28" w:type="dxa"/>
              <w:right w:w="28" w:type="dxa"/>
            </w:tcMar>
            <w:vAlign w:val="center"/>
            <w:hideMark/>
          </w:tcPr>
          <w:p w14:paraId="26148B46" w14:textId="77777777" w:rsidR="00A6628F" w:rsidRPr="00357B0B" w:rsidRDefault="00A6628F" w:rsidP="007155F2">
            <w:pPr>
              <w:spacing w:line="240" w:lineRule="auto"/>
              <w:jc w:val="left"/>
              <w:rPr>
                <w:rFonts w:eastAsia="Times New Roman" w:cs="Arial"/>
                <w:color w:val="000000"/>
                <w:sz w:val="18"/>
                <w:szCs w:val="18"/>
                <w:lang w:eastAsia="en-GB"/>
              </w:rPr>
            </w:pPr>
            <w:r>
              <w:rPr>
                <w:rFonts w:eastAsia="Times New Roman" w:cs="Arial"/>
                <w:color w:val="000000"/>
                <w:sz w:val="18"/>
                <w:szCs w:val="18"/>
                <w:lang w:eastAsia="en-GB"/>
              </w:rPr>
              <w:t>0.97 (0.95-0.99)*</w:t>
            </w:r>
          </w:p>
        </w:tc>
        <w:tc>
          <w:tcPr>
            <w:tcW w:w="780" w:type="dxa"/>
            <w:shd w:val="clear" w:color="auto" w:fill="auto"/>
            <w:noWrap/>
            <w:tcMar>
              <w:left w:w="28" w:type="dxa"/>
              <w:right w:w="28" w:type="dxa"/>
            </w:tcMar>
            <w:vAlign w:val="center"/>
            <w:hideMark/>
          </w:tcPr>
          <w:p w14:paraId="7D2FB60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3,810</w:t>
            </w:r>
          </w:p>
        </w:tc>
        <w:tc>
          <w:tcPr>
            <w:tcW w:w="1701" w:type="dxa"/>
            <w:shd w:val="clear" w:color="auto" w:fill="auto"/>
            <w:noWrap/>
            <w:tcMar>
              <w:left w:w="28" w:type="dxa"/>
              <w:right w:w="28" w:type="dxa"/>
            </w:tcMar>
            <w:vAlign w:val="center"/>
            <w:hideMark/>
          </w:tcPr>
          <w:p w14:paraId="2A67DE5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(0.94-0.97)**</w:t>
            </w:r>
          </w:p>
        </w:tc>
        <w:tc>
          <w:tcPr>
            <w:tcW w:w="850" w:type="dxa"/>
            <w:shd w:val="clear" w:color="auto" w:fill="auto"/>
            <w:noWrap/>
            <w:tcMar>
              <w:left w:w="28" w:type="dxa"/>
              <w:right w:w="28" w:type="dxa"/>
            </w:tcMar>
            <w:vAlign w:val="center"/>
            <w:hideMark/>
          </w:tcPr>
          <w:p w14:paraId="6DC9DD1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3,981</w:t>
            </w:r>
          </w:p>
        </w:tc>
        <w:tc>
          <w:tcPr>
            <w:tcW w:w="1630" w:type="dxa"/>
            <w:shd w:val="clear" w:color="auto" w:fill="auto"/>
            <w:noWrap/>
            <w:tcMar>
              <w:left w:w="28" w:type="dxa"/>
              <w:right w:w="28" w:type="dxa"/>
            </w:tcMar>
            <w:vAlign w:val="center"/>
            <w:hideMark/>
          </w:tcPr>
          <w:p w14:paraId="74329BC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1.00 (0.98-1.01)</w:t>
            </w:r>
          </w:p>
        </w:tc>
        <w:tc>
          <w:tcPr>
            <w:tcW w:w="780" w:type="dxa"/>
            <w:shd w:val="clear" w:color="auto" w:fill="auto"/>
            <w:noWrap/>
            <w:tcMar>
              <w:left w:w="28" w:type="dxa"/>
              <w:right w:w="28" w:type="dxa"/>
            </w:tcMar>
            <w:vAlign w:val="center"/>
            <w:hideMark/>
          </w:tcPr>
          <w:p w14:paraId="548E3F8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4,178</w:t>
            </w:r>
          </w:p>
        </w:tc>
        <w:tc>
          <w:tcPr>
            <w:tcW w:w="1701" w:type="dxa"/>
            <w:shd w:val="clear" w:color="auto" w:fill="auto"/>
            <w:noWrap/>
            <w:tcMar>
              <w:left w:w="28" w:type="dxa"/>
              <w:right w:w="28" w:type="dxa"/>
            </w:tcMar>
            <w:vAlign w:val="center"/>
            <w:hideMark/>
          </w:tcPr>
          <w:p w14:paraId="70275CE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0.87 (0.79-0.96)*</w:t>
            </w:r>
          </w:p>
        </w:tc>
        <w:tc>
          <w:tcPr>
            <w:tcW w:w="851" w:type="dxa"/>
            <w:shd w:val="clear" w:color="auto" w:fill="auto"/>
            <w:noWrap/>
            <w:tcMar>
              <w:left w:w="28" w:type="dxa"/>
              <w:right w:w="28" w:type="dxa"/>
            </w:tcMar>
            <w:vAlign w:val="center"/>
            <w:hideMark/>
          </w:tcPr>
          <w:p w14:paraId="3124F63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4,157</w:t>
            </w:r>
          </w:p>
        </w:tc>
        <w:tc>
          <w:tcPr>
            <w:tcW w:w="1630" w:type="dxa"/>
            <w:shd w:val="clear" w:color="auto" w:fill="auto"/>
            <w:noWrap/>
            <w:tcMar>
              <w:left w:w="28" w:type="dxa"/>
              <w:right w:w="28" w:type="dxa"/>
            </w:tcMar>
            <w:vAlign w:val="center"/>
            <w:hideMark/>
          </w:tcPr>
          <w:p w14:paraId="7206A19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0.95 (0.94-0.97)**</w:t>
            </w:r>
          </w:p>
        </w:tc>
      </w:tr>
      <w:tr w:rsidR="00A6628F" w:rsidRPr="00357B0B" w14:paraId="7CE8C61C" w14:textId="77777777" w:rsidTr="007155F2">
        <w:tc>
          <w:tcPr>
            <w:tcW w:w="1555" w:type="dxa"/>
            <w:shd w:val="clear" w:color="auto" w:fill="auto"/>
            <w:noWrap/>
            <w:tcMar>
              <w:left w:w="28" w:type="dxa"/>
              <w:right w:w="28" w:type="dxa"/>
            </w:tcMar>
            <w:vAlign w:val="center"/>
            <w:hideMark/>
          </w:tcPr>
          <w:p w14:paraId="3432A90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 </w:t>
            </w:r>
          </w:p>
        </w:tc>
        <w:tc>
          <w:tcPr>
            <w:tcW w:w="850" w:type="dxa"/>
            <w:shd w:val="clear" w:color="auto" w:fill="auto"/>
            <w:noWrap/>
            <w:tcMar>
              <w:left w:w="28" w:type="dxa"/>
              <w:right w:w="28" w:type="dxa"/>
            </w:tcMar>
            <w:vAlign w:val="center"/>
            <w:hideMark/>
          </w:tcPr>
          <w:p w14:paraId="168C4EDD" w14:textId="77777777" w:rsidR="00A6628F" w:rsidRPr="00357B0B" w:rsidRDefault="00A6628F" w:rsidP="007155F2">
            <w:pPr>
              <w:spacing w:line="240" w:lineRule="auto"/>
              <w:jc w:val="left"/>
              <w:rPr>
                <w:rFonts w:eastAsia="Times New Roman" w:cs="Arial"/>
                <w:color w:val="000000"/>
                <w:sz w:val="18"/>
                <w:szCs w:val="18"/>
                <w:lang w:eastAsia="en-GB"/>
              </w:rPr>
            </w:pPr>
          </w:p>
        </w:tc>
        <w:tc>
          <w:tcPr>
            <w:tcW w:w="1630" w:type="dxa"/>
            <w:shd w:val="clear" w:color="auto" w:fill="auto"/>
            <w:noWrap/>
            <w:tcMar>
              <w:left w:w="28" w:type="dxa"/>
              <w:right w:w="28" w:type="dxa"/>
            </w:tcMar>
            <w:vAlign w:val="center"/>
            <w:hideMark/>
          </w:tcPr>
          <w:p w14:paraId="1FBA206C"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427A8230"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70E132B1" w14:textId="77777777" w:rsidR="00A6628F" w:rsidRPr="00357B0B" w:rsidRDefault="00A6628F" w:rsidP="007155F2">
            <w:pPr>
              <w:spacing w:line="240" w:lineRule="auto"/>
              <w:jc w:val="left"/>
              <w:rPr>
                <w:rFonts w:eastAsia="Times New Roman" w:cs="Arial"/>
                <w:sz w:val="18"/>
                <w:szCs w:val="18"/>
                <w:lang w:eastAsia="en-GB"/>
              </w:rPr>
            </w:pPr>
          </w:p>
        </w:tc>
        <w:tc>
          <w:tcPr>
            <w:tcW w:w="850" w:type="dxa"/>
            <w:shd w:val="clear" w:color="auto" w:fill="auto"/>
            <w:noWrap/>
            <w:tcMar>
              <w:left w:w="28" w:type="dxa"/>
              <w:right w:w="28" w:type="dxa"/>
            </w:tcMar>
            <w:vAlign w:val="center"/>
            <w:hideMark/>
          </w:tcPr>
          <w:p w14:paraId="0A62A68B"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059BC7E4"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44501B71"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50399EEF" w14:textId="77777777" w:rsidR="00A6628F" w:rsidRPr="00357B0B" w:rsidRDefault="00A6628F" w:rsidP="007155F2">
            <w:pPr>
              <w:spacing w:line="240" w:lineRule="auto"/>
              <w:jc w:val="left"/>
              <w:rPr>
                <w:rFonts w:eastAsia="Times New Roman" w:cs="Arial"/>
                <w:sz w:val="18"/>
                <w:szCs w:val="18"/>
                <w:lang w:eastAsia="en-GB"/>
              </w:rPr>
            </w:pPr>
          </w:p>
        </w:tc>
        <w:tc>
          <w:tcPr>
            <w:tcW w:w="851" w:type="dxa"/>
            <w:shd w:val="clear" w:color="auto" w:fill="auto"/>
            <w:noWrap/>
            <w:tcMar>
              <w:left w:w="28" w:type="dxa"/>
              <w:right w:w="28" w:type="dxa"/>
            </w:tcMar>
            <w:vAlign w:val="center"/>
            <w:hideMark/>
          </w:tcPr>
          <w:p w14:paraId="4D930B58"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1D27049D"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00481CDF" w14:textId="77777777" w:rsidTr="007155F2">
        <w:tc>
          <w:tcPr>
            <w:tcW w:w="1555" w:type="dxa"/>
            <w:shd w:val="clear" w:color="auto" w:fill="auto"/>
            <w:noWrap/>
            <w:tcMar>
              <w:left w:w="28" w:type="dxa"/>
              <w:right w:w="28" w:type="dxa"/>
            </w:tcMar>
            <w:vAlign w:val="center"/>
            <w:hideMark/>
          </w:tcPr>
          <w:p w14:paraId="09052087" w14:textId="77777777" w:rsidR="00A6628F" w:rsidRPr="00357B0B" w:rsidRDefault="00A6628F" w:rsidP="007155F2">
            <w:pPr>
              <w:spacing w:line="240" w:lineRule="auto"/>
              <w:jc w:val="left"/>
              <w:rPr>
                <w:rFonts w:eastAsia="Times New Roman" w:cs="Arial"/>
                <w:b/>
                <w:bCs/>
                <w:color w:val="000000"/>
                <w:sz w:val="18"/>
                <w:szCs w:val="18"/>
                <w:lang w:eastAsia="en-GB"/>
              </w:rPr>
            </w:pPr>
            <w:r w:rsidRPr="00357B0B">
              <w:rPr>
                <w:rFonts w:eastAsia="Times New Roman" w:cs="Arial"/>
                <w:b/>
                <w:bCs/>
                <w:color w:val="000000"/>
                <w:sz w:val="18"/>
                <w:szCs w:val="18"/>
                <w:lang w:eastAsia="en-GB"/>
              </w:rPr>
              <w:t>Treatment type</w:t>
            </w:r>
            <w:r w:rsidRPr="00357B0B">
              <w:rPr>
                <w:rFonts w:eastAsia="Times New Roman" w:cs="Arial"/>
                <w:b/>
                <w:bCs/>
                <w:color w:val="000000"/>
                <w:sz w:val="18"/>
                <w:szCs w:val="18"/>
                <w:vertAlign w:val="superscript"/>
                <w:lang w:eastAsia="en-GB"/>
              </w:rPr>
              <w:t xml:space="preserve"> b</w:t>
            </w:r>
          </w:p>
        </w:tc>
        <w:tc>
          <w:tcPr>
            <w:tcW w:w="850" w:type="dxa"/>
            <w:shd w:val="clear" w:color="auto" w:fill="auto"/>
            <w:noWrap/>
            <w:tcMar>
              <w:left w:w="28" w:type="dxa"/>
              <w:right w:w="28" w:type="dxa"/>
            </w:tcMar>
            <w:vAlign w:val="center"/>
            <w:hideMark/>
          </w:tcPr>
          <w:p w14:paraId="24BD945D" w14:textId="77777777" w:rsidR="00A6628F" w:rsidRPr="00357B0B" w:rsidRDefault="00A6628F" w:rsidP="007155F2">
            <w:pPr>
              <w:spacing w:line="240" w:lineRule="auto"/>
              <w:jc w:val="left"/>
              <w:rPr>
                <w:rFonts w:eastAsia="Times New Roman" w:cs="Arial"/>
                <w:b/>
                <w:bCs/>
                <w:color w:val="000000"/>
                <w:sz w:val="18"/>
                <w:szCs w:val="18"/>
                <w:lang w:eastAsia="en-GB"/>
              </w:rPr>
            </w:pPr>
          </w:p>
        </w:tc>
        <w:tc>
          <w:tcPr>
            <w:tcW w:w="1630" w:type="dxa"/>
            <w:shd w:val="clear" w:color="auto" w:fill="auto"/>
            <w:noWrap/>
            <w:tcMar>
              <w:left w:w="28" w:type="dxa"/>
              <w:right w:w="28" w:type="dxa"/>
            </w:tcMar>
            <w:vAlign w:val="center"/>
            <w:hideMark/>
          </w:tcPr>
          <w:p w14:paraId="17F18BE7"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2890E7C6"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5A185C03" w14:textId="77777777" w:rsidR="00A6628F" w:rsidRPr="00357B0B" w:rsidRDefault="00A6628F" w:rsidP="007155F2">
            <w:pPr>
              <w:spacing w:line="240" w:lineRule="auto"/>
              <w:jc w:val="left"/>
              <w:rPr>
                <w:rFonts w:eastAsia="Times New Roman" w:cs="Arial"/>
                <w:sz w:val="18"/>
                <w:szCs w:val="18"/>
                <w:lang w:eastAsia="en-GB"/>
              </w:rPr>
            </w:pPr>
          </w:p>
        </w:tc>
        <w:tc>
          <w:tcPr>
            <w:tcW w:w="850" w:type="dxa"/>
            <w:shd w:val="clear" w:color="auto" w:fill="auto"/>
            <w:noWrap/>
            <w:tcMar>
              <w:left w:w="28" w:type="dxa"/>
              <w:right w:w="28" w:type="dxa"/>
            </w:tcMar>
            <w:vAlign w:val="center"/>
            <w:hideMark/>
          </w:tcPr>
          <w:p w14:paraId="738ECB0F"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4810F4D6" w14:textId="77777777" w:rsidR="00A6628F" w:rsidRPr="00357B0B" w:rsidRDefault="00A6628F" w:rsidP="007155F2">
            <w:pPr>
              <w:spacing w:line="240" w:lineRule="auto"/>
              <w:jc w:val="left"/>
              <w:rPr>
                <w:rFonts w:eastAsia="Times New Roman" w:cs="Arial"/>
                <w:sz w:val="18"/>
                <w:szCs w:val="18"/>
                <w:lang w:eastAsia="en-GB"/>
              </w:rPr>
            </w:pPr>
          </w:p>
        </w:tc>
        <w:tc>
          <w:tcPr>
            <w:tcW w:w="780" w:type="dxa"/>
            <w:shd w:val="clear" w:color="auto" w:fill="auto"/>
            <w:noWrap/>
            <w:tcMar>
              <w:left w:w="28" w:type="dxa"/>
              <w:right w:w="28" w:type="dxa"/>
            </w:tcMar>
            <w:vAlign w:val="center"/>
            <w:hideMark/>
          </w:tcPr>
          <w:p w14:paraId="4D8D8F48" w14:textId="77777777" w:rsidR="00A6628F" w:rsidRPr="00357B0B" w:rsidRDefault="00A6628F" w:rsidP="007155F2">
            <w:pPr>
              <w:spacing w:line="240" w:lineRule="auto"/>
              <w:jc w:val="left"/>
              <w:rPr>
                <w:rFonts w:eastAsia="Times New Roman" w:cs="Arial"/>
                <w:sz w:val="18"/>
                <w:szCs w:val="18"/>
                <w:lang w:eastAsia="en-GB"/>
              </w:rPr>
            </w:pPr>
          </w:p>
        </w:tc>
        <w:tc>
          <w:tcPr>
            <w:tcW w:w="1701" w:type="dxa"/>
            <w:shd w:val="clear" w:color="auto" w:fill="auto"/>
            <w:noWrap/>
            <w:tcMar>
              <w:left w:w="28" w:type="dxa"/>
              <w:right w:w="28" w:type="dxa"/>
            </w:tcMar>
            <w:vAlign w:val="center"/>
            <w:hideMark/>
          </w:tcPr>
          <w:p w14:paraId="4ABE9951" w14:textId="77777777" w:rsidR="00A6628F" w:rsidRPr="00357B0B" w:rsidRDefault="00A6628F" w:rsidP="007155F2">
            <w:pPr>
              <w:spacing w:line="240" w:lineRule="auto"/>
              <w:jc w:val="left"/>
              <w:rPr>
                <w:rFonts w:eastAsia="Times New Roman" w:cs="Arial"/>
                <w:sz w:val="18"/>
                <w:szCs w:val="18"/>
                <w:lang w:eastAsia="en-GB"/>
              </w:rPr>
            </w:pPr>
          </w:p>
        </w:tc>
        <w:tc>
          <w:tcPr>
            <w:tcW w:w="851" w:type="dxa"/>
            <w:shd w:val="clear" w:color="auto" w:fill="auto"/>
            <w:noWrap/>
            <w:tcMar>
              <w:left w:w="28" w:type="dxa"/>
              <w:right w:w="28" w:type="dxa"/>
            </w:tcMar>
            <w:vAlign w:val="center"/>
            <w:hideMark/>
          </w:tcPr>
          <w:p w14:paraId="0D0CA24E" w14:textId="77777777" w:rsidR="00A6628F" w:rsidRPr="00357B0B" w:rsidRDefault="00A6628F" w:rsidP="007155F2">
            <w:pPr>
              <w:spacing w:line="240" w:lineRule="auto"/>
              <w:jc w:val="left"/>
              <w:rPr>
                <w:rFonts w:eastAsia="Times New Roman" w:cs="Arial"/>
                <w:sz w:val="18"/>
                <w:szCs w:val="18"/>
                <w:lang w:eastAsia="en-GB"/>
              </w:rPr>
            </w:pPr>
          </w:p>
        </w:tc>
        <w:tc>
          <w:tcPr>
            <w:tcW w:w="1630" w:type="dxa"/>
            <w:shd w:val="clear" w:color="auto" w:fill="auto"/>
            <w:noWrap/>
            <w:tcMar>
              <w:left w:w="28" w:type="dxa"/>
              <w:right w:w="28" w:type="dxa"/>
            </w:tcMar>
            <w:vAlign w:val="center"/>
            <w:hideMark/>
          </w:tcPr>
          <w:p w14:paraId="38BB30B3" w14:textId="77777777" w:rsidR="00A6628F" w:rsidRPr="00357B0B" w:rsidRDefault="00A6628F" w:rsidP="007155F2">
            <w:pPr>
              <w:spacing w:line="240" w:lineRule="auto"/>
              <w:jc w:val="left"/>
              <w:rPr>
                <w:rFonts w:eastAsia="Times New Roman" w:cs="Arial"/>
                <w:sz w:val="18"/>
                <w:szCs w:val="18"/>
                <w:lang w:eastAsia="en-GB"/>
              </w:rPr>
            </w:pPr>
          </w:p>
        </w:tc>
      </w:tr>
      <w:tr w:rsidR="00A6628F" w:rsidRPr="00357B0B" w14:paraId="4C798A1D" w14:textId="77777777" w:rsidTr="007155F2">
        <w:tc>
          <w:tcPr>
            <w:tcW w:w="1555" w:type="dxa"/>
            <w:shd w:val="clear" w:color="auto" w:fill="auto"/>
            <w:noWrap/>
            <w:tcMar>
              <w:left w:w="28" w:type="dxa"/>
              <w:right w:w="28" w:type="dxa"/>
            </w:tcMar>
            <w:vAlign w:val="center"/>
            <w:hideMark/>
          </w:tcPr>
          <w:p w14:paraId="6988425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Any surgery</w:t>
            </w:r>
          </w:p>
        </w:tc>
        <w:tc>
          <w:tcPr>
            <w:tcW w:w="850" w:type="dxa"/>
            <w:shd w:val="clear" w:color="auto" w:fill="auto"/>
            <w:noWrap/>
            <w:tcMar>
              <w:left w:w="28" w:type="dxa"/>
              <w:right w:w="28" w:type="dxa"/>
            </w:tcMar>
            <w:vAlign w:val="center"/>
            <w:hideMark/>
          </w:tcPr>
          <w:p w14:paraId="2B651D2E"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6,643</w:t>
            </w:r>
          </w:p>
        </w:tc>
        <w:tc>
          <w:tcPr>
            <w:tcW w:w="1630" w:type="dxa"/>
            <w:shd w:val="clear" w:color="auto" w:fill="auto"/>
            <w:noWrap/>
            <w:tcMar>
              <w:left w:w="28" w:type="dxa"/>
              <w:right w:w="28" w:type="dxa"/>
            </w:tcMar>
            <w:vAlign w:val="center"/>
            <w:hideMark/>
          </w:tcPr>
          <w:p w14:paraId="611D4A5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(0.96-0.99)*</w:t>
            </w:r>
          </w:p>
        </w:tc>
        <w:tc>
          <w:tcPr>
            <w:tcW w:w="780" w:type="dxa"/>
            <w:shd w:val="clear" w:color="auto" w:fill="auto"/>
            <w:noWrap/>
            <w:tcMar>
              <w:left w:w="28" w:type="dxa"/>
              <w:right w:w="28" w:type="dxa"/>
            </w:tcMar>
            <w:vAlign w:val="center"/>
            <w:hideMark/>
          </w:tcPr>
          <w:p w14:paraId="3BB9191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6,124</w:t>
            </w:r>
          </w:p>
        </w:tc>
        <w:tc>
          <w:tcPr>
            <w:tcW w:w="1701" w:type="dxa"/>
            <w:shd w:val="clear" w:color="auto" w:fill="auto"/>
            <w:noWrap/>
            <w:tcMar>
              <w:left w:w="28" w:type="dxa"/>
              <w:right w:w="28" w:type="dxa"/>
            </w:tcMar>
            <w:vAlign w:val="center"/>
            <w:hideMark/>
          </w:tcPr>
          <w:p w14:paraId="4705218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(0.96-0.97)**</w:t>
            </w:r>
          </w:p>
        </w:tc>
        <w:tc>
          <w:tcPr>
            <w:tcW w:w="850" w:type="dxa"/>
            <w:shd w:val="clear" w:color="auto" w:fill="auto"/>
            <w:noWrap/>
            <w:tcMar>
              <w:left w:w="28" w:type="dxa"/>
              <w:right w:w="28" w:type="dxa"/>
            </w:tcMar>
            <w:vAlign w:val="center"/>
            <w:hideMark/>
          </w:tcPr>
          <w:p w14:paraId="2AE460D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6,479</w:t>
            </w:r>
          </w:p>
        </w:tc>
        <w:tc>
          <w:tcPr>
            <w:tcW w:w="1630" w:type="dxa"/>
            <w:shd w:val="clear" w:color="auto" w:fill="auto"/>
            <w:noWrap/>
            <w:tcMar>
              <w:left w:w="28" w:type="dxa"/>
              <w:right w:w="28" w:type="dxa"/>
            </w:tcMar>
            <w:vAlign w:val="center"/>
            <w:hideMark/>
          </w:tcPr>
          <w:p w14:paraId="1664947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(0.97-0.98)**</w:t>
            </w:r>
          </w:p>
        </w:tc>
        <w:tc>
          <w:tcPr>
            <w:tcW w:w="780" w:type="dxa"/>
            <w:shd w:val="clear" w:color="auto" w:fill="auto"/>
            <w:noWrap/>
            <w:tcMar>
              <w:left w:w="28" w:type="dxa"/>
              <w:right w:w="28" w:type="dxa"/>
            </w:tcMar>
            <w:vAlign w:val="center"/>
            <w:hideMark/>
          </w:tcPr>
          <w:p w14:paraId="2BA06A1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6,821</w:t>
            </w:r>
          </w:p>
        </w:tc>
        <w:tc>
          <w:tcPr>
            <w:tcW w:w="1701" w:type="dxa"/>
            <w:shd w:val="clear" w:color="auto" w:fill="auto"/>
            <w:noWrap/>
            <w:tcMar>
              <w:left w:w="28" w:type="dxa"/>
              <w:right w:w="28" w:type="dxa"/>
            </w:tcMar>
            <w:vAlign w:val="center"/>
            <w:hideMark/>
          </w:tcPr>
          <w:p w14:paraId="44125ABB" w14:textId="77777777" w:rsidR="00A6628F" w:rsidRPr="00357B0B" w:rsidRDefault="00A6628F" w:rsidP="007155F2">
            <w:pPr>
              <w:spacing w:line="240" w:lineRule="auto"/>
              <w:jc w:val="left"/>
              <w:rPr>
                <w:rFonts w:eastAsia="Times New Roman" w:cs="Arial"/>
                <w:color w:val="000000"/>
                <w:sz w:val="18"/>
                <w:szCs w:val="18"/>
                <w:lang w:eastAsia="en-GB"/>
              </w:rPr>
            </w:pPr>
            <w:r>
              <w:rPr>
                <w:rFonts w:eastAsia="Times New Roman" w:cs="Arial"/>
                <w:color w:val="000000"/>
                <w:sz w:val="18"/>
                <w:szCs w:val="18"/>
                <w:lang w:eastAsia="en-GB"/>
              </w:rPr>
              <w:t>0.93 (0.88-0.98)</w:t>
            </w:r>
          </w:p>
        </w:tc>
        <w:tc>
          <w:tcPr>
            <w:tcW w:w="851" w:type="dxa"/>
            <w:shd w:val="clear" w:color="auto" w:fill="auto"/>
            <w:noWrap/>
            <w:tcMar>
              <w:left w:w="28" w:type="dxa"/>
              <w:right w:w="28" w:type="dxa"/>
            </w:tcMar>
            <w:vAlign w:val="center"/>
            <w:hideMark/>
          </w:tcPr>
          <w:p w14:paraId="0F2F8D2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6,592</w:t>
            </w:r>
          </w:p>
        </w:tc>
        <w:tc>
          <w:tcPr>
            <w:tcW w:w="1630" w:type="dxa"/>
            <w:shd w:val="clear" w:color="auto" w:fill="auto"/>
            <w:noWrap/>
            <w:tcMar>
              <w:left w:w="28" w:type="dxa"/>
              <w:right w:w="28" w:type="dxa"/>
            </w:tcMar>
            <w:vAlign w:val="center"/>
            <w:hideMark/>
          </w:tcPr>
          <w:p w14:paraId="2E45F29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(0.96-0.97)**</w:t>
            </w:r>
          </w:p>
        </w:tc>
      </w:tr>
      <w:tr w:rsidR="00A6628F" w:rsidRPr="00357B0B" w14:paraId="6573DBE3" w14:textId="77777777" w:rsidTr="007155F2">
        <w:tc>
          <w:tcPr>
            <w:tcW w:w="1555" w:type="dxa"/>
            <w:shd w:val="clear" w:color="auto" w:fill="auto"/>
            <w:noWrap/>
            <w:tcMar>
              <w:left w:w="28" w:type="dxa"/>
              <w:right w:w="28" w:type="dxa"/>
            </w:tcMar>
            <w:vAlign w:val="center"/>
            <w:hideMark/>
          </w:tcPr>
          <w:p w14:paraId="6DB457E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Any EBRT</w:t>
            </w:r>
          </w:p>
        </w:tc>
        <w:tc>
          <w:tcPr>
            <w:tcW w:w="850" w:type="dxa"/>
            <w:shd w:val="clear" w:color="auto" w:fill="auto"/>
            <w:noWrap/>
            <w:tcMar>
              <w:left w:w="28" w:type="dxa"/>
              <w:right w:w="28" w:type="dxa"/>
            </w:tcMar>
            <w:vAlign w:val="center"/>
            <w:hideMark/>
          </w:tcPr>
          <w:p w14:paraId="3A9CD27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8,926</w:t>
            </w:r>
          </w:p>
        </w:tc>
        <w:tc>
          <w:tcPr>
            <w:tcW w:w="1630" w:type="dxa"/>
            <w:shd w:val="clear" w:color="auto" w:fill="auto"/>
            <w:noWrap/>
            <w:tcMar>
              <w:left w:w="28" w:type="dxa"/>
              <w:right w:w="28" w:type="dxa"/>
            </w:tcMar>
            <w:vAlign w:val="center"/>
            <w:hideMark/>
          </w:tcPr>
          <w:p w14:paraId="2D431D3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780" w:type="dxa"/>
            <w:shd w:val="clear" w:color="auto" w:fill="auto"/>
            <w:noWrap/>
            <w:tcMar>
              <w:left w:w="28" w:type="dxa"/>
              <w:right w:w="28" w:type="dxa"/>
            </w:tcMar>
            <w:vAlign w:val="center"/>
            <w:hideMark/>
          </w:tcPr>
          <w:p w14:paraId="02C37AE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8,290</w:t>
            </w:r>
          </w:p>
        </w:tc>
        <w:tc>
          <w:tcPr>
            <w:tcW w:w="1701" w:type="dxa"/>
            <w:shd w:val="clear" w:color="auto" w:fill="auto"/>
            <w:noWrap/>
            <w:tcMar>
              <w:left w:w="28" w:type="dxa"/>
              <w:right w:w="28" w:type="dxa"/>
            </w:tcMar>
            <w:vAlign w:val="center"/>
            <w:hideMark/>
          </w:tcPr>
          <w:p w14:paraId="204DC54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850" w:type="dxa"/>
            <w:shd w:val="clear" w:color="auto" w:fill="auto"/>
            <w:noWrap/>
            <w:tcMar>
              <w:left w:w="28" w:type="dxa"/>
              <w:right w:w="28" w:type="dxa"/>
            </w:tcMar>
            <w:vAlign w:val="center"/>
            <w:hideMark/>
          </w:tcPr>
          <w:p w14:paraId="62972AB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8,674</w:t>
            </w:r>
          </w:p>
        </w:tc>
        <w:tc>
          <w:tcPr>
            <w:tcW w:w="1630" w:type="dxa"/>
            <w:shd w:val="clear" w:color="auto" w:fill="auto"/>
            <w:noWrap/>
            <w:tcMar>
              <w:left w:w="28" w:type="dxa"/>
              <w:right w:w="28" w:type="dxa"/>
            </w:tcMar>
            <w:vAlign w:val="center"/>
            <w:hideMark/>
          </w:tcPr>
          <w:p w14:paraId="5C4D7B40"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0.98 (0.97-0.99)**</w:t>
            </w:r>
          </w:p>
        </w:tc>
        <w:tc>
          <w:tcPr>
            <w:tcW w:w="780" w:type="dxa"/>
            <w:shd w:val="clear" w:color="auto" w:fill="auto"/>
            <w:noWrap/>
            <w:tcMar>
              <w:left w:w="28" w:type="dxa"/>
              <w:right w:w="28" w:type="dxa"/>
            </w:tcMar>
            <w:vAlign w:val="center"/>
            <w:hideMark/>
          </w:tcPr>
          <w:p w14:paraId="237E33DF"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9,154</w:t>
            </w:r>
          </w:p>
        </w:tc>
        <w:tc>
          <w:tcPr>
            <w:tcW w:w="1701" w:type="dxa"/>
            <w:shd w:val="clear" w:color="auto" w:fill="auto"/>
            <w:noWrap/>
            <w:tcMar>
              <w:left w:w="28" w:type="dxa"/>
              <w:right w:w="28" w:type="dxa"/>
            </w:tcMar>
            <w:vAlign w:val="center"/>
            <w:hideMark/>
          </w:tcPr>
          <w:p w14:paraId="3B98C1E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0.82 (0.78-0.86)**</w:t>
            </w:r>
          </w:p>
        </w:tc>
        <w:tc>
          <w:tcPr>
            <w:tcW w:w="851" w:type="dxa"/>
            <w:shd w:val="clear" w:color="auto" w:fill="auto"/>
            <w:noWrap/>
            <w:tcMar>
              <w:left w:w="28" w:type="dxa"/>
              <w:right w:w="28" w:type="dxa"/>
            </w:tcMar>
            <w:vAlign w:val="center"/>
            <w:hideMark/>
          </w:tcPr>
          <w:p w14:paraId="6E52ED11"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9,029</w:t>
            </w:r>
          </w:p>
        </w:tc>
        <w:tc>
          <w:tcPr>
            <w:tcW w:w="1630" w:type="dxa"/>
            <w:shd w:val="clear" w:color="auto" w:fill="auto"/>
            <w:noWrap/>
            <w:tcMar>
              <w:left w:w="28" w:type="dxa"/>
              <w:right w:w="28" w:type="dxa"/>
            </w:tcMar>
            <w:vAlign w:val="center"/>
            <w:hideMark/>
          </w:tcPr>
          <w:p w14:paraId="7E5D899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0.95 (0.94-0.96)**</w:t>
            </w:r>
          </w:p>
        </w:tc>
      </w:tr>
      <w:tr w:rsidR="00A6628F" w:rsidRPr="00357B0B" w14:paraId="15834880" w14:textId="77777777" w:rsidTr="007155F2">
        <w:tc>
          <w:tcPr>
            <w:tcW w:w="1555" w:type="dxa"/>
            <w:shd w:val="clear" w:color="auto" w:fill="auto"/>
            <w:noWrap/>
            <w:tcMar>
              <w:left w:w="28" w:type="dxa"/>
              <w:right w:w="28" w:type="dxa"/>
            </w:tcMar>
            <w:vAlign w:val="center"/>
            <w:hideMark/>
          </w:tcPr>
          <w:p w14:paraId="28C78DAD"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Any ADT</w:t>
            </w:r>
          </w:p>
        </w:tc>
        <w:tc>
          <w:tcPr>
            <w:tcW w:w="850" w:type="dxa"/>
            <w:shd w:val="clear" w:color="auto" w:fill="auto"/>
            <w:noWrap/>
            <w:tcMar>
              <w:left w:w="28" w:type="dxa"/>
              <w:right w:w="28" w:type="dxa"/>
            </w:tcMar>
            <w:vAlign w:val="center"/>
            <w:hideMark/>
          </w:tcPr>
          <w:p w14:paraId="0A92E32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9,535</w:t>
            </w:r>
          </w:p>
        </w:tc>
        <w:tc>
          <w:tcPr>
            <w:tcW w:w="1630" w:type="dxa"/>
            <w:shd w:val="clear" w:color="auto" w:fill="auto"/>
            <w:noWrap/>
            <w:tcMar>
              <w:left w:w="28" w:type="dxa"/>
              <w:right w:w="28" w:type="dxa"/>
            </w:tcMar>
            <w:vAlign w:val="center"/>
            <w:hideMark/>
          </w:tcPr>
          <w:p w14:paraId="4020A5E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780" w:type="dxa"/>
            <w:shd w:val="clear" w:color="auto" w:fill="auto"/>
            <w:noWrap/>
            <w:tcMar>
              <w:left w:w="28" w:type="dxa"/>
              <w:right w:w="28" w:type="dxa"/>
            </w:tcMar>
            <w:vAlign w:val="center"/>
            <w:hideMark/>
          </w:tcPr>
          <w:p w14:paraId="3F88A5B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8,906</w:t>
            </w:r>
          </w:p>
        </w:tc>
        <w:tc>
          <w:tcPr>
            <w:tcW w:w="1701" w:type="dxa"/>
            <w:shd w:val="clear" w:color="auto" w:fill="auto"/>
            <w:noWrap/>
            <w:tcMar>
              <w:left w:w="28" w:type="dxa"/>
              <w:right w:w="28" w:type="dxa"/>
            </w:tcMar>
            <w:vAlign w:val="center"/>
            <w:hideMark/>
          </w:tcPr>
          <w:p w14:paraId="784A5CC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0.96 (0.95-0.97)**</w:t>
            </w:r>
          </w:p>
        </w:tc>
        <w:tc>
          <w:tcPr>
            <w:tcW w:w="850" w:type="dxa"/>
            <w:shd w:val="clear" w:color="auto" w:fill="auto"/>
            <w:noWrap/>
            <w:tcMar>
              <w:left w:w="28" w:type="dxa"/>
              <w:right w:w="28" w:type="dxa"/>
            </w:tcMar>
            <w:vAlign w:val="center"/>
            <w:hideMark/>
          </w:tcPr>
          <w:p w14:paraId="57D655C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9,366</w:t>
            </w:r>
          </w:p>
        </w:tc>
        <w:tc>
          <w:tcPr>
            <w:tcW w:w="1630" w:type="dxa"/>
            <w:shd w:val="clear" w:color="auto" w:fill="auto"/>
            <w:noWrap/>
            <w:tcMar>
              <w:left w:w="28" w:type="dxa"/>
              <w:right w:w="28" w:type="dxa"/>
            </w:tcMar>
            <w:vAlign w:val="center"/>
            <w:hideMark/>
          </w:tcPr>
          <w:p w14:paraId="54A657BD" w14:textId="77777777" w:rsidR="00A6628F" w:rsidRPr="00357B0B" w:rsidRDefault="00A6628F" w:rsidP="007155F2">
            <w:pPr>
              <w:spacing w:line="240" w:lineRule="auto"/>
              <w:jc w:val="left"/>
              <w:rPr>
                <w:rFonts w:eastAsia="Times New Roman" w:cs="Arial"/>
                <w:color w:val="000000"/>
                <w:sz w:val="18"/>
                <w:szCs w:val="18"/>
                <w:lang w:eastAsia="en-GB"/>
              </w:rPr>
            </w:pPr>
            <w:r>
              <w:rPr>
                <w:rFonts w:eastAsia="Times New Roman" w:cs="Arial"/>
                <w:color w:val="000000"/>
                <w:sz w:val="18"/>
                <w:szCs w:val="18"/>
                <w:lang w:eastAsia="en-GB"/>
              </w:rPr>
              <w:t>0.98 (0.97-0.99)*</w:t>
            </w:r>
          </w:p>
        </w:tc>
        <w:tc>
          <w:tcPr>
            <w:tcW w:w="780" w:type="dxa"/>
            <w:shd w:val="clear" w:color="auto" w:fill="auto"/>
            <w:noWrap/>
            <w:tcMar>
              <w:left w:w="28" w:type="dxa"/>
              <w:right w:w="28" w:type="dxa"/>
            </w:tcMar>
            <w:vAlign w:val="center"/>
            <w:hideMark/>
          </w:tcPr>
          <w:p w14:paraId="0C80C55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9,714</w:t>
            </w:r>
          </w:p>
        </w:tc>
        <w:tc>
          <w:tcPr>
            <w:tcW w:w="1701" w:type="dxa"/>
            <w:shd w:val="clear" w:color="auto" w:fill="auto"/>
            <w:noWrap/>
            <w:tcMar>
              <w:left w:w="28" w:type="dxa"/>
              <w:right w:w="28" w:type="dxa"/>
            </w:tcMar>
            <w:vAlign w:val="center"/>
            <w:hideMark/>
          </w:tcPr>
          <w:p w14:paraId="431EEEE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0.85 (0.80-0.89)**</w:t>
            </w:r>
          </w:p>
        </w:tc>
        <w:tc>
          <w:tcPr>
            <w:tcW w:w="851" w:type="dxa"/>
            <w:shd w:val="clear" w:color="auto" w:fill="auto"/>
            <w:noWrap/>
            <w:tcMar>
              <w:left w:w="28" w:type="dxa"/>
              <w:right w:w="28" w:type="dxa"/>
            </w:tcMar>
            <w:vAlign w:val="center"/>
            <w:hideMark/>
          </w:tcPr>
          <w:p w14:paraId="14C0B18C"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9,798</w:t>
            </w:r>
          </w:p>
        </w:tc>
        <w:tc>
          <w:tcPr>
            <w:tcW w:w="1630" w:type="dxa"/>
            <w:shd w:val="clear" w:color="auto" w:fill="auto"/>
            <w:noWrap/>
            <w:tcMar>
              <w:left w:w="28" w:type="dxa"/>
              <w:right w:w="28" w:type="dxa"/>
            </w:tcMar>
            <w:vAlign w:val="center"/>
            <w:hideMark/>
          </w:tcPr>
          <w:p w14:paraId="3F680B38"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0.95 (0.94-0.96)**</w:t>
            </w:r>
          </w:p>
        </w:tc>
      </w:tr>
      <w:tr w:rsidR="00A6628F" w:rsidRPr="00357B0B" w14:paraId="40EEBEA1" w14:textId="77777777" w:rsidTr="007155F2">
        <w:tc>
          <w:tcPr>
            <w:tcW w:w="1555" w:type="dxa"/>
            <w:shd w:val="clear" w:color="auto" w:fill="auto"/>
            <w:noWrap/>
            <w:tcMar>
              <w:left w:w="28" w:type="dxa"/>
              <w:right w:w="28" w:type="dxa"/>
            </w:tcMar>
            <w:vAlign w:val="center"/>
            <w:hideMark/>
          </w:tcPr>
          <w:p w14:paraId="6881123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Monitoring only</w:t>
            </w:r>
          </w:p>
        </w:tc>
        <w:tc>
          <w:tcPr>
            <w:tcW w:w="850" w:type="dxa"/>
            <w:shd w:val="clear" w:color="auto" w:fill="auto"/>
            <w:noWrap/>
            <w:tcMar>
              <w:left w:w="28" w:type="dxa"/>
              <w:right w:w="28" w:type="dxa"/>
            </w:tcMar>
            <w:vAlign w:val="center"/>
            <w:hideMark/>
          </w:tcPr>
          <w:p w14:paraId="3AA4BF44"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4,091</w:t>
            </w:r>
          </w:p>
        </w:tc>
        <w:tc>
          <w:tcPr>
            <w:tcW w:w="1630" w:type="dxa"/>
            <w:shd w:val="clear" w:color="auto" w:fill="auto"/>
            <w:noWrap/>
            <w:tcMar>
              <w:left w:w="28" w:type="dxa"/>
              <w:right w:w="28" w:type="dxa"/>
            </w:tcMar>
            <w:vAlign w:val="center"/>
            <w:hideMark/>
          </w:tcPr>
          <w:p w14:paraId="5D4A7422"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0.95 (0.94-0.96)**</w:t>
            </w:r>
          </w:p>
        </w:tc>
        <w:tc>
          <w:tcPr>
            <w:tcW w:w="780" w:type="dxa"/>
            <w:shd w:val="clear" w:color="auto" w:fill="auto"/>
            <w:noWrap/>
            <w:tcMar>
              <w:left w:w="28" w:type="dxa"/>
              <w:right w:w="28" w:type="dxa"/>
            </w:tcMar>
            <w:vAlign w:val="center"/>
            <w:hideMark/>
          </w:tcPr>
          <w:p w14:paraId="0C5633C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3,797</w:t>
            </w:r>
          </w:p>
        </w:tc>
        <w:tc>
          <w:tcPr>
            <w:tcW w:w="1701" w:type="dxa"/>
            <w:shd w:val="clear" w:color="auto" w:fill="auto"/>
            <w:noWrap/>
            <w:tcMar>
              <w:left w:w="28" w:type="dxa"/>
              <w:right w:w="28" w:type="dxa"/>
            </w:tcMar>
            <w:vAlign w:val="center"/>
            <w:hideMark/>
          </w:tcPr>
          <w:p w14:paraId="620D9463"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0.94 (0.93-0.95)**</w:t>
            </w:r>
          </w:p>
        </w:tc>
        <w:tc>
          <w:tcPr>
            <w:tcW w:w="850" w:type="dxa"/>
            <w:shd w:val="clear" w:color="auto" w:fill="auto"/>
            <w:noWrap/>
            <w:tcMar>
              <w:left w:w="28" w:type="dxa"/>
              <w:right w:w="28" w:type="dxa"/>
            </w:tcMar>
            <w:vAlign w:val="center"/>
            <w:hideMark/>
          </w:tcPr>
          <w:p w14:paraId="3E02892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4,021</w:t>
            </w:r>
          </w:p>
        </w:tc>
        <w:tc>
          <w:tcPr>
            <w:tcW w:w="1630" w:type="dxa"/>
            <w:shd w:val="clear" w:color="auto" w:fill="auto"/>
            <w:noWrap/>
            <w:tcMar>
              <w:left w:w="28" w:type="dxa"/>
              <w:right w:w="28" w:type="dxa"/>
            </w:tcMar>
            <w:vAlign w:val="center"/>
            <w:hideMark/>
          </w:tcPr>
          <w:p w14:paraId="0254B2A7"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(0.96-0.98)**</w:t>
            </w:r>
          </w:p>
        </w:tc>
        <w:tc>
          <w:tcPr>
            <w:tcW w:w="780" w:type="dxa"/>
            <w:shd w:val="clear" w:color="auto" w:fill="auto"/>
            <w:noWrap/>
            <w:tcMar>
              <w:left w:w="28" w:type="dxa"/>
              <w:right w:w="28" w:type="dxa"/>
            </w:tcMar>
            <w:vAlign w:val="center"/>
            <w:hideMark/>
          </w:tcPr>
          <w:p w14:paraId="06567275"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4,079</w:t>
            </w:r>
          </w:p>
        </w:tc>
        <w:tc>
          <w:tcPr>
            <w:tcW w:w="1701" w:type="dxa"/>
            <w:shd w:val="clear" w:color="auto" w:fill="auto"/>
            <w:noWrap/>
            <w:tcMar>
              <w:left w:w="28" w:type="dxa"/>
              <w:right w:w="28" w:type="dxa"/>
            </w:tcMar>
            <w:vAlign w:val="center"/>
            <w:hideMark/>
          </w:tcPr>
          <w:p w14:paraId="3D71B86A"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0.91 (0.87-0.94)**</w:t>
            </w:r>
          </w:p>
        </w:tc>
        <w:tc>
          <w:tcPr>
            <w:tcW w:w="851" w:type="dxa"/>
            <w:shd w:val="clear" w:color="auto" w:fill="auto"/>
            <w:noWrap/>
            <w:tcMar>
              <w:left w:w="28" w:type="dxa"/>
              <w:right w:w="28" w:type="dxa"/>
            </w:tcMar>
            <w:vAlign w:val="center"/>
            <w:hideMark/>
          </w:tcPr>
          <w:p w14:paraId="4EBC9709"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4,021</w:t>
            </w:r>
          </w:p>
        </w:tc>
        <w:tc>
          <w:tcPr>
            <w:tcW w:w="1630" w:type="dxa"/>
            <w:shd w:val="clear" w:color="auto" w:fill="auto"/>
            <w:noWrap/>
            <w:tcMar>
              <w:left w:w="28" w:type="dxa"/>
              <w:right w:w="28" w:type="dxa"/>
            </w:tcMar>
            <w:vAlign w:val="center"/>
            <w:hideMark/>
          </w:tcPr>
          <w:p w14:paraId="33FB0B56" w14:textId="77777777" w:rsidR="00A6628F" w:rsidRPr="00357B0B" w:rsidRDefault="00A6628F" w:rsidP="007155F2">
            <w:pPr>
              <w:spacing w:line="240" w:lineRule="auto"/>
              <w:jc w:val="left"/>
              <w:rPr>
                <w:rFonts w:eastAsia="Times New Roman" w:cs="Arial"/>
                <w:color w:val="000000"/>
                <w:sz w:val="18"/>
                <w:szCs w:val="18"/>
                <w:lang w:eastAsia="en-GB"/>
              </w:rPr>
            </w:pPr>
            <w:r w:rsidRPr="00357B0B">
              <w:rPr>
                <w:rFonts w:eastAsia="Times New Roman" w:cs="Arial"/>
                <w:color w:val="000000"/>
                <w:sz w:val="18"/>
                <w:szCs w:val="18"/>
                <w:lang w:eastAsia="en-GB"/>
              </w:rPr>
              <w:t>0.97 (0.96-0.98)**</w:t>
            </w:r>
          </w:p>
        </w:tc>
      </w:tr>
    </w:tbl>
    <w:p w14:paraId="2213FEE8" w14:textId="77777777" w:rsidR="00A6628F" w:rsidRDefault="00A6628F" w:rsidP="00A6628F">
      <w:pPr>
        <w:spacing w:line="240" w:lineRule="auto"/>
        <w:rPr>
          <w:rFonts w:cs="Arial"/>
          <w:i/>
          <w:sz w:val="16"/>
          <w:szCs w:val="16"/>
        </w:rPr>
      </w:pPr>
    </w:p>
    <w:p w14:paraId="7426CAA4" w14:textId="77777777" w:rsidR="00A6628F" w:rsidRPr="00357B0B" w:rsidRDefault="00A6628F" w:rsidP="00A6628F">
      <w:pPr>
        <w:spacing w:line="240" w:lineRule="auto"/>
        <w:rPr>
          <w:rFonts w:cs="Arial"/>
          <w:sz w:val="16"/>
          <w:szCs w:val="16"/>
          <w:lang w:val="en-US" w:bidi="en-US"/>
        </w:rPr>
      </w:pPr>
      <w:r w:rsidRPr="00357B0B">
        <w:rPr>
          <w:rFonts w:cs="Arial"/>
          <w:sz w:val="16"/>
          <w:szCs w:val="16"/>
          <w:lang w:val="en-US" w:bidi="en-US"/>
        </w:rPr>
        <w:t>Notes:</w:t>
      </w:r>
    </w:p>
    <w:p w14:paraId="0F38F6E8" w14:textId="77777777" w:rsidR="00A6628F" w:rsidRPr="00357B0B" w:rsidRDefault="00A6628F" w:rsidP="00A6628F">
      <w:pPr>
        <w:pStyle w:val="ListParagraph"/>
        <w:numPr>
          <w:ilvl w:val="0"/>
          <w:numId w:val="20"/>
        </w:numPr>
        <w:spacing w:line="240" w:lineRule="auto"/>
        <w:rPr>
          <w:rFonts w:cs="Arial"/>
          <w:sz w:val="16"/>
          <w:szCs w:val="16"/>
        </w:rPr>
      </w:pPr>
      <w:r w:rsidRPr="00357B0B">
        <w:rPr>
          <w:rFonts w:cs="Arial"/>
          <w:sz w:val="16"/>
          <w:szCs w:val="16"/>
          <w:lang w:val="en-US" w:bidi="en-US"/>
        </w:rPr>
        <w:t xml:space="preserve">Determined using multivariable </w:t>
      </w:r>
      <w:r w:rsidRPr="00357B0B">
        <w:rPr>
          <w:rFonts w:cs="Arial"/>
          <w:sz w:val="16"/>
          <w:szCs w:val="16"/>
        </w:rPr>
        <w:t xml:space="preserve">log-linear model </w:t>
      </w:r>
      <w:r w:rsidRPr="00357B0B">
        <w:rPr>
          <w:rFonts w:cs="Arial"/>
          <w:sz w:val="16"/>
          <w:szCs w:val="16"/>
          <w:lang w:val="en-US" w:bidi="en-US"/>
        </w:rPr>
        <w:t xml:space="preserve">adjusted for other variables in the table plus nation, deprivation, number of comorbidities, BMI, ethnicity, marital status and employment status. </w:t>
      </w:r>
      <w:r w:rsidRPr="00357B0B">
        <w:rPr>
          <w:rFonts w:cs="Arial"/>
          <w:sz w:val="16"/>
          <w:szCs w:val="16"/>
        </w:rPr>
        <w:t>An adjusted mean score of less than 1 can be interpreted to mean that symptomatic patients have poorer functionality than PSA-detected patients.</w:t>
      </w:r>
    </w:p>
    <w:p w14:paraId="1764E98A" w14:textId="77777777" w:rsidR="00A6628F" w:rsidRPr="00357B0B" w:rsidRDefault="00A6628F" w:rsidP="00A6628F">
      <w:pPr>
        <w:pStyle w:val="ListParagraph"/>
        <w:numPr>
          <w:ilvl w:val="0"/>
          <w:numId w:val="20"/>
        </w:numPr>
        <w:spacing w:line="240" w:lineRule="auto"/>
        <w:rPr>
          <w:rFonts w:cs="Arial"/>
          <w:sz w:val="16"/>
          <w:szCs w:val="16"/>
          <w:lang w:val="en-US" w:bidi="en-US"/>
        </w:rPr>
      </w:pPr>
      <w:r w:rsidRPr="00357B0B">
        <w:rPr>
          <w:rFonts w:cs="Arial"/>
          <w:sz w:val="16"/>
          <w:szCs w:val="16"/>
          <w:lang w:val="en-US" w:bidi="en-US"/>
        </w:rPr>
        <w:t>Men may have more than one type of treatment.</w:t>
      </w:r>
    </w:p>
    <w:p w14:paraId="15602302" w14:textId="77777777" w:rsidR="00A6628F" w:rsidRPr="00365405" w:rsidRDefault="00A6628F" w:rsidP="00A6628F">
      <w:pPr>
        <w:spacing w:line="240" w:lineRule="auto"/>
        <w:rPr>
          <w:rFonts w:cs="Arial"/>
          <w:i/>
          <w:sz w:val="16"/>
          <w:szCs w:val="16"/>
        </w:rPr>
      </w:pPr>
      <w:r w:rsidRPr="00357B0B">
        <w:rPr>
          <w:rFonts w:cs="Arial"/>
          <w:sz w:val="16"/>
          <w:szCs w:val="16"/>
        </w:rPr>
        <w:t># Alive</w:t>
      </w:r>
      <w:r w:rsidRPr="00357B0B">
        <w:rPr>
          <w:rFonts w:cs="Arial"/>
          <w:sz w:val="18"/>
          <w:szCs w:val="18"/>
        </w:rPr>
        <w:t xml:space="preserve"> </w:t>
      </w:r>
      <w:r w:rsidRPr="00357B0B">
        <w:rPr>
          <w:rFonts w:cs="Arial"/>
          <w:sz w:val="16"/>
          <w:szCs w:val="16"/>
        </w:rPr>
        <w:t xml:space="preserve">18-42 months after diagnosis; </w:t>
      </w:r>
      <w:r w:rsidRPr="00357B0B">
        <w:rPr>
          <w:rFonts w:cs="Arial"/>
          <w:sz w:val="16"/>
          <w:szCs w:val="16"/>
          <w:lang w:val="en-US" w:bidi="en-US"/>
        </w:rPr>
        <w:t>*p&lt;0.05, **p&lt;0.001</w:t>
      </w:r>
      <w:r>
        <w:rPr>
          <w:rFonts w:cs="Arial"/>
          <w:sz w:val="16"/>
          <w:szCs w:val="16"/>
          <w:lang w:val="en-US" w:bidi="en-US"/>
        </w:rPr>
        <w:t xml:space="preserve"> after </w:t>
      </w:r>
      <w:proofErr w:type="spellStart"/>
      <w:r>
        <w:rPr>
          <w:rFonts w:cs="Arial"/>
          <w:sz w:val="16"/>
          <w:szCs w:val="16"/>
          <w:lang w:val="en-US" w:bidi="en-US"/>
        </w:rPr>
        <w:t>Bonferroni</w:t>
      </w:r>
      <w:proofErr w:type="spellEnd"/>
      <w:r>
        <w:rPr>
          <w:rFonts w:cs="Arial"/>
          <w:sz w:val="16"/>
          <w:szCs w:val="16"/>
          <w:lang w:val="en-US" w:bidi="en-US"/>
        </w:rPr>
        <w:t xml:space="preserve"> correction for multiple comparisons</w:t>
      </w:r>
      <w:r w:rsidRPr="00357B0B">
        <w:rPr>
          <w:rFonts w:cs="Arial"/>
          <w:sz w:val="16"/>
          <w:szCs w:val="16"/>
          <w:lang w:val="en-US" w:bidi="en-US"/>
        </w:rPr>
        <w:t xml:space="preserve">; CI - Confidence Interval; </w:t>
      </w:r>
      <w:r w:rsidRPr="00357B0B">
        <w:rPr>
          <w:rFonts w:cs="Arial"/>
          <w:sz w:val="16"/>
          <w:szCs w:val="16"/>
        </w:rPr>
        <w:t>EBRT - External Beam Radiotherapy; ADT - Androgen Deprivation Therapy.</w:t>
      </w:r>
    </w:p>
    <w:p w14:paraId="520633B2" w14:textId="692E427F" w:rsidR="00C5667B" w:rsidRPr="00B7357B" w:rsidRDefault="00B7357B" w:rsidP="005211F6">
      <w:pPr>
        <w:rPr>
          <w:sz w:val="20"/>
          <w:szCs w:val="20"/>
        </w:rPr>
      </w:pPr>
      <w:r>
        <w:t xml:space="preserve"> </w:t>
      </w:r>
    </w:p>
    <w:sectPr w:rsidR="00C5667B" w:rsidRPr="00B7357B" w:rsidSect="00A6628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60802" w14:textId="77777777" w:rsidR="00365C71" w:rsidRDefault="00365C71" w:rsidP="00AB625D">
      <w:pPr>
        <w:spacing w:line="240" w:lineRule="auto"/>
      </w:pPr>
      <w:r>
        <w:separator/>
      </w:r>
    </w:p>
  </w:endnote>
  <w:endnote w:type="continuationSeparator" w:id="0">
    <w:p w14:paraId="5803177C" w14:textId="77777777" w:rsidR="00365C71" w:rsidRDefault="00365C71" w:rsidP="00AB6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alaLancet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26B6A" w14:textId="77777777" w:rsidR="00BE3ABE" w:rsidRDefault="00BE3A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02648"/>
      <w:docPartObj>
        <w:docPartGallery w:val="Page Numbers (Bottom of Page)"/>
        <w:docPartUnique/>
      </w:docPartObj>
    </w:sdtPr>
    <w:sdtEndPr>
      <w:rPr>
        <w:noProof/>
      </w:rPr>
    </w:sdtEndPr>
    <w:sdtContent>
      <w:p w14:paraId="10360C46" w14:textId="77777777" w:rsidR="00BE3ABE" w:rsidRDefault="00BE3ABE">
        <w:pPr>
          <w:pStyle w:val="Footer"/>
          <w:jc w:val="center"/>
        </w:pPr>
        <w:r>
          <w:fldChar w:fldCharType="begin"/>
        </w:r>
        <w:r>
          <w:instrText xml:space="preserve"> PAGE   \* MERGEFORMAT </w:instrText>
        </w:r>
        <w:r>
          <w:fldChar w:fldCharType="separate"/>
        </w:r>
        <w:r w:rsidR="00E21050">
          <w:rPr>
            <w:noProof/>
          </w:rPr>
          <w:t>4</w:t>
        </w:r>
        <w:r>
          <w:rPr>
            <w:noProof/>
          </w:rPr>
          <w:fldChar w:fldCharType="end"/>
        </w:r>
      </w:p>
    </w:sdtContent>
  </w:sdt>
  <w:p w14:paraId="04818FAF" w14:textId="77777777" w:rsidR="00BE3ABE" w:rsidRDefault="00BE3A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E9080" w14:textId="77777777" w:rsidR="00BE3ABE" w:rsidRDefault="00BE3AB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18510" w14:textId="77777777" w:rsidR="00BE3ABE" w:rsidRDefault="00BE3AB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079134"/>
      <w:docPartObj>
        <w:docPartGallery w:val="Page Numbers (Bottom of Page)"/>
        <w:docPartUnique/>
      </w:docPartObj>
    </w:sdtPr>
    <w:sdtEndPr>
      <w:rPr>
        <w:noProof/>
      </w:rPr>
    </w:sdtEndPr>
    <w:sdtContent>
      <w:p w14:paraId="3736E94E" w14:textId="77777777" w:rsidR="00BE3ABE" w:rsidRDefault="00BE3ABE">
        <w:pPr>
          <w:pStyle w:val="Footer"/>
          <w:jc w:val="center"/>
        </w:pPr>
        <w:r>
          <w:fldChar w:fldCharType="begin"/>
        </w:r>
        <w:r>
          <w:instrText xml:space="preserve"> PAGE   \* MERGEFORMAT </w:instrText>
        </w:r>
        <w:r>
          <w:fldChar w:fldCharType="separate"/>
        </w:r>
        <w:r w:rsidR="00E21050">
          <w:rPr>
            <w:noProof/>
          </w:rPr>
          <w:t>24</w:t>
        </w:r>
        <w:r>
          <w:rPr>
            <w:noProof/>
          </w:rPr>
          <w:fldChar w:fldCharType="end"/>
        </w:r>
      </w:p>
    </w:sdtContent>
  </w:sdt>
  <w:p w14:paraId="50A12582" w14:textId="77777777" w:rsidR="00BE3ABE" w:rsidRDefault="00BE3AB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A66D6" w14:textId="77777777" w:rsidR="00BE3ABE" w:rsidRDefault="00BE3AB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C4D8" w14:textId="77777777" w:rsidR="00A6628F" w:rsidRDefault="00A6628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330534"/>
      <w:docPartObj>
        <w:docPartGallery w:val="Page Numbers (Bottom of Page)"/>
        <w:docPartUnique/>
      </w:docPartObj>
    </w:sdtPr>
    <w:sdtEndPr>
      <w:rPr>
        <w:noProof/>
      </w:rPr>
    </w:sdtEndPr>
    <w:sdtContent>
      <w:p w14:paraId="3C5F4F38" w14:textId="77777777" w:rsidR="00A6628F" w:rsidRDefault="00A6628F">
        <w:pPr>
          <w:pStyle w:val="Footer"/>
          <w:jc w:val="center"/>
        </w:pPr>
        <w:r>
          <w:fldChar w:fldCharType="begin"/>
        </w:r>
        <w:r>
          <w:instrText xml:space="preserve"> PAGE   \* MERGEFORMAT </w:instrText>
        </w:r>
        <w:r>
          <w:fldChar w:fldCharType="separate"/>
        </w:r>
        <w:r w:rsidR="00E21050">
          <w:rPr>
            <w:noProof/>
          </w:rPr>
          <w:t>31</w:t>
        </w:r>
        <w:r>
          <w:rPr>
            <w:noProof/>
          </w:rPr>
          <w:fldChar w:fldCharType="end"/>
        </w:r>
      </w:p>
    </w:sdtContent>
  </w:sdt>
  <w:p w14:paraId="2F6EEAF7" w14:textId="77777777" w:rsidR="00A6628F" w:rsidRDefault="00A6628F">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B4B70" w14:textId="77777777" w:rsidR="00A6628F" w:rsidRDefault="00A66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7BB547" w14:textId="77777777" w:rsidR="00365C71" w:rsidRDefault="00365C71" w:rsidP="00AB625D">
      <w:pPr>
        <w:spacing w:line="240" w:lineRule="auto"/>
      </w:pPr>
      <w:r>
        <w:separator/>
      </w:r>
    </w:p>
  </w:footnote>
  <w:footnote w:type="continuationSeparator" w:id="0">
    <w:p w14:paraId="612B9C74" w14:textId="77777777" w:rsidR="00365C71" w:rsidRDefault="00365C71" w:rsidP="00AB62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9E0C2" w14:textId="77777777" w:rsidR="00BE3ABE" w:rsidRDefault="00BE3A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0947" w14:textId="77777777" w:rsidR="00BE3ABE" w:rsidRDefault="00BE3A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8C4FD" w14:textId="77777777" w:rsidR="00BE3ABE" w:rsidRDefault="00BE3AB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6B106" w14:textId="77777777" w:rsidR="00BE3ABE" w:rsidRDefault="00BE3A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9DEAA" w14:textId="77777777" w:rsidR="00BE3ABE" w:rsidRDefault="00BE3A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7450" w14:textId="77777777" w:rsidR="00BE3ABE" w:rsidRDefault="00BE3AB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F2E98" w14:textId="77777777" w:rsidR="00A6628F" w:rsidRDefault="00A6628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7D7A2" w14:textId="77777777" w:rsidR="00A6628F" w:rsidRDefault="00A6628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C48DB" w14:textId="77777777" w:rsidR="00A6628F" w:rsidRDefault="00A66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3004"/>
    <w:multiLevelType w:val="hybridMultilevel"/>
    <w:tmpl w:val="AE2ECFDE"/>
    <w:lvl w:ilvl="0" w:tplc="13248A9A">
      <w:start w:val="1"/>
      <w:numFmt w:val="decimal"/>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
    <w:nsid w:val="01930A0C"/>
    <w:multiLevelType w:val="hybridMultilevel"/>
    <w:tmpl w:val="92323684"/>
    <w:lvl w:ilvl="0" w:tplc="13248A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EA86E27"/>
    <w:multiLevelType w:val="multilevel"/>
    <w:tmpl w:val="F15600AC"/>
    <w:lvl w:ilvl="0">
      <w:start w:val="1"/>
      <w:numFmt w:val="decimal"/>
      <w:lvlText w:val="%1."/>
      <w:lvlJc w:val="left"/>
      <w:pPr>
        <w:ind w:left="113" w:hanging="113"/>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3">
    <w:nsid w:val="10287B79"/>
    <w:multiLevelType w:val="multilevel"/>
    <w:tmpl w:val="F15600AC"/>
    <w:lvl w:ilvl="0">
      <w:start w:val="1"/>
      <w:numFmt w:val="decimal"/>
      <w:lvlText w:val="%1."/>
      <w:lvlJc w:val="left"/>
      <w:pPr>
        <w:ind w:left="113" w:hanging="113"/>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4">
    <w:nsid w:val="12C94BC5"/>
    <w:multiLevelType w:val="multilevel"/>
    <w:tmpl w:val="CD027320"/>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16D770B5"/>
    <w:multiLevelType w:val="hybridMultilevel"/>
    <w:tmpl w:val="D8AA7322"/>
    <w:lvl w:ilvl="0" w:tplc="FA94C9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BA2588C"/>
    <w:multiLevelType w:val="hybridMultilevel"/>
    <w:tmpl w:val="4DFAF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FD6423"/>
    <w:multiLevelType w:val="hybridMultilevel"/>
    <w:tmpl w:val="CD30299A"/>
    <w:lvl w:ilvl="0" w:tplc="773CBC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95B5488"/>
    <w:multiLevelType w:val="multilevel"/>
    <w:tmpl w:val="4FB08F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B6454C6"/>
    <w:multiLevelType w:val="hybridMultilevel"/>
    <w:tmpl w:val="6B2AA9B6"/>
    <w:lvl w:ilvl="0" w:tplc="A9D62066">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7D0347"/>
    <w:multiLevelType w:val="hybridMultilevel"/>
    <w:tmpl w:val="F1063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710BAB"/>
    <w:multiLevelType w:val="hybridMultilevel"/>
    <w:tmpl w:val="8BA83F9C"/>
    <w:lvl w:ilvl="0" w:tplc="2E525904">
      <w:start w:val="1"/>
      <w:numFmt w:val="lowerLetter"/>
      <w:lvlText w:val="(%1)"/>
      <w:lvlJc w:val="left"/>
      <w:pPr>
        <w:ind w:left="360" w:hanging="360"/>
      </w:pPr>
      <w:rPr>
        <w:rFonts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2CE42BE"/>
    <w:multiLevelType w:val="hybridMultilevel"/>
    <w:tmpl w:val="7F1A6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355A77"/>
    <w:multiLevelType w:val="multilevel"/>
    <w:tmpl w:val="CD36384A"/>
    <w:lvl w:ilvl="0">
      <w:start w:val="1"/>
      <w:numFmt w:val="decimal"/>
      <w:lvlText w:val="%1."/>
      <w:lvlJc w:val="left"/>
      <w:pPr>
        <w:ind w:left="340" w:hanging="113"/>
      </w:pPr>
      <w:rPr>
        <w:rFonts w:hint="default"/>
      </w:rPr>
    </w:lvl>
    <w:lvl w:ilvl="1">
      <w:start w:val="1"/>
      <w:numFmt w:val="lowerLetter"/>
      <w:lvlText w:val="%2."/>
      <w:lvlJc w:val="left"/>
      <w:pPr>
        <w:ind w:left="947" w:hanging="360"/>
      </w:pPr>
      <w:rPr>
        <w:rFonts w:hint="default"/>
      </w:rPr>
    </w:lvl>
    <w:lvl w:ilvl="2">
      <w:start w:val="1"/>
      <w:numFmt w:val="lowerRoman"/>
      <w:lvlText w:val="%3."/>
      <w:lvlJc w:val="right"/>
      <w:pPr>
        <w:ind w:left="1667" w:hanging="180"/>
      </w:pPr>
      <w:rPr>
        <w:rFonts w:hint="default"/>
      </w:rPr>
    </w:lvl>
    <w:lvl w:ilvl="3">
      <w:start w:val="1"/>
      <w:numFmt w:val="decimal"/>
      <w:lvlText w:val="%4."/>
      <w:lvlJc w:val="left"/>
      <w:pPr>
        <w:ind w:left="2387" w:hanging="360"/>
      </w:pPr>
      <w:rPr>
        <w:rFonts w:hint="default"/>
      </w:rPr>
    </w:lvl>
    <w:lvl w:ilvl="4">
      <w:start w:val="1"/>
      <w:numFmt w:val="lowerLetter"/>
      <w:lvlText w:val="%5."/>
      <w:lvlJc w:val="left"/>
      <w:pPr>
        <w:ind w:left="3107" w:hanging="360"/>
      </w:pPr>
      <w:rPr>
        <w:rFonts w:hint="default"/>
      </w:rPr>
    </w:lvl>
    <w:lvl w:ilvl="5">
      <w:start w:val="1"/>
      <w:numFmt w:val="lowerRoman"/>
      <w:lvlText w:val="%6."/>
      <w:lvlJc w:val="right"/>
      <w:pPr>
        <w:ind w:left="3827" w:hanging="180"/>
      </w:pPr>
      <w:rPr>
        <w:rFonts w:hint="default"/>
      </w:rPr>
    </w:lvl>
    <w:lvl w:ilvl="6">
      <w:start w:val="1"/>
      <w:numFmt w:val="decimal"/>
      <w:lvlText w:val="%7."/>
      <w:lvlJc w:val="left"/>
      <w:pPr>
        <w:ind w:left="4547" w:hanging="360"/>
      </w:pPr>
      <w:rPr>
        <w:rFonts w:hint="default"/>
      </w:rPr>
    </w:lvl>
    <w:lvl w:ilvl="7">
      <w:start w:val="1"/>
      <w:numFmt w:val="lowerLetter"/>
      <w:lvlText w:val="%8."/>
      <w:lvlJc w:val="left"/>
      <w:pPr>
        <w:ind w:left="5267" w:hanging="360"/>
      </w:pPr>
      <w:rPr>
        <w:rFonts w:hint="default"/>
      </w:rPr>
    </w:lvl>
    <w:lvl w:ilvl="8">
      <w:start w:val="1"/>
      <w:numFmt w:val="lowerRoman"/>
      <w:lvlText w:val="%9."/>
      <w:lvlJc w:val="right"/>
      <w:pPr>
        <w:ind w:left="5987" w:hanging="180"/>
      </w:pPr>
      <w:rPr>
        <w:rFonts w:hint="default"/>
      </w:rPr>
    </w:lvl>
  </w:abstractNum>
  <w:abstractNum w:abstractNumId="14">
    <w:nsid w:val="42A16214"/>
    <w:multiLevelType w:val="hybridMultilevel"/>
    <w:tmpl w:val="FE629CC0"/>
    <w:lvl w:ilvl="0" w:tplc="F6387D7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A433AF0"/>
    <w:multiLevelType w:val="hybridMultilevel"/>
    <w:tmpl w:val="B9D836D0"/>
    <w:lvl w:ilvl="0" w:tplc="612AEB7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4CA137C"/>
    <w:multiLevelType w:val="hybridMultilevel"/>
    <w:tmpl w:val="51E2C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6345CF7"/>
    <w:multiLevelType w:val="hybridMultilevel"/>
    <w:tmpl w:val="FCC22B08"/>
    <w:lvl w:ilvl="0" w:tplc="340C02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E84F5F"/>
    <w:multiLevelType w:val="hybridMultilevel"/>
    <w:tmpl w:val="4E5CB8C4"/>
    <w:lvl w:ilvl="0" w:tplc="C11E248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B466460"/>
    <w:multiLevelType w:val="hybridMultilevel"/>
    <w:tmpl w:val="60A4EEF6"/>
    <w:lvl w:ilvl="0" w:tplc="6C6271F0">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6E1D0D"/>
    <w:multiLevelType w:val="hybridMultilevel"/>
    <w:tmpl w:val="4DFAF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6E65553"/>
    <w:multiLevelType w:val="hybridMultilevel"/>
    <w:tmpl w:val="EF60CFCA"/>
    <w:lvl w:ilvl="0" w:tplc="04AEC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5C4CC3"/>
    <w:multiLevelType w:val="hybridMultilevel"/>
    <w:tmpl w:val="E24ACC5E"/>
    <w:lvl w:ilvl="0" w:tplc="D7A68DC2">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B34B27"/>
    <w:multiLevelType w:val="hybridMultilevel"/>
    <w:tmpl w:val="ED7A086A"/>
    <w:lvl w:ilvl="0" w:tplc="BBE2757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6F1F3A89"/>
    <w:multiLevelType w:val="hybridMultilevel"/>
    <w:tmpl w:val="39DAC9CE"/>
    <w:lvl w:ilvl="0" w:tplc="D5D86892">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B977C9"/>
    <w:multiLevelType w:val="hybridMultilevel"/>
    <w:tmpl w:val="62888B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A3228CE"/>
    <w:multiLevelType w:val="hybridMultilevel"/>
    <w:tmpl w:val="92323684"/>
    <w:lvl w:ilvl="0" w:tplc="13248A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B6B1744"/>
    <w:multiLevelType w:val="multilevel"/>
    <w:tmpl w:val="CD36384A"/>
    <w:lvl w:ilvl="0">
      <w:start w:val="1"/>
      <w:numFmt w:val="decimal"/>
      <w:lvlText w:val="%1."/>
      <w:lvlJc w:val="left"/>
      <w:pPr>
        <w:ind w:left="113" w:hanging="113"/>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num w:numId="1">
    <w:abstractNumId w:val="3"/>
  </w:num>
  <w:num w:numId="2">
    <w:abstractNumId w:val="9"/>
  </w:num>
  <w:num w:numId="3">
    <w:abstractNumId w:val="27"/>
  </w:num>
  <w:num w:numId="4">
    <w:abstractNumId w:val="13"/>
  </w:num>
  <w:num w:numId="5">
    <w:abstractNumId w:val="10"/>
  </w:num>
  <w:num w:numId="6">
    <w:abstractNumId w:val="12"/>
  </w:num>
  <w:num w:numId="7">
    <w:abstractNumId w:val="20"/>
  </w:num>
  <w:num w:numId="8">
    <w:abstractNumId w:val="8"/>
  </w:num>
  <w:num w:numId="9">
    <w:abstractNumId w:val="1"/>
  </w:num>
  <w:num w:numId="10">
    <w:abstractNumId w:val="26"/>
  </w:num>
  <w:num w:numId="11">
    <w:abstractNumId w:val="0"/>
  </w:num>
  <w:num w:numId="12">
    <w:abstractNumId w:val="21"/>
  </w:num>
  <w:num w:numId="13">
    <w:abstractNumId w:val="17"/>
  </w:num>
  <w:num w:numId="14">
    <w:abstractNumId w:val="24"/>
  </w:num>
  <w:num w:numId="15">
    <w:abstractNumId w:val="22"/>
  </w:num>
  <w:num w:numId="16">
    <w:abstractNumId w:val="23"/>
  </w:num>
  <w:num w:numId="17">
    <w:abstractNumId w:val="15"/>
  </w:num>
  <w:num w:numId="18">
    <w:abstractNumId w:val="7"/>
  </w:num>
  <w:num w:numId="19">
    <w:abstractNumId w:val="18"/>
  </w:num>
  <w:num w:numId="20">
    <w:abstractNumId w:val="11"/>
  </w:num>
  <w:num w:numId="21">
    <w:abstractNumId w:val="5"/>
  </w:num>
  <w:num w:numId="22">
    <w:abstractNumId w:val="19"/>
  </w:num>
  <w:num w:numId="23">
    <w:abstractNumId w:val="25"/>
  </w:num>
  <w:num w:numId="24">
    <w:abstractNumId w:val="6"/>
  </w:num>
  <w:num w:numId="25">
    <w:abstractNumId w:val="4"/>
  </w:num>
  <w:num w:numId="26">
    <w:abstractNumId w:val="2"/>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7B"/>
    <w:rsid w:val="00025150"/>
    <w:rsid w:val="00030021"/>
    <w:rsid w:val="00035762"/>
    <w:rsid w:val="00050A34"/>
    <w:rsid w:val="000604F3"/>
    <w:rsid w:val="00060C54"/>
    <w:rsid w:val="00063DAA"/>
    <w:rsid w:val="00070480"/>
    <w:rsid w:val="000D697C"/>
    <w:rsid w:val="0012084E"/>
    <w:rsid w:val="00172400"/>
    <w:rsid w:val="001942A0"/>
    <w:rsid w:val="001B6340"/>
    <w:rsid w:val="001C0707"/>
    <w:rsid w:val="001F4FF0"/>
    <w:rsid w:val="001F79D1"/>
    <w:rsid w:val="00207AD8"/>
    <w:rsid w:val="002235DF"/>
    <w:rsid w:val="00237037"/>
    <w:rsid w:val="002421E3"/>
    <w:rsid w:val="00247782"/>
    <w:rsid w:val="00283C49"/>
    <w:rsid w:val="002B18D3"/>
    <w:rsid w:val="002C6184"/>
    <w:rsid w:val="002E2F79"/>
    <w:rsid w:val="002E7D76"/>
    <w:rsid w:val="00327904"/>
    <w:rsid w:val="003520D6"/>
    <w:rsid w:val="00357B0B"/>
    <w:rsid w:val="00365C71"/>
    <w:rsid w:val="00376C02"/>
    <w:rsid w:val="003926C3"/>
    <w:rsid w:val="003A4F1B"/>
    <w:rsid w:val="003A5A3D"/>
    <w:rsid w:val="003E79A5"/>
    <w:rsid w:val="00424190"/>
    <w:rsid w:val="00453294"/>
    <w:rsid w:val="004673EB"/>
    <w:rsid w:val="00480BE8"/>
    <w:rsid w:val="00481B09"/>
    <w:rsid w:val="004910ED"/>
    <w:rsid w:val="004A16F1"/>
    <w:rsid w:val="004A434D"/>
    <w:rsid w:val="004A5C39"/>
    <w:rsid w:val="004C4E56"/>
    <w:rsid w:val="004F27FC"/>
    <w:rsid w:val="00500B1C"/>
    <w:rsid w:val="0050103E"/>
    <w:rsid w:val="0050162D"/>
    <w:rsid w:val="00516373"/>
    <w:rsid w:val="005211F6"/>
    <w:rsid w:val="00562C3E"/>
    <w:rsid w:val="00573AA2"/>
    <w:rsid w:val="00592654"/>
    <w:rsid w:val="00597EA6"/>
    <w:rsid w:val="005D2623"/>
    <w:rsid w:val="005D5243"/>
    <w:rsid w:val="005D5628"/>
    <w:rsid w:val="005F11C1"/>
    <w:rsid w:val="00650CCA"/>
    <w:rsid w:val="00666116"/>
    <w:rsid w:val="006662D5"/>
    <w:rsid w:val="00672F2D"/>
    <w:rsid w:val="006B4B5B"/>
    <w:rsid w:val="006D09CF"/>
    <w:rsid w:val="00710D17"/>
    <w:rsid w:val="007169A9"/>
    <w:rsid w:val="007219BB"/>
    <w:rsid w:val="00726E5E"/>
    <w:rsid w:val="007308DE"/>
    <w:rsid w:val="007473DB"/>
    <w:rsid w:val="00756B2C"/>
    <w:rsid w:val="00770925"/>
    <w:rsid w:val="007738D4"/>
    <w:rsid w:val="00776B04"/>
    <w:rsid w:val="007A3865"/>
    <w:rsid w:val="007B1C60"/>
    <w:rsid w:val="007C58DA"/>
    <w:rsid w:val="00807228"/>
    <w:rsid w:val="00833175"/>
    <w:rsid w:val="00851008"/>
    <w:rsid w:val="00862B8B"/>
    <w:rsid w:val="008A4B6F"/>
    <w:rsid w:val="008A4DF9"/>
    <w:rsid w:val="008D2966"/>
    <w:rsid w:val="00913721"/>
    <w:rsid w:val="00943DD2"/>
    <w:rsid w:val="009A62FA"/>
    <w:rsid w:val="009D780F"/>
    <w:rsid w:val="00A13E3A"/>
    <w:rsid w:val="00A3292E"/>
    <w:rsid w:val="00A36BA3"/>
    <w:rsid w:val="00A6628F"/>
    <w:rsid w:val="00A767C4"/>
    <w:rsid w:val="00A76B15"/>
    <w:rsid w:val="00A773DE"/>
    <w:rsid w:val="00AB625D"/>
    <w:rsid w:val="00AD44EC"/>
    <w:rsid w:val="00AD7E8F"/>
    <w:rsid w:val="00AF7F5D"/>
    <w:rsid w:val="00B0581F"/>
    <w:rsid w:val="00B12CDB"/>
    <w:rsid w:val="00B46B11"/>
    <w:rsid w:val="00B57DD7"/>
    <w:rsid w:val="00B7357B"/>
    <w:rsid w:val="00BA7255"/>
    <w:rsid w:val="00BD33C8"/>
    <w:rsid w:val="00BE3ABE"/>
    <w:rsid w:val="00C10386"/>
    <w:rsid w:val="00C237F5"/>
    <w:rsid w:val="00C5667B"/>
    <w:rsid w:val="00C6193E"/>
    <w:rsid w:val="00C962A6"/>
    <w:rsid w:val="00CA5035"/>
    <w:rsid w:val="00CB792E"/>
    <w:rsid w:val="00CC0D5C"/>
    <w:rsid w:val="00CC0ED6"/>
    <w:rsid w:val="00CC1EF1"/>
    <w:rsid w:val="00CC3528"/>
    <w:rsid w:val="00D04265"/>
    <w:rsid w:val="00D30E72"/>
    <w:rsid w:val="00D64762"/>
    <w:rsid w:val="00D71F3D"/>
    <w:rsid w:val="00D81971"/>
    <w:rsid w:val="00DB74B6"/>
    <w:rsid w:val="00DC0C2E"/>
    <w:rsid w:val="00DD0B43"/>
    <w:rsid w:val="00E10194"/>
    <w:rsid w:val="00E21050"/>
    <w:rsid w:val="00E31BC5"/>
    <w:rsid w:val="00E37AA3"/>
    <w:rsid w:val="00E5063A"/>
    <w:rsid w:val="00E60082"/>
    <w:rsid w:val="00E66408"/>
    <w:rsid w:val="00E7787D"/>
    <w:rsid w:val="00ED23A8"/>
    <w:rsid w:val="00EE2CA9"/>
    <w:rsid w:val="00F12F06"/>
    <w:rsid w:val="00F5631B"/>
    <w:rsid w:val="00F95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6B580"/>
  <w15:chartTrackingRefBased/>
  <w15:docId w15:val="{B44C50AA-493E-45C2-B0B1-8FA4182D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5D"/>
    <w:pPr>
      <w:spacing w:after="0" w:line="480" w:lineRule="auto"/>
      <w:jc w:val="both"/>
    </w:pPr>
    <w:rPr>
      <w:rFonts w:ascii="Arial" w:hAnsi="Arial"/>
      <w:sz w:val="24"/>
    </w:rPr>
  </w:style>
  <w:style w:type="paragraph" w:styleId="Heading1">
    <w:name w:val="heading 1"/>
    <w:basedOn w:val="Normal"/>
    <w:next w:val="Normal"/>
    <w:link w:val="Heading1Char"/>
    <w:uiPriority w:val="9"/>
    <w:qFormat/>
    <w:rsid w:val="00AF7F5D"/>
    <w:pPr>
      <w:keepNext/>
      <w:keepLines/>
      <w:spacing w:before="240"/>
      <w:jc w:val="left"/>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unhideWhenUsed/>
    <w:qFormat/>
    <w:rsid w:val="00AF7F5D"/>
    <w:pPr>
      <w:keepNext/>
      <w:keepLines/>
      <w:jc w:val="left"/>
      <w:outlineLvl w:val="1"/>
    </w:pPr>
    <w:rPr>
      <w:rFonts w:eastAsiaTheme="majorEastAsia" w:cstheme="majorBidi"/>
      <w:b/>
      <w:i/>
      <w:color w:val="000000" w:themeColor="text1"/>
      <w:sz w:val="28"/>
      <w:szCs w:val="26"/>
    </w:rPr>
  </w:style>
  <w:style w:type="paragraph" w:styleId="Heading3">
    <w:name w:val="heading 3"/>
    <w:basedOn w:val="Normal"/>
    <w:next w:val="Normal"/>
    <w:link w:val="Heading3Char"/>
    <w:uiPriority w:val="9"/>
    <w:unhideWhenUsed/>
    <w:qFormat/>
    <w:rsid w:val="00DB74B6"/>
    <w:pPr>
      <w:keepNext/>
      <w:keepLines/>
      <w:spacing w:after="120" w:line="360" w:lineRule="auto"/>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F5D"/>
    <w:rPr>
      <w:rFonts w:ascii="Arial" w:eastAsiaTheme="majorEastAsia" w:hAnsi="Arial" w:cstheme="majorBidi"/>
      <w:b/>
      <w:i/>
      <w:color w:val="000000" w:themeColor="text1"/>
      <w:sz w:val="28"/>
      <w:szCs w:val="26"/>
    </w:rPr>
  </w:style>
  <w:style w:type="paragraph" w:styleId="ListParagraph">
    <w:name w:val="List Paragraph"/>
    <w:basedOn w:val="Normal"/>
    <w:link w:val="ListParagraphChar"/>
    <w:uiPriority w:val="34"/>
    <w:qFormat/>
    <w:rsid w:val="00B7357B"/>
    <w:pPr>
      <w:ind w:left="720"/>
      <w:contextualSpacing/>
    </w:pPr>
  </w:style>
  <w:style w:type="character" w:customStyle="1" w:styleId="Heading1Char">
    <w:name w:val="Heading 1 Char"/>
    <w:basedOn w:val="DefaultParagraphFont"/>
    <w:link w:val="Heading1"/>
    <w:uiPriority w:val="9"/>
    <w:rsid w:val="00AF7F5D"/>
    <w:rPr>
      <w:rFonts w:ascii="Arial" w:eastAsiaTheme="majorEastAsia" w:hAnsi="Arial" w:cstheme="majorBidi"/>
      <w:b/>
      <w:color w:val="000000" w:themeColor="text1"/>
      <w:sz w:val="36"/>
      <w:szCs w:val="32"/>
    </w:rPr>
  </w:style>
  <w:style w:type="paragraph" w:styleId="NoSpacing">
    <w:name w:val="No Spacing"/>
    <w:uiPriority w:val="1"/>
    <w:qFormat/>
    <w:rsid w:val="00AF7F5D"/>
    <w:pPr>
      <w:spacing w:after="0" w:line="240" w:lineRule="auto"/>
    </w:pPr>
    <w:rPr>
      <w:rFonts w:ascii="Arial" w:hAnsi="Arial"/>
      <w:sz w:val="24"/>
    </w:rPr>
  </w:style>
  <w:style w:type="table" w:styleId="TableGrid">
    <w:name w:val="Table Grid"/>
    <w:basedOn w:val="TableNormal"/>
    <w:uiPriority w:val="39"/>
    <w:rsid w:val="007B1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B625D"/>
    <w:pPr>
      <w:tabs>
        <w:tab w:val="center" w:pos="4513"/>
        <w:tab w:val="right" w:pos="9026"/>
      </w:tabs>
      <w:spacing w:line="240" w:lineRule="auto"/>
    </w:pPr>
  </w:style>
  <w:style w:type="character" w:customStyle="1" w:styleId="HeaderChar">
    <w:name w:val="Header Char"/>
    <w:basedOn w:val="DefaultParagraphFont"/>
    <w:link w:val="Header"/>
    <w:uiPriority w:val="99"/>
    <w:rsid w:val="00AB625D"/>
    <w:rPr>
      <w:rFonts w:ascii="Arial" w:hAnsi="Arial"/>
      <w:sz w:val="24"/>
    </w:rPr>
  </w:style>
  <w:style w:type="paragraph" w:styleId="Footer">
    <w:name w:val="footer"/>
    <w:basedOn w:val="Normal"/>
    <w:link w:val="FooterChar"/>
    <w:uiPriority w:val="99"/>
    <w:unhideWhenUsed/>
    <w:rsid w:val="00AB625D"/>
    <w:pPr>
      <w:tabs>
        <w:tab w:val="center" w:pos="4513"/>
        <w:tab w:val="right" w:pos="9026"/>
      </w:tabs>
      <w:spacing w:line="240" w:lineRule="auto"/>
    </w:pPr>
  </w:style>
  <w:style w:type="character" w:customStyle="1" w:styleId="FooterChar">
    <w:name w:val="Footer Char"/>
    <w:basedOn w:val="DefaultParagraphFont"/>
    <w:link w:val="Footer"/>
    <w:uiPriority w:val="99"/>
    <w:rsid w:val="00AB625D"/>
    <w:rPr>
      <w:rFonts w:ascii="Arial" w:hAnsi="Arial"/>
      <w:sz w:val="24"/>
    </w:rPr>
  </w:style>
  <w:style w:type="paragraph" w:styleId="BalloonText">
    <w:name w:val="Balloon Text"/>
    <w:basedOn w:val="Normal"/>
    <w:link w:val="BalloonTextChar"/>
    <w:uiPriority w:val="99"/>
    <w:semiHidden/>
    <w:unhideWhenUsed/>
    <w:rsid w:val="00B12C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CDB"/>
    <w:rPr>
      <w:rFonts w:ascii="Segoe UI" w:hAnsi="Segoe UI" w:cs="Segoe UI"/>
      <w:sz w:val="18"/>
      <w:szCs w:val="18"/>
    </w:rPr>
  </w:style>
  <w:style w:type="character" w:customStyle="1" w:styleId="Heading3Char">
    <w:name w:val="Heading 3 Char"/>
    <w:basedOn w:val="DefaultParagraphFont"/>
    <w:link w:val="Heading3"/>
    <w:uiPriority w:val="9"/>
    <w:rsid w:val="00DB74B6"/>
    <w:rPr>
      <w:rFonts w:ascii="Arial" w:eastAsiaTheme="majorEastAsia" w:hAnsi="Arial" w:cstheme="majorBidi"/>
      <w:b/>
      <w:color w:val="000000" w:themeColor="text1"/>
      <w:sz w:val="24"/>
      <w:szCs w:val="24"/>
    </w:rPr>
  </w:style>
  <w:style w:type="paragraph" w:styleId="IntenseQuote">
    <w:name w:val="Intense Quote"/>
    <w:aliases w:val="Table"/>
    <w:basedOn w:val="Normal"/>
    <w:next w:val="Normal"/>
    <w:link w:val="IntenseQuoteChar"/>
    <w:uiPriority w:val="30"/>
    <w:qFormat/>
    <w:rsid w:val="003520D6"/>
    <w:pPr>
      <w:spacing w:line="240" w:lineRule="auto"/>
      <w:jc w:val="center"/>
    </w:pPr>
    <w:rPr>
      <w:rFonts w:eastAsiaTheme="majorEastAsia" w:cstheme="majorBidi"/>
      <w:iCs/>
      <w:sz w:val="18"/>
      <w:szCs w:val="20"/>
      <w:lang w:val="en-US" w:bidi="en-US"/>
    </w:rPr>
  </w:style>
  <w:style w:type="character" w:customStyle="1" w:styleId="IntenseQuoteChar">
    <w:name w:val="Intense Quote Char"/>
    <w:aliases w:val="Table Char"/>
    <w:basedOn w:val="DefaultParagraphFont"/>
    <w:link w:val="IntenseQuote"/>
    <w:uiPriority w:val="30"/>
    <w:rsid w:val="003520D6"/>
    <w:rPr>
      <w:rFonts w:ascii="Arial" w:eastAsiaTheme="majorEastAsia" w:hAnsi="Arial" w:cstheme="majorBidi"/>
      <w:iCs/>
      <w:sz w:val="18"/>
      <w:szCs w:val="20"/>
      <w:lang w:val="en-US" w:bidi="en-US"/>
    </w:rPr>
  </w:style>
  <w:style w:type="character" w:styleId="CommentReference">
    <w:name w:val="annotation reference"/>
    <w:basedOn w:val="DefaultParagraphFont"/>
    <w:uiPriority w:val="99"/>
    <w:semiHidden/>
    <w:unhideWhenUsed/>
    <w:rsid w:val="003520D6"/>
    <w:rPr>
      <w:sz w:val="16"/>
      <w:szCs w:val="16"/>
    </w:rPr>
  </w:style>
  <w:style w:type="paragraph" w:styleId="CommentText">
    <w:name w:val="annotation text"/>
    <w:basedOn w:val="Normal"/>
    <w:link w:val="CommentTextChar"/>
    <w:uiPriority w:val="99"/>
    <w:unhideWhenUsed/>
    <w:rsid w:val="003520D6"/>
    <w:pPr>
      <w:spacing w:after="200" w:line="240" w:lineRule="auto"/>
      <w:jc w:val="left"/>
    </w:pPr>
    <w:rPr>
      <w:rFonts w:asciiTheme="minorHAnsi" w:hAnsiTheme="minorHAnsi"/>
      <w:sz w:val="20"/>
      <w:szCs w:val="20"/>
    </w:rPr>
  </w:style>
  <w:style w:type="character" w:customStyle="1" w:styleId="CommentTextChar">
    <w:name w:val="Comment Text Char"/>
    <w:basedOn w:val="DefaultParagraphFont"/>
    <w:link w:val="CommentText"/>
    <w:uiPriority w:val="99"/>
    <w:rsid w:val="003520D6"/>
    <w:rPr>
      <w:sz w:val="20"/>
      <w:szCs w:val="20"/>
    </w:rPr>
  </w:style>
  <w:style w:type="paragraph" w:styleId="CommentSubject">
    <w:name w:val="annotation subject"/>
    <w:basedOn w:val="CommentText"/>
    <w:next w:val="CommentText"/>
    <w:link w:val="CommentSubjectChar"/>
    <w:uiPriority w:val="99"/>
    <w:semiHidden/>
    <w:unhideWhenUsed/>
    <w:rsid w:val="003520D6"/>
    <w:pPr>
      <w:spacing w:after="0"/>
      <w:jc w:val="both"/>
    </w:pPr>
    <w:rPr>
      <w:rFonts w:ascii="Arial" w:hAnsi="Arial"/>
      <w:b/>
      <w:bCs/>
    </w:rPr>
  </w:style>
  <w:style w:type="character" w:customStyle="1" w:styleId="CommentSubjectChar">
    <w:name w:val="Comment Subject Char"/>
    <w:basedOn w:val="CommentTextChar"/>
    <w:link w:val="CommentSubject"/>
    <w:uiPriority w:val="99"/>
    <w:semiHidden/>
    <w:rsid w:val="003520D6"/>
    <w:rPr>
      <w:rFonts w:ascii="Arial" w:hAnsi="Arial"/>
      <w:b/>
      <w:bCs/>
      <w:sz w:val="20"/>
      <w:szCs w:val="20"/>
    </w:rPr>
  </w:style>
  <w:style w:type="paragraph" w:customStyle="1" w:styleId="Title1">
    <w:name w:val="Title1"/>
    <w:basedOn w:val="Normal"/>
    <w:rsid w:val="003520D6"/>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3520D6"/>
    <w:rPr>
      <w:color w:val="0000FF"/>
      <w:u w:val="single"/>
    </w:rPr>
  </w:style>
  <w:style w:type="paragraph" w:customStyle="1" w:styleId="desc">
    <w:name w:val="desc"/>
    <w:basedOn w:val="Normal"/>
    <w:rsid w:val="003520D6"/>
    <w:pPr>
      <w:spacing w:before="100" w:beforeAutospacing="1" w:after="100" w:afterAutospacing="1" w:line="240" w:lineRule="auto"/>
      <w:jc w:val="left"/>
    </w:pPr>
    <w:rPr>
      <w:rFonts w:ascii="Times New Roman" w:eastAsia="Times New Roman" w:hAnsi="Times New Roman" w:cs="Times New Roman"/>
      <w:szCs w:val="24"/>
      <w:lang w:eastAsia="en-GB"/>
    </w:rPr>
  </w:style>
  <w:style w:type="paragraph" w:customStyle="1" w:styleId="details">
    <w:name w:val="details"/>
    <w:basedOn w:val="Normal"/>
    <w:rsid w:val="003520D6"/>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jrnl">
    <w:name w:val="jrnl"/>
    <w:basedOn w:val="DefaultParagraphFont"/>
    <w:rsid w:val="003520D6"/>
  </w:style>
  <w:style w:type="paragraph" w:styleId="Revision">
    <w:name w:val="Revision"/>
    <w:hidden/>
    <w:uiPriority w:val="99"/>
    <w:semiHidden/>
    <w:rsid w:val="003520D6"/>
    <w:pPr>
      <w:spacing w:after="0" w:line="240" w:lineRule="auto"/>
    </w:pPr>
    <w:rPr>
      <w:rFonts w:ascii="Arial" w:hAnsi="Arial"/>
      <w:sz w:val="24"/>
    </w:rPr>
  </w:style>
  <w:style w:type="character" w:customStyle="1" w:styleId="ListParagraphChar">
    <w:name w:val="List Paragraph Char"/>
    <w:basedOn w:val="DefaultParagraphFont"/>
    <w:link w:val="ListParagraph"/>
    <w:uiPriority w:val="34"/>
    <w:rsid w:val="003520D6"/>
    <w:rPr>
      <w:rFonts w:ascii="Arial" w:hAnsi="Arial"/>
      <w:sz w:val="24"/>
    </w:rPr>
  </w:style>
  <w:style w:type="character" w:styleId="LineNumber">
    <w:name w:val="line number"/>
    <w:basedOn w:val="DefaultParagraphFont"/>
    <w:uiPriority w:val="99"/>
    <w:semiHidden/>
    <w:unhideWhenUsed/>
    <w:rsid w:val="00035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81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B67F4-5D55-4039-A615-879BAA5C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31</Pages>
  <Words>8115</Words>
  <Characters>46261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Donnelly</dc:creator>
  <cp:keywords/>
  <dc:description/>
  <cp:lastModifiedBy>David Donnelly</cp:lastModifiedBy>
  <cp:revision>10</cp:revision>
  <cp:lastPrinted>2019-06-26T14:11:00Z</cp:lastPrinted>
  <dcterms:created xsi:type="dcterms:W3CDTF">2019-09-13T07:53:00Z</dcterms:created>
  <dcterms:modified xsi:type="dcterms:W3CDTF">2019-09-16T07:15:00Z</dcterms:modified>
</cp:coreProperties>
</file>