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7A1" w:rsidRDefault="008D53D5">
      <w:pPr>
        <w:rPr>
          <w:rFonts w:asciiTheme="majorHAnsi" w:hAnsiTheme="majorHAnsi" w:cstheme="majorHAnsi"/>
          <w:sz w:val="28"/>
          <w:szCs w:val="28"/>
        </w:rPr>
      </w:pPr>
      <w:r>
        <w:rPr>
          <w:rFonts w:asciiTheme="majorHAnsi" w:hAnsiTheme="majorHAnsi" w:cstheme="majorHAnsi"/>
          <w:sz w:val="28"/>
          <w:szCs w:val="28"/>
        </w:rPr>
        <w:t>Perpetual sedimentation for the continuous delivery of particulate suspensions</w:t>
      </w:r>
    </w:p>
    <w:p w:rsidR="003027A1" w:rsidRDefault="003027A1">
      <w:pPr>
        <w:rPr>
          <w:rFonts w:asciiTheme="majorHAnsi" w:hAnsiTheme="majorHAnsi" w:cstheme="majorHAnsi"/>
        </w:rPr>
      </w:pPr>
    </w:p>
    <w:p w:rsidR="003027A1" w:rsidRDefault="008D53D5">
      <w:pPr>
        <w:rPr>
          <w:rFonts w:asciiTheme="majorHAnsi" w:hAnsiTheme="majorHAnsi" w:cstheme="majorHAnsi"/>
          <w:vertAlign w:val="superscript"/>
        </w:rPr>
      </w:pPr>
      <w:r>
        <w:rPr>
          <w:rFonts w:asciiTheme="majorHAnsi" w:hAnsiTheme="majorHAnsi" w:cstheme="majorHAnsi"/>
        </w:rPr>
        <w:t>Simon I.R. Lane</w:t>
      </w:r>
      <w:r>
        <w:rPr>
          <w:rFonts w:asciiTheme="majorHAnsi" w:hAnsiTheme="majorHAnsi" w:cstheme="majorHAnsi"/>
          <w:vertAlign w:val="superscript"/>
        </w:rPr>
        <w:t>1</w:t>
      </w:r>
      <w:proofErr w:type="gramStart"/>
      <w:r>
        <w:rPr>
          <w:rFonts w:asciiTheme="majorHAnsi" w:hAnsiTheme="majorHAnsi" w:cstheme="majorHAnsi"/>
          <w:vertAlign w:val="superscript"/>
        </w:rPr>
        <w:t>,2</w:t>
      </w:r>
      <w:proofErr w:type="gramEnd"/>
      <w:r>
        <w:rPr>
          <w:rFonts w:asciiTheme="majorHAnsi" w:hAnsiTheme="majorHAnsi" w:cstheme="majorHAnsi"/>
        </w:rPr>
        <w:t>, Jonathan Butement</w:t>
      </w:r>
      <w:r>
        <w:rPr>
          <w:rFonts w:asciiTheme="majorHAnsi" w:hAnsiTheme="majorHAnsi" w:cstheme="majorHAnsi"/>
          <w:vertAlign w:val="superscript"/>
        </w:rPr>
        <w:t>2,3</w:t>
      </w:r>
      <w:r>
        <w:rPr>
          <w:rFonts w:asciiTheme="majorHAnsi" w:hAnsiTheme="majorHAnsi" w:cstheme="majorHAnsi"/>
        </w:rPr>
        <w:t>, Jack Harrington</w:t>
      </w:r>
      <w:r>
        <w:rPr>
          <w:rFonts w:asciiTheme="majorHAnsi" w:hAnsiTheme="majorHAnsi" w:cstheme="majorHAnsi"/>
          <w:vertAlign w:val="superscript"/>
        </w:rPr>
        <w:t>3</w:t>
      </w:r>
      <w:r>
        <w:rPr>
          <w:rFonts w:asciiTheme="majorHAnsi" w:hAnsiTheme="majorHAnsi" w:cstheme="majorHAnsi"/>
        </w:rPr>
        <w:t>, Tim Underwood</w:t>
      </w:r>
      <w:r>
        <w:rPr>
          <w:rFonts w:asciiTheme="majorHAnsi" w:hAnsiTheme="majorHAnsi" w:cstheme="majorHAnsi"/>
          <w:vertAlign w:val="superscript"/>
        </w:rPr>
        <w:t>2,3</w:t>
      </w:r>
      <w:r>
        <w:rPr>
          <w:rFonts w:asciiTheme="majorHAnsi" w:hAnsiTheme="majorHAnsi" w:cstheme="majorHAnsi"/>
        </w:rPr>
        <w:t xml:space="preserve"> John Shrimpton</w:t>
      </w:r>
      <w:r>
        <w:rPr>
          <w:rFonts w:asciiTheme="majorHAnsi" w:hAnsiTheme="majorHAnsi" w:cstheme="majorHAnsi"/>
          <w:vertAlign w:val="superscript"/>
        </w:rPr>
        <w:t>1</w:t>
      </w:r>
      <w:r>
        <w:rPr>
          <w:rFonts w:asciiTheme="majorHAnsi" w:hAnsiTheme="majorHAnsi" w:cstheme="majorHAnsi"/>
        </w:rPr>
        <w:t>, and Jonathan West</w:t>
      </w:r>
      <w:r>
        <w:rPr>
          <w:rFonts w:asciiTheme="majorHAnsi" w:hAnsiTheme="majorHAnsi" w:cstheme="majorHAnsi"/>
          <w:vertAlign w:val="superscript"/>
        </w:rPr>
        <w:t>2,3</w:t>
      </w:r>
    </w:p>
    <w:p w:rsidR="003027A1" w:rsidRDefault="008D53D5">
      <w:pPr>
        <w:spacing w:after="60" w:line="240" w:lineRule="auto"/>
        <w:jc w:val="both"/>
        <w:rPr>
          <w:rFonts w:asciiTheme="majorHAnsi" w:hAnsiTheme="majorHAnsi"/>
          <w:sz w:val="18"/>
          <w:szCs w:val="18"/>
        </w:rPr>
      </w:pPr>
      <w:r>
        <w:rPr>
          <w:rFonts w:asciiTheme="majorHAnsi" w:hAnsiTheme="majorHAnsi"/>
          <w:sz w:val="18"/>
          <w:szCs w:val="18"/>
          <w:vertAlign w:val="superscript"/>
        </w:rPr>
        <w:t>1</w:t>
      </w:r>
      <w:r>
        <w:rPr>
          <w:rFonts w:asciiTheme="majorHAnsi" w:hAnsiTheme="majorHAnsi"/>
          <w:sz w:val="18"/>
          <w:szCs w:val="18"/>
        </w:rPr>
        <w:t>Faculty of Engineering and Physical Sciences, University of Southampton, UK.</w:t>
      </w:r>
    </w:p>
    <w:p w:rsidR="003027A1" w:rsidRDefault="008D53D5">
      <w:pPr>
        <w:spacing w:after="60" w:line="240" w:lineRule="auto"/>
        <w:jc w:val="both"/>
        <w:rPr>
          <w:rFonts w:asciiTheme="majorHAnsi" w:hAnsiTheme="majorHAnsi"/>
          <w:sz w:val="18"/>
          <w:szCs w:val="18"/>
        </w:rPr>
      </w:pPr>
      <w:r>
        <w:rPr>
          <w:rFonts w:asciiTheme="majorHAnsi" w:hAnsiTheme="majorHAnsi"/>
          <w:sz w:val="18"/>
          <w:szCs w:val="18"/>
          <w:vertAlign w:val="superscript"/>
        </w:rPr>
        <w:t>2</w:t>
      </w:r>
      <w:r>
        <w:rPr>
          <w:rFonts w:asciiTheme="majorHAnsi" w:hAnsiTheme="majorHAnsi"/>
          <w:sz w:val="18"/>
          <w:szCs w:val="18"/>
        </w:rPr>
        <w:t>Institute for Life Sciences, University of Southampton, UK.</w:t>
      </w:r>
    </w:p>
    <w:p w:rsidR="003027A1" w:rsidRDefault="008D53D5">
      <w:pPr>
        <w:spacing w:after="60" w:line="240" w:lineRule="auto"/>
        <w:jc w:val="both"/>
        <w:rPr>
          <w:rFonts w:asciiTheme="majorHAnsi" w:hAnsiTheme="majorHAnsi"/>
          <w:sz w:val="18"/>
          <w:szCs w:val="18"/>
        </w:rPr>
      </w:pPr>
      <w:r>
        <w:rPr>
          <w:rFonts w:asciiTheme="majorHAnsi" w:hAnsiTheme="majorHAnsi"/>
          <w:sz w:val="18"/>
          <w:szCs w:val="18"/>
          <w:vertAlign w:val="superscript"/>
        </w:rPr>
        <w:t>3</w:t>
      </w:r>
      <w:r>
        <w:rPr>
          <w:rFonts w:asciiTheme="majorHAnsi" w:hAnsiTheme="majorHAnsi"/>
          <w:sz w:val="18"/>
          <w:szCs w:val="18"/>
        </w:rPr>
        <w:t>Cancer Sciences, Faculty of Medicine, University of Southampton, UK.</w:t>
      </w:r>
    </w:p>
    <w:p w:rsidR="003027A1" w:rsidRDefault="003027A1">
      <w:pPr>
        <w:rPr>
          <w:rFonts w:asciiTheme="majorHAnsi" w:hAnsiTheme="majorHAnsi" w:cstheme="majorHAnsi"/>
        </w:rPr>
      </w:pPr>
    </w:p>
    <w:p w:rsidR="003027A1" w:rsidRDefault="008D53D5">
      <w:pPr>
        <w:rPr>
          <w:rFonts w:asciiTheme="majorHAnsi" w:hAnsiTheme="majorHAnsi" w:cstheme="majorHAnsi"/>
          <w:b/>
          <w:sz w:val="16"/>
          <w:szCs w:val="16"/>
        </w:rPr>
      </w:pPr>
      <w:r>
        <w:rPr>
          <w:rFonts w:asciiTheme="majorHAnsi" w:hAnsiTheme="majorHAnsi" w:cstheme="majorHAnsi"/>
          <w:b/>
          <w:sz w:val="28"/>
          <w:szCs w:val="28"/>
        </w:rPr>
        <w:t>Table of Contents Graphic</w:t>
      </w:r>
    </w:p>
    <w:p w:rsidR="003027A1" w:rsidRDefault="008D53D5">
      <w:pPr>
        <w:rPr>
          <w:rFonts w:asciiTheme="majorHAnsi" w:hAnsiTheme="majorHAnsi" w:cstheme="majorHAnsi"/>
          <w:b/>
          <w:sz w:val="28"/>
          <w:szCs w:val="28"/>
        </w:rPr>
      </w:pPr>
      <w:r>
        <w:rPr>
          <w:noProof/>
          <w:lang w:eastAsia="en-GB"/>
        </w:rPr>
        <w:drawing>
          <wp:inline distT="0" distB="3175" distL="0" distR="6350">
            <wp:extent cx="5137150" cy="256857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5"/>
                    <a:stretch>
                      <a:fillRect/>
                    </a:stretch>
                  </pic:blipFill>
                  <pic:spPr bwMode="auto">
                    <a:xfrm>
                      <a:off x="0" y="0"/>
                      <a:ext cx="5137150" cy="2568575"/>
                    </a:xfrm>
                    <a:prstGeom prst="rect">
                      <a:avLst/>
                    </a:prstGeom>
                  </pic:spPr>
                </pic:pic>
              </a:graphicData>
            </a:graphic>
          </wp:inline>
        </w:drawing>
      </w:r>
    </w:p>
    <w:p w:rsidR="003027A1" w:rsidRDefault="008D53D5">
      <w:pPr>
        <w:rPr>
          <w:rFonts w:asciiTheme="majorHAnsi" w:hAnsiTheme="majorHAnsi" w:cstheme="majorHAnsi"/>
          <w:sz w:val="20"/>
          <w:szCs w:val="20"/>
        </w:rPr>
      </w:pPr>
      <w:r>
        <w:rPr>
          <w:rFonts w:asciiTheme="majorHAnsi" w:hAnsiTheme="majorHAnsi" w:cstheme="majorHAnsi"/>
          <w:sz w:val="20"/>
          <w:szCs w:val="20"/>
        </w:rPr>
        <w:t>Particles in a rotating fluid experience gravity-directed orbits to remain in suspension.</w:t>
      </w:r>
    </w:p>
    <w:p w:rsidR="003027A1" w:rsidRDefault="003027A1">
      <w:pPr>
        <w:rPr>
          <w:rFonts w:asciiTheme="majorHAnsi" w:hAnsiTheme="majorHAnsi" w:cstheme="majorHAnsi"/>
          <w:sz w:val="20"/>
          <w:szCs w:val="20"/>
        </w:rPr>
      </w:pPr>
    </w:p>
    <w:p w:rsidR="003027A1" w:rsidRDefault="008D53D5">
      <w:pPr>
        <w:rPr>
          <w:rFonts w:asciiTheme="majorHAnsi" w:hAnsiTheme="majorHAnsi" w:cstheme="majorHAnsi"/>
          <w:b/>
          <w:sz w:val="28"/>
          <w:szCs w:val="28"/>
        </w:rPr>
      </w:pPr>
      <w:r>
        <w:rPr>
          <w:rFonts w:asciiTheme="majorHAnsi" w:hAnsiTheme="majorHAnsi" w:cstheme="majorHAnsi"/>
          <w:b/>
          <w:sz w:val="28"/>
          <w:szCs w:val="28"/>
        </w:rPr>
        <w:t>Abstract</w:t>
      </w:r>
    </w:p>
    <w:p w:rsidR="003027A1" w:rsidRDefault="008D53D5">
      <w:pPr>
        <w:rPr>
          <w:rFonts w:asciiTheme="majorHAnsi" w:hAnsiTheme="majorHAnsi" w:cstheme="majorHAnsi"/>
          <w:sz w:val="20"/>
          <w:szCs w:val="20"/>
        </w:rPr>
      </w:pPr>
      <w:r>
        <w:rPr>
          <w:rFonts w:asciiTheme="majorHAnsi" w:hAnsiTheme="majorHAnsi" w:cstheme="majorHAnsi"/>
          <w:sz w:val="20"/>
          <w:szCs w:val="20"/>
        </w:rPr>
        <w:t xml:space="preserve">Particle sedimentation is deleterious to a tremendous variety of microfluidic applications. </w:t>
      </w:r>
      <w:r w:rsidRPr="00DA47EA">
        <w:rPr>
          <w:rFonts w:asciiTheme="majorHAnsi" w:hAnsiTheme="majorHAnsi" w:cstheme="majorHAnsi"/>
          <w:color w:val="000000" w:themeColor="text1"/>
          <w:sz w:val="20"/>
          <w:szCs w:val="20"/>
        </w:rPr>
        <w:t xml:space="preserve">Using an open instrumentation approach </w:t>
      </w:r>
      <w:r>
        <w:rPr>
          <w:rFonts w:asciiTheme="majorHAnsi" w:hAnsiTheme="majorHAnsi" w:cstheme="majorHAnsi"/>
          <w:sz w:val="20"/>
          <w:szCs w:val="20"/>
        </w:rPr>
        <w:t>we show that syringe rotation retains particles in a suspended state, providing a universal solution for the continuous delivery of particulate samples to microfluidic processors.</w:t>
      </w:r>
    </w:p>
    <w:p w:rsidR="003027A1" w:rsidRDefault="003027A1">
      <w:pPr>
        <w:rPr>
          <w:rFonts w:asciiTheme="majorHAnsi" w:hAnsiTheme="majorHAnsi" w:cstheme="majorHAnsi"/>
          <w:sz w:val="20"/>
          <w:szCs w:val="20"/>
        </w:rPr>
      </w:pPr>
    </w:p>
    <w:p w:rsidR="003027A1" w:rsidRDefault="008D53D5">
      <w:pPr>
        <w:rPr>
          <w:rFonts w:asciiTheme="majorHAnsi" w:hAnsiTheme="majorHAnsi" w:cstheme="majorHAnsi"/>
          <w:b/>
          <w:sz w:val="28"/>
          <w:szCs w:val="28"/>
        </w:rPr>
      </w:pPr>
      <w:r>
        <w:rPr>
          <w:rFonts w:asciiTheme="majorHAnsi" w:hAnsiTheme="majorHAnsi" w:cstheme="majorHAnsi"/>
          <w:b/>
          <w:sz w:val="28"/>
          <w:szCs w:val="28"/>
        </w:rPr>
        <w:t>Introduction</w:t>
      </w:r>
    </w:p>
    <w:p w:rsidR="003027A1" w:rsidRDefault="008D53D5">
      <w:pPr>
        <w:jc w:val="both"/>
      </w:pPr>
      <w:r>
        <w:rPr>
          <w:rFonts w:asciiTheme="majorHAnsi" w:hAnsiTheme="majorHAnsi" w:cstheme="majorHAnsi"/>
          <w:sz w:val="20"/>
          <w:szCs w:val="20"/>
        </w:rPr>
        <w:t xml:space="preserve">Microfluidics has gained maturity to enter many fields and industrial applications with the promise of precision sample processing and quantitative analysis. Microfluidics is increasingly being harnessed for processing particulates in the form of samples, reporter reagents or components for assembly. </w:t>
      </w:r>
      <w:r w:rsidRPr="00DA47EA">
        <w:rPr>
          <w:rFonts w:asciiTheme="majorHAnsi" w:hAnsiTheme="majorHAnsi" w:cstheme="majorHAnsi"/>
          <w:color w:val="000000" w:themeColor="text1"/>
          <w:sz w:val="20"/>
          <w:szCs w:val="20"/>
        </w:rPr>
        <w:t>Applications continue to expand, including biological research</w:t>
      </w:r>
      <w:r w:rsidRPr="00DA47EA">
        <w:rPr>
          <w:color w:val="000000" w:themeColor="text1"/>
        </w:rPr>
        <w:fldChar w:fldCharType="begin"/>
      </w:r>
      <w:r w:rsidRPr="00DA47EA">
        <w:rPr>
          <w:color w:val="000000" w:themeColor="text1"/>
        </w:rPr>
        <w:instrText>ADDIN EN.CITE &lt;EndNote&gt;&lt;Cite&gt;&lt;Author&gt;Liu&lt;/Author&gt;&lt;Year&gt;2016&lt;/Year&gt;&lt;RecNum&gt;31&lt;/RecNum&gt;&lt;DisplayText&gt;&lt;style face="superscript"&gt;1&lt;/style&gt;&lt;/DisplayText&gt;&lt;record&gt;&lt;rec-number&gt;31&lt;/rec-number&gt;&lt;foreign-keys&gt;&lt;key app="EN" db-id="z029aav9tpap2jer9znvats5atxsrd90z9p5" timestamp="1569241323"&gt;31&lt;/key&gt;&lt;/foreign-keys&gt;&lt;ref-type name="Journal Article"&gt;17&lt;/ref-type&gt;&lt;contributors&gt;&lt;authors&gt;&lt;author&gt;Liu, Yi&lt;/author&gt;&lt;author&gt;Lu, Hang&lt;/author&gt;&lt;/authors&gt;&lt;/contributors&gt;&lt;titles&gt;&lt;title&gt;Microfluidics in systems biology—hype or truly useful?&lt;/title&gt;&lt;secondary-title&gt;Current Opinion in Biotechnology&lt;/secondary-title&gt;&lt;/titles&gt;&lt;periodical&gt;&lt;full-title&gt;Current Opinion in Biotechnology&lt;/full-title&gt;&lt;/periodical&gt;&lt;pages&gt;215-220&lt;/pages&gt;&lt;volume&gt;39&lt;/volume&gt;&lt;dates&gt;&lt;year&gt;2016&lt;/year&gt;&lt;pub-dates&gt;&lt;date&gt;2016/06/01/&lt;/date&gt;&lt;/pub-dates&gt;&lt;/dates&gt;&lt;isbn&gt;0958-1669&lt;/isbn&gt;&lt;urls&gt;&lt;related-urls&gt;&lt;url&gt;http://www.sciencedirect.com/science/article/pii/S0958166916301288&lt;/url&gt;&lt;/related-urls&gt;&lt;/urls&gt;&lt;electronic-resource-num&gt;https://doi.org/10.1016/j.copbio.2016.04.020&lt;/electronic-resource-num&gt;&lt;/record&gt;&lt;/Cite&gt;&lt;/EndNote&gt;</w:instrText>
      </w:r>
      <w:r w:rsidRPr="00DA47EA">
        <w:rPr>
          <w:color w:val="000000" w:themeColor="text1"/>
        </w:rPr>
        <w:fldChar w:fldCharType="separate"/>
      </w:r>
      <w:bookmarkStart w:id="0" w:name="__Fieldmark__44_1976668701"/>
      <w:r w:rsidRPr="00DA47EA">
        <w:rPr>
          <w:rFonts w:asciiTheme="majorHAnsi" w:hAnsiTheme="majorHAnsi" w:cstheme="majorHAnsi"/>
          <w:color w:val="000000" w:themeColor="text1"/>
          <w:sz w:val="20"/>
          <w:szCs w:val="20"/>
          <w:vertAlign w:val="superscript"/>
        </w:rPr>
        <w:t>1</w:t>
      </w:r>
      <w:r w:rsidRPr="00DA47EA">
        <w:rPr>
          <w:color w:val="000000" w:themeColor="text1"/>
        </w:rPr>
        <w:fldChar w:fldCharType="end"/>
      </w:r>
      <w:bookmarkEnd w:id="0"/>
      <w:r w:rsidRPr="00DA47EA">
        <w:rPr>
          <w:rFonts w:asciiTheme="majorHAnsi" w:hAnsiTheme="majorHAnsi" w:cstheme="majorHAnsi"/>
          <w:color w:val="000000" w:themeColor="text1"/>
          <w:sz w:val="20"/>
          <w:szCs w:val="20"/>
        </w:rPr>
        <w:t>, personalised medicine</w:t>
      </w:r>
      <w:r w:rsidRPr="00DA47EA">
        <w:rPr>
          <w:color w:val="000000" w:themeColor="text1"/>
        </w:rPr>
        <w:fldChar w:fldCharType="begin"/>
      </w:r>
      <w:r w:rsidRPr="00DA47EA">
        <w:rPr>
          <w:color w:val="000000" w:themeColor="text1"/>
        </w:rPr>
        <w:instrText>ADDIN EN.CITE &lt;EndNote&gt;&lt;Cite&gt;&lt;Author&gt;Dalili&lt;/Author&gt;&lt;Year&gt;2019&lt;/Year&gt;&lt;RecNum&gt;28&lt;/RecNum&gt;&lt;DisplayText&gt;&lt;style face="superscript"&gt;2&lt;/style&gt;&lt;/DisplayText&gt;&lt;record&gt;&lt;rec-number&gt;28&lt;/rec-number&gt;&lt;foreign-keys&gt;&lt;key app="EN" db-id="z029aav9tpap2jer9znvats5atxsrd90z9p5" timestamp="1569241018"&gt;28&lt;/key&gt;&lt;/foreign-keys&gt;&lt;ref-type name="Journal Article"&gt;17&lt;/ref-type&gt;&lt;contributors&gt;&lt;authors&gt;&lt;author&gt;Dalili, Arash&lt;/author&gt;&lt;author&gt;Samiei, Ehsan&lt;/author&gt;&lt;author&gt;Hoorfar, Mina&lt;/author&gt;&lt;/authors&gt;&lt;/contributors&gt;&lt;titles&gt;&lt;title&gt;A review of sorting, separation and isolation of cells and microbeads for biomedical applications: microfluidic approaches&lt;/title&gt;&lt;secondary-title&gt;Analyst&lt;/secondary-title&gt;&lt;/titles&gt;&lt;periodical&gt;&lt;full-title&gt;Analyst&lt;/full-title&gt;&lt;/periodical&gt;&lt;pages&gt;87-113&lt;/pages&gt;&lt;volume&gt;144&lt;/volume&gt;&lt;number&gt;1&lt;/number&gt;&lt;dates&gt;&lt;year&gt;2019&lt;/year&gt;&lt;/dates&gt;&lt;publisher&gt;The Royal Society of Chemistry&lt;/publisher&gt;&lt;isbn&gt;0003-2654&lt;/isbn&gt;&lt;work-type&gt;10.1039/C8AN01061G&lt;/work-type&gt;&lt;urls&gt;&lt;related-urls&gt;&lt;url&gt;http://dx.doi.org/10.1039/C8AN01061G&lt;/url&gt;&lt;/related-urls&gt;&lt;/urls&gt;&lt;electronic-resource-num&gt;10.1039/C8AN01061G&lt;/electronic-resource-num&gt;&lt;/record&gt;&lt;/Cite&gt;&lt;/EndNote&gt;</w:instrText>
      </w:r>
      <w:r w:rsidRPr="00DA47EA">
        <w:rPr>
          <w:color w:val="000000" w:themeColor="text1"/>
        </w:rPr>
        <w:fldChar w:fldCharType="separate"/>
      </w:r>
      <w:bookmarkStart w:id="1" w:name="__Fieldmark__49_1976668701"/>
      <w:r w:rsidRPr="00DA47EA">
        <w:rPr>
          <w:rFonts w:asciiTheme="majorHAnsi" w:hAnsiTheme="majorHAnsi" w:cstheme="majorHAnsi"/>
          <w:color w:val="000000" w:themeColor="text1"/>
          <w:sz w:val="20"/>
          <w:szCs w:val="20"/>
          <w:vertAlign w:val="superscript"/>
        </w:rPr>
        <w:t>2</w:t>
      </w:r>
      <w:r w:rsidRPr="00DA47EA">
        <w:rPr>
          <w:color w:val="000000" w:themeColor="text1"/>
        </w:rPr>
        <w:fldChar w:fldCharType="end"/>
      </w:r>
      <w:bookmarkEnd w:id="1"/>
      <w:r w:rsidRPr="00DA47EA">
        <w:rPr>
          <w:rFonts w:asciiTheme="majorHAnsi" w:hAnsiTheme="majorHAnsi" w:cstheme="majorHAnsi"/>
          <w:color w:val="000000" w:themeColor="text1"/>
          <w:sz w:val="20"/>
          <w:szCs w:val="20"/>
        </w:rPr>
        <w:t>, environmental monitoring</w:t>
      </w:r>
      <w:r w:rsidRPr="00DA47EA">
        <w:rPr>
          <w:color w:val="000000" w:themeColor="text1"/>
        </w:rPr>
        <w:fldChar w:fldCharType="begin"/>
      </w:r>
      <w:r w:rsidRPr="00DA47EA">
        <w:rPr>
          <w:color w:val="000000" w:themeColor="text1"/>
        </w:rPr>
        <w:instrText>ADDIN EN.CITE &lt;EndNote&gt;&lt;Cite&gt;&lt;Author&gt;Tarn&lt;/Author&gt;&lt;Year&gt;2018&lt;/Year&gt;&lt;RecNum&gt;25&lt;/RecNum&gt;&lt;DisplayText&gt;&lt;style face="superscript"&gt;3&lt;/style&gt;&lt;/DisplayText&gt;&lt;record&gt;&lt;rec-number&gt;25&lt;/rec-number&gt;&lt;foreign-keys&gt;&lt;key app="EN" db-id="z029aav9tpap2jer9znvats5atxsrd90z9p5" timestamp="1569239604"&gt;25&lt;/key&gt;&lt;/foreign-keys&gt;&lt;ref-type name="Journal Article"&gt;17&lt;/ref-type&gt;&lt;contributors&gt;&lt;authors&gt;&lt;author&gt;Tarn, Mark D.&lt;/author&gt;&lt;author&gt;Sikora, Sebastien N. F.&lt;/author&gt;&lt;author&gt;Porter, Grace C. E.&lt;/author&gt;&lt;author&gt;O’Sullivan, Daniel&lt;/author&gt;&lt;author&gt;Adams, Mike&lt;/author&gt;&lt;author&gt;Whale, Thomas F.&lt;/author&gt;&lt;author&gt;Harrison, Alexander D.&lt;/author&gt;&lt;author&gt;Vergara-Temprado, Jesús&lt;/author&gt;&lt;author&gt;Wilson, Theodore W.&lt;/author&gt;&lt;author&gt;Shim, Jung-uk&lt;/author&gt;&lt;author&gt;Murray, Benjamin J.&lt;/author&gt;&lt;/authors&gt;&lt;/contributors&gt;&lt;titles&gt;&lt;title&gt;The study of atmospheric ice-nucleating particles via microfluidically generated droplets&lt;/title&gt;&lt;secondary-title&gt;Microfluidics and Nanofluidics&lt;/secondary-title&gt;&lt;/titles&gt;&lt;periodical&gt;&lt;full-title&gt;Microfluidics and Nanofluidics&lt;/full-title&gt;&lt;/periodical&gt;&lt;pages&gt;52&lt;/pages&gt;&lt;volume&gt;22&lt;/volume&gt;&lt;number&gt;5&lt;/number&gt;&lt;dates&gt;&lt;year&gt;2018&lt;/year&gt;&lt;pub-dates&gt;&lt;date&gt;2018/04/24&lt;/date&gt;&lt;/pub-dates&gt;&lt;/dates&gt;&lt;isbn&gt;1613-4990&lt;/isbn&gt;&lt;urls&gt;&lt;related-urls&gt;&lt;url&gt;https://doi.org/10.1007/s10404-018-2069-x&lt;/url&gt;&lt;/related-urls&gt;&lt;/urls&gt;&lt;electronic-resource-num&gt;10.1007/s10404-018-2069-x&lt;/electronic-resource-num&gt;&lt;/record&gt;&lt;/Cite&gt;&lt;/EndNote&gt;</w:instrText>
      </w:r>
      <w:r w:rsidRPr="00DA47EA">
        <w:rPr>
          <w:color w:val="000000" w:themeColor="text1"/>
        </w:rPr>
        <w:fldChar w:fldCharType="separate"/>
      </w:r>
      <w:bookmarkStart w:id="2" w:name="__Fieldmark__54_1976668701"/>
      <w:r w:rsidRPr="00DA47EA">
        <w:rPr>
          <w:rFonts w:asciiTheme="majorHAnsi" w:hAnsiTheme="majorHAnsi" w:cstheme="majorHAnsi"/>
          <w:color w:val="000000" w:themeColor="text1"/>
          <w:sz w:val="20"/>
          <w:szCs w:val="20"/>
          <w:vertAlign w:val="superscript"/>
        </w:rPr>
        <w:t>3</w:t>
      </w:r>
      <w:r w:rsidRPr="00DA47EA">
        <w:rPr>
          <w:color w:val="000000" w:themeColor="text1"/>
        </w:rPr>
        <w:fldChar w:fldCharType="end"/>
      </w:r>
      <w:bookmarkEnd w:id="2"/>
      <w:r w:rsidRPr="00DA47EA">
        <w:rPr>
          <w:rFonts w:asciiTheme="majorHAnsi" w:hAnsiTheme="majorHAnsi" w:cstheme="majorHAnsi"/>
          <w:color w:val="000000" w:themeColor="text1"/>
          <w:sz w:val="20"/>
          <w:szCs w:val="20"/>
        </w:rPr>
        <w:t>, synthetic chemistry</w:t>
      </w:r>
      <w:r w:rsidRPr="00DA47EA">
        <w:rPr>
          <w:color w:val="000000" w:themeColor="text1"/>
        </w:rPr>
        <w:fldChar w:fldCharType="begin"/>
      </w:r>
      <w:r w:rsidRPr="00DA47EA">
        <w:rPr>
          <w:color w:val="000000" w:themeColor="text1"/>
        </w:rPr>
        <w:instrText>ADDIN EN.CITE &lt;EndNote&gt;&lt;Cite&gt;&lt;Author&gt;Flowers&lt;/Author&gt;&lt;Year&gt;2012&lt;/Year&gt;&lt;RecNum&gt;27&lt;/RecNum&gt;&lt;DisplayText&gt;&lt;style face="superscript"&gt;4&lt;/style&gt;&lt;/DisplayText&gt;&lt;record&gt;&lt;rec-number&gt;27&lt;/rec-number&gt;&lt;foreign-keys&gt;&lt;key app="EN" db-id="z029aav9tpap2jer9znvats5atxsrd90z9p5" timestamp="1569240073"&gt;27&lt;/key&gt;&lt;/foreign-keys&gt;&lt;ref-type name="Journal Article"&gt;17&lt;/ref-type&gt;&lt;contributors&gt;&lt;authors&gt;&lt;author&gt;Flowers, Brian S.&lt;/author&gt;&lt;author&gt;Hartman, Ryan L.&lt;/author&gt;&lt;/authors&gt;&lt;/contributors&gt;&lt;titles&gt;&lt;title&gt;Particle Handling Techniques in Microchemical Processes&lt;/title&gt;&lt;secondary-title&gt;Challenges&lt;/secondary-title&gt;&lt;/titles&gt;&lt;periodical&gt;&lt;full-title&gt;Challenges&lt;/full-title&gt;&lt;/periodical&gt;&lt;volume&gt;3&lt;/volume&gt;&lt;number&gt;2&lt;/number&gt;&lt;keywords&gt;&lt;keyword&gt;microreactors&lt;/keyword&gt;&lt;keyword&gt;solids handling&lt;/keyword&gt;&lt;keyword&gt;plugging&lt;/keyword&gt;&lt;keyword&gt;heterogeneous reactions&lt;/keyword&gt;&lt;keyword&gt;particles&lt;/keyword&gt;&lt;keyword&gt;laminar flow&lt;/keyword&gt;&lt;/keywords&gt;&lt;dates&gt;&lt;year&gt;2012&lt;/year&gt;&lt;/dates&gt;&lt;isbn&gt;2078-1547&lt;/isbn&gt;&lt;urls&gt;&lt;/urls&gt;&lt;electronic-resource-num&gt;10.3390/challe3020194&lt;/electronic-resource-num&gt;&lt;/record&gt;&lt;/Cite&gt;&lt;/EndNote&gt;</w:instrText>
      </w:r>
      <w:r w:rsidRPr="00DA47EA">
        <w:rPr>
          <w:color w:val="000000" w:themeColor="text1"/>
        </w:rPr>
        <w:fldChar w:fldCharType="separate"/>
      </w:r>
      <w:bookmarkStart w:id="3" w:name="__Fieldmark__59_1976668701"/>
      <w:r w:rsidRPr="00DA47EA">
        <w:rPr>
          <w:rFonts w:asciiTheme="majorHAnsi" w:hAnsiTheme="majorHAnsi" w:cstheme="majorHAnsi"/>
          <w:color w:val="000000" w:themeColor="text1"/>
          <w:sz w:val="20"/>
          <w:szCs w:val="20"/>
          <w:vertAlign w:val="superscript"/>
        </w:rPr>
        <w:t>4</w:t>
      </w:r>
      <w:r w:rsidRPr="00DA47EA">
        <w:rPr>
          <w:color w:val="000000" w:themeColor="text1"/>
        </w:rPr>
        <w:fldChar w:fldCharType="end"/>
      </w:r>
      <w:bookmarkEnd w:id="3"/>
      <w:r w:rsidRPr="00DA47EA">
        <w:rPr>
          <w:rFonts w:asciiTheme="majorHAnsi" w:hAnsiTheme="majorHAnsi" w:cstheme="majorHAnsi"/>
          <w:color w:val="000000" w:themeColor="text1"/>
          <w:sz w:val="20"/>
          <w:szCs w:val="20"/>
        </w:rPr>
        <w:t xml:space="preserve"> and artificial life</w:t>
      </w:r>
      <w:r w:rsidRPr="00DA47EA">
        <w:rPr>
          <w:color w:val="000000" w:themeColor="text1"/>
        </w:rPr>
        <w:fldChar w:fldCharType="begin"/>
      </w:r>
      <w:r w:rsidRPr="00DA47EA">
        <w:rPr>
          <w:color w:val="000000" w:themeColor="text1"/>
        </w:rPr>
        <w:instrText>ADDIN EN.CITE &lt;EndNote&gt;&lt;Cite&gt;&lt;Author&gt;Martino&lt;/Author&gt;&lt;Year&gt;2016&lt;/Year&gt;&lt;RecNum&gt;30&lt;/RecNum&gt;&lt;DisplayText&gt;&lt;style face="superscript"&gt;5&lt;/style&gt;&lt;/DisplayText&gt;&lt;record&gt;&lt;rec-number&gt;30&lt;/rec-number&gt;&lt;foreign-keys&gt;&lt;key app="EN" db-id="z029aav9tpap2jer9znvats5atxsrd90z9p5" timestamp="1569241201"&gt;30&lt;/key&gt;&lt;/foreign-keys&gt;&lt;ref-type name="Journal Article"&gt;17&lt;/ref-type&gt;&lt;contributors&gt;&lt;authors&gt;&lt;author&gt;Martino, Chiara&lt;/author&gt;&lt;author&gt;deMello, Andrew J.&lt;/author&gt;&lt;/authors&gt;&lt;/contributors&gt;&lt;titles&gt;&lt;title&gt;Droplet-based microfluidics for artificial cell generation: a brief review&lt;/title&gt;&lt;secondary-title&gt;Interface Focus&lt;/secondary-title&gt;&lt;/titles&gt;&lt;periodical&gt;&lt;full-title&gt;Interface Focus&lt;/full-title&gt;&lt;/periodical&gt;&lt;pages&gt;20160011&lt;/pages&gt;&lt;volume&gt;6&lt;/volume&gt;&lt;number&gt;4&lt;/number&gt;&lt;dates&gt;&lt;year&gt;2016&lt;/year&gt;&lt;pub-dates&gt;&lt;date&gt;2016/08/06&lt;/date&gt;&lt;/pub-dates&gt;&lt;/dates&gt;&lt;publisher&gt;Royal Society&lt;/publisher&gt;&lt;urls&gt;&lt;related-urls&gt;&lt;url&gt;https://doi.org/10.1098/rsfs.2016.0011&lt;/url&gt;&lt;/related-urls&gt;&lt;/urls&gt;&lt;electronic-resource-num&gt;10.1098/rsfs.2016.0011&lt;/electronic-resource-num&gt;&lt;access-date&gt;2019/09/23&lt;/access-date&gt;&lt;/record&gt;&lt;/Cite&gt;&lt;/EndNote&gt;</w:instrText>
      </w:r>
      <w:r w:rsidRPr="00DA47EA">
        <w:rPr>
          <w:color w:val="000000" w:themeColor="text1"/>
        </w:rPr>
        <w:fldChar w:fldCharType="separate"/>
      </w:r>
      <w:bookmarkStart w:id="4" w:name="__Fieldmark__64_1976668701"/>
      <w:r w:rsidRPr="00DA47EA">
        <w:rPr>
          <w:rFonts w:asciiTheme="majorHAnsi" w:hAnsiTheme="majorHAnsi" w:cstheme="majorHAnsi"/>
          <w:color w:val="000000" w:themeColor="text1"/>
          <w:sz w:val="20"/>
          <w:szCs w:val="20"/>
          <w:vertAlign w:val="superscript"/>
        </w:rPr>
        <w:t>5</w:t>
      </w:r>
      <w:r w:rsidRPr="00DA47EA">
        <w:rPr>
          <w:color w:val="000000" w:themeColor="text1"/>
        </w:rPr>
        <w:fldChar w:fldCharType="end"/>
      </w:r>
      <w:bookmarkEnd w:id="4"/>
      <w:r w:rsidRPr="00DA47EA">
        <w:rPr>
          <w:rFonts w:asciiTheme="majorHAnsi" w:hAnsiTheme="majorHAnsi" w:cstheme="majorHAnsi"/>
          <w:color w:val="000000" w:themeColor="text1"/>
          <w:sz w:val="20"/>
          <w:szCs w:val="20"/>
        </w:rPr>
        <w:t>. However, particles are seldom neutrally buoyant. Sedimentation (or buoyancy) scales with the square of the particle diameter (</w:t>
      </w:r>
      <w:r w:rsidRPr="00DA47EA">
        <w:rPr>
          <w:rFonts w:asciiTheme="majorHAnsi" w:hAnsiTheme="majorHAnsi" w:cstheme="majorHAnsi"/>
          <w:i/>
          <w:color w:val="000000" w:themeColor="text1"/>
          <w:sz w:val="20"/>
          <w:szCs w:val="20"/>
        </w:rPr>
        <w:t>D</w:t>
      </w:r>
      <w:r w:rsidRPr="00DA47EA">
        <w:rPr>
          <w:rFonts w:asciiTheme="majorHAnsi" w:hAnsiTheme="majorHAnsi" w:cstheme="majorHAnsi"/>
          <w:i/>
          <w:color w:val="000000" w:themeColor="text1"/>
          <w:sz w:val="20"/>
          <w:szCs w:val="20"/>
          <w:vertAlign w:val="superscript"/>
        </w:rPr>
        <w:t>2</w:t>
      </w:r>
      <w:r w:rsidRPr="00DA47EA">
        <w:rPr>
          <w:rFonts w:asciiTheme="majorHAnsi" w:hAnsiTheme="majorHAnsi" w:cstheme="majorHAnsi"/>
          <w:color w:val="000000" w:themeColor="text1"/>
          <w:sz w:val="20"/>
          <w:szCs w:val="20"/>
        </w:rPr>
        <w:t>) and density dissimilarity (</w:t>
      </w:r>
      <w:r w:rsidRPr="00DA47EA">
        <w:rPr>
          <w:rFonts w:ascii="Symbol" w:hAnsi="Symbol" w:cstheme="majorHAnsi"/>
          <w:i/>
          <w:color w:val="000000" w:themeColor="text1"/>
          <w:sz w:val="20"/>
          <w:szCs w:val="20"/>
        </w:rPr>
        <w:t></w:t>
      </w:r>
      <w:r w:rsidRPr="00DA47EA">
        <w:rPr>
          <w:rFonts w:asciiTheme="majorHAnsi" w:hAnsiTheme="majorHAnsi" w:cstheme="majorHAnsi"/>
          <w:i/>
          <w:color w:val="000000" w:themeColor="text1"/>
          <w:sz w:val="20"/>
          <w:szCs w:val="20"/>
          <w:vertAlign w:val="subscript"/>
        </w:rPr>
        <w:t>p</w:t>
      </w:r>
      <w:r w:rsidRPr="00DA47EA">
        <w:rPr>
          <w:rFonts w:asciiTheme="majorHAnsi" w:hAnsiTheme="majorHAnsi" w:cstheme="majorHAnsi"/>
          <w:i/>
          <w:color w:val="000000" w:themeColor="text1"/>
          <w:sz w:val="20"/>
          <w:szCs w:val="20"/>
        </w:rPr>
        <w:t>–</w:t>
      </w:r>
      <w:r w:rsidRPr="00DA47EA">
        <w:rPr>
          <w:rFonts w:ascii="Symbol" w:hAnsi="Symbol" w:cstheme="majorHAnsi"/>
          <w:i/>
          <w:color w:val="000000" w:themeColor="text1"/>
          <w:sz w:val="20"/>
          <w:szCs w:val="20"/>
        </w:rPr>
        <w:t></w:t>
      </w:r>
      <w:r w:rsidRPr="00DA47EA">
        <w:rPr>
          <w:rFonts w:asciiTheme="majorHAnsi" w:hAnsiTheme="majorHAnsi" w:cstheme="majorHAnsi"/>
          <w:i/>
          <w:color w:val="000000" w:themeColor="text1"/>
          <w:sz w:val="20"/>
          <w:szCs w:val="20"/>
          <w:vertAlign w:val="subscript"/>
        </w:rPr>
        <w:t>f</w:t>
      </w:r>
      <w:r w:rsidRPr="00DA47EA">
        <w:rPr>
          <w:rFonts w:asciiTheme="majorHAnsi" w:hAnsiTheme="majorHAnsi" w:cstheme="majorHAnsi"/>
          <w:color w:val="000000" w:themeColor="text1"/>
          <w:sz w:val="20"/>
          <w:szCs w:val="20"/>
        </w:rPr>
        <w:t>) between the particle and the fluid as described by Stokes’ law</w:t>
      </w:r>
      <w:r w:rsidRPr="00DA47EA">
        <w:rPr>
          <w:color w:val="000000" w:themeColor="text1"/>
        </w:rPr>
        <w:fldChar w:fldCharType="begin"/>
      </w:r>
      <w:r w:rsidRPr="00DA47EA">
        <w:rPr>
          <w:color w:val="000000" w:themeColor="text1"/>
        </w:rPr>
        <w:instrText>ADDIN EN.CITE.DATA</w:instrText>
      </w:r>
      <w:r w:rsidRPr="00DA47EA">
        <w:rPr>
          <w:color w:val="000000" w:themeColor="text1"/>
        </w:rPr>
        <w:fldChar w:fldCharType="separate"/>
      </w:r>
      <w:bookmarkStart w:id="5" w:name="__Fieldmark__92_1976668701"/>
      <w:bookmarkStart w:id="6" w:name="__Fieldmark__91_1976668701"/>
      <w:bookmarkEnd w:id="5"/>
      <w:r w:rsidRPr="00DA47EA">
        <w:rPr>
          <w:rFonts w:asciiTheme="majorHAnsi" w:hAnsiTheme="majorHAnsi" w:cstheme="majorHAnsi"/>
          <w:color w:val="000000" w:themeColor="text1"/>
          <w:sz w:val="20"/>
          <w:szCs w:val="20"/>
          <w:vertAlign w:val="superscript"/>
        </w:rPr>
        <w:t>6</w:t>
      </w:r>
      <w:r w:rsidRPr="00DA47EA">
        <w:rPr>
          <w:color w:val="000000" w:themeColor="text1"/>
        </w:rPr>
        <w:fldChar w:fldCharType="end"/>
      </w:r>
      <w:bookmarkEnd w:id="6"/>
      <w:r w:rsidRPr="00DA47EA">
        <w:rPr>
          <w:rFonts w:asciiTheme="majorHAnsi" w:hAnsiTheme="majorHAnsi" w:cstheme="majorHAnsi"/>
          <w:color w:val="000000" w:themeColor="text1"/>
          <w:sz w:val="20"/>
          <w:szCs w:val="20"/>
        </w:rPr>
        <w:t xml:space="preserve"> (</w:t>
      </w:r>
      <w:r w:rsidRPr="00DA47EA">
        <w:rPr>
          <w:rFonts w:asciiTheme="majorHAnsi" w:hAnsiTheme="majorHAnsi" w:cstheme="majorHAnsi"/>
          <w:i/>
          <w:color w:val="000000" w:themeColor="text1"/>
          <w:sz w:val="20"/>
          <w:szCs w:val="20"/>
        </w:rPr>
        <w:t>U=((</w:t>
      </w:r>
      <w:r w:rsidRPr="00DA47EA">
        <w:rPr>
          <w:rFonts w:ascii="Symbol" w:hAnsi="Symbol" w:cstheme="majorHAnsi"/>
          <w:i/>
          <w:color w:val="000000" w:themeColor="text1"/>
          <w:sz w:val="20"/>
          <w:szCs w:val="20"/>
        </w:rPr>
        <w:t></w:t>
      </w:r>
      <w:r w:rsidRPr="00DA47EA">
        <w:rPr>
          <w:rFonts w:asciiTheme="majorHAnsi" w:hAnsiTheme="majorHAnsi" w:cstheme="majorHAnsi"/>
          <w:i/>
          <w:color w:val="000000" w:themeColor="text1"/>
          <w:sz w:val="20"/>
          <w:szCs w:val="20"/>
          <w:vertAlign w:val="subscript"/>
        </w:rPr>
        <w:t>p</w:t>
      </w:r>
      <w:r w:rsidRPr="00DA47EA">
        <w:rPr>
          <w:rFonts w:asciiTheme="majorHAnsi" w:hAnsiTheme="majorHAnsi" w:cstheme="majorHAnsi"/>
          <w:i/>
          <w:color w:val="000000" w:themeColor="text1"/>
          <w:sz w:val="20"/>
          <w:szCs w:val="20"/>
        </w:rPr>
        <w:t>-</w:t>
      </w:r>
      <w:r w:rsidRPr="00DA47EA">
        <w:rPr>
          <w:rFonts w:ascii="Symbol" w:hAnsi="Symbol" w:cstheme="majorHAnsi"/>
          <w:i/>
          <w:color w:val="000000" w:themeColor="text1"/>
          <w:sz w:val="20"/>
          <w:szCs w:val="20"/>
        </w:rPr>
        <w:t></w:t>
      </w:r>
      <w:r w:rsidRPr="00DA47EA">
        <w:rPr>
          <w:rFonts w:asciiTheme="majorHAnsi" w:hAnsiTheme="majorHAnsi" w:cstheme="majorHAnsi"/>
          <w:i/>
          <w:color w:val="000000" w:themeColor="text1"/>
          <w:sz w:val="20"/>
          <w:szCs w:val="20"/>
          <w:vertAlign w:val="subscript"/>
        </w:rPr>
        <w:t>f</w:t>
      </w:r>
      <w:r w:rsidRPr="00DA47EA">
        <w:rPr>
          <w:rFonts w:asciiTheme="majorHAnsi" w:hAnsiTheme="majorHAnsi" w:cstheme="majorHAnsi"/>
          <w:i/>
          <w:color w:val="000000" w:themeColor="text1"/>
          <w:sz w:val="20"/>
          <w:szCs w:val="20"/>
        </w:rPr>
        <w:t>)gD</w:t>
      </w:r>
      <w:r w:rsidRPr="00DA47EA">
        <w:rPr>
          <w:rFonts w:asciiTheme="majorHAnsi" w:hAnsiTheme="majorHAnsi" w:cstheme="majorHAnsi"/>
          <w:i/>
          <w:color w:val="000000" w:themeColor="text1"/>
          <w:sz w:val="20"/>
          <w:szCs w:val="20"/>
          <w:vertAlign w:val="superscript"/>
        </w:rPr>
        <w:t>2</w:t>
      </w:r>
      <w:r w:rsidRPr="00DA47EA">
        <w:rPr>
          <w:rFonts w:asciiTheme="majorHAnsi" w:hAnsiTheme="majorHAnsi" w:cstheme="majorHAnsi"/>
          <w:i/>
          <w:color w:val="000000" w:themeColor="text1"/>
          <w:sz w:val="20"/>
          <w:szCs w:val="20"/>
        </w:rPr>
        <w:t>)/18</w:t>
      </w:r>
      <w:r w:rsidRPr="00DA47EA">
        <w:rPr>
          <w:rFonts w:ascii="Symbol" w:hAnsi="Symbol" w:cstheme="majorHAnsi"/>
          <w:i/>
          <w:color w:val="000000" w:themeColor="text1"/>
          <w:sz w:val="20"/>
          <w:szCs w:val="20"/>
        </w:rPr>
        <w:t></w:t>
      </w:r>
      <w:r w:rsidRPr="00DA47EA">
        <w:rPr>
          <w:rFonts w:asciiTheme="majorHAnsi" w:hAnsiTheme="majorHAnsi" w:cstheme="majorHAnsi"/>
          <w:color w:val="000000" w:themeColor="text1"/>
          <w:sz w:val="20"/>
          <w:szCs w:val="20"/>
        </w:rPr>
        <w:t>, where</w:t>
      </w:r>
      <w:r w:rsidRPr="00DA47EA">
        <w:rPr>
          <w:rFonts w:asciiTheme="majorHAnsi" w:hAnsiTheme="majorHAnsi" w:cstheme="majorHAnsi"/>
          <w:i/>
          <w:color w:val="000000" w:themeColor="text1"/>
          <w:sz w:val="20"/>
          <w:szCs w:val="20"/>
        </w:rPr>
        <w:t xml:space="preserve"> U </w:t>
      </w:r>
      <w:r w:rsidRPr="00DA47EA">
        <w:rPr>
          <w:rFonts w:asciiTheme="majorHAnsi" w:hAnsiTheme="majorHAnsi" w:cstheme="majorHAnsi"/>
          <w:color w:val="000000" w:themeColor="text1"/>
          <w:sz w:val="20"/>
          <w:szCs w:val="20"/>
        </w:rPr>
        <w:t xml:space="preserve">is the sedimentation velocity, </w:t>
      </w:r>
      <w:r w:rsidRPr="00DA47EA">
        <w:rPr>
          <w:rFonts w:asciiTheme="majorHAnsi" w:hAnsiTheme="majorHAnsi" w:cstheme="majorHAnsi"/>
          <w:i/>
          <w:color w:val="000000" w:themeColor="text1"/>
          <w:sz w:val="20"/>
          <w:szCs w:val="20"/>
        </w:rPr>
        <w:t>g</w:t>
      </w:r>
      <w:r w:rsidRPr="00DA47EA">
        <w:rPr>
          <w:rFonts w:asciiTheme="majorHAnsi" w:hAnsiTheme="majorHAnsi" w:cstheme="majorHAnsi"/>
          <w:color w:val="000000" w:themeColor="text1"/>
          <w:sz w:val="20"/>
          <w:szCs w:val="20"/>
        </w:rPr>
        <w:t xml:space="preserve"> is acceleration due to gravity and </w:t>
      </w:r>
      <w:r w:rsidRPr="00DA47EA">
        <w:rPr>
          <w:rFonts w:ascii="Symbol" w:hAnsi="Symbol" w:cstheme="majorHAnsi"/>
          <w:i/>
          <w:color w:val="000000" w:themeColor="text1"/>
          <w:sz w:val="20"/>
          <w:szCs w:val="20"/>
        </w:rPr>
        <w:t></w:t>
      </w:r>
      <w:r w:rsidRPr="00DA47EA">
        <w:rPr>
          <w:rFonts w:asciiTheme="majorHAnsi" w:hAnsiTheme="majorHAnsi" w:cstheme="majorHAnsi"/>
          <w:color w:val="000000" w:themeColor="text1"/>
          <w:sz w:val="20"/>
          <w:szCs w:val="20"/>
        </w:rPr>
        <w:t xml:space="preserve"> the dynamic viscosity of the fluid). This arises from the general equation for particle motion in a fluid, under the assumption of a quiescent fluid and zero particle acceleration, and equates the particle drag force with the gravity/buoyancy force. Therefore</w:t>
      </w:r>
      <w:r>
        <w:rPr>
          <w:rFonts w:asciiTheme="majorHAnsi" w:hAnsiTheme="majorHAnsi" w:cstheme="majorHAnsi"/>
          <w:sz w:val="20"/>
          <w:szCs w:val="20"/>
        </w:rPr>
        <w:t xml:space="preserve">, this generalised problem especially impacts the handling of large </w:t>
      </w:r>
      <w:r>
        <w:rPr>
          <w:rFonts w:asciiTheme="majorHAnsi" w:hAnsiTheme="majorHAnsi" w:cstheme="majorHAnsi"/>
          <w:sz w:val="20"/>
          <w:szCs w:val="20"/>
        </w:rPr>
        <w:lastRenderedPageBreak/>
        <w:t>particles such as &gt;100-</w:t>
      </w:r>
      <w:r>
        <w:rPr>
          <w:rFonts w:ascii="Symbol" w:hAnsi="Symbol" w:cstheme="majorHAnsi"/>
          <w:sz w:val="20"/>
          <w:szCs w:val="20"/>
        </w:rPr>
        <w:t></w:t>
      </w:r>
      <w:r>
        <w:rPr>
          <w:rFonts w:asciiTheme="majorHAnsi" w:hAnsiTheme="majorHAnsi" w:cstheme="majorHAnsi"/>
          <w:sz w:val="20"/>
          <w:szCs w:val="20"/>
        </w:rPr>
        <w:t>m-diameter human oocytes for IVF</w:t>
      </w:r>
      <w:r>
        <w:fldChar w:fldCharType="begin"/>
      </w:r>
      <w:r>
        <w:instrText>ADDIN EN.CITE.DATA</w:instrText>
      </w:r>
      <w:r>
        <w:fldChar w:fldCharType="separate"/>
      </w:r>
      <w:bookmarkStart w:id="7" w:name="__Fieldmark__129_1976668701"/>
      <w:bookmarkStart w:id="8" w:name="__Fieldmark__128_1976668701"/>
      <w:bookmarkEnd w:id="7"/>
      <w:r>
        <w:rPr>
          <w:rFonts w:asciiTheme="majorHAnsi" w:hAnsiTheme="majorHAnsi" w:cstheme="majorHAnsi"/>
          <w:sz w:val="20"/>
          <w:szCs w:val="20"/>
          <w:vertAlign w:val="superscript"/>
        </w:rPr>
        <w:t>7</w:t>
      </w:r>
      <w:r>
        <w:fldChar w:fldCharType="end"/>
      </w:r>
      <w:bookmarkEnd w:id="8"/>
      <w:r>
        <w:rPr>
          <w:rFonts w:asciiTheme="majorHAnsi" w:hAnsiTheme="majorHAnsi" w:cstheme="majorHAnsi"/>
          <w:sz w:val="20"/>
          <w:szCs w:val="20"/>
        </w:rPr>
        <w:t xml:space="preserve"> or transcriptome capture beads</w:t>
      </w:r>
      <w:r>
        <w:fldChar w:fldCharType="begin"/>
      </w:r>
      <w:r>
        <w:instrText>ADDIN EN.CITE &lt;EndNote&gt;&lt;Cite&gt;&lt;Author&gt;Macosko&lt;/Author&gt;&lt;Year&gt;2015&lt;/Year&gt;&lt;RecNum&gt;3&lt;/RecNum&gt;&lt;DisplayText&gt;&lt;style face="superscript"&gt;8&lt;/style&gt;&lt;/DisplayText&gt;&lt;record&gt;&lt;rec-number&gt;3&lt;/rec-number&gt;&lt;foreign-keys&gt;&lt;key app="EN" db-id="z029aav9tpap2jer9znvats5atxsrd90z9p5" timestamp="1564919306"&gt;3&lt;/key&gt;&lt;/foreign-keys&gt;&lt;ref-type name="Journal Article"&gt;17&lt;/ref-type&gt;&lt;contributors&gt;&lt;authors&gt;&lt;author&gt;Macosko, Evan Z&lt;/author&gt;&lt;author&gt;Basu, Anindita&lt;/author&gt;&lt;author&gt;Satija, Rahul&lt;/author&gt;&lt;author&gt;Nemesh, James&lt;/author&gt;&lt;author&gt;Shekhar, Karthik&lt;/author&gt;&lt;author&gt;Goldman, Melissa&lt;/author&gt;&lt;author&gt;Tirosh, Itay&lt;/author&gt;&lt;author&gt;Bialas, Allison R&lt;/author&gt;&lt;author&gt;Kamitaki, Nolan&lt;/author&gt;&lt;author&gt;Martersteck, Emily M&lt;/author&gt;&lt;author&gt;Trombetta, John J&lt;/author&gt;&lt;author&gt;Weitz, David A&lt;/author&gt;&lt;author&gt;Sanes, Joshua R&lt;/author&gt;&lt;author&gt;Shalek, Alex K&lt;/author&gt;&lt;author&gt;Regev, Aviv&lt;/author&gt;&lt;author&gt;McCarroll, Steven A&lt;/author&gt;&lt;/authors&gt;&lt;/contributors&gt;&lt;titles&gt;&lt;title&gt;Highly Parallel Genome-wide Expression Profiling of Individual Cells Using Nanoliter Droplets&lt;/title&gt;&lt;secondary-title&gt;Cell&lt;/secondary-title&gt;&lt;/titles&gt;&lt;periodical&gt;&lt;full-title&gt;Cell&lt;/full-title&gt;&lt;/periodical&gt;&lt;pages&gt;1202-1214&lt;/pages&gt;&lt;volume&gt;161&lt;/volume&gt;&lt;number&gt;5&lt;/number&gt;&lt;dates&gt;&lt;year&gt;2015&lt;/year&gt;&lt;/dates&gt;&lt;publisher&gt;Elsevier&lt;/publisher&gt;&lt;isbn&gt;0092-8674&lt;/isbn&gt;&lt;urls&gt;&lt;related-urls&gt;&lt;url&gt;https://doi.org/10.1016/j.cell.2015.05.002&lt;/url&gt;&lt;/related-urls&gt;&lt;/urls&gt;&lt;electronic-resource-num&gt;10.1016/j.cell.2015.05.002&lt;/electronic-resource-num&gt;&lt;access-date&gt;2019/08/04&lt;/access-date&gt;&lt;/record&gt;&lt;/Cite&gt;&lt;/EndNote&gt;</w:instrText>
      </w:r>
      <w:r>
        <w:fldChar w:fldCharType="separate"/>
      </w:r>
      <w:bookmarkStart w:id="9" w:name="__Fieldmark__136_1976668701"/>
      <w:r>
        <w:rPr>
          <w:rFonts w:asciiTheme="majorHAnsi" w:hAnsiTheme="majorHAnsi" w:cstheme="majorHAnsi"/>
          <w:sz w:val="20"/>
          <w:szCs w:val="20"/>
          <w:vertAlign w:val="superscript"/>
        </w:rPr>
        <w:t>8</w:t>
      </w:r>
      <w:r>
        <w:fldChar w:fldCharType="end"/>
      </w:r>
      <w:bookmarkEnd w:id="9"/>
      <w:r>
        <w:rPr>
          <w:rFonts w:asciiTheme="majorHAnsi" w:hAnsiTheme="majorHAnsi" w:cstheme="majorHAnsi"/>
          <w:sz w:val="20"/>
          <w:szCs w:val="20"/>
        </w:rPr>
        <w:t>, and dense particles such as magnetic capture beads (</w:t>
      </w:r>
      <w:r>
        <w:rPr>
          <w:rFonts w:ascii="Symbol" w:hAnsi="Symbol" w:cstheme="majorHAnsi"/>
          <w:i/>
          <w:sz w:val="20"/>
          <w:szCs w:val="20"/>
        </w:rPr>
        <w:t></w:t>
      </w:r>
      <w:r>
        <w:rPr>
          <w:rFonts w:asciiTheme="majorHAnsi" w:hAnsiTheme="majorHAnsi" w:cstheme="majorHAnsi"/>
          <w:sz w:val="20"/>
          <w:szCs w:val="20"/>
        </w:rPr>
        <w:t>=1.4</w:t>
      </w:r>
      <w:r>
        <w:rPr>
          <w:rFonts w:asciiTheme="majorHAnsi" w:hAnsiTheme="majorHAnsi" w:cstheme="majorHAnsi"/>
          <w:i/>
          <w:sz w:val="20"/>
          <w:szCs w:val="20"/>
        </w:rPr>
        <w:t>–</w:t>
      </w:r>
      <w:r>
        <w:rPr>
          <w:rFonts w:asciiTheme="majorHAnsi" w:hAnsiTheme="majorHAnsi" w:cstheme="majorHAnsi"/>
          <w:sz w:val="20"/>
          <w:szCs w:val="20"/>
        </w:rPr>
        <w:t>2.5 g/cm</w:t>
      </w:r>
      <w:r>
        <w:rPr>
          <w:rFonts w:asciiTheme="majorHAnsi" w:hAnsiTheme="majorHAnsi" w:cstheme="majorHAnsi"/>
          <w:sz w:val="20"/>
          <w:szCs w:val="20"/>
          <w:vertAlign w:val="superscript"/>
        </w:rPr>
        <w:t>3</w:t>
      </w:r>
      <w:r>
        <w:rPr>
          <w:rFonts w:asciiTheme="majorHAnsi" w:hAnsiTheme="majorHAnsi" w:cstheme="majorHAnsi"/>
          <w:sz w:val="20"/>
          <w:szCs w:val="20"/>
        </w:rPr>
        <w:t>)</w:t>
      </w:r>
      <w:r>
        <w:fldChar w:fldCharType="begin"/>
      </w:r>
      <w:r>
        <w:instrText>ADDIN EN.CITE &lt;EndNote&gt;&lt;Cite&gt;&lt;Author&gt;Pamme&lt;/Author&gt;&lt;Year&gt;2006&lt;/Year&gt;&lt;RecNum&gt;4&lt;/RecNum&gt;&lt;DisplayText&gt;&lt;style face="superscript"&gt;9&lt;/style&gt;&lt;/DisplayText&gt;&lt;record&gt;&lt;rec-number&gt;4&lt;/rec-number&gt;&lt;foreign-keys&gt;&lt;key app="EN" db-id="z029aav9tpap2jer9znvats5atxsrd90z9p5" timestamp="1564919366"&gt;4&lt;/key&gt;&lt;/foreign-keys&gt;&lt;ref-type name="Journal Article"&gt;17&lt;/ref-type&gt;&lt;contributors&gt;&lt;authors&gt;&lt;author&gt;Pamme, Nicole&lt;/author&gt;&lt;/authors&gt;&lt;/contributors&gt;&lt;titles&gt;&lt;title&gt;Magnetism and microfluidics&lt;/title&gt;&lt;secondary-title&gt;Lab on a Chip&lt;/secondary-title&gt;&lt;/titles&gt;&lt;periodical&gt;&lt;full-title&gt;Lab on a Chip&lt;/full-title&gt;&lt;/periodical&gt;&lt;pages&gt;24-38&lt;/pages&gt;&lt;volume&gt;6&lt;/volume&gt;&lt;number&gt;1&lt;/number&gt;&lt;dates&gt;&lt;year&gt;2006&lt;/year&gt;&lt;/dates&gt;&lt;publisher&gt;The Royal Society of Chemistry&lt;/publisher&gt;&lt;isbn&gt;1473-0197&lt;/isbn&gt;&lt;work-type&gt;10.1039/B513005K&lt;/work-type&gt;&lt;urls&gt;&lt;related-urls&gt;&lt;url&gt;http://dx.doi.org/10.1039/B513005K&lt;/url&gt;&lt;/related-urls&gt;&lt;/urls&gt;&lt;electronic-resource-num&gt;10.1039/B513005K&lt;/electronic-resource-num&gt;&lt;/record&gt;&lt;/Cite&gt;&lt;/EndNote&gt;</w:instrText>
      </w:r>
      <w:r>
        <w:fldChar w:fldCharType="separate"/>
      </w:r>
      <w:bookmarkStart w:id="10" w:name="__Fieldmark__148_1976668701"/>
      <w:r>
        <w:rPr>
          <w:rFonts w:asciiTheme="majorHAnsi" w:hAnsiTheme="majorHAnsi" w:cstheme="majorHAnsi"/>
          <w:sz w:val="20"/>
          <w:szCs w:val="20"/>
          <w:vertAlign w:val="superscript"/>
        </w:rPr>
        <w:t>9</w:t>
      </w:r>
      <w:r>
        <w:fldChar w:fldCharType="end"/>
      </w:r>
      <w:bookmarkEnd w:id="10"/>
      <w:r>
        <w:rPr>
          <w:rFonts w:asciiTheme="majorHAnsi" w:hAnsiTheme="majorHAnsi" w:cstheme="majorHAnsi"/>
          <w:sz w:val="20"/>
          <w:szCs w:val="20"/>
        </w:rPr>
        <w:t>. In the delivery reservoir (</w:t>
      </w:r>
      <w:r>
        <w:rPr>
          <w:rFonts w:asciiTheme="majorHAnsi" w:hAnsiTheme="majorHAnsi" w:cstheme="majorHAnsi"/>
          <w:i/>
          <w:sz w:val="20"/>
          <w:szCs w:val="20"/>
        </w:rPr>
        <w:t xml:space="preserve">e.g. </w:t>
      </w:r>
      <w:r>
        <w:rPr>
          <w:rFonts w:asciiTheme="majorHAnsi" w:hAnsiTheme="majorHAnsi" w:cstheme="majorHAnsi"/>
          <w:sz w:val="20"/>
          <w:szCs w:val="20"/>
        </w:rPr>
        <w:t>syringe) upstream of the microfluidic processor the volume is often effectively stagnant. Here sedimentation effects can become substantial. This poses the risk of sampling bias with heterogeneous samples such as blood or environmental pollutants. In addition, high throughput is a major driver for many contemporary microfluidic applications. Here, sedimentation manifests during prolonged processing required to isolate rare particles, such as circulating tumour cells (1 in 10</w:t>
      </w:r>
      <w:r>
        <w:rPr>
          <w:rFonts w:asciiTheme="majorHAnsi" w:hAnsiTheme="majorHAnsi" w:cstheme="majorHAnsi"/>
          <w:sz w:val="20"/>
          <w:szCs w:val="20"/>
          <w:vertAlign w:val="superscript"/>
        </w:rPr>
        <w:t>9</w:t>
      </w:r>
      <w:r>
        <w:rPr>
          <w:rFonts w:asciiTheme="majorHAnsi" w:hAnsiTheme="majorHAnsi" w:cstheme="majorHAnsi"/>
          <w:sz w:val="20"/>
          <w:szCs w:val="20"/>
        </w:rPr>
        <w:t xml:space="preserve"> haematological cells)</w:t>
      </w:r>
      <w:r>
        <w:fldChar w:fldCharType="begin"/>
      </w:r>
      <w:r>
        <w:instrText>ADDIN EN.CITE &lt;EndNote&gt;&lt;Cite&gt;&lt;Author&gt;Nagrath&lt;/Author&gt;&lt;Year&gt;2007&lt;/Year&gt;&lt;RecNum&gt;5&lt;/RecNum&gt;&lt;DisplayText&gt;&lt;style face="superscript"&gt;10&lt;/style&gt;&lt;/DisplayText&gt;&lt;record&gt;&lt;rec-number&gt;5&lt;/rec-number&gt;&lt;foreign-keys&gt;&lt;key app="EN" db-id="z029aav9tpap2jer9znvats5atxsrd90z9p5" timestamp="1564919400"&gt;5&lt;/key&gt;&lt;/foreign-keys&gt;&lt;ref-type name="Journal Article"&gt;17&lt;/ref-type&gt;&lt;contributors&gt;&lt;authors&gt;&lt;author&gt;Nagrath, Sunitha&lt;/author&gt;&lt;author&gt;Sequist, Lecia V.&lt;/author&gt;&lt;author&gt;Maheswaran, Shyamala&lt;/author&gt;&lt;author&gt;Bell, Daphne W.&lt;/author&gt;&lt;author&gt;Irimia, Daniel&lt;/author&gt;&lt;author&gt;Ulkus, Lindsey&lt;/author&gt;&lt;author&gt;Smith, Matthew R.&lt;/author&gt;&lt;author&gt;Kwak, Eunice L.&lt;/author&gt;&lt;author&gt;Digumarthy, Subba&lt;/author&gt;&lt;author&gt;Muzikansky, Alona&lt;/author&gt;&lt;author&gt;Ryan, Paula&lt;/author&gt;&lt;author&gt;Balis, Ulysses J.&lt;/author&gt;&lt;author&gt;Tompkins, Ronald G.&lt;/author&gt;&lt;author&gt;Haber, Daniel A.&lt;/author&gt;&lt;author&gt;Toner, Mehmet&lt;/author&gt;&lt;/authors&gt;&lt;/contributors&gt;&lt;titles&gt;&lt;title&gt;Isolation of rare circulating tumour cells in cancer patients by microchip technology&lt;/title&gt;&lt;secondary-title&gt;Nature&lt;/secondary-title&gt;&lt;/titles&gt;&lt;periodical&gt;&lt;full-title&gt;Nature&lt;/full-title&gt;&lt;/periodical&gt;&lt;pages&gt;1235&lt;/pages&gt;&lt;volume&gt;450&lt;/volume&gt;&lt;dates&gt;&lt;year&gt;2007&lt;/year&gt;&lt;pub-dates&gt;&lt;date&gt;12/20/online&lt;/date&gt;&lt;/pub-dates&gt;&lt;/dates&gt;&lt;publisher&gt;Nature Publishing Group&lt;/publisher&gt;&lt;urls&gt;&lt;related-urls&gt;&lt;url&gt;https://doi.org/10.1038/nature06385&lt;/url&gt;&lt;/related-urls&gt;&lt;/urls&gt;&lt;electronic-resource-num&gt;10.1038/nature06385&amp;#xD;https://www.nature.com/articles/nature06385#supplementary-information&lt;/electronic-resource-num&gt;&lt;/record&gt;&lt;/Cite&gt;&lt;/EndNote&gt;</w:instrText>
      </w:r>
      <w:r>
        <w:fldChar w:fldCharType="separate"/>
      </w:r>
      <w:bookmarkStart w:id="11" w:name="__Fieldmark__178_1976668701"/>
      <w:r>
        <w:rPr>
          <w:rFonts w:asciiTheme="majorHAnsi" w:hAnsiTheme="majorHAnsi" w:cstheme="majorHAnsi"/>
          <w:sz w:val="20"/>
          <w:szCs w:val="20"/>
          <w:vertAlign w:val="superscript"/>
        </w:rPr>
        <w:t>10</w:t>
      </w:r>
      <w:r>
        <w:fldChar w:fldCharType="end"/>
      </w:r>
      <w:bookmarkEnd w:id="11"/>
      <w:r>
        <w:rPr>
          <w:rFonts w:asciiTheme="majorHAnsi" w:hAnsiTheme="majorHAnsi" w:cstheme="majorHAnsi"/>
          <w:sz w:val="20"/>
          <w:szCs w:val="20"/>
        </w:rPr>
        <w:t>, impacting isolation yield. Sedimentation also effects applications that require tight control of suspension concentrations to create ordered arrangements for efficient cell encapsulation in droplets</w:t>
      </w:r>
      <w:r>
        <w:fldChar w:fldCharType="begin"/>
      </w:r>
      <w:r>
        <w:instrText>ADDIN EN.CITE.DATA</w:instrText>
      </w:r>
      <w:r>
        <w:fldChar w:fldCharType="separate"/>
      </w:r>
      <w:bookmarkStart w:id="12" w:name="__Fieldmark__196_1976668701"/>
      <w:bookmarkStart w:id="13" w:name="__Fieldmark__195_1976668701"/>
      <w:bookmarkEnd w:id="12"/>
      <w:r>
        <w:rPr>
          <w:rFonts w:asciiTheme="majorHAnsi" w:hAnsiTheme="majorHAnsi" w:cstheme="majorHAnsi"/>
          <w:sz w:val="20"/>
          <w:szCs w:val="20"/>
          <w:vertAlign w:val="superscript"/>
        </w:rPr>
        <w:t>11-13</w:t>
      </w:r>
      <w:r>
        <w:fldChar w:fldCharType="end"/>
      </w:r>
      <w:bookmarkEnd w:id="13"/>
      <w:r>
        <w:rPr>
          <w:rFonts w:asciiTheme="majorHAnsi" w:hAnsiTheme="majorHAnsi" w:cstheme="majorHAnsi"/>
          <w:sz w:val="20"/>
          <w:szCs w:val="20"/>
        </w:rPr>
        <w:t xml:space="preserve"> or for the efficient microfluidic manufacture of composite assemblies</w:t>
      </w:r>
      <w:r>
        <w:fldChar w:fldCharType="begin"/>
      </w:r>
      <w:r>
        <w:instrText>ADDIN EN.CITE &lt;EndNote&gt;&lt;Cite&gt;&lt;Author&gt;Kim&lt;/Author&gt;&lt;Year&gt;2014&lt;/Year&gt;&lt;RecNum&gt;10&lt;/RecNum&gt;&lt;DisplayText&gt;&lt;style face="superscript"&gt;14&lt;/style&gt;&lt;/DisplayText&gt;&lt;record&gt;&lt;rec-number&gt;10&lt;/rec-number&gt;&lt;foreign-keys&gt;&lt;key app="EN" db-id="z029aav9tpap2jer9znvats5atxsrd90z9p5" timestamp="1564920821"&gt;10&lt;/key&gt;&lt;/foreign-keys&gt;&lt;ref-type name="Journal Article"&gt;17&lt;/ref-type&gt;&lt;contributors&gt;&lt;authors&gt;&lt;author&gt;Kim, Ju Hyeon&lt;/author&gt;&lt;author&gt;Jeon, Tae Yoon&lt;/author&gt;&lt;author&gt;Choi, Tae Min&lt;/author&gt;&lt;author&gt;Shim, Tae Soup&lt;/author&gt;&lt;author&gt;Kim, Shin-Hyun&lt;/author&gt;&lt;author&gt;Yang, Seung-Man&lt;/author&gt;&lt;/authors&gt;&lt;/contributors&gt;&lt;titles&gt;&lt;title&gt;Droplet Microfluidics for Producing Functional Microparticles&lt;/title&gt;&lt;secondary-title&gt;Langmuir&lt;/secondary-title&gt;&lt;/titles&gt;&lt;periodical&gt;&lt;full-title&gt;Langmuir&lt;/full-title&gt;&lt;/periodical&gt;&lt;pages&gt;1473-1488&lt;/pages&gt;&lt;volume&gt;30&lt;/volume&gt;&lt;number&gt;6&lt;/number&gt;&lt;dates&gt;&lt;year&gt;2014&lt;/year&gt;&lt;pub-dates&gt;&lt;date&gt;2014/02/18&lt;/date&gt;&lt;/pub-dates&gt;&lt;/dates&gt;&lt;publisher&gt;American Chemical Society&lt;/publisher&gt;&lt;isbn&gt;0743-7463&lt;/isbn&gt;&lt;urls&gt;&lt;related-urls&gt;&lt;url&gt;https://doi.org/10.1021/la403220p&lt;/url&gt;&lt;/related-urls&gt;&lt;/urls&gt;&lt;electronic-resource-num&gt;10.1021/la403220p&lt;/electronic-resource-num&gt;&lt;/record&gt;&lt;/Cite&gt;&lt;/EndNote&gt;</w:instrText>
      </w:r>
      <w:r>
        <w:fldChar w:fldCharType="separate"/>
      </w:r>
      <w:bookmarkStart w:id="14" w:name="__Fieldmark__206_1976668701"/>
      <w:r>
        <w:rPr>
          <w:rFonts w:asciiTheme="majorHAnsi" w:hAnsiTheme="majorHAnsi" w:cstheme="majorHAnsi"/>
          <w:sz w:val="20"/>
          <w:szCs w:val="20"/>
          <w:vertAlign w:val="superscript"/>
        </w:rPr>
        <w:t>14</w:t>
      </w:r>
      <w:r>
        <w:fldChar w:fldCharType="end"/>
      </w:r>
      <w:bookmarkEnd w:id="14"/>
      <w:r>
        <w:rPr>
          <w:rFonts w:asciiTheme="majorHAnsi" w:hAnsiTheme="majorHAnsi" w:cstheme="majorHAnsi"/>
          <w:sz w:val="20"/>
          <w:szCs w:val="20"/>
        </w:rPr>
        <w:t xml:space="preserve">. </w:t>
      </w:r>
    </w:p>
    <w:p w:rsidR="003027A1" w:rsidRDefault="008D53D5">
      <w:pPr>
        <w:ind w:firstLine="720"/>
        <w:jc w:val="both"/>
        <w:rPr>
          <w:rFonts w:asciiTheme="majorHAnsi" w:hAnsiTheme="majorHAnsi" w:cstheme="majorHAnsi"/>
          <w:sz w:val="20"/>
          <w:szCs w:val="20"/>
        </w:rPr>
      </w:pPr>
      <w:r>
        <w:rPr>
          <w:rFonts w:asciiTheme="majorHAnsi" w:hAnsiTheme="majorHAnsi" w:cstheme="majorHAnsi"/>
          <w:sz w:val="20"/>
          <w:szCs w:val="20"/>
        </w:rPr>
        <w:t xml:space="preserve">Despite wide-ranging impact, sedimentation is often overlooked, or conventionally managed by manual agitation or preferably by automated magnetic stirring. Magnetic stirring does, however, come with drawbacks; (i) dispersing particles to create inhomogeneous distributions, (ii) introducing shear forces that damage delicate particles such as stem cells and protein crystals; (iii) is impractical for small syringe volumes (relevant to fine needle aspirate biopsies); and (iv) aggregates magnetic particles. </w:t>
      </w:r>
    </w:p>
    <w:p w:rsidR="003027A1" w:rsidRDefault="008D53D5">
      <w:pPr>
        <w:ind w:firstLine="720"/>
        <w:jc w:val="both"/>
      </w:pPr>
      <w:r>
        <w:rPr>
          <w:rFonts w:asciiTheme="majorHAnsi" w:hAnsiTheme="majorHAnsi" w:cstheme="majorHAnsi"/>
          <w:sz w:val="20"/>
          <w:szCs w:val="20"/>
        </w:rPr>
        <w:t>In pursuit of a universal solution we consider the use of syringe rotation such that the particles continuously fall through rotating fluid layers, with each particle describing a gravity-driven miniature orbit superimposed on a macroscopic orbit described by fluid rotation. In this approach, all particles are acted upon, the suspension remains homogeneous and, moreover, the method is suitable for handling even the most delicate particles. We have called the concept perpetual sedimentation (PS) and reduced it to practice using an open instrumentation (OI) approach</w:t>
      </w:r>
      <w:r>
        <w:fldChar w:fldCharType="begin"/>
      </w:r>
      <w:r>
        <w:instrText>ADDIN EN.CITE.DATA</w:instrText>
      </w:r>
      <w:r>
        <w:fldChar w:fldCharType="separate"/>
      </w:r>
      <w:bookmarkStart w:id="15" w:name="__Fieldmark__256_1976668701"/>
      <w:bookmarkStart w:id="16" w:name="__Fieldmark__255_1976668701"/>
      <w:bookmarkEnd w:id="15"/>
      <w:r>
        <w:rPr>
          <w:rFonts w:asciiTheme="majorHAnsi" w:hAnsiTheme="majorHAnsi" w:cstheme="majorHAnsi"/>
          <w:sz w:val="20"/>
          <w:szCs w:val="20"/>
          <w:vertAlign w:val="superscript"/>
        </w:rPr>
        <w:t>15-19</w:t>
      </w:r>
      <w:r>
        <w:fldChar w:fldCharType="end"/>
      </w:r>
      <w:bookmarkEnd w:id="16"/>
      <w:r>
        <w:rPr>
          <w:rFonts w:asciiTheme="majorHAnsi" w:hAnsiTheme="majorHAnsi" w:cstheme="majorHAnsi"/>
          <w:sz w:val="20"/>
          <w:szCs w:val="20"/>
        </w:rPr>
        <w:t xml:space="preserve">. Here the merits of OI is not just cost effective performance and a route for technology dissemination but also the ability to introduce functionality that is not commercially available. In this contribution, we describe the performance of a PS prototype, observe the underlying particle transport phenomena and demonstrate fit-for-purpose application with large particles, magnetic particles and cells. </w:t>
      </w:r>
    </w:p>
    <w:p w:rsidR="003027A1" w:rsidRDefault="003027A1">
      <w:pPr>
        <w:ind w:firstLine="720"/>
        <w:jc w:val="both"/>
        <w:rPr>
          <w:rFonts w:asciiTheme="majorHAnsi" w:hAnsiTheme="majorHAnsi" w:cstheme="majorHAnsi"/>
          <w:sz w:val="20"/>
          <w:szCs w:val="20"/>
        </w:rPr>
      </w:pPr>
    </w:p>
    <w:p w:rsidR="003027A1" w:rsidRDefault="008D53D5">
      <w:pPr>
        <w:rPr>
          <w:rFonts w:asciiTheme="majorHAnsi" w:hAnsiTheme="majorHAnsi" w:cstheme="majorHAnsi"/>
          <w:b/>
          <w:sz w:val="28"/>
          <w:szCs w:val="28"/>
        </w:rPr>
      </w:pPr>
      <w:r>
        <w:rPr>
          <w:rFonts w:asciiTheme="majorHAnsi" w:hAnsiTheme="majorHAnsi" w:cstheme="majorHAnsi"/>
          <w:b/>
          <w:sz w:val="28"/>
          <w:szCs w:val="28"/>
        </w:rPr>
        <w:t>Materials and Methods</w:t>
      </w:r>
    </w:p>
    <w:p w:rsidR="003027A1" w:rsidRDefault="008D53D5">
      <w:pPr>
        <w:spacing w:line="276" w:lineRule="auto"/>
        <w:jc w:val="both"/>
      </w:pPr>
      <w:r>
        <w:rPr>
          <w:rFonts w:asciiTheme="majorHAnsi" w:hAnsiTheme="majorHAnsi" w:cstheme="majorHAnsi"/>
          <w:sz w:val="20"/>
          <w:szCs w:val="20"/>
        </w:rPr>
        <w:t xml:space="preserve">A detailed account of the materials and methods can be found in the Supplementary Information. In brief, laser cutting and widely available electronics and other components were used to assemble the PS prototype (see SI Fig 1 and 2, and the </w:t>
      </w:r>
      <w:r w:rsidR="000D5A1E" w:rsidRPr="000D5A1E">
        <w:rPr>
          <w:rFonts w:asciiTheme="majorHAnsi" w:hAnsiTheme="majorHAnsi" w:cstheme="majorHAnsi"/>
          <w:color w:val="FF0000"/>
          <w:sz w:val="20"/>
          <w:szCs w:val="20"/>
        </w:rPr>
        <w:t>Perpetual-Sedimentation repository</w:t>
      </w:r>
      <w:r>
        <w:fldChar w:fldCharType="begin"/>
      </w:r>
      <w:r>
        <w:instrText>ADDIN EN.CITE &lt;EndNote&gt;&lt;Cite&gt;&lt;RecNum&gt;20&lt;/RecNum&gt;&lt;DisplayText&gt;&lt;style face="superscript"&gt;20&lt;/style&gt;&lt;/DisplayText&gt;&lt;record&gt;&lt;rec-number&gt;20&lt;/rec-number&gt;&lt;foreign-keys&gt;&lt;key app="EN" db-id="z029aav9tpap2jer9znvats5atxsrd90z9p5" timestamp="1565028446"&gt;20&lt;/key&gt;&lt;/foreign-keys&gt;&lt;ref-type name="Journal Article"&gt;17&lt;/ref-type&gt;&lt;contributors&gt;&lt;authors&gt;&lt;author&gt;perpetual-sedimentation.github.io&lt;/author&gt;&lt;/authors&gt;&lt;/contributors&gt;&lt;titles&gt;&lt;/titles&gt;&lt;dates&gt;&lt;/dates&gt;&lt;urls&gt;&lt;/urls&gt;&lt;/record&gt;&lt;/Cite&gt;&lt;/EndNote&gt;</w:instrText>
      </w:r>
      <w:r>
        <w:fldChar w:fldCharType="separate"/>
      </w:r>
      <w:bookmarkStart w:id="17" w:name="__Fieldmark__306_1976668701"/>
      <w:r>
        <w:rPr>
          <w:rFonts w:asciiTheme="majorHAnsi" w:hAnsiTheme="majorHAnsi" w:cstheme="majorHAnsi"/>
          <w:sz w:val="20"/>
          <w:szCs w:val="20"/>
          <w:vertAlign w:val="superscript"/>
        </w:rPr>
        <w:t>20</w:t>
      </w:r>
      <w:r>
        <w:fldChar w:fldCharType="end"/>
      </w:r>
      <w:bookmarkEnd w:id="17"/>
      <w:r>
        <w:rPr>
          <w:rFonts w:asciiTheme="majorHAnsi" w:hAnsiTheme="majorHAnsi" w:cstheme="majorHAnsi"/>
          <w:sz w:val="20"/>
          <w:szCs w:val="20"/>
        </w:rPr>
        <w:t xml:space="preserve"> for design files, instructions and operating code). To prevent cable and tubing entanglement the pumps rotate 360° and then reverse direction. A rotating microscope was also assembled to </w:t>
      </w:r>
      <w:r w:rsidR="001D744D">
        <w:rPr>
          <w:rFonts w:asciiTheme="majorHAnsi" w:hAnsiTheme="majorHAnsi" w:cstheme="majorHAnsi"/>
          <w:sz w:val="20"/>
          <w:szCs w:val="20"/>
        </w:rPr>
        <w:t>investigate</w:t>
      </w:r>
      <w:r>
        <w:rPr>
          <w:rFonts w:asciiTheme="majorHAnsi" w:hAnsiTheme="majorHAnsi" w:cstheme="majorHAnsi"/>
          <w:sz w:val="20"/>
          <w:szCs w:val="20"/>
        </w:rPr>
        <w:t xml:space="preserve"> particle behaviour within a rotating syringe mounted on the same axle. Microfluidic experiments used 5 mL syringes (12.07 mm ID). To measure particulate delivery a 95-mm-long Dean </w:t>
      </w:r>
      <w:proofErr w:type="gramStart"/>
      <w:r>
        <w:rPr>
          <w:rFonts w:asciiTheme="majorHAnsi" w:hAnsiTheme="majorHAnsi" w:cstheme="majorHAnsi"/>
          <w:sz w:val="20"/>
          <w:szCs w:val="20"/>
        </w:rPr>
        <w:t>entrainment</w:t>
      </w:r>
      <w:proofErr w:type="gramEnd"/>
      <w:r>
        <w:rPr>
          <w:rFonts w:asciiTheme="majorHAnsi" w:hAnsiTheme="majorHAnsi" w:cstheme="majorHAnsi"/>
          <w:sz w:val="20"/>
          <w:szCs w:val="20"/>
        </w:rPr>
        <w:t xml:space="preserve"> microchannel was used for periodic particle spacing and fabricated by soft lithography. This also demonstrates an application scenario requiring high-density particulate flows. A high-speed camera (Miro Lab310, Vision Research) was used to record entrainment and a bespoke intensity profile MATLAB code was used for automated image analysis. </w:t>
      </w:r>
      <w:bookmarkStart w:id="18" w:name="_GoBack"/>
      <w:bookmarkEnd w:id="18"/>
    </w:p>
    <w:p w:rsidR="003027A1" w:rsidRDefault="003027A1">
      <w:pPr>
        <w:spacing w:line="276" w:lineRule="auto"/>
        <w:jc w:val="both"/>
        <w:rPr>
          <w:rFonts w:asciiTheme="majorHAnsi" w:hAnsiTheme="majorHAnsi" w:cstheme="majorHAnsi"/>
          <w:sz w:val="20"/>
          <w:szCs w:val="20"/>
        </w:rPr>
      </w:pPr>
    </w:p>
    <w:p w:rsidR="003027A1" w:rsidRDefault="008D53D5">
      <w:pPr>
        <w:rPr>
          <w:rFonts w:asciiTheme="majorHAnsi" w:hAnsiTheme="majorHAnsi" w:cstheme="majorHAnsi"/>
          <w:b/>
          <w:sz w:val="28"/>
          <w:szCs w:val="28"/>
        </w:rPr>
      </w:pPr>
      <w:r>
        <w:rPr>
          <w:rFonts w:asciiTheme="majorHAnsi" w:hAnsiTheme="majorHAnsi" w:cstheme="majorHAnsi"/>
          <w:b/>
          <w:sz w:val="28"/>
          <w:szCs w:val="28"/>
        </w:rPr>
        <w:t>Results and Discussion</w:t>
      </w:r>
    </w:p>
    <w:p w:rsidR="003027A1" w:rsidRDefault="008D53D5">
      <w:pPr>
        <w:spacing w:line="276" w:lineRule="auto"/>
        <w:jc w:val="both"/>
        <w:rPr>
          <w:rFonts w:asciiTheme="majorHAnsi" w:hAnsiTheme="majorHAnsi" w:cstheme="majorHAnsi"/>
          <w:sz w:val="20"/>
          <w:szCs w:val="20"/>
        </w:rPr>
      </w:pPr>
      <w:r>
        <w:rPr>
          <w:rFonts w:asciiTheme="majorHAnsi" w:hAnsiTheme="majorHAnsi" w:cstheme="majorHAnsi"/>
          <w:sz w:val="20"/>
          <w:szCs w:val="20"/>
        </w:rPr>
        <w:t xml:space="preserve">The perpetual sedimentation concept is illustrated in Figure 1(A) and was </w:t>
      </w:r>
      <w:r w:rsidR="001D744D">
        <w:rPr>
          <w:rFonts w:asciiTheme="majorHAnsi" w:hAnsiTheme="majorHAnsi" w:cstheme="majorHAnsi"/>
          <w:sz w:val="20"/>
          <w:szCs w:val="20"/>
        </w:rPr>
        <w:t>demonstrated</w:t>
      </w:r>
      <w:r>
        <w:rPr>
          <w:rFonts w:asciiTheme="majorHAnsi" w:hAnsiTheme="majorHAnsi" w:cstheme="majorHAnsi"/>
          <w:sz w:val="20"/>
          <w:szCs w:val="20"/>
        </w:rPr>
        <w:t xml:space="preserve"> using an OI approach. This involved laser cutting 5-mm-thick PMMA sheets to provide a rapid means for the digital fabrication of sturdy parts, and once assembled orthogonal to the steel rod framework provides a robust assembly. In addition, the choice of off-the-shelf electronics allows inexpensive and reliable system control. </w:t>
      </w:r>
    </w:p>
    <w:p w:rsidR="003027A1" w:rsidRDefault="008D53D5">
      <w:pPr>
        <w:spacing w:line="276" w:lineRule="auto"/>
        <w:ind w:firstLine="720"/>
        <w:jc w:val="both"/>
        <w:rPr>
          <w:rFonts w:asciiTheme="majorHAnsi" w:hAnsiTheme="majorHAnsi" w:cstheme="majorHAnsi"/>
          <w:sz w:val="20"/>
          <w:szCs w:val="20"/>
        </w:rPr>
      </w:pPr>
      <w:r>
        <w:rPr>
          <w:rFonts w:asciiTheme="majorHAnsi" w:hAnsiTheme="majorHAnsi" w:cstheme="majorHAnsi"/>
          <w:sz w:val="20"/>
          <w:szCs w:val="20"/>
        </w:rPr>
        <w:t xml:space="preserve">The OI syringe pumps were characterised; the precision lead screw coupled with </w:t>
      </w:r>
      <w:proofErr w:type="spellStart"/>
      <w:r>
        <w:rPr>
          <w:rFonts w:asciiTheme="majorHAnsi" w:hAnsiTheme="majorHAnsi" w:cstheme="majorHAnsi"/>
          <w:sz w:val="20"/>
          <w:szCs w:val="20"/>
        </w:rPr>
        <w:t>microstepping</w:t>
      </w:r>
      <w:proofErr w:type="spellEnd"/>
      <w:r>
        <w:rPr>
          <w:rFonts w:asciiTheme="majorHAnsi" w:hAnsiTheme="majorHAnsi" w:cstheme="majorHAnsi"/>
          <w:sz w:val="20"/>
          <w:szCs w:val="20"/>
        </w:rPr>
        <w:t xml:space="preserve"> (1/16) enable the reliable and accurate delivery of desired flow rates (tested in the </w:t>
      </w:r>
      <w:r>
        <w:rPr>
          <w:rFonts w:ascii="Symbol" w:hAnsi="Symbol" w:cstheme="majorHAnsi"/>
          <w:sz w:val="20"/>
          <w:szCs w:val="20"/>
        </w:rPr>
        <w:t></w:t>
      </w:r>
      <w:r>
        <w:rPr>
          <w:rFonts w:asciiTheme="majorHAnsi" w:hAnsiTheme="majorHAnsi" w:cstheme="majorHAnsi"/>
          <w:sz w:val="20"/>
          <w:szCs w:val="20"/>
        </w:rPr>
        <w:t xml:space="preserve">L/min range) with performance equivalent to commercial pumps (see SI Fig. 3). For both open and commercial syringe pumps, stepper motor noise becomes increasingly evident at lower flow rates. However, in practice, dampening by the elastic polythene </w:t>
      </w:r>
      <w:r>
        <w:rPr>
          <w:rFonts w:asciiTheme="majorHAnsi" w:hAnsiTheme="majorHAnsi" w:cstheme="majorHAnsi"/>
          <w:sz w:val="20"/>
          <w:szCs w:val="20"/>
        </w:rPr>
        <w:lastRenderedPageBreak/>
        <w:t xml:space="preserve">tubing and PDMS materials enables the scalable kHz generation of droplets in the </w:t>
      </w:r>
      <w:proofErr w:type="spellStart"/>
      <w:r>
        <w:rPr>
          <w:rFonts w:asciiTheme="majorHAnsi" w:hAnsiTheme="majorHAnsi" w:cstheme="majorHAnsi"/>
          <w:sz w:val="20"/>
          <w:szCs w:val="20"/>
        </w:rPr>
        <w:t>nanolitre</w:t>
      </w:r>
      <w:proofErr w:type="spellEnd"/>
      <w:r>
        <w:rPr>
          <w:rFonts w:asciiTheme="majorHAnsi" w:hAnsiTheme="majorHAnsi" w:cstheme="majorHAnsi"/>
          <w:sz w:val="20"/>
          <w:szCs w:val="20"/>
        </w:rPr>
        <w:t xml:space="preserve"> to </w:t>
      </w:r>
      <w:proofErr w:type="spellStart"/>
      <w:r>
        <w:rPr>
          <w:rFonts w:asciiTheme="majorHAnsi" w:hAnsiTheme="majorHAnsi" w:cstheme="majorHAnsi"/>
          <w:sz w:val="20"/>
          <w:szCs w:val="20"/>
        </w:rPr>
        <w:t>femtolitre</w:t>
      </w:r>
      <w:proofErr w:type="spellEnd"/>
      <w:r>
        <w:rPr>
          <w:rFonts w:asciiTheme="majorHAnsi" w:hAnsiTheme="majorHAnsi" w:cstheme="majorHAnsi"/>
          <w:sz w:val="20"/>
          <w:szCs w:val="20"/>
        </w:rPr>
        <w:t xml:space="preserve"> range (see SI Fig 3). The pumps are also sufficiently powerful to manage a back pressure of 1,300 </w:t>
      </w:r>
      <w:proofErr w:type="spellStart"/>
      <w:r>
        <w:rPr>
          <w:rFonts w:asciiTheme="majorHAnsi" w:hAnsiTheme="majorHAnsi" w:cstheme="majorHAnsi"/>
          <w:sz w:val="20"/>
          <w:szCs w:val="20"/>
        </w:rPr>
        <w:t>kPa</w:t>
      </w:r>
      <w:proofErr w:type="spellEnd"/>
      <w:r>
        <w:rPr>
          <w:rFonts w:asciiTheme="majorHAnsi" w:hAnsiTheme="majorHAnsi" w:cstheme="majorHAnsi"/>
          <w:sz w:val="20"/>
          <w:szCs w:val="20"/>
        </w:rPr>
        <w:t xml:space="preserve"> when driving m/s flows of viscous fluid (50% (v/v) PEG3550), whereas the commercial pump was self-limited by flow rate to 950 </w:t>
      </w:r>
      <w:proofErr w:type="spellStart"/>
      <w:r>
        <w:rPr>
          <w:rFonts w:asciiTheme="majorHAnsi" w:hAnsiTheme="majorHAnsi" w:cstheme="majorHAnsi"/>
          <w:sz w:val="20"/>
          <w:szCs w:val="20"/>
        </w:rPr>
        <w:t>kPa</w:t>
      </w:r>
      <w:proofErr w:type="spellEnd"/>
      <w:r>
        <w:rPr>
          <w:rFonts w:asciiTheme="majorHAnsi" w:hAnsiTheme="majorHAnsi" w:cstheme="majorHAnsi"/>
          <w:sz w:val="20"/>
          <w:szCs w:val="20"/>
        </w:rPr>
        <w:t xml:space="preserve">. At pressures above 1,300 </w:t>
      </w:r>
      <w:proofErr w:type="spellStart"/>
      <w:r>
        <w:rPr>
          <w:rFonts w:asciiTheme="majorHAnsi" w:hAnsiTheme="majorHAnsi" w:cstheme="majorHAnsi"/>
          <w:sz w:val="20"/>
          <w:szCs w:val="20"/>
        </w:rPr>
        <w:t>kPa</w:t>
      </w:r>
      <w:proofErr w:type="spellEnd"/>
      <w:r>
        <w:rPr>
          <w:rFonts w:asciiTheme="majorHAnsi" w:hAnsiTheme="majorHAnsi" w:cstheme="majorHAnsi"/>
          <w:sz w:val="20"/>
          <w:szCs w:val="20"/>
        </w:rPr>
        <w:t xml:space="preserve"> </w:t>
      </w:r>
      <w:proofErr w:type="gramStart"/>
      <w:r>
        <w:rPr>
          <w:rFonts w:asciiTheme="majorHAnsi" w:hAnsiTheme="majorHAnsi" w:cstheme="majorHAnsi"/>
          <w:sz w:val="20"/>
          <w:szCs w:val="20"/>
        </w:rPr>
        <w:t>the interconnect</w:t>
      </w:r>
      <w:proofErr w:type="gramEnd"/>
      <w:r>
        <w:rPr>
          <w:rFonts w:asciiTheme="majorHAnsi" w:hAnsiTheme="majorHAnsi" w:cstheme="majorHAnsi"/>
          <w:sz w:val="20"/>
          <w:szCs w:val="20"/>
        </w:rPr>
        <w:t xml:space="preserve"> failed.</w:t>
      </w:r>
    </w:p>
    <w:p w:rsidR="003027A1" w:rsidRDefault="003027A1">
      <w:pPr>
        <w:rPr>
          <w:rFonts w:asciiTheme="majorHAnsi" w:hAnsiTheme="majorHAnsi" w:cstheme="majorHAnsi"/>
          <w:b/>
          <w:sz w:val="18"/>
          <w:szCs w:val="18"/>
        </w:rPr>
      </w:pPr>
    </w:p>
    <w:p w:rsidR="003027A1" w:rsidRDefault="008D53D5">
      <w:pPr>
        <w:rPr>
          <w:rFonts w:asciiTheme="majorHAnsi" w:hAnsiTheme="majorHAnsi" w:cstheme="majorHAnsi"/>
          <w:b/>
          <w:sz w:val="18"/>
          <w:szCs w:val="18"/>
        </w:rPr>
      </w:pPr>
      <w:r>
        <w:rPr>
          <w:noProof/>
          <w:lang w:eastAsia="en-GB"/>
        </w:rPr>
        <w:drawing>
          <wp:inline distT="0" distB="5080" distL="0" distR="0">
            <wp:extent cx="2915285" cy="27006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6"/>
                    <a:stretch>
                      <a:fillRect/>
                    </a:stretch>
                  </pic:blipFill>
                  <pic:spPr bwMode="auto">
                    <a:xfrm>
                      <a:off x="0" y="0"/>
                      <a:ext cx="2915285" cy="2700655"/>
                    </a:xfrm>
                    <a:prstGeom prst="rect">
                      <a:avLst/>
                    </a:prstGeom>
                  </pic:spPr>
                </pic:pic>
              </a:graphicData>
            </a:graphic>
          </wp:inline>
        </w:drawing>
      </w:r>
    </w:p>
    <w:p w:rsidR="003027A1" w:rsidRPr="00DA47EA" w:rsidRDefault="008D53D5">
      <w:pPr>
        <w:jc w:val="both"/>
        <w:rPr>
          <w:rFonts w:asciiTheme="majorHAnsi" w:hAnsiTheme="majorHAnsi" w:cstheme="majorHAnsi"/>
          <w:color w:val="000000" w:themeColor="text1"/>
          <w:sz w:val="18"/>
          <w:szCs w:val="18"/>
        </w:rPr>
      </w:pPr>
      <w:r>
        <w:rPr>
          <w:rFonts w:asciiTheme="majorHAnsi" w:hAnsiTheme="majorHAnsi" w:cstheme="majorHAnsi"/>
          <w:b/>
          <w:sz w:val="18"/>
          <w:szCs w:val="18"/>
        </w:rPr>
        <w:t>Figure 1.</w:t>
      </w:r>
      <w:r>
        <w:rPr>
          <w:rFonts w:asciiTheme="majorHAnsi" w:hAnsiTheme="majorHAnsi" w:cstheme="majorHAnsi"/>
          <w:sz w:val="18"/>
          <w:szCs w:val="18"/>
        </w:rPr>
        <w:t xml:space="preserve"> The PS concept illustrated with orbit sequences for 10- (red), 20- (blue) and 30-</w:t>
      </w:r>
      <w:r>
        <w:rPr>
          <w:rFonts w:ascii="Symbol" w:hAnsi="Symbol" w:cstheme="majorHAnsi"/>
          <w:sz w:val="18"/>
          <w:szCs w:val="18"/>
        </w:rPr>
        <w:t></w:t>
      </w:r>
      <w:r>
        <w:rPr>
          <w:rFonts w:asciiTheme="majorHAnsi" w:hAnsiTheme="majorHAnsi" w:cstheme="majorHAnsi"/>
          <w:sz w:val="18"/>
          <w:szCs w:val="18"/>
        </w:rPr>
        <w:t>m-diameter (green) particles within the cross section of a syringe (grey) (A). The PS pump prototype with key components identifi</w:t>
      </w:r>
      <w:r w:rsidRPr="00DA47EA">
        <w:rPr>
          <w:rFonts w:asciiTheme="majorHAnsi" w:hAnsiTheme="majorHAnsi" w:cstheme="majorHAnsi"/>
          <w:color w:val="000000" w:themeColor="text1"/>
          <w:sz w:val="18"/>
          <w:szCs w:val="18"/>
        </w:rPr>
        <w:t>ed. Motion is indicated using blue lines; linear displacement by rotation of the lead screw through the locking bushing nut for fluid delivery, and driving gear wheel rotation (anti-clockwise) to rotate the syringe pump gear wheel (clockwise) (B). The driving gear wheel from the chassis is illustrated, but other components (</w:t>
      </w:r>
      <w:r w:rsidRPr="00DA47EA">
        <w:rPr>
          <w:rFonts w:asciiTheme="majorHAnsi" w:hAnsiTheme="majorHAnsi" w:cstheme="majorHAnsi"/>
          <w:i/>
          <w:color w:val="000000" w:themeColor="text1"/>
          <w:sz w:val="18"/>
          <w:szCs w:val="18"/>
        </w:rPr>
        <w:t xml:space="preserve">e.g. </w:t>
      </w:r>
      <w:r w:rsidRPr="00DA47EA">
        <w:rPr>
          <w:rFonts w:asciiTheme="majorHAnsi" w:hAnsiTheme="majorHAnsi" w:cstheme="majorHAnsi"/>
          <w:color w:val="000000" w:themeColor="text1"/>
          <w:sz w:val="18"/>
          <w:szCs w:val="18"/>
        </w:rPr>
        <w:t>ball bearings) are omitted for simplicity.</w:t>
      </w:r>
    </w:p>
    <w:p w:rsidR="003027A1" w:rsidRPr="00DA47EA" w:rsidRDefault="003027A1">
      <w:pPr>
        <w:spacing w:line="276" w:lineRule="auto"/>
        <w:ind w:firstLine="720"/>
        <w:jc w:val="both"/>
        <w:rPr>
          <w:rFonts w:asciiTheme="majorHAnsi" w:hAnsiTheme="majorHAnsi" w:cstheme="majorHAnsi"/>
          <w:color w:val="000000" w:themeColor="text1"/>
          <w:sz w:val="20"/>
          <w:szCs w:val="20"/>
        </w:rPr>
      </w:pPr>
    </w:p>
    <w:p w:rsidR="003027A1" w:rsidRDefault="008D53D5">
      <w:pPr>
        <w:spacing w:line="276" w:lineRule="auto"/>
        <w:ind w:firstLine="720"/>
        <w:jc w:val="both"/>
        <w:rPr>
          <w:rFonts w:asciiTheme="majorHAnsi" w:hAnsiTheme="majorHAnsi"/>
          <w:sz w:val="20"/>
          <w:szCs w:val="20"/>
        </w:rPr>
      </w:pPr>
      <w:r w:rsidRPr="00DA47EA">
        <w:rPr>
          <w:rFonts w:asciiTheme="majorHAnsi" w:hAnsiTheme="majorHAnsi" w:cstheme="majorHAnsi"/>
          <w:color w:val="000000" w:themeColor="text1"/>
          <w:sz w:val="20"/>
          <w:szCs w:val="20"/>
        </w:rPr>
        <w:t>A PS system comprising three independent pumps was developed for demanding Drop-</w:t>
      </w:r>
      <w:proofErr w:type="spellStart"/>
      <w:r w:rsidRPr="00DA47EA">
        <w:rPr>
          <w:rFonts w:asciiTheme="majorHAnsi" w:hAnsiTheme="majorHAnsi" w:cstheme="majorHAnsi"/>
          <w:color w:val="000000" w:themeColor="text1"/>
          <w:sz w:val="20"/>
          <w:szCs w:val="20"/>
        </w:rPr>
        <w:t>seq</w:t>
      </w:r>
      <w:proofErr w:type="spellEnd"/>
      <w:r w:rsidRPr="00DA47EA">
        <w:rPr>
          <w:rFonts w:asciiTheme="majorHAnsi" w:hAnsiTheme="majorHAnsi" w:cstheme="majorHAnsi"/>
          <w:color w:val="000000" w:themeColor="text1"/>
          <w:sz w:val="20"/>
          <w:szCs w:val="20"/>
        </w:rPr>
        <w:t xml:space="preserve"> experiments requiring two rotating syringe pumps for the gentle and continuous delivery of transcriptome reporter beads and cells, and a third static </w:t>
      </w:r>
      <w:r w:rsidR="001D744D">
        <w:rPr>
          <w:rFonts w:asciiTheme="majorHAnsi" w:hAnsiTheme="majorHAnsi" w:cstheme="majorHAnsi"/>
          <w:color w:val="000000" w:themeColor="text1"/>
          <w:sz w:val="20"/>
          <w:szCs w:val="20"/>
        </w:rPr>
        <w:t xml:space="preserve">syringe </w:t>
      </w:r>
      <w:r w:rsidRPr="00DA47EA">
        <w:rPr>
          <w:rFonts w:asciiTheme="majorHAnsi" w:hAnsiTheme="majorHAnsi" w:cstheme="majorHAnsi"/>
          <w:color w:val="000000" w:themeColor="text1"/>
          <w:sz w:val="20"/>
          <w:szCs w:val="20"/>
        </w:rPr>
        <w:t xml:space="preserve">pump for delivery of the carrier oil (see SI Fig. 1 and 2). Illustrated in Figure 1(B) the pumps have a central gear wheel that couples to a stepper motor to achieve rotation. The powerful NEMA17 motor (54 N.cm holding torque; 1/8 </w:t>
      </w:r>
      <w:proofErr w:type="spellStart"/>
      <w:r w:rsidRPr="00DA47EA">
        <w:rPr>
          <w:rFonts w:asciiTheme="majorHAnsi" w:hAnsiTheme="majorHAnsi" w:cstheme="majorHAnsi"/>
          <w:color w:val="000000" w:themeColor="text1"/>
          <w:sz w:val="20"/>
          <w:szCs w:val="20"/>
        </w:rPr>
        <w:t>microstepping</w:t>
      </w:r>
      <w:proofErr w:type="spellEnd"/>
      <w:r w:rsidRPr="00DA47EA">
        <w:rPr>
          <w:rFonts w:asciiTheme="majorHAnsi" w:hAnsiTheme="majorHAnsi" w:cstheme="majorHAnsi"/>
          <w:color w:val="000000" w:themeColor="text1"/>
          <w:sz w:val="20"/>
          <w:szCs w:val="20"/>
        </w:rPr>
        <w:t xml:space="preserve">) readily manages the rotation of two syringe pumps at 0.05–0.5 Hz (3–30 rpm; see SI MOV1 for rotation of the lead screw for syringe displacement (200 </w:t>
      </w:r>
      <w:r w:rsidRPr="00DA47EA">
        <w:rPr>
          <w:rFonts w:ascii="Symbol" w:hAnsi="Symbol" w:cstheme="majorHAnsi"/>
          <w:color w:val="000000" w:themeColor="text1"/>
          <w:sz w:val="20"/>
          <w:szCs w:val="20"/>
        </w:rPr>
        <w:t></w:t>
      </w:r>
      <w:r w:rsidRPr="00DA47EA">
        <w:rPr>
          <w:rFonts w:asciiTheme="majorHAnsi" w:hAnsiTheme="majorHAnsi" w:cstheme="majorHAnsi"/>
          <w:color w:val="000000" w:themeColor="text1"/>
          <w:sz w:val="20"/>
          <w:szCs w:val="20"/>
        </w:rPr>
        <w:t xml:space="preserve">L/min) and </w:t>
      </w:r>
      <w:r w:rsidR="001D744D">
        <w:rPr>
          <w:rFonts w:asciiTheme="majorHAnsi" w:hAnsiTheme="majorHAnsi" w:cstheme="majorHAnsi"/>
          <w:color w:val="000000" w:themeColor="text1"/>
          <w:sz w:val="20"/>
          <w:szCs w:val="20"/>
        </w:rPr>
        <w:t xml:space="preserve">0.2 Hz </w:t>
      </w:r>
      <w:r w:rsidRPr="00DA47EA">
        <w:rPr>
          <w:rFonts w:asciiTheme="majorHAnsi" w:hAnsiTheme="majorHAnsi" w:cstheme="majorHAnsi"/>
          <w:color w:val="000000" w:themeColor="text1"/>
          <w:sz w:val="20"/>
          <w:szCs w:val="20"/>
        </w:rPr>
        <w:t xml:space="preserve">rotation of syringe pumps themselves). </w:t>
      </w:r>
      <w:r>
        <w:rPr>
          <w:rFonts w:asciiTheme="majorHAnsi" w:hAnsiTheme="majorHAnsi" w:cstheme="majorHAnsi"/>
          <w:sz w:val="20"/>
          <w:szCs w:val="20"/>
        </w:rPr>
        <w:t>Stepper motor noise and vibration become evident at lower and higher frequencies, respectively. The complete assembly with 3 independent pumps is inexpensive (~£400), lightweight (4.45 kg) and compact (</w:t>
      </w:r>
      <w:r>
        <w:rPr>
          <w:rFonts w:asciiTheme="majorHAnsi" w:hAnsiTheme="majorHAnsi"/>
          <w:sz w:val="20"/>
          <w:szCs w:val="20"/>
        </w:rPr>
        <w:t xml:space="preserve">333x277x155 mm; </w:t>
      </w:r>
      <w:r>
        <w:rPr>
          <w:rFonts w:asciiTheme="majorHAnsi" w:hAnsiTheme="majorHAnsi"/>
          <w:i/>
          <w:sz w:val="20"/>
          <w:szCs w:val="20"/>
        </w:rPr>
        <w:t xml:space="preserve">l </w:t>
      </w:r>
      <w:r>
        <w:rPr>
          <w:rFonts w:asciiTheme="majorHAnsi" w:hAnsiTheme="majorHAnsi"/>
          <w:sz w:val="20"/>
          <w:szCs w:val="20"/>
        </w:rPr>
        <w:t xml:space="preserve">x </w:t>
      </w:r>
      <w:r>
        <w:rPr>
          <w:rFonts w:asciiTheme="majorHAnsi" w:hAnsiTheme="majorHAnsi"/>
          <w:i/>
          <w:sz w:val="20"/>
          <w:szCs w:val="20"/>
        </w:rPr>
        <w:t xml:space="preserve">d </w:t>
      </w:r>
      <w:r>
        <w:rPr>
          <w:rFonts w:asciiTheme="majorHAnsi" w:hAnsiTheme="majorHAnsi"/>
          <w:sz w:val="20"/>
          <w:szCs w:val="20"/>
        </w:rPr>
        <w:t xml:space="preserve">x </w:t>
      </w:r>
      <w:r>
        <w:rPr>
          <w:rFonts w:asciiTheme="majorHAnsi" w:hAnsiTheme="majorHAnsi"/>
          <w:i/>
          <w:sz w:val="20"/>
          <w:szCs w:val="20"/>
        </w:rPr>
        <w:t>h</w:t>
      </w:r>
      <w:r>
        <w:rPr>
          <w:rFonts w:asciiTheme="majorHAnsi" w:hAnsiTheme="majorHAnsi"/>
          <w:sz w:val="20"/>
          <w:szCs w:val="20"/>
        </w:rPr>
        <w:t>), suitable for inclusion in the vast majority of microfluidics applications. Equivalent performance typically requires three single commercial pumps (</w:t>
      </w:r>
      <w:r>
        <w:rPr>
          <w:rFonts w:asciiTheme="majorHAnsi" w:hAnsiTheme="majorHAnsi"/>
          <w:i/>
          <w:sz w:val="20"/>
          <w:szCs w:val="20"/>
        </w:rPr>
        <w:t xml:space="preserve">e.g. </w:t>
      </w:r>
      <w:proofErr w:type="spellStart"/>
      <w:r>
        <w:rPr>
          <w:rFonts w:asciiTheme="majorHAnsi" w:hAnsiTheme="majorHAnsi"/>
          <w:sz w:val="20"/>
          <w:szCs w:val="20"/>
        </w:rPr>
        <w:t>Chemyx</w:t>
      </w:r>
      <w:proofErr w:type="spellEnd"/>
      <w:r>
        <w:rPr>
          <w:rFonts w:asciiTheme="majorHAnsi" w:hAnsiTheme="majorHAnsi"/>
          <w:sz w:val="20"/>
          <w:szCs w:val="20"/>
        </w:rPr>
        <w:t xml:space="preserve"> 100)</w:t>
      </w:r>
      <w:r w:rsidR="001D744D">
        <w:rPr>
          <w:rFonts w:asciiTheme="majorHAnsi" w:hAnsiTheme="majorHAnsi"/>
          <w:sz w:val="20"/>
          <w:szCs w:val="20"/>
        </w:rPr>
        <w:t>,</w:t>
      </w:r>
      <w:r>
        <w:rPr>
          <w:rFonts w:asciiTheme="majorHAnsi" w:hAnsiTheme="majorHAnsi"/>
          <w:sz w:val="20"/>
          <w:szCs w:val="20"/>
        </w:rPr>
        <w:t xml:space="preserve"> each costing ~£1,500, weighing 2.94 kg and being 240x170x110 mm in size.</w:t>
      </w:r>
    </w:p>
    <w:p w:rsidR="003027A1" w:rsidRDefault="008D53D5">
      <w:pPr>
        <w:spacing w:line="276" w:lineRule="auto"/>
        <w:ind w:firstLine="720"/>
        <w:jc w:val="both"/>
        <w:rPr>
          <w:rFonts w:asciiTheme="majorHAnsi" w:hAnsiTheme="majorHAnsi" w:cstheme="majorHAnsi"/>
          <w:color w:val="FF0000"/>
          <w:sz w:val="20"/>
          <w:szCs w:val="20"/>
        </w:rPr>
      </w:pPr>
      <w:r>
        <w:rPr>
          <w:rFonts w:asciiTheme="majorHAnsi" w:hAnsiTheme="majorHAnsi" w:cstheme="majorHAnsi"/>
          <w:sz w:val="20"/>
          <w:szCs w:val="20"/>
        </w:rPr>
        <w:t>The PS concept considers that syringe rotation produces rotating fluid films and during a revolution the particulates continuously sediment relative to the fluid. As a result the particles experience a millimetre-scale rotation path superimposed with a gravity-defined orbit. This approach acts on all particles within the syringe, is gentle and indiscriminate of the nature of the particle. To gain a better understanding of the particle transport phenomena, an on-board rotating microscope was assembled (see SI Fig. 4). The liquid is viscously coupled to the syringe wall, initially lagging the wall velocity before attaining steady state radial velocity by 3 rotations after which the effects of sedimentation can be accurately measured. As expected, the orbital radius of 30-</w:t>
      </w:r>
      <w:r>
        <w:rPr>
          <w:rFonts w:ascii="Symbol" w:hAnsi="Symbol" w:cstheme="majorHAnsi"/>
          <w:sz w:val="20"/>
          <w:szCs w:val="20"/>
        </w:rPr>
        <w:t></w:t>
      </w:r>
      <w:r>
        <w:rPr>
          <w:rFonts w:asciiTheme="majorHAnsi" w:hAnsiTheme="majorHAnsi" w:cstheme="majorHAnsi"/>
          <w:sz w:val="20"/>
          <w:szCs w:val="20"/>
        </w:rPr>
        <w:t xml:space="preserve">m-diameter particles decreases with rotation frequency, from 218 </w:t>
      </w:r>
      <w:r>
        <w:rPr>
          <w:rFonts w:ascii="Symbol" w:hAnsi="Symbol" w:cstheme="majorHAnsi"/>
          <w:sz w:val="20"/>
          <w:szCs w:val="20"/>
        </w:rPr>
        <w:t></w:t>
      </w:r>
      <w:r>
        <w:rPr>
          <w:rFonts w:asciiTheme="majorHAnsi" w:hAnsiTheme="majorHAnsi" w:cstheme="majorHAnsi"/>
          <w:sz w:val="20"/>
          <w:szCs w:val="20"/>
        </w:rPr>
        <w:t xml:space="preserve">m at 0.1 Hz (6 rpm) to 55 </w:t>
      </w:r>
      <w:r>
        <w:rPr>
          <w:rFonts w:ascii="Symbol" w:hAnsi="Symbol" w:cstheme="majorHAnsi"/>
          <w:sz w:val="20"/>
          <w:szCs w:val="20"/>
        </w:rPr>
        <w:t></w:t>
      </w:r>
      <w:r>
        <w:rPr>
          <w:rFonts w:asciiTheme="majorHAnsi" w:hAnsiTheme="majorHAnsi" w:cstheme="majorHAnsi"/>
          <w:sz w:val="20"/>
          <w:szCs w:val="20"/>
        </w:rPr>
        <w:t xml:space="preserve">m at 0.5 Hz (30 rpm) (Figure 2A and 2B). These orbit scales indicate the 0.1 Hz–0.5 Hz rotation frequencies are adequate for the 12.07 mm ID </w:t>
      </w:r>
      <w:r>
        <w:rPr>
          <w:rFonts w:asciiTheme="majorHAnsi" w:hAnsiTheme="majorHAnsi" w:cstheme="majorHAnsi"/>
          <w:sz w:val="20"/>
          <w:szCs w:val="20"/>
        </w:rPr>
        <w:lastRenderedPageBreak/>
        <w:t xml:space="preserve">syringe. Lower frequencies allow further contact with the syringe wall, risking particle depletion. Considering the net displacement velocity, a particle falls 79 </w:t>
      </w:r>
      <w:r>
        <w:rPr>
          <w:rFonts w:ascii="Symbol" w:hAnsi="Symbol" w:cstheme="majorHAnsi"/>
          <w:sz w:val="20"/>
          <w:szCs w:val="20"/>
        </w:rPr>
        <w:t></w:t>
      </w:r>
      <w:r>
        <w:rPr>
          <w:rFonts w:asciiTheme="majorHAnsi" w:hAnsiTheme="majorHAnsi" w:cstheme="majorHAnsi"/>
          <w:sz w:val="20"/>
          <w:szCs w:val="20"/>
        </w:rPr>
        <w:t>m/s due to gravity alone whereas all rotation frequencies tested produce net displacement velocities close to zero (Figure 2C). In practice, rotation is reversed every 360° to avoid tubing entanglement. As shown in SI Figure 5, acceleration and deceleration prevent the fluid from matching the syringe radial velocity to hinder the accurate measurement of gravity directed orbits. Either way, PS allows particles to remain suspended throughout microfluidic experiments allowing, for example,</w:t>
      </w:r>
      <w:r>
        <w:rPr>
          <w:rFonts w:asciiTheme="majorHAnsi" w:hAnsiTheme="majorHAnsi" w:cstheme="majorHAnsi"/>
          <w:color w:val="FF0000"/>
          <w:sz w:val="20"/>
          <w:szCs w:val="20"/>
        </w:rPr>
        <w:t xml:space="preserve"> </w:t>
      </w:r>
      <w:r w:rsidRPr="00DA47EA">
        <w:rPr>
          <w:rFonts w:asciiTheme="majorHAnsi" w:hAnsiTheme="majorHAnsi" w:cstheme="majorHAnsi"/>
          <w:color w:val="000000" w:themeColor="text1"/>
          <w:sz w:val="20"/>
          <w:szCs w:val="20"/>
        </w:rPr>
        <w:t xml:space="preserve">continuous Dean </w:t>
      </w:r>
      <w:proofErr w:type="gramStart"/>
      <w:r w:rsidRPr="00DA47EA">
        <w:rPr>
          <w:rFonts w:asciiTheme="majorHAnsi" w:hAnsiTheme="majorHAnsi" w:cstheme="majorHAnsi"/>
          <w:color w:val="000000" w:themeColor="text1"/>
          <w:sz w:val="20"/>
          <w:szCs w:val="20"/>
        </w:rPr>
        <w:t>entrainment</w:t>
      </w:r>
      <w:proofErr w:type="gramEnd"/>
      <w:r w:rsidRPr="00DA47EA">
        <w:rPr>
          <w:rFonts w:asciiTheme="majorHAnsi" w:hAnsiTheme="majorHAnsi" w:cstheme="majorHAnsi"/>
          <w:color w:val="000000" w:themeColor="text1"/>
          <w:sz w:val="20"/>
          <w:szCs w:val="20"/>
        </w:rPr>
        <w:t xml:space="preserve"> for the efficient co-encapsulation of single cells with transcriptome reporter beads. </w:t>
      </w:r>
    </w:p>
    <w:p w:rsidR="003027A1" w:rsidRDefault="00DA47EA">
      <w:pPr>
        <w:spacing w:line="276" w:lineRule="auto"/>
        <w:jc w:val="both"/>
        <w:rPr>
          <w:rFonts w:asciiTheme="majorHAnsi" w:hAnsiTheme="majorHAnsi" w:cstheme="majorHAnsi"/>
          <w:color w:val="FF0000"/>
          <w:sz w:val="20"/>
          <w:szCs w:val="20"/>
        </w:rPr>
      </w:pPr>
      <w:r>
        <w:rPr>
          <w:rFonts w:asciiTheme="majorHAnsi" w:hAnsiTheme="majorHAnsi" w:cstheme="majorHAnsi"/>
          <w:noProof/>
          <w:color w:val="FF0000"/>
          <w:sz w:val="20"/>
          <w:szCs w:val="20"/>
          <w:lang w:eastAsia="en-GB"/>
        </w:rPr>
        <w:drawing>
          <wp:inline distT="0" distB="0" distL="0" distR="0">
            <wp:extent cx="2988564" cy="539953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_FINAL_v4.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8564" cy="5399532"/>
                    </a:xfrm>
                    <a:prstGeom prst="rect">
                      <a:avLst/>
                    </a:prstGeom>
                  </pic:spPr>
                </pic:pic>
              </a:graphicData>
            </a:graphic>
          </wp:inline>
        </w:drawing>
      </w:r>
    </w:p>
    <w:p w:rsidR="003027A1" w:rsidRDefault="008D53D5">
      <w:pPr>
        <w:jc w:val="both"/>
        <w:rPr>
          <w:rFonts w:asciiTheme="majorHAnsi" w:hAnsiTheme="majorHAnsi" w:cstheme="majorHAnsi"/>
          <w:sz w:val="18"/>
          <w:szCs w:val="18"/>
        </w:rPr>
      </w:pPr>
      <w:r>
        <w:rPr>
          <w:rFonts w:asciiTheme="majorHAnsi" w:hAnsiTheme="majorHAnsi" w:cstheme="majorHAnsi"/>
          <w:b/>
          <w:sz w:val="18"/>
          <w:szCs w:val="18"/>
        </w:rPr>
        <w:t>Figure 2.</w:t>
      </w:r>
      <w:r>
        <w:rPr>
          <w:rFonts w:asciiTheme="majorHAnsi" w:hAnsiTheme="majorHAnsi" w:cstheme="majorHAnsi"/>
          <w:sz w:val="18"/>
          <w:szCs w:val="18"/>
        </w:rPr>
        <w:t xml:space="preserve"> </w:t>
      </w:r>
      <w:proofErr w:type="spellStart"/>
      <w:r>
        <w:rPr>
          <w:rFonts w:asciiTheme="majorHAnsi" w:hAnsiTheme="majorHAnsi" w:cstheme="majorHAnsi"/>
          <w:sz w:val="18"/>
          <w:szCs w:val="18"/>
        </w:rPr>
        <w:t>Brightfield</w:t>
      </w:r>
      <w:proofErr w:type="spellEnd"/>
      <w:r>
        <w:rPr>
          <w:rFonts w:asciiTheme="majorHAnsi" w:hAnsiTheme="majorHAnsi" w:cstheme="majorHAnsi"/>
          <w:sz w:val="18"/>
          <w:szCs w:val="18"/>
        </w:rPr>
        <w:t xml:space="preserve"> images of 30-</w:t>
      </w:r>
      <w:r>
        <w:rPr>
          <w:rFonts w:ascii="Symbol" w:hAnsi="Symbol" w:cstheme="majorHAnsi"/>
          <w:sz w:val="18"/>
          <w:szCs w:val="18"/>
        </w:rPr>
        <w:t></w:t>
      </w:r>
      <w:r>
        <w:rPr>
          <w:rFonts w:asciiTheme="majorHAnsi" w:hAnsiTheme="majorHAnsi" w:cstheme="majorHAnsi"/>
          <w:sz w:val="18"/>
          <w:szCs w:val="18"/>
        </w:rPr>
        <w:t xml:space="preserve">m-diameter particle orbits processed using </w:t>
      </w:r>
      <w:proofErr w:type="spellStart"/>
      <w:r>
        <w:rPr>
          <w:rFonts w:asciiTheme="majorHAnsi" w:hAnsiTheme="majorHAnsi" w:cstheme="majorHAnsi"/>
          <w:sz w:val="18"/>
          <w:szCs w:val="18"/>
        </w:rPr>
        <w:t>ImageJ</w:t>
      </w:r>
      <w:proofErr w:type="spellEnd"/>
      <w:r>
        <w:rPr>
          <w:rFonts w:asciiTheme="majorHAnsi" w:hAnsiTheme="majorHAnsi" w:cstheme="majorHAnsi"/>
          <w:sz w:val="18"/>
          <w:szCs w:val="18"/>
        </w:rPr>
        <w:t xml:space="preserve"> (see SI). A heat map was superimposed on single orbits to confirm the transport path for 0.1–0.5 Hz rotation frequencies and compared with sedimentation without rotation (A). The orbit radius decreases with rotation frequency (mean and standard deviation of 10–21 particles with 46–100 data points per orbit (</w:t>
      </w:r>
      <w:r w:rsidR="00680DD5">
        <w:rPr>
          <w:rFonts w:asciiTheme="majorHAnsi" w:hAnsiTheme="majorHAnsi" w:cstheme="majorHAnsi"/>
          <w:sz w:val="18"/>
          <w:szCs w:val="18"/>
        </w:rPr>
        <w:t>green</w:t>
      </w:r>
      <w:r w:rsidRPr="00DA47EA">
        <w:rPr>
          <w:rFonts w:asciiTheme="majorHAnsi" w:hAnsiTheme="majorHAnsi" w:cstheme="majorHAnsi"/>
          <w:color w:val="000000" w:themeColor="text1"/>
          <w:sz w:val="18"/>
          <w:szCs w:val="18"/>
        </w:rPr>
        <w:t>))</w:t>
      </w:r>
      <w:r w:rsidR="00680DD5" w:rsidRPr="00DA47EA">
        <w:rPr>
          <w:rFonts w:asciiTheme="majorHAnsi" w:hAnsiTheme="majorHAnsi" w:cstheme="majorHAnsi"/>
          <w:color w:val="000000" w:themeColor="text1"/>
          <w:sz w:val="18"/>
          <w:szCs w:val="18"/>
        </w:rPr>
        <w:t xml:space="preserve"> with close agreement to theory (blue) (B)</w:t>
      </w:r>
      <w:r w:rsidRPr="00DA47EA">
        <w:rPr>
          <w:rFonts w:asciiTheme="majorHAnsi" w:hAnsiTheme="majorHAnsi" w:cstheme="majorHAnsi"/>
          <w:color w:val="000000" w:themeColor="text1"/>
          <w:sz w:val="18"/>
          <w:szCs w:val="18"/>
        </w:rPr>
        <w:t xml:space="preserve">. The </w:t>
      </w:r>
      <w:r>
        <w:rPr>
          <w:rFonts w:asciiTheme="majorHAnsi" w:hAnsiTheme="majorHAnsi" w:cstheme="majorHAnsi"/>
          <w:sz w:val="18"/>
          <w:szCs w:val="18"/>
        </w:rPr>
        <w:t>net particle displacement velocity resulting from sedimentation alone (red) is compared with displacements during rotation (mean and standard deviation from 10–21 particles for each condition (C)).</w:t>
      </w:r>
    </w:p>
    <w:p w:rsidR="003027A1" w:rsidRPr="00DA47EA" w:rsidRDefault="00680DD5" w:rsidP="001B7702">
      <w:pPr>
        <w:spacing w:line="276" w:lineRule="auto"/>
        <w:ind w:firstLine="720"/>
        <w:jc w:val="both"/>
        <w:rPr>
          <w:color w:val="000000" w:themeColor="text1"/>
        </w:rPr>
      </w:pPr>
      <w:r w:rsidRPr="00DA47EA">
        <w:rPr>
          <w:rFonts w:asciiTheme="majorHAnsi" w:hAnsiTheme="majorHAnsi" w:cstheme="majorHAnsi"/>
          <w:color w:val="000000" w:themeColor="text1"/>
          <w:sz w:val="20"/>
          <w:szCs w:val="20"/>
        </w:rPr>
        <w:t xml:space="preserve">In this study we have used polystyrene and magnetic particles along with mammalian cells to evaluate the benefits of perpetual sedimentation for the continuous delivery of particulate suspensions to microfluidic processors. To inform suitability for other common microfluidic applications involving a </w:t>
      </w:r>
      <w:r w:rsidR="00091035" w:rsidRPr="00DA47EA">
        <w:rPr>
          <w:rFonts w:asciiTheme="majorHAnsi" w:hAnsiTheme="majorHAnsi" w:cstheme="majorHAnsi"/>
          <w:color w:val="000000" w:themeColor="text1"/>
          <w:sz w:val="20"/>
          <w:szCs w:val="20"/>
        </w:rPr>
        <w:t>range</w:t>
      </w:r>
      <w:r w:rsidRPr="00DA47EA">
        <w:rPr>
          <w:rFonts w:asciiTheme="majorHAnsi" w:hAnsiTheme="majorHAnsi" w:cstheme="majorHAnsi"/>
          <w:color w:val="000000" w:themeColor="text1"/>
          <w:sz w:val="20"/>
          <w:szCs w:val="20"/>
        </w:rPr>
        <w:t xml:space="preserve"> of particle scales and density dissimilarities we have provided a sedimentation/buoyancy velocity list (SI Table). To estimate suitable rotation frequencies required to limit wall contact (risk depletion) the scale of the particle orbits can be calculated </w:t>
      </w:r>
      <w:r w:rsidRPr="00DA47EA">
        <w:rPr>
          <w:rFonts w:asciiTheme="majorHAnsi" w:hAnsiTheme="majorHAnsi" w:cstheme="majorHAnsi"/>
          <w:color w:val="000000" w:themeColor="text1"/>
          <w:sz w:val="20"/>
          <w:szCs w:val="20"/>
        </w:rPr>
        <w:lastRenderedPageBreak/>
        <w:t>using a first principle approximation:  The fundamental equation for the acceleration of a spherical particle in a continuum fluid is provided by Maxey and Riley</w:t>
      </w:r>
      <w:r w:rsidR="00322D71" w:rsidRPr="00DA47EA">
        <w:rPr>
          <w:rFonts w:asciiTheme="majorHAnsi" w:hAnsiTheme="majorHAnsi" w:cstheme="majorHAnsi"/>
          <w:color w:val="000000" w:themeColor="text1"/>
          <w:sz w:val="20"/>
          <w:szCs w:val="20"/>
          <w:vertAlign w:val="superscript"/>
        </w:rPr>
        <w:t>21</w:t>
      </w:r>
      <w:r w:rsidRPr="00DA47EA">
        <w:rPr>
          <w:rFonts w:asciiTheme="majorHAnsi" w:hAnsiTheme="majorHAnsi" w:cstheme="majorHAnsi"/>
          <w:color w:val="000000" w:themeColor="text1"/>
          <w:sz w:val="20"/>
          <w:szCs w:val="20"/>
        </w:rPr>
        <w:t>, and under the conditions noted above defines the terminal velocity of a sphere in a quiescent flow. If the density ratio between the particle and the fluid is several orders, then the dominant forces are drag and gravity. If the particle momentum relaxation time</w:t>
      </w:r>
      <w:r w:rsidR="00C33813" w:rsidRPr="00DA47EA">
        <w:rPr>
          <w:rFonts w:asciiTheme="majorHAnsi" w:hAnsiTheme="majorHAnsi" w:cstheme="majorHAnsi"/>
          <w:color w:val="000000" w:themeColor="text1"/>
          <w:sz w:val="20"/>
          <w:szCs w:val="20"/>
        </w:rPr>
        <w:t xml:space="preserve"> (</w:t>
      </w:r>
      <w:r w:rsidR="00C33813" w:rsidRPr="00DA47EA">
        <w:rPr>
          <w:rFonts w:ascii="Symbol" w:hAnsi="Symbol" w:cstheme="majorHAnsi"/>
          <w:i/>
          <w:color w:val="000000" w:themeColor="text1"/>
          <w:sz w:val="20"/>
          <w:szCs w:val="20"/>
        </w:rPr>
        <w:t></w:t>
      </w:r>
      <w:r w:rsidR="00926D3B" w:rsidRPr="00DA47EA">
        <w:rPr>
          <w:rFonts w:ascii="Symbol" w:hAnsi="Symbol" w:cstheme="majorHAnsi"/>
          <w:i/>
          <w:color w:val="000000" w:themeColor="text1"/>
          <w:sz w:val="20"/>
          <w:szCs w:val="20"/>
        </w:rPr>
        <w:t></w:t>
      </w:r>
      <w:r w:rsidR="00C33813" w:rsidRPr="00DA47EA">
        <w:rPr>
          <w:rFonts w:asciiTheme="majorHAnsi" w:hAnsiTheme="majorHAnsi" w:cstheme="majorHAnsi"/>
          <w:color w:val="000000" w:themeColor="text1"/>
          <w:sz w:val="20"/>
          <w:szCs w:val="20"/>
        </w:rPr>
        <w:t>=</w:t>
      </w:r>
      <w:r w:rsidR="00C33813" w:rsidRPr="00DA47EA">
        <w:rPr>
          <w:rFonts w:ascii="Symbol" w:hAnsi="Symbol" w:cstheme="majorHAnsi"/>
          <w:i/>
          <w:color w:val="000000" w:themeColor="text1"/>
          <w:sz w:val="20"/>
          <w:szCs w:val="20"/>
        </w:rPr>
        <w:t></w:t>
      </w:r>
      <w:r w:rsidR="00C33813" w:rsidRPr="00DA47EA">
        <w:rPr>
          <w:rFonts w:asciiTheme="majorHAnsi" w:hAnsiTheme="majorHAnsi" w:cstheme="majorHAnsi"/>
          <w:i/>
          <w:color w:val="000000" w:themeColor="text1"/>
          <w:sz w:val="20"/>
          <w:szCs w:val="20"/>
          <w:vertAlign w:val="subscript"/>
        </w:rPr>
        <w:t>p</w:t>
      </w:r>
      <w:r w:rsidR="00C33813" w:rsidRPr="00DA47EA">
        <w:rPr>
          <w:rFonts w:asciiTheme="majorHAnsi" w:hAnsiTheme="majorHAnsi" w:cstheme="majorHAnsi"/>
          <w:i/>
          <w:color w:val="000000" w:themeColor="text1"/>
          <w:sz w:val="20"/>
          <w:szCs w:val="20"/>
        </w:rPr>
        <w:t>D</w:t>
      </w:r>
      <w:r w:rsidR="00C33813" w:rsidRPr="00DA47EA">
        <w:rPr>
          <w:rFonts w:asciiTheme="majorHAnsi" w:hAnsiTheme="majorHAnsi" w:cstheme="majorHAnsi"/>
          <w:i/>
          <w:color w:val="000000" w:themeColor="text1"/>
          <w:sz w:val="20"/>
          <w:szCs w:val="20"/>
          <w:vertAlign w:val="superscript"/>
        </w:rPr>
        <w:t>2</w:t>
      </w:r>
      <w:r w:rsidR="00C33813" w:rsidRPr="00DA47EA">
        <w:rPr>
          <w:rFonts w:asciiTheme="majorHAnsi" w:hAnsiTheme="majorHAnsi" w:cstheme="majorHAnsi"/>
          <w:color w:val="000000" w:themeColor="text1"/>
          <w:sz w:val="20"/>
          <w:szCs w:val="20"/>
        </w:rPr>
        <w:t>/18</w:t>
      </w:r>
      <w:r w:rsidR="00C33813" w:rsidRPr="00DA47EA">
        <w:rPr>
          <w:rFonts w:ascii="Symbol" w:hAnsi="Symbol" w:cstheme="majorHAnsi"/>
          <w:i/>
          <w:color w:val="000000" w:themeColor="text1"/>
          <w:sz w:val="20"/>
          <w:szCs w:val="20"/>
        </w:rPr>
        <w:t></w:t>
      </w:r>
      <w:r w:rsidR="00C33813" w:rsidRPr="00DA47EA">
        <w:rPr>
          <w:rFonts w:ascii="Symbol" w:hAnsi="Symbol" w:cstheme="majorHAnsi"/>
          <w:i/>
          <w:color w:val="000000" w:themeColor="text1"/>
          <w:sz w:val="20"/>
          <w:szCs w:val="20"/>
        </w:rPr>
        <w:t></w:t>
      </w:r>
      <w:r w:rsidR="00C33813" w:rsidRPr="00DA47EA">
        <w:rPr>
          <w:rFonts w:asciiTheme="majorHAnsi" w:hAnsiTheme="majorHAnsi" w:cstheme="majorHAnsi"/>
          <w:color w:val="000000" w:themeColor="text1"/>
          <w:sz w:val="20"/>
          <w:szCs w:val="20"/>
        </w:rPr>
        <w:t xml:space="preserve">) </w:t>
      </w:r>
      <w:r w:rsidRPr="00DA47EA">
        <w:rPr>
          <w:rFonts w:asciiTheme="majorHAnsi" w:hAnsiTheme="majorHAnsi" w:cstheme="majorHAnsi"/>
          <w:color w:val="000000" w:themeColor="text1"/>
          <w:sz w:val="20"/>
          <w:szCs w:val="20"/>
        </w:rPr>
        <w:t xml:space="preserve">is small, relative to the timescale of the applied acceleration, then the particle will approach terminal velocity. For the results shown in Figure 2A, </w:t>
      </w:r>
      <w:r w:rsidR="00926D3B" w:rsidRPr="00DA47EA">
        <w:rPr>
          <w:rFonts w:asciiTheme="majorHAnsi" w:hAnsiTheme="majorHAnsi" w:cstheme="majorHAnsi"/>
          <w:color w:val="000000" w:themeColor="text1"/>
          <w:sz w:val="20"/>
          <w:szCs w:val="20"/>
        </w:rPr>
        <w:t>a 30-</w:t>
      </w:r>
      <w:r w:rsidR="00926D3B" w:rsidRPr="00DA47EA">
        <w:rPr>
          <w:rFonts w:ascii="Symbol" w:hAnsi="Symbol" w:cstheme="majorHAnsi"/>
          <w:color w:val="000000" w:themeColor="text1"/>
          <w:sz w:val="20"/>
          <w:szCs w:val="20"/>
        </w:rPr>
        <w:t></w:t>
      </w:r>
      <w:r w:rsidR="00926D3B" w:rsidRPr="00DA47EA">
        <w:rPr>
          <w:rFonts w:asciiTheme="majorHAnsi" w:hAnsiTheme="majorHAnsi" w:cstheme="majorHAnsi"/>
          <w:color w:val="000000" w:themeColor="text1"/>
          <w:sz w:val="20"/>
          <w:szCs w:val="20"/>
        </w:rPr>
        <w:t xml:space="preserve">m-diameter polystyrene particle with </w:t>
      </w:r>
      <w:r w:rsidR="00926D3B" w:rsidRPr="00DA47EA">
        <w:rPr>
          <w:rFonts w:ascii="Symbol" w:hAnsi="Symbol" w:cstheme="majorHAnsi"/>
          <w:i/>
          <w:color w:val="000000" w:themeColor="text1"/>
          <w:sz w:val="20"/>
          <w:szCs w:val="20"/>
        </w:rPr>
        <w:t></w:t>
      </w:r>
      <w:r w:rsidR="00926D3B" w:rsidRPr="00DA47EA">
        <w:rPr>
          <w:rFonts w:asciiTheme="majorHAnsi" w:hAnsiTheme="majorHAnsi" w:cstheme="majorHAnsi"/>
          <w:i/>
          <w:color w:val="000000" w:themeColor="text1"/>
          <w:sz w:val="20"/>
          <w:szCs w:val="20"/>
          <w:vertAlign w:val="subscript"/>
        </w:rPr>
        <w:t>p</w:t>
      </w:r>
      <w:r w:rsidR="00926D3B" w:rsidRPr="00DA47EA">
        <w:rPr>
          <w:rFonts w:ascii="Symbol" w:hAnsi="Symbol" w:cstheme="majorHAnsi"/>
          <w:i/>
          <w:color w:val="000000" w:themeColor="text1"/>
          <w:sz w:val="20"/>
          <w:szCs w:val="20"/>
        </w:rPr>
        <w:t></w:t>
      </w:r>
      <w:r w:rsidR="00926D3B" w:rsidRPr="00DA47EA">
        <w:rPr>
          <w:rFonts w:ascii="Symbol" w:hAnsi="Symbol" w:cstheme="majorHAnsi"/>
          <w:i/>
          <w:color w:val="000000" w:themeColor="text1"/>
          <w:sz w:val="20"/>
          <w:szCs w:val="20"/>
        </w:rPr>
        <w:t></w:t>
      </w:r>
      <w:r w:rsidR="00CF57B4" w:rsidRPr="00DA47EA">
        <w:rPr>
          <w:rFonts w:asciiTheme="majorHAnsi" w:hAnsiTheme="majorHAnsi" w:cstheme="majorHAnsi"/>
          <w:i/>
          <w:color w:val="000000" w:themeColor="text1"/>
          <w:sz w:val="20"/>
          <w:szCs w:val="20"/>
          <w:vertAlign w:val="subscript"/>
        </w:rPr>
        <w:t>f</w:t>
      </w:r>
      <w:r w:rsidR="00926D3B" w:rsidRPr="00DA47EA">
        <w:rPr>
          <w:rFonts w:asciiTheme="majorHAnsi" w:hAnsiTheme="majorHAnsi" w:cstheme="majorHAnsi"/>
          <w:color w:val="000000" w:themeColor="text1"/>
          <w:sz w:val="20"/>
          <w:szCs w:val="20"/>
        </w:rPr>
        <w:t xml:space="preserve"> ≈ 1.1 gives </w:t>
      </w:r>
      <w:r w:rsidR="00926D3B" w:rsidRPr="00DA47EA">
        <w:rPr>
          <w:rFonts w:ascii="Symbol" w:hAnsi="Symbol" w:cstheme="majorHAnsi"/>
          <w:i/>
          <w:color w:val="000000" w:themeColor="text1"/>
          <w:sz w:val="20"/>
          <w:szCs w:val="20"/>
        </w:rPr>
        <w:t></w:t>
      </w:r>
      <w:r w:rsidR="00926D3B" w:rsidRPr="00DA47EA">
        <w:rPr>
          <w:rFonts w:asciiTheme="majorHAnsi" w:hAnsiTheme="majorHAnsi" w:cstheme="majorHAnsi"/>
          <w:color w:val="000000" w:themeColor="text1"/>
          <w:sz w:val="20"/>
          <w:szCs w:val="20"/>
        </w:rPr>
        <w:t xml:space="preserve"> of the </w:t>
      </w:r>
      <w:r w:rsidRPr="00DA47EA">
        <w:rPr>
          <w:rFonts w:asciiTheme="majorHAnsi" w:hAnsiTheme="majorHAnsi" w:cstheme="majorHAnsi"/>
          <w:color w:val="000000" w:themeColor="text1"/>
          <w:sz w:val="20"/>
          <w:szCs w:val="20"/>
        </w:rPr>
        <w:t>order of 10 microseconds. This is considerably shorter than the time tak</w:t>
      </w:r>
      <w:r w:rsidR="00926D3B" w:rsidRPr="00DA47EA">
        <w:rPr>
          <w:rFonts w:asciiTheme="majorHAnsi" w:hAnsiTheme="majorHAnsi" w:cstheme="majorHAnsi"/>
          <w:color w:val="000000" w:themeColor="text1"/>
          <w:sz w:val="20"/>
          <w:szCs w:val="20"/>
        </w:rPr>
        <w:t xml:space="preserve">en for </w:t>
      </w:r>
      <w:r w:rsidRPr="00DA47EA">
        <w:rPr>
          <w:rFonts w:asciiTheme="majorHAnsi" w:hAnsiTheme="majorHAnsi" w:cstheme="majorHAnsi"/>
          <w:color w:val="000000" w:themeColor="text1"/>
          <w:sz w:val="20"/>
          <w:szCs w:val="20"/>
        </w:rPr>
        <w:t>one revolution of the syringe. The terminal velocity equation noted abov</w:t>
      </w:r>
      <w:r w:rsidR="00CF57B4" w:rsidRPr="00DA47EA">
        <w:rPr>
          <w:rFonts w:asciiTheme="majorHAnsi" w:hAnsiTheme="majorHAnsi" w:cstheme="majorHAnsi"/>
          <w:color w:val="000000" w:themeColor="text1"/>
          <w:sz w:val="20"/>
          <w:szCs w:val="20"/>
        </w:rPr>
        <w:t>e can be recast</w:t>
      </w:r>
      <w:r w:rsidR="00926D3B" w:rsidRPr="00DA47EA">
        <w:rPr>
          <w:rFonts w:asciiTheme="majorHAnsi" w:hAnsiTheme="majorHAnsi" w:cstheme="majorHAnsi"/>
          <w:color w:val="000000" w:themeColor="text1"/>
          <w:sz w:val="20"/>
          <w:szCs w:val="20"/>
        </w:rPr>
        <w:t xml:space="preserve"> as </w:t>
      </w:r>
      <w:r w:rsidR="00926D3B" w:rsidRPr="00DA47EA">
        <w:rPr>
          <w:rFonts w:asciiTheme="majorHAnsi" w:hAnsiTheme="majorHAnsi" w:cstheme="majorHAnsi"/>
          <w:i/>
          <w:color w:val="000000" w:themeColor="text1"/>
          <w:sz w:val="20"/>
          <w:szCs w:val="20"/>
        </w:rPr>
        <w:t xml:space="preserve">U = </w:t>
      </w:r>
      <w:r w:rsidR="00926D3B" w:rsidRPr="00DA47EA">
        <w:rPr>
          <w:rFonts w:ascii="Symbol" w:hAnsi="Symbol" w:cstheme="majorHAnsi"/>
          <w:i/>
          <w:color w:val="000000" w:themeColor="text1"/>
          <w:sz w:val="20"/>
          <w:szCs w:val="20"/>
        </w:rPr>
        <w:t></w:t>
      </w:r>
      <w:r w:rsidR="00926D3B" w:rsidRPr="00DA47EA">
        <w:rPr>
          <w:rFonts w:asciiTheme="majorHAnsi" w:hAnsiTheme="majorHAnsi" w:cstheme="majorHAnsi"/>
          <w:i/>
          <w:color w:val="000000" w:themeColor="text1"/>
          <w:sz w:val="20"/>
          <w:szCs w:val="20"/>
        </w:rPr>
        <w:t>g</w:t>
      </w:r>
      <w:r w:rsidR="00926D3B" w:rsidRPr="00DA47EA">
        <w:rPr>
          <w:rFonts w:asciiTheme="majorHAnsi" w:hAnsiTheme="majorHAnsi" w:cstheme="majorHAnsi"/>
          <w:color w:val="000000" w:themeColor="text1"/>
          <w:sz w:val="20"/>
          <w:szCs w:val="20"/>
        </w:rPr>
        <w:t xml:space="preserve"> and </w:t>
      </w:r>
      <w:r w:rsidRPr="00DA47EA">
        <w:rPr>
          <w:rFonts w:asciiTheme="majorHAnsi" w:hAnsiTheme="majorHAnsi" w:cstheme="majorHAnsi"/>
          <w:color w:val="000000" w:themeColor="text1"/>
          <w:sz w:val="20"/>
          <w:szCs w:val="20"/>
        </w:rPr>
        <w:t>therefore the radius of the par</w:t>
      </w:r>
      <w:r w:rsidR="00926D3B" w:rsidRPr="00DA47EA">
        <w:rPr>
          <w:rFonts w:asciiTheme="majorHAnsi" w:hAnsiTheme="majorHAnsi" w:cstheme="majorHAnsi"/>
          <w:color w:val="000000" w:themeColor="text1"/>
          <w:sz w:val="20"/>
          <w:szCs w:val="20"/>
        </w:rPr>
        <w:t>ticle orbits shown in Figure 2 i</w:t>
      </w:r>
      <w:r w:rsidRPr="00DA47EA">
        <w:rPr>
          <w:rFonts w:asciiTheme="majorHAnsi" w:hAnsiTheme="majorHAnsi" w:cstheme="majorHAnsi"/>
          <w:color w:val="000000" w:themeColor="text1"/>
          <w:sz w:val="20"/>
          <w:szCs w:val="20"/>
        </w:rPr>
        <w:t>s</w:t>
      </w:r>
      <w:r w:rsidR="00926D3B" w:rsidRPr="00DA47EA">
        <w:rPr>
          <w:rFonts w:asciiTheme="majorHAnsi" w:hAnsiTheme="majorHAnsi" w:cstheme="majorHAnsi"/>
          <w:color w:val="000000" w:themeColor="text1"/>
          <w:sz w:val="20"/>
          <w:szCs w:val="20"/>
        </w:rPr>
        <w:t xml:space="preserve"> </w:t>
      </w:r>
      <w:r w:rsidR="00CF57B4" w:rsidRPr="00DA47EA">
        <w:rPr>
          <w:rFonts w:asciiTheme="majorHAnsi" w:hAnsiTheme="majorHAnsi" w:cstheme="majorHAnsi"/>
          <w:i/>
          <w:color w:val="000000" w:themeColor="text1"/>
          <w:sz w:val="20"/>
          <w:szCs w:val="20"/>
        </w:rPr>
        <w:t>R</w:t>
      </w:r>
      <w:r w:rsidR="00CF57B4" w:rsidRPr="00DA47EA">
        <w:rPr>
          <w:rFonts w:asciiTheme="majorHAnsi" w:hAnsiTheme="majorHAnsi" w:cstheme="majorHAnsi"/>
          <w:i/>
          <w:color w:val="000000" w:themeColor="text1"/>
          <w:sz w:val="20"/>
          <w:szCs w:val="20"/>
          <w:vertAlign w:val="subscript"/>
        </w:rPr>
        <w:t>o</w:t>
      </w:r>
      <w:r w:rsidR="00CF57B4" w:rsidRPr="00DA47EA">
        <w:rPr>
          <w:rFonts w:asciiTheme="majorHAnsi" w:hAnsiTheme="majorHAnsi" w:cstheme="majorHAnsi"/>
          <w:i/>
          <w:color w:val="000000" w:themeColor="text1"/>
          <w:sz w:val="20"/>
          <w:szCs w:val="20"/>
        </w:rPr>
        <w:t xml:space="preserve"> = </w:t>
      </w:r>
      <w:r w:rsidR="00CF57B4" w:rsidRPr="00DA47EA">
        <w:rPr>
          <w:rFonts w:ascii="Symbol" w:hAnsi="Symbol" w:cstheme="majorHAnsi"/>
          <w:i/>
          <w:color w:val="000000" w:themeColor="text1"/>
          <w:sz w:val="20"/>
          <w:szCs w:val="20"/>
        </w:rPr>
        <w:t></w:t>
      </w:r>
      <w:proofErr w:type="spellStart"/>
      <w:r w:rsidR="00CF57B4" w:rsidRPr="00DA47EA">
        <w:rPr>
          <w:rFonts w:asciiTheme="majorHAnsi" w:hAnsiTheme="majorHAnsi" w:cstheme="majorHAnsi"/>
          <w:i/>
          <w:color w:val="000000" w:themeColor="text1"/>
          <w:sz w:val="20"/>
          <w:szCs w:val="20"/>
        </w:rPr>
        <w:t>gT</w:t>
      </w:r>
      <w:proofErr w:type="spellEnd"/>
      <w:r w:rsidR="00CF57B4" w:rsidRPr="00DA47EA">
        <w:rPr>
          <w:rFonts w:asciiTheme="majorHAnsi" w:hAnsiTheme="majorHAnsi" w:cstheme="majorHAnsi"/>
          <w:i/>
          <w:color w:val="000000" w:themeColor="text1"/>
          <w:sz w:val="20"/>
          <w:szCs w:val="20"/>
        </w:rPr>
        <w:t>/4</w:t>
      </w:r>
      <w:r w:rsidRPr="00DA47EA">
        <w:rPr>
          <w:rFonts w:asciiTheme="majorHAnsi" w:hAnsiTheme="majorHAnsi" w:cstheme="majorHAnsi"/>
          <w:color w:val="000000" w:themeColor="text1"/>
          <w:sz w:val="20"/>
          <w:szCs w:val="20"/>
        </w:rPr>
        <w:t xml:space="preserve"> where </w:t>
      </w:r>
      <w:r w:rsidRPr="00DA47EA">
        <w:rPr>
          <w:rFonts w:asciiTheme="majorHAnsi" w:hAnsiTheme="majorHAnsi" w:cstheme="majorHAnsi"/>
          <w:i/>
          <w:color w:val="000000" w:themeColor="text1"/>
          <w:sz w:val="20"/>
          <w:szCs w:val="20"/>
        </w:rPr>
        <w:t>T</w:t>
      </w:r>
      <w:r w:rsidRPr="00DA47EA">
        <w:rPr>
          <w:rFonts w:asciiTheme="majorHAnsi" w:hAnsiTheme="majorHAnsi" w:cstheme="majorHAnsi"/>
          <w:color w:val="000000" w:themeColor="text1"/>
          <w:sz w:val="20"/>
          <w:szCs w:val="20"/>
        </w:rPr>
        <w:t xml:space="preserve"> is the time period for one revolution of the syringe. As shown in Figure 2B, this simple relation gives a good estimate of the relative particle motion in the syringe</w:t>
      </w:r>
      <w:r w:rsidR="00C33813" w:rsidRPr="00DA47EA">
        <w:rPr>
          <w:rFonts w:asciiTheme="majorHAnsi" w:hAnsiTheme="majorHAnsi" w:cstheme="majorHAnsi"/>
          <w:color w:val="000000" w:themeColor="text1"/>
          <w:sz w:val="20"/>
          <w:szCs w:val="20"/>
        </w:rPr>
        <w:t xml:space="preserve"> to guide </w:t>
      </w:r>
      <w:r w:rsidR="00322D71" w:rsidRPr="00DA47EA">
        <w:rPr>
          <w:rFonts w:asciiTheme="majorHAnsi" w:hAnsiTheme="majorHAnsi" w:cstheme="majorHAnsi"/>
          <w:color w:val="000000" w:themeColor="text1"/>
          <w:sz w:val="20"/>
          <w:szCs w:val="20"/>
        </w:rPr>
        <w:t>system</w:t>
      </w:r>
      <w:r w:rsidR="00C33813" w:rsidRPr="00DA47EA">
        <w:rPr>
          <w:rFonts w:asciiTheme="majorHAnsi" w:hAnsiTheme="majorHAnsi" w:cstheme="majorHAnsi"/>
          <w:color w:val="000000" w:themeColor="text1"/>
          <w:sz w:val="20"/>
          <w:szCs w:val="20"/>
        </w:rPr>
        <w:t xml:space="preserve"> design. </w:t>
      </w:r>
      <w:r w:rsidR="00CF57B4" w:rsidRPr="00DA47EA">
        <w:rPr>
          <w:rFonts w:asciiTheme="majorHAnsi" w:hAnsiTheme="majorHAnsi" w:cstheme="majorHAnsi"/>
          <w:color w:val="000000" w:themeColor="text1"/>
          <w:sz w:val="20"/>
          <w:szCs w:val="20"/>
        </w:rPr>
        <w:t xml:space="preserve">At higher rotation </w:t>
      </w:r>
      <w:r w:rsidR="001B7702" w:rsidRPr="00DA47EA">
        <w:rPr>
          <w:rFonts w:asciiTheme="majorHAnsi" w:hAnsiTheme="majorHAnsi" w:cstheme="majorHAnsi"/>
          <w:color w:val="000000" w:themeColor="text1"/>
          <w:sz w:val="20"/>
          <w:szCs w:val="20"/>
        </w:rPr>
        <w:t xml:space="preserve">rates, orbits become elliptical, indicating that </w:t>
      </w:r>
      <w:r w:rsidR="00CF57B4" w:rsidRPr="00DA47EA">
        <w:rPr>
          <w:rFonts w:asciiTheme="majorHAnsi" w:hAnsiTheme="majorHAnsi" w:cstheme="majorHAnsi"/>
          <w:color w:val="000000" w:themeColor="text1"/>
          <w:sz w:val="20"/>
          <w:szCs w:val="20"/>
        </w:rPr>
        <w:t xml:space="preserve">other forces </w:t>
      </w:r>
      <w:r w:rsidR="001B7702" w:rsidRPr="00DA47EA">
        <w:rPr>
          <w:rFonts w:asciiTheme="majorHAnsi" w:hAnsiTheme="majorHAnsi" w:cstheme="majorHAnsi"/>
          <w:color w:val="000000" w:themeColor="text1"/>
          <w:sz w:val="20"/>
          <w:szCs w:val="20"/>
        </w:rPr>
        <w:t>become relevant. As to how these forces impact the maintenance of particle suspensions requires further investigation.</w:t>
      </w:r>
      <w:r w:rsidR="00CF57B4" w:rsidRPr="00DA47EA">
        <w:rPr>
          <w:rFonts w:asciiTheme="majorHAnsi" w:hAnsiTheme="majorHAnsi" w:cstheme="majorHAnsi"/>
          <w:color w:val="000000" w:themeColor="text1"/>
          <w:sz w:val="20"/>
          <w:szCs w:val="20"/>
        </w:rPr>
        <w:t xml:space="preserve"> </w:t>
      </w:r>
    </w:p>
    <w:p w:rsidR="003027A1" w:rsidRDefault="008D53D5">
      <w:pPr>
        <w:spacing w:line="276" w:lineRule="auto"/>
        <w:ind w:firstLine="720"/>
        <w:jc w:val="both"/>
        <w:rPr>
          <w:rFonts w:asciiTheme="majorHAnsi" w:hAnsiTheme="majorHAnsi" w:cstheme="majorHAnsi"/>
          <w:sz w:val="20"/>
          <w:szCs w:val="20"/>
        </w:rPr>
      </w:pPr>
      <w:r>
        <w:rPr>
          <w:rFonts w:asciiTheme="majorHAnsi" w:hAnsiTheme="majorHAnsi" w:cstheme="majorHAnsi"/>
          <w:sz w:val="20"/>
          <w:szCs w:val="20"/>
        </w:rPr>
        <w:t>To evaluate the feasibility of PS for the continuous delivery of particulate suspensions, a challenging sample containing 30-</w:t>
      </w:r>
      <w:r>
        <w:rPr>
          <w:rFonts w:ascii="Symbol" w:hAnsi="Symbol" w:cstheme="majorHAnsi"/>
          <w:sz w:val="20"/>
          <w:szCs w:val="20"/>
        </w:rPr>
        <w:t></w:t>
      </w:r>
      <w:r>
        <w:rPr>
          <w:rFonts w:asciiTheme="majorHAnsi" w:hAnsiTheme="majorHAnsi" w:cstheme="majorHAnsi"/>
          <w:sz w:val="20"/>
          <w:szCs w:val="20"/>
        </w:rPr>
        <w:t xml:space="preserve">m-diameter polystyrene particles was tested and compared with magnetic stirring in both horizontal and vertical syringe orientations. A powerful, albeit costly, magnetic stirrer (Multi </w:t>
      </w:r>
      <w:proofErr w:type="spellStart"/>
      <w:r>
        <w:rPr>
          <w:rFonts w:asciiTheme="majorHAnsi" w:hAnsiTheme="majorHAnsi" w:cstheme="majorHAnsi"/>
          <w:sz w:val="20"/>
          <w:szCs w:val="20"/>
        </w:rPr>
        <w:t>Stirrus</w:t>
      </w:r>
      <w:proofErr w:type="spellEnd"/>
      <w:r>
        <w:rPr>
          <w:rFonts w:asciiTheme="majorHAnsi" w:hAnsiTheme="majorHAnsi" w:cstheme="majorHAnsi"/>
          <w:sz w:val="20"/>
          <w:szCs w:val="20"/>
        </w:rPr>
        <w:t>™) was used to allow gentle actuation of the stirring element. Dean entrainment (</w:t>
      </w:r>
      <w:proofErr w:type="spellStart"/>
      <w:r>
        <w:rPr>
          <w:rFonts w:asciiTheme="majorHAnsi" w:hAnsiTheme="majorHAnsi" w:cstheme="majorHAnsi"/>
          <w:i/>
          <w:sz w:val="20"/>
          <w:szCs w:val="20"/>
        </w:rPr>
        <w:t>Ū</w:t>
      </w:r>
      <w:r>
        <w:rPr>
          <w:rFonts w:asciiTheme="majorHAnsi" w:hAnsiTheme="majorHAnsi" w:cstheme="majorHAnsi"/>
          <w:i/>
          <w:sz w:val="20"/>
          <w:szCs w:val="20"/>
          <w:vertAlign w:val="subscript"/>
        </w:rPr>
        <w:t>flow</w:t>
      </w:r>
      <w:proofErr w:type="spellEnd"/>
      <w:r>
        <w:rPr>
          <w:rFonts w:asciiTheme="majorHAnsi" w:hAnsiTheme="majorHAnsi" w:cstheme="majorHAnsi"/>
          <w:sz w:val="20"/>
          <w:szCs w:val="20"/>
        </w:rPr>
        <w:t>=100 mm/s (</w:t>
      </w:r>
      <w:r>
        <w:rPr>
          <w:rFonts w:ascii="Times New Roman" w:hAnsi="Times New Roman" w:cs="Times New Roman"/>
          <w:i/>
          <w:sz w:val="20"/>
          <w:szCs w:val="20"/>
        </w:rPr>
        <w:t>κ</w:t>
      </w:r>
      <w:r>
        <w:rPr>
          <w:rFonts w:asciiTheme="majorHAnsi" w:hAnsiTheme="majorHAnsi" w:cstheme="majorHAnsi"/>
          <w:sz w:val="20"/>
          <w:szCs w:val="20"/>
        </w:rPr>
        <w:t>≈2.8)</w:t>
      </w:r>
      <w:r w:rsidR="00B42C0C">
        <w:rPr>
          <w:rFonts w:asciiTheme="majorHAnsi" w:hAnsiTheme="majorHAnsi" w:cstheme="majorHAnsi"/>
          <w:sz w:val="20"/>
          <w:szCs w:val="20"/>
        </w:rPr>
        <w:t>)</w:t>
      </w:r>
      <w:r>
        <w:rPr>
          <w:rFonts w:asciiTheme="majorHAnsi" w:hAnsiTheme="majorHAnsi" w:cstheme="majorHAnsi"/>
          <w:sz w:val="20"/>
          <w:szCs w:val="20"/>
        </w:rPr>
        <w:t xml:space="preserve"> was used as a means to periodically space particles for automated image analysis using a</w:t>
      </w:r>
      <w:r w:rsidR="00322D71">
        <w:rPr>
          <w:rFonts w:asciiTheme="majorHAnsi" w:hAnsiTheme="majorHAnsi" w:cstheme="majorHAnsi"/>
          <w:sz w:val="20"/>
          <w:szCs w:val="20"/>
        </w:rPr>
        <w:t xml:space="preserve"> profile intensity method (see </w:t>
      </w:r>
      <w:r>
        <w:rPr>
          <w:rFonts w:asciiTheme="majorHAnsi" w:hAnsiTheme="majorHAnsi" w:cstheme="majorHAnsi"/>
          <w:sz w:val="20"/>
          <w:szCs w:val="20"/>
        </w:rPr>
        <w:t>SI) that generates a particle delivery barcode (see Figure 3A). Entrainment is established in ~1 minute and during a ten-minute time course the effects of gravity (</w:t>
      </w:r>
      <w:r>
        <w:rPr>
          <w:rFonts w:asciiTheme="majorHAnsi" w:hAnsiTheme="majorHAnsi" w:cstheme="majorHAnsi"/>
          <w:i/>
          <w:sz w:val="20"/>
          <w:szCs w:val="20"/>
        </w:rPr>
        <w:t xml:space="preserve">i.e. </w:t>
      </w:r>
      <w:r>
        <w:rPr>
          <w:rFonts w:asciiTheme="majorHAnsi" w:hAnsiTheme="majorHAnsi" w:cstheme="majorHAnsi"/>
          <w:sz w:val="20"/>
          <w:szCs w:val="20"/>
        </w:rPr>
        <w:t xml:space="preserve">sedimentation without rotation) in a horizontal syringe results in rapid particle depletion, with zero particles delivered after 6 minutes (see Figure 3B). Magnetic stirring in a horizontal syringe has little effect, with only residual numbers (~5%) of particles delivered after 6 minutes. Here, the actuation of a disc magnet acts to disperse the particles from the actuated fluid volume and, once distant, the particles rapidly sediment (see Figure 3C). In stark contrast, vertical syringe orientation allows the sustained delivery of particles at starting concentrations (see Figure 3D). Here the disc magnet disperses particles downwards to exit the syringe, and in other cases to the nearby syringe wall and upwards to return by sedimentation.  Both instances allow repeated dispersion before downwards delivery to the microfluidic circuit. The PS approach also matches this performance enabling the continuous delivery throughout the 10-minute time course with no evident frequency dependence when comparing 0.1 Hz (Figure 3E) with 0.33 Hz (Figure 3F) rotational frequencies. </w:t>
      </w:r>
    </w:p>
    <w:p w:rsidR="003027A1" w:rsidRDefault="008D53D5">
      <w:pPr>
        <w:rPr>
          <w:rFonts w:asciiTheme="majorHAnsi" w:hAnsiTheme="majorHAnsi" w:cstheme="majorHAnsi"/>
        </w:rPr>
      </w:pPr>
      <w:r>
        <w:rPr>
          <w:noProof/>
          <w:lang w:eastAsia="en-GB"/>
        </w:rPr>
        <w:lastRenderedPageBreak/>
        <w:drawing>
          <wp:inline distT="0" distB="1905" distL="0" distR="2540">
            <wp:extent cx="2988945" cy="460883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8"/>
                    <a:stretch>
                      <a:fillRect/>
                    </a:stretch>
                  </pic:blipFill>
                  <pic:spPr bwMode="auto">
                    <a:xfrm>
                      <a:off x="0" y="0"/>
                      <a:ext cx="2988945" cy="4608830"/>
                    </a:xfrm>
                    <a:prstGeom prst="rect">
                      <a:avLst/>
                    </a:prstGeom>
                  </pic:spPr>
                </pic:pic>
              </a:graphicData>
            </a:graphic>
          </wp:inline>
        </w:drawing>
      </w:r>
    </w:p>
    <w:p w:rsidR="003027A1" w:rsidRDefault="008D53D5">
      <w:pPr>
        <w:jc w:val="both"/>
        <w:rPr>
          <w:sz w:val="18"/>
          <w:szCs w:val="18"/>
        </w:rPr>
      </w:pPr>
      <w:r>
        <w:rPr>
          <w:rFonts w:asciiTheme="majorHAnsi" w:hAnsiTheme="majorHAnsi" w:cstheme="majorHAnsi"/>
          <w:b/>
          <w:sz w:val="18"/>
          <w:szCs w:val="18"/>
        </w:rPr>
        <w:t>Figure 3.</w:t>
      </w:r>
      <w:r>
        <w:rPr>
          <w:rFonts w:asciiTheme="majorHAnsi" w:hAnsiTheme="majorHAnsi" w:cstheme="majorHAnsi"/>
          <w:sz w:val="18"/>
          <w:szCs w:val="18"/>
        </w:rPr>
        <w:t xml:space="preserve"> Comparison of in-syringe actuation methods for the continuous delivery of 30 </w:t>
      </w:r>
      <w:r>
        <w:rPr>
          <w:rFonts w:ascii="Symbol" w:hAnsi="Symbol" w:cstheme="majorHAnsi"/>
          <w:sz w:val="18"/>
          <w:szCs w:val="18"/>
        </w:rPr>
        <w:t></w:t>
      </w:r>
      <w:r>
        <w:rPr>
          <w:rFonts w:asciiTheme="majorHAnsi" w:hAnsiTheme="majorHAnsi" w:cstheme="majorHAnsi"/>
          <w:sz w:val="18"/>
          <w:szCs w:val="18"/>
        </w:rPr>
        <w:t xml:space="preserve">m polystyrene particles to a Dean </w:t>
      </w:r>
      <w:proofErr w:type="gramStart"/>
      <w:r>
        <w:rPr>
          <w:rFonts w:asciiTheme="majorHAnsi" w:hAnsiTheme="majorHAnsi" w:cstheme="majorHAnsi"/>
          <w:sz w:val="18"/>
          <w:szCs w:val="18"/>
        </w:rPr>
        <w:t>entrainment</w:t>
      </w:r>
      <w:proofErr w:type="gramEnd"/>
      <w:r>
        <w:rPr>
          <w:rFonts w:asciiTheme="majorHAnsi" w:hAnsiTheme="majorHAnsi" w:cstheme="majorHAnsi"/>
          <w:sz w:val="18"/>
          <w:szCs w:val="18"/>
        </w:rPr>
        <w:t xml:space="preserve"> microfluidic element. Entrainment and particle count time course examples (A). Delivery control by sedimentation (red) in a horizontal syringe (B); delivery by magnetic actuation (blue) from a horizontal (C) and a vertical (D) syringe; delivery by PS (green) at 0.10 Hz (E)</w:t>
      </w:r>
      <w:r>
        <w:rPr>
          <w:rFonts w:asciiTheme="majorHAnsi" w:hAnsiTheme="majorHAnsi" w:cstheme="majorHAnsi"/>
        </w:rPr>
        <w:t xml:space="preserve"> </w:t>
      </w:r>
      <w:r>
        <w:rPr>
          <w:rFonts w:asciiTheme="majorHAnsi" w:hAnsiTheme="majorHAnsi" w:cstheme="majorHAnsi"/>
          <w:sz w:val="18"/>
          <w:szCs w:val="18"/>
        </w:rPr>
        <w:t>and 0.33 Hz (F). The delivery rate (counts/s) was normalised to account for dissimilar starting concentrations (~0.4M/mL; ~500/s). Mean and standard deviation of 3 experiments are plotted.</w:t>
      </w:r>
    </w:p>
    <w:p w:rsidR="003027A1" w:rsidRDefault="003027A1">
      <w:pPr>
        <w:ind w:firstLine="720"/>
        <w:rPr>
          <w:rFonts w:asciiTheme="majorHAnsi" w:hAnsiTheme="majorHAnsi" w:cstheme="majorHAnsi"/>
          <w:sz w:val="20"/>
          <w:szCs w:val="20"/>
        </w:rPr>
      </w:pPr>
    </w:p>
    <w:p w:rsidR="003027A1" w:rsidRDefault="008D53D5">
      <w:pPr>
        <w:spacing w:line="276" w:lineRule="auto"/>
        <w:ind w:firstLine="720"/>
        <w:jc w:val="both"/>
      </w:pPr>
      <w:r>
        <w:rPr>
          <w:rFonts w:asciiTheme="majorHAnsi" w:hAnsiTheme="majorHAnsi" w:cstheme="majorHAnsi"/>
          <w:sz w:val="20"/>
          <w:szCs w:val="20"/>
        </w:rPr>
        <w:t>We further evaluated the performance of PS in scenarios less suited for magnetic stirring. Magnetic particles common to many microfluidic cell and molecular biology applications</w:t>
      </w:r>
      <w:r>
        <w:fldChar w:fldCharType="begin"/>
      </w:r>
      <w:r>
        <w:instrText>ADDIN EN.CITE &lt;EndNote&gt;&lt;Cite&gt;&lt;Author&gt;Pamme&lt;/Author&gt;&lt;Year&gt;2006&lt;/Year&gt;&lt;RecNum&gt;4&lt;/RecNum&gt;&lt;DisplayText&gt;&lt;style face="superscript"&gt;9&lt;/style&gt;&lt;/DisplayText&gt;&lt;record&gt;&lt;rec-number&gt;4&lt;/rec-number&gt;&lt;foreign-keys&gt;&lt;key app="EN" db-id="z029aav9tpap2jer9znvats5atxsrd90z9p5" timestamp="1564919366"&gt;4&lt;/key&gt;&lt;/foreign-keys&gt;&lt;ref-type name="Journal Article"&gt;17&lt;/ref-type&gt;&lt;contributors&gt;&lt;authors&gt;&lt;author&gt;Pamme, Nicole&lt;/author&gt;&lt;/authors&gt;&lt;/contributors&gt;&lt;titles&gt;&lt;title&gt;Magnetism and microfluidics&lt;/title&gt;&lt;secondary-title&gt;Lab on a Chip&lt;/secondary-title&gt;&lt;/titles&gt;&lt;periodical&gt;&lt;full-title&gt;Lab on a Chip&lt;/full-title&gt;&lt;/periodical&gt;&lt;pages&gt;24-38&lt;/pages&gt;&lt;volume&gt;6&lt;/volume&gt;&lt;number&gt;1&lt;/number&gt;&lt;dates&gt;&lt;year&gt;2006&lt;/year&gt;&lt;/dates&gt;&lt;publisher&gt;The Royal Society of Chemistry&lt;/publisher&gt;&lt;isbn&gt;1473-0197&lt;/isbn&gt;&lt;work-type&gt;10.1039/B513005K&lt;/work-type&gt;&lt;urls&gt;&lt;related-urls&gt;&lt;url&gt;http://dx.doi.org/10.1039/B513005K&lt;/url&gt;&lt;/related-urls&gt;&lt;/urls&gt;&lt;electronic-resource-num&gt;10.1039/B513005K&lt;/electronic-resource-num&gt;&lt;/record&gt;&lt;/Cite&gt;&lt;/EndNote&gt;</w:instrText>
      </w:r>
      <w:r>
        <w:fldChar w:fldCharType="separate"/>
      </w:r>
      <w:bookmarkStart w:id="19" w:name="__Fieldmark__612_1976668701"/>
      <w:r>
        <w:rPr>
          <w:rFonts w:asciiTheme="majorHAnsi" w:hAnsiTheme="majorHAnsi" w:cstheme="majorHAnsi"/>
          <w:sz w:val="20"/>
          <w:szCs w:val="20"/>
          <w:vertAlign w:val="superscript"/>
        </w:rPr>
        <w:t>9</w:t>
      </w:r>
      <w:r>
        <w:fldChar w:fldCharType="end"/>
      </w:r>
      <w:bookmarkEnd w:id="19"/>
      <w:r>
        <w:rPr>
          <w:rFonts w:asciiTheme="majorHAnsi" w:hAnsiTheme="majorHAnsi" w:cstheme="majorHAnsi"/>
          <w:sz w:val="20"/>
          <w:szCs w:val="20"/>
        </w:rPr>
        <w:t xml:space="preserve"> aggregate in magnetic fields. This creates an inhomogeneous suspension and depletes the effective concentration, making it an entirely inappropriate solution for continuous microfluidic delivery. Even small (8.2 </w:t>
      </w:r>
      <w:r>
        <w:rPr>
          <w:rFonts w:ascii="Symbol" w:hAnsi="Symbol" w:cstheme="majorHAnsi"/>
          <w:sz w:val="20"/>
          <w:szCs w:val="20"/>
        </w:rPr>
        <w:t></w:t>
      </w:r>
      <w:r>
        <w:rPr>
          <w:rFonts w:asciiTheme="majorHAnsi" w:hAnsiTheme="majorHAnsi" w:cstheme="majorHAnsi"/>
          <w:sz w:val="20"/>
          <w:szCs w:val="20"/>
        </w:rPr>
        <w:t xml:space="preserve">m) and light polystyrene particles doped with magnetic nanoparticles rapidly sediment, with delivery rates &lt;50% after 15 minutes, whereas PS provides continuous particle delivery (Figure 4A). </w:t>
      </w:r>
    </w:p>
    <w:p w:rsidR="003027A1" w:rsidRDefault="008D53D5">
      <w:pPr>
        <w:rPr>
          <w:rFonts w:asciiTheme="majorHAnsi" w:hAnsiTheme="majorHAnsi" w:cstheme="majorHAnsi"/>
        </w:rPr>
      </w:pPr>
      <w:r>
        <w:rPr>
          <w:noProof/>
          <w:lang w:eastAsia="en-GB"/>
        </w:rPr>
        <w:lastRenderedPageBreak/>
        <w:drawing>
          <wp:inline distT="0" distB="0" distL="0" distR="0">
            <wp:extent cx="3049270" cy="475170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9"/>
                    <a:stretch>
                      <a:fillRect/>
                    </a:stretch>
                  </pic:blipFill>
                  <pic:spPr bwMode="auto">
                    <a:xfrm>
                      <a:off x="0" y="0"/>
                      <a:ext cx="3049270" cy="4751705"/>
                    </a:xfrm>
                    <a:prstGeom prst="rect">
                      <a:avLst/>
                    </a:prstGeom>
                  </pic:spPr>
                </pic:pic>
              </a:graphicData>
            </a:graphic>
          </wp:inline>
        </w:drawing>
      </w:r>
    </w:p>
    <w:p w:rsidR="003027A1" w:rsidRDefault="008D53D5">
      <w:pPr>
        <w:jc w:val="both"/>
        <w:rPr>
          <w:rFonts w:asciiTheme="majorHAnsi" w:hAnsiTheme="majorHAnsi" w:cstheme="majorHAnsi"/>
          <w:sz w:val="18"/>
          <w:szCs w:val="18"/>
        </w:rPr>
      </w:pPr>
      <w:r>
        <w:rPr>
          <w:rFonts w:asciiTheme="majorHAnsi" w:hAnsiTheme="majorHAnsi" w:cstheme="majorHAnsi"/>
          <w:b/>
          <w:sz w:val="18"/>
          <w:szCs w:val="18"/>
        </w:rPr>
        <w:t>Figure 4.</w:t>
      </w:r>
      <w:r>
        <w:rPr>
          <w:rFonts w:asciiTheme="majorHAnsi" w:hAnsiTheme="majorHAnsi" w:cstheme="majorHAnsi"/>
          <w:sz w:val="18"/>
          <w:szCs w:val="18"/>
        </w:rPr>
        <w:t xml:space="preserve"> Magnetic particle delivery time course resulting from sedimentation (red) and PS (green) actuation methods (A). THP-1 monocytes delivery time course resulting from sedimentation (red), horizontal magnetic stirring (blue) (B), and PS (C) actuation methods. The delivery rate (counts/s) was normalised to account for dissimilar starting concentrations (~1M/mL; ~250/s). </w:t>
      </w:r>
      <w:bookmarkStart w:id="20" w:name="OLE_LINK1"/>
      <w:r>
        <w:rPr>
          <w:rFonts w:asciiTheme="majorHAnsi" w:hAnsiTheme="majorHAnsi" w:cstheme="majorHAnsi"/>
          <w:sz w:val="18"/>
          <w:szCs w:val="18"/>
        </w:rPr>
        <w:t xml:space="preserve">Mean and standard deviation from three experiments are plotted. </w:t>
      </w:r>
      <w:bookmarkEnd w:id="20"/>
      <w:r>
        <w:rPr>
          <w:rFonts w:asciiTheme="majorHAnsi" w:hAnsiTheme="majorHAnsi" w:cstheme="majorHAnsi"/>
          <w:sz w:val="18"/>
          <w:szCs w:val="18"/>
        </w:rPr>
        <w:t xml:space="preserve">ATDC5 cell viability (D) following 10 minute storage in a syringe; control (white), with PS (green) and with magnetic stirring (blue). Mean and standard deviation from six samples are plotted. </w:t>
      </w:r>
      <w:proofErr w:type="spellStart"/>
      <w:r>
        <w:rPr>
          <w:rFonts w:asciiTheme="majorHAnsi" w:hAnsiTheme="majorHAnsi" w:cstheme="majorHAnsi"/>
          <w:sz w:val="18"/>
          <w:szCs w:val="18"/>
        </w:rPr>
        <w:t>ChemGene</w:t>
      </w:r>
      <w:proofErr w:type="spellEnd"/>
      <w:r>
        <w:rPr>
          <w:rFonts w:asciiTheme="majorHAnsi" w:hAnsiTheme="majorHAnsi" w:cstheme="majorHAnsi"/>
          <w:sz w:val="18"/>
          <w:szCs w:val="18"/>
        </w:rPr>
        <w:t xml:space="preserve"> bead fragmentation resulting from magnetic stirring (left) compared with beads managed with PS (right) (E).</w:t>
      </w:r>
    </w:p>
    <w:p w:rsidR="003027A1" w:rsidRDefault="003027A1">
      <w:pPr>
        <w:spacing w:line="276" w:lineRule="auto"/>
        <w:ind w:firstLine="720"/>
        <w:jc w:val="both"/>
        <w:rPr>
          <w:rFonts w:asciiTheme="majorHAnsi" w:hAnsiTheme="majorHAnsi" w:cstheme="majorHAnsi"/>
          <w:sz w:val="20"/>
          <w:szCs w:val="20"/>
        </w:rPr>
      </w:pPr>
    </w:p>
    <w:p w:rsidR="003027A1" w:rsidRDefault="008D53D5">
      <w:pPr>
        <w:spacing w:line="276" w:lineRule="auto"/>
        <w:ind w:firstLine="720"/>
        <w:jc w:val="both"/>
        <w:rPr>
          <w:rFonts w:asciiTheme="majorHAnsi" w:hAnsiTheme="majorHAnsi" w:cstheme="majorHAnsi"/>
          <w:sz w:val="20"/>
          <w:szCs w:val="20"/>
        </w:rPr>
      </w:pPr>
      <w:r>
        <w:rPr>
          <w:rFonts w:asciiTheme="majorHAnsi" w:hAnsiTheme="majorHAnsi" w:cstheme="majorHAnsi"/>
          <w:sz w:val="20"/>
          <w:szCs w:val="20"/>
        </w:rPr>
        <w:t xml:space="preserve">Importantly, the PS approach is a non-contact method. Moving to a typical mammalian cell, THP-1 monocytes (13.9±1.8 </w:t>
      </w:r>
      <w:r>
        <w:rPr>
          <w:rFonts w:ascii="Symbol" w:hAnsi="Symbol" w:cstheme="majorHAnsi"/>
          <w:sz w:val="20"/>
          <w:szCs w:val="20"/>
        </w:rPr>
        <w:t></w:t>
      </w:r>
      <w:r>
        <w:rPr>
          <w:rFonts w:asciiTheme="majorHAnsi" w:hAnsiTheme="majorHAnsi" w:cstheme="majorHAnsi"/>
          <w:sz w:val="20"/>
          <w:szCs w:val="20"/>
        </w:rPr>
        <w:t xml:space="preserve">m), </w:t>
      </w:r>
      <w:proofErr w:type="gramStart"/>
      <w:r>
        <w:rPr>
          <w:rFonts w:asciiTheme="majorHAnsi" w:hAnsiTheme="majorHAnsi" w:cstheme="majorHAnsi"/>
          <w:sz w:val="20"/>
          <w:szCs w:val="20"/>
        </w:rPr>
        <w:t>a</w:t>
      </w:r>
      <w:proofErr w:type="gramEnd"/>
      <w:r>
        <w:rPr>
          <w:rFonts w:asciiTheme="majorHAnsi" w:hAnsiTheme="majorHAnsi" w:cstheme="majorHAnsi"/>
          <w:sz w:val="20"/>
          <w:szCs w:val="20"/>
        </w:rPr>
        <w:t xml:space="preserve"> similar sedimentation profile was observed (Figure 4B). Both magnetic stirring (Figure 4B) and PS (Figure 4C) retain cells in suspension throughout the 30 minute experiment (here, the cells are sufficiently light to continuously experience convective transport in a horizontal syringe). However, even hardy cell lines </w:t>
      </w:r>
      <w:r>
        <w:rPr>
          <w:rFonts w:asciiTheme="majorHAnsi" w:hAnsiTheme="majorHAnsi" w:cstheme="majorHAnsi"/>
          <w:color w:val="000000" w:themeColor="text1"/>
          <w:sz w:val="20"/>
          <w:szCs w:val="20"/>
        </w:rPr>
        <w:t>(ADTC5) are affected by the shear conditions imposed by magnetic stirring. Following a 10 minute treatment, cell viability was reduced (</w:t>
      </w:r>
      <w:r>
        <w:rPr>
          <w:rFonts w:asciiTheme="majorHAnsi" w:hAnsiTheme="majorHAnsi" w:cstheme="majorHAnsi"/>
          <w:i/>
          <w:color w:val="000000" w:themeColor="text1"/>
          <w:sz w:val="20"/>
          <w:szCs w:val="20"/>
        </w:rPr>
        <w:t>p</w:t>
      </w:r>
      <w:r>
        <w:rPr>
          <w:rFonts w:asciiTheme="majorHAnsi" w:hAnsiTheme="majorHAnsi" w:cstheme="majorHAnsi"/>
          <w:color w:val="000000" w:themeColor="text1"/>
          <w:sz w:val="20"/>
          <w:szCs w:val="20"/>
        </w:rPr>
        <w:t>&lt;0.0001) to ~90% relative to controls, whereas viability levels following PS treatment matched (</w:t>
      </w:r>
      <w:r>
        <w:rPr>
          <w:rFonts w:asciiTheme="majorHAnsi" w:hAnsiTheme="majorHAnsi" w:cstheme="majorHAnsi"/>
          <w:i/>
          <w:color w:val="000000" w:themeColor="text1"/>
          <w:sz w:val="20"/>
          <w:szCs w:val="20"/>
        </w:rPr>
        <w:t>p</w:t>
      </w:r>
      <w:r>
        <w:rPr>
          <w:rFonts w:asciiTheme="majorHAnsi" w:hAnsiTheme="majorHAnsi" w:cstheme="majorHAnsi"/>
          <w:color w:val="000000" w:themeColor="text1"/>
          <w:sz w:val="20"/>
          <w:szCs w:val="20"/>
        </w:rPr>
        <w:t xml:space="preserve">=0.7) storage in a stationary syringe at ~95% </w:t>
      </w:r>
      <w:r>
        <w:rPr>
          <w:rFonts w:asciiTheme="majorHAnsi" w:hAnsiTheme="majorHAnsi" w:cstheme="majorHAnsi"/>
          <w:sz w:val="20"/>
          <w:szCs w:val="20"/>
        </w:rPr>
        <w:t xml:space="preserve">(Figure 4D). It is worth noting that cell death is an overt end-point, overlooking other cell compromising effects or behavioural alterations. We anticipate PS will be especially suited to more delicate primary cells and especially cells such as neutrophils that are prone to activation. In other scenarios fragile particulates are processed: The costly and brittle </w:t>
      </w:r>
      <w:proofErr w:type="spellStart"/>
      <w:r>
        <w:rPr>
          <w:rFonts w:asciiTheme="majorHAnsi" w:hAnsiTheme="majorHAnsi" w:cstheme="majorHAnsi"/>
          <w:sz w:val="20"/>
          <w:szCs w:val="20"/>
        </w:rPr>
        <w:t>ChemGene</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ToyoPearl</w:t>
      </w:r>
      <w:proofErr w:type="spellEnd"/>
      <w:r>
        <w:rPr>
          <w:rFonts w:asciiTheme="majorHAnsi" w:hAnsiTheme="majorHAnsi" w:cstheme="majorHAnsi"/>
          <w:sz w:val="20"/>
          <w:szCs w:val="20"/>
        </w:rPr>
        <w:t>® resin) beads used for Drop-</w:t>
      </w:r>
      <w:proofErr w:type="spellStart"/>
      <w:r>
        <w:rPr>
          <w:rFonts w:asciiTheme="majorHAnsi" w:hAnsiTheme="majorHAnsi" w:cstheme="majorHAnsi"/>
          <w:sz w:val="20"/>
          <w:szCs w:val="20"/>
        </w:rPr>
        <w:t>seq</w:t>
      </w:r>
      <w:proofErr w:type="spellEnd"/>
      <w:r>
        <w:rPr>
          <w:rFonts w:asciiTheme="majorHAnsi" w:hAnsiTheme="majorHAnsi" w:cstheme="majorHAnsi"/>
          <w:sz w:val="20"/>
          <w:szCs w:val="20"/>
        </w:rPr>
        <w:t xml:space="preserve"> single cell </w:t>
      </w:r>
      <w:proofErr w:type="spellStart"/>
      <w:r>
        <w:rPr>
          <w:rFonts w:asciiTheme="majorHAnsi" w:hAnsiTheme="majorHAnsi" w:cstheme="majorHAnsi"/>
          <w:sz w:val="20"/>
          <w:szCs w:val="20"/>
        </w:rPr>
        <w:t>transcriptomics</w:t>
      </w:r>
      <w:proofErr w:type="spellEnd"/>
      <w:r>
        <w:rPr>
          <w:rFonts w:asciiTheme="majorHAnsi" w:hAnsiTheme="majorHAnsi" w:cstheme="majorHAnsi"/>
          <w:sz w:val="20"/>
          <w:szCs w:val="20"/>
        </w:rPr>
        <w:t xml:space="preserve"> are prone to fracture during prolonged (≥20 minutes) magnetic actuation (see Fig. 4E). In contrast, bead damage was not observed during equivalent PS experiments.</w:t>
      </w:r>
    </w:p>
    <w:p w:rsidR="003027A1" w:rsidRDefault="008D53D5">
      <w:pPr>
        <w:spacing w:line="276" w:lineRule="auto"/>
        <w:ind w:firstLine="720"/>
        <w:jc w:val="both"/>
      </w:pPr>
      <w:r>
        <w:rPr>
          <w:rFonts w:asciiTheme="majorHAnsi" w:hAnsiTheme="majorHAnsi" w:cstheme="majorHAnsi"/>
          <w:sz w:val="20"/>
          <w:szCs w:val="20"/>
        </w:rPr>
        <w:lastRenderedPageBreak/>
        <w:t xml:space="preserve">In summary, digital fabrication and consumer electronics can be combined to produce high-performance instruments with new functionality. The OI approach allows inexpensive and straightforward dissemination, and favours community-driven iteration and reconfiguration for different microfluidic applications. The PS approach involves radial transport by fluid rotation coupled with orbits created by gravity to retain all particles in suspension. This provides a universal, </w:t>
      </w:r>
      <w:r w:rsidRPr="00DA47EA">
        <w:rPr>
          <w:rFonts w:asciiTheme="majorHAnsi" w:hAnsiTheme="majorHAnsi" w:cstheme="majorHAnsi"/>
          <w:color w:val="000000" w:themeColor="text1"/>
          <w:sz w:val="20"/>
          <w:szCs w:val="20"/>
        </w:rPr>
        <w:t xml:space="preserve">highly efficient, yet gentle, means for the continuous delivery of particle suspensions to microfluidic processors. Critically this allows the benefits of microfluidics to be reliably translated from research scenarios to real-world industrial applications. </w:t>
      </w:r>
    </w:p>
    <w:p w:rsidR="003027A1" w:rsidRDefault="003027A1">
      <w:pPr>
        <w:rPr>
          <w:rFonts w:asciiTheme="majorHAnsi" w:hAnsiTheme="majorHAnsi" w:cstheme="majorHAnsi"/>
        </w:rPr>
      </w:pPr>
    </w:p>
    <w:p w:rsidR="003027A1" w:rsidRDefault="008D53D5">
      <w:pPr>
        <w:rPr>
          <w:rFonts w:asciiTheme="majorHAnsi" w:hAnsiTheme="majorHAnsi" w:cstheme="majorHAnsi"/>
          <w:b/>
          <w:sz w:val="24"/>
          <w:szCs w:val="24"/>
        </w:rPr>
      </w:pPr>
      <w:r>
        <w:rPr>
          <w:rFonts w:asciiTheme="majorHAnsi" w:hAnsiTheme="majorHAnsi" w:cstheme="majorHAnsi"/>
          <w:b/>
          <w:sz w:val="24"/>
          <w:szCs w:val="24"/>
        </w:rPr>
        <w:t>Conclusions</w:t>
      </w:r>
    </w:p>
    <w:p w:rsidR="003027A1" w:rsidRDefault="008D53D5">
      <w:pPr>
        <w:jc w:val="both"/>
      </w:pPr>
      <w:r>
        <w:rPr>
          <w:rFonts w:asciiTheme="majorHAnsi" w:hAnsiTheme="majorHAnsi" w:cstheme="majorHAnsi"/>
          <w:sz w:val="20"/>
          <w:szCs w:val="20"/>
        </w:rPr>
        <w:t xml:space="preserve">Perpetual sedimentation represents a straightforward and universal solution for retaining particles in a suspended state for continuous delivery to microfluidic systems to enable high throughput, unbiased processing without damage. The application space is vast, allowing improved analytical and synthetic performance across many fields. </w:t>
      </w:r>
    </w:p>
    <w:p w:rsidR="003027A1" w:rsidRDefault="003027A1">
      <w:pPr>
        <w:jc w:val="both"/>
        <w:rPr>
          <w:rFonts w:asciiTheme="majorHAnsi" w:hAnsiTheme="majorHAnsi" w:cstheme="majorHAnsi"/>
          <w:sz w:val="20"/>
          <w:szCs w:val="20"/>
        </w:rPr>
      </w:pPr>
    </w:p>
    <w:p w:rsidR="003027A1" w:rsidRDefault="008D53D5">
      <w:pPr>
        <w:rPr>
          <w:rFonts w:asciiTheme="majorHAnsi" w:hAnsiTheme="majorHAnsi" w:cstheme="majorHAnsi"/>
          <w:b/>
          <w:sz w:val="20"/>
          <w:szCs w:val="20"/>
        </w:rPr>
      </w:pPr>
      <w:r>
        <w:rPr>
          <w:rFonts w:asciiTheme="majorHAnsi" w:hAnsiTheme="majorHAnsi" w:cstheme="majorHAnsi"/>
          <w:b/>
          <w:sz w:val="20"/>
          <w:szCs w:val="20"/>
        </w:rPr>
        <w:t>Author Contributions</w:t>
      </w:r>
    </w:p>
    <w:p w:rsidR="003027A1" w:rsidRDefault="008D53D5">
      <w:pPr>
        <w:jc w:val="both"/>
        <w:rPr>
          <w:rFonts w:asciiTheme="majorHAnsi" w:hAnsiTheme="majorHAnsi" w:cstheme="majorHAnsi"/>
          <w:sz w:val="20"/>
          <w:szCs w:val="20"/>
        </w:rPr>
      </w:pPr>
      <w:r>
        <w:rPr>
          <w:rFonts w:asciiTheme="majorHAnsi" w:hAnsiTheme="majorHAnsi" w:cstheme="majorHAnsi"/>
          <w:sz w:val="20"/>
          <w:szCs w:val="20"/>
        </w:rPr>
        <w:t>JW conceived the idea and wrote the manuscript. S</w:t>
      </w:r>
      <w:r w:rsidR="001D744D">
        <w:rPr>
          <w:rFonts w:asciiTheme="majorHAnsi" w:hAnsiTheme="majorHAnsi" w:cstheme="majorHAnsi"/>
          <w:sz w:val="20"/>
          <w:szCs w:val="20"/>
        </w:rPr>
        <w:t>L</w:t>
      </w:r>
      <w:r>
        <w:rPr>
          <w:rFonts w:asciiTheme="majorHAnsi" w:hAnsiTheme="majorHAnsi" w:cstheme="majorHAnsi"/>
          <w:sz w:val="20"/>
          <w:szCs w:val="20"/>
        </w:rPr>
        <w:t>, JB, JH, JS and JW undertook the investigation. TU and JW provided supervision and S</w:t>
      </w:r>
      <w:r w:rsidR="001D744D">
        <w:rPr>
          <w:rFonts w:asciiTheme="majorHAnsi" w:hAnsiTheme="majorHAnsi" w:cstheme="majorHAnsi"/>
          <w:sz w:val="20"/>
          <w:szCs w:val="20"/>
        </w:rPr>
        <w:t>L</w:t>
      </w:r>
      <w:r>
        <w:rPr>
          <w:rFonts w:asciiTheme="majorHAnsi" w:hAnsiTheme="majorHAnsi" w:cstheme="majorHAnsi"/>
          <w:sz w:val="20"/>
          <w:szCs w:val="20"/>
        </w:rPr>
        <w:t>, JB, JH and JS reviewed the manuscript.</w:t>
      </w:r>
    </w:p>
    <w:p w:rsidR="003027A1" w:rsidRDefault="003027A1">
      <w:pPr>
        <w:jc w:val="both"/>
        <w:rPr>
          <w:rFonts w:asciiTheme="majorHAnsi" w:hAnsiTheme="majorHAnsi" w:cstheme="majorHAnsi"/>
          <w:sz w:val="20"/>
          <w:szCs w:val="20"/>
        </w:rPr>
      </w:pPr>
    </w:p>
    <w:p w:rsidR="003027A1" w:rsidRDefault="008D53D5">
      <w:pPr>
        <w:rPr>
          <w:rFonts w:asciiTheme="majorHAnsi" w:hAnsiTheme="majorHAnsi" w:cstheme="majorHAnsi"/>
          <w:b/>
          <w:sz w:val="24"/>
          <w:szCs w:val="24"/>
        </w:rPr>
      </w:pPr>
      <w:r>
        <w:rPr>
          <w:rFonts w:asciiTheme="majorHAnsi" w:hAnsiTheme="majorHAnsi" w:cstheme="majorHAnsi"/>
          <w:b/>
          <w:sz w:val="24"/>
          <w:szCs w:val="24"/>
        </w:rPr>
        <w:t>Conflicts of Interest</w:t>
      </w:r>
    </w:p>
    <w:p w:rsidR="003027A1" w:rsidRDefault="008D53D5">
      <w:pPr>
        <w:jc w:val="both"/>
        <w:rPr>
          <w:rFonts w:asciiTheme="majorHAnsi" w:hAnsiTheme="majorHAnsi" w:cstheme="majorHAnsi"/>
          <w:sz w:val="20"/>
          <w:szCs w:val="20"/>
        </w:rPr>
      </w:pPr>
      <w:r>
        <w:rPr>
          <w:rFonts w:asciiTheme="majorHAnsi" w:hAnsiTheme="majorHAnsi" w:cstheme="majorHAnsi"/>
          <w:sz w:val="20"/>
          <w:szCs w:val="20"/>
        </w:rPr>
        <w:t>There are no conflicts of interest to declare.</w:t>
      </w:r>
    </w:p>
    <w:p w:rsidR="003027A1" w:rsidRDefault="003027A1">
      <w:pPr>
        <w:jc w:val="both"/>
        <w:rPr>
          <w:rFonts w:asciiTheme="majorHAnsi" w:hAnsiTheme="majorHAnsi" w:cstheme="majorHAnsi"/>
          <w:sz w:val="20"/>
          <w:szCs w:val="20"/>
        </w:rPr>
      </w:pPr>
    </w:p>
    <w:p w:rsidR="003027A1" w:rsidRDefault="008D53D5">
      <w:pPr>
        <w:rPr>
          <w:rFonts w:asciiTheme="majorHAnsi" w:hAnsiTheme="majorHAnsi" w:cstheme="majorHAnsi"/>
          <w:b/>
          <w:sz w:val="24"/>
          <w:szCs w:val="24"/>
        </w:rPr>
      </w:pPr>
      <w:r>
        <w:rPr>
          <w:rFonts w:asciiTheme="majorHAnsi" w:hAnsiTheme="majorHAnsi" w:cstheme="majorHAnsi"/>
          <w:b/>
          <w:sz w:val="24"/>
          <w:szCs w:val="24"/>
        </w:rPr>
        <w:t>Acknowledgements</w:t>
      </w:r>
    </w:p>
    <w:p w:rsidR="003027A1" w:rsidRDefault="008D53D5">
      <w:pPr>
        <w:spacing w:line="276" w:lineRule="auto"/>
        <w:jc w:val="both"/>
        <w:rPr>
          <w:rFonts w:asciiTheme="majorHAnsi" w:eastAsia="Calibri" w:hAnsiTheme="majorHAnsi" w:cstheme="majorHAnsi"/>
          <w:sz w:val="20"/>
          <w:szCs w:val="20"/>
        </w:rPr>
      </w:pPr>
      <w:r>
        <w:rPr>
          <w:rFonts w:asciiTheme="majorHAnsi" w:hAnsiTheme="majorHAnsi" w:cstheme="majorHAnsi"/>
          <w:sz w:val="20"/>
          <w:szCs w:val="20"/>
        </w:rPr>
        <w:t xml:space="preserve">The authors thank Martin </w:t>
      </w:r>
      <w:proofErr w:type="spellStart"/>
      <w:r>
        <w:rPr>
          <w:rFonts w:asciiTheme="majorHAnsi" w:hAnsiTheme="majorHAnsi" w:cstheme="majorHAnsi"/>
          <w:sz w:val="20"/>
          <w:szCs w:val="20"/>
        </w:rPr>
        <w:t>Fischlechner</w:t>
      </w:r>
      <w:proofErr w:type="spellEnd"/>
      <w:r>
        <w:rPr>
          <w:rFonts w:asciiTheme="majorHAnsi" w:hAnsiTheme="majorHAnsi" w:cstheme="majorHAnsi"/>
          <w:sz w:val="20"/>
          <w:szCs w:val="20"/>
        </w:rPr>
        <w:t xml:space="preserve"> and Klaus Peter-Zauner for developing the droplet kitchen, Jung-</w:t>
      </w:r>
      <w:proofErr w:type="spellStart"/>
      <w:r>
        <w:rPr>
          <w:rFonts w:asciiTheme="majorHAnsi" w:hAnsiTheme="majorHAnsi" w:cstheme="majorHAnsi"/>
          <w:sz w:val="20"/>
          <w:szCs w:val="20"/>
        </w:rPr>
        <w:t>Uk</w:t>
      </w:r>
      <w:proofErr w:type="spellEnd"/>
      <w:r>
        <w:rPr>
          <w:rFonts w:asciiTheme="majorHAnsi" w:hAnsiTheme="majorHAnsi" w:cstheme="majorHAnsi"/>
          <w:sz w:val="20"/>
          <w:szCs w:val="20"/>
        </w:rPr>
        <w:t xml:space="preserve"> Shim and Martin </w:t>
      </w:r>
      <w:proofErr w:type="spellStart"/>
      <w:r>
        <w:rPr>
          <w:rFonts w:asciiTheme="majorHAnsi" w:hAnsiTheme="majorHAnsi" w:cstheme="majorHAnsi"/>
          <w:sz w:val="20"/>
          <w:szCs w:val="20"/>
        </w:rPr>
        <w:t>Fischlechner</w:t>
      </w:r>
      <w:proofErr w:type="spellEnd"/>
      <w:r>
        <w:rPr>
          <w:rFonts w:asciiTheme="majorHAnsi" w:hAnsiTheme="majorHAnsi" w:cstheme="majorHAnsi"/>
          <w:sz w:val="20"/>
          <w:szCs w:val="20"/>
        </w:rPr>
        <w:t xml:space="preserve"> for sharing microfluidic devices, Patrick Stumpf for valuable discussion, and Ben Nicholas and Juan Aviles Milan for providing cells. The research was funded by a </w:t>
      </w:r>
      <w:r>
        <w:rPr>
          <w:rFonts w:asciiTheme="majorHAnsi" w:eastAsia="Calibri" w:hAnsiTheme="majorHAnsi" w:cstheme="majorHAnsi"/>
          <w:sz w:val="20"/>
          <w:szCs w:val="20"/>
        </w:rPr>
        <w:t xml:space="preserve">MRC Discovery Grant (JB, MC_PC_15078). </w:t>
      </w:r>
    </w:p>
    <w:p w:rsidR="003027A1" w:rsidRDefault="003027A1">
      <w:pPr>
        <w:rPr>
          <w:rFonts w:asciiTheme="majorHAnsi" w:hAnsiTheme="majorHAnsi" w:cstheme="majorHAnsi"/>
        </w:rPr>
      </w:pPr>
    </w:p>
    <w:p w:rsidR="003027A1" w:rsidRDefault="008D53D5">
      <w:pPr>
        <w:rPr>
          <w:rFonts w:asciiTheme="majorHAnsi" w:hAnsiTheme="majorHAnsi" w:cstheme="majorHAnsi"/>
          <w:b/>
          <w:sz w:val="20"/>
          <w:szCs w:val="20"/>
        </w:rPr>
      </w:pPr>
      <w:r>
        <w:rPr>
          <w:rFonts w:asciiTheme="majorHAnsi" w:hAnsiTheme="majorHAnsi" w:cstheme="majorHAnsi"/>
          <w:b/>
          <w:sz w:val="20"/>
          <w:szCs w:val="20"/>
        </w:rPr>
        <w:t>References</w:t>
      </w:r>
    </w:p>
    <w:p w:rsidR="003027A1" w:rsidRDefault="008D53D5">
      <w:pPr>
        <w:pStyle w:val="EndNoteBibliography"/>
        <w:spacing w:after="60"/>
        <w:ind w:left="720" w:hanging="720"/>
      </w:pPr>
      <w:r>
        <w:fldChar w:fldCharType="begin"/>
      </w:r>
      <w:r>
        <w:instrText>ADDIN EN.REFLIST</w:instrText>
      </w:r>
      <w:r>
        <w:fldChar w:fldCharType="separate"/>
      </w:r>
      <w:bookmarkStart w:id="21" w:name="__Fieldmark__808_1976668701"/>
      <w:r>
        <w:rPr>
          <w:rFonts w:asciiTheme="majorHAnsi" w:hAnsiTheme="majorHAnsi" w:cstheme="majorHAnsi"/>
          <w:sz w:val="18"/>
          <w:szCs w:val="18"/>
        </w:rPr>
        <w:t>1.</w:t>
      </w:r>
      <w:r>
        <w:rPr>
          <w:rFonts w:asciiTheme="majorHAnsi" w:hAnsiTheme="majorHAnsi" w:cstheme="majorHAnsi"/>
          <w:sz w:val="18"/>
          <w:szCs w:val="18"/>
        </w:rPr>
        <w:tab/>
        <w:t xml:space="preserve">Y. Liu and H. Lu, </w:t>
      </w:r>
      <w:r>
        <w:rPr>
          <w:rFonts w:asciiTheme="majorHAnsi" w:hAnsiTheme="majorHAnsi" w:cstheme="majorHAnsi"/>
          <w:i/>
          <w:sz w:val="18"/>
          <w:szCs w:val="18"/>
        </w:rPr>
        <w:t>Current Opinion in Biotechnology</w:t>
      </w:r>
      <w:r>
        <w:rPr>
          <w:rFonts w:asciiTheme="majorHAnsi" w:hAnsiTheme="majorHAnsi" w:cstheme="majorHAnsi"/>
          <w:sz w:val="18"/>
          <w:szCs w:val="18"/>
        </w:rPr>
        <w:t xml:space="preserve">, 2016, </w:t>
      </w:r>
      <w:r>
        <w:rPr>
          <w:rFonts w:asciiTheme="majorHAnsi" w:hAnsiTheme="majorHAnsi" w:cstheme="majorHAnsi"/>
          <w:b/>
          <w:sz w:val="18"/>
          <w:szCs w:val="18"/>
        </w:rPr>
        <w:t>39</w:t>
      </w:r>
      <w:r>
        <w:rPr>
          <w:rFonts w:asciiTheme="majorHAnsi" w:hAnsiTheme="majorHAnsi" w:cstheme="majorHAnsi"/>
          <w:sz w:val="18"/>
          <w:szCs w:val="18"/>
        </w:rPr>
        <w:t>, 215-220.</w:t>
      </w:r>
      <w:bookmarkEnd w:id="21"/>
      <w:r>
        <w:fldChar w:fldCharType="end"/>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2.</w:t>
      </w:r>
      <w:r>
        <w:rPr>
          <w:rFonts w:asciiTheme="majorHAnsi" w:hAnsiTheme="majorHAnsi" w:cstheme="majorHAnsi"/>
          <w:sz w:val="18"/>
          <w:szCs w:val="18"/>
        </w:rPr>
        <w:tab/>
        <w:t xml:space="preserve">A. </w:t>
      </w:r>
      <w:proofErr w:type="spellStart"/>
      <w:r>
        <w:rPr>
          <w:rFonts w:asciiTheme="majorHAnsi" w:hAnsiTheme="majorHAnsi" w:cstheme="majorHAnsi"/>
          <w:sz w:val="18"/>
          <w:szCs w:val="18"/>
        </w:rPr>
        <w:t>Dalili</w:t>
      </w:r>
      <w:proofErr w:type="spellEnd"/>
      <w:r>
        <w:rPr>
          <w:rFonts w:asciiTheme="majorHAnsi" w:hAnsiTheme="majorHAnsi" w:cstheme="majorHAnsi"/>
          <w:sz w:val="18"/>
          <w:szCs w:val="18"/>
        </w:rPr>
        <w:t xml:space="preserve">, E. </w:t>
      </w:r>
      <w:proofErr w:type="spellStart"/>
      <w:r>
        <w:rPr>
          <w:rFonts w:asciiTheme="majorHAnsi" w:hAnsiTheme="majorHAnsi" w:cstheme="majorHAnsi"/>
          <w:sz w:val="18"/>
          <w:szCs w:val="18"/>
        </w:rPr>
        <w:t>Samiei</w:t>
      </w:r>
      <w:proofErr w:type="spellEnd"/>
      <w:r>
        <w:rPr>
          <w:rFonts w:asciiTheme="majorHAnsi" w:hAnsiTheme="majorHAnsi" w:cstheme="majorHAnsi"/>
          <w:sz w:val="18"/>
          <w:szCs w:val="18"/>
        </w:rPr>
        <w:t xml:space="preserve"> and M. </w:t>
      </w:r>
      <w:proofErr w:type="spellStart"/>
      <w:r>
        <w:rPr>
          <w:rFonts w:asciiTheme="majorHAnsi" w:hAnsiTheme="majorHAnsi" w:cstheme="majorHAnsi"/>
          <w:sz w:val="18"/>
          <w:szCs w:val="18"/>
        </w:rPr>
        <w:t>Hoorfar</w:t>
      </w:r>
      <w:proofErr w:type="spellEnd"/>
      <w:r>
        <w:rPr>
          <w:rFonts w:asciiTheme="majorHAnsi" w:hAnsiTheme="majorHAnsi" w:cstheme="majorHAnsi"/>
          <w:sz w:val="18"/>
          <w:szCs w:val="18"/>
        </w:rPr>
        <w:t xml:space="preserve">, </w:t>
      </w:r>
      <w:r>
        <w:rPr>
          <w:rFonts w:asciiTheme="majorHAnsi" w:hAnsiTheme="majorHAnsi" w:cstheme="majorHAnsi"/>
          <w:i/>
          <w:sz w:val="18"/>
          <w:szCs w:val="18"/>
        </w:rPr>
        <w:t>Analyst</w:t>
      </w:r>
      <w:r>
        <w:rPr>
          <w:rFonts w:asciiTheme="majorHAnsi" w:hAnsiTheme="majorHAnsi" w:cstheme="majorHAnsi"/>
          <w:sz w:val="18"/>
          <w:szCs w:val="18"/>
        </w:rPr>
        <w:t xml:space="preserve">, 2019, </w:t>
      </w:r>
      <w:r>
        <w:rPr>
          <w:rFonts w:asciiTheme="majorHAnsi" w:hAnsiTheme="majorHAnsi" w:cstheme="majorHAnsi"/>
          <w:b/>
          <w:sz w:val="18"/>
          <w:szCs w:val="18"/>
        </w:rPr>
        <w:t>144</w:t>
      </w:r>
      <w:r>
        <w:rPr>
          <w:rFonts w:asciiTheme="majorHAnsi" w:hAnsiTheme="majorHAnsi" w:cstheme="majorHAnsi"/>
          <w:sz w:val="18"/>
          <w:szCs w:val="18"/>
        </w:rPr>
        <w:t>, 87-113.</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3.</w:t>
      </w:r>
      <w:r>
        <w:rPr>
          <w:rFonts w:asciiTheme="majorHAnsi" w:hAnsiTheme="majorHAnsi" w:cstheme="majorHAnsi"/>
          <w:sz w:val="18"/>
          <w:szCs w:val="18"/>
        </w:rPr>
        <w:tab/>
        <w:t xml:space="preserve">M. D. Tarn, S. N. F. </w:t>
      </w:r>
      <w:proofErr w:type="spellStart"/>
      <w:r>
        <w:rPr>
          <w:rFonts w:asciiTheme="majorHAnsi" w:hAnsiTheme="majorHAnsi" w:cstheme="majorHAnsi"/>
          <w:sz w:val="18"/>
          <w:szCs w:val="18"/>
        </w:rPr>
        <w:t>Sikora</w:t>
      </w:r>
      <w:proofErr w:type="spellEnd"/>
      <w:r>
        <w:rPr>
          <w:rFonts w:asciiTheme="majorHAnsi" w:hAnsiTheme="majorHAnsi" w:cstheme="majorHAnsi"/>
          <w:sz w:val="18"/>
          <w:szCs w:val="18"/>
        </w:rPr>
        <w:t>, G. C. E. Porter, D. O’Sullivan, M. Adams, T. F. Whale, A. D. Harrison, J. Vergara-</w:t>
      </w:r>
      <w:proofErr w:type="spellStart"/>
      <w:r>
        <w:rPr>
          <w:rFonts w:asciiTheme="majorHAnsi" w:hAnsiTheme="majorHAnsi" w:cstheme="majorHAnsi"/>
          <w:sz w:val="18"/>
          <w:szCs w:val="18"/>
        </w:rPr>
        <w:t>Temprado</w:t>
      </w:r>
      <w:proofErr w:type="spellEnd"/>
      <w:r>
        <w:rPr>
          <w:rFonts w:asciiTheme="majorHAnsi" w:hAnsiTheme="majorHAnsi" w:cstheme="majorHAnsi"/>
          <w:sz w:val="18"/>
          <w:szCs w:val="18"/>
        </w:rPr>
        <w:t xml:space="preserve">, T. W. Wilson, J.-U. Shim and B. J. Murray, </w:t>
      </w:r>
      <w:r>
        <w:rPr>
          <w:rFonts w:asciiTheme="majorHAnsi" w:hAnsiTheme="majorHAnsi" w:cstheme="majorHAnsi"/>
          <w:i/>
          <w:sz w:val="18"/>
          <w:szCs w:val="18"/>
        </w:rPr>
        <w:t xml:space="preserve">Microfluidics and </w:t>
      </w:r>
      <w:proofErr w:type="spellStart"/>
      <w:r>
        <w:rPr>
          <w:rFonts w:asciiTheme="majorHAnsi" w:hAnsiTheme="majorHAnsi" w:cstheme="majorHAnsi"/>
          <w:i/>
          <w:sz w:val="18"/>
          <w:szCs w:val="18"/>
        </w:rPr>
        <w:t>Nanofluidics</w:t>
      </w:r>
      <w:proofErr w:type="spellEnd"/>
      <w:r>
        <w:rPr>
          <w:rFonts w:asciiTheme="majorHAnsi" w:hAnsiTheme="majorHAnsi" w:cstheme="majorHAnsi"/>
          <w:sz w:val="18"/>
          <w:szCs w:val="18"/>
        </w:rPr>
        <w:t xml:space="preserve">, 2018, </w:t>
      </w:r>
      <w:r>
        <w:rPr>
          <w:rFonts w:asciiTheme="majorHAnsi" w:hAnsiTheme="majorHAnsi" w:cstheme="majorHAnsi"/>
          <w:b/>
          <w:sz w:val="18"/>
          <w:szCs w:val="18"/>
        </w:rPr>
        <w:t>22</w:t>
      </w:r>
      <w:r>
        <w:rPr>
          <w:rFonts w:asciiTheme="majorHAnsi" w:hAnsiTheme="majorHAnsi" w:cstheme="majorHAnsi"/>
          <w:sz w:val="18"/>
          <w:szCs w:val="18"/>
        </w:rPr>
        <w:t>, 52.</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4.</w:t>
      </w:r>
      <w:r>
        <w:rPr>
          <w:rFonts w:asciiTheme="majorHAnsi" w:hAnsiTheme="majorHAnsi" w:cstheme="majorHAnsi"/>
          <w:sz w:val="18"/>
          <w:szCs w:val="18"/>
        </w:rPr>
        <w:tab/>
        <w:t xml:space="preserve">B. S. Flowers and R. L. Hartman, </w:t>
      </w:r>
      <w:r>
        <w:rPr>
          <w:rFonts w:asciiTheme="majorHAnsi" w:hAnsiTheme="majorHAnsi" w:cstheme="majorHAnsi"/>
          <w:i/>
          <w:sz w:val="18"/>
          <w:szCs w:val="18"/>
        </w:rPr>
        <w:t>Challenges</w:t>
      </w:r>
      <w:r>
        <w:rPr>
          <w:rFonts w:asciiTheme="majorHAnsi" w:hAnsiTheme="majorHAnsi" w:cstheme="majorHAnsi"/>
          <w:sz w:val="18"/>
          <w:szCs w:val="18"/>
        </w:rPr>
        <w:t xml:space="preserve">, 2012, </w:t>
      </w:r>
      <w:r>
        <w:rPr>
          <w:rFonts w:asciiTheme="majorHAnsi" w:hAnsiTheme="majorHAnsi" w:cstheme="majorHAnsi"/>
          <w:b/>
          <w:sz w:val="18"/>
          <w:szCs w:val="18"/>
        </w:rPr>
        <w:t>3</w:t>
      </w:r>
      <w:r>
        <w:rPr>
          <w:rFonts w:asciiTheme="majorHAnsi" w:hAnsiTheme="majorHAnsi" w:cstheme="majorHAnsi"/>
          <w:sz w:val="18"/>
          <w:szCs w:val="18"/>
        </w:rPr>
        <w:t>.</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5.</w:t>
      </w:r>
      <w:r>
        <w:rPr>
          <w:rFonts w:asciiTheme="majorHAnsi" w:hAnsiTheme="majorHAnsi" w:cstheme="majorHAnsi"/>
          <w:sz w:val="18"/>
          <w:szCs w:val="18"/>
        </w:rPr>
        <w:tab/>
        <w:t xml:space="preserve">C. Martino and A. J. </w:t>
      </w:r>
      <w:proofErr w:type="spellStart"/>
      <w:r>
        <w:rPr>
          <w:rFonts w:asciiTheme="majorHAnsi" w:hAnsiTheme="majorHAnsi" w:cstheme="majorHAnsi"/>
          <w:sz w:val="18"/>
          <w:szCs w:val="18"/>
        </w:rPr>
        <w:t>deMello</w:t>
      </w:r>
      <w:proofErr w:type="spellEnd"/>
      <w:r>
        <w:rPr>
          <w:rFonts w:asciiTheme="majorHAnsi" w:hAnsiTheme="majorHAnsi" w:cstheme="majorHAnsi"/>
          <w:sz w:val="18"/>
          <w:szCs w:val="18"/>
        </w:rPr>
        <w:t xml:space="preserve">, </w:t>
      </w:r>
      <w:r>
        <w:rPr>
          <w:rFonts w:asciiTheme="majorHAnsi" w:hAnsiTheme="majorHAnsi" w:cstheme="majorHAnsi"/>
          <w:i/>
          <w:sz w:val="18"/>
          <w:szCs w:val="18"/>
        </w:rPr>
        <w:t>Interface Focus</w:t>
      </w:r>
      <w:r>
        <w:rPr>
          <w:rFonts w:asciiTheme="majorHAnsi" w:hAnsiTheme="majorHAnsi" w:cstheme="majorHAnsi"/>
          <w:sz w:val="18"/>
          <w:szCs w:val="18"/>
        </w:rPr>
        <w:t xml:space="preserve">, 2016, </w:t>
      </w:r>
      <w:r>
        <w:rPr>
          <w:rFonts w:asciiTheme="majorHAnsi" w:hAnsiTheme="majorHAnsi" w:cstheme="majorHAnsi"/>
          <w:b/>
          <w:sz w:val="18"/>
          <w:szCs w:val="18"/>
        </w:rPr>
        <w:t>6</w:t>
      </w:r>
      <w:r>
        <w:rPr>
          <w:rFonts w:asciiTheme="majorHAnsi" w:hAnsiTheme="majorHAnsi" w:cstheme="majorHAnsi"/>
          <w:sz w:val="18"/>
          <w:szCs w:val="18"/>
        </w:rPr>
        <w:t>, 20160011.</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6.</w:t>
      </w:r>
      <w:r>
        <w:rPr>
          <w:rFonts w:asciiTheme="majorHAnsi" w:hAnsiTheme="majorHAnsi" w:cstheme="majorHAnsi"/>
          <w:sz w:val="18"/>
          <w:szCs w:val="18"/>
        </w:rPr>
        <w:tab/>
        <w:t xml:space="preserve">G. G. Stokes, in </w:t>
      </w:r>
      <w:r>
        <w:rPr>
          <w:rFonts w:asciiTheme="majorHAnsi" w:hAnsiTheme="majorHAnsi" w:cstheme="majorHAnsi"/>
          <w:i/>
          <w:sz w:val="18"/>
          <w:szCs w:val="18"/>
        </w:rPr>
        <w:t>Mathematical and Physical Papers</w:t>
      </w:r>
      <w:r>
        <w:rPr>
          <w:rFonts w:asciiTheme="majorHAnsi" w:hAnsiTheme="majorHAnsi" w:cstheme="majorHAnsi"/>
          <w:sz w:val="18"/>
          <w:szCs w:val="18"/>
        </w:rPr>
        <w:t>, ed. G. G. Stokes, Cambridge University Press, Cambridge, 1851, vol. 3, pp. 1-10.</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7.</w:t>
      </w:r>
      <w:r>
        <w:rPr>
          <w:rFonts w:asciiTheme="majorHAnsi" w:hAnsiTheme="majorHAnsi" w:cstheme="majorHAnsi"/>
          <w:sz w:val="18"/>
          <w:szCs w:val="18"/>
        </w:rPr>
        <w:tab/>
        <w:t xml:space="preserve">G. D. Smith and S. </w:t>
      </w:r>
      <w:proofErr w:type="spellStart"/>
      <w:r>
        <w:rPr>
          <w:rFonts w:asciiTheme="majorHAnsi" w:hAnsiTheme="majorHAnsi" w:cstheme="majorHAnsi"/>
          <w:sz w:val="18"/>
          <w:szCs w:val="18"/>
        </w:rPr>
        <w:t>Takayama</w:t>
      </w:r>
      <w:proofErr w:type="spellEnd"/>
      <w:r>
        <w:rPr>
          <w:rFonts w:asciiTheme="majorHAnsi" w:hAnsiTheme="majorHAnsi" w:cstheme="majorHAnsi"/>
          <w:sz w:val="18"/>
          <w:szCs w:val="18"/>
        </w:rPr>
        <w:t xml:space="preserve">, </w:t>
      </w:r>
      <w:proofErr w:type="spellStart"/>
      <w:r>
        <w:rPr>
          <w:rFonts w:asciiTheme="majorHAnsi" w:hAnsiTheme="majorHAnsi" w:cstheme="majorHAnsi"/>
          <w:i/>
          <w:sz w:val="18"/>
          <w:szCs w:val="18"/>
        </w:rPr>
        <w:t>Mol</w:t>
      </w:r>
      <w:proofErr w:type="spellEnd"/>
      <w:r>
        <w:rPr>
          <w:rFonts w:asciiTheme="majorHAnsi" w:hAnsiTheme="majorHAnsi" w:cstheme="majorHAnsi"/>
          <w:i/>
          <w:sz w:val="18"/>
          <w:szCs w:val="18"/>
        </w:rPr>
        <w:t xml:space="preserve"> Hum </w:t>
      </w:r>
      <w:proofErr w:type="spellStart"/>
      <w:r>
        <w:rPr>
          <w:rFonts w:asciiTheme="majorHAnsi" w:hAnsiTheme="majorHAnsi" w:cstheme="majorHAnsi"/>
          <w:i/>
          <w:sz w:val="18"/>
          <w:szCs w:val="18"/>
        </w:rPr>
        <w:t>Reprod</w:t>
      </w:r>
      <w:proofErr w:type="spellEnd"/>
      <w:r>
        <w:rPr>
          <w:rFonts w:asciiTheme="majorHAnsi" w:hAnsiTheme="majorHAnsi" w:cstheme="majorHAnsi"/>
          <w:sz w:val="18"/>
          <w:szCs w:val="18"/>
        </w:rPr>
        <w:t xml:space="preserve">, 2017, </w:t>
      </w:r>
      <w:r>
        <w:rPr>
          <w:rFonts w:asciiTheme="majorHAnsi" w:hAnsiTheme="majorHAnsi" w:cstheme="majorHAnsi"/>
          <w:b/>
          <w:sz w:val="18"/>
          <w:szCs w:val="18"/>
        </w:rPr>
        <w:t>23</w:t>
      </w:r>
      <w:r>
        <w:rPr>
          <w:rFonts w:asciiTheme="majorHAnsi" w:hAnsiTheme="majorHAnsi" w:cstheme="majorHAnsi"/>
          <w:sz w:val="18"/>
          <w:szCs w:val="18"/>
        </w:rPr>
        <w:t>, 257-268.</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8.</w:t>
      </w:r>
      <w:r>
        <w:rPr>
          <w:rFonts w:asciiTheme="majorHAnsi" w:hAnsiTheme="majorHAnsi" w:cstheme="majorHAnsi"/>
          <w:sz w:val="18"/>
          <w:szCs w:val="18"/>
        </w:rPr>
        <w:tab/>
        <w:t xml:space="preserve">Evan Z. Macosko, A. </w:t>
      </w:r>
      <w:proofErr w:type="spellStart"/>
      <w:r>
        <w:rPr>
          <w:rFonts w:asciiTheme="majorHAnsi" w:hAnsiTheme="majorHAnsi" w:cstheme="majorHAnsi"/>
          <w:sz w:val="18"/>
          <w:szCs w:val="18"/>
        </w:rPr>
        <w:t>Basu</w:t>
      </w:r>
      <w:proofErr w:type="spellEnd"/>
      <w:r>
        <w:rPr>
          <w:rFonts w:asciiTheme="majorHAnsi" w:hAnsiTheme="majorHAnsi" w:cstheme="majorHAnsi"/>
          <w:sz w:val="18"/>
          <w:szCs w:val="18"/>
        </w:rPr>
        <w:t xml:space="preserve">, R. </w:t>
      </w:r>
      <w:proofErr w:type="spellStart"/>
      <w:r>
        <w:rPr>
          <w:rFonts w:asciiTheme="majorHAnsi" w:hAnsiTheme="majorHAnsi" w:cstheme="majorHAnsi"/>
          <w:sz w:val="18"/>
          <w:szCs w:val="18"/>
        </w:rPr>
        <w:t>Satija</w:t>
      </w:r>
      <w:proofErr w:type="spellEnd"/>
      <w:r>
        <w:rPr>
          <w:rFonts w:asciiTheme="majorHAnsi" w:hAnsiTheme="majorHAnsi" w:cstheme="majorHAnsi"/>
          <w:sz w:val="18"/>
          <w:szCs w:val="18"/>
        </w:rPr>
        <w:t xml:space="preserve">, J. </w:t>
      </w:r>
      <w:proofErr w:type="spellStart"/>
      <w:r>
        <w:rPr>
          <w:rFonts w:asciiTheme="majorHAnsi" w:hAnsiTheme="majorHAnsi" w:cstheme="majorHAnsi"/>
          <w:sz w:val="18"/>
          <w:szCs w:val="18"/>
        </w:rPr>
        <w:t>Nemesh</w:t>
      </w:r>
      <w:proofErr w:type="spellEnd"/>
      <w:r>
        <w:rPr>
          <w:rFonts w:asciiTheme="majorHAnsi" w:hAnsiTheme="majorHAnsi" w:cstheme="majorHAnsi"/>
          <w:sz w:val="18"/>
          <w:szCs w:val="18"/>
        </w:rPr>
        <w:t xml:space="preserve">, K. </w:t>
      </w:r>
      <w:proofErr w:type="spellStart"/>
      <w:r>
        <w:rPr>
          <w:rFonts w:asciiTheme="majorHAnsi" w:hAnsiTheme="majorHAnsi" w:cstheme="majorHAnsi"/>
          <w:sz w:val="18"/>
          <w:szCs w:val="18"/>
        </w:rPr>
        <w:t>Shekhar</w:t>
      </w:r>
      <w:proofErr w:type="spellEnd"/>
      <w:r>
        <w:rPr>
          <w:rFonts w:asciiTheme="majorHAnsi" w:hAnsiTheme="majorHAnsi" w:cstheme="majorHAnsi"/>
          <w:sz w:val="18"/>
          <w:szCs w:val="18"/>
        </w:rPr>
        <w:t xml:space="preserve">, M. Goldman, I. </w:t>
      </w:r>
      <w:proofErr w:type="spellStart"/>
      <w:r>
        <w:rPr>
          <w:rFonts w:asciiTheme="majorHAnsi" w:hAnsiTheme="majorHAnsi" w:cstheme="majorHAnsi"/>
          <w:sz w:val="18"/>
          <w:szCs w:val="18"/>
        </w:rPr>
        <w:t>Tirosh</w:t>
      </w:r>
      <w:proofErr w:type="spellEnd"/>
      <w:r>
        <w:rPr>
          <w:rFonts w:asciiTheme="majorHAnsi" w:hAnsiTheme="majorHAnsi" w:cstheme="majorHAnsi"/>
          <w:sz w:val="18"/>
          <w:szCs w:val="18"/>
        </w:rPr>
        <w:t xml:space="preserve">, Allison R. </w:t>
      </w:r>
      <w:proofErr w:type="spellStart"/>
      <w:r>
        <w:rPr>
          <w:rFonts w:asciiTheme="majorHAnsi" w:hAnsiTheme="majorHAnsi" w:cstheme="majorHAnsi"/>
          <w:sz w:val="18"/>
          <w:szCs w:val="18"/>
        </w:rPr>
        <w:t>Bialas</w:t>
      </w:r>
      <w:proofErr w:type="spellEnd"/>
      <w:r>
        <w:rPr>
          <w:rFonts w:asciiTheme="majorHAnsi" w:hAnsiTheme="majorHAnsi" w:cstheme="majorHAnsi"/>
          <w:sz w:val="18"/>
          <w:szCs w:val="18"/>
        </w:rPr>
        <w:t xml:space="preserve">, N. </w:t>
      </w:r>
      <w:proofErr w:type="spellStart"/>
      <w:r>
        <w:rPr>
          <w:rFonts w:asciiTheme="majorHAnsi" w:hAnsiTheme="majorHAnsi" w:cstheme="majorHAnsi"/>
          <w:sz w:val="18"/>
          <w:szCs w:val="18"/>
        </w:rPr>
        <w:t>Kamitaki</w:t>
      </w:r>
      <w:proofErr w:type="spellEnd"/>
      <w:r>
        <w:rPr>
          <w:rFonts w:asciiTheme="majorHAnsi" w:hAnsiTheme="majorHAnsi" w:cstheme="majorHAnsi"/>
          <w:sz w:val="18"/>
          <w:szCs w:val="18"/>
        </w:rPr>
        <w:t xml:space="preserve">, Emily M. </w:t>
      </w:r>
      <w:proofErr w:type="spellStart"/>
      <w:r>
        <w:rPr>
          <w:rFonts w:asciiTheme="majorHAnsi" w:hAnsiTheme="majorHAnsi" w:cstheme="majorHAnsi"/>
          <w:sz w:val="18"/>
          <w:szCs w:val="18"/>
        </w:rPr>
        <w:t>Martersteck</w:t>
      </w:r>
      <w:proofErr w:type="spellEnd"/>
      <w:r>
        <w:rPr>
          <w:rFonts w:asciiTheme="majorHAnsi" w:hAnsiTheme="majorHAnsi" w:cstheme="majorHAnsi"/>
          <w:sz w:val="18"/>
          <w:szCs w:val="18"/>
        </w:rPr>
        <w:t xml:space="preserve">, John J. </w:t>
      </w:r>
      <w:proofErr w:type="spellStart"/>
      <w:r>
        <w:rPr>
          <w:rFonts w:asciiTheme="majorHAnsi" w:hAnsiTheme="majorHAnsi" w:cstheme="majorHAnsi"/>
          <w:sz w:val="18"/>
          <w:szCs w:val="18"/>
        </w:rPr>
        <w:t>Trombetta</w:t>
      </w:r>
      <w:proofErr w:type="spellEnd"/>
      <w:r>
        <w:rPr>
          <w:rFonts w:asciiTheme="majorHAnsi" w:hAnsiTheme="majorHAnsi" w:cstheme="majorHAnsi"/>
          <w:sz w:val="18"/>
          <w:szCs w:val="18"/>
        </w:rPr>
        <w:t xml:space="preserve">, David A. </w:t>
      </w:r>
      <w:proofErr w:type="spellStart"/>
      <w:r>
        <w:rPr>
          <w:rFonts w:asciiTheme="majorHAnsi" w:hAnsiTheme="majorHAnsi" w:cstheme="majorHAnsi"/>
          <w:sz w:val="18"/>
          <w:szCs w:val="18"/>
        </w:rPr>
        <w:t>Weitz</w:t>
      </w:r>
      <w:proofErr w:type="spellEnd"/>
      <w:r>
        <w:rPr>
          <w:rFonts w:asciiTheme="majorHAnsi" w:hAnsiTheme="majorHAnsi" w:cstheme="majorHAnsi"/>
          <w:sz w:val="18"/>
          <w:szCs w:val="18"/>
        </w:rPr>
        <w:t xml:space="preserve">, Joshua R. </w:t>
      </w:r>
      <w:proofErr w:type="spellStart"/>
      <w:r>
        <w:rPr>
          <w:rFonts w:asciiTheme="majorHAnsi" w:hAnsiTheme="majorHAnsi" w:cstheme="majorHAnsi"/>
          <w:sz w:val="18"/>
          <w:szCs w:val="18"/>
        </w:rPr>
        <w:t>Sanes</w:t>
      </w:r>
      <w:proofErr w:type="spellEnd"/>
      <w:r>
        <w:rPr>
          <w:rFonts w:asciiTheme="majorHAnsi" w:hAnsiTheme="majorHAnsi" w:cstheme="majorHAnsi"/>
          <w:sz w:val="18"/>
          <w:szCs w:val="18"/>
        </w:rPr>
        <w:t xml:space="preserve">, Alex K. </w:t>
      </w:r>
      <w:proofErr w:type="spellStart"/>
      <w:r>
        <w:rPr>
          <w:rFonts w:asciiTheme="majorHAnsi" w:hAnsiTheme="majorHAnsi" w:cstheme="majorHAnsi"/>
          <w:sz w:val="18"/>
          <w:szCs w:val="18"/>
        </w:rPr>
        <w:t>Shalek</w:t>
      </w:r>
      <w:proofErr w:type="spellEnd"/>
      <w:r>
        <w:rPr>
          <w:rFonts w:asciiTheme="majorHAnsi" w:hAnsiTheme="majorHAnsi" w:cstheme="majorHAnsi"/>
          <w:sz w:val="18"/>
          <w:szCs w:val="18"/>
        </w:rPr>
        <w:t xml:space="preserve">, A. </w:t>
      </w:r>
      <w:proofErr w:type="spellStart"/>
      <w:r>
        <w:rPr>
          <w:rFonts w:asciiTheme="majorHAnsi" w:hAnsiTheme="majorHAnsi" w:cstheme="majorHAnsi"/>
          <w:sz w:val="18"/>
          <w:szCs w:val="18"/>
        </w:rPr>
        <w:t>Regev</w:t>
      </w:r>
      <w:proofErr w:type="spellEnd"/>
      <w:r>
        <w:rPr>
          <w:rFonts w:asciiTheme="majorHAnsi" w:hAnsiTheme="majorHAnsi" w:cstheme="majorHAnsi"/>
          <w:sz w:val="18"/>
          <w:szCs w:val="18"/>
        </w:rPr>
        <w:t xml:space="preserve"> and Steven A. </w:t>
      </w:r>
      <w:proofErr w:type="spellStart"/>
      <w:r>
        <w:rPr>
          <w:rFonts w:asciiTheme="majorHAnsi" w:hAnsiTheme="majorHAnsi" w:cstheme="majorHAnsi"/>
          <w:sz w:val="18"/>
          <w:szCs w:val="18"/>
        </w:rPr>
        <w:t>McCarroll</w:t>
      </w:r>
      <w:proofErr w:type="spellEnd"/>
      <w:r>
        <w:rPr>
          <w:rFonts w:asciiTheme="majorHAnsi" w:hAnsiTheme="majorHAnsi" w:cstheme="majorHAnsi"/>
          <w:sz w:val="18"/>
          <w:szCs w:val="18"/>
        </w:rPr>
        <w:t xml:space="preserve">, </w:t>
      </w:r>
      <w:r>
        <w:rPr>
          <w:rFonts w:asciiTheme="majorHAnsi" w:hAnsiTheme="majorHAnsi" w:cstheme="majorHAnsi"/>
          <w:i/>
          <w:sz w:val="18"/>
          <w:szCs w:val="18"/>
        </w:rPr>
        <w:t>Cell</w:t>
      </w:r>
      <w:r>
        <w:rPr>
          <w:rFonts w:asciiTheme="majorHAnsi" w:hAnsiTheme="majorHAnsi" w:cstheme="majorHAnsi"/>
          <w:sz w:val="18"/>
          <w:szCs w:val="18"/>
        </w:rPr>
        <w:t xml:space="preserve">, 2015, </w:t>
      </w:r>
      <w:r>
        <w:rPr>
          <w:rFonts w:asciiTheme="majorHAnsi" w:hAnsiTheme="majorHAnsi" w:cstheme="majorHAnsi"/>
          <w:b/>
          <w:sz w:val="18"/>
          <w:szCs w:val="18"/>
        </w:rPr>
        <w:t>161</w:t>
      </w:r>
      <w:r>
        <w:rPr>
          <w:rFonts w:asciiTheme="majorHAnsi" w:hAnsiTheme="majorHAnsi" w:cstheme="majorHAnsi"/>
          <w:sz w:val="18"/>
          <w:szCs w:val="18"/>
        </w:rPr>
        <w:t>, 1202-1214.</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9.</w:t>
      </w:r>
      <w:r>
        <w:rPr>
          <w:rFonts w:asciiTheme="majorHAnsi" w:hAnsiTheme="majorHAnsi" w:cstheme="majorHAnsi"/>
          <w:sz w:val="18"/>
          <w:szCs w:val="18"/>
        </w:rPr>
        <w:tab/>
        <w:t xml:space="preserve">N. Pamme, </w:t>
      </w:r>
      <w:r>
        <w:rPr>
          <w:rFonts w:asciiTheme="majorHAnsi" w:hAnsiTheme="majorHAnsi" w:cstheme="majorHAnsi"/>
          <w:i/>
          <w:sz w:val="18"/>
          <w:szCs w:val="18"/>
        </w:rPr>
        <w:t>Lab on a Chip</w:t>
      </w:r>
      <w:r>
        <w:rPr>
          <w:rFonts w:asciiTheme="majorHAnsi" w:hAnsiTheme="majorHAnsi" w:cstheme="majorHAnsi"/>
          <w:sz w:val="18"/>
          <w:szCs w:val="18"/>
        </w:rPr>
        <w:t xml:space="preserve">, 2006, </w:t>
      </w:r>
      <w:r>
        <w:rPr>
          <w:rFonts w:asciiTheme="majorHAnsi" w:hAnsiTheme="majorHAnsi" w:cstheme="majorHAnsi"/>
          <w:b/>
          <w:sz w:val="18"/>
          <w:szCs w:val="18"/>
        </w:rPr>
        <w:t>6</w:t>
      </w:r>
      <w:r>
        <w:rPr>
          <w:rFonts w:asciiTheme="majorHAnsi" w:hAnsiTheme="majorHAnsi" w:cstheme="majorHAnsi"/>
          <w:sz w:val="18"/>
          <w:szCs w:val="18"/>
        </w:rPr>
        <w:t>, 24-38.</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10.</w:t>
      </w:r>
      <w:r>
        <w:rPr>
          <w:rFonts w:asciiTheme="majorHAnsi" w:hAnsiTheme="majorHAnsi" w:cstheme="majorHAnsi"/>
          <w:sz w:val="18"/>
          <w:szCs w:val="18"/>
        </w:rPr>
        <w:tab/>
        <w:t xml:space="preserve">S. </w:t>
      </w:r>
      <w:proofErr w:type="spellStart"/>
      <w:r>
        <w:rPr>
          <w:rFonts w:asciiTheme="majorHAnsi" w:hAnsiTheme="majorHAnsi" w:cstheme="majorHAnsi"/>
          <w:sz w:val="18"/>
          <w:szCs w:val="18"/>
        </w:rPr>
        <w:t>Nagrath</w:t>
      </w:r>
      <w:proofErr w:type="spellEnd"/>
      <w:r>
        <w:rPr>
          <w:rFonts w:asciiTheme="majorHAnsi" w:hAnsiTheme="majorHAnsi" w:cstheme="majorHAnsi"/>
          <w:sz w:val="18"/>
          <w:szCs w:val="18"/>
        </w:rPr>
        <w:t xml:space="preserve">, L. V. </w:t>
      </w:r>
      <w:proofErr w:type="spellStart"/>
      <w:r>
        <w:rPr>
          <w:rFonts w:asciiTheme="majorHAnsi" w:hAnsiTheme="majorHAnsi" w:cstheme="majorHAnsi"/>
          <w:sz w:val="18"/>
          <w:szCs w:val="18"/>
        </w:rPr>
        <w:t>Sequist</w:t>
      </w:r>
      <w:proofErr w:type="spellEnd"/>
      <w:r>
        <w:rPr>
          <w:rFonts w:asciiTheme="majorHAnsi" w:hAnsiTheme="majorHAnsi" w:cstheme="majorHAnsi"/>
          <w:sz w:val="18"/>
          <w:szCs w:val="18"/>
        </w:rPr>
        <w:t xml:space="preserve">, S. </w:t>
      </w:r>
      <w:proofErr w:type="spellStart"/>
      <w:r>
        <w:rPr>
          <w:rFonts w:asciiTheme="majorHAnsi" w:hAnsiTheme="majorHAnsi" w:cstheme="majorHAnsi"/>
          <w:sz w:val="18"/>
          <w:szCs w:val="18"/>
        </w:rPr>
        <w:t>Maheswaran</w:t>
      </w:r>
      <w:proofErr w:type="spellEnd"/>
      <w:r>
        <w:rPr>
          <w:rFonts w:asciiTheme="majorHAnsi" w:hAnsiTheme="majorHAnsi" w:cstheme="majorHAnsi"/>
          <w:sz w:val="18"/>
          <w:szCs w:val="18"/>
        </w:rPr>
        <w:t xml:space="preserve">, D. W. Bell, D. </w:t>
      </w:r>
      <w:proofErr w:type="spellStart"/>
      <w:r>
        <w:rPr>
          <w:rFonts w:asciiTheme="majorHAnsi" w:hAnsiTheme="majorHAnsi" w:cstheme="majorHAnsi"/>
          <w:sz w:val="18"/>
          <w:szCs w:val="18"/>
        </w:rPr>
        <w:t>Irimia</w:t>
      </w:r>
      <w:proofErr w:type="spellEnd"/>
      <w:r>
        <w:rPr>
          <w:rFonts w:asciiTheme="majorHAnsi" w:hAnsiTheme="majorHAnsi" w:cstheme="majorHAnsi"/>
          <w:sz w:val="18"/>
          <w:szCs w:val="18"/>
        </w:rPr>
        <w:t xml:space="preserve">, L. </w:t>
      </w:r>
      <w:proofErr w:type="spellStart"/>
      <w:r>
        <w:rPr>
          <w:rFonts w:asciiTheme="majorHAnsi" w:hAnsiTheme="majorHAnsi" w:cstheme="majorHAnsi"/>
          <w:sz w:val="18"/>
          <w:szCs w:val="18"/>
        </w:rPr>
        <w:t>Ulkus</w:t>
      </w:r>
      <w:proofErr w:type="spellEnd"/>
      <w:r>
        <w:rPr>
          <w:rFonts w:asciiTheme="majorHAnsi" w:hAnsiTheme="majorHAnsi" w:cstheme="majorHAnsi"/>
          <w:sz w:val="18"/>
          <w:szCs w:val="18"/>
        </w:rPr>
        <w:t xml:space="preserve">, M. R. Smith, E. L. </w:t>
      </w:r>
      <w:proofErr w:type="spellStart"/>
      <w:r>
        <w:rPr>
          <w:rFonts w:asciiTheme="majorHAnsi" w:hAnsiTheme="majorHAnsi" w:cstheme="majorHAnsi"/>
          <w:sz w:val="18"/>
          <w:szCs w:val="18"/>
        </w:rPr>
        <w:t>Kwak</w:t>
      </w:r>
      <w:proofErr w:type="spellEnd"/>
      <w:r>
        <w:rPr>
          <w:rFonts w:asciiTheme="majorHAnsi" w:hAnsiTheme="majorHAnsi" w:cstheme="majorHAnsi"/>
          <w:sz w:val="18"/>
          <w:szCs w:val="18"/>
        </w:rPr>
        <w:t xml:space="preserve">, S. </w:t>
      </w:r>
      <w:proofErr w:type="spellStart"/>
      <w:r>
        <w:rPr>
          <w:rFonts w:asciiTheme="majorHAnsi" w:hAnsiTheme="majorHAnsi" w:cstheme="majorHAnsi"/>
          <w:sz w:val="18"/>
          <w:szCs w:val="18"/>
        </w:rPr>
        <w:t>Digumarthy</w:t>
      </w:r>
      <w:proofErr w:type="spellEnd"/>
      <w:r>
        <w:rPr>
          <w:rFonts w:asciiTheme="majorHAnsi" w:hAnsiTheme="majorHAnsi" w:cstheme="majorHAnsi"/>
          <w:sz w:val="18"/>
          <w:szCs w:val="18"/>
        </w:rPr>
        <w:t xml:space="preserve">, A. </w:t>
      </w:r>
      <w:proofErr w:type="spellStart"/>
      <w:r>
        <w:rPr>
          <w:rFonts w:asciiTheme="majorHAnsi" w:hAnsiTheme="majorHAnsi" w:cstheme="majorHAnsi"/>
          <w:sz w:val="18"/>
          <w:szCs w:val="18"/>
        </w:rPr>
        <w:t>Muzikansky</w:t>
      </w:r>
      <w:proofErr w:type="spellEnd"/>
      <w:r>
        <w:rPr>
          <w:rFonts w:asciiTheme="majorHAnsi" w:hAnsiTheme="majorHAnsi" w:cstheme="majorHAnsi"/>
          <w:sz w:val="18"/>
          <w:szCs w:val="18"/>
        </w:rPr>
        <w:t xml:space="preserve">, P. Ryan, U. J. </w:t>
      </w:r>
      <w:proofErr w:type="spellStart"/>
      <w:r>
        <w:rPr>
          <w:rFonts w:asciiTheme="majorHAnsi" w:hAnsiTheme="majorHAnsi" w:cstheme="majorHAnsi"/>
          <w:sz w:val="18"/>
          <w:szCs w:val="18"/>
        </w:rPr>
        <w:t>Balis</w:t>
      </w:r>
      <w:proofErr w:type="spellEnd"/>
      <w:r>
        <w:rPr>
          <w:rFonts w:asciiTheme="majorHAnsi" w:hAnsiTheme="majorHAnsi" w:cstheme="majorHAnsi"/>
          <w:sz w:val="18"/>
          <w:szCs w:val="18"/>
        </w:rPr>
        <w:t xml:space="preserve">, R. G. Tompkins, D. A. Haber and M. Toner, </w:t>
      </w:r>
      <w:r>
        <w:rPr>
          <w:rFonts w:asciiTheme="majorHAnsi" w:hAnsiTheme="majorHAnsi" w:cstheme="majorHAnsi"/>
          <w:i/>
          <w:sz w:val="18"/>
          <w:szCs w:val="18"/>
        </w:rPr>
        <w:t>Nature</w:t>
      </w:r>
      <w:r>
        <w:rPr>
          <w:rFonts w:asciiTheme="majorHAnsi" w:hAnsiTheme="majorHAnsi" w:cstheme="majorHAnsi"/>
          <w:sz w:val="18"/>
          <w:szCs w:val="18"/>
        </w:rPr>
        <w:t xml:space="preserve">, 2007, </w:t>
      </w:r>
      <w:r>
        <w:rPr>
          <w:rFonts w:asciiTheme="majorHAnsi" w:hAnsiTheme="majorHAnsi" w:cstheme="majorHAnsi"/>
          <w:b/>
          <w:sz w:val="18"/>
          <w:szCs w:val="18"/>
        </w:rPr>
        <w:t>450</w:t>
      </w:r>
      <w:r>
        <w:rPr>
          <w:rFonts w:asciiTheme="majorHAnsi" w:hAnsiTheme="majorHAnsi" w:cstheme="majorHAnsi"/>
          <w:sz w:val="18"/>
          <w:szCs w:val="18"/>
        </w:rPr>
        <w:t>, 1235.</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lastRenderedPageBreak/>
        <w:t>11.</w:t>
      </w:r>
      <w:r>
        <w:rPr>
          <w:rFonts w:asciiTheme="majorHAnsi" w:hAnsiTheme="majorHAnsi" w:cstheme="majorHAnsi"/>
          <w:sz w:val="18"/>
          <w:szCs w:val="18"/>
        </w:rPr>
        <w:tab/>
        <w:t xml:space="preserve">J. F. </w:t>
      </w:r>
      <w:proofErr w:type="spellStart"/>
      <w:r>
        <w:rPr>
          <w:rFonts w:asciiTheme="majorHAnsi" w:hAnsiTheme="majorHAnsi" w:cstheme="majorHAnsi"/>
          <w:sz w:val="18"/>
          <w:szCs w:val="18"/>
        </w:rPr>
        <w:t>Edd</w:t>
      </w:r>
      <w:proofErr w:type="spellEnd"/>
      <w:r>
        <w:rPr>
          <w:rFonts w:asciiTheme="majorHAnsi" w:hAnsiTheme="majorHAnsi" w:cstheme="majorHAnsi"/>
          <w:sz w:val="18"/>
          <w:szCs w:val="18"/>
        </w:rPr>
        <w:t xml:space="preserve">, D. Di Carlo, K. J. Humphry, S. </w:t>
      </w:r>
      <w:proofErr w:type="spellStart"/>
      <w:r>
        <w:rPr>
          <w:rFonts w:asciiTheme="majorHAnsi" w:hAnsiTheme="majorHAnsi" w:cstheme="majorHAnsi"/>
          <w:sz w:val="18"/>
          <w:szCs w:val="18"/>
        </w:rPr>
        <w:t>Köster</w:t>
      </w:r>
      <w:proofErr w:type="spellEnd"/>
      <w:r>
        <w:rPr>
          <w:rFonts w:asciiTheme="majorHAnsi" w:hAnsiTheme="majorHAnsi" w:cstheme="majorHAnsi"/>
          <w:sz w:val="18"/>
          <w:szCs w:val="18"/>
        </w:rPr>
        <w:t xml:space="preserve">, D. </w:t>
      </w:r>
      <w:proofErr w:type="spellStart"/>
      <w:r>
        <w:rPr>
          <w:rFonts w:asciiTheme="majorHAnsi" w:hAnsiTheme="majorHAnsi" w:cstheme="majorHAnsi"/>
          <w:sz w:val="18"/>
          <w:szCs w:val="18"/>
        </w:rPr>
        <w:t>Irimia</w:t>
      </w:r>
      <w:proofErr w:type="spellEnd"/>
      <w:r>
        <w:rPr>
          <w:rFonts w:asciiTheme="majorHAnsi" w:hAnsiTheme="majorHAnsi" w:cstheme="majorHAnsi"/>
          <w:sz w:val="18"/>
          <w:szCs w:val="18"/>
        </w:rPr>
        <w:t xml:space="preserve">, D. A. </w:t>
      </w:r>
      <w:proofErr w:type="spellStart"/>
      <w:r>
        <w:rPr>
          <w:rFonts w:asciiTheme="majorHAnsi" w:hAnsiTheme="majorHAnsi" w:cstheme="majorHAnsi"/>
          <w:sz w:val="18"/>
          <w:szCs w:val="18"/>
        </w:rPr>
        <w:t>Weitz</w:t>
      </w:r>
      <w:proofErr w:type="spellEnd"/>
      <w:r>
        <w:rPr>
          <w:rFonts w:asciiTheme="majorHAnsi" w:hAnsiTheme="majorHAnsi" w:cstheme="majorHAnsi"/>
          <w:sz w:val="18"/>
          <w:szCs w:val="18"/>
        </w:rPr>
        <w:t xml:space="preserve"> and M. Toner, </w:t>
      </w:r>
      <w:r>
        <w:rPr>
          <w:rFonts w:asciiTheme="majorHAnsi" w:hAnsiTheme="majorHAnsi" w:cstheme="majorHAnsi"/>
          <w:i/>
          <w:sz w:val="18"/>
          <w:szCs w:val="18"/>
        </w:rPr>
        <w:t>Lab on a Chip</w:t>
      </w:r>
      <w:r>
        <w:rPr>
          <w:rFonts w:asciiTheme="majorHAnsi" w:hAnsiTheme="majorHAnsi" w:cstheme="majorHAnsi"/>
          <w:sz w:val="18"/>
          <w:szCs w:val="18"/>
        </w:rPr>
        <w:t xml:space="preserve">, 2008, </w:t>
      </w:r>
      <w:r>
        <w:rPr>
          <w:rFonts w:asciiTheme="majorHAnsi" w:hAnsiTheme="majorHAnsi" w:cstheme="majorHAnsi"/>
          <w:b/>
          <w:sz w:val="18"/>
          <w:szCs w:val="18"/>
        </w:rPr>
        <w:t>8</w:t>
      </w:r>
      <w:r>
        <w:rPr>
          <w:rFonts w:asciiTheme="majorHAnsi" w:hAnsiTheme="majorHAnsi" w:cstheme="majorHAnsi"/>
          <w:sz w:val="18"/>
          <w:szCs w:val="18"/>
        </w:rPr>
        <w:t>, 1262-1264.</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12.</w:t>
      </w:r>
      <w:r>
        <w:rPr>
          <w:rFonts w:asciiTheme="majorHAnsi" w:hAnsiTheme="majorHAnsi" w:cstheme="majorHAnsi"/>
          <w:sz w:val="18"/>
          <w:szCs w:val="18"/>
        </w:rPr>
        <w:tab/>
        <w:t xml:space="preserve">T. P. </w:t>
      </w:r>
      <w:proofErr w:type="spellStart"/>
      <w:r>
        <w:rPr>
          <w:rFonts w:asciiTheme="majorHAnsi" w:hAnsiTheme="majorHAnsi" w:cstheme="majorHAnsi"/>
          <w:sz w:val="18"/>
          <w:szCs w:val="18"/>
        </w:rPr>
        <w:t>Lagus</w:t>
      </w:r>
      <w:proofErr w:type="spellEnd"/>
      <w:r>
        <w:rPr>
          <w:rFonts w:asciiTheme="majorHAnsi" w:hAnsiTheme="majorHAnsi" w:cstheme="majorHAnsi"/>
          <w:sz w:val="18"/>
          <w:szCs w:val="18"/>
        </w:rPr>
        <w:t xml:space="preserve"> and J. F. </w:t>
      </w:r>
      <w:proofErr w:type="spellStart"/>
      <w:r>
        <w:rPr>
          <w:rFonts w:asciiTheme="majorHAnsi" w:hAnsiTheme="majorHAnsi" w:cstheme="majorHAnsi"/>
          <w:sz w:val="18"/>
          <w:szCs w:val="18"/>
        </w:rPr>
        <w:t>Edd</w:t>
      </w:r>
      <w:proofErr w:type="spellEnd"/>
      <w:r>
        <w:rPr>
          <w:rFonts w:asciiTheme="majorHAnsi" w:hAnsiTheme="majorHAnsi" w:cstheme="majorHAnsi"/>
          <w:sz w:val="18"/>
          <w:szCs w:val="18"/>
        </w:rPr>
        <w:t xml:space="preserve">, </w:t>
      </w:r>
      <w:r>
        <w:rPr>
          <w:rFonts w:asciiTheme="majorHAnsi" w:hAnsiTheme="majorHAnsi" w:cstheme="majorHAnsi"/>
          <w:i/>
          <w:sz w:val="18"/>
          <w:szCs w:val="18"/>
        </w:rPr>
        <w:t>RSC Advances</w:t>
      </w:r>
      <w:r>
        <w:rPr>
          <w:rFonts w:asciiTheme="majorHAnsi" w:hAnsiTheme="majorHAnsi" w:cstheme="majorHAnsi"/>
          <w:sz w:val="18"/>
          <w:szCs w:val="18"/>
        </w:rPr>
        <w:t xml:space="preserve">, 2013, </w:t>
      </w:r>
      <w:r>
        <w:rPr>
          <w:rFonts w:asciiTheme="majorHAnsi" w:hAnsiTheme="majorHAnsi" w:cstheme="majorHAnsi"/>
          <w:b/>
          <w:sz w:val="18"/>
          <w:szCs w:val="18"/>
        </w:rPr>
        <w:t>3</w:t>
      </w:r>
      <w:r>
        <w:rPr>
          <w:rFonts w:asciiTheme="majorHAnsi" w:hAnsiTheme="majorHAnsi" w:cstheme="majorHAnsi"/>
          <w:sz w:val="18"/>
          <w:szCs w:val="18"/>
        </w:rPr>
        <w:t>, 20512-20522.</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13.</w:t>
      </w:r>
      <w:r>
        <w:rPr>
          <w:rFonts w:asciiTheme="majorHAnsi" w:hAnsiTheme="majorHAnsi" w:cstheme="majorHAnsi"/>
          <w:sz w:val="18"/>
          <w:szCs w:val="18"/>
        </w:rPr>
        <w:tab/>
        <w:t xml:space="preserve">E. W. M. </w:t>
      </w:r>
      <w:proofErr w:type="spellStart"/>
      <w:r>
        <w:rPr>
          <w:rFonts w:asciiTheme="majorHAnsi" w:hAnsiTheme="majorHAnsi" w:cstheme="majorHAnsi"/>
          <w:sz w:val="18"/>
          <w:szCs w:val="18"/>
        </w:rPr>
        <w:t>Kemna</w:t>
      </w:r>
      <w:proofErr w:type="spellEnd"/>
      <w:r>
        <w:rPr>
          <w:rFonts w:asciiTheme="majorHAnsi" w:hAnsiTheme="majorHAnsi" w:cstheme="majorHAnsi"/>
          <w:sz w:val="18"/>
          <w:szCs w:val="18"/>
        </w:rPr>
        <w:t xml:space="preserve">, R. M. </w:t>
      </w:r>
      <w:proofErr w:type="spellStart"/>
      <w:r>
        <w:rPr>
          <w:rFonts w:asciiTheme="majorHAnsi" w:hAnsiTheme="majorHAnsi" w:cstheme="majorHAnsi"/>
          <w:sz w:val="18"/>
          <w:szCs w:val="18"/>
        </w:rPr>
        <w:t>Schoeman</w:t>
      </w:r>
      <w:proofErr w:type="spellEnd"/>
      <w:r>
        <w:rPr>
          <w:rFonts w:asciiTheme="majorHAnsi" w:hAnsiTheme="majorHAnsi" w:cstheme="majorHAnsi"/>
          <w:sz w:val="18"/>
          <w:szCs w:val="18"/>
        </w:rPr>
        <w:t xml:space="preserve">, F. </w:t>
      </w:r>
      <w:proofErr w:type="spellStart"/>
      <w:r>
        <w:rPr>
          <w:rFonts w:asciiTheme="majorHAnsi" w:hAnsiTheme="majorHAnsi" w:cstheme="majorHAnsi"/>
          <w:sz w:val="18"/>
          <w:szCs w:val="18"/>
        </w:rPr>
        <w:t>Wolbers</w:t>
      </w:r>
      <w:proofErr w:type="spellEnd"/>
      <w:r>
        <w:rPr>
          <w:rFonts w:asciiTheme="majorHAnsi" w:hAnsiTheme="majorHAnsi" w:cstheme="majorHAnsi"/>
          <w:sz w:val="18"/>
          <w:szCs w:val="18"/>
        </w:rPr>
        <w:t xml:space="preserve">, I. Vermes, D. A. </w:t>
      </w:r>
      <w:proofErr w:type="spellStart"/>
      <w:r>
        <w:rPr>
          <w:rFonts w:asciiTheme="majorHAnsi" w:hAnsiTheme="majorHAnsi" w:cstheme="majorHAnsi"/>
          <w:sz w:val="18"/>
          <w:szCs w:val="18"/>
        </w:rPr>
        <w:t>Weitz</w:t>
      </w:r>
      <w:proofErr w:type="spellEnd"/>
      <w:r>
        <w:rPr>
          <w:rFonts w:asciiTheme="majorHAnsi" w:hAnsiTheme="majorHAnsi" w:cstheme="majorHAnsi"/>
          <w:sz w:val="18"/>
          <w:szCs w:val="18"/>
        </w:rPr>
        <w:t xml:space="preserve"> and A. van den Berg, </w:t>
      </w:r>
      <w:r>
        <w:rPr>
          <w:rFonts w:asciiTheme="majorHAnsi" w:hAnsiTheme="majorHAnsi" w:cstheme="majorHAnsi"/>
          <w:i/>
          <w:sz w:val="18"/>
          <w:szCs w:val="18"/>
        </w:rPr>
        <w:t>Lab on a Chip</w:t>
      </w:r>
      <w:r>
        <w:rPr>
          <w:rFonts w:asciiTheme="majorHAnsi" w:hAnsiTheme="majorHAnsi" w:cstheme="majorHAnsi"/>
          <w:sz w:val="18"/>
          <w:szCs w:val="18"/>
        </w:rPr>
        <w:t xml:space="preserve">, 2012, </w:t>
      </w:r>
      <w:r>
        <w:rPr>
          <w:rFonts w:asciiTheme="majorHAnsi" w:hAnsiTheme="majorHAnsi" w:cstheme="majorHAnsi"/>
          <w:b/>
          <w:sz w:val="18"/>
          <w:szCs w:val="18"/>
        </w:rPr>
        <w:t>12</w:t>
      </w:r>
      <w:r>
        <w:rPr>
          <w:rFonts w:asciiTheme="majorHAnsi" w:hAnsiTheme="majorHAnsi" w:cstheme="majorHAnsi"/>
          <w:sz w:val="18"/>
          <w:szCs w:val="18"/>
        </w:rPr>
        <w:t>, 2881-2887.</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14.</w:t>
      </w:r>
      <w:r>
        <w:rPr>
          <w:rFonts w:asciiTheme="majorHAnsi" w:hAnsiTheme="majorHAnsi" w:cstheme="majorHAnsi"/>
          <w:sz w:val="18"/>
          <w:szCs w:val="18"/>
        </w:rPr>
        <w:tab/>
        <w:t xml:space="preserve">J. H. Kim, T. Y. Jeon, T. M. Choi, T. S. Shim, S.-H. Kim and S.-M. Yang, </w:t>
      </w:r>
      <w:r>
        <w:rPr>
          <w:rFonts w:asciiTheme="majorHAnsi" w:hAnsiTheme="majorHAnsi" w:cstheme="majorHAnsi"/>
          <w:i/>
          <w:sz w:val="18"/>
          <w:szCs w:val="18"/>
        </w:rPr>
        <w:t>Langmuir</w:t>
      </w:r>
      <w:r>
        <w:rPr>
          <w:rFonts w:asciiTheme="majorHAnsi" w:hAnsiTheme="majorHAnsi" w:cstheme="majorHAnsi"/>
          <w:sz w:val="18"/>
          <w:szCs w:val="18"/>
        </w:rPr>
        <w:t xml:space="preserve">, 2014, </w:t>
      </w:r>
      <w:r>
        <w:rPr>
          <w:rFonts w:asciiTheme="majorHAnsi" w:hAnsiTheme="majorHAnsi" w:cstheme="majorHAnsi"/>
          <w:b/>
          <w:sz w:val="18"/>
          <w:szCs w:val="18"/>
        </w:rPr>
        <w:t>30</w:t>
      </w:r>
      <w:r>
        <w:rPr>
          <w:rFonts w:asciiTheme="majorHAnsi" w:hAnsiTheme="majorHAnsi" w:cstheme="majorHAnsi"/>
          <w:sz w:val="18"/>
          <w:szCs w:val="18"/>
        </w:rPr>
        <w:t>, 1473-1488.</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15.</w:t>
      </w:r>
      <w:r>
        <w:rPr>
          <w:rFonts w:asciiTheme="majorHAnsi" w:hAnsiTheme="majorHAnsi" w:cstheme="majorHAnsi"/>
          <w:sz w:val="18"/>
          <w:szCs w:val="18"/>
        </w:rPr>
        <w:tab/>
        <w:t xml:space="preserve">B. </w:t>
      </w:r>
      <w:proofErr w:type="spellStart"/>
      <w:r>
        <w:rPr>
          <w:rFonts w:asciiTheme="majorHAnsi" w:hAnsiTheme="majorHAnsi" w:cstheme="majorHAnsi"/>
          <w:sz w:val="18"/>
          <w:szCs w:val="18"/>
        </w:rPr>
        <w:t>Wijnen</w:t>
      </w:r>
      <w:proofErr w:type="spellEnd"/>
      <w:r>
        <w:rPr>
          <w:rFonts w:asciiTheme="majorHAnsi" w:hAnsiTheme="majorHAnsi" w:cstheme="majorHAnsi"/>
          <w:sz w:val="18"/>
          <w:szCs w:val="18"/>
        </w:rPr>
        <w:t xml:space="preserve">, E. J. Hunt, G. C. </w:t>
      </w:r>
      <w:proofErr w:type="spellStart"/>
      <w:r>
        <w:rPr>
          <w:rFonts w:asciiTheme="majorHAnsi" w:hAnsiTheme="majorHAnsi" w:cstheme="majorHAnsi"/>
          <w:sz w:val="18"/>
          <w:szCs w:val="18"/>
        </w:rPr>
        <w:t>Anzalone</w:t>
      </w:r>
      <w:proofErr w:type="spellEnd"/>
      <w:r>
        <w:rPr>
          <w:rFonts w:asciiTheme="majorHAnsi" w:hAnsiTheme="majorHAnsi" w:cstheme="majorHAnsi"/>
          <w:sz w:val="18"/>
          <w:szCs w:val="18"/>
        </w:rPr>
        <w:t xml:space="preserve"> and J. M. Pearce, </w:t>
      </w:r>
      <w:r>
        <w:rPr>
          <w:rFonts w:asciiTheme="majorHAnsi" w:hAnsiTheme="majorHAnsi" w:cstheme="majorHAnsi"/>
          <w:i/>
          <w:sz w:val="18"/>
          <w:szCs w:val="18"/>
        </w:rPr>
        <w:t>PLOS ONE</w:t>
      </w:r>
      <w:r>
        <w:rPr>
          <w:rFonts w:asciiTheme="majorHAnsi" w:hAnsiTheme="majorHAnsi" w:cstheme="majorHAnsi"/>
          <w:sz w:val="18"/>
          <w:szCs w:val="18"/>
        </w:rPr>
        <w:t xml:space="preserve">, 2014, </w:t>
      </w:r>
      <w:r>
        <w:rPr>
          <w:rFonts w:asciiTheme="majorHAnsi" w:hAnsiTheme="majorHAnsi" w:cstheme="majorHAnsi"/>
          <w:b/>
          <w:sz w:val="18"/>
          <w:szCs w:val="18"/>
        </w:rPr>
        <w:t>9</w:t>
      </w:r>
      <w:r>
        <w:rPr>
          <w:rFonts w:asciiTheme="majorHAnsi" w:hAnsiTheme="majorHAnsi" w:cstheme="majorHAnsi"/>
          <w:sz w:val="18"/>
          <w:szCs w:val="18"/>
        </w:rPr>
        <w:t>, e107216.</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16.</w:t>
      </w:r>
      <w:r>
        <w:rPr>
          <w:rFonts w:asciiTheme="majorHAnsi" w:hAnsiTheme="majorHAnsi" w:cstheme="majorHAnsi"/>
          <w:sz w:val="18"/>
          <w:szCs w:val="18"/>
        </w:rPr>
        <w:tab/>
        <w:t xml:space="preserve">E. </w:t>
      </w:r>
      <w:proofErr w:type="spellStart"/>
      <w:r>
        <w:rPr>
          <w:rFonts w:asciiTheme="majorHAnsi" w:hAnsiTheme="majorHAnsi" w:cstheme="majorHAnsi"/>
          <w:sz w:val="18"/>
          <w:szCs w:val="18"/>
        </w:rPr>
        <w:t>Gibney</w:t>
      </w:r>
      <w:proofErr w:type="spellEnd"/>
      <w:r>
        <w:rPr>
          <w:rFonts w:asciiTheme="majorHAnsi" w:hAnsiTheme="majorHAnsi" w:cstheme="majorHAnsi"/>
          <w:sz w:val="18"/>
          <w:szCs w:val="18"/>
        </w:rPr>
        <w:t xml:space="preserve">, </w:t>
      </w:r>
      <w:r>
        <w:rPr>
          <w:rFonts w:asciiTheme="majorHAnsi" w:hAnsiTheme="majorHAnsi" w:cstheme="majorHAnsi"/>
          <w:i/>
          <w:sz w:val="18"/>
          <w:szCs w:val="18"/>
        </w:rPr>
        <w:t>Nature</w:t>
      </w:r>
      <w:r>
        <w:rPr>
          <w:rFonts w:asciiTheme="majorHAnsi" w:hAnsiTheme="majorHAnsi" w:cstheme="majorHAnsi"/>
          <w:sz w:val="18"/>
          <w:szCs w:val="18"/>
        </w:rPr>
        <w:t xml:space="preserve">, 2016, </w:t>
      </w:r>
      <w:r>
        <w:rPr>
          <w:rFonts w:asciiTheme="majorHAnsi" w:hAnsiTheme="majorHAnsi" w:cstheme="majorHAnsi"/>
          <w:b/>
          <w:sz w:val="18"/>
          <w:szCs w:val="18"/>
        </w:rPr>
        <w:t>531</w:t>
      </w:r>
      <w:r>
        <w:rPr>
          <w:rFonts w:asciiTheme="majorHAnsi" w:hAnsiTheme="majorHAnsi" w:cstheme="majorHAnsi"/>
          <w:sz w:val="18"/>
          <w:szCs w:val="18"/>
        </w:rPr>
        <w:t>, 147-148.</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17.</w:t>
      </w:r>
      <w:r>
        <w:rPr>
          <w:rFonts w:asciiTheme="majorHAnsi" w:hAnsiTheme="majorHAnsi" w:cstheme="majorHAnsi"/>
          <w:sz w:val="18"/>
          <w:szCs w:val="18"/>
        </w:rPr>
        <w:tab/>
        <w:t xml:space="preserve">D. S. Kong, T. A. </w:t>
      </w:r>
      <w:proofErr w:type="spellStart"/>
      <w:r>
        <w:rPr>
          <w:rFonts w:asciiTheme="majorHAnsi" w:hAnsiTheme="majorHAnsi" w:cstheme="majorHAnsi"/>
          <w:sz w:val="18"/>
          <w:szCs w:val="18"/>
        </w:rPr>
        <w:t>Thorsen</w:t>
      </w:r>
      <w:proofErr w:type="spellEnd"/>
      <w:r>
        <w:rPr>
          <w:rFonts w:asciiTheme="majorHAnsi" w:hAnsiTheme="majorHAnsi" w:cstheme="majorHAnsi"/>
          <w:sz w:val="18"/>
          <w:szCs w:val="18"/>
        </w:rPr>
        <w:t xml:space="preserve">, J. Babb, S. T. Wick, J. J. Gam, R. Weiss and P. A. </w:t>
      </w:r>
      <w:proofErr w:type="spellStart"/>
      <w:r>
        <w:rPr>
          <w:rFonts w:asciiTheme="majorHAnsi" w:hAnsiTheme="majorHAnsi" w:cstheme="majorHAnsi"/>
          <w:sz w:val="18"/>
          <w:szCs w:val="18"/>
        </w:rPr>
        <w:t>Carr</w:t>
      </w:r>
      <w:proofErr w:type="spellEnd"/>
      <w:r>
        <w:rPr>
          <w:rFonts w:asciiTheme="majorHAnsi" w:hAnsiTheme="majorHAnsi" w:cstheme="majorHAnsi"/>
          <w:sz w:val="18"/>
          <w:szCs w:val="18"/>
        </w:rPr>
        <w:t xml:space="preserve">, </w:t>
      </w:r>
      <w:r>
        <w:rPr>
          <w:rFonts w:asciiTheme="majorHAnsi" w:hAnsiTheme="majorHAnsi" w:cstheme="majorHAnsi"/>
          <w:i/>
          <w:sz w:val="18"/>
          <w:szCs w:val="18"/>
        </w:rPr>
        <w:t>Nature Biotechnology</w:t>
      </w:r>
      <w:r>
        <w:rPr>
          <w:rFonts w:asciiTheme="majorHAnsi" w:hAnsiTheme="majorHAnsi" w:cstheme="majorHAnsi"/>
          <w:sz w:val="18"/>
          <w:szCs w:val="18"/>
        </w:rPr>
        <w:t xml:space="preserve">, 2017, </w:t>
      </w:r>
      <w:r>
        <w:rPr>
          <w:rFonts w:asciiTheme="majorHAnsi" w:hAnsiTheme="majorHAnsi" w:cstheme="majorHAnsi"/>
          <w:b/>
          <w:sz w:val="18"/>
          <w:szCs w:val="18"/>
        </w:rPr>
        <w:t>35</w:t>
      </w:r>
      <w:r>
        <w:rPr>
          <w:rFonts w:asciiTheme="majorHAnsi" w:hAnsiTheme="majorHAnsi" w:cstheme="majorHAnsi"/>
          <w:sz w:val="18"/>
          <w:szCs w:val="18"/>
        </w:rPr>
        <w:t>, 523.</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18.</w:t>
      </w:r>
      <w:r>
        <w:rPr>
          <w:rFonts w:asciiTheme="majorHAnsi" w:hAnsiTheme="majorHAnsi" w:cstheme="majorHAnsi"/>
          <w:sz w:val="18"/>
          <w:szCs w:val="18"/>
        </w:rPr>
        <w:tab/>
        <w:t xml:space="preserve">W. Stephenson, L. T. </w:t>
      </w:r>
      <w:proofErr w:type="spellStart"/>
      <w:r>
        <w:rPr>
          <w:rFonts w:asciiTheme="majorHAnsi" w:hAnsiTheme="majorHAnsi" w:cstheme="majorHAnsi"/>
          <w:sz w:val="18"/>
          <w:szCs w:val="18"/>
        </w:rPr>
        <w:t>Donlin</w:t>
      </w:r>
      <w:proofErr w:type="spellEnd"/>
      <w:r>
        <w:rPr>
          <w:rFonts w:asciiTheme="majorHAnsi" w:hAnsiTheme="majorHAnsi" w:cstheme="majorHAnsi"/>
          <w:sz w:val="18"/>
          <w:szCs w:val="18"/>
        </w:rPr>
        <w:t xml:space="preserve">, A. Butler, C. </w:t>
      </w:r>
      <w:proofErr w:type="spellStart"/>
      <w:r>
        <w:rPr>
          <w:rFonts w:asciiTheme="majorHAnsi" w:hAnsiTheme="majorHAnsi" w:cstheme="majorHAnsi"/>
          <w:sz w:val="18"/>
          <w:szCs w:val="18"/>
        </w:rPr>
        <w:t>Rozo</w:t>
      </w:r>
      <w:proofErr w:type="spellEnd"/>
      <w:r>
        <w:rPr>
          <w:rFonts w:asciiTheme="majorHAnsi" w:hAnsiTheme="majorHAnsi" w:cstheme="majorHAnsi"/>
          <w:sz w:val="18"/>
          <w:szCs w:val="18"/>
        </w:rPr>
        <w:t xml:space="preserve">, B. Bracken, A. </w:t>
      </w:r>
      <w:proofErr w:type="spellStart"/>
      <w:r>
        <w:rPr>
          <w:rFonts w:asciiTheme="majorHAnsi" w:hAnsiTheme="majorHAnsi" w:cstheme="majorHAnsi"/>
          <w:sz w:val="18"/>
          <w:szCs w:val="18"/>
        </w:rPr>
        <w:t>Rashidfarrokhi</w:t>
      </w:r>
      <w:proofErr w:type="spellEnd"/>
      <w:r>
        <w:rPr>
          <w:rFonts w:asciiTheme="majorHAnsi" w:hAnsiTheme="majorHAnsi" w:cstheme="majorHAnsi"/>
          <w:sz w:val="18"/>
          <w:szCs w:val="18"/>
        </w:rPr>
        <w:t xml:space="preserve">, S. M. Goodman, L. B. </w:t>
      </w:r>
      <w:proofErr w:type="spellStart"/>
      <w:r>
        <w:rPr>
          <w:rFonts w:asciiTheme="majorHAnsi" w:hAnsiTheme="majorHAnsi" w:cstheme="majorHAnsi"/>
          <w:sz w:val="18"/>
          <w:szCs w:val="18"/>
        </w:rPr>
        <w:t>Ivashkiv</w:t>
      </w:r>
      <w:proofErr w:type="spellEnd"/>
      <w:r>
        <w:rPr>
          <w:rFonts w:asciiTheme="majorHAnsi" w:hAnsiTheme="majorHAnsi" w:cstheme="majorHAnsi"/>
          <w:sz w:val="18"/>
          <w:szCs w:val="18"/>
        </w:rPr>
        <w:t xml:space="preserve">, V. P. </w:t>
      </w:r>
      <w:proofErr w:type="spellStart"/>
      <w:r>
        <w:rPr>
          <w:rFonts w:asciiTheme="majorHAnsi" w:hAnsiTheme="majorHAnsi" w:cstheme="majorHAnsi"/>
          <w:sz w:val="18"/>
          <w:szCs w:val="18"/>
        </w:rPr>
        <w:t>Bykerk</w:t>
      </w:r>
      <w:proofErr w:type="spellEnd"/>
      <w:r>
        <w:rPr>
          <w:rFonts w:asciiTheme="majorHAnsi" w:hAnsiTheme="majorHAnsi" w:cstheme="majorHAnsi"/>
          <w:sz w:val="18"/>
          <w:szCs w:val="18"/>
        </w:rPr>
        <w:t xml:space="preserve">, D. E. Orange, R. B. Darnell, H. P. </w:t>
      </w:r>
      <w:proofErr w:type="spellStart"/>
      <w:r>
        <w:rPr>
          <w:rFonts w:asciiTheme="majorHAnsi" w:hAnsiTheme="majorHAnsi" w:cstheme="majorHAnsi"/>
          <w:sz w:val="18"/>
          <w:szCs w:val="18"/>
        </w:rPr>
        <w:t>Swerdlow</w:t>
      </w:r>
      <w:proofErr w:type="spellEnd"/>
      <w:r>
        <w:rPr>
          <w:rFonts w:asciiTheme="majorHAnsi" w:hAnsiTheme="majorHAnsi" w:cstheme="majorHAnsi"/>
          <w:sz w:val="18"/>
          <w:szCs w:val="18"/>
        </w:rPr>
        <w:t xml:space="preserve"> and R. </w:t>
      </w:r>
      <w:proofErr w:type="spellStart"/>
      <w:r>
        <w:rPr>
          <w:rFonts w:asciiTheme="majorHAnsi" w:hAnsiTheme="majorHAnsi" w:cstheme="majorHAnsi"/>
          <w:sz w:val="18"/>
          <w:szCs w:val="18"/>
        </w:rPr>
        <w:t>Satija</w:t>
      </w:r>
      <w:proofErr w:type="spellEnd"/>
      <w:r>
        <w:rPr>
          <w:rFonts w:asciiTheme="majorHAnsi" w:hAnsiTheme="majorHAnsi" w:cstheme="majorHAnsi"/>
          <w:sz w:val="18"/>
          <w:szCs w:val="18"/>
        </w:rPr>
        <w:t xml:space="preserve">, </w:t>
      </w:r>
      <w:r>
        <w:rPr>
          <w:rFonts w:asciiTheme="majorHAnsi" w:hAnsiTheme="majorHAnsi" w:cstheme="majorHAnsi"/>
          <w:i/>
          <w:sz w:val="18"/>
          <w:szCs w:val="18"/>
        </w:rPr>
        <w:t>Nature Communications</w:t>
      </w:r>
      <w:r>
        <w:rPr>
          <w:rFonts w:asciiTheme="majorHAnsi" w:hAnsiTheme="majorHAnsi" w:cstheme="majorHAnsi"/>
          <w:sz w:val="18"/>
          <w:szCs w:val="18"/>
        </w:rPr>
        <w:t xml:space="preserve">, 2018, </w:t>
      </w:r>
      <w:r>
        <w:rPr>
          <w:rFonts w:asciiTheme="majorHAnsi" w:hAnsiTheme="majorHAnsi" w:cstheme="majorHAnsi"/>
          <w:b/>
          <w:sz w:val="18"/>
          <w:szCs w:val="18"/>
        </w:rPr>
        <w:t>9</w:t>
      </w:r>
      <w:r>
        <w:rPr>
          <w:rFonts w:asciiTheme="majorHAnsi" w:hAnsiTheme="majorHAnsi" w:cstheme="majorHAnsi"/>
          <w:sz w:val="18"/>
          <w:szCs w:val="18"/>
        </w:rPr>
        <w:t>, 791.</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19.</w:t>
      </w:r>
      <w:r>
        <w:rPr>
          <w:rFonts w:asciiTheme="majorHAnsi" w:hAnsiTheme="majorHAnsi" w:cstheme="majorHAnsi"/>
          <w:sz w:val="18"/>
          <w:szCs w:val="18"/>
        </w:rPr>
        <w:tab/>
        <w:t xml:space="preserve">J. M. Pearce, </w:t>
      </w:r>
      <w:r>
        <w:rPr>
          <w:rFonts w:asciiTheme="majorHAnsi" w:hAnsiTheme="majorHAnsi" w:cstheme="majorHAnsi"/>
          <w:i/>
          <w:sz w:val="18"/>
          <w:szCs w:val="18"/>
        </w:rPr>
        <w:t>Science</w:t>
      </w:r>
      <w:r>
        <w:rPr>
          <w:rFonts w:asciiTheme="majorHAnsi" w:hAnsiTheme="majorHAnsi" w:cstheme="majorHAnsi"/>
          <w:sz w:val="18"/>
          <w:szCs w:val="18"/>
        </w:rPr>
        <w:t xml:space="preserve">, 2012, </w:t>
      </w:r>
      <w:r>
        <w:rPr>
          <w:rFonts w:asciiTheme="majorHAnsi" w:hAnsiTheme="majorHAnsi" w:cstheme="majorHAnsi"/>
          <w:b/>
          <w:sz w:val="18"/>
          <w:szCs w:val="18"/>
        </w:rPr>
        <w:t>337</w:t>
      </w:r>
      <w:r>
        <w:rPr>
          <w:rFonts w:asciiTheme="majorHAnsi" w:hAnsiTheme="majorHAnsi" w:cstheme="majorHAnsi"/>
          <w:sz w:val="18"/>
          <w:szCs w:val="18"/>
        </w:rPr>
        <w:t>, 1303.</w:t>
      </w:r>
    </w:p>
    <w:p w:rsidR="003027A1" w:rsidRDefault="008D53D5">
      <w:pPr>
        <w:pStyle w:val="EndNoteBibliography"/>
        <w:spacing w:after="60"/>
        <w:ind w:left="720" w:hanging="720"/>
        <w:rPr>
          <w:rFonts w:asciiTheme="majorHAnsi" w:hAnsiTheme="majorHAnsi" w:cstheme="majorHAnsi"/>
          <w:sz w:val="18"/>
          <w:szCs w:val="18"/>
        </w:rPr>
      </w:pPr>
      <w:r>
        <w:rPr>
          <w:rFonts w:asciiTheme="majorHAnsi" w:hAnsiTheme="majorHAnsi" w:cstheme="majorHAnsi"/>
          <w:sz w:val="18"/>
          <w:szCs w:val="18"/>
        </w:rPr>
        <w:t>20.</w:t>
      </w:r>
      <w:r>
        <w:rPr>
          <w:rFonts w:asciiTheme="majorHAnsi" w:hAnsiTheme="majorHAnsi" w:cstheme="majorHAnsi"/>
          <w:sz w:val="18"/>
          <w:szCs w:val="18"/>
        </w:rPr>
        <w:tab/>
      </w:r>
      <w:hyperlink r:id="rId10" w:history="1">
        <w:r w:rsidR="00322D71" w:rsidRPr="00077282">
          <w:rPr>
            <w:rStyle w:val="Hyperlink"/>
            <w:rFonts w:asciiTheme="majorHAnsi" w:hAnsiTheme="majorHAnsi" w:cstheme="majorHAnsi"/>
            <w:sz w:val="18"/>
            <w:szCs w:val="18"/>
          </w:rPr>
          <w:t>https://github.com/JohnnyJamesWest/Perpetual-Sedimentation</w:t>
        </w:r>
      </w:hyperlink>
    </w:p>
    <w:p w:rsidR="00322D71" w:rsidRPr="00322D71" w:rsidRDefault="00322D71" w:rsidP="00322D71">
      <w:pPr>
        <w:pStyle w:val="EndNoteBibliography"/>
        <w:ind w:left="720" w:hanging="720"/>
        <w:rPr>
          <w:rFonts w:asciiTheme="majorHAnsi" w:hAnsiTheme="majorHAnsi" w:cstheme="majorHAnsi"/>
          <w:noProof/>
          <w:sz w:val="18"/>
          <w:szCs w:val="18"/>
        </w:rPr>
      </w:pPr>
      <w:r w:rsidRPr="00322D71">
        <w:rPr>
          <w:rFonts w:asciiTheme="majorHAnsi" w:hAnsiTheme="majorHAnsi" w:cstheme="majorHAnsi"/>
          <w:noProof/>
          <w:sz w:val="18"/>
          <w:szCs w:val="18"/>
        </w:rPr>
        <w:t>21.</w:t>
      </w:r>
      <w:r w:rsidRPr="00322D71">
        <w:rPr>
          <w:rFonts w:asciiTheme="majorHAnsi" w:hAnsiTheme="majorHAnsi" w:cstheme="majorHAnsi"/>
          <w:noProof/>
          <w:sz w:val="18"/>
          <w:szCs w:val="18"/>
        </w:rPr>
        <w:tab/>
        <w:t xml:space="preserve">M. R. Maxey and J. J. Riley, </w:t>
      </w:r>
      <w:r w:rsidRPr="00322D71">
        <w:rPr>
          <w:rFonts w:asciiTheme="majorHAnsi" w:hAnsiTheme="majorHAnsi" w:cstheme="majorHAnsi"/>
          <w:i/>
          <w:noProof/>
          <w:sz w:val="18"/>
          <w:szCs w:val="18"/>
        </w:rPr>
        <w:t>The Physics of Fluids</w:t>
      </w:r>
      <w:r w:rsidRPr="00322D71">
        <w:rPr>
          <w:rFonts w:asciiTheme="majorHAnsi" w:hAnsiTheme="majorHAnsi" w:cstheme="majorHAnsi"/>
          <w:noProof/>
          <w:sz w:val="18"/>
          <w:szCs w:val="18"/>
        </w:rPr>
        <w:t xml:space="preserve">, 1983, </w:t>
      </w:r>
      <w:r w:rsidRPr="00322D71">
        <w:rPr>
          <w:rFonts w:asciiTheme="majorHAnsi" w:hAnsiTheme="majorHAnsi" w:cstheme="majorHAnsi"/>
          <w:b/>
          <w:noProof/>
          <w:sz w:val="18"/>
          <w:szCs w:val="18"/>
        </w:rPr>
        <w:t>26</w:t>
      </w:r>
      <w:r w:rsidRPr="00322D71">
        <w:rPr>
          <w:rFonts w:asciiTheme="majorHAnsi" w:hAnsiTheme="majorHAnsi" w:cstheme="majorHAnsi"/>
          <w:noProof/>
          <w:sz w:val="18"/>
          <w:szCs w:val="18"/>
        </w:rPr>
        <w:t>, 883-889.</w:t>
      </w:r>
    </w:p>
    <w:p w:rsidR="00322D71" w:rsidRDefault="00322D71">
      <w:pPr>
        <w:pStyle w:val="EndNoteBibliography"/>
        <w:spacing w:after="60"/>
        <w:ind w:left="720" w:hanging="720"/>
        <w:rPr>
          <w:rFonts w:asciiTheme="majorHAnsi" w:hAnsiTheme="majorHAnsi" w:cstheme="majorHAnsi"/>
          <w:sz w:val="18"/>
          <w:szCs w:val="18"/>
        </w:rPr>
      </w:pPr>
    </w:p>
    <w:p w:rsidR="003027A1" w:rsidRDefault="003027A1">
      <w:pPr>
        <w:spacing w:after="60"/>
        <w:rPr>
          <w:rFonts w:asciiTheme="majorHAnsi" w:hAnsiTheme="majorHAnsi" w:cstheme="majorHAnsi"/>
        </w:rPr>
      </w:pPr>
    </w:p>
    <w:p w:rsidR="003027A1" w:rsidRDefault="008D53D5">
      <w:pPr>
        <w:tabs>
          <w:tab w:val="left" w:pos="6426"/>
        </w:tabs>
      </w:pPr>
      <w:r>
        <w:rPr>
          <w:rFonts w:asciiTheme="majorHAnsi" w:hAnsiTheme="majorHAnsi" w:cstheme="majorHAnsi"/>
        </w:rPr>
        <w:tab/>
      </w:r>
    </w:p>
    <w:p w:rsidR="003027A1" w:rsidRDefault="003027A1">
      <w:pPr>
        <w:tabs>
          <w:tab w:val="left" w:pos="6426"/>
        </w:tabs>
      </w:pPr>
    </w:p>
    <w:sectPr w:rsidR="003027A1">
      <w:pgSz w:w="11906" w:h="16838"/>
      <w:pgMar w:top="1440" w:right="1440" w:bottom="1440" w:left="144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b on a Chip&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29aav9tpap2jer9znvats5atxsrd90z9p5&quot;&gt;PS EndNote Library&lt;record-ids&gt;&lt;item&gt;32&lt;/item&gt;&lt;/record-ids&gt;&lt;/item&gt;&lt;/Libraries&gt;"/>
  </w:docVars>
  <w:rsids>
    <w:rsidRoot w:val="003027A1"/>
    <w:rsid w:val="00091035"/>
    <w:rsid w:val="000D5A1E"/>
    <w:rsid w:val="001B7702"/>
    <w:rsid w:val="001D744D"/>
    <w:rsid w:val="003027A1"/>
    <w:rsid w:val="00322D71"/>
    <w:rsid w:val="00516966"/>
    <w:rsid w:val="00680DD5"/>
    <w:rsid w:val="00736F20"/>
    <w:rsid w:val="008D53D5"/>
    <w:rsid w:val="00926D3B"/>
    <w:rsid w:val="00942FFB"/>
    <w:rsid w:val="00B42C0C"/>
    <w:rsid w:val="00C33813"/>
    <w:rsid w:val="00CF57B4"/>
    <w:rsid w:val="00DA47EA"/>
    <w:rsid w:val="00DB43C6"/>
    <w:rsid w:val="00DF438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4423A"/>
  <w15:docId w15:val="{BA6D4A70-9E66-482E-872C-48AF2B28C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C97443"/>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921D91"/>
    <w:rPr>
      <w:rFonts w:ascii="Segoe UI" w:hAnsi="Segoe UI" w:cs="Segoe UI"/>
      <w:sz w:val="18"/>
      <w:szCs w:val="18"/>
    </w:rPr>
  </w:style>
  <w:style w:type="character" w:customStyle="1" w:styleId="InternetLink">
    <w:name w:val="Internet Link"/>
    <w:basedOn w:val="DefaultParagraphFont"/>
    <w:uiPriority w:val="99"/>
    <w:unhideWhenUsed/>
    <w:rsid w:val="00813EFF"/>
    <w:rPr>
      <w:color w:val="0563C1" w:themeColor="hyperlink"/>
      <w:u w:val="single"/>
    </w:rPr>
  </w:style>
  <w:style w:type="character" w:customStyle="1" w:styleId="EndNoteBibliographyTitleChar">
    <w:name w:val="EndNote Bibliography Title Char"/>
    <w:basedOn w:val="DefaultParagraphFont"/>
    <w:link w:val="EndNoteBibliographyTitle"/>
    <w:qFormat/>
    <w:rsid w:val="005A5FD8"/>
    <w:rPr>
      <w:rFonts w:ascii="Calibri" w:hAnsi="Calibri" w:cs="Calibri"/>
      <w:lang w:val="en-US"/>
    </w:rPr>
  </w:style>
  <w:style w:type="character" w:customStyle="1" w:styleId="EndNoteBibliographyChar">
    <w:name w:val="EndNote Bibliography Char"/>
    <w:basedOn w:val="DefaultParagraphFont"/>
    <w:link w:val="EndNoteBibliography"/>
    <w:qFormat/>
    <w:rsid w:val="005A5FD8"/>
    <w:rPr>
      <w:rFonts w:ascii="Calibri" w:hAnsi="Calibri" w:cs="Calibri"/>
      <w:lang w:val="en-US"/>
    </w:rPr>
  </w:style>
  <w:style w:type="character" w:customStyle="1" w:styleId="Heading1Char">
    <w:name w:val="Heading 1 Char"/>
    <w:basedOn w:val="DefaultParagraphFont"/>
    <w:link w:val="Heading1"/>
    <w:uiPriority w:val="9"/>
    <w:qFormat/>
    <w:rsid w:val="00C97443"/>
    <w:rPr>
      <w:rFonts w:asciiTheme="majorHAnsi" w:eastAsiaTheme="majorEastAsia" w:hAnsiTheme="majorHAnsi" w:cstheme="majorBidi"/>
      <w:color w:val="2E74B5" w:themeColor="accent1" w:themeShade="BF"/>
      <w:sz w:val="32"/>
      <w:szCs w:val="32"/>
      <w:lang w:val="en-US"/>
    </w:rPr>
  </w:style>
  <w:style w:type="character" w:styleId="CommentReference">
    <w:name w:val="annotation reference"/>
    <w:basedOn w:val="DefaultParagraphFont"/>
    <w:uiPriority w:val="99"/>
    <w:semiHidden/>
    <w:unhideWhenUsed/>
    <w:qFormat/>
    <w:rsid w:val="00D371F6"/>
    <w:rPr>
      <w:sz w:val="16"/>
      <w:szCs w:val="16"/>
    </w:rPr>
  </w:style>
  <w:style w:type="character" w:customStyle="1" w:styleId="CommentTextChar">
    <w:name w:val="Comment Text Char"/>
    <w:basedOn w:val="DefaultParagraphFont"/>
    <w:link w:val="CommentText"/>
    <w:uiPriority w:val="99"/>
    <w:semiHidden/>
    <w:qFormat/>
    <w:rsid w:val="00D371F6"/>
    <w:rPr>
      <w:sz w:val="20"/>
      <w:szCs w:val="20"/>
    </w:rPr>
  </w:style>
  <w:style w:type="character" w:customStyle="1" w:styleId="CommentSubjectChar">
    <w:name w:val="Comment Subject Char"/>
    <w:basedOn w:val="CommentTextChar"/>
    <w:link w:val="CommentSubject"/>
    <w:uiPriority w:val="99"/>
    <w:semiHidden/>
    <w:qFormat/>
    <w:rsid w:val="00D371F6"/>
    <w:rPr>
      <w:b/>
      <w:bCs/>
      <w:sz w:val="20"/>
      <w:szCs w:val="20"/>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921D91"/>
    <w:pPr>
      <w:spacing w:after="0" w:line="240" w:lineRule="auto"/>
    </w:pPr>
    <w:rPr>
      <w:rFonts w:ascii="Segoe UI" w:hAnsi="Segoe UI" w:cs="Segoe UI"/>
      <w:sz w:val="18"/>
      <w:szCs w:val="18"/>
    </w:rPr>
  </w:style>
  <w:style w:type="paragraph" w:styleId="ListParagraph">
    <w:name w:val="List Paragraph"/>
    <w:basedOn w:val="Normal"/>
    <w:uiPriority w:val="34"/>
    <w:qFormat/>
    <w:rsid w:val="000029A9"/>
    <w:pPr>
      <w:ind w:left="720"/>
      <w:contextualSpacing/>
    </w:pPr>
  </w:style>
  <w:style w:type="paragraph" w:customStyle="1" w:styleId="EndNoteBibliographyTitle">
    <w:name w:val="EndNote Bibliography Title"/>
    <w:basedOn w:val="Normal"/>
    <w:link w:val="EndNoteBibliographyTitleChar"/>
    <w:qFormat/>
    <w:rsid w:val="005A5FD8"/>
    <w:pPr>
      <w:spacing w:after="0"/>
      <w:jc w:val="center"/>
    </w:pPr>
    <w:rPr>
      <w:rFonts w:ascii="Calibri" w:hAnsi="Calibri" w:cs="Calibri"/>
      <w:lang w:val="en-US"/>
    </w:rPr>
  </w:style>
  <w:style w:type="paragraph" w:customStyle="1" w:styleId="EndNoteBibliography">
    <w:name w:val="EndNote Bibliography"/>
    <w:basedOn w:val="Normal"/>
    <w:link w:val="EndNoteBibliographyChar"/>
    <w:qFormat/>
    <w:rsid w:val="005A5FD8"/>
    <w:pPr>
      <w:spacing w:line="240" w:lineRule="auto"/>
    </w:pPr>
    <w:rPr>
      <w:rFonts w:ascii="Calibri" w:hAnsi="Calibri" w:cs="Calibri"/>
      <w:lang w:val="en-US"/>
    </w:rPr>
  </w:style>
  <w:style w:type="paragraph" w:styleId="CommentText">
    <w:name w:val="annotation text"/>
    <w:basedOn w:val="Normal"/>
    <w:link w:val="CommentTextChar"/>
    <w:uiPriority w:val="99"/>
    <w:semiHidden/>
    <w:unhideWhenUsed/>
    <w:qFormat/>
    <w:rsid w:val="00D371F6"/>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D371F6"/>
    <w:rPr>
      <w:b/>
      <w:bCs/>
    </w:rPr>
  </w:style>
  <w:style w:type="character" w:styleId="Hyperlink">
    <w:name w:val="Hyperlink"/>
    <w:basedOn w:val="DefaultParagraphFont"/>
    <w:uiPriority w:val="99"/>
    <w:unhideWhenUsed/>
    <w:rsid w:val="00322D7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Relationship Id="rId11" Type="http://schemas.openxmlformats.org/officeDocument/2006/relationships/fontTable" Target="fontTable.xml"/><Relationship Id="rId5" Type="http://schemas.openxmlformats.org/officeDocument/2006/relationships/image" Target="media/image1.tif"/><Relationship Id="rId10" Type="http://schemas.openxmlformats.org/officeDocument/2006/relationships/hyperlink" Target="https://github.com/JohnnyJamesWest/Perpetual-Sedimentation" TargetMode="External"/><Relationship Id="rId4" Type="http://schemas.openxmlformats.org/officeDocument/2006/relationships/webSettings" Target="webSettings.xml"/><Relationship Id="rId9"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E3417-CAE6-41B6-9FA1-7EF3FA5628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9</Pages>
  <Words>5151</Words>
  <Characters>29363</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34446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J.J.</dc:creator>
  <cp:keywords/>
  <dc:description/>
  <cp:lastModifiedBy>West J.J.</cp:lastModifiedBy>
  <cp:revision>14</cp:revision>
  <cp:lastPrinted>2019-09-30T15:56:00Z</cp:lastPrinted>
  <dcterms:created xsi:type="dcterms:W3CDTF">2019-09-27T16:09:00Z</dcterms:created>
  <dcterms:modified xsi:type="dcterms:W3CDTF">2019-10-01T14:32:00Z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none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http://www.zotero.org/styles/apa</vt:lpwstr>
  </property>
  <property fmtid="{D5CDD505-2E9C-101B-9397-08002B2CF9AE}" pid="8" name="Mendeley Document_1">
    <vt:lpwstr>True</vt:lpwstr>
  </property>
  <property fmtid="{D5CDD505-2E9C-101B-9397-08002B2CF9AE}" pid="9" name="Mendeley Recent Style Id 0_1">
    <vt:lpwstr>http://www.zotero.org/styles/american-medical-association</vt:lpwstr>
  </property>
  <property fmtid="{D5CDD505-2E9C-101B-9397-08002B2CF9AE}" pid="10" name="Mendeley Recent Style Id 1_1">
    <vt:lpwstr>http://www.zotero.org/styles/american-political-science-association</vt:lpwstr>
  </property>
  <property fmtid="{D5CDD505-2E9C-101B-9397-08002B2CF9AE}" pid="11" name="Mendeley Recent Style Id 2_1">
    <vt:lpwstr>http://www.zotero.org/styles/apa</vt:lpwstr>
  </property>
  <property fmtid="{D5CDD505-2E9C-101B-9397-08002B2CF9AE}" pid="12" name="Mendeley Recent Style Id 3_1">
    <vt:lpwstr>http://www.zotero.org/styles/american-sociological-association</vt:lpwstr>
  </property>
  <property fmtid="{D5CDD505-2E9C-101B-9397-08002B2CF9AE}" pid="13" name="Mendeley Recent Style Id 4_1">
    <vt:lpwstr>http://www.zotero.org/styles/chicago-author-date</vt:lpwstr>
  </property>
  <property fmtid="{D5CDD505-2E9C-101B-9397-08002B2CF9AE}" pid="14" name="Mendeley Recent Style Id 5_1">
    <vt:lpwstr>http://www.zotero.org/styles/harvard-cite-them-right</vt:lpwstr>
  </property>
  <property fmtid="{D5CDD505-2E9C-101B-9397-08002B2CF9AE}" pid="15" name="Mendeley Recent Style Id 6_1">
    <vt:lpwstr>http://www.zotero.org/styles/ieee</vt:lpwstr>
  </property>
  <property fmtid="{D5CDD505-2E9C-101B-9397-08002B2CF9AE}" pid="16" name="Mendeley Recent Style Id 7_1">
    <vt:lpwstr>http://www.zotero.org/styles/modern-humanities-research-association</vt:lpwstr>
  </property>
  <property fmtid="{D5CDD505-2E9C-101B-9397-08002B2CF9AE}" pid="17" name="Mendeley Recent Style Id 8_1">
    <vt:lpwstr>http://www.zotero.org/styles/modern-language-association</vt:lpwstr>
  </property>
  <property fmtid="{D5CDD505-2E9C-101B-9397-08002B2CF9AE}" pid="18" name="Mendeley Recent Style Id 9_1">
    <vt:lpwstr>http://www.zotero.org/styles/nature</vt:lpwstr>
  </property>
  <property fmtid="{D5CDD505-2E9C-101B-9397-08002B2CF9AE}" pid="19" name="Mendeley Recent Style Name 0_1">
    <vt:lpwstr>American Medical Association</vt:lpwstr>
  </property>
  <property fmtid="{D5CDD505-2E9C-101B-9397-08002B2CF9AE}" pid="20" name="Mendeley Recent Style Name 1_1">
    <vt:lpwstr>American Political Science Association</vt:lpwstr>
  </property>
  <property fmtid="{D5CDD505-2E9C-101B-9397-08002B2CF9AE}" pid="21" name="Mendeley Recent Style Name 2_1">
    <vt:lpwstr>American Psychological Association 6th edition</vt:lpwstr>
  </property>
  <property fmtid="{D5CDD505-2E9C-101B-9397-08002B2CF9AE}" pid="22" name="Mendeley Recent Style Name 3_1">
    <vt:lpwstr>American Sociological Association</vt:lpwstr>
  </property>
  <property fmtid="{D5CDD505-2E9C-101B-9397-08002B2CF9AE}" pid="23" name="Mendeley Recent Style Name 4_1">
    <vt:lpwstr>Chicago Manual of Style 17th edition (author-date)</vt:lpwstr>
  </property>
  <property fmtid="{D5CDD505-2E9C-101B-9397-08002B2CF9AE}" pid="24" name="Mendeley Recent Style Name 5_1">
    <vt:lpwstr>Cite Them Right 10th edition - Harvard</vt:lpwstr>
  </property>
  <property fmtid="{D5CDD505-2E9C-101B-9397-08002B2CF9AE}" pid="25" name="Mendeley Recent Style Name 6_1">
    <vt:lpwstr>IEEE</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Name 8_1">
    <vt:lpwstr>Modern Language Association 8th edition</vt:lpwstr>
  </property>
  <property fmtid="{D5CDD505-2E9C-101B-9397-08002B2CF9AE}" pid="28" name="Mendeley Recent Style Name 9_1">
    <vt:lpwstr>Nature</vt:lpwstr>
  </property>
  <property fmtid="{D5CDD505-2E9C-101B-9397-08002B2CF9AE}" pid="29" name="Mendeley Unique User Id_1">
    <vt:lpwstr>d51d6cf5-8786-30ff-9915-11b819b58875</vt:lpwstr>
  </property>
  <property fmtid="{D5CDD505-2E9C-101B-9397-08002B2CF9AE}" pid="30" name="ScaleCrop">
    <vt:bool>false</vt:bool>
  </property>
  <property fmtid="{D5CDD505-2E9C-101B-9397-08002B2CF9AE}" pid="31" name="ShareDoc">
    <vt:bool>false</vt:bool>
  </property>
</Properties>
</file>