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DADA" w14:textId="4657ABA1" w:rsidR="00C83A82" w:rsidRDefault="00D43110" w:rsidP="003B70C5">
      <w:pPr>
        <w:spacing w:line="480" w:lineRule="auto"/>
        <w:jc w:val="center"/>
        <w:rPr>
          <w:rFonts w:ascii="Times New Roman" w:hAnsi="Times New Roman" w:cs="Times New Roman"/>
          <w:b/>
          <w:color w:val="000000" w:themeColor="text1"/>
          <w:sz w:val="24"/>
          <w:szCs w:val="24"/>
          <w:lang w:bidi="mr-IN"/>
        </w:rPr>
      </w:pPr>
      <w:bookmarkStart w:id="0" w:name="_GoBack"/>
      <w:bookmarkEnd w:id="0"/>
      <w:r>
        <w:rPr>
          <w:rFonts w:ascii="Times New Roman" w:hAnsi="Times New Roman" w:cs="Times New Roman"/>
          <w:b/>
          <w:color w:val="000000" w:themeColor="text1"/>
          <w:sz w:val="24"/>
          <w:szCs w:val="24"/>
          <w:lang w:bidi="mr-IN"/>
        </w:rPr>
        <w:t>A p</w:t>
      </w:r>
      <w:r w:rsidR="00697D99" w:rsidRPr="00175A9A">
        <w:rPr>
          <w:rFonts w:ascii="Times New Roman" w:hAnsi="Times New Roman" w:cs="Times New Roman"/>
          <w:b/>
          <w:color w:val="000000" w:themeColor="text1"/>
          <w:sz w:val="24"/>
          <w:szCs w:val="24"/>
          <w:lang w:bidi="mr-IN"/>
        </w:rPr>
        <w:t>hysiological dose of oral</w:t>
      </w:r>
      <w:r w:rsidR="5F514B2B" w:rsidRPr="00175A9A">
        <w:rPr>
          <w:rFonts w:ascii="Times New Roman" w:hAnsi="Times New Roman" w:cs="Times New Roman"/>
          <w:b/>
          <w:color w:val="000000" w:themeColor="text1"/>
          <w:sz w:val="24"/>
          <w:szCs w:val="24"/>
          <w:lang w:bidi="mr-IN"/>
        </w:rPr>
        <w:t xml:space="preserve"> </w:t>
      </w:r>
      <w:r w:rsidR="00697D99" w:rsidRPr="00175A9A">
        <w:rPr>
          <w:rFonts w:ascii="Times New Roman" w:hAnsi="Times New Roman" w:cs="Times New Roman"/>
          <w:b/>
          <w:color w:val="000000" w:themeColor="text1"/>
          <w:sz w:val="24"/>
          <w:szCs w:val="24"/>
          <w:lang w:bidi="mr-IN"/>
        </w:rPr>
        <w:t>v</w:t>
      </w:r>
      <w:r w:rsidR="5F514B2B" w:rsidRPr="00175A9A">
        <w:rPr>
          <w:rFonts w:ascii="Times New Roman" w:hAnsi="Times New Roman" w:cs="Times New Roman"/>
          <w:b/>
          <w:color w:val="000000" w:themeColor="text1"/>
          <w:sz w:val="24"/>
          <w:szCs w:val="24"/>
          <w:lang w:bidi="mr-IN"/>
        </w:rPr>
        <w:t xml:space="preserve">itamin </w:t>
      </w:r>
      <w:r w:rsidR="0010579C" w:rsidRPr="00175A9A">
        <w:rPr>
          <w:rFonts w:ascii="Times New Roman" w:hAnsi="Times New Roman" w:cs="Times New Roman"/>
          <w:b/>
          <w:color w:val="000000" w:themeColor="text1"/>
          <w:sz w:val="24"/>
          <w:szCs w:val="24"/>
          <w:lang w:bidi="mr-IN"/>
        </w:rPr>
        <w:t xml:space="preserve">B-12 </w:t>
      </w:r>
      <w:r w:rsidR="00697D99" w:rsidRPr="00175A9A">
        <w:rPr>
          <w:rFonts w:ascii="Times New Roman" w:hAnsi="Times New Roman" w:cs="Times New Roman"/>
          <w:b/>
          <w:color w:val="000000" w:themeColor="text1"/>
          <w:sz w:val="24"/>
          <w:szCs w:val="24"/>
          <w:lang w:bidi="mr-IN"/>
        </w:rPr>
        <w:t>improve</w:t>
      </w:r>
      <w:r>
        <w:rPr>
          <w:rFonts w:ascii="Times New Roman" w:hAnsi="Times New Roman" w:cs="Times New Roman"/>
          <w:b/>
          <w:color w:val="000000" w:themeColor="text1"/>
          <w:sz w:val="24"/>
          <w:szCs w:val="24"/>
          <w:lang w:bidi="mr-IN"/>
        </w:rPr>
        <w:t>s</w:t>
      </w:r>
      <w:r w:rsidR="00697D99" w:rsidRPr="00175A9A">
        <w:rPr>
          <w:rFonts w:ascii="Times New Roman" w:hAnsi="Times New Roman" w:cs="Times New Roman"/>
          <w:b/>
          <w:color w:val="000000" w:themeColor="text1"/>
          <w:sz w:val="24"/>
          <w:szCs w:val="24"/>
          <w:lang w:bidi="mr-IN"/>
        </w:rPr>
        <w:t xml:space="preserve"> hematological, biochemical</w:t>
      </w:r>
      <w:r w:rsidR="00D62A93">
        <w:rPr>
          <w:rFonts w:ascii="Times New Roman" w:hAnsi="Times New Roman" w:cs="Times New Roman"/>
          <w:b/>
          <w:color w:val="000000" w:themeColor="text1"/>
          <w:sz w:val="24"/>
          <w:szCs w:val="24"/>
          <w:lang w:bidi="mr-IN"/>
        </w:rPr>
        <w:t>-</w:t>
      </w:r>
      <w:r w:rsidR="00BF6895" w:rsidRPr="00175A9A">
        <w:rPr>
          <w:rFonts w:ascii="Times New Roman" w:hAnsi="Times New Roman" w:cs="Times New Roman"/>
          <w:b/>
          <w:color w:val="000000" w:themeColor="text1"/>
          <w:sz w:val="24"/>
          <w:szCs w:val="24"/>
          <w:lang w:bidi="mr-IN"/>
        </w:rPr>
        <w:t>metabolic indices</w:t>
      </w:r>
      <w:r w:rsidR="00697D99" w:rsidRPr="00175A9A">
        <w:rPr>
          <w:rFonts w:ascii="Times New Roman" w:hAnsi="Times New Roman" w:cs="Times New Roman"/>
          <w:b/>
          <w:color w:val="000000" w:themeColor="text1"/>
          <w:sz w:val="24"/>
          <w:szCs w:val="24"/>
          <w:lang w:bidi="mr-IN"/>
        </w:rPr>
        <w:t xml:space="preserve"> and </w:t>
      </w:r>
      <w:r w:rsidR="0087789B" w:rsidRPr="00175A9A">
        <w:rPr>
          <w:rFonts w:ascii="Times New Roman" w:hAnsi="Times New Roman" w:cs="Times New Roman"/>
          <w:b/>
          <w:color w:val="000000" w:themeColor="text1"/>
          <w:sz w:val="24"/>
          <w:szCs w:val="24"/>
          <w:lang w:bidi="mr-IN"/>
        </w:rPr>
        <w:t xml:space="preserve">peripheral </w:t>
      </w:r>
      <w:r w:rsidR="00D3679D" w:rsidRPr="00175A9A">
        <w:rPr>
          <w:rFonts w:ascii="Times New Roman" w:hAnsi="Times New Roman" w:cs="Times New Roman"/>
          <w:b/>
          <w:color w:val="000000" w:themeColor="text1"/>
          <w:sz w:val="24"/>
          <w:szCs w:val="24"/>
          <w:lang w:bidi="mr-IN"/>
        </w:rPr>
        <w:t>nerve function</w:t>
      </w:r>
      <w:r w:rsidR="005B6BC7" w:rsidRPr="00175A9A">
        <w:rPr>
          <w:rFonts w:ascii="Times New Roman" w:hAnsi="Times New Roman" w:cs="Times New Roman"/>
          <w:b/>
          <w:color w:val="000000" w:themeColor="text1"/>
          <w:sz w:val="24"/>
          <w:szCs w:val="24"/>
          <w:lang w:bidi="mr-IN"/>
        </w:rPr>
        <w:t xml:space="preserve"> in</w:t>
      </w:r>
      <w:r w:rsidR="5F514B2B" w:rsidRPr="00175A9A">
        <w:rPr>
          <w:rFonts w:ascii="Times New Roman" w:hAnsi="Times New Roman" w:cs="Times New Roman"/>
          <w:b/>
          <w:color w:val="000000" w:themeColor="text1"/>
          <w:sz w:val="24"/>
          <w:szCs w:val="24"/>
          <w:lang w:bidi="mr-IN"/>
        </w:rPr>
        <w:t xml:space="preserve"> </w:t>
      </w:r>
      <w:r w:rsidR="00A85EA6" w:rsidRPr="00175A9A">
        <w:rPr>
          <w:rFonts w:ascii="Times New Roman" w:hAnsi="Times New Roman" w:cs="Times New Roman"/>
          <w:b/>
          <w:color w:val="000000" w:themeColor="text1"/>
          <w:sz w:val="24"/>
          <w:szCs w:val="24"/>
          <w:lang w:bidi="mr-IN"/>
        </w:rPr>
        <w:t>B-12</w:t>
      </w:r>
      <w:r w:rsidR="5F514B2B" w:rsidRPr="00175A9A">
        <w:rPr>
          <w:rFonts w:ascii="Times New Roman" w:hAnsi="Times New Roman" w:cs="Times New Roman"/>
          <w:b/>
          <w:color w:val="000000" w:themeColor="text1"/>
          <w:sz w:val="24"/>
          <w:szCs w:val="24"/>
          <w:lang w:bidi="mr-IN"/>
        </w:rPr>
        <w:t xml:space="preserve"> deficient </w:t>
      </w:r>
      <w:r w:rsidR="00697D99" w:rsidRPr="00175A9A">
        <w:rPr>
          <w:rFonts w:ascii="Times New Roman" w:hAnsi="Times New Roman" w:cs="Times New Roman"/>
          <w:b/>
          <w:color w:val="000000" w:themeColor="text1"/>
          <w:sz w:val="24"/>
          <w:szCs w:val="24"/>
          <w:lang w:bidi="mr-IN"/>
        </w:rPr>
        <w:t xml:space="preserve">Indian </w:t>
      </w:r>
      <w:r w:rsidR="5F514B2B" w:rsidRPr="00175A9A">
        <w:rPr>
          <w:rFonts w:ascii="Times New Roman" w:hAnsi="Times New Roman" w:cs="Times New Roman"/>
          <w:b/>
          <w:color w:val="000000" w:themeColor="text1"/>
          <w:sz w:val="24"/>
          <w:szCs w:val="24"/>
          <w:lang w:bidi="mr-IN"/>
        </w:rPr>
        <w:t xml:space="preserve">adolescent </w:t>
      </w:r>
      <w:r w:rsidR="00637886" w:rsidRPr="00175A9A">
        <w:rPr>
          <w:rFonts w:ascii="Times New Roman" w:hAnsi="Times New Roman" w:cs="Times New Roman"/>
          <w:b/>
          <w:color w:val="000000" w:themeColor="text1"/>
          <w:sz w:val="24"/>
          <w:szCs w:val="24"/>
          <w:lang w:bidi="mr-IN"/>
        </w:rPr>
        <w:t>women</w:t>
      </w:r>
    </w:p>
    <w:p w14:paraId="101A6C45" w14:textId="77777777" w:rsidR="003B70C5" w:rsidRDefault="003B70C5" w:rsidP="003B70C5">
      <w:pPr>
        <w:spacing w:line="480" w:lineRule="auto"/>
        <w:jc w:val="center"/>
        <w:rPr>
          <w:rFonts w:ascii="Times New Roman" w:hAnsi="Times New Roman" w:cs="Times New Roman"/>
          <w:b/>
          <w:color w:val="000000" w:themeColor="text1"/>
          <w:sz w:val="24"/>
          <w:szCs w:val="24"/>
          <w:lang w:bidi="mr-IN"/>
        </w:rPr>
      </w:pPr>
    </w:p>
    <w:p w14:paraId="04642B64" w14:textId="77777777" w:rsidR="003B70C5" w:rsidRDefault="003B70C5" w:rsidP="003B70C5">
      <w:pPr>
        <w:spacing w:line="480" w:lineRule="auto"/>
        <w:jc w:val="center"/>
        <w:rPr>
          <w:rFonts w:ascii="Times New Roman" w:hAnsi="Times New Roman" w:cs="Times New Roman"/>
          <w:b/>
          <w:color w:val="000000" w:themeColor="text1"/>
          <w:sz w:val="24"/>
          <w:szCs w:val="24"/>
          <w:lang w:bidi="mr-IN"/>
        </w:rPr>
      </w:pPr>
    </w:p>
    <w:p w14:paraId="43FAB211" w14:textId="77777777" w:rsidR="004D7973" w:rsidRDefault="004D7973" w:rsidP="00330CC2">
      <w:pPr>
        <w:spacing w:line="480" w:lineRule="auto"/>
        <w:jc w:val="both"/>
        <w:rPr>
          <w:rFonts w:ascii="Times New Roman" w:hAnsi="Times New Roman" w:cs="Times New Roman"/>
          <w:b/>
          <w:color w:val="000000" w:themeColor="text1"/>
          <w:sz w:val="24"/>
          <w:szCs w:val="24"/>
          <w:lang w:bidi="mr-IN"/>
        </w:rPr>
      </w:pPr>
    </w:p>
    <w:p w14:paraId="3E450273" w14:textId="05244D7D" w:rsidR="004D7973" w:rsidRDefault="004D7973" w:rsidP="00330CC2">
      <w:pPr>
        <w:spacing w:line="480" w:lineRule="auto"/>
        <w:jc w:val="both"/>
        <w:rPr>
          <w:rFonts w:ascii="Times New Roman" w:hAnsi="Times New Roman" w:cs="Times New Roman"/>
          <w:b/>
          <w:color w:val="000000" w:themeColor="text1"/>
          <w:sz w:val="24"/>
          <w:szCs w:val="24"/>
          <w:vertAlign w:val="superscript"/>
          <w:lang w:bidi="mr-IN"/>
        </w:rPr>
      </w:pPr>
      <w:r>
        <w:rPr>
          <w:rFonts w:ascii="Times New Roman" w:hAnsi="Times New Roman" w:cs="Times New Roman"/>
          <w:b/>
          <w:color w:val="000000" w:themeColor="text1"/>
          <w:sz w:val="24"/>
          <w:szCs w:val="24"/>
          <w:lang w:bidi="mr-IN"/>
        </w:rPr>
        <w:t>Chittaranjan</w:t>
      </w:r>
      <w:r w:rsidR="003B70C5">
        <w:rPr>
          <w:rFonts w:ascii="Times New Roman" w:hAnsi="Times New Roman" w:cs="Times New Roman"/>
          <w:b/>
          <w:color w:val="000000" w:themeColor="text1"/>
          <w:sz w:val="24"/>
          <w:szCs w:val="24"/>
          <w:lang w:bidi="mr-IN"/>
        </w:rPr>
        <w:t xml:space="preserve"> S.</w:t>
      </w:r>
      <w:r>
        <w:rPr>
          <w:rFonts w:ascii="Times New Roman" w:hAnsi="Times New Roman" w:cs="Times New Roman"/>
          <w:b/>
          <w:color w:val="000000" w:themeColor="text1"/>
          <w:sz w:val="24"/>
          <w:szCs w:val="24"/>
          <w:lang w:bidi="mr-IN"/>
        </w:rPr>
        <w:t xml:space="preserve"> Yajnik</w:t>
      </w:r>
      <w:r>
        <w:rPr>
          <w:rFonts w:ascii="Times New Roman" w:hAnsi="Times New Roman" w:cs="Times New Roman"/>
          <w:b/>
          <w:color w:val="000000" w:themeColor="text1"/>
          <w:sz w:val="24"/>
          <w:szCs w:val="24"/>
          <w:vertAlign w:val="superscript"/>
          <w:lang w:bidi="mr-IN"/>
        </w:rPr>
        <w:t>1</w:t>
      </w:r>
      <w:r>
        <w:rPr>
          <w:rFonts w:ascii="Times New Roman" w:hAnsi="Times New Roman" w:cs="Times New Roman"/>
          <w:b/>
          <w:color w:val="000000" w:themeColor="text1"/>
          <w:sz w:val="24"/>
          <w:szCs w:val="24"/>
          <w:lang w:bidi="mr-IN"/>
        </w:rPr>
        <w:t>, Rishikesh</w:t>
      </w:r>
      <w:r w:rsidR="003B70C5">
        <w:rPr>
          <w:rFonts w:ascii="Times New Roman" w:hAnsi="Times New Roman" w:cs="Times New Roman"/>
          <w:b/>
          <w:color w:val="000000" w:themeColor="text1"/>
          <w:sz w:val="24"/>
          <w:szCs w:val="24"/>
          <w:lang w:bidi="mr-IN"/>
        </w:rPr>
        <w:t xml:space="preserve"> V.</w:t>
      </w:r>
      <w:r>
        <w:rPr>
          <w:rFonts w:ascii="Times New Roman" w:hAnsi="Times New Roman" w:cs="Times New Roman"/>
          <w:b/>
          <w:color w:val="000000" w:themeColor="text1"/>
          <w:sz w:val="24"/>
          <w:szCs w:val="24"/>
          <w:lang w:bidi="mr-IN"/>
        </w:rPr>
        <w:t xml:space="preserve"> Behere</w:t>
      </w:r>
      <w:r>
        <w:rPr>
          <w:rFonts w:ascii="Times New Roman" w:hAnsi="Times New Roman" w:cs="Times New Roman"/>
          <w:b/>
          <w:color w:val="000000" w:themeColor="text1"/>
          <w:sz w:val="24"/>
          <w:szCs w:val="24"/>
          <w:vertAlign w:val="superscript"/>
          <w:lang w:bidi="mr-IN"/>
        </w:rPr>
        <w:t>1</w:t>
      </w:r>
      <w:r w:rsidR="008313FB">
        <w:rPr>
          <w:rFonts w:ascii="Times New Roman" w:hAnsi="Times New Roman" w:cs="Times New Roman"/>
          <w:b/>
          <w:color w:val="000000" w:themeColor="text1"/>
          <w:sz w:val="24"/>
          <w:szCs w:val="24"/>
          <w:lang w:bidi="mr-IN"/>
        </w:rPr>
        <w:t>, Dattatray</w:t>
      </w:r>
      <w:r w:rsidR="003B70C5">
        <w:rPr>
          <w:rFonts w:ascii="Times New Roman" w:hAnsi="Times New Roman" w:cs="Times New Roman"/>
          <w:b/>
          <w:color w:val="000000" w:themeColor="text1"/>
          <w:sz w:val="24"/>
          <w:szCs w:val="24"/>
          <w:lang w:bidi="mr-IN"/>
        </w:rPr>
        <w:t xml:space="preserve"> S.</w:t>
      </w:r>
      <w:r w:rsidR="008313FB">
        <w:rPr>
          <w:rFonts w:ascii="Times New Roman" w:hAnsi="Times New Roman" w:cs="Times New Roman"/>
          <w:b/>
          <w:color w:val="000000" w:themeColor="text1"/>
          <w:sz w:val="24"/>
          <w:szCs w:val="24"/>
          <w:lang w:bidi="mr-IN"/>
        </w:rPr>
        <w:t xml:space="preserve"> Bha</w:t>
      </w:r>
      <w:r>
        <w:rPr>
          <w:rFonts w:ascii="Times New Roman" w:hAnsi="Times New Roman" w:cs="Times New Roman"/>
          <w:b/>
          <w:color w:val="000000" w:themeColor="text1"/>
          <w:sz w:val="24"/>
          <w:szCs w:val="24"/>
          <w:lang w:bidi="mr-IN"/>
        </w:rPr>
        <w:t>t</w:t>
      </w:r>
      <w:r>
        <w:rPr>
          <w:rFonts w:ascii="Times New Roman" w:hAnsi="Times New Roman" w:cs="Times New Roman"/>
          <w:b/>
          <w:color w:val="000000" w:themeColor="text1"/>
          <w:sz w:val="24"/>
          <w:szCs w:val="24"/>
          <w:vertAlign w:val="superscript"/>
          <w:lang w:bidi="mr-IN"/>
        </w:rPr>
        <w:t>1</w:t>
      </w:r>
      <w:r>
        <w:rPr>
          <w:rFonts w:ascii="Times New Roman" w:hAnsi="Times New Roman" w:cs="Times New Roman"/>
          <w:b/>
          <w:color w:val="000000" w:themeColor="text1"/>
          <w:sz w:val="24"/>
          <w:szCs w:val="24"/>
          <w:lang w:bidi="mr-IN"/>
        </w:rPr>
        <w:t>, Nilam Memane</w:t>
      </w:r>
      <w:r w:rsidRPr="004D7973">
        <w:rPr>
          <w:rFonts w:ascii="Times New Roman" w:hAnsi="Times New Roman" w:cs="Times New Roman"/>
          <w:b/>
          <w:color w:val="000000" w:themeColor="text1"/>
          <w:sz w:val="24"/>
          <w:szCs w:val="24"/>
          <w:vertAlign w:val="superscript"/>
          <w:lang w:bidi="mr-IN"/>
        </w:rPr>
        <w:t>1</w:t>
      </w:r>
      <w:r>
        <w:rPr>
          <w:rFonts w:ascii="Times New Roman" w:hAnsi="Times New Roman" w:cs="Times New Roman"/>
          <w:b/>
          <w:color w:val="000000" w:themeColor="text1"/>
          <w:sz w:val="24"/>
          <w:szCs w:val="24"/>
          <w:lang w:bidi="mr-IN"/>
        </w:rPr>
        <w:t>, Deepa Raut</w:t>
      </w:r>
      <w:r>
        <w:rPr>
          <w:rFonts w:ascii="Times New Roman" w:hAnsi="Times New Roman" w:cs="Times New Roman"/>
          <w:b/>
          <w:color w:val="000000" w:themeColor="text1"/>
          <w:sz w:val="24"/>
          <w:szCs w:val="24"/>
          <w:vertAlign w:val="superscript"/>
          <w:lang w:bidi="mr-IN"/>
        </w:rPr>
        <w:t>1</w:t>
      </w:r>
      <w:r>
        <w:rPr>
          <w:rFonts w:ascii="Times New Roman" w:hAnsi="Times New Roman" w:cs="Times New Roman"/>
          <w:b/>
          <w:color w:val="000000" w:themeColor="text1"/>
          <w:sz w:val="24"/>
          <w:szCs w:val="24"/>
          <w:lang w:bidi="mr-IN"/>
        </w:rPr>
        <w:t>, Rasika Ladkat</w:t>
      </w:r>
      <w:r>
        <w:rPr>
          <w:rFonts w:ascii="Times New Roman" w:hAnsi="Times New Roman" w:cs="Times New Roman"/>
          <w:b/>
          <w:color w:val="000000" w:themeColor="text1"/>
          <w:sz w:val="24"/>
          <w:szCs w:val="24"/>
          <w:vertAlign w:val="superscript"/>
          <w:lang w:bidi="mr-IN"/>
        </w:rPr>
        <w:t>1</w:t>
      </w:r>
      <w:r>
        <w:rPr>
          <w:rFonts w:ascii="Times New Roman" w:hAnsi="Times New Roman" w:cs="Times New Roman"/>
          <w:b/>
          <w:color w:val="000000" w:themeColor="text1"/>
          <w:sz w:val="24"/>
          <w:szCs w:val="24"/>
          <w:lang w:bidi="mr-IN"/>
        </w:rPr>
        <w:t xml:space="preserve">, Pallavi </w:t>
      </w:r>
      <w:r w:rsidR="003B70C5">
        <w:rPr>
          <w:rFonts w:ascii="Times New Roman" w:hAnsi="Times New Roman" w:cs="Times New Roman"/>
          <w:b/>
          <w:color w:val="000000" w:themeColor="text1"/>
          <w:sz w:val="24"/>
          <w:szCs w:val="24"/>
          <w:lang w:bidi="mr-IN"/>
        </w:rPr>
        <w:t xml:space="preserve">C. </w:t>
      </w:r>
      <w:r>
        <w:rPr>
          <w:rFonts w:ascii="Times New Roman" w:hAnsi="Times New Roman" w:cs="Times New Roman"/>
          <w:b/>
          <w:color w:val="000000" w:themeColor="text1"/>
          <w:sz w:val="24"/>
          <w:szCs w:val="24"/>
          <w:lang w:bidi="mr-IN"/>
        </w:rPr>
        <w:t>Yajnik</w:t>
      </w:r>
      <w:r>
        <w:rPr>
          <w:rFonts w:ascii="Times New Roman" w:hAnsi="Times New Roman" w:cs="Times New Roman"/>
          <w:b/>
          <w:color w:val="000000" w:themeColor="text1"/>
          <w:sz w:val="24"/>
          <w:szCs w:val="24"/>
          <w:vertAlign w:val="superscript"/>
          <w:lang w:bidi="mr-IN"/>
        </w:rPr>
        <w:t>1</w:t>
      </w:r>
      <w:r>
        <w:rPr>
          <w:rFonts w:ascii="Times New Roman" w:hAnsi="Times New Roman" w:cs="Times New Roman"/>
          <w:b/>
          <w:color w:val="000000" w:themeColor="text1"/>
          <w:sz w:val="24"/>
          <w:szCs w:val="24"/>
          <w:lang w:bidi="mr-IN"/>
        </w:rPr>
        <w:t xml:space="preserve">, </w:t>
      </w:r>
      <w:r w:rsidR="00A1405F">
        <w:rPr>
          <w:rFonts w:ascii="Times New Roman" w:hAnsi="Times New Roman" w:cs="Times New Roman"/>
          <w:b/>
          <w:color w:val="000000" w:themeColor="text1"/>
          <w:sz w:val="24"/>
          <w:szCs w:val="24"/>
          <w:lang w:bidi="mr-IN"/>
        </w:rPr>
        <w:t>Kalyanaraman Kumaran</w:t>
      </w:r>
      <w:r w:rsidR="00A1405F" w:rsidRPr="00A1405F">
        <w:rPr>
          <w:rFonts w:ascii="Times New Roman" w:hAnsi="Times New Roman" w:cs="Times New Roman"/>
          <w:b/>
          <w:color w:val="000000" w:themeColor="text1"/>
          <w:sz w:val="24"/>
          <w:szCs w:val="24"/>
          <w:vertAlign w:val="superscript"/>
          <w:lang w:bidi="mr-IN"/>
        </w:rPr>
        <w:t>2</w:t>
      </w:r>
      <w:r w:rsidR="00A1405F">
        <w:rPr>
          <w:rFonts w:ascii="Times New Roman" w:hAnsi="Times New Roman" w:cs="Times New Roman"/>
          <w:b/>
          <w:color w:val="000000" w:themeColor="text1"/>
          <w:sz w:val="24"/>
          <w:szCs w:val="24"/>
          <w:lang w:bidi="mr-IN"/>
        </w:rPr>
        <w:t xml:space="preserve">, </w:t>
      </w:r>
      <w:r>
        <w:rPr>
          <w:rFonts w:ascii="Times New Roman" w:hAnsi="Times New Roman" w:cs="Times New Roman"/>
          <w:b/>
          <w:color w:val="000000" w:themeColor="text1"/>
          <w:sz w:val="24"/>
          <w:szCs w:val="24"/>
          <w:lang w:bidi="mr-IN"/>
        </w:rPr>
        <w:t>Caroline</w:t>
      </w:r>
      <w:r w:rsidR="00AA1D6E">
        <w:rPr>
          <w:rFonts w:ascii="Times New Roman" w:hAnsi="Times New Roman" w:cs="Times New Roman"/>
          <w:b/>
          <w:color w:val="000000" w:themeColor="text1"/>
          <w:sz w:val="24"/>
          <w:szCs w:val="24"/>
          <w:lang w:bidi="mr-IN"/>
        </w:rPr>
        <w:t xml:space="preserve"> H.D.</w:t>
      </w:r>
      <w:r>
        <w:rPr>
          <w:rFonts w:ascii="Times New Roman" w:hAnsi="Times New Roman" w:cs="Times New Roman"/>
          <w:b/>
          <w:color w:val="000000" w:themeColor="text1"/>
          <w:sz w:val="24"/>
          <w:szCs w:val="24"/>
          <w:lang w:bidi="mr-IN"/>
        </w:rPr>
        <w:t xml:space="preserve"> Fall</w:t>
      </w:r>
      <w:r w:rsidR="00A1405F">
        <w:rPr>
          <w:rFonts w:ascii="Times New Roman" w:hAnsi="Times New Roman" w:cs="Times New Roman"/>
          <w:b/>
          <w:color w:val="000000" w:themeColor="text1"/>
          <w:sz w:val="24"/>
          <w:szCs w:val="24"/>
          <w:vertAlign w:val="superscript"/>
          <w:lang w:bidi="mr-IN"/>
        </w:rPr>
        <w:t>3</w:t>
      </w:r>
    </w:p>
    <w:p w14:paraId="77E8CF84" w14:textId="77777777" w:rsidR="003B70C5" w:rsidRDefault="003B70C5" w:rsidP="00330CC2">
      <w:pPr>
        <w:spacing w:line="480" w:lineRule="auto"/>
        <w:jc w:val="both"/>
        <w:rPr>
          <w:rFonts w:ascii="Times New Roman" w:hAnsi="Times New Roman" w:cs="Times New Roman"/>
          <w:b/>
          <w:color w:val="000000" w:themeColor="text1"/>
          <w:sz w:val="24"/>
          <w:szCs w:val="24"/>
          <w:vertAlign w:val="superscript"/>
          <w:lang w:bidi="mr-IN"/>
        </w:rPr>
      </w:pPr>
    </w:p>
    <w:p w14:paraId="778F6F19" w14:textId="77777777" w:rsidR="003B70C5" w:rsidRDefault="003B70C5" w:rsidP="00330CC2">
      <w:pPr>
        <w:spacing w:line="480" w:lineRule="auto"/>
        <w:jc w:val="both"/>
        <w:rPr>
          <w:rFonts w:ascii="Times New Roman" w:hAnsi="Times New Roman" w:cs="Times New Roman"/>
          <w:b/>
          <w:color w:val="000000" w:themeColor="text1"/>
          <w:sz w:val="24"/>
          <w:szCs w:val="24"/>
          <w:vertAlign w:val="superscript"/>
          <w:lang w:bidi="mr-IN"/>
        </w:rPr>
      </w:pPr>
    </w:p>
    <w:p w14:paraId="0DC384E8" w14:textId="77777777" w:rsidR="003B70C5" w:rsidRPr="004D7973" w:rsidRDefault="003B70C5" w:rsidP="00330CC2">
      <w:pPr>
        <w:spacing w:line="480" w:lineRule="auto"/>
        <w:jc w:val="both"/>
        <w:rPr>
          <w:rFonts w:ascii="Times New Roman" w:hAnsi="Times New Roman" w:cs="Times New Roman"/>
          <w:b/>
          <w:color w:val="000000" w:themeColor="text1"/>
          <w:sz w:val="24"/>
          <w:szCs w:val="24"/>
          <w:vertAlign w:val="superscript"/>
          <w:lang w:bidi="mr-IN"/>
        </w:rPr>
      </w:pPr>
    </w:p>
    <w:p w14:paraId="561D2B0C" w14:textId="03753A0A" w:rsidR="004D7973" w:rsidRDefault="004D7973" w:rsidP="00330CC2">
      <w:pPr>
        <w:spacing w:line="480" w:lineRule="auto"/>
        <w:jc w:val="both"/>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vertAlign w:val="superscript"/>
          <w:lang w:bidi="mr-IN"/>
        </w:rPr>
        <w:t xml:space="preserve">1 </w:t>
      </w:r>
      <w:r>
        <w:rPr>
          <w:rFonts w:ascii="Times New Roman" w:hAnsi="Times New Roman" w:cs="Times New Roman"/>
          <w:b/>
          <w:color w:val="000000" w:themeColor="text1"/>
          <w:sz w:val="24"/>
          <w:szCs w:val="24"/>
          <w:lang w:bidi="mr-IN"/>
        </w:rPr>
        <w:t>Diabetes Unit, King Edward Memorial Hospital, Pune,</w:t>
      </w:r>
      <w:r w:rsidR="00B84DE8">
        <w:rPr>
          <w:rFonts w:ascii="Times New Roman" w:hAnsi="Times New Roman" w:cs="Times New Roman"/>
          <w:b/>
          <w:color w:val="000000" w:themeColor="text1"/>
          <w:sz w:val="24"/>
          <w:szCs w:val="24"/>
          <w:lang w:bidi="mr-IN"/>
        </w:rPr>
        <w:t xml:space="preserve"> Maharashtra,</w:t>
      </w:r>
      <w:r>
        <w:rPr>
          <w:rFonts w:ascii="Times New Roman" w:hAnsi="Times New Roman" w:cs="Times New Roman"/>
          <w:b/>
          <w:color w:val="000000" w:themeColor="text1"/>
          <w:sz w:val="24"/>
          <w:szCs w:val="24"/>
          <w:lang w:bidi="mr-IN"/>
        </w:rPr>
        <w:t xml:space="preserve"> India </w:t>
      </w:r>
    </w:p>
    <w:p w14:paraId="35BF5B7F" w14:textId="532A2DAB" w:rsidR="003B70C5" w:rsidRDefault="00A1405F" w:rsidP="00330CC2">
      <w:pPr>
        <w:spacing w:line="480" w:lineRule="auto"/>
        <w:jc w:val="both"/>
        <w:rPr>
          <w:rFonts w:ascii="Times New Roman" w:hAnsi="Times New Roman" w:cs="Times New Roman"/>
          <w:b/>
          <w:color w:val="000000" w:themeColor="text1"/>
          <w:sz w:val="24"/>
          <w:szCs w:val="24"/>
          <w:lang w:bidi="mr-IN"/>
        </w:rPr>
      </w:pPr>
      <w:r w:rsidRPr="00A1405F">
        <w:rPr>
          <w:rFonts w:ascii="Times New Roman" w:hAnsi="Times New Roman" w:cs="Times New Roman"/>
          <w:b/>
          <w:color w:val="000000" w:themeColor="text1"/>
          <w:sz w:val="24"/>
          <w:szCs w:val="24"/>
          <w:vertAlign w:val="superscript"/>
          <w:lang w:bidi="mr-IN"/>
        </w:rPr>
        <w:lastRenderedPageBreak/>
        <w:t>2</w:t>
      </w:r>
      <w:r>
        <w:rPr>
          <w:rFonts w:ascii="Times New Roman" w:hAnsi="Times New Roman" w:cs="Times New Roman"/>
          <w:b/>
          <w:color w:val="000000" w:themeColor="text1"/>
          <w:sz w:val="24"/>
          <w:szCs w:val="24"/>
          <w:lang w:bidi="mr-IN"/>
        </w:rPr>
        <w:t>Epidemiology Research Unit, CSI, Holdsworth Memorial Hospital, Mysore,</w:t>
      </w:r>
      <w:r w:rsidR="00B84DE8">
        <w:rPr>
          <w:rFonts w:ascii="Times New Roman" w:hAnsi="Times New Roman" w:cs="Times New Roman"/>
          <w:b/>
          <w:color w:val="000000" w:themeColor="text1"/>
          <w:sz w:val="24"/>
          <w:szCs w:val="24"/>
          <w:lang w:bidi="mr-IN"/>
        </w:rPr>
        <w:t xml:space="preserve"> Karnataka,</w:t>
      </w:r>
      <w:r>
        <w:rPr>
          <w:rFonts w:ascii="Times New Roman" w:hAnsi="Times New Roman" w:cs="Times New Roman"/>
          <w:b/>
          <w:color w:val="000000" w:themeColor="text1"/>
          <w:sz w:val="24"/>
          <w:szCs w:val="24"/>
          <w:lang w:bidi="mr-IN"/>
        </w:rPr>
        <w:t xml:space="preserve"> India </w:t>
      </w:r>
    </w:p>
    <w:p w14:paraId="1A13A611" w14:textId="2C601163" w:rsidR="00A1405F" w:rsidRDefault="00A1405F" w:rsidP="00330CC2">
      <w:pPr>
        <w:spacing w:line="480" w:lineRule="auto"/>
        <w:jc w:val="both"/>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vertAlign w:val="superscript"/>
          <w:lang w:bidi="mr-IN"/>
        </w:rPr>
        <w:t>3</w:t>
      </w:r>
      <w:r>
        <w:rPr>
          <w:rFonts w:ascii="Times New Roman" w:hAnsi="Times New Roman" w:cs="Times New Roman"/>
          <w:b/>
          <w:color w:val="000000" w:themeColor="text1"/>
          <w:sz w:val="24"/>
          <w:szCs w:val="24"/>
          <w:lang w:bidi="mr-IN"/>
        </w:rPr>
        <w:t>M</w:t>
      </w:r>
      <w:r w:rsidR="00222469">
        <w:rPr>
          <w:rFonts w:ascii="Times New Roman" w:hAnsi="Times New Roman" w:cs="Times New Roman"/>
          <w:b/>
          <w:color w:val="000000" w:themeColor="text1"/>
          <w:sz w:val="24"/>
          <w:szCs w:val="24"/>
          <w:lang w:bidi="mr-IN"/>
        </w:rPr>
        <w:t xml:space="preserve">edical </w:t>
      </w:r>
      <w:r>
        <w:rPr>
          <w:rFonts w:ascii="Times New Roman" w:hAnsi="Times New Roman" w:cs="Times New Roman"/>
          <w:b/>
          <w:color w:val="000000" w:themeColor="text1"/>
          <w:sz w:val="24"/>
          <w:szCs w:val="24"/>
          <w:lang w:bidi="mr-IN"/>
        </w:rPr>
        <w:t>R</w:t>
      </w:r>
      <w:r w:rsidR="00222469">
        <w:rPr>
          <w:rFonts w:ascii="Times New Roman" w:hAnsi="Times New Roman" w:cs="Times New Roman"/>
          <w:b/>
          <w:color w:val="000000" w:themeColor="text1"/>
          <w:sz w:val="24"/>
          <w:szCs w:val="24"/>
          <w:lang w:bidi="mr-IN"/>
        </w:rPr>
        <w:t xml:space="preserve">esearch </w:t>
      </w:r>
      <w:r>
        <w:rPr>
          <w:rFonts w:ascii="Times New Roman" w:hAnsi="Times New Roman" w:cs="Times New Roman"/>
          <w:b/>
          <w:color w:val="000000" w:themeColor="text1"/>
          <w:sz w:val="24"/>
          <w:szCs w:val="24"/>
          <w:lang w:bidi="mr-IN"/>
        </w:rPr>
        <w:t>C</w:t>
      </w:r>
      <w:r w:rsidR="00222469">
        <w:rPr>
          <w:rFonts w:ascii="Times New Roman" w:hAnsi="Times New Roman" w:cs="Times New Roman"/>
          <w:b/>
          <w:color w:val="000000" w:themeColor="text1"/>
          <w:sz w:val="24"/>
          <w:szCs w:val="24"/>
          <w:lang w:bidi="mr-IN"/>
        </w:rPr>
        <w:t xml:space="preserve">ouncil </w:t>
      </w:r>
      <w:r>
        <w:rPr>
          <w:rFonts w:ascii="Times New Roman" w:hAnsi="Times New Roman" w:cs="Times New Roman"/>
          <w:b/>
          <w:color w:val="000000" w:themeColor="text1"/>
          <w:sz w:val="24"/>
          <w:szCs w:val="24"/>
          <w:lang w:bidi="mr-IN"/>
        </w:rPr>
        <w:t>L</w:t>
      </w:r>
      <w:r w:rsidR="00222469">
        <w:rPr>
          <w:rFonts w:ascii="Times New Roman" w:hAnsi="Times New Roman" w:cs="Times New Roman"/>
          <w:b/>
          <w:color w:val="000000" w:themeColor="text1"/>
          <w:sz w:val="24"/>
          <w:szCs w:val="24"/>
          <w:lang w:bidi="mr-IN"/>
        </w:rPr>
        <w:t xml:space="preserve">ifecourse </w:t>
      </w:r>
      <w:r>
        <w:rPr>
          <w:rFonts w:ascii="Times New Roman" w:hAnsi="Times New Roman" w:cs="Times New Roman"/>
          <w:b/>
          <w:color w:val="000000" w:themeColor="text1"/>
          <w:sz w:val="24"/>
          <w:szCs w:val="24"/>
          <w:lang w:bidi="mr-IN"/>
        </w:rPr>
        <w:t>E</w:t>
      </w:r>
      <w:r w:rsidR="00222469">
        <w:rPr>
          <w:rFonts w:ascii="Times New Roman" w:hAnsi="Times New Roman" w:cs="Times New Roman"/>
          <w:b/>
          <w:color w:val="000000" w:themeColor="text1"/>
          <w:sz w:val="24"/>
          <w:szCs w:val="24"/>
          <w:lang w:bidi="mr-IN"/>
        </w:rPr>
        <w:t xml:space="preserve">pidemiology </w:t>
      </w:r>
      <w:r>
        <w:rPr>
          <w:rFonts w:ascii="Times New Roman" w:hAnsi="Times New Roman" w:cs="Times New Roman"/>
          <w:b/>
          <w:color w:val="000000" w:themeColor="text1"/>
          <w:sz w:val="24"/>
          <w:szCs w:val="24"/>
          <w:lang w:bidi="mr-IN"/>
        </w:rPr>
        <w:t>U</w:t>
      </w:r>
      <w:r w:rsidR="00222469">
        <w:rPr>
          <w:rFonts w:ascii="Times New Roman" w:hAnsi="Times New Roman" w:cs="Times New Roman"/>
          <w:b/>
          <w:color w:val="000000" w:themeColor="text1"/>
          <w:sz w:val="24"/>
          <w:szCs w:val="24"/>
          <w:lang w:bidi="mr-IN"/>
        </w:rPr>
        <w:t>nit</w:t>
      </w:r>
      <w:r>
        <w:rPr>
          <w:rFonts w:ascii="Times New Roman" w:hAnsi="Times New Roman" w:cs="Times New Roman"/>
          <w:b/>
          <w:color w:val="000000" w:themeColor="text1"/>
          <w:sz w:val="24"/>
          <w:szCs w:val="24"/>
          <w:lang w:bidi="mr-IN"/>
        </w:rPr>
        <w:t>, University of Southampton,</w:t>
      </w:r>
      <w:r w:rsidR="00AA1D6E">
        <w:rPr>
          <w:rFonts w:ascii="Times New Roman" w:hAnsi="Times New Roman" w:cs="Times New Roman"/>
          <w:b/>
          <w:color w:val="000000" w:themeColor="text1"/>
          <w:sz w:val="24"/>
          <w:szCs w:val="24"/>
          <w:lang w:bidi="mr-IN"/>
        </w:rPr>
        <w:t xml:space="preserve"> </w:t>
      </w:r>
      <w:r w:rsidR="00B84DE8">
        <w:rPr>
          <w:rFonts w:ascii="Times New Roman" w:hAnsi="Times New Roman" w:cs="Times New Roman"/>
          <w:b/>
          <w:color w:val="000000" w:themeColor="text1"/>
          <w:sz w:val="24"/>
          <w:szCs w:val="24"/>
          <w:lang w:bidi="mr-IN"/>
        </w:rPr>
        <w:t>Southampton,</w:t>
      </w:r>
      <w:r>
        <w:rPr>
          <w:rFonts w:ascii="Times New Roman" w:hAnsi="Times New Roman" w:cs="Times New Roman"/>
          <w:b/>
          <w:color w:val="000000" w:themeColor="text1"/>
          <w:sz w:val="24"/>
          <w:szCs w:val="24"/>
          <w:lang w:bidi="mr-IN"/>
        </w:rPr>
        <w:t xml:space="preserve"> UK </w:t>
      </w:r>
    </w:p>
    <w:p w14:paraId="7E6CE24A" w14:textId="77777777" w:rsidR="003B70C5" w:rsidRDefault="003B70C5" w:rsidP="00330CC2">
      <w:pPr>
        <w:spacing w:line="480" w:lineRule="auto"/>
        <w:jc w:val="both"/>
        <w:rPr>
          <w:rFonts w:ascii="Times New Roman" w:hAnsi="Times New Roman" w:cs="Times New Roman"/>
          <w:b/>
          <w:color w:val="000000" w:themeColor="text1"/>
          <w:sz w:val="24"/>
          <w:szCs w:val="24"/>
          <w:lang w:bidi="mr-IN"/>
        </w:rPr>
      </w:pPr>
    </w:p>
    <w:p w14:paraId="7BFA749B" w14:textId="77777777" w:rsidR="003B70C5" w:rsidRDefault="003B70C5" w:rsidP="00330CC2">
      <w:pPr>
        <w:spacing w:line="480" w:lineRule="auto"/>
        <w:jc w:val="both"/>
        <w:rPr>
          <w:rFonts w:ascii="Times New Roman" w:hAnsi="Times New Roman" w:cs="Times New Roman"/>
          <w:b/>
          <w:color w:val="000000" w:themeColor="text1"/>
          <w:sz w:val="24"/>
          <w:szCs w:val="24"/>
          <w:lang w:bidi="mr-IN"/>
        </w:rPr>
      </w:pPr>
    </w:p>
    <w:p w14:paraId="14F6DBB2" w14:textId="0F1CCD4B" w:rsidR="00BE174F" w:rsidRDefault="00BE174F" w:rsidP="00330CC2">
      <w:pPr>
        <w:spacing w:line="480" w:lineRule="auto"/>
        <w:jc w:val="both"/>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vertAlign w:val="superscript"/>
          <w:lang w:bidi="mr-IN"/>
        </w:rPr>
        <w:t xml:space="preserve">* </w:t>
      </w:r>
      <w:r w:rsidR="008313FB">
        <w:rPr>
          <w:rFonts w:ascii="Times New Roman" w:hAnsi="Times New Roman" w:cs="Times New Roman"/>
          <w:b/>
          <w:color w:val="000000" w:themeColor="text1"/>
          <w:sz w:val="24"/>
          <w:szCs w:val="24"/>
          <w:lang w:bidi="mr-IN"/>
        </w:rPr>
        <w:t xml:space="preserve">Corresponding author: </w:t>
      </w:r>
      <w:r w:rsidR="00A1405F">
        <w:rPr>
          <w:rFonts w:ascii="Times New Roman" w:hAnsi="Times New Roman" w:cs="Times New Roman"/>
          <w:b/>
          <w:color w:val="000000" w:themeColor="text1"/>
          <w:sz w:val="24"/>
          <w:szCs w:val="24"/>
          <w:lang w:bidi="mr-IN"/>
        </w:rPr>
        <w:t>Chittaranjan Yajnik</w:t>
      </w:r>
    </w:p>
    <w:p w14:paraId="28A15CB1" w14:textId="26CEE0E1" w:rsidR="00BE174F" w:rsidRDefault="00A1405F" w:rsidP="00330CC2">
      <w:pPr>
        <w:spacing w:line="480" w:lineRule="auto"/>
        <w:jc w:val="both"/>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lang w:bidi="mr-IN"/>
        </w:rPr>
        <w:t xml:space="preserve"> </w:t>
      </w:r>
      <w:r w:rsidR="00BE174F">
        <w:rPr>
          <w:rFonts w:ascii="Times New Roman" w:hAnsi="Times New Roman" w:cs="Times New Roman"/>
          <w:b/>
          <w:color w:val="000000" w:themeColor="text1"/>
          <w:sz w:val="24"/>
          <w:szCs w:val="24"/>
          <w:lang w:bidi="mr-IN"/>
        </w:rPr>
        <w:t>E-</w:t>
      </w:r>
      <w:r w:rsidR="009F52F2">
        <w:rPr>
          <w:rFonts w:ascii="Times New Roman" w:hAnsi="Times New Roman" w:cs="Times New Roman"/>
          <w:b/>
          <w:color w:val="000000" w:themeColor="text1"/>
          <w:sz w:val="24"/>
          <w:szCs w:val="24"/>
          <w:lang w:bidi="mr-IN"/>
        </w:rPr>
        <w:t>mail</w:t>
      </w:r>
      <w:r w:rsidR="00BE174F">
        <w:rPr>
          <w:rFonts w:ascii="Times New Roman" w:hAnsi="Times New Roman" w:cs="Times New Roman"/>
          <w:b/>
          <w:color w:val="000000" w:themeColor="text1"/>
          <w:sz w:val="24"/>
          <w:szCs w:val="24"/>
          <w:lang w:bidi="mr-IN"/>
        </w:rPr>
        <w:t xml:space="preserve">: </w:t>
      </w:r>
      <w:r>
        <w:rPr>
          <w:rFonts w:ascii="Times New Roman" w:hAnsi="Times New Roman" w:cs="Times New Roman"/>
          <w:b/>
          <w:color w:val="000000" w:themeColor="text1"/>
          <w:sz w:val="24"/>
          <w:szCs w:val="24"/>
          <w:lang w:bidi="mr-IN"/>
        </w:rPr>
        <w:t xml:space="preserve"> </w:t>
      </w:r>
      <w:hyperlink r:id="rId8" w:history="1">
        <w:r w:rsidRPr="009C42F1">
          <w:rPr>
            <w:rStyle w:val="Hyperlink"/>
            <w:rFonts w:ascii="Times New Roman" w:hAnsi="Times New Roman" w:cs="Times New Roman"/>
            <w:b/>
            <w:sz w:val="24"/>
            <w:szCs w:val="24"/>
            <w:lang w:bidi="mr-IN"/>
          </w:rPr>
          <w:t>csyajnik@gmail.com</w:t>
        </w:r>
      </w:hyperlink>
      <w:r>
        <w:rPr>
          <w:rFonts w:ascii="Times New Roman" w:hAnsi="Times New Roman" w:cs="Times New Roman"/>
          <w:b/>
          <w:color w:val="000000" w:themeColor="text1"/>
          <w:sz w:val="24"/>
          <w:szCs w:val="24"/>
          <w:lang w:bidi="mr-IN"/>
        </w:rPr>
        <w:t xml:space="preserve"> (CSY</w:t>
      </w:r>
      <w:r w:rsidR="009F52F2">
        <w:rPr>
          <w:rFonts w:ascii="Times New Roman" w:hAnsi="Times New Roman" w:cs="Times New Roman"/>
          <w:b/>
          <w:color w:val="000000" w:themeColor="text1"/>
          <w:sz w:val="24"/>
          <w:szCs w:val="24"/>
          <w:lang w:bidi="mr-IN"/>
        </w:rPr>
        <w:t xml:space="preserve">) </w:t>
      </w:r>
    </w:p>
    <w:p w14:paraId="51783D00" w14:textId="5E517C3D" w:rsidR="00E939D4" w:rsidRPr="00175A9A" w:rsidRDefault="00A43FD0" w:rsidP="00330CC2">
      <w:pPr>
        <w:spacing w:line="480" w:lineRule="auto"/>
        <w:jc w:val="both"/>
        <w:rPr>
          <w:rFonts w:ascii="Times New Roman" w:hAnsi="Times New Roman" w:cs="Times New Roman"/>
          <w:b/>
          <w:color w:val="000000" w:themeColor="text1"/>
          <w:sz w:val="24"/>
          <w:szCs w:val="24"/>
          <w:lang w:bidi="mr-IN"/>
        </w:rPr>
      </w:pPr>
      <w:r w:rsidRPr="00175A9A">
        <w:rPr>
          <w:rFonts w:ascii="Times New Roman" w:hAnsi="Times New Roman" w:cs="Times New Roman"/>
          <w:b/>
          <w:color w:val="000000" w:themeColor="text1"/>
          <w:sz w:val="24"/>
          <w:szCs w:val="24"/>
          <w:lang w:bidi="mr-IN"/>
        </w:rPr>
        <w:t>Abstract</w:t>
      </w:r>
    </w:p>
    <w:p w14:paraId="13F0F4CA" w14:textId="29CB6F09" w:rsidR="00C93C9E" w:rsidRPr="00175A9A" w:rsidRDefault="00C93C9E" w:rsidP="00330CC2">
      <w:pPr>
        <w:spacing w:line="480" w:lineRule="auto"/>
        <w:jc w:val="both"/>
        <w:rPr>
          <w:rFonts w:ascii="Times New Roman" w:hAnsi="Times New Roman" w:cs="Times New Roman"/>
          <w:bCs/>
          <w:color w:val="000000" w:themeColor="text1"/>
          <w:sz w:val="24"/>
          <w:szCs w:val="24"/>
          <w:lang w:bidi="mr-IN"/>
        </w:rPr>
      </w:pPr>
      <w:r w:rsidRPr="00175A9A">
        <w:rPr>
          <w:rFonts w:ascii="Times New Roman" w:hAnsi="Times New Roman" w:cs="Times New Roman"/>
          <w:bCs/>
          <w:color w:val="000000" w:themeColor="text1"/>
          <w:sz w:val="24"/>
          <w:szCs w:val="24"/>
          <w:lang w:bidi="mr-IN"/>
        </w:rPr>
        <w:t xml:space="preserve">Background: </w:t>
      </w:r>
      <w:r w:rsidR="00291F99" w:rsidRPr="00175A9A">
        <w:rPr>
          <w:rFonts w:ascii="Times New Roman" w:hAnsi="Times New Roman" w:cs="Times New Roman"/>
          <w:bCs/>
          <w:color w:val="000000" w:themeColor="text1"/>
          <w:sz w:val="24"/>
          <w:szCs w:val="24"/>
          <w:lang w:bidi="mr-IN"/>
        </w:rPr>
        <w:t xml:space="preserve"> </w:t>
      </w:r>
      <w:r w:rsidR="00222469" w:rsidRPr="000F61DD">
        <w:rPr>
          <w:rFonts w:ascii="Times New Roman" w:hAnsi="Times New Roman" w:cs="Times New Roman"/>
          <w:bCs/>
          <w:color w:val="000000" w:themeColor="text1"/>
          <w:sz w:val="24"/>
          <w:szCs w:val="24"/>
          <w:lang w:bidi="mr-IN"/>
        </w:rPr>
        <w:t xml:space="preserve">Vitamin </w:t>
      </w:r>
      <w:r w:rsidR="00A85EA6" w:rsidRPr="000F61DD">
        <w:rPr>
          <w:rFonts w:ascii="Times New Roman" w:hAnsi="Times New Roman" w:cs="Times New Roman"/>
          <w:bCs/>
          <w:color w:val="000000" w:themeColor="text1"/>
          <w:sz w:val="24"/>
          <w:szCs w:val="24"/>
          <w:lang w:bidi="mr-IN"/>
        </w:rPr>
        <w:t>B-12</w:t>
      </w:r>
      <w:r w:rsidR="009434BD" w:rsidRPr="000F61DD">
        <w:rPr>
          <w:rFonts w:ascii="Times New Roman" w:hAnsi="Times New Roman" w:cs="Times New Roman"/>
          <w:bCs/>
          <w:color w:val="000000" w:themeColor="text1"/>
          <w:sz w:val="24"/>
          <w:szCs w:val="24"/>
          <w:lang w:bidi="mr-IN"/>
        </w:rPr>
        <w:t xml:space="preserve"> deficiency i</w:t>
      </w:r>
      <w:r w:rsidR="00222469" w:rsidRPr="000F61DD">
        <w:rPr>
          <w:rFonts w:ascii="Times New Roman" w:hAnsi="Times New Roman" w:cs="Times New Roman"/>
          <w:bCs/>
          <w:color w:val="000000" w:themeColor="text1"/>
          <w:sz w:val="24"/>
          <w:szCs w:val="24"/>
          <w:lang w:bidi="mr-IN"/>
        </w:rPr>
        <w:t>s</w:t>
      </w:r>
      <w:r w:rsidR="009434BD" w:rsidRPr="000F61DD">
        <w:rPr>
          <w:rFonts w:ascii="Times New Roman" w:hAnsi="Times New Roman" w:cs="Times New Roman"/>
          <w:bCs/>
          <w:color w:val="000000" w:themeColor="text1"/>
          <w:sz w:val="24"/>
          <w:szCs w:val="24"/>
          <w:lang w:bidi="mr-IN"/>
        </w:rPr>
        <w:t xml:space="preserve"> </w:t>
      </w:r>
      <w:r w:rsidR="00222469" w:rsidRPr="000F61DD">
        <w:rPr>
          <w:rFonts w:ascii="Times New Roman" w:hAnsi="Times New Roman" w:cs="Times New Roman"/>
          <w:bCs/>
          <w:color w:val="000000" w:themeColor="text1"/>
          <w:sz w:val="24"/>
          <w:szCs w:val="24"/>
          <w:lang w:bidi="mr-IN"/>
        </w:rPr>
        <w:t>often considered synonymous with</w:t>
      </w:r>
      <w:r w:rsidR="009434BD" w:rsidRPr="000F61DD">
        <w:rPr>
          <w:rFonts w:ascii="Times New Roman" w:hAnsi="Times New Roman" w:cs="Times New Roman"/>
          <w:bCs/>
          <w:color w:val="000000" w:themeColor="text1"/>
          <w:sz w:val="24"/>
          <w:szCs w:val="24"/>
          <w:lang w:bidi="mr-IN"/>
        </w:rPr>
        <w:t xml:space="preserve"> pernicious anemia</w:t>
      </w:r>
      <w:r w:rsidR="00222469" w:rsidRPr="000F61DD">
        <w:rPr>
          <w:rFonts w:ascii="Times New Roman" w:hAnsi="Times New Roman" w:cs="Times New Roman"/>
          <w:bCs/>
          <w:color w:val="000000" w:themeColor="text1"/>
          <w:sz w:val="24"/>
          <w:szCs w:val="24"/>
          <w:lang w:bidi="mr-IN"/>
        </w:rPr>
        <w:t>,</w:t>
      </w:r>
      <w:r w:rsidR="006653CF" w:rsidRPr="000F61DD">
        <w:rPr>
          <w:rFonts w:ascii="Times New Roman" w:hAnsi="Times New Roman" w:cs="Times New Roman"/>
          <w:bCs/>
          <w:color w:val="000000" w:themeColor="text1"/>
          <w:sz w:val="24"/>
          <w:szCs w:val="24"/>
          <w:lang w:bidi="mr-IN"/>
        </w:rPr>
        <w:t xml:space="preserve"> </w:t>
      </w:r>
      <w:r w:rsidR="00222469" w:rsidRPr="000F61DD">
        <w:rPr>
          <w:rFonts w:ascii="Times New Roman" w:hAnsi="Times New Roman" w:cs="Times New Roman"/>
          <w:bCs/>
          <w:color w:val="000000" w:themeColor="text1"/>
          <w:sz w:val="24"/>
          <w:szCs w:val="24"/>
          <w:lang w:bidi="mr-IN"/>
        </w:rPr>
        <w:t>a rare condition in which severe mal</w:t>
      </w:r>
      <w:r w:rsidR="006653CF" w:rsidRPr="000F61DD">
        <w:rPr>
          <w:rFonts w:ascii="Times New Roman" w:hAnsi="Times New Roman" w:cs="Times New Roman"/>
          <w:bCs/>
          <w:color w:val="000000" w:themeColor="text1"/>
          <w:sz w:val="24"/>
          <w:szCs w:val="24"/>
          <w:lang w:bidi="mr-IN"/>
        </w:rPr>
        <w:t>absorption</w:t>
      </w:r>
      <w:r w:rsidR="009434BD" w:rsidRPr="000F61DD">
        <w:rPr>
          <w:rFonts w:ascii="Times New Roman" w:hAnsi="Times New Roman" w:cs="Times New Roman"/>
          <w:bCs/>
          <w:color w:val="000000" w:themeColor="text1"/>
          <w:sz w:val="24"/>
          <w:szCs w:val="24"/>
          <w:lang w:bidi="mr-IN"/>
        </w:rPr>
        <w:t xml:space="preserve"> </w:t>
      </w:r>
      <w:r w:rsidR="00222469" w:rsidRPr="000F61DD">
        <w:rPr>
          <w:rFonts w:ascii="Times New Roman" w:hAnsi="Times New Roman" w:cs="Times New Roman"/>
          <w:bCs/>
          <w:color w:val="000000" w:themeColor="text1"/>
          <w:sz w:val="24"/>
          <w:szCs w:val="24"/>
          <w:lang w:bidi="mr-IN"/>
        </w:rPr>
        <w:t>of the vitamin requires</w:t>
      </w:r>
      <w:r w:rsidR="00291F99" w:rsidRPr="000F61DD">
        <w:rPr>
          <w:rFonts w:ascii="Times New Roman" w:hAnsi="Times New Roman" w:cs="Times New Roman"/>
          <w:bCs/>
          <w:color w:val="000000" w:themeColor="text1"/>
          <w:sz w:val="24"/>
          <w:szCs w:val="24"/>
          <w:lang w:bidi="mr-IN"/>
        </w:rPr>
        <w:t xml:space="preserve"> </w:t>
      </w:r>
      <w:r w:rsidR="00222469" w:rsidRPr="000F61DD">
        <w:rPr>
          <w:rFonts w:ascii="Times New Roman" w:hAnsi="Times New Roman" w:cs="Times New Roman"/>
          <w:bCs/>
          <w:color w:val="000000" w:themeColor="text1"/>
          <w:sz w:val="24"/>
          <w:szCs w:val="24"/>
          <w:lang w:bidi="mr-IN"/>
        </w:rPr>
        <w:t xml:space="preserve">high-dose </w:t>
      </w:r>
      <w:r w:rsidR="009434BD" w:rsidRPr="000F61DD">
        <w:rPr>
          <w:rFonts w:ascii="Times New Roman" w:hAnsi="Times New Roman" w:cs="Times New Roman"/>
          <w:bCs/>
          <w:color w:val="000000" w:themeColor="text1"/>
          <w:sz w:val="24"/>
          <w:szCs w:val="24"/>
          <w:lang w:bidi="mr-IN"/>
        </w:rPr>
        <w:t xml:space="preserve">parenteral </w:t>
      </w:r>
      <w:r w:rsidR="00222469" w:rsidRPr="000F61DD">
        <w:rPr>
          <w:rFonts w:ascii="Times New Roman" w:hAnsi="Times New Roman" w:cs="Times New Roman"/>
          <w:bCs/>
          <w:color w:val="000000" w:themeColor="text1"/>
          <w:sz w:val="24"/>
          <w:szCs w:val="24"/>
          <w:lang w:bidi="mr-IN"/>
        </w:rPr>
        <w:t>treatment</w:t>
      </w:r>
      <w:r w:rsidR="009D4942" w:rsidRPr="000F61DD">
        <w:rPr>
          <w:rFonts w:ascii="Times New Roman" w:hAnsi="Times New Roman" w:cs="Times New Roman"/>
          <w:bCs/>
          <w:color w:val="000000" w:themeColor="text1"/>
          <w:sz w:val="24"/>
          <w:szCs w:val="24"/>
          <w:lang w:bidi="mr-IN"/>
        </w:rPr>
        <w:t>. In developing countries such as India</w:t>
      </w:r>
      <w:r w:rsidR="00355CF4" w:rsidRPr="000F61DD">
        <w:rPr>
          <w:rFonts w:ascii="Times New Roman" w:hAnsi="Times New Roman" w:cs="Times New Roman"/>
          <w:bCs/>
          <w:color w:val="000000" w:themeColor="text1"/>
          <w:sz w:val="24"/>
          <w:szCs w:val="24"/>
          <w:lang w:bidi="mr-IN"/>
        </w:rPr>
        <w:t xml:space="preserve">, inadequate dietary intake of </w:t>
      </w:r>
      <w:r w:rsidR="00A85EA6" w:rsidRPr="000F61DD">
        <w:rPr>
          <w:rFonts w:ascii="Times New Roman" w:hAnsi="Times New Roman" w:cs="Times New Roman"/>
          <w:bCs/>
          <w:color w:val="000000" w:themeColor="text1"/>
          <w:sz w:val="24"/>
          <w:szCs w:val="24"/>
          <w:lang w:bidi="mr-IN"/>
        </w:rPr>
        <w:t>B-12</w:t>
      </w:r>
      <w:r w:rsidR="009D4942" w:rsidRPr="000F61DD">
        <w:rPr>
          <w:rFonts w:ascii="Times New Roman" w:hAnsi="Times New Roman" w:cs="Times New Roman"/>
          <w:bCs/>
          <w:color w:val="000000" w:themeColor="text1"/>
          <w:sz w:val="24"/>
          <w:szCs w:val="24"/>
          <w:lang w:bidi="mr-IN"/>
        </w:rPr>
        <w:t xml:space="preserve"> due to socio-cultural </w:t>
      </w:r>
      <w:r w:rsidR="00192402" w:rsidRPr="000F61DD">
        <w:rPr>
          <w:rFonts w:ascii="Times New Roman" w:hAnsi="Times New Roman" w:cs="Times New Roman"/>
          <w:bCs/>
          <w:color w:val="000000" w:themeColor="text1"/>
          <w:sz w:val="24"/>
          <w:szCs w:val="24"/>
          <w:lang w:bidi="mr-IN"/>
        </w:rPr>
        <w:t>factors leads to widely prevalent asymptomatic</w:t>
      </w:r>
      <w:r w:rsidR="009D4942" w:rsidRPr="000F61DD">
        <w:rPr>
          <w:rFonts w:ascii="Times New Roman" w:hAnsi="Times New Roman" w:cs="Times New Roman"/>
          <w:bCs/>
          <w:color w:val="000000" w:themeColor="text1"/>
          <w:sz w:val="24"/>
          <w:szCs w:val="24"/>
          <w:lang w:bidi="mr-IN"/>
        </w:rPr>
        <w:t xml:space="preserve"> low </w:t>
      </w:r>
      <w:r w:rsidR="00A85EA6" w:rsidRPr="000F61DD">
        <w:rPr>
          <w:rFonts w:ascii="Times New Roman" w:hAnsi="Times New Roman" w:cs="Times New Roman"/>
          <w:bCs/>
          <w:color w:val="000000" w:themeColor="text1"/>
          <w:sz w:val="24"/>
          <w:szCs w:val="24"/>
          <w:lang w:bidi="mr-IN"/>
        </w:rPr>
        <w:t>B-12</w:t>
      </w:r>
      <w:r w:rsidR="009D4942" w:rsidRPr="000F61DD">
        <w:rPr>
          <w:rFonts w:ascii="Times New Roman" w:hAnsi="Times New Roman" w:cs="Times New Roman"/>
          <w:bCs/>
          <w:color w:val="000000" w:themeColor="text1"/>
          <w:sz w:val="24"/>
          <w:szCs w:val="24"/>
          <w:lang w:bidi="mr-IN"/>
        </w:rPr>
        <w:t xml:space="preserve"> status. </w:t>
      </w:r>
      <w:r w:rsidR="00222469" w:rsidRPr="000F61DD">
        <w:rPr>
          <w:rFonts w:ascii="Times New Roman" w:hAnsi="Times New Roman" w:cs="Times New Roman"/>
          <w:bCs/>
          <w:color w:val="000000" w:themeColor="text1"/>
          <w:sz w:val="24"/>
          <w:szCs w:val="24"/>
          <w:lang w:bidi="mr-IN"/>
        </w:rPr>
        <w:t>In this scenario, lower</w:t>
      </w:r>
      <w:r w:rsidR="009D4942" w:rsidRPr="000F61DD">
        <w:rPr>
          <w:rFonts w:ascii="Times New Roman" w:hAnsi="Times New Roman" w:cs="Times New Roman"/>
          <w:bCs/>
          <w:color w:val="000000" w:themeColor="text1"/>
          <w:sz w:val="24"/>
          <w:szCs w:val="24"/>
          <w:lang w:bidi="mr-IN"/>
        </w:rPr>
        <w:t xml:space="preserve"> doses of oral </w:t>
      </w:r>
      <w:r w:rsidR="00A85EA6" w:rsidRPr="000F61DD">
        <w:rPr>
          <w:rFonts w:ascii="Times New Roman" w:hAnsi="Times New Roman" w:cs="Times New Roman"/>
          <w:bCs/>
          <w:color w:val="000000" w:themeColor="text1"/>
          <w:sz w:val="24"/>
          <w:szCs w:val="24"/>
          <w:lang w:bidi="mr-IN"/>
        </w:rPr>
        <w:t>B-12</w:t>
      </w:r>
      <w:r w:rsidR="009D4942" w:rsidRPr="000F61DD">
        <w:rPr>
          <w:rFonts w:ascii="Times New Roman" w:hAnsi="Times New Roman" w:cs="Times New Roman"/>
          <w:bCs/>
          <w:color w:val="000000" w:themeColor="text1"/>
          <w:sz w:val="24"/>
          <w:szCs w:val="24"/>
          <w:lang w:bidi="mr-IN"/>
        </w:rPr>
        <w:t xml:space="preserve"> may </w:t>
      </w:r>
      <w:r w:rsidR="00222469" w:rsidRPr="000F61DD">
        <w:rPr>
          <w:rFonts w:ascii="Times New Roman" w:hAnsi="Times New Roman" w:cs="Times New Roman"/>
          <w:bCs/>
          <w:color w:val="000000" w:themeColor="text1"/>
          <w:sz w:val="24"/>
          <w:szCs w:val="24"/>
          <w:lang w:bidi="mr-IN"/>
        </w:rPr>
        <w:t xml:space="preserve">be effective, </w:t>
      </w:r>
      <w:r w:rsidR="003E69B3" w:rsidRPr="000F61DD">
        <w:rPr>
          <w:rFonts w:ascii="Times New Roman" w:hAnsi="Times New Roman" w:cs="Times New Roman"/>
          <w:bCs/>
          <w:color w:val="000000" w:themeColor="text1"/>
          <w:sz w:val="24"/>
          <w:szCs w:val="24"/>
          <w:lang w:bidi="mr-IN"/>
        </w:rPr>
        <w:t xml:space="preserve">safer </w:t>
      </w:r>
      <w:r w:rsidR="00222469" w:rsidRPr="000F61DD">
        <w:rPr>
          <w:rFonts w:ascii="Times New Roman" w:hAnsi="Times New Roman" w:cs="Times New Roman"/>
          <w:bCs/>
          <w:color w:val="000000" w:themeColor="text1"/>
          <w:sz w:val="24"/>
          <w:szCs w:val="24"/>
          <w:lang w:bidi="mr-IN"/>
        </w:rPr>
        <w:t>and more affordable</w:t>
      </w:r>
      <w:r w:rsidR="009D4942" w:rsidRPr="000F61DD">
        <w:rPr>
          <w:rFonts w:ascii="Times New Roman" w:hAnsi="Times New Roman" w:cs="Times New Roman"/>
          <w:bCs/>
          <w:color w:val="000000" w:themeColor="text1"/>
          <w:sz w:val="24"/>
          <w:szCs w:val="24"/>
          <w:lang w:bidi="mr-IN"/>
        </w:rPr>
        <w:t>.</w:t>
      </w:r>
      <w:r w:rsidR="009D4942" w:rsidRPr="00175A9A">
        <w:rPr>
          <w:rFonts w:ascii="Times New Roman" w:hAnsi="Times New Roman" w:cs="Times New Roman"/>
          <w:bCs/>
          <w:color w:val="000000" w:themeColor="text1"/>
          <w:sz w:val="24"/>
          <w:szCs w:val="24"/>
          <w:lang w:bidi="mr-IN"/>
        </w:rPr>
        <w:t xml:space="preserve"> </w:t>
      </w:r>
    </w:p>
    <w:p w14:paraId="0CC9186C" w14:textId="7C6F64FD" w:rsidR="00E939D4" w:rsidRPr="00175A9A" w:rsidRDefault="00C93C9E" w:rsidP="00330CC2">
      <w:pPr>
        <w:spacing w:line="480" w:lineRule="auto"/>
        <w:jc w:val="both"/>
        <w:rPr>
          <w:rFonts w:ascii="Times New Roman" w:hAnsi="Times New Roman" w:cs="Times New Roman"/>
          <w:bCs/>
          <w:color w:val="000000" w:themeColor="text1"/>
          <w:sz w:val="24"/>
          <w:szCs w:val="24"/>
          <w:lang w:bidi="mr-IN"/>
        </w:rPr>
      </w:pPr>
      <w:r w:rsidRPr="00175A9A">
        <w:rPr>
          <w:rFonts w:ascii="Times New Roman" w:hAnsi="Times New Roman" w:cs="Times New Roman"/>
          <w:bCs/>
          <w:color w:val="000000" w:themeColor="text1"/>
          <w:sz w:val="24"/>
          <w:szCs w:val="24"/>
          <w:lang w:bidi="mr-IN"/>
        </w:rPr>
        <w:lastRenderedPageBreak/>
        <w:t xml:space="preserve">Objective: </w:t>
      </w:r>
      <w:r w:rsidR="008B09D3" w:rsidRPr="00175A9A">
        <w:rPr>
          <w:rFonts w:ascii="Times New Roman" w:hAnsi="Times New Roman" w:cs="Times New Roman"/>
          <w:bCs/>
          <w:color w:val="000000" w:themeColor="text1"/>
          <w:sz w:val="24"/>
          <w:szCs w:val="24"/>
          <w:lang w:bidi="mr-IN"/>
        </w:rPr>
        <w:t>To</w:t>
      </w:r>
      <w:r w:rsidR="009D4942" w:rsidRPr="00175A9A">
        <w:rPr>
          <w:rFonts w:ascii="Times New Roman" w:hAnsi="Times New Roman" w:cs="Times New Roman"/>
          <w:bCs/>
          <w:color w:val="000000" w:themeColor="text1"/>
          <w:sz w:val="24"/>
          <w:szCs w:val="24"/>
          <w:lang w:bidi="mr-IN"/>
        </w:rPr>
        <w:t xml:space="preserve"> examine the effects of oral </w:t>
      </w:r>
      <w:r w:rsidR="00A85EA6" w:rsidRPr="00175A9A">
        <w:rPr>
          <w:rFonts w:ascii="Times New Roman" w:hAnsi="Times New Roman" w:cs="Times New Roman"/>
          <w:bCs/>
          <w:color w:val="000000" w:themeColor="text1"/>
          <w:sz w:val="24"/>
          <w:szCs w:val="24"/>
          <w:lang w:bidi="mr-IN"/>
        </w:rPr>
        <w:t>B-12</w:t>
      </w:r>
      <w:r w:rsidR="009D4942" w:rsidRPr="00175A9A">
        <w:rPr>
          <w:rFonts w:ascii="Times New Roman" w:hAnsi="Times New Roman" w:cs="Times New Roman"/>
          <w:bCs/>
          <w:color w:val="000000" w:themeColor="text1"/>
          <w:sz w:val="24"/>
          <w:szCs w:val="24"/>
          <w:lang w:bidi="mr-IN"/>
        </w:rPr>
        <w:t xml:space="preserve"> treatment</w:t>
      </w:r>
      <w:r w:rsidR="00AE4471" w:rsidRPr="00175A9A">
        <w:rPr>
          <w:rFonts w:ascii="Times New Roman" w:hAnsi="Times New Roman" w:cs="Times New Roman"/>
          <w:bCs/>
          <w:color w:val="000000" w:themeColor="text1"/>
          <w:sz w:val="24"/>
          <w:szCs w:val="24"/>
          <w:lang w:bidi="mr-IN"/>
        </w:rPr>
        <w:t xml:space="preserve"> at physiological doses</w:t>
      </w:r>
      <w:r w:rsidR="007C1370" w:rsidRPr="00175A9A">
        <w:rPr>
          <w:rFonts w:ascii="Times New Roman" w:hAnsi="Times New Roman" w:cs="Times New Roman"/>
          <w:bCs/>
          <w:color w:val="000000" w:themeColor="text1"/>
          <w:sz w:val="24"/>
          <w:szCs w:val="24"/>
          <w:lang w:bidi="mr-IN"/>
        </w:rPr>
        <w:t xml:space="preserve"> </w:t>
      </w:r>
      <w:r w:rsidR="009D4942" w:rsidRPr="00175A9A">
        <w:rPr>
          <w:rFonts w:ascii="Times New Roman" w:hAnsi="Times New Roman" w:cs="Times New Roman"/>
          <w:bCs/>
          <w:color w:val="000000" w:themeColor="text1"/>
          <w:sz w:val="24"/>
          <w:szCs w:val="24"/>
          <w:lang w:bidi="mr-IN"/>
        </w:rPr>
        <w:t>on hematological</w:t>
      </w:r>
      <w:r w:rsidR="007C1370" w:rsidRPr="00175A9A">
        <w:rPr>
          <w:rFonts w:ascii="Times New Roman" w:hAnsi="Times New Roman" w:cs="Times New Roman"/>
          <w:bCs/>
          <w:color w:val="000000" w:themeColor="text1"/>
          <w:sz w:val="24"/>
          <w:szCs w:val="24"/>
          <w:lang w:bidi="mr-IN"/>
        </w:rPr>
        <w:t xml:space="preserve"> and</w:t>
      </w:r>
      <w:r w:rsidR="009D4942" w:rsidRPr="00175A9A">
        <w:rPr>
          <w:rFonts w:ascii="Times New Roman" w:hAnsi="Times New Roman" w:cs="Times New Roman"/>
          <w:bCs/>
          <w:color w:val="000000" w:themeColor="text1"/>
          <w:sz w:val="24"/>
          <w:szCs w:val="24"/>
          <w:lang w:bidi="mr-IN"/>
        </w:rPr>
        <w:t xml:space="preserve"> biochemical</w:t>
      </w:r>
      <w:r w:rsidR="00462520">
        <w:rPr>
          <w:rFonts w:ascii="Times New Roman" w:hAnsi="Times New Roman" w:cs="Times New Roman"/>
          <w:bCs/>
          <w:color w:val="000000" w:themeColor="text1"/>
          <w:sz w:val="24"/>
          <w:szCs w:val="24"/>
          <w:lang w:bidi="mr-IN"/>
        </w:rPr>
        <w:t xml:space="preserve"> indices</w:t>
      </w:r>
      <w:r w:rsidR="009D4942" w:rsidRPr="00175A9A">
        <w:rPr>
          <w:rFonts w:ascii="Times New Roman" w:hAnsi="Times New Roman" w:cs="Times New Roman"/>
          <w:bCs/>
          <w:color w:val="000000" w:themeColor="text1"/>
          <w:sz w:val="24"/>
          <w:szCs w:val="24"/>
          <w:lang w:bidi="mr-IN"/>
        </w:rPr>
        <w:t xml:space="preserve"> and </w:t>
      </w:r>
      <w:r w:rsidR="0087789B" w:rsidRPr="00175A9A">
        <w:rPr>
          <w:rFonts w:ascii="Times New Roman" w:hAnsi="Times New Roman" w:cs="Times New Roman"/>
          <w:bCs/>
          <w:color w:val="000000" w:themeColor="text1"/>
          <w:sz w:val="24"/>
          <w:szCs w:val="24"/>
          <w:lang w:bidi="mr-IN"/>
        </w:rPr>
        <w:t xml:space="preserve">peripheral </w:t>
      </w:r>
      <w:r w:rsidR="009D4942" w:rsidRPr="00175A9A">
        <w:rPr>
          <w:rFonts w:ascii="Times New Roman" w:hAnsi="Times New Roman" w:cs="Times New Roman"/>
          <w:bCs/>
          <w:color w:val="000000" w:themeColor="text1"/>
          <w:sz w:val="24"/>
          <w:szCs w:val="24"/>
          <w:lang w:bidi="mr-IN"/>
        </w:rPr>
        <w:t xml:space="preserve">nerve function in </w:t>
      </w:r>
      <w:r w:rsidR="00A85EA6" w:rsidRPr="00175A9A">
        <w:rPr>
          <w:rFonts w:ascii="Times New Roman" w:hAnsi="Times New Roman" w:cs="Times New Roman"/>
          <w:bCs/>
          <w:color w:val="000000" w:themeColor="text1"/>
          <w:sz w:val="24"/>
          <w:szCs w:val="24"/>
          <w:lang w:bidi="mr-IN"/>
        </w:rPr>
        <w:t>B-12</w:t>
      </w:r>
      <w:r w:rsidR="009D4942" w:rsidRPr="00175A9A">
        <w:rPr>
          <w:rFonts w:ascii="Times New Roman" w:hAnsi="Times New Roman" w:cs="Times New Roman"/>
          <w:bCs/>
          <w:color w:val="000000" w:themeColor="text1"/>
          <w:sz w:val="24"/>
          <w:szCs w:val="24"/>
          <w:lang w:bidi="mr-IN"/>
        </w:rPr>
        <w:t xml:space="preserve"> deficient rural Indian adolescent </w:t>
      </w:r>
      <w:r w:rsidR="00985EFD" w:rsidRPr="00175A9A">
        <w:rPr>
          <w:rFonts w:ascii="Times New Roman" w:hAnsi="Times New Roman" w:cs="Times New Roman"/>
          <w:bCs/>
          <w:color w:val="000000" w:themeColor="text1"/>
          <w:sz w:val="24"/>
          <w:szCs w:val="24"/>
          <w:lang w:bidi="mr-IN"/>
        </w:rPr>
        <w:t>women</w:t>
      </w:r>
      <w:r w:rsidR="009D4942" w:rsidRPr="00175A9A">
        <w:rPr>
          <w:rFonts w:ascii="Times New Roman" w:hAnsi="Times New Roman" w:cs="Times New Roman"/>
          <w:bCs/>
          <w:color w:val="000000" w:themeColor="text1"/>
          <w:sz w:val="24"/>
          <w:szCs w:val="24"/>
          <w:lang w:bidi="mr-IN"/>
        </w:rPr>
        <w:t xml:space="preserve">. </w:t>
      </w:r>
    </w:p>
    <w:p w14:paraId="0EC344B3" w14:textId="14B8B130" w:rsidR="00CE3A6F" w:rsidRPr="00175A9A" w:rsidRDefault="00CE3A6F" w:rsidP="00330CC2">
      <w:pPr>
        <w:spacing w:line="480" w:lineRule="auto"/>
        <w:jc w:val="both"/>
        <w:rPr>
          <w:rFonts w:ascii="Times New Roman" w:hAnsi="Times New Roman" w:cs="Times New Roman"/>
          <w:bCs/>
          <w:color w:val="000000" w:themeColor="text1"/>
          <w:sz w:val="24"/>
          <w:szCs w:val="24"/>
          <w:lang w:bidi="mr-IN"/>
        </w:rPr>
      </w:pPr>
      <w:r w:rsidRPr="008E0DC6">
        <w:rPr>
          <w:rFonts w:ascii="Times New Roman" w:hAnsi="Times New Roman" w:cs="Times New Roman"/>
          <w:bCs/>
          <w:color w:val="000000" w:themeColor="text1"/>
          <w:sz w:val="24"/>
          <w:szCs w:val="24"/>
          <w:lang w:bidi="mr-IN"/>
        </w:rPr>
        <w:t>Method</w:t>
      </w:r>
      <w:r w:rsidR="00291F99" w:rsidRPr="008E0DC6">
        <w:rPr>
          <w:rFonts w:ascii="Times New Roman" w:hAnsi="Times New Roman" w:cs="Times New Roman"/>
          <w:bCs/>
          <w:color w:val="000000" w:themeColor="text1"/>
          <w:sz w:val="24"/>
          <w:szCs w:val="24"/>
          <w:lang w:bidi="mr-IN"/>
        </w:rPr>
        <w:t>s</w:t>
      </w:r>
      <w:r w:rsidRPr="00175A9A">
        <w:rPr>
          <w:rFonts w:ascii="Times New Roman" w:hAnsi="Times New Roman" w:cs="Times New Roman"/>
          <w:bCs/>
          <w:color w:val="000000" w:themeColor="text1"/>
          <w:sz w:val="24"/>
          <w:szCs w:val="24"/>
          <w:lang w:bidi="mr-IN"/>
        </w:rPr>
        <w:t>:</w:t>
      </w:r>
      <w:r w:rsidR="008E0DC6">
        <w:rPr>
          <w:rFonts w:ascii="Times New Roman" w:hAnsi="Times New Roman" w:cs="Times New Roman"/>
          <w:bCs/>
          <w:color w:val="000000" w:themeColor="text1"/>
          <w:sz w:val="24"/>
          <w:szCs w:val="24"/>
          <w:lang w:bidi="mr-IN"/>
        </w:rPr>
        <w:t xml:space="preserve"> </w:t>
      </w:r>
      <w:r w:rsidR="00202D1B" w:rsidRPr="00175A9A">
        <w:rPr>
          <w:rFonts w:ascii="Times New Roman" w:hAnsi="Times New Roman" w:cs="Times New Roman"/>
          <w:bCs/>
          <w:color w:val="000000" w:themeColor="text1"/>
          <w:sz w:val="24"/>
          <w:szCs w:val="24"/>
          <w:lang w:bidi="mr-IN"/>
        </w:rPr>
        <w:t>Thirty-nine</w:t>
      </w:r>
      <w:r w:rsidR="00BB6733" w:rsidRPr="00175A9A">
        <w:rPr>
          <w:rFonts w:ascii="Times New Roman" w:hAnsi="Times New Roman" w:cs="Times New Roman"/>
          <w:bCs/>
          <w:color w:val="000000" w:themeColor="text1"/>
          <w:sz w:val="24"/>
          <w:szCs w:val="24"/>
          <w:lang w:bidi="mr-IN"/>
        </w:rPr>
        <w:t xml:space="preserve"> </w:t>
      </w:r>
      <w:r w:rsidR="00494768" w:rsidRPr="00175A9A">
        <w:rPr>
          <w:rFonts w:ascii="Times New Roman" w:hAnsi="Times New Roman" w:cs="Times New Roman"/>
          <w:bCs/>
          <w:color w:val="000000" w:themeColor="text1"/>
          <w:sz w:val="24"/>
          <w:szCs w:val="24"/>
          <w:lang w:bidi="mr-IN"/>
        </w:rPr>
        <w:t xml:space="preserve">women </w:t>
      </w:r>
      <w:r w:rsidR="00C34D97" w:rsidRPr="00175A9A">
        <w:rPr>
          <w:rFonts w:ascii="Times New Roman" w:hAnsi="Times New Roman" w:cs="Times New Roman"/>
          <w:bCs/>
          <w:color w:val="000000" w:themeColor="text1"/>
          <w:sz w:val="24"/>
          <w:szCs w:val="24"/>
          <w:lang w:bidi="mr-IN"/>
        </w:rPr>
        <w:t xml:space="preserve">with </w:t>
      </w:r>
      <w:r w:rsidR="00A85EA6" w:rsidRPr="00175A9A">
        <w:rPr>
          <w:rFonts w:ascii="Times New Roman" w:hAnsi="Times New Roman" w:cs="Times New Roman"/>
          <w:bCs/>
          <w:color w:val="000000" w:themeColor="text1"/>
          <w:sz w:val="24"/>
          <w:szCs w:val="24"/>
          <w:lang w:bidi="mr-IN"/>
        </w:rPr>
        <w:t>B-12</w:t>
      </w:r>
      <w:r w:rsidR="00C34D97" w:rsidRPr="00175A9A">
        <w:rPr>
          <w:rFonts w:ascii="Times New Roman" w:hAnsi="Times New Roman" w:cs="Times New Roman"/>
          <w:bCs/>
          <w:color w:val="000000" w:themeColor="text1"/>
          <w:sz w:val="24"/>
          <w:szCs w:val="24"/>
          <w:lang w:bidi="mr-IN"/>
        </w:rPr>
        <w:t xml:space="preserve"> deficiency </w:t>
      </w:r>
      <w:r w:rsidR="00494768" w:rsidRPr="00175A9A">
        <w:rPr>
          <w:rFonts w:ascii="Times New Roman" w:hAnsi="Times New Roman" w:cs="Times New Roman"/>
          <w:bCs/>
          <w:color w:val="000000" w:themeColor="text1"/>
          <w:sz w:val="24"/>
          <w:szCs w:val="24"/>
          <w:lang w:bidi="mr-IN"/>
        </w:rPr>
        <w:t xml:space="preserve">who were excluded from a community based </w:t>
      </w:r>
      <w:r w:rsidR="00A85EA6" w:rsidRPr="00175A9A">
        <w:rPr>
          <w:rFonts w:ascii="Times New Roman" w:hAnsi="Times New Roman" w:cs="Times New Roman"/>
          <w:bCs/>
          <w:color w:val="000000" w:themeColor="text1"/>
          <w:sz w:val="24"/>
          <w:szCs w:val="24"/>
          <w:lang w:bidi="mr-IN"/>
        </w:rPr>
        <w:t>B-12</w:t>
      </w:r>
      <w:r w:rsidR="00494768" w:rsidRPr="00175A9A">
        <w:rPr>
          <w:rFonts w:ascii="Times New Roman" w:hAnsi="Times New Roman" w:cs="Times New Roman"/>
          <w:bCs/>
          <w:color w:val="000000" w:themeColor="text1"/>
          <w:sz w:val="24"/>
          <w:szCs w:val="24"/>
          <w:lang w:bidi="mr-IN"/>
        </w:rPr>
        <w:t xml:space="preserve"> supplementation trial</w:t>
      </w:r>
      <w:r w:rsidR="00C26AF9" w:rsidRPr="00175A9A">
        <w:rPr>
          <w:rFonts w:ascii="Times New Roman" w:hAnsi="Times New Roman" w:cs="Times New Roman"/>
          <w:bCs/>
          <w:color w:val="000000" w:themeColor="text1"/>
          <w:sz w:val="24"/>
          <w:szCs w:val="24"/>
          <w:lang w:bidi="mr-IN"/>
        </w:rPr>
        <w:t xml:space="preserve"> </w:t>
      </w:r>
      <w:r w:rsidR="00B70DB0" w:rsidRPr="00175A9A">
        <w:rPr>
          <w:rFonts w:ascii="Times New Roman" w:hAnsi="Times New Roman" w:cs="Times New Roman"/>
          <w:bCs/>
          <w:color w:val="000000" w:themeColor="text1"/>
          <w:sz w:val="24"/>
          <w:szCs w:val="24"/>
          <w:lang w:bidi="mr-IN"/>
        </w:rPr>
        <w:t>(</w:t>
      </w:r>
      <w:r w:rsidR="009C4926" w:rsidRPr="00175A9A">
        <w:rPr>
          <w:rFonts w:ascii="Times New Roman" w:hAnsi="Times New Roman" w:cs="Times New Roman"/>
          <w:bCs/>
          <w:color w:val="000000" w:themeColor="text1"/>
          <w:sz w:val="24"/>
          <w:szCs w:val="24"/>
          <w:lang w:bidi="mr-IN"/>
        </w:rPr>
        <w:t>Pune Rural Intervention in Young Adolescents</w:t>
      </w:r>
      <w:r w:rsidR="00C34D97" w:rsidRPr="00175A9A">
        <w:rPr>
          <w:rFonts w:ascii="Times New Roman" w:hAnsi="Times New Roman" w:cs="Times New Roman"/>
          <w:bCs/>
          <w:color w:val="000000" w:themeColor="text1"/>
          <w:sz w:val="24"/>
          <w:szCs w:val="24"/>
          <w:lang w:bidi="mr-IN"/>
        </w:rPr>
        <w:t xml:space="preserve"> </w:t>
      </w:r>
      <w:r w:rsidR="009C4926" w:rsidRPr="00175A9A">
        <w:rPr>
          <w:rFonts w:ascii="Times New Roman" w:hAnsi="Times New Roman" w:cs="Times New Roman"/>
          <w:bCs/>
          <w:color w:val="000000" w:themeColor="text1"/>
          <w:sz w:val="24"/>
          <w:szCs w:val="24"/>
          <w:lang w:bidi="mr-IN"/>
        </w:rPr>
        <w:t>(PRIYA)</w:t>
      </w:r>
      <w:r w:rsidR="00B70DB0" w:rsidRPr="00175A9A">
        <w:rPr>
          <w:rFonts w:ascii="Times New Roman" w:hAnsi="Times New Roman" w:cs="Times New Roman"/>
          <w:bCs/>
          <w:color w:val="000000" w:themeColor="text1"/>
          <w:sz w:val="24"/>
          <w:szCs w:val="24"/>
          <w:lang w:bidi="mr-IN"/>
        </w:rPr>
        <w:t>)</w:t>
      </w:r>
      <w:r w:rsidR="009C4926" w:rsidRPr="00175A9A">
        <w:rPr>
          <w:rFonts w:ascii="Times New Roman" w:hAnsi="Times New Roman" w:cs="Times New Roman"/>
          <w:bCs/>
          <w:color w:val="000000" w:themeColor="text1"/>
          <w:sz w:val="24"/>
          <w:szCs w:val="24"/>
          <w:lang w:bidi="mr-IN"/>
        </w:rPr>
        <w:t xml:space="preserve"> </w:t>
      </w:r>
      <w:r w:rsidR="00C34D97" w:rsidRPr="00175A9A">
        <w:rPr>
          <w:rFonts w:ascii="Times New Roman" w:hAnsi="Times New Roman" w:cs="Times New Roman"/>
          <w:bCs/>
          <w:color w:val="000000" w:themeColor="text1"/>
          <w:sz w:val="24"/>
          <w:szCs w:val="24"/>
          <w:lang w:bidi="mr-IN"/>
        </w:rPr>
        <w:t xml:space="preserve">received oral </w:t>
      </w:r>
      <w:r w:rsidR="00A85EA6" w:rsidRPr="00175A9A">
        <w:rPr>
          <w:rFonts w:ascii="Times New Roman" w:hAnsi="Times New Roman" w:cs="Times New Roman"/>
          <w:bCs/>
          <w:color w:val="000000" w:themeColor="text1"/>
          <w:sz w:val="24"/>
          <w:szCs w:val="24"/>
          <w:lang w:bidi="mr-IN"/>
        </w:rPr>
        <w:t>B-12</w:t>
      </w:r>
      <w:r w:rsidR="009A7B7D" w:rsidRPr="00175A9A">
        <w:rPr>
          <w:rFonts w:ascii="Times New Roman" w:hAnsi="Times New Roman" w:cs="Times New Roman"/>
          <w:bCs/>
          <w:color w:val="000000" w:themeColor="text1"/>
          <w:sz w:val="24"/>
          <w:szCs w:val="24"/>
          <w:lang w:bidi="mr-IN"/>
        </w:rPr>
        <w:t xml:space="preserve"> </w:t>
      </w:r>
      <w:r w:rsidR="001A3945" w:rsidRPr="00175A9A">
        <w:rPr>
          <w:rFonts w:ascii="Times New Roman" w:hAnsi="Times New Roman" w:cs="Times New Roman"/>
          <w:color w:val="000000" w:themeColor="text1"/>
          <w:sz w:val="24"/>
          <w:szCs w:val="24"/>
          <w:lang w:bidi="mr-IN"/>
        </w:rPr>
        <w:t>2μg</w:t>
      </w:r>
      <w:r w:rsidR="009A7B7D" w:rsidRPr="00175A9A">
        <w:rPr>
          <w:rFonts w:ascii="Times New Roman" w:hAnsi="Times New Roman" w:cs="Times New Roman"/>
          <w:bCs/>
          <w:color w:val="000000" w:themeColor="text1"/>
          <w:sz w:val="24"/>
          <w:szCs w:val="24"/>
          <w:lang w:bidi="mr-IN"/>
        </w:rPr>
        <w:t>/day</w:t>
      </w:r>
      <w:r w:rsidR="00F36E1D" w:rsidRPr="00175A9A">
        <w:rPr>
          <w:rFonts w:ascii="Times New Roman" w:hAnsi="Times New Roman" w:cs="Times New Roman"/>
          <w:bCs/>
          <w:color w:val="000000" w:themeColor="text1"/>
          <w:sz w:val="24"/>
          <w:szCs w:val="24"/>
          <w:lang w:bidi="mr-IN"/>
        </w:rPr>
        <w:t>, either</w:t>
      </w:r>
      <w:r w:rsidR="00C34D97" w:rsidRPr="00175A9A">
        <w:rPr>
          <w:rFonts w:ascii="Times New Roman" w:hAnsi="Times New Roman" w:cs="Times New Roman"/>
          <w:bCs/>
          <w:color w:val="000000" w:themeColor="text1"/>
          <w:sz w:val="24"/>
          <w:szCs w:val="24"/>
          <w:lang w:bidi="mr-IN"/>
        </w:rPr>
        <w:t xml:space="preserve"> </w:t>
      </w:r>
      <w:r w:rsidR="00743086" w:rsidRPr="00175A9A">
        <w:rPr>
          <w:rFonts w:ascii="Times New Roman" w:hAnsi="Times New Roman" w:cs="Times New Roman"/>
          <w:bCs/>
          <w:color w:val="000000" w:themeColor="text1"/>
          <w:sz w:val="24"/>
          <w:szCs w:val="24"/>
          <w:lang w:bidi="mr-IN"/>
        </w:rPr>
        <w:t xml:space="preserve">alone </w:t>
      </w:r>
      <w:r w:rsidR="00C34D97" w:rsidRPr="00175A9A">
        <w:rPr>
          <w:rFonts w:ascii="Times New Roman" w:hAnsi="Times New Roman" w:cs="Times New Roman"/>
          <w:bCs/>
          <w:color w:val="000000" w:themeColor="text1"/>
          <w:sz w:val="24"/>
          <w:szCs w:val="24"/>
          <w:lang w:bidi="mr-IN"/>
        </w:rPr>
        <w:t>(</w:t>
      </w:r>
      <w:r w:rsidR="00291F99" w:rsidRPr="00175A9A">
        <w:rPr>
          <w:rFonts w:ascii="Times New Roman" w:hAnsi="Times New Roman" w:cs="Times New Roman"/>
          <w:bCs/>
          <w:color w:val="000000" w:themeColor="text1"/>
          <w:sz w:val="24"/>
          <w:szCs w:val="24"/>
          <w:lang w:bidi="mr-IN"/>
        </w:rPr>
        <w:t>n = 19</w:t>
      </w:r>
      <w:r w:rsidR="00C34D97" w:rsidRPr="00175A9A">
        <w:rPr>
          <w:rFonts w:ascii="Times New Roman" w:hAnsi="Times New Roman" w:cs="Times New Roman"/>
          <w:bCs/>
          <w:color w:val="000000" w:themeColor="text1"/>
          <w:sz w:val="24"/>
          <w:szCs w:val="24"/>
          <w:lang w:bidi="mr-IN"/>
        </w:rPr>
        <w:t>) or with multiple micronutrients (UNIMAPP formula</w:t>
      </w:r>
      <w:r w:rsidR="004A0588" w:rsidRPr="00175A9A">
        <w:rPr>
          <w:rFonts w:ascii="Times New Roman" w:hAnsi="Times New Roman" w:cs="Times New Roman"/>
          <w:bCs/>
          <w:color w:val="000000" w:themeColor="text1"/>
          <w:sz w:val="24"/>
          <w:szCs w:val="24"/>
          <w:lang w:bidi="mr-IN"/>
        </w:rPr>
        <w:t xml:space="preserve"> </w:t>
      </w:r>
      <w:r w:rsidR="00C34D97" w:rsidRPr="00175A9A">
        <w:rPr>
          <w:rFonts w:ascii="Times New Roman" w:hAnsi="Times New Roman" w:cs="Times New Roman"/>
          <w:bCs/>
          <w:color w:val="000000" w:themeColor="text1"/>
          <w:sz w:val="24"/>
          <w:szCs w:val="24"/>
          <w:lang w:bidi="mr-IN"/>
        </w:rPr>
        <w:t>+</w:t>
      </w:r>
      <w:r w:rsidR="004A0588" w:rsidRPr="00175A9A">
        <w:rPr>
          <w:rFonts w:ascii="Times New Roman" w:hAnsi="Times New Roman" w:cs="Times New Roman"/>
          <w:bCs/>
          <w:color w:val="000000" w:themeColor="text1"/>
          <w:sz w:val="24"/>
          <w:szCs w:val="24"/>
          <w:lang w:bidi="mr-IN"/>
        </w:rPr>
        <w:t xml:space="preserve"> </w:t>
      </w:r>
      <w:r w:rsidR="00C34D97" w:rsidRPr="00175A9A">
        <w:rPr>
          <w:rFonts w:ascii="Times New Roman" w:hAnsi="Times New Roman" w:cs="Times New Roman"/>
          <w:bCs/>
          <w:color w:val="000000" w:themeColor="text1"/>
          <w:sz w:val="24"/>
          <w:szCs w:val="24"/>
          <w:lang w:bidi="mr-IN"/>
        </w:rPr>
        <w:t>20gm milk powder</w:t>
      </w:r>
      <w:r w:rsidR="00291F99" w:rsidRPr="00175A9A">
        <w:rPr>
          <w:rFonts w:ascii="Times New Roman" w:hAnsi="Times New Roman" w:cs="Times New Roman"/>
          <w:bCs/>
          <w:color w:val="000000" w:themeColor="text1"/>
          <w:sz w:val="24"/>
          <w:szCs w:val="24"/>
          <w:lang w:bidi="mr-IN"/>
        </w:rPr>
        <w:t>, n = 20</w:t>
      </w:r>
      <w:r w:rsidR="00C34D97" w:rsidRPr="00175A9A">
        <w:rPr>
          <w:rFonts w:ascii="Times New Roman" w:hAnsi="Times New Roman" w:cs="Times New Roman"/>
          <w:bCs/>
          <w:color w:val="000000" w:themeColor="text1"/>
          <w:sz w:val="24"/>
          <w:szCs w:val="24"/>
          <w:lang w:bidi="mr-IN"/>
        </w:rPr>
        <w:t>)</w:t>
      </w:r>
      <w:r w:rsidR="00BB6733" w:rsidRPr="00175A9A">
        <w:rPr>
          <w:rFonts w:ascii="Times New Roman" w:hAnsi="Times New Roman" w:cs="Times New Roman"/>
          <w:bCs/>
          <w:color w:val="000000" w:themeColor="text1"/>
          <w:sz w:val="24"/>
          <w:szCs w:val="24"/>
          <w:lang w:bidi="mr-IN"/>
        </w:rPr>
        <w:t xml:space="preserve"> </w:t>
      </w:r>
      <w:r w:rsidR="00616D73" w:rsidRPr="00175A9A">
        <w:rPr>
          <w:rFonts w:ascii="Times New Roman" w:hAnsi="Times New Roman" w:cs="Times New Roman"/>
          <w:bCs/>
          <w:color w:val="000000" w:themeColor="text1"/>
          <w:sz w:val="24"/>
          <w:szCs w:val="24"/>
          <w:lang w:bidi="mr-IN"/>
        </w:rPr>
        <w:t>for 11 months</w:t>
      </w:r>
      <w:r w:rsidR="00C34D97" w:rsidRPr="00175A9A">
        <w:rPr>
          <w:rFonts w:ascii="Times New Roman" w:hAnsi="Times New Roman" w:cs="Times New Roman"/>
          <w:bCs/>
          <w:color w:val="000000" w:themeColor="text1"/>
          <w:sz w:val="24"/>
          <w:szCs w:val="24"/>
          <w:lang w:bidi="mr-IN"/>
        </w:rPr>
        <w:t xml:space="preserve">. </w:t>
      </w:r>
      <w:r w:rsidR="002173AF" w:rsidRPr="00175A9A">
        <w:rPr>
          <w:rFonts w:ascii="Times New Roman" w:hAnsi="Times New Roman" w:cs="Times New Roman"/>
          <w:bCs/>
          <w:color w:val="000000" w:themeColor="text1"/>
          <w:sz w:val="24"/>
          <w:szCs w:val="24"/>
          <w:lang w:bidi="mr-IN"/>
        </w:rPr>
        <w:t xml:space="preserve">Hematological </w:t>
      </w:r>
      <w:r w:rsidR="007C1370" w:rsidRPr="00175A9A">
        <w:rPr>
          <w:rFonts w:ascii="Times New Roman" w:hAnsi="Times New Roman" w:cs="Times New Roman"/>
          <w:bCs/>
          <w:color w:val="000000" w:themeColor="text1"/>
          <w:sz w:val="24"/>
          <w:szCs w:val="24"/>
          <w:lang w:bidi="mr-IN"/>
        </w:rPr>
        <w:t>indices, nutrients (B-12, folate), metabolites (</w:t>
      </w:r>
      <w:r w:rsidR="002173AF" w:rsidRPr="00175A9A">
        <w:rPr>
          <w:rFonts w:ascii="Times New Roman" w:hAnsi="Times New Roman" w:cs="Times New Roman"/>
          <w:bCs/>
          <w:color w:val="000000" w:themeColor="text1"/>
          <w:sz w:val="24"/>
          <w:szCs w:val="24"/>
          <w:lang w:bidi="mr-IN"/>
        </w:rPr>
        <w:t xml:space="preserve">homocysteine) and </w:t>
      </w:r>
      <w:r w:rsidR="0087789B" w:rsidRPr="00175A9A">
        <w:rPr>
          <w:rFonts w:ascii="Times New Roman" w:hAnsi="Times New Roman" w:cs="Times New Roman"/>
          <w:bCs/>
          <w:color w:val="000000" w:themeColor="text1"/>
          <w:sz w:val="24"/>
          <w:szCs w:val="24"/>
          <w:lang w:bidi="mr-IN"/>
        </w:rPr>
        <w:t xml:space="preserve">peripheral </w:t>
      </w:r>
      <w:r w:rsidR="002173AF" w:rsidRPr="00175A9A">
        <w:rPr>
          <w:rFonts w:ascii="Times New Roman" w:hAnsi="Times New Roman" w:cs="Times New Roman"/>
          <w:bCs/>
          <w:color w:val="000000" w:themeColor="text1"/>
          <w:sz w:val="24"/>
          <w:szCs w:val="24"/>
          <w:lang w:bidi="mr-IN"/>
        </w:rPr>
        <w:t xml:space="preserve">nerve function </w:t>
      </w:r>
      <w:r w:rsidR="007C1370" w:rsidRPr="00175A9A">
        <w:rPr>
          <w:rFonts w:ascii="Times New Roman" w:hAnsi="Times New Roman" w:cs="Times New Roman"/>
          <w:bCs/>
          <w:color w:val="000000" w:themeColor="text1"/>
          <w:sz w:val="24"/>
          <w:szCs w:val="24"/>
          <w:lang w:bidi="mr-IN"/>
        </w:rPr>
        <w:t>(</w:t>
      </w:r>
      <w:r w:rsidR="00F97976" w:rsidRPr="00175A9A">
        <w:rPr>
          <w:rFonts w:ascii="Times New Roman" w:hAnsi="Times New Roman" w:cs="Times New Roman"/>
          <w:bCs/>
          <w:color w:val="000000" w:themeColor="text1"/>
          <w:sz w:val="24"/>
          <w:szCs w:val="24"/>
          <w:lang w:bidi="mr-IN"/>
        </w:rPr>
        <w:t>SUDOSCAN</w:t>
      </w:r>
      <w:r w:rsidR="004A0588" w:rsidRPr="00175A9A">
        <w:rPr>
          <w:rFonts w:ascii="Times New Roman" w:hAnsi="Times New Roman" w:cs="Times New Roman"/>
          <w:bCs/>
          <w:color w:val="000000" w:themeColor="text1"/>
          <w:sz w:val="24"/>
          <w:szCs w:val="24"/>
          <w:lang w:bidi="mr-IN"/>
        </w:rPr>
        <w:t>,</w:t>
      </w:r>
      <w:r w:rsidR="00D3497F">
        <w:rPr>
          <w:rFonts w:ascii="Times New Roman" w:hAnsi="Times New Roman" w:cs="Times New Roman"/>
          <w:bCs/>
          <w:color w:val="000000" w:themeColor="text1"/>
          <w:sz w:val="24"/>
          <w:szCs w:val="24"/>
          <w:lang w:bidi="mr-IN"/>
        </w:rPr>
        <w:t xml:space="preserve"> </w:t>
      </w:r>
      <w:r w:rsidR="007C1370" w:rsidRPr="00175A9A">
        <w:rPr>
          <w:rFonts w:ascii="Times New Roman" w:hAnsi="Times New Roman" w:cs="Times New Roman"/>
          <w:bCs/>
          <w:color w:val="000000" w:themeColor="text1"/>
          <w:sz w:val="24"/>
          <w:szCs w:val="24"/>
          <w:lang w:bidi="mr-IN"/>
        </w:rPr>
        <w:t>I</w:t>
      </w:r>
      <w:r w:rsidR="009C4926" w:rsidRPr="00175A9A">
        <w:rPr>
          <w:rFonts w:ascii="Times New Roman" w:hAnsi="Times New Roman" w:cs="Times New Roman"/>
          <w:color w:val="000000" w:themeColor="text1"/>
          <w:sz w:val="24"/>
          <w:szCs w:val="24"/>
          <w:lang w:bidi="mr-IN"/>
        </w:rPr>
        <w:t xml:space="preserve">mpetomedical, </w:t>
      </w:r>
      <w:r w:rsidR="00202D1B" w:rsidRPr="00175A9A">
        <w:rPr>
          <w:rFonts w:ascii="Times New Roman" w:hAnsi="Times New Roman" w:cs="Times New Roman"/>
          <w:color w:val="000000" w:themeColor="text1"/>
          <w:sz w:val="24"/>
          <w:szCs w:val="24"/>
          <w:lang w:bidi="mr-IN"/>
        </w:rPr>
        <w:t>Paris</w:t>
      </w:r>
      <w:r w:rsidR="0087789B" w:rsidRPr="00175A9A">
        <w:rPr>
          <w:rFonts w:ascii="Times New Roman" w:hAnsi="Times New Roman" w:cs="Times New Roman"/>
          <w:color w:val="000000" w:themeColor="text1"/>
          <w:sz w:val="24"/>
          <w:szCs w:val="24"/>
          <w:lang w:bidi="mr-IN"/>
        </w:rPr>
        <w:t xml:space="preserve"> and sensory nerve conduction velocity (NCV) of median and sural nerves</w:t>
      </w:r>
      <w:r w:rsidR="00202D1B" w:rsidRPr="00175A9A">
        <w:rPr>
          <w:rFonts w:ascii="Times New Roman" w:hAnsi="Times New Roman" w:cs="Times New Roman"/>
          <w:color w:val="000000" w:themeColor="text1"/>
          <w:sz w:val="24"/>
          <w:szCs w:val="24"/>
          <w:lang w:bidi="mr-IN"/>
        </w:rPr>
        <w:t xml:space="preserve">) </w:t>
      </w:r>
      <w:r w:rsidR="00202D1B" w:rsidRPr="00175A9A">
        <w:rPr>
          <w:rFonts w:ascii="Times New Roman" w:hAnsi="Times New Roman" w:cs="Times New Roman"/>
          <w:bCs/>
          <w:color w:val="000000" w:themeColor="text1"/>
          <w:sz w:val="24"/>
          <w:szCs w:val="24"/>
          <w:lang w:bidi="mr-IN"/>
        </w:rPr>
        <w:t>were</w:t>
      </w:r>
      <w:r w:rsidR="002173AF" w:rsidRPr="00175A9A">
        <w:rPr>
          <w:rFonts w:ascii="Times New Roman" w:hAnsi="Times New Roman" w:cs="Times New Roman"/>
          <w:bCs/>
          <w:color w:val="000000" w:themeColor="text1"/>
          <w:sz w:val="24"/>
          <w:szCs w:val="24"/>
          <w:lang w:bidi="mr-IN"/>
        </w:rPr>
        <w:t xml:space="preserve"> </w:t>
      </w:r>
      <w:r w:rsidR="004A0588" w:rsidRPr="00175A9A">
        <w:rPr>
          <w:rFonts w:ascii="Times New Roman" w:hAnsi="Times New Roman" w:cs="Times New Roman"/>
          <w:bCs/>
          <w:color w:val="000000" w:themeColor="text1"/>
          <w:sz w:val="24"/>
          <w:szCs w:val="24"/>
          <w:lang w:bidi="mr-IN"/>
        </w:rPr>
        <w:t>assessed</w:t>
      </w:r>
      <w:r w:rsidR="002173AF" w:rsidRPr="00175A9A">
        <w:rPr>
          <w:rFonts w:ascii="Times New Roman" w:hAnsi="Times New Roman" w:cs="Times New Roman"/>
          <w:bCs/>
          <w:color w:val="000000" w:themeColor="text1"/>
          <w:sz w:val="24"/>
          <w:szCs w:val="24"/>
          <w:lang w:bidi="mr-IN"/>
        </w:rPr>
        <w:t xml:space="preserve"> at baseline and after 11 months </w:t>
      </w:r>
      <w:r w:rsidR="00AE4471" w:rsidRPr="00175A9A">
        <w:rPr>
          <w:rFonts w:ascii="Times New Roman" w:hAnsi="Times New Roman" w:cs="Times New Roman"/>
          <w:bCs/>
          <w:color w:val="000000" w:themeColor="text1"/>
          <w:sz w:val="24"/>
          <w:szCs w:val="24"/>
          <w:lang w:bidi="mr-IN"/>
        </w:rPr>
        <w:t xml:space="preserve">of </w:t>
      </w:r>
      <w:r w:rsidR="00A85EA6" w:rsidRPr="00175A9A">
        <w:rPr>
          <w:rFonts w:ascii="Times New Roman" w:hAnsi="Times New Roman" w:cs="Times New Roman"/>
          <w:bCs/>
          <w:color w:val="000000" w:themeColor="text1"/>
          <w:sz w:val="24"/>
          <w:szCs w:val="24"/>
          <w:lang w:bidi="mr-IN"/>
        </w:rPr>
        <w:t>B-12</w:t>
      </w:r>
      <w:r w:rsidR="00AE4471" w:rsidRPr="00175A9A">
        <w:rPr>
          <w:rFonts w:ascii="Times New Roman" w:hAnsi="Times New Roman" w:cs="Times New Roman"/>
          <w:bCs/>
          <w:color w:val="000000" w:themeColor="text1"/>
          <w:sz w:val="24"/>
          <w:szCs w:val="24"/>
          <w:lang w:bidi="mr-IN"/>
        </w:rPr>
        <w:t xml:space="preserve"> treatment. </w:t>
      </w:r>
    </w:p>
    <w:p w14:paraId="28CFA46A" w14:textId="5B16A32A" w:rsidR="00CE3A6F" w:rsidRPr="00175A9A" w:rsidRDefault="00CE3A6F" w:rsidP="00330CC2">
      <w:pPr>
        <w:spacing w:line="480" w:lineRule="auto"/>
        <w:jc w:val="both"/>
        <w:rPr>
          <w:rFonts w:ascii="Times New Roman" w:hAnsi="Times New Roman" w:cs="Times New Roman"/>
          <w:bCs/>
          <w:color w:val="000000" w:themeColor="text1"/>
          <w:sz w:val="24"/>
          <w:szCs w:val="24"/>
          <w:lang w:bidi="mr-IN"/>
        </w:rPr>
      </w:pPr>
      <w:r w:rsidRPr="008E0DC6">
        <w:rPr>
          <w:rFonts w:ascii="Times New Roman" w:hAnsi="Times New Roman" w:cs="Times New Roman"/>
          <w:bCs/>
          <w:color w:val="000000" w:themeColor="text1"/>
          <w:sz w:val="24"/>
          <w:szCs w:val="24"/>
          <w:lang w:bidi="mr-IN"/>
        </w:rPr>
        <w:t>Result</w:t>
      </w:r>
      <w:r w:rsidR="00291F99" w:rsidRPr="008E0DC6">
        <w:rPr>
          <w:rFonts w:ascii="Times New Roman" w:hAnsi="Times New Roman" w:cs="Times New Roman"/>
          <w:bCs/>
          <w:color w:val="000000" w:themeColor="text1"/>
          <w:sz w:val="24"/>
          <w:szCs w:val="24"/>
          <w:lang w:bidi="mr-IN"/>
        </w:rPr>
        <w:t>s</w:t>
      </w:r>
      <w:r w:rsidRPr="00175A9A">
        <w:rPr>
          <w:rFonts w:ascii="Times New Roman" w:hAnsi="Times New Roman" w:cs="Times New Roman"/>
          <w:b/>
          <w:color w:val="000000" w:themeColor="text1"/>
          <w:sz w:val="24"/>
          <w:szCs w:val="24"/>
          <w:lang w:bidi="mr-IN"/>
        </w:rPr>
        <w:t>:</w:t>
      </w:r>
      <w:r w:rsidR="00616D73" w:rsidRPr="00175A9A">
        <w:rPr>
          <w:rFonts w:ascii="Times New Roman" w:hAnsi="Times New Roman" w:cs="Times New Roman"/>
          <w:b/>
          <w:color w:val="000000" w:themeColor="text1"/>
          <w:sz w:val="24"/>
          <w:szCs w:val="24"/>
          <w:lang w:bidi="mr-IN"/>
        </w:rPr>
        <w:t xml:space="preserve"> </w:t>
      </w:r>
      <w:r w:rsidR="00B70DB0" w:rsidRPr="00175A9A">
        <w:rPr>
          <w:rFonts w:ascii="Times New Roman" w:hAnsi="Times New Roman" w:cs="Times New Roman"/>
          <w:color w:val="000000" w:themeColor="text1"/>
          <w:sz w:val="24"/>
          <w:szCs w:val="24"/>
          <w:lang w:bidi="mr-IN"/>
        </w:rPr>
        <w:t>Results were similar in the</w:t>
      </w:r>
      <w:r w:rsidR="00B70DB0" w:rsidRPr="00175A9A">
        <w:rPr>
          <w:rFonts w:ascii="Times New Roman" w:hAnsi="Times New Roman" w:cs="Times New Roman"/>
          <w:b/>
          <w:color w:val="000000" w:themeColor="text1"/>
          <w:sz w:val="24"/>
          <w:szCs w:val="24"/>
          <w:lang w:bidi="mr-IN"/>
        </w:rPr>
        <w:t xml:space="preserve"> </w:t>
      </w:r>
      <w:r w:rsidR="00DB2508" w:rsidRPr="00175A9A">
        <w:rPr>
          <w:rFonts w:ascii="Times New Roman" w:hAnsi="Times New Roman" w:cs="Times New Roman"/>
          <w:color w:val="000000" w:themeColor="text1"/>
          <w:sz w:val="24"/>
          <w:szCs w:val="24"/>
          <w:lang w:bidi="mr-IN"/>
        </w:rPr>
        <w:t>two treatment allocation</w:t>
      </w:r>
      <w:r w:rsidR="00B70DB0" w:rsidRPr="00175A9A">
        <w:rPr>
          <w:rFonts w:ascii="Times New Roman" w:hAnsi="Times New Roman" w:cs="Times New Roman"/>
          <w:color w:val="000000" w:themeColor="text1"/>
          <w:sz w:val="24"/>
          <w:szCs w:val="24"/>
          <w:lang w:bidi="mr-IN"/>
        </w:rPr>
        <w:t xml:space="preserve"> group</w:t>
      </w:r>
      <w:r w:rsidR="00DB2508" w:rsidRPr="00175A9A">
        <w:rPr>
          <w:rFonts w:ascii="Times New Roman" w:hAnsi="Times New Roman" w:cs="Times New Roman"/>
          <w:color w:val="000000" w:themeColor="text1"/>
          <w:sz w:val="24"/>
          <w:szCs w:val="24"/>
          <w:lang w:bidi="mr-IN"/>
        </w:rPr>
        <w:t xml:space="preserve">s, </w:t>
      </w:r>
      <w:r w:rsidR="00B70DB0" w:rsidRPr="00175A9A">
        <w:rPr>
          <w:rFonts w:ascii="Times New Roman" w:hAnsi="Times New Roman" w:cs="Times New Roman"/>
          <w:color w:val="000000" w:themeColor="text1"/>
          <w:sz w:val="24"/>
          <w:szCs w:val="24"/>
          <w:lang w:bidi="mr-IN"/>
        </w:rPr>
        <w:t xml:space="preserve">which were </w:t>
      </w:r>
      <w:r w:rsidR="00DB2508" w:rsidRPr="00175A9A">
        <w:rPr>
          <w:rFonts w:ascii="Times New Roman" w:hAnsi="Times New Roman" w:cs="Times New Roman"/>
          <w:color w:val="000000" w:themeColor="text1"/>
          <w:sz w:val="24"/>
          <w:szCs w:val="24"/>
          <w:lang w:bidi="mr-IN"/>
        </w:rPr>
        <w:t>therefore combined.</w:t>
      </w:r>
      <w:r w:rsidR="00DB2508" w:rsidRPr="00175A9A">
        <w:rPr>
          <w:rFonts w:ascii="Times New Roman" w:hAnsi="Times New Roman" w:cs="Times New Roman"/>
          <w:b/>
          <w:color w:val="000000" w:themeColor="text1"/>
          <w:sz w:val="24"/>
          <w:szCs w:val="24"/>
          <w:lang w:bidi="mr-IN"/>
        </w:rPr>
        <w:t xml:space="preserve"> </w:t>
      </w:r>
      <w:r w:rsidR="00616D73" w:rsidRPr="00175A9A">
        <w:rPr>
          <w:rFonts w:ascii="Times New Roman" w:hAnsi="Times New Roman" w:cs="Times New Roman"/>
          <w:bCs/>
          <w:color w:val="000000" w:themeColor="text1"/>
          <w:sz w:val="24"/>
          <w:szCs w:val="24"/>
          <w:lang w:bidi="mr-IN"/>
        </w:rPr>
        <w:t xml:space="preserve">At </w:t>
      </w:r>
      <w:r w:rsidR="000B3AB9" w:rsidRPr="00175A9A">
        <w:rPr>
          <w:rFonts w:ascii="Times New Roman" w:hAnsi="Times New Roman" w:cs="Times New Roman"/>
          <w:bCs/>
          <w:color w:val="000000" w:themeColor="text1"/>
          <w:sz w:val="24"/>
          <w:szCs w:val="24"/>
          <w:lang w:bidi="mr-IN"/>
        </w:rPr>
        <w:t>baseline,</w:t>
      </w:r>
      <w:r w:rsidR="00616D73" w:rsidRPr="00175A9A">
        <w:rPr>
          <w:rFonts w:ascii="Times New Roman" w:hAnsi="Times New Roman" w:cs="Times New Roman"/>
          <w:bCs/>
          <w:color w:val="000000" w:themeColor="text1"/>
          <w:sz w:val="24"/>
          <w:szCs w:val="24"/>
          <w:lang w:bidi="mr-IN"/>
        </w:rPr>
        <w:t xml:space="preserve"> all women had </w:t>
      </w:r>
      <w:r w:rsidR="00A85EA6" w:rsidRPr="00175A9A">
        <w:rPr>
          <w:rFonts w:ascii="Times New Roman" w:hAnsi="Times New Roman" w:cs="Times New Roman"/>
          <w:bCs/>
          <w:color w:val="000000" w:themeColor="text1"/>
          <w:sz w:val="24"/>
          <w:szCs w:val="24"/>
          <w:lang w:bidi="mr-IN"/>
        </w:rPr>
        <w:t>B-12</w:t>
      </w:r>
      <w:r w:rsidR="00616D73" w:rsidRPr="00175A9A">
        <w:rPr>
          <w:rFonts w:ascii="Times New Roman" w:hAnsi="Times New Roman" w:cs="Times New Roman"/>
          <w:bCs/>
          <w:color w:val="000000" w:themeColor="text1"/>
          <w:sz w:val="24"/>
          <w:szCs w:val="24"/>
          <w:lang w:bidi="mr-IN"/>
        </w:rPr>
        <w:t xml:space="preserve"> </w:t>
      </w:r>
      <w:r w:rsidR="007C1370" w:rsidRPr="00175A9A">
        <w:rPr>
          <w:rFonts w:ascii="Times New Roman" w:hAnsi="Times New Roman" w:cs="Times New Roman"/>
          <w:bCs/>
          <w:color w:val="000000" w:themeColor="text1"/>
          <w:sz w:val="24"/>
          <w:szCs w:val="24"/>
          <w:lang w:bidi="mr-IN"/>
        </w:rPr>
        <w:t>concentration</w:t>
      </w:r>
      <w:r w:rsidR="00616D73" w:rsidRPr="00175A9A">
        <w:rPr>
          <w:rFonts w:ascii="Times New Roman" w:hAnsi="Times New Roman" w:cs="Times New Roman"/>
          <w:bCs/>
          <w:color w:val="000000" w:themeColor="text1"/>
          <w:sz w:val="24"/>
          <w:szCs w:val="24"/>
          <w:lang w:bidi="mr-IN"/>
        </w:rPr>
        <w:t xml:space="preserve"> &lt;100</w:t>
      </w:r>
      <w:r w:rsidR="00971760" w:rsidRPr="00175A9A">
        <w:rPr>
          <w:rFonts w:ascii="Times New Roman" w:hAnsi="Times New Roman" w:cs="Times New Roman"/>
          <w:bCs/>
          <w:color w:val="000000" w:themeColor="text1"/>
          <w:sz w:val="24"/>
          <w:szCs w:val="24"/>
          <w:lang w:bidi="mr-IN"/>
        </w:rPr>
        <w:t>pmol/L</w:t>
      </w:r>
      <w:r w:rsidR="000B3AB9" w:rsidRPr="00175A9A">
        <w:rPr>
          <w:rFonts w:ascii="Times New Roman" w:hAnsi="Times New Roman" w:cs="Times New Roman"/>
          <w:bCs/>
          <w:color w:val="000000" w:themeColor="text1"/>
          <w:sz w:val="24"/>
          <w:szCs w:val="24"/>
          <w:lang w:bidi="mr-IN"/>
        </w:rPr>
        <w:t xml:space="preserve">, </w:t>
      </w:r>
      <w:r w:rsidR="00616D73" w:rsidRPr="00175A9A">
        <w:rPr>
          <w:rFonts w:ascii="Times New Roman" w:hAnsi="Times New Roman" w:cs="Times New Roman"/>
          <w:bCs/>
          <w:color w:val="000000" w:themeColor="text1"/>
          <w:sz w:val="24"/>
          <w:szCs w:val="24"/>
          <w:lang w:bidi="mr-IN"/>
        </w:rPr>
        <w:t>79% were anemic and 33% had macrocytosis</w:t>
      </w:r>
      <w:r w:rsidR="00B70DB0" w:rsidRPr="00175A9A">
        <w:rPr>
          <w:rFonts w:ascii="Times New Roman" w:hAnsi="Times New Roman" w:cs="Times New Roman"/>
          <w:bCs/>
          <w:color w:val="000000" w:themeColor="text1"/>
          <w:sz w:val="24"/>
          <w:szCs w:val="24"/>
          <w:lang w:bidi="mr-IN"/>
        </w:rPr>
        <w:t>,</w:t>
      </w:r>
      <w:r w:rsidR="00291F99" w:rsidRPr="00175A9A">
        <w:rPr>
          <w:rFonts w:ascii="Times New Roman" w:hAnsi="Times New Roman" w:cs="Times New Roman"/>
          <w:bCs/>
          <w:color w:val="000000" w:themeColor="text1"/>
          <w:sz w:val="24"/>
          <w:szCs w:val="24"/>
          <w:lang w:bidi="mr-IN"/>
        </w:rPr>
        <w:t xml:space="preserve"> but none had neuropathy</w:t>
      </w:r>
      <w:r w:rsidR="00616D73" w:rsidRPr="00175A9A">
        <w:rPr>
          <w:rFonts w:ascii="Times New Roman" w:hAnsi="Times New Roman" w:cs="Times New Roman"/>
          <w:bCs/>
          <w:color w:val="000000" w:themeColor="text1"/>
          <w:sz w:val="24"/>
          <w:szCs w:val="24"/>
          <w:lang w:bidi="mr-IN"/>
        </w:rPr>
        <w:t xml:space="preserve">. After 11 months of </w:t>
      </w:r>
      <w:r w:rsidR="00616D73" w:rsidRPr="00175A9A">
        <w:rPr>
          <w:rFonts w:ascii="Times New Roman" w:hAnsi="Times New Roman" w:cs="Times New Roman"/>
          <w:bCs/>
          <w:color w:val="000000" w:themeColor="text1"/>
          <w:sz w:val="24"/>
          <w:szCs w:val="24"/>
          <w:lang w:bidi="mr-IN"/>
        </w:rPr>
        <w:lastRenderedPageBreak/>
        <w:t>treatment</w:t>
      </w:r>
      <w:r w:rsidR="00B70DB0" w:rsidRPr="00175A9A">
        <w:rPr>
          <w:rFonts w:ascii="Times New Roman" w:hAnsi="Times New Roman" w:cs="Times New Roman"/>
          <w:bCs/>
          <w:color w:val="000000" w:themeColor="text1"/>
          <w:sz w:val="24"/>
          <w:szCs w:val="24"/>
          <w:lang w:bidi="mr-IN"/>
        </w:rPr>
        <w:t>,</w:t>
      </w:r>
      <w:r w:rsidR="00616D73" w:rsidRPr="00175A9A">
        <w:rPr>
          <w:rFonts w:ascii="Times New Roman" w:hAnsi="Times New Roman" w:cs="Times New Roman"/>
          <w:bCs/>
          <w:color w:val="000000" w:themeColor="text1"/>
          <w:sz w:val="24"/>
          <w:szCs w:val="24"/>
          <w:lang w:bidi="mr-IN"/>
        </w:rPr>
        <w:t xml:space="preserve"> </w:t>
      </w:r>
      <w:r w:rsidR="00A85EA6" w:rsidRPr="00175A9A">
        <w:rPr>
          <w:rFonts w:ascii="Times New Roman" w:hAnsi="Times New Roman" w:cs="Times New Roman"/>
          <w:bCs/>
          <w:color w:val="000000" w:themeColor="text1"/>
          <w:sz w:val="24"/>
          <w:szCs w:val="24"/>
          <w:lang w:bidi="mr-IN"/>
        </w:rPr>
        <w:t>B-12</w:t>
      </w:r>
      <w:r w:rsidR="002173AF" w:rsidRPr="00175A9A">
        <w:rPr>
          <w:rFonts w:ascii="Times New Roman" w:hAnsi="Times New Roman" w:cs="Times New Roman"/>
          <w:bCs/>
          <w:color w:val="000000" w:themeColor="text1"/>
          <w:sz w:val="24"/>
          <w:szCs w:val="24"/>
          <w:lang w:bidi="mr-IN"/>
        </w:rPr>
        <w:t xml:space="preserve"> levels</w:t>
      </w:r>
      <w:r w:rsidR="00EA7C5B" w:rsidRPr="00175A9A">
        <w:rPr>
          <w:rFonts w:ascii="Times New Roman" w:hAnsi="Times New Roman" w:cs="Times New Roman"/>
          <w:bCs/>
          <w:color w:val="000000" w:themeColor="text1"/>
          <w:sz w:val="24"/>
          <w:szCs w:val="24"/>
          <w:lang w:bidi="mr-IN"/>
        </w:rPr>
        <w:t xml:space="preserve"> </w:t>
      </w:r>
      <w:r w:rsidR="00B70DB0" w:rsidRPr="00175A9A">
        <w:rPr>
          <w:rFonts w:ascii="Times New Roman" w:hAnsi="Times New Roman" w:cs="Times New Roman"/>
          <w:bCs/>
          <w:color w:val="000000" w:themeColor="text1"/>
          <w:sz w:val="24"/>
          <w:szCs w:val="24"/>
          <w:lang w:bidi="mr-IN"/>
        </w:rPr>
        <w:t>increased</w:t>
      </w:r>
      <w:r w:rsidR="00F36E1D" w:rsidRPr="00175A9A">
        <w:rPr>
          <w:rFonts w:ascii="Times New Roman" w:hAnsi="Times New Roman" w:cs="Times New Roman"/>
          <w:bCs/>
          <w:color w:val="000000" w:themeColor="text1"/>
          <w:sz w:val="24"/>
          <w:szCs w:val="24"/>
          <w:lang w:bidi="mr-IN"/>
        </w:rPr>
        <w:t>,</w:t>
      </w:r>
      <w:r w:rsidR="00E804E0" w:rsidRPr="00175A9A">
        <w:rPr>
          <w:rFonts w:ascii="Times New Roman" w:hAnsi="Times New Roman" w:cs="Times New Roman"/>
          <w:bCs/>
          <w:color w:val="000000" w:themeColor="text1"/>
          <w:sz w:val="24"/>
          <w:szCs w:val="24"/>
          <w:lang w:bidi="mr-IN"/>
        </w:rPr>
        <w:t xml:space="preserve"> </w:t>
      </w:r>
      <w:r w:rsidR="003E69B3">
        <w:rPr>
          <w:rFonts w:ascii="Times New Roman" w:hAnsi="Times New Roman" w:cs="Times New Roman"/>
          <w:bCs/>
          <w:color w:val="000000" w:themeColor="text1"/>
          <w:sz w:val="24"/>
          <w:szCs w:val="24"/>
          <w:lang w:bidi="mr-IN"/>
        </w:rPr>
        <w:t xml:space="preserve">while </w:t>
      </w:r>
      <w:r w:rsidR="00E804E0" w:rsidRPr="00175A9A">
        <w:rPr>
          <w:rFonts w:ascii="Times New Roman" w:hAnsi="Times New Roman" w:cs="Times New Roman"/>
          <w:bCs/>
          <w:color w:val="000000" w:themeColor="text1"/>
          <w:sz w:val="24"/>
          <w:szCs w:val="24"/>
          <w:lang w:bidi="mr-IN"/>
        </w:rPr>
        <w:t>folate did not change. T</w:t>
      </w:r>
      <w:r w:rsidR="00291F99" w:rsidRPr="00175A9A">
        <w:rPr>
          <w:rFonts w:ascii="Times New Roman" w:hAnsi="Times New Roman" w:cs="Times New Roman"/>
          <w:bCs/>
          <w:color w:val="000000" w:themeColor="text1"/>
          <w:sz w:val="24"/>
          <w:szCs w:val="24"/>
          <w:lang w:bidi="mr-IN"/>
        </w:rPr>
        <w:t xml:space="preserve">he </w:t>
      </w:r>
      <w:r w:rsidR="003E69B3">
        <w:rPr>
          <w:rFonts w:ascii="Times New Roman" w:hAnsi="Times New Roman" w:cs="Times New Roman"/>
          <w:bCs/>
          <w:color w:val="000000" w:themeColor="text1"/>
          <w:sz w:val="24"/>
          <w:szCs w:val="24"/>
          <w:lang w:bidi="mr-IN"/>
        </w:rPr>
        <w:t xml:space="preserve">prevalence of </w:t>
      </w:r>
      <w:r w:rsidR="00291F99" w:rsidRPr="00175A9A">
        <w:rPr>
          <w:rFonts w:ascii="Times New Roman" w:hAnsi="Times New Roman" w:cs="Times New Roman"/>
          <w:bCs/>
          <w:color w:val="000000" w:themeColor="text1"/>
          <w:sz w:val="24"/>
          <w:szCs w:val="24"/>
          <w:lang w:bidi="mr-IN"/>
        </w:rPr>
        <w:t>anemi</w:t>
      </w:r>
      <w:r w:rsidR="003E69B3">
        <w:rPr>
          <w:rFonts w:ascii="Times New Roman" w:hAnsi="Times New Roman" w:cs="Times New Roman"/>
          <w:bCs/>
          <w:color w:val="000000" w:themeColor="text1"/>
          <w:sz w:val="24"/>
          <w:szCs w:val="24"/>
          <w:lang w:bidi="mr-IN"/>
        </w:rPr>
        <w:t>a</w:t>
      </w:r>
      <w:r w:rsidR="00291F99" w:rsidRPr="00175A9A">
        <w:rPr>
          <w:rFonts w:ascii="Times New Roman" w:hAnsi="Times New Roman" w:cs="Times New Roman"/>
          <w:bCs/>
          <w:color w:val="000000" w:themeColor="text1"/>
          <w:sz w:val="24"/>
          <w:szCs w:val="24"/>
          <w:lang w:bidi="mr-IN"/>
        </w:rPr>
        <w:t xml:space="preserve"> </w:t>
      </w:r>
      <w:r w:rsidR="004A0588" w:rsidRPr="00175A9A">
        <w:rPr>
          <w:rFonts w:ascii="Times New Roman" w:hAnsi="Times New Roman" w:cs="Times New Roman"/>
          <w:bCs/>
          <w:color w:val="000000" w:themeColor="text1"/>
          <w:sz w:val="24"/>
          <w:szCs w:val="24"/>
          <w:lang w:bidi="mr-IN"/>
        </w:rPr>
        <w:t>fell</w:t>
      </w:r>
      <w:r w:rsidR="00291F99" w:rsidRPr="00175A9A">
        <w:rPr>
          <w:rFonts w:ascii="Times New Roman" w:hAnsi="Times New Roman" w:cs="Times New Roman"/>
          <w:bCs/>
          <w:color w:val="000000" w:themeColor="text1"/>
          <w:sz w:val="24"/>
          <w:szCs w:val="24"/>
          <w:lang w:bidi="mr-IN"/>
        </w:rPr>
        <w:t xml:space="preserve"> to 59% </w:t>
      </w:r>
      <w:r w:rsidR="003E69B3">
        <w:rPr>
          <w:rFonts w:ascii="Times New Roman" w:hAnsi="Times New Roman" w:cs="Times New Roman"/>
          <w:bCs/>
          <w:color w:val="000000" w:themeColor="text1"/>
          <w:sz w:val="24"/>
          <w:szCs w:val="24"/>
          <w:lang w:bidi="mr-IN"/>
        </w:rPr>
        <w:t>and</w:t>
      </w:r>
      <w:r w:rsidR="00291F99" w:rsidRPr="00175A9A">
        <w:rPr>
          <w:rFonts w:ascii="Times New Roman" w:hAnsi="Times New Roman" w:cs="Times New Roman"/>
          <w:bCs/>
          <w:color w:val="000000" w:themeColor="text1"/>
          <w:sz w:val="24"/>
          <w:szCs w:val="24"/>
          <w:lang w:bidi="mr-IN"/>
        </w:rPr>
        <w:t xml:space="preserve"> </w:t>
      </w:r>
      <w:r w:rsidR="00316952">
        <w:rPr>
          <w:rFonts w:ascii="Times New Roman" w:hAnsi="Times New Roman" w:cs="Times New Roman"/>
          <w:bCs/>
          <w:color w:val="000000" w:themeColor="text1"/>
          <w:sz w:val="24"/>
          <w:szCs w:val="24"/>
          <w:lang w:bidi="mr-IN"/>
        </w:rPr>
        <w:t>m</w:t>
      </w:r>
      <w:r w:rsidR="00710F77">
        <w:rPr>
          <w:rFonts w:ascii="Times New Roman" w:hAnsi="Times New Roman" w:cs="Times New Roman"/>
          <w:bCs/>
          <w:color w:val="000000" w:themeColor="text1"/>
          <w:sz w:val="24"/>
          <w:szCs w:val="24"/>
          <w:lang w:bidi="mr-IN"/>
        </w:rPr>
        <w:t xml:space="preserve">ean </w:t>
      </w:r>
      <w:r w:rsidR="00316952">
        <w:rPr>
          <w:rFonts w:ascii="Times New Roman" w:hAnsi="Times New Roman" w:cs="Times New Roman"/>
          <w:bCs/>
          <w:color w:val="000000" w:themeColor="text1"/>
          <w:sz w:val="24"/>
          <w:szCs w:val="24"/>
          <w:lang w:bidi="mr-IN"/>
        </w:rPr>
        <w:t>c</w:t>
      </w:r>
      <w:r w:rsidR="00710F77">
        <w:rPr>
          <w:rFonts w:ascii="Times New Roman" w:hAnsi="Times New Roman" w:cs="Times New Roman"/>
          <w:bCs/>
          <w:color w:val="000000" w:themeColor="text1"/>
          <w:sz w:val="24"/>
          <w:szCs w:val="24"/>
          <w:lang w:bidi="mr-IN"/>
        </w:rPr>
        <w:t xml:space="preserve">orpuscular </w:t>
      </w:r>
      <w:r w:rsidR="00316952">
        <w:rPr>
          <w:rFonts w:ascii="Times New Roman" w:hAnsi="Times New Roman" w:cs="Times New Roman"/>
          <w:bCs/>
          <w:color w:val="000000" w:themeColor="text1"/>
          <w:sz w:val="24"/>
          <w:szCs w:val="24"/>
          <w:lang w:bidi="mr-IN"/>
        </w:rPr>
        <w:t>v</w:t>
      </w:r>
      <w:r w:rsidR="00710F77">
        <w:rPr>
          <w:rFonts w:ascii="Times New Roman" w:hAnsi="Times New Roman" w:cs="Times New Roman"/>
          <w:bCs/>
          <w:color w:val="000000" w:themeColor="text1"/>
          <w:sz w:val="24"/>
          <w:szCs w:val="24"/>
          <w:lang w:bidi="mr-IN"/>
        </w:rPr>
        <w:t>olume (</w:t>
      </w:r>
      <w:r w:rsidR="00291F99" w:rsidRPr="00175A9A">
        <w:rPr>
          <w:rFonts w:ascii="Times New Roman" w:hAnsi="Times New Roman" w:cs="Times New Roman"/>
          <w:bCs/>
          <w:color w:val="000000" w:themeColor="text1"/>
          <w:sz w:val="24"/>
          <w:szCs w:val="24"/>
          <w:lang w:bidi="mr-IN"/>
        </w:rPr>
        <w:t>MCV</w:t>
      </w:r>
      <w:r w:rsidR="00710F77">
        <w:rPr>
          <w:rFonts w:ascii="Times New Roman" w:hAnsi="Times New Roman" w:cs="Times New Roman"/>
          <w:bCs/>
          <w:color w:val="000000" w:themeColor="text1"/>
          <w:sz w:val="24"/>
          <w:szCs w:val="24"/>
          <w:lang w:bidi="mr-IN"/>
        </w:rPr>
        <w:t>)</w:t>
      </w:r>
      <w:r w:rsidR="00F36E1D" w:rsidRPr="00175A9A">
        <w:rPr>
          <w:rFonts w:ascii="Times New Roman" w:hAnsi="Times New Roman" w:cs="Times New Roman"/>
          <w:bCs/>
          <w:color w:val="000000" w:themeColor="text1"/>
          <w:sz w:val="24"/>
          <w:szCs w:val="24"/>
          <w:lang w:bidi="mr-IN"/>
        </w:rPr>
        <w:t xml:space="preserve"> and plasma </w:t>
      </w:r>
      <w:r w:rsidR="000B3AB9" w:rsidRPr="00175A9A">
        <w:rPr>
          <w:rFonts w:ascii="Times New Roman" w:hAnsi="Times New Roman" w:cs="Times New Roman"/>
          <w:bCs/>
          <w:color w:val="000000" w:themeColor="text1"/>
          <w:sz w:val="24"/>
          <w:szCs w:val="24"/>
          <w:lang w:bidi="mr-IN"/>
        </w:rPr>
        <w:t xml:space="preserve">homocysteine </w:t>
      </w:r>
      <w:r w:rsidR="00F36E1D" w:rsidRPr="00175A9A">
        <w:rPr>
          <w:rFonts w:ascii="Times New Roman" w:hAnsi="Times New Roman" w:cs="Times New Roman"/>
          <w:bCs/>
          <w:color w:val="000000" w:themeColor="text1"/>
          <w:sz w:val="24"/>
          <w:szCs w:val="24"/>
          <w:lang w:bidi="mr-IN"/>
        </w:rPr>
        <w:t>concentrations</w:t>
      </w:r>
      <w:r w:rsidR="003E69B3">
        <w:rPr>
          <w:rFonts w:ascii="Times New Roman" w:hAnsi="Times New Roman" w:cs="Times New Roman"/>
          <w:bCs/>
          <w:color w:val="000000" w:themeColor="text1"/>
          <w:sz w:val="24"/>
          <w:szCs w:val="24"/>
          <w:lang w:bidi="mr-IN"/>
        </w:rPr>
        <w:t xml:space="preserve"> decreased</w:t>
      </w:r>
      <w:r w:rsidR="000B3AB9" w:rsidRPr="00175A9A">
        <w:rPr>
          <w:rFonts w:ascii="Times New Roman" w:hAnsi="Times New Roman" w:cs="Times New Roman"/>
          <w:bCs/>
          <w:color w:val="000000" w:themeColor="text1"/>
          <w:sz w:val="24"/>
          <w:szCs w:val="24"/>
          <w:lang w:bidi="mr-IN"/>
        </w:rPr>
        <w:t>.</w:t>
      </w:r>
      <w:r w:rsidR="00616D73" w:rsidRPr="00175A9A">
        <w:rPr>
          <w:rFonts w:ascii="Times New Roman" w:hAnsi="Times New Roman" w:cs="Times New Roman"/>
          <w:bCs/>
          <w:color w:val="000000" w:themeColor="text1"/>
          <w:sz w:val="24"/>
          <w:szCs w:val="24"/>
          <w:lang w:bidi="mr-IN"/>
        </w:rPr>
        <w:t xml:space="preserve"> </w:t>
      </w:r>
      <w:r w:rsidR="00B70DB0" w:rsidRPr="00175A9A">
        <w:rPr>
          <w:rFonts w:ascii="Times New Roman" w:hAnsi="Times New Roman" w:cs="Times New Roman"/>
          <w:bCs/>
          <w:color w:val="000000" w:themeColor="text1"/>
          <w:sz w:val="24"/>
          <w:szCs w:val="24"/>
          <w:lang w:bidi="mr-IN"/>
        </w:rPr>
        <w:t>S</w:t>
      </w:r>
      <w:r w:rsidR="000B3AB9" w:rsidRPr="00175A9A">
        <w:rPr>
          <w:rFonts w:ascii="Times New Roman" w:hAnsi="Times New Roman" w:cs="Times New Roman"/>
          <w:bCs/>
          <w:color w:val="000000" w:themeColor="text1"/>
          <w:sz w:val="24"/>
          <w:szCs w:val="24"/>
          <w:lang w:bidi="mr-IN"/>
        </w:rPr>
        <w:t>udomotor nerve function</w:t>
      </w:r>
      <w:r w:rsidR="00B82706" w:rsidRPr="00175A9A">
        <w:rPr>
          <w:rFonts w:ascii="Times New Roman" w:hAnsi="Times New Roman" w:cs="Times New Roman"/>
          <w:bCs/>
          <w:color w:val="000000" w:themeColor="text1"/>
          <w:sz w:val="24"/>
          <w:szCs w:val="24"/>
          <w:lang w:bidi="mr-IN"/>
        </w:rPr>
        <w:t xml:space="preserve"> in the feet</w:t>
      </w:r>
      <w:r w:rsidR="000B3AB9" w:rsidRPr="00175A9A">
        <w:rPr>
          <w:rFonts w:ascii="Times New Roman" w:hAnsi="Times New Roman" w:cs="Times New Roman"/>
          <w:bCs/>
          <w:color w:val="000000" w:themeColor="text1"/>
          <w:sz w:val="24"/>
          <w:szCs w:val="24"/>
          <w:lang w:bidi="mr-IN"/>
        </w:rPr>
        <w:t xml:space="preserve"> </w:t>
      </w:r>
      <w:r w:rsidR="00B70DB0" w:rsidRPr="00175A9A">
        <w:rPr>
          <w:rFonts w:ascii="Times New Roman" w:hAnsi="Times New Roman" w:cs="Times New Roman"/>
          <w:bCs/>
          <w:color w:val="000000" w:themeColor="text1"/>
          <w:sz w:val="24"/>
          <w:szCs w:val="24"/>
          <w:lang w:bidi="mr-IN"/>
        </w:rPr>
        <w:t>improved</w:t>
      </w:r>
      <w:r w:rsidR="00B82706" w:rsidRPr="00175A9A">
        <w:rPr>
          <w:rFonts w:ascii="Times New Roman" w:hAnsi="Times New Roman" w:cs="Times New Roman"/>
          <w:bCs/>
          <w:color w:val="000000" w:themeColor="text1"/>
          <w:sz w:val="24"/>
          <w:szCs w:val="24"/>
          <w:lang w:bidi="mr-IN"/>
        </w:rPr>
        <w:t xml:space="preserve"> by an average of </w:t>
      </w:r>
      <w:r w:rsidR="003E6310" w:rsidRPr="00175A9A">
        <w:rPr>
          <w:rFonts w:ascii="Times New Roman" w:hAnsi="Times New Roman" w:cs="Times New Roman"/>
          <w:bCs/>
          <w:color w:val="000000" w:themeColor="text1"/>
          <w:sz w:val="24"/>
          <w:szCs w:val="24"/>
          <w:lang w:bidi="mr-IN"/>
        </w:rPr>
        <w:t>14.7%</w:t>
      </w:r>
      <w:r w:rsidR="00B82706" w:rsidRPr="00175A9A">
        <w:rPr>
          <w:rFonts w:ascii="Times New Roman" w:hAnsi="Times New Roman" w:cs="Times New Roman"/>
          <w:bCs/>
          <w:color w:val="000000" w:themeColor="text1"/>
          <w:sz w:val="24"/>
          <w:szCs w:val="24"/>
          <w:lang w:bidi="mr-IN"/>
        </w:rPr>
        <w:t>, and s</w:t>
      </w:r>
      <w:r w:rsidR="0087789B" w:rsidRPr="00175A9A">
        <w:rPr>
          <w:rFonts w:ascii="Times New Roman" w:hAnsi="Times New Roman" w:cs="Times New Roman"/>
          <w:bCs/>
          <w:color w:val="000000" w:themeColor="text1"/>
          <w:sz w:val="24"/>
          <w:szCs w:val="24"/>
          <w:lang w:bidi="mr-IN"/>
        </w:rPr>
        <w:t xml:space="preserve">ensory </w:t>
      </w:r>
      <w:r w:rsidR="00B82706" w:rsidRPr="00175A9A">
        <w:rPr>
          <w:rFonts w:ascii="Times New Roman" w:hAnsi="Times New Roman" w:cs="Times New Roman"/>
          <w:bCs/>
          <w:color w:val="000000" w:themeColor="text1"/>
          <w:sz w:val="24"/>
          <w:szCs w:val="24"/>
          <w:lang w:bidi="mr-IN"/>
        </w:rPr>
        <w:t xml:space="preserve">conduction velocity in </w:t>
      </w:r>
      <w:r w:rsidR="0087789B" w:rsidRPr="00175A9A">
        <w:rPr>
          <w:rFonts w:ascii="Times New Roman" w:hAnsi="Times New Roman" w:cs="Times New Roman"/>
          <w:bCs/>
          <w:color w:val="000000" w:themeColor="text1"/>
          <w:sz w:val="24"/>
          <w:szCs w:val="24"/>
          <w:lang w:bidi="mr-IN"/>
        </w:rPr>
        <w:t xml:space="preserve">median </w:t>
      </w:r>
      <w:r w:rsidR="003E4CEB" w:rsidRPr="00175A9A">
        <w:rPr>
          <w:rFonts w:ascii="Times New Roman" w:hAnsi="Times New Roman" w:cs="Times New Roman"/>
          <w:bCs/>
          <w:color w:val="000000" w:themeColor="text1"/>
          <w:sz w:val="24"/>
          <w:szCs w:val="24"/>
          <w:lang w:bidi="mr-IN"/>
        </w:rPr>
        <w:t>and sural nerves increased by 16.2</w:t>
      </w:r>
      <w:r w:rsidR="0087789B" w:rsidRPr="00175A9A">
        <w:rPr>
          <w:rFonts w:ascii="Times New Roman" w:hAnsi="Times New Roman" w:cs="Times New Roman"/>
          <w:bCs/>
          <w:color w:val="000000" w:themeColor="text1"/>
          <w:sz w:val="24"/>
          <w:szCs w:val="24"/>
          <w:lang w:bidi="mr-IN"/>
        </w:rPr>
        <w:t xml:space="preserve">% and </w:t>
      </w:r>
      <w:r w:rsidR="003E4CEB" w:rsidRPr="00175A9A">
        <w:rPr>
          <w:rFonts w:ascii="Times New Roman" w:hAnsi="Times New Roman" w:cs="Times New Roman"/>
          <w:bCs/>
          <w:color w:val="000000" w:themeColor="text1"/>
          <w:sz w:val="24"/>
          <w:szCs w:val="24"/>
          <w:lang w:bidi="mr-IN"/>
        </w:rPr>
        <w:t>29.4</w:t>
      </w:r>
      <w:r w:rsidR="0087789B" w:rsidRPr="00175A9A">
        <w:rPr>
          <w:rFonts w:ascii="Times New Roman" w:hAnsi="Times New Roman" w:cs="Times New Roman"/>
          <w:bCs/>
          <w:color w:val="000000" w:themeColor="text1"/>
          <w:sz w:val="24"/>
          <w:szCs w:val="24"/>
          <w:lang w:bidi="mr-IN"/>
        </w:rPr>
        <w:t>% respectively.</w:t>
      </w:r>
    </w:p>
    <w:p w14:paraId="5C575AEC" w14:textId="27CB762D" w:rsidR="00CE3A6F" w:rsidRPr="00175A9A" w:rsidRDefault="00CE3A6F" w:rsidP="00330CC2">
      <w:pPr>
        <w:spacing w:line="480" w:lineRule="auto"/>
        <w:jc w:val="both"/>
        <w:rPr>
          <w:rFonts w:ascii="Times New Roman" w:hAnsi="Times New Roman" w:cs="Times New Roman"/>
          <w:bCs/>
          <w:color w:val="000000" w:themeColor="text1"/>
          <w:sz w:val="24"/>
          <w:szCs w:val="24"/>
          <w:lang w:bidi="mr-IN"/>
        </w:rPr>
      </w:pPr>
      <w:r w:rsidRPr="008E0DC6">
        <w:rPr>
          <w:rFonts w:ascii="Times New Roman" w:hAnsi="Times New Roman" w:cs="Times New Roman"/>
          <w:bCs/>
          <w:color w:val="000000" w:themeColor="text1"/>
          <w:sz w:val="24"/>
          <w:szCs w:val="24"/>
          <w:lang w:bidi="mr-IN"/>
        </w:rPr>
        <w:t>Conclusion</w:t>
      </w:r>
      <w:r w:rsidRPr="00175A9A">
        <w:rPr>
          <w:rFonts w:ascii="Times New Roman" w:hAnsi="Times New Roman" w:cs="Times New Roman"/>
          <w:b/>
          <w:color w:val="000000" w:themeColor="text1"/>
          <w:sz w:val="24"/>
          <w:szCs w:val="24"/>
          <w:lang w:bidi="mr-IN"/>
        </w:rPr>
        <w:t>:</w:t>
      </w:r>
      <w:r w:rsidR="00EA7C5B" w:rsidRPr="00175A9A">
        <w:rPr>
          <w:rFonts w:ascii="Times New Roman" w:hAnsi="Times New Roman" w:cs="Times New Roman"/>
          <w:b/>
          <w:color w:val="000000" w:themeColor="text1"/>
          <w:sz w:val="24"/>
          <w:szCs w:val="24"/>
          <w:lang w:bidi="mr-IN"/>
        </w:rPr>
        <w:t xml:space="preserve"> </w:t>
      </w:r>
      <w:r w:rsidR="004568B0" w:rsidRPr="00175A9A">
        <w:rPr>
          <w:rFonts w:ascii="Times New Roman" w:hAnsi="Times New Roman" w:cs="Times New Roman"/>
          <w:bCs/>
          <w:color w:val="000000" w:themeColor="text1"/>
          <w:sz w:val="24"/>
          <w:szCs w:val="24"/>
          <w:lang w:bidi="mr-IN"/>
        </w:rPr>
        <w:t xml:space="preserve">We </w:t>
      </w:r>
      <w:r w:rsidR="00B82706" w:rsidRPr="00175A9A">
        <w:rPr>
          <w:rFonts w:ascii="Times New Roman" w:hAnsi="Times New Roman" w:cs="Times New Roman"/>
          <w:bCs/>
          <w:color w:val="000000" w:themeColor="text1"/>
          <w:sz w:val="24"/>
          <w:szCs w:val="24"/>
          <w:lang w:bidi="mr-IN"/>
        </w:rPr>
        <w:t>document</w:t>
      </w:r>
      <w:r w:rsidR="00742238" w:rsidRPr="00175A9A">
        <w:rPr>
          <w:rFonts w:ascii="Times New Roman" w:hAnsi="Times New Roman" w:cs="Times New Roman"/>
          <w:bCs/>
          <w:color w:val="000000" w:themeColor="text1"/>
          <w:sz w:val="24"/>
          <w:szCs w:val="24"/>
          <w:lang w:bidi="mr-IN"/>
        </w:rPr>
        <w:t xml:space="preserve"> </w:t>
      </w:r>
      <w:r w:rsidR="003E69B3">
        <w:rPr>
          <w:rFonts w:ascii="Times New Roman" w:hAnsi="Times New Roman" w:cs="Times New Roman"/>
          <w:bCs/>
          <w:color w:val="000000" w:themeColor="text1"/>
          <w:sz w:val="24"/>
          <w:szCs w:val="24"/>
          <w:lang w:bidi="mr-IN"/>
        </w:rPr>
        <w:t xml:space="preserve">clinically </w:t>
      </w:r>
      <w:r w:rsidR="00742238" w:rsidRPr="00175A9A">
        <w:rPr>
          <w:rFonts w:ascii="Times New Roman" w:hAnsi="Times New Roman" w:cs="Times New Roman"/>
          <w:bCs/>
          <w:color w:val="000000" w:themeColor="text1"/>
          <w:sz w:val="24"/>
          <w:szCs w:val="24"/>
          <w:lang w:bidi="mr-IN"/>
        </w:rPr>
        <w:t>beneficial effect</w:t>
      </w:r>
      <w:r w:rsidR="004568B0" w:rsidRPr="00175A9A">
        <w:rPr>
          <w:rFonts w:ascii="Times New Roman" w:hAnsi="Times New Roman" w:cs="Times New Roman"/>
          <w:bCs/>
          <w:color w:val="000000" w:themeColor="text1"/>
          <w:sz w:val="24"/>
          <w:szCs w:val="24"/>
          <w:lang w:bidi="mr-IN"/>
        </w:rPr>
        <w:t>s</w:t>
      </w:r>
      <w:r w:rsidR="00742238" w:rsidRPr="00175A9A">
        <w:rPr>
          <w:rFonts w:ascii="Times New Roman" w:hAnsi="Times New Roman" w:cs="Times New Roman"/>
          <w:bCs/>
          <w:color w:val="000000" w:themeColor="text1"/>
          <w:sz w:val="24"/>
          <w:szCs w:val="24"/>
          <w:lang w:bidi="mr-IN"/>
        </w:rPr>
        <w:t xml:space="preserve"> of </w:t>
      </w:r>
      <w:r w:rsidR="003E69B3">
        <w:rPr>
          <w:rFonts w:ascii="Times New Roman" w:hAnsi="Times New Roman" w:cs="Times New Roman"/>
          <w:bCs/>
          <w:color w:val="000000" w:themeColor="text1"/>
          <w:sz w:val="24"/>
          <w:szCs w:val="24"/>
          <w:lang w:bidi="mr-IN"/>
        </w:rPr>
        <w:t xml:space="preserve">supplementation with a </w:t>
      </w:r>
      <w:r w:rsidR="00AF217A" w:rsidRPr="00175A9A">
        <w:rPr>
          <w:rFonts w:ascii="Times New Roman" w:hAnsi="Times New Roman" w:cs="Times New Roman"/>
          <w:bCs/>
          <w:color w:val="000000" w:themeColor="text1"/>
          <w:sz w:val="24"/>
          <w:szCs w:val="24"/>
          <w:lang w:bidi="mr-IN"/>
        </w:rPr>
        <w:t>physiological dose of</w:t>
      </w:r>
      <w:r w:rsidR="00742238" w:rsidRPr="00175A9A">
        <w:rPr>
          <w:rFonts w:ascii="Times New Roman" w:hAnsi="Times New Roman" w:cs="Times New Roman"/>
          <w:bCs/>
          <w:color w:val="000000" w:themeColor="text1"/>
          <w:sz w:val="24"/>
          <w:szCs w:val="24"/>
          <w:lang w:bidi="mr-IN"/>
        </w:rPr>
        <w:t xml:space="preserve"> oral </w:t>
      </w:r>
      <w:r w:rsidR="00A85EA6" w:rsidRPr="00175A9A">
        <w:rPr>
          <w:rFonts w:ascii="Times New Roman" w:hAnsi="Times New Roman" w:cs="Times New Roman"/>
          <w:bCs/>
          <w:color w:val="000000" w:themeColor="text1"/>
          <w:sz w:val="24"/>
          <w:szCs w:val="24"/>
          <w:lang w:bidi="mr-IN"/>
        </w:rPr>
        <w:t>B-12</w:t>
      </w:r>
      <w:r w:rsidR="00742238" w:rsidRPr="00175A9A">
        <w:rPr>
          <w:rFonts w:ascii="Times New Roman" w:hAnsi="Times New Roman" w:cs="Times New Roman"/>
          <w:bCs/>
          <w:color w:val="000000" w:themeColor="text1"/>
          <w:sz w:val="24"/>
          <w:szCs w:val="24"/>
          <w:lang w:bidi="mr-IN"/>
        </w:rPr>
        <w:t xml:space="preserve"> in </w:t>
      </w:r>
      <w:r w:rsidR="003E69B3">
        <w:rPr>
          <w:rFonts w:ascii="Times New Roman" w:hAnsi="Times New Roman" w:cs="Times New Roman"/>
          <w:bCs/>
          <w:color w:val="000000" w:themeColor="text1"/>
          <w:sz w:val="24"/>
          <w:szCs w:val="24"/>
          <w:lang w:bidi="mr-IN"/>
        </w:rPr>
        <w:t xml:space="preserve">asymptomatic </w:t>
      </w:r>
      <w:r w:rsidR="00742238" w:rsidRPr="00175A9A">
        <w:rPr>
          <w:rFonts w:ascii="Times New Roman" w:hAnsi="Times New Roman" w:cs="Times New Roman"/>
          <w:bCs/>
          <w:color w:val="000000" w:themeColor="text1"/>
          <w:sz w:val="24"/>
          <w:szCs w:val="24"/>
          <w:lang w:bidi="mr-IN"/>
        </w:rPr>
        <w:t>rural Indian adolescent women</w:t>
      </w:r>
      <w:r w:rsidR="003E69B3">
        <w:rPr>
          <w:rFonts w:ascii="Times New Roman" w:hAnsi="Times New Roman" w:cs="Times New Roman"/>
          <w:bCs/>
          <w:color w:val="000000" w:themeColor="text1"/>
          <w:sz w:val="24"/>
          <w:szCs w:val="24"/>
          <w:lang w:bidi="mr-IN"/>
        </w:rPr>
        <w:t xml:space="preserve"> with </w:t>
      </w:r>
      <w:r w:rsidR="00160868">
        <w:rPr>
          <w:rFonts w:ascii="Times New Roman" w:hAnsi="Times New Roman" w:cs="Times New Roman"/>
          <w:bCs/>
          <w:color w:val="000000" w:themeColor="text1"/>
          <w:sz w:val="24"/>
          <w:szCs w:val="24"/>
          <w:lang w:bidi="mr-IN"/>
        </w:rPr>
        <w:t>very</w:t>
      </w:r>
      <w:r w:rsidR="003E69B3">
        <w:rPr>
          <w:rFonts w:ascii="Times New Roman" w:hAnsi="Times New Roman" w:cs="Times New Roman"/>
          <w:bCs/>
          <w:color w:val="000000" w:themeColor="text1"/>
          <w:sz w:val="24"/>
          <w:szCs w:val="24"/>
          <w:lang w:bidi="mr-IN"/>
        </w:rPr>
        <w:t xml:space="preserve"> low B-12 status</w:t>
      </w:r>
      <w:r w:rsidR="00996EFC" w:rsidRPr="00175A9A">
        <w:rPr>
          <w:rFonts w:ascii="Times New Roman" w:hAnsi="Times New Roman" w:cs="Times New Roman"/>
          <w:bCs/>
          <w:color w:val="000000" w:themeColor="text1"/>
          <w:sz w:val="24"/>
          <w:szCs w:val="24"/>
          <w:lang w:bidi="mr-IN"/>
        </w:rPr>
        <w:t>.</w:t>
      </w:r>
      <w:r w:rsidR="00742238" w:rsidRPr="00175A9A">
        <w:rPr>
          <w:rFonts w:ascii="Times New Roman" w:hAnsi="Times New Roman" w:cs="Times New Roman"/>
          <w:bCs/>
          <w:color w:val="000000" w:themeColor="text1"/>
          <w:sz w:val="24"/>
          <w:szCs w:val="24"/>
          <w:lang w:bidi="mr-IN"/>
        </w:rPr>
        <w:t xml:space="preserve"> </w:t>
      </w:r>
      <w:r w:rsidR="00B70DB0" w:rsidRPr="00175A9A">
        <w:rPr>
          <w:rFonts w:ascii="Times New Roman" w:hAnsi="Times New Roman" w:cs="Times New Roman"/>
          <w:bCs/>
          <w:color w:val="000000" w:themeColor="text1"/>
          <w:sz w:val="24"/>
          <w:szCs w:val="24"/>
          <w:lang w:bidi="mr-IN"/>
        </w:rPr>
        <w:t>These f</w:t>
      </w:r>
      <w:r w:rsidR="00742238" w:rsidRPr="00175A9A">
        <w:rPr>
          <w:rFonts w:ascii="Times New Roman" w:hAnsi="Times New Roman" w:cs="Times New Roman"/>
          <w:bCs/>
          <w:color w:val="000000" w:themeColor="text1"/>
          <w:sz w:val="24"/>
          <w:szCs w:val="24"/>
          <w:lang w:bidi="mr-IN"/>
        </w:rPr>
        <w:t xml:space="preserve">indings </w:t>
      </w:r>
      <w:r w:rsidR="00996EFC" w:rsidRPr="00175A9A">
        <w:rPr>
          <w:rFonts w:ascii="Times New Roman" w:hAnsi="Times New Roman" w:cs="Times New Roman"/>
          <w:bCs/>
          <w:color w:val="000000" w:themeColor="text1"/>
          <w:sz w:val="24"/>
          <w:szCs w:val="24"/>
          <w:lang w:bidi="mr-IN"/>
        </w:rPr>
        <w:t xml:space="preserve">support a </w:t>
      </w:r>
      <w:r w:rsidR="00742238" w:rsidRPr="00175A9A">
        <w:rPr>
          <w:rFonts w:ascii="Times New Roman" w:hAnsi="Times New Roman" w:cs="Times New Roman"/>
          <w:bCs/>
          <w:color w:val="000000" w:themeColor="text1"/>
          <w:sz w:val="24"/>
          <w:szCs w:val="24"/>
          <w:lang w:bidi="mr-IN"/>
        </w:rPr>
        <w:t xml:space="preserve">public health </w:t>
      </w:r>
      <w:r w:rsidR="00996EFC" w:rsidRPr="00175A9A">
        <w:rPr>
          <w:rFonts w:ascii="Times New Roman" w:hAnsi="Times New Roman" w:cs="Times New Roman"/>
          <w:bCs/>
          <w:color w:val="000000" w:themeColor="text1"/>
          <w:sz w:val="24"/>
          <w:szCs w:val="24"/>
          <w:lang w:bidi="mr-IN"/>
        </w:rPr>
        <w:t xml:space="preserve">approach to tackle the </w:t>
      </w:r>
      <w:r w:rsidR="00742238" w:rsidRPr="00175A9A">
        <w:rPr>
          <w:rFonts w:ascii="Times New Roman" w:hAnsi="Times New Roman" w:cs="Times New Roman"/>
          <w:bCs/>
          <w:color w:val="000000" w:themeColor="text1"/>
          <w:sz w:val="24"/>
          <w:szCs w:val="24"/>
          <w:lang w:bidi="mr-IN"/>
        </w:rPr>
        <w:t xml:space="preserve">widely prevalent </w:t>
      </w:r>
      <w:r w:rsidR="00201865" w:rsidRPr="00175A9A">
        <w:rPr>
          <w:rFonts w:ascii="Times New Roman" w:hAnsi="Times New Roman" w:cs="Times New Roman"/>
          <w:bCs/>
          <w:color w:val="000000" w:themeColor="text1"/>
          <w:sz w:val="24"/>
          <w:szCs w:val="24"/>
          <w:lang w:bidi="mr-IN"/>
        </w:rPr>
        <w:t xml:space="preserve">low </w:t>
      </w:r>
      <w:r w:rsidR="00A85EA6" w:rsidRPr="00175A9A">
        <w:rPr>
          <w:rFonts w:ascii="Times New Roman" w:hAnsi="Times New Roman" w:cs="Times New Roman"/>
          <w:bCs/>
          <w:color w:val="000000" w:themeColor="text1"/>
          <w:sz w:val="24"/>
          <w:szCs w:val="24"/>
          <w:lang w:bidi="mr-IN"/>
        </w:rPr>
        <w:t>B-12</w:t>
      </w:r>
      <w:r w:rsidR="00742238" w:rsidRPr="00175A9A">
        <w:rPr>
          <w:rFonts w:ascii="Times New Roman" w:hAnsi="Times New Roman" w:cs="Times New Roman"/>
          <w:bCs/>
          <w:color w:val="000000" w:themeColor="text1"/>
          <w:sz w:val="24"/>
          <w:szCs w:val="24"/>
          <w:lang w:bidi="mr-IN"/>
        </w:rPr>
        <w:t xml:space="preserve"> </w:t>
      </w:r>
      <w:r w:rsidR="00201865" w:rsidRPr="00175A9A">
        <w:rPr>
          <w:rFonts w:ascii="Times New Roman" w:hAnsi="Times New Roman" w:cs="Times New Roman"/>
          <w:bCs/>
          <w:color w:val="000000" w:themeColor="text1"/>
          <w:sz w:val="24"/>
          <w:szCs w:val="24"/>
          <w:lang w:bidi="mr-IN"/>
        </w:rPr>
        <w:t>status</w:t>
      </w:r>
      <w:r w:rsidR="00742238" w:rsidRPr="00175A9A">
        <w:rPr>
          <w:rFonts w:ascii="Times New Roman" w:hAnsi="Times New Roman" w:cs="Times New Roman"/>
          <w:bCs/>
          <w:color w:val="000000" w:themeColor="text1"/>
          <w:sz w:val="24"/>
          <w:szCs w:val="24"/>
          <w:lang w:bidi="mr-IN"/>
        </w:rPr>
        <w:t xml:space="preserve"> in </w:t>
      </w:r>
      <w:r w:rsidR="004568B0" w:rsidRPr="00175A9A">
        <w:rPr>
          <w:rFonts w:ascii="Times New Roman" w:hAnsi="Times New Roman" w:cs="Times New Roman"/>
          <w:bCs/>
          <w:color w:val="000000" w:themeColor="text1"/>
          <w:sz w:val="24"/>
          <w:szCs w:val="24"/>
          <w:lang w:bidi="mr-IN"/>
        </w:rPr>
        <w:t xml:space="preserve">young </w:t>
      </w:r>
      <w:r w:rsidR="00742238" w:rsidRPr="00175A9A">
        <w:rPr>
          <w:rFonts w:ascii="Times New Roman" w:hAnsi="Times New Roman" w:cs="Times New Roman"/>
          <w:bCs/>
          <w:color w:val="000000" w:themeColor="text1"/>
          <w:sz w:val="24"/>
          <w:szCs w:val="24"/>
          <w:lang w:bidi="mr-IN"/>
        </w:rPr>
        <w:t>Indians</w:t>
      </w:r>
      <w:r w:rsidR="00AD698C" w:rsidRPr="00175A9A">
        <w:rPr>
          <w:rFonts w:ascii="Times New Roman" w:hAnsi="Times New Roman" w:cs="Times New Roman"/>
          <w:bCs/>
          <w:color w:val="000000" w:themeColor="text1"/>
          <w:sz w:val="24"/>
          <w:szCs w:val="24"/>
          <w:lang w:bidi="mr-IN"/>
        </w:rPr>
        <w:t>.</w:t>
      </w:r>
    </w:p>
    <w:p w14:paraId="646D3C68" w14:textId="77777777" w:rsidR="00AD698C" w:rsidRPr="00175A9A" w:rsidRDefault="00AD698C" w:rsidP="00330CC2">
      <w:pPr>
        <w:spacing w:line="360" w:lineRule="auto"/>
        <w:jc w:val="both"/>
        <w:rPr>
          <w:rFonts w:ascii="Times New Roman" w:hAnsi="Times New Roman" w:cs="Times New Roman"/>
          <w:bCs/>
          <w:color w:val="000000" w:themeColor="text1"/>
          <w:sz w:val="24"/>
          <w:szCs w:val="24"/>
          <w:lang w:bidi="mr-IN"/>
        </w:rPr>
      </w:pPr>
    </w:p>
    <w:p w14:paraId="2297CF34" w14:textId="77777777" w:rsidR="00AD698C" w:rsidRDefault="00AD698C" w:rsidP="00330CC2">
      <w:pPr>
        <w:spacing w:line="360" w:lineRule="auto"/>
        <w:jc w:val="both"/>
        <w:rPr>
          <w:rFonts w:ascii="Times New Roman" w:hAnsi="Times New Roman" w:cs="Times New Roman"/>
          <w:b/>
          <w:color w:val="000000" w:themeColor="text1"/>
          <w:sz w:val="24"/>
          <w:szCs w:val="24"/>
          <w:lang w:bidi="mr-IN"/>
        </w:rPr>
      </w:pPr>
    </w:p>
    <w:p w14:paraId="03334D59"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15E5365F"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74A1A67C"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61A9485D"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53931422"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33950DCB"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3D3E9CE9"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2AA4BB29"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7842F6D0"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76EBEF69"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53B3173D"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5DB73201"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36AD5FBA"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3FE8E555" w14:textId="77777777" w:rsidR="00AA1D6E" w:rsidRDefault="00AA1D6E" w:rsidP="00330CC2">
      <w:pPr>
        <w:spacing w:line="360" w:lineRule="auto"/>
        <w:jc w:val="both"/>
        <w:rPr>
          <w:rFonts w:ascii="Times New Roman" w:hAnsi="Times New Roman" w:cs="Times New Roman"/>
          <w:b/>
          <w:color w:val="000000" w:themeColor="text1"/>
          <w:sz w:val="24"/>
          <w:szCs w:val="24"/>
          <w:lang w:bidi="mr-IN"/>
        </w:rPr>
      </w:pPr>
    </w:p>
    <w:p w14:paraId="1D31460E" w14:textId="2B427083" w:rsidR="00347D5E" w:rsidRPr="00175A9A" w:rsidRDefault="00B84DE8" w:rsidP="00330CC2">
      <w:pPr>
        <w:spacing w:line="480" w:lineRule="auto"/>
        <w:jc w:val="both"/>
        <w:outlineLvl w:val="0"/>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lang w:bidi="mr-IN"/>
        </w:rPr>
        <w:t>Introduction</w:t>
      </w:r>
    </w:p>
    <w:p w14:paraId="6CB66D9B" w14:textId="40A396A3" w:rsidR="002B2FEE" w:rsidRDefault="006408CB" w:rsidP="00330CC2">
      <w:pPr>
        <w:spacing w:line="480" w:lineRule="auto"/>
        <w:jc w:val="both"/>
        <w:rPr>
          <w:rFonts w:ascii="Times New Roman" w:hAnsi="Times New Roman" w:cs="Times New Roman"/>
          <w:color w:val="000000" w:themeColor="text1"/>
          <w:sz w:val="24"/>
          <w:szCs w:val="24"/>
          <w:lang w:bidi="mr-IN"/>
        </w:rPr>
      </w:pPr>
      <w:r w:rsidRPr="00B839AA">
        <w:rPr>
          <w:rFonts w:ascii="Times New Roman" w:hAnsi="Times New Roman" w:cs="Times New Roman"/>
          <w:bCs/>
          <w:color w:val="000000" w:themeColor="text1"/>
          <w:sz w:val="24"/>
          <w:szCs w:val="24"/>
          <w:lang w:bidi="mr-IN"/>
        </w:rPr>
        <w:t>Vitamin B-12 deficiency is often considered synonymous with pernicious anemia, a rare condition</w:t>
      </w:r>
      <w:r w:rsidR="002B2FEE" w:rsidRPr="00B839AA">
        <w:rPr>
          <w:rFonts w:ascii="Times New Roman" w:hAnsi="Times New Roman" w:cs="Times New Roman"/>
          <w:bCs/>
          <w:color w:val="000000" w:themeColor="text1"/>
          <w:sz w:val="24"/>
          <w:szCs w:val="24"/>
          <w:lang w:bidi="mr-IN"/>
        </w:rPr>
        <w:t xml:space="preserve"> manifesting as </w:t>
      </w:r>
      <w:r w:rsidR="002B2FEE" w:rsidRPr="00B839AA">
        <w:rPr>
          <w:rFonts w:ascii="Times New Roman" w:hAnsi="Times New Roman" w:cs="Times New Roman"/>
          <w:color w:val="000000" w:themeColor="text1"/>
          <w:sz w:val="24"/>
          <w:szCs w:val="24"/>
          <w:lang w:bidi="mr-IN"/>
        </w:rPr>
        <w:t>megaloblastic erythropoiesis, hyperhomocystinemia, methylmalonic acidemia, and neurological syndromes (subacute combined degeneration of cord, peripheral neuropathy, dementia and depression)</w:t>
      </w:r>
      <w:r w:rsidR="006372D6" w:rsidRPr="00B839AA">
        <w:rPr>
          <w:rFonts w:ascii="Times New Roman" w:hAnsi="Times New Roman" w:cs="Times New Roman"/>
          <w:color w:val="000000" w:themeColor="text1"/>
          <w:sz w:val="24"/>
          <w:szCs w:val="24"/>
          <w:lang w:bidi="mr-IN"/>
        </w:rPr>
        <w:t xml:space="preserve"> </w:t>
      </w:r>
      <w:r w:rsidR="006372D6" w:rsidRPr="00B839AA">
        <w:rPr>
          <w:rFonts w:ascii="Times New Roman" w:hAnsi="Times New Roman" w:cs="Times New Roman"/>
          <w:color w:val="000000" w:themeColor="text1"/>
          <w:sz w:val="24"/>
          <w:szCs w:val="24"/>
          <w:lang w:bidi="mr-IN"/>
        </w:rPr>
        <w:fldChar w:fldCharType="begin"/>
      </w:r>
      <w:r w:rsidR="006372D6" w:rsidRPr="00B839AA">
        <w:rPr>
          <w:rFonts w:ascii="Times New Roman" w:hAnsi="Times New Roman" w:cs="Times New Roman"/>
          <w:color w:val="000000" w:themeColor="text1"/>
          <w:sz w:val="24"/>
          <w:szCs w:val="24"/>
          <w:lang w:bidi="mr-IN"/>
        </w:rPr>
        <w:instrText xml:space="preserve"> ADDIN ZOTERO_ITEM CSL_CITATION {"citationID":"tc87bUJL","properties":{"formattedCitation":"[1]","plainCitation":"[1]","noteIndex":0},"citationItems":[{"id":1287,"uris":["http://zotero.org/users/4091385/items/J8VKJWAR"],"uri":["http://zotero.org/users/4091385/items/J8VKJWAR"],"itemData":{"id":1287,"type":"article-journal","title":"Clinical practice. Vitamin B12 deficiency","container-title":"The New England Journal of Medicine","page":"149-160","volume":"368","issue":"2","source":"PubMed","DOI":"10.1056/NEJMcp1113996","ISSN":"1533-4406","note":"PMID: 23301732","journalAbbreviation":"N. Engl. J. Med.","language":"eng","author":[{"family":"Stabler","given":"Sally P."}],"issued":{"date-parts":[["2013",1,10]]}}}],"schema":"https://github.com/citation-style-language/schema/raw/master/csl-citation.json"} </w:instrText>
      </w:r>
      <w:r w:rsidR="006372D6" w:rsidRPr="00B839AA">
        <w:rPr>
          <w:rFonts w:ascii="Times New Roman" w:hAnsi="Times New Roman" w:cs="Times New Roman"/>
          <w:color w:val="000000" w:themeColor="text1"/>
          <w:sz w:val="24"/>
          <w:szCs w:val="24"/>
          <w:lang w:bidi="mr-IN"/>
        </w:rPr>
        <w:fldChar w:fldCharType="separate"/>
      </w:r>
      <w:r w:rsidR="006372D6" w:rsidRPr="00B839AA">
        <w:rPr>
          <w:rFonts w:ascii="Times New Roman" w:hAnsi="Times New Roman" w:cs="Times New Roman"/>
          <w:noProof/>
          <w:color w:val="000000" w:themeColor="text1"/>
          <w:sz w:val="24"/>
          <w:szCs w:val="24"/>
          <w:lang w:bidi="mr-IN"/>
        </w:rPr>
        <w:t>[1]</w:t>
      </w:r>
      <w:r w:rsidR="006372D6" w:rsidRPr="00B839AA">
        <w:rPr>
          <w:rFonts w:ascii="Times New Roman" w:hAnsi="Times New Roman" w:cs="Times New Roman"/>
          <w:color w:val="000000" w:themeColor="text1"/>
          <w:sz w:val="24"/>
          <w:szCs w:val="24"/>
          <w:lang w:bidi="mr-IN"/>
        </w:rPr>
        <w:fldChar w:fldCharType="end"/>
      </w:r>
      <w:r w:rsidR="006372D6" w:rsidRPr="00B839AA">
        <w:rPr>
          <w:rFonts w:ascii="Times New Roman" w:hAnsi="Times New Roman" w:cs="Times New Roman"/>
          <w:color w:val="000000" w:themeColor="text1"/>
          <w:sz w:val="24"/>
          <w:szCs w:val="24"/>
          <w:lang w:bidi="mr-IN"/>
        </w:rPr>
        <w:t>.</w:t>
      </w:r>
      <w:r w:rsidR="002B2FEE" w:rsidRPr="00B839AA">
        <w:rPr>
          <w:rFonts w:ascii="Times New Roman" w:hAnsi="Times New Roman" w:cs="Times New Roman"/>
          <w:color w:val="000000" w:themeColor="text1"/>
          <w:sz w:val="24"/>
          <w:szCs w:val="24"/>
          <w:lang w:bidi="mr-IN"/>
        </w:rPr>
        <w:t xml:space="preserve"> The primary defect in this condition is a near-total block in the gastrointestinal absorption of vitamin B-</w:t>
      </w:r>
      <w:r w:rsidR="006372D6" w:rsidRPr="00B839AA">
        <w:rPr>
          <w:rFonts w:ascii="Times New Roman" w:hAnsi="Times New Roman" w:cs="Times New Roman"/>
          <w:color w:val="000000" w:themeColor="text1"/>
          <w:sz w:val="24"/>
          <w:szCs w:val="24"/>
          <w:lang w:bidi="mr-IN"/>
        </w:rPr>
        <w:t xml:space="preserve">12 </w:t>
      </w:r>
      <w:r w:rsidR="006372D6" w:rsidRPr="00B839AA">
        <w:rPr>
          <w:rFonts w:ascii="Times New Roman" w:hAnsi="Times New Roman" w:cs="Times New Roman"/>
          <w:bCs/>
          <w:color w:val="000000" w:themeColor="text1"/>
          <w:sz w:val="24"/>
          <w:szCs w:val="24"/>
          <w:lang w:bidi="mr-IN"/>
        </w:rPr>
        <w:t>which</w:t>
      </w:r>
      <w:r w:rsidRPr="00B839AA">
        <w:rPr>
          <w:rFonts w:ascii="Times New Roman" w:hAnsi="Times New Roman" w:cs="Times New Roman"/>
          <w:bCs/>
          <w:color w:val="000000" w:themeColor="text1"/>
          <w:sz w:val="24"/>
          <w:szCs w:val="24"/>
          <w:lang w:bidi="mr-IN"/>
        </w:rPr>
        <w:t xml:space="preserve"> requires high-dose parenteral treatment. In developing countries such as India, </w:t>
      </w:r>
      <w:r w:rsidRPr="00B839AA">
        <w:rPr>
          <w:rFonts w:ascii="Times New Roman" w:hAnsi="Times New Roman" w:cs="Times New Roman"/>
          <w:bCs/>
          <w:color w:val="000000" w:themeColor="text1"/>
          <w:sz w:val="24"/>
          <w:szCs w:val="24"/>
          <w:lang w:bidi="mr-IN"/>
        </w:rPr>
        <w:lastRenderedPageBreak/>
        <w:t xml:space="preserve">inadequate dietary intake of B-12 due to socio-cultural factors leads to widely prevalent asymptomatic low B-12 status. In this scenario, lower doses of oral B-12 may be effective, safer and more affordable. </w:t>
      </w:r>
    </w:p>
    <w:p w14:paraId="4AAED709" w14:textId="77777777" w:rsidR="002B2FEE" w:rsidRDefault="002B2FEE" w:rsidP="00330CC2">
      <w:pPr>
        <w:spacing w:line="480" w:lineRule="auto"/>
        <w:jc w:val="both"/>
        <w:rPr>
          <w:rFonts w:ascii="Times New Roman" w:hAnsi="Times New Roman" w:cs="Times New Roman"/>
          <w:color w:val="000000" w:themeColor="text1"/>
          <w:sz w:val="24"/>
          <w:szCs w:val="24"/>
          <w:lang w:bidi="mr-IN"/>
        </w:rPr>
      </w:pPr>
    </w:p>
    <w:p w14:paraId="7A101311" w14:textId="17AF2EA2" w:rsidR="003F3195" w:rsidRPr="00175A9A" w:rsidRDefault="003F3195"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In </w:t>
      </w:r>
      <w:r w:rsidR="00A87ECA" w:rsidRPr="00175A9A">
        <w:rPr>
          <w:rFonts w:ascii="Times New Roman" w:hAnsi="Times New Roman" w:cs="Times New Roman"/>
          <w:color w:val="000000" w:themeColor="text1"/>
          <w:sz w:val="24"/>
          <w:szCs w:val="24"/>
          <w:lang w:bidi="mr-IN"/>
        </w:rPr>
        <w:t xml:space="preserve">the </w:t>
      </w:r>
      <w:r w:rsidRPr="00175A9A">
        <w:rPr>
          <w:rFonts w:ascii="Times New Roman" w:hAnsi="Times New Roman" w:cs="Times New Roman"/>
          <w:color w:val="000000" w:themeColor="text1"/>
          <w:sz w:val="24"/>
          <w:szCs w:val="24"/>
          <w:lang w:bidi="mr-IN"/>
        </w:rPr>
        <w:t xml:space="preserve">last few decades it </w:t>
      </w:r>
      <w:r w:rsidR="00A87ECA" w:rsidRPr="00175A9A">
        <w:rPr>
          <w:rFonts w:ascii="Times New Roman" w:hAnsi="Times New Roman" w:cs="Times New Roman"/>
          <w:color w:val="000000" w:themeColor="text1"/>
          <w:sz w:val="24"/>
          <w:szCs w:val="24"/>
          <w:lang w:bidi="mr-IN"/>
        </w:rPr>
        <w:t>has become</w:t>
      </w:r>
      <w:r w:rsidRPr="00175A9A">
        <w:rPr>
          <w:rFonts w:ascii="Times New Roman" w:hAnsi="Times New Roman" w:cs="Times New Roman"/>
          <w:color w:val="000000" w:themeColor="text1"/>
          <w:sz w:val="24"/>
          <w:szCs w:val="24"/>
          <w:lang w:bidi="mr-IN"/>
        </w:rPr>
        <w:t xml:space="preserve"> increasingly apparent that </w:t>
      </w:r>
      <w:r w:rsidR="0007735E" w:rsidRPr="00175A9A">
        <w:rPr>
          <w:rFonts w:ascii="Times New Roman" w:hAnsi="Times New Roman" w:cs="Times New Roman"/>
          <w:color w:val="000000" w:themeColor="text1"/>
          <w:sz w:val="24"/>
          <w:szCs w:val="24"/>
          <w:lang w:bidi="mr-IN"/>
        </w:rPr>
        <w:t xml:space="preserve">inadequate dietary intake of </w:t>
      </w:r>
      <w:r w:rsidRPr="00175A9A">
        <w:rPr>
          <w:rFonts w:ascii="Times New Roman" w:hAnsi="Times New Roman" w:cs="Times New Roman"/>
          <w:color w:val="000000" w:themeColor="text1"/>
          <w:sz w:val="24"/>
          <w:szCs w:val="24"/>
          <w:lang w:bidi="mr-IN"/>
        </w:rPr>
        <w:t xml:space="preserve">vitamin </w:t>
      </w:r>
      <w:r w:rsidR="00A85EA6" w:rsidRPr="00175A9A">
        <w:rPr>
          <w:rFonts w:ascii="Times New Roman" w:hAnsi="Times New Roman" w:cs="Times New Roman"/>
          <w:color w:val="000000" w:themeColor="text1"/>
          <w:sz w:val="24"/>
          <w:szCs w:val="24"/>
          <w:lang w:bidi="mr-IN"/>
        </w:rPr>
        <w:t>B-12</w:t>
      </w:r>
      <w:r w:rsidRPr="00175A9A">
        <w:rPr>
          <w:rFonts w:ascii="Times New Roman" w:hAnsi="Times New Roman" w:cs="Times New Roman"/>
          <w:color w:val="000000" w:themeColor="text1"/>
          <w:sz w:val="24"/>
          <w:szCs w:val="24"/>
          <w:lang w:bidi="mr-IN"/>
        </w:rPr>
        <w:t xml:space="preserve"> </w:t>
      </w:r>
      <w:r w:rsidR="0047296E" w:rsidRPr="00175A9A">
        <w:rPr>
          <w:rFonts w:ascii="Times New Roman" w:hAnsi="Times New Roman" w:cs="Times New Roman"/>
          <w:color w:val="000000" w:themeColor="text1"/>
          <w:sz w:val="24"/>
          <w:szCs w:val="24"/>
          <w:lang w:bidi="mr-IN"/>
        </w:rPr>
        <w:t xml:space="preserve"> </w:t>
      </w:r>
      <w:r w:rsidRPr="00175A9A">
        <w:rPr>
          <w:rFonts w:ascii="Times New Roman" w:hAnsi="Times New Roman" w:cs="Times New Roman"/>
          <w:color w:val="000000" w:themeColor="text1"/>
          <w:sz w:val="24"/>
          <w:szCs w:val="24"/>
          <w:lang w:bidi="mr-IN"/>
        </w:rPr>
        <w:t xml:space="preserve">is a </w:t>
      </w:r>
      <w:r w:rsidR="00673AA6" w:rsidRPr="00175A9A">
        <w:rPr>
          <w:rFonts w:ascii="Times New Roman" w:hAnsi="Times New Roman" w:cs="Times New Roman"/>
          <w:color w:val="000000" w:themeColor="text1"/>
          <w:sz w:val="24"/>
          <w:szCs w:val="24"/>
          <w:lang w:bidi="mr-IN"/>
        </w:rPr>
        <w:t>widely prevalent</w:t>
      </w:r>
      <w:r w:rsidRPr="00175A9A">
        <w:rPr>
          <w:rFonts w:ascii="Times New Roman" w:hAnsi="Times New Roman" w:cs="Times New Roman"/>
          <w:color w:val="000000" w:themeColor="text1"/>
          <w:sz w:val="24"/>
          <w:szCs w:val="24"/>
          <w:lang w:bidi="mr-IN"/>
        </w:rPr>
        <w:t xml:space="preserve"> cause of low vitamin </w:t>
      </w:r>
      <w:r w:rsidR="00A85EA6" w:rsidRPr="00175A9A">
        <w:rPr>
          <w:rFonts w:ascii="Times New Roman" w:hAnsi="Times New Roman" w:cs="Times New Roman"/>
          <w:color w:val="000000" w:themeColor="text1"/>
          <w:sz w:val="24"/>
          <w:szCs w:val="24"/>
          <w:lang w:bidi="mr-IN"/>
        </w:rPr>
        <w:t>B-12</w:t>
      </w:r>
      <w:r w:rsidRPr="00175A9A">
        <w:rPr>
          <w:rFonts w:ascii="Times New Roman" w:hAnsi="Times New Roman" w:cs="Times New Roman"/>
          <w:color w:val="000000" w:themeColor="text1"/>
          <w:sz w:val="24"/>
          <w:szCs w:val="24"/>
          <w:lang w:bidi="mr-IN"/>
        </w:rPr>
        <w:t xml:space="preserve"> status in many populations </w:t>
      </w:r>
      <w:r w:rsidR="00337FBB" w:rsidRPr="00175A9A">
        <w:rPr>
          <w:rFonts w:ascii="Times New Roman" w:hAnsi="Times New Roman" w:cs="Times New Roman"/>
          <w:color w:val="000000" w:themeColor="text1"/>
          <w:sz w:val="24"/>
          <w:szCs w:val="24"/>
          <w:lang w:bidi="mr-IN"/>
        </w:rPr>
        <w:fldChar w:fldCharType="begin"/>
      </w:r>
      <w:r w:rsidR="00AC1F15" w:rsidRPr="00175A9A">
        <w:rPr>
          <w:rFonts w:ascii="Times New Roman" w:hAnsi="Times New Roman" w:cs="Times New Roman"/>
          <w:color w:val="000000" w:themeColor="text1"/>
          <w:sz w:val="24"/>
          <w:szCs w:val="24"/>
          <w:lang w:bidi="mr-IN"/>
        </w:rPr>
        <w:instrText xml:space="preserve"> ADDIN ZOTERO_ITEM CSL_CITATION {"citationID":"Fe2gZbKb","properties":{"formattedCitation":"[2]","plainCitation":"[2]","noteIndex":0},"citationItems":[{"id":1278,"uris":["http://zotero.org/users/4091385/items/UL6QGL96"],"uri":["http://zotero.org/users/4091385/items/UL6QGL96"],"itemData":{"id":1278,"type":"article-journal","title":"Vitamin B 12 deficiency","container-title":"Nature reviews Disease primers","page":"17040","volume":"3","author":[{"family":"Green","given":"Ralph"},{"family":"Allen","given":"Lindsay H."},{"family":"Bjørke-Monsen","given":"Anne-Lise"},{"family":"Brito","given":"Alex"},{"family":"Guéant","given":"Jean-Louis"},{"family":"Miller","given":"Joshua W."},{"family":"Molloy","given":"Anne M."},{"family":"Nexo","given":"Ebba"},{"family":"Stabler","given":"Sally"},{"family":"Toh","given":"Ban-Hock"}],"issued":{"date-parts":[["2017"]]}}}],"schema":"https://github.com/citation-style-language/schema/raw/master/csl-citation.json"} </w:instrText>
      </w:r>
      <w:r w:rsidR="00337FBB" w:rsidRPr="00175A9A">
        <w:rPr>
          <w:rFonts w:ascii="Times New Roman" w:hAnsi="Times New Roman" w:cs="Times New Roman"/>
          <w:color w:val="000000" w:themeColor="text1"/>
          <w:sz w:val="24"/>
          <w:szCs w:val="24"/>
          <w:lang w:bidi="mr-IN"/>
        </w:rPr>
        <w:fldChar w:fldCharType="separate"/>
      </w:r>
      <w:r w:rsidR="00BA7A18">
        <w:rPr>
          <w:rFonts w:ascii="Times New Roman" w:hAnsi="Times New Roman" w:cs="Times New Roman"/>
          <w:noProof/>
          <w:color w:val="000000" w:themeColor="text1"/>
          <w:sz w:val="24"/>
          <w:szCs w:val="24"/>
          <w:lang w:bidi="mr-IN"/>
        </w:rPr>
        <w:t>[2]</w:t>
      </w:r>
      <w:r w:rsidR="00337FBB" w:rsidRPr="00175A9A">
        <w:rPr>
          <w:rFonts w:ascii="Times New Roman" w:hAnsi="Times New Roman" w:cs="Times New Roman"/>
          <w:color w:val="000000" w:themeColor="text1"/>
          <w:sz w:val="24"/>
          <w:szCs w:val="24"/>
          <w:lang w:bidi="mr-IN"/>
        </w:rPr>
        <w:fldChar w:fldCharType="end"/>
      </w:r>
      <w:r w:rsidRPr="00175A9A">
        <w:rPr>
          <w:rFonts w:ascii="Times New Roman" w:hAnsi="Times New Roman" w:cs="Times New Roman"/>
          <w:color w:val="000000" w:themeColor="text1"/>
          <w:sz w:val="24"/>
          <w:szCs w:val="24"/>
          <w:lang w:bidi="mr-IN"/>
        </w:rPr>
        <w:t>. This predominantly affects vegetarian</w:t>
      </w:r>
      <w:r w:rsidR="007543A6" w:rsidRPr="00175A9A">
        <w:rPr>
          <w:rFonts w:ascii="Times New Roman" w:hAnsi="Times New Roman" w:cs="Times New Roman"/>
          <w:color w:val="000000" w:themeColor="text1"/>
          <w:sz w:val="24"/>
          <w:szCs w:val="24"/>
          <w:lang w:bidi="mr-IN"/>
        </w:rPr>
        <w:t>s who</w:t>
      </w:r>
      <w:r w:rsidRPr="00175A9A">
        <w:rPr>
          <w:rFonts w:ascii="Times New Roman" w:hAnsi="Times New Roman" w:cs="Times New Roman"/>
          <w:color w:val="000000" w:themeColor="text1"/>
          <w:sz w:val="24"/>
          <w:szCs w:val="24"/>
          <w:lang w:bidi="mr-IN"/>
        </w:rPr>
        <w:t xml:space="preserve"> do not eat adequate amount</w:t>
      </w:r>
      <w:r w:rsidR="004A0588" w:rsidRPr="00175A9A">
        <w:rPr>
          <w:rFonts w:ascii="Times New Roman" w:hAnsi="Times New Roman" w:cs="Times New Roman"/>
          <w:color w:val="000000" w:themeColor="text1"/>
          <w:sz w:val="24"/>
          <w:szCs w:val="24"/>
          <w:lang w:bidi="mr-IN"/>
        </w:rPr>
        <w:t>s</w:t>
      </w:r>
      <w:r w:rsidRPr="00175A9A">
        <w:rPr>
          <w:rFonts w:ascii="Times New Roman" w:hAnsi="Times New Roman" w:cs="Times New Roman"/>
          <w:color w:val="000000" w:themeColor="text1"/>
          <w:sz w:val="24"/>
          <w:szCs w:val="24"/>
          <w:lang w:bidi="mr-IN"/>
        </w:rPr>
        <w:t xml:space="preserve"> of animal origin foods (milk, eggs, fish, chicken and meat) and lower socioeconomic groups </w:t>
      </w:r>
      <w:r w:rsidR="00291F99" w:rsidRPr="00175A9A">
        <w:rPr>
          <w:rFonts w:ascii="Times New Roman" w:hAnsi="Times New Roman" w:cs="Times New Roman"/>
          <w:color w:val="000000" w:themeColor="text1"/>
          <w:sz w:val="24"/>
          <w:szCs w:val="24"/>
          <w:lang w:bidi="mr-IN"/>
        </w:rPr>
        <w:t xml:space="preserve">who </w:t>
      </w:r>
      <w:r w:rsidRPr="00175A9A">
        <w:rPr>
          <w:rFonts w:ascii="Times New Roman" w:hAnsi="Times New Roman" w:cs="Times New Roman"/>
          <w:color w:val="000000" w:themeColor="text1"/>
          <w:sz w:val="24"/>
          <w:szCs w:val="24"/>
          <w:lang w:bidi="mr-IN"/>
        </w:rPr>
        <w:t>cannot afford them</w:t>
      </w:r>
      <w:r w:rsidR="002B2FEE">
        <w:rPr>
          <w:rFonts w:ascii="Times New Roman" w:hAnsi="Times New Roman" w:cs="Times New Roman"/>
          <w:color w:val="000000" w:themeColor="text1"/>
          <w:sz w:val="24"/>
          <w:szCs w:val="24"/>
          <w:lang w:bidi="mr-IN"/>
        </w:rPr>
        <w:t xml:space="preserve"> and vegans</w:t>
      </w:r>
      <w:r w:rsidRPr="00175A9A">
        <w:rPr>
          <w:rFonts w:ascii="Times New Roman" w:hAnsi="Times New Roman" w:cs="Times New Roman"/>
          <w:color w:val="000000" w:themeColor="text1"/>
          <w:sz w:val="24"/>
          <w:szCs w:val="24"/>
          <w:lang w:bidi="mr-IN"/>
        </w:rPr>
        <w:t>.</w:t>
      </w:r>
      <w:r w:rsidR="00673AA6" w:rsidRPr="00175A9A">
        <w:rPr>
          <w:rFonts w:ascii="Times New Roman" w:hAnsi="Times New Roman" w:cs="Times New Roman"/>
          <w:color w:val="000000" w:themeColor="text1"/>
          <w:sz w:val="24"/>
          <w:szCs w:val="24"/>
          <w:lang w:bidi="mr-IN"/>
        </w:rPr>
        <w:t xml:space="preserve"> </w:t>
      </w:r>
      <w:r w:rsidRPr="00175A9A">
        <w:rPr>
          <w:rFonts w:ascii="Times New Roman" w:hAnsi="Times New Roman" w:cs="Times New Roman"/>
          <w:color w:val="000000" w:themeColor="text1"/>
          <w:sz w:val="24"/>
          <w:szCs w:val="24"/>
          <w:lang w:bidi="mr-IN"/>
        </w:rPr>
        <w:t xml:space="preserve">Small doses of oral vitamin </w:t>
      </w:r>
      <w:r w:rsidR="00A85EA6" w:rsidRPr="00175A9A">
        <w:rPr>
          <w:rFonts w:ascii="Times New Roman" w:hAnsi="Times New Roman" w:cs="Times New Roman"/>
          <w:color w:val="000000" w:themeColor="text1"/>
          <w:sz w:val="24"/>
          <w:szCs w:val="24"/>
          <w:lang w:bidi="mr-IN"/>
        </w:rPr>
        <w:t>B-12</w:t>
      </w:r>
      <w:r w:rsidRPr="00175A9A">
        <w:rPr>
          <w:rFonts w:ascii="Times New Roman" w:hAnsi="Times New Roman" w:cs="Times New Roman"/>
          <w:color w:val="000000" w:themeColor="text1"/>
          <w:sz w:val="24"/>
          <w:szCs w:val="24"/>
          <w:lang w:bidi="mr-IN"/>
        </w:rPr>
        <w:t xml:space="preserve"> may be adequate to improve vitamin status in these individuals</w:t>
      </w:r>
      <w:r w:rsidR="005C1965" w:rsidRPr="00175A9A">
        <w:rPr>
          <w:rFonts w:ascii="Times New Roman" w:hAnsi="Times New Roman" w:cs="Times New Roman"/>
          <w:color w:val="000000" w:themeColor="text1"/>
          <w:sz w:val="24"/>
          <w:szCs w:val="24"/>
          <w:lang w:bidi="mr-IN"/>
        </w:rPr>
        <w:t xml:space="preserve"> </w:t>
      </w:r>
      <w:r w:rsidR="00337FBB" w:rsidRPr="00175A9A">
        <w:rPr>
          <w:rFonts w:ascii="Times New Roman" w:hAnsi="Times New Roman" w:cs="Times New Roman"/>
          <w:color w:val="000000" w:themeColor="text1"/>
          <w:sz w:val="24"/>
          <w:szCs w:val="24"/>
          <w:lang w:bidi="mr-IN"/>
        </w:rPr>
        <w:fldChar w:fldCharType="begin"/>
      </w:r>
      <w:r w:rsidR="00AC1F15" w:rsidRPr="00175A9A">
        <w:rPr>
          <w:rFonts w:ascii="Times New Roman" w:hAnsi="Times New Roman" w:cs="Times New Roman"/>
          <w:color w:val="000000" w:themeColor="text1"/>
          <w:sz w:val="24"/>
          <w:szCs w:val="24"/>
          <w:lang w:bidi="mr-IN"/>
        </w:rPr>
        <w:instrText xml:space="preserve"> ADDIN ZOTERO_ITEM CSL_CITATION {"citationID":"2z3ijGAq","properties":{"formattedCitation":"[3,4]","plainCitation":"[3,4]","noteIndex":0},"citationItems":[{"id":1285,"uris":["http://zotero.org/users/4091385/items/ACR5AMWY"],"uri":["http://zotero.org/users/4091385/items/ACR5AMWY"],"itemData":{"id":1285,"type":"article-journal","title":"Oral Vitamin B12 Replacement for the Treatment of Pernicious Anemia","container-title":"Frontiers in Medicine","page":"38","volume":"3","source":"PubMed","abstract":"Many patients with pernicious anemia are treated with lifelong intramuscular (IM) vitamin B12 replacement. As early as the 1950s, there were studies suggesting that oral vitamin B12 replacement may provide adequate absorption. Nevertheless, oral vitamin B12 replacement in patients with pernicious anemia remains uncommon in clinical practice. The objective of this review is to provide an update on the effectiveness of oral vitamin B12 for the treatment of pernicious anemia, the recommended dosage, and the required frequency of laboratory test and clinical monitoring. Relevant articles were identified by PubMed search from January 1, 1980 to March 31, 2016 and through hand search of relevant reference articles. Two randomized controlled trials, three prospective papers, one systematic review, and three clinical reviews fulfilled our inclusion criteria. We found that oral vitamin B12 replacement at 1000 μg daily was adequate to replace vitamin B12 levels in patients with pernicious anemia. We conclude that oral vitamin B12 is an effective alternative to vitamin B12 IM injections. Patients should be offered this alternative after an informed discussion on the advantages and disadvantages of both treatment options.","DOI":"10.3389/fmed.2016.00038","ISSN":"2296-858X","note":"PMID: 27602354\nPMCID: PMC4993789","journalAbbreviation":"Front Med (Lausanne)","language":"eng","author":[{"family":"Chan","given":"Catherine Qiu Hua"},{"family":"Low","given":"Lian Leng"},{"family":"Lee","given":"Kheng Hock"}],"issued":{"date-parts":[["2016"]]}}},{"id":1279,"uris":["http://zotero.org/users/4091385/items/BIKJ8BN3"],"uri":["http://zotero.org/users/4091385/items/BIKJ8BN3"],"itemData":{"id":1279,"type":"article-journal","title":"Oral vitamin B12 versus intramuscular vitamin B12 for vitamin B12 deficiency","container-title":"The Cochrane database of systematic reviews","page":"CD004655","issue":"3","source":"www.ncbi.nlm.nih.gov","abstract":"Vitamin B12 deficiency is common and rises with age. Most people with vitamin B12 deficiency are treated in primary care with intramuscular vitamin B12 which is a considerable source of work for health care professionals. Several case control and case ...","DOI":"10.1002/14651858.CD004655.pub2","ISSN":"10.1002/14651858.CD004655.pub2","note":"PMID: 16034940","language":"en","author":[{"family":"Vidal-Alaball","given":"Josep"},{"family":"Butler","given":"Christopher"},{"family":"Cannings-John","given":"Rebecca"},{"family":"Goringe","given":"Andrew"},{"family":"Hood","given":"Kerry"},{"family":"McCaddon","given":"Andrew"},{"family":"McDowell","given":"Ian"},{"family":"Papaioannou","given":"Alexandra"}],"issued":{"date-parts":[["2005",7,20]]}}}],"schema":"https://github.com/citation-style-language/schema/raw/master/csl-citation.json"} </w:instrText>
      </w:r>
      <w:r w:rsidR="00337FBB" w:rsidRPr="00175A9A">
        <w:rPr>
          <w:rFonts w:ascii="Times New Roman" w:hAnsi="Times New Roman" w:cs="Times New Roman"/>
          <w:color w:val="000000" w:themeColor="text1"/>
          <w:sz w:val="24"/>
          <w:szCs w:val="24"/>
          <w:lang w:bidi="mr-IN"/>
        </w:rPr>
        <w:fldChar w:fldCharType="separate"/>
      </w:r>
      <w:r w:rsidR="00BA7A18">
        <w:rPr>
          <w:rFonts w:ascii="Times New Roman" w:hAnsi="Times New Roman" w:cs="Times New Roman"/>
          <w:noProof/>
          <w:color w:val="000000" w:themeColor="text1"/>
          <w:sz w:val="24"/>
          <w:szCs w:val="24"/>
          <w:lang w:bidi="mr-IN"/>
        </w:rPr>
        <w:t>[3,4]</w:t>
      </w:r>
      <w:r w:rsidR="00337FBB" w:rsidRPr="00175A9A">
        <w:rPr>
          <w:rFonts w:ascii="Times New Roman" w:hAnsi="Times New Roman" w:cs="Times New Roman"/>
          <w:color w:val="000000" w:themeColor="text1"/>
          <w:sz w:val="24"/>
          <w:szCs w:val="24"/>
          <w:lang w:bidi="mr-IN"/>
        </w:rPr>
        <w:fldChar w:fldCharType="end"/>
      </w:r>
      <w:r w:rsidRPr="00175A9A">
        <w:rPr>
          <w:rFonts w:ascii="Times New Roman" w:hAnsi="Times New Roman" w:cs="Times New Roman"/>
          <w:color w:val="000000" w:themeColor="text1"/>
          <w:sz w:val="24"/>
          <w:szCs w:val="24"/>
          <w:lang w:bidi="mr-IN"/>
        </w:rPr>
        <w:t>. There is sparse information on this issu</w:t>
      </w:r>
      <w:r w:rsidR="007129E2" w:rsidRPr="00175A9A">
        <w:rPr>
          <w:rFonts w:ascii="Times New Roman" w:hAnsi="Times New Roman" w:cs="Times New Roman"/>
          <w:color w:val="000000" w:themeColor="text1"/>
          <w:sz w:val="24"/>
          <w:szCs w:val="24"/>
          <w:lang w:bidi="mr-IN"/>
        </w:rPr>
        <w:t>e</w:t>
      </w:r>
      <w:r w:rsidRPr="00175A9A">
        <w:rPr>
          <w:rFonts w:ascii="Times New Roman" w:hAnsi="Times New Roman" w:cs="Times New Roman"/>
          <w:color w:val="000000" w:themeColor="text1"/>
          <w:sz w:val="24"/>
          <w:szCs w:val="24"/>
          <w:lang w:bidi="mr-IN"/>
        </w:rPr>
        <w:t xml:space="preserve">. </w:t>
      </w:r>
    </w:p>
    <w:p w14:paraId="7549A688" w14:textId="1C4E9A4F" w:rsidR="00673AA6" w:rsidRPr="00175A9A" w:rsidRDefault="003F3195"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India is one such country where vitamin </w:t>
      </w:r>
      <w:r w:rsidR="00A85EA6" w:rsidRPr="00175A9A">
        <w:rPr>
          <w:rFonts w:ascii="Times New Roman" w:hAnsi="Times New Roman" w:cs="Times New Roman"/>
          <w:color w:val="000000" w:themeColor="text1"/>
          <w:sz w:val="24"/>
          <w:szCs w:val="24"/>
          <w:lang w:bidi="mr-IN"/>
        </w:rPr>
        <w:t>B-12</w:t>
      </w:r>
      <w:r w:rsidRPr="00175A9A">
        <w:rPr>
          <w:rFonts w:ascii="Times New Roman" w:hAnsi="Times New Roman" w:cs="Times New Roman"/>
          <w:color w:val="000000" w:themeColor="text1"/>
          <w:sz w:val="24"/>
          <w:szCs w:val="24"/>
          <w:lang w:bidi="mr-IN"/>
        </w:rPr>
        <w:t xml:space="preserve"> deficiency has been reported in substantial numbers</w:t>
      </w:r>
      <w:r w:rsidR="00CD0B1D" w:rsidRPr="00175A9A">
        <w:rPr>
          <w:rFonts w:ascii="Times New Roman" w:hAnsi="Times New Roman" w:cs="Times New Roman"/>
          <w:color w:val="000000" w:themeColor="text1"/>
          <w:sz w:val="24"/>
          <w:szCs w:val="24"/>
          <w:lang w:bidi="mr-IN"/>
        </w:rPr>
        <w:t xml:space="preserve"> </w:t>
      </w:r>
      <w:r w:rsidRPr="00175A9A">
        <w:rPr>
          <w:rFonts w:ascii="Times New Roman" w:hAnsi="Times New Roman" w:cs="Times New Roman"/>
          <w:color w:val="000000" w:themeColor="text1"/>
          <w:sz w:val="24"/>
          <w:szCs w:val="24"/>
          <w:lang w:bidi="mr-IN"/>
        </w:rPr>
        <w:t xml:space="preserve"> </w:t>
      </w:r>
      <w:r w:rsidR="00D365C5" w:rsidRPr="00175A9A">
        <w:rPr>
          <w:rFonts w:ascii="Times New Roman" w:hAnsi="Times New Roman" w:cs="Times New Roman"/>
          <w:color w:val="000000" w:themeColor="text1"/>
          <w:sz w:val="24"/>
          <w:szCs w:val="24"/>
          <w:lang w:bidi="mr-IN"/>
        </w:rPr>
        <w:fldChar w:fldCharType="begin"/>
      </w:r>
      <w:r w:rsidR="00E12B3C">
        <w:rPr>
          <w:rFonts w:ascii="Times New Roman" w:hAnsi="Times New Roman" w:cs="Times New Roman"/>
          <w:color w:val="000000" w:themeColor="text1"/>
          <w:sz w:val="24"/>
          <w:szCs w:val="24"/>
          <w:lang w:bidi="mr-IN"/>
        </w:rPr>
        <w:instrText xml:space="preserve"> ADDIN ZOTERO_ITEM CSL_CITATION {"citationID":"0UxRGUGV","properties":{"formattedCitation":"[5\\uc0\\u8211{}7]","plainCitation":"[5–7]","noteIndex":0},"citationItems":[{"id":1289,"uris":["http://zotero.org/users/4091385/items/GK23QIY9"],"uri":["http://zotero.org/users/4091385/items/GK23QIY9"],"itemData":{"id":1289,"type":"article-journal","title":"Status of Vitamin B12 and Folate among the Urban Adult Population in South India","container-title":"Annals of Nutrition &amp; Metabolism","page":"94-102","volume":"68","issue":"2","source":"PubMed","abstract":"BACKGROUND: Deficiency of vitamin B12 (B12) and folate (FA) leads to a wide spectrum of disorders that affect all age groups. However, reports on B12 and FA status in healthy adults in India are limited. Hence, we determined the plasma levels and dietary intake of B12 and FA in the adult population.\nMETHODS: We conducted a community-based cross-sectional study in an urban setup among 630 apparently healthy adults distributed into 3 age groups: 21-40, 41-60 and &gt;60 years. Plasma concentrations of B12 and FA were analyzed by radio immunoassay and dietary intake by 24-hour recall method.\nRESULTS: The overall prevalence of FA deficiency was 12%, but there was no significant difference in plasma FA concentrations among the groups. While the overall prevalence of B12 deficiency was 35%, it was significantly higher in the 21-40 (44%) and 41-60 age groups (40%) when compared with the &gt;60 group (30%). B12 deficiency was higher in vegetarians (54%) compared to those consuming mixed diet (31%), and the reverse was the case with FA. However, the dietary intakes of FA and B12 were not significantly different among the groups.\nCONCLUSIONS: These results indicate a higher prevalence of B12 deficiency in apparently healthy adults in an urban setup.","DOI":"10.1159/000442677","ISSN":"1421-9697","note":"PMID: 26667891","journalAbbreviation":"Ann. Nutr. Metab.","language":"eng","author":[{"family":"Sivaprasad","given":"M."},{"family":"Shalini","given":"T."},{"family":"Balakrishna","given":"N."},{"family":"Sudarshan","given":"M."},{"family":"Lopamudra","given":"P."},{"family":"Suryanarayana","given":"P."},{"family":"Arlappa","given":"N."},{"family":"Ravikumar","given":"B. P."},{"family":"Radhika","given":"M. S."},{"family":"Reddy","given":"G. Bhanuprakash"}],"issued":{"date-parts":[["2016"]]}}},{"id":1291,"uris":["http://zotero.org/users/4091385/items/WZMQ3FEJ"],"uri":["http://zotero.org/users/4091385/items/WZMQ3FEJ"],"itemData":{"id":1291,"type":"article-journal","title":"Prevalence of ferritin, folate and vitamin B12 deficiencies amongst children in 5-18 years of age in Delhi","container-title":"Indian Journal of Pediatrics","page":"312","volume":"81","issue":"3","source":"PubMed","DOI":"10.1007/s12098-013-1091-y","ISSN":"0973-7693","note":"PMID: 23783764","journalAbbreviation":"Indian J Pediatr","language":"eng","author":[{"family":"Kapil","given":"Umesh"},{"family":"Sareen","given":"Neha"}],"issued":{"date-parts":[["2014",3]]}}},{"id":1114,"uris":["http://zotero.org/users/4091385/items/L5PFD6BQ"],"uri":["http://zotero.org/users/4091385/items/L5PFD6BQ"],"itemData":{"id":1114,"type":"article-journal","title":"Prevalence of vitamin B-12 insufficiency during pregnancy and its effect on offspring birth weight: a systematic review and meta-analysis","container-title":"The American Journal of Clinical Nutrition","page":"1232-1251","volume":"103","issue":"5","source":"PubMed","abstract":"BACKGROUND: Vitamin B-12 and folate are micronutrients essential for normal embryogenesis. Vitamin B-12 insufficiency in pregnancy is high in certain parts of the world, such as India, and although this has been linked to low birth weight (LBW) in these populations, the relation between vitamin B-12 and birth weight (BW) elsewhere is unknown.\nOBJECTIVES: We performed a systematic review to assess 1) the worldwide prevalence of vitamin B-12 insufficiency in pregnancy and 2) its association with BW.\nDESIGN: A search of 5 electronic databases was performed to identify eligible articles. Random-effects meta-analysis was conducted according to geographic regions and pregnancy trimesters for the prevalence subreview and by categorical measures of BW.\nRESULTS: A total of 57 and 23 articles were included for the prevalence and BW subreviews, respectively. The pooled estimates of vitamin B-12 insufficiency were 21%, 19%, and 29% in the first, second, and third trimesters, respectively, with high rates for the Indian subcontinent and the Eastern Mediterranean. The large heterogeneity between studies was partially addressed by creating a standardized score for each study (mean vitamin B-12 insufficiency ÷ cutoff value), which internally corrected for geographic region, trimester, and assay type. Twelve of the 13 longitudinal studies included showed a decrease in mean or median vitamin B-12 across trimesters. Pooled analysis showed nonsignificantly lower maternal vitamin B-12 concentrations in LBW than in normal-BW infants and higher odds of LBW with lower vitamin B-12 values (adjusted OR: 1.70; 95% CI: 1.16, 2.50), but studies from India largely contributed to the latter.\nCONCLUSIONS: Our review indicates that vitamin B-12 insufficiency during pregnancy is common even in nonvegetarian populations and that concentrations of vitamin B-12 decrease from the first to the third trimester. There is no consistent association between vitamin B-12 insufficiency and LBW. However, given the long-term risks of LBW, this observation warrants further cohort studies and randomized controlled trials.","DOI":"10.3945/ajcn.115.123083","ISSN":"1938-3207","note":"PMID: 27076577","title-short":"Prevalence of vitamin B-12 insufficiency during pregnancy and its effect on offspring birth weight","journalAbbreviation":"Am. J. Clin. Nutr.","language":"eng","author":[{"family":"Sukumar","given":"Nithya"},{"family":"Rafnsson","given":"Snorri B."},{"family":"Kandala","given":"Ngianga-Bakwin"},{"family":"Bhopal","given":"Raj"},{"family":"Yajnik","given":"Chittaranjan S."},{"family":"Saravanan","given":"Ponnusamy"}],"issued":{"date-parts":[["2016",5]]}}}],"schema":"https://github.com/citation-style-language/schema/raw/master/csl-citation.json"} </w:instrText>
      </w:r>
      <w:r w:rsidR="00D365C5" w:rsidRPr="00175A9A">
        <w:rPr>
          <w:rFonts w:ascii="Times New Roman" w:hAnsi="Times New Roman" w:cs="Times New Roman"/>
          <w:color w:val="000000" w:themeColor="text1"/>
          <w:sz w:val="24"/>
          <w:szCs w:val="24"/>
          <w:lang w:bidi="mr-IN"/>
        </w:rPr>
        <w:fldChar w:fldCharType="separate"/>
      </w:r>
      <w:r w:rsidR="00BA7A18" w:rsidRPr="00BA7A18">
        <w:rPr>
          <w:rFonts w:ascii="Times New Roman" w:eastAsia="Times New Roman" w:hAnsi="Times New Roman" w:cs="Times New Roman"/>
          <w:color w:val="000000"/>
          <w:sz w:val="24"/>
        </w:rPr>
        <w:t>[5–7]</w:t>
      </w:r>
      <w:r w:rsidR="00D365C5" w:rsidRPr="00175A9A">
        <w:rPr>
          <w:rFonts w:ascii="Times New Roman" w:hAnsi="Times New Roman" w:cs="Times New Roman"/>
          <w:color w:val="000000" w:themeColor="text1"/>
          <w:sz w:val="24"/>
          <w:szCs w:val="24"/>
          <w:lang w:bidi="mr-IN"/>
        </w:rPr>
        <w:fldChar w:fldCharType="end"/>
      </w:r>
      <w:r w:rsidRPr="00175A9A">
        <w:rPr>
          <w:rFonts w:ascii="Times New Roman" w:hAnsi="Times New Roman" w:cs="Times New Roman"/>
          <w:color w:val="000000" w:themeColor="text1"/>
          <w:sz w:val="24"/>
          <w:szCs w:val="24"/>
          <w:lang w:bidi="mr-IN"/>
        </w:rPr>
        <w:t>. Th</w:t>
      </w:r>
      <w:r w:rsidR="00AF7A21">
        <w:rPr>
          <w:rFonts w:ascii="Times New Roman" w:hAnsi="Times New Roman" w:cs="Times New Roman"/>
          <w:color w:val="000000" w:themeColor="text1"/>
          <w:sz w:val="24"/>
          <w:szCs w:val="24"/>
          <w:lang w:bidi="mr-IN"/>
        </w:rPr>
        <w:t>is has been attributed mainly</w:t>
      </w:r>
      <w:r w:rsidR="00CD0B1D" w:rsidRPr="00175A9A">
        <w:rPr>
          <w:rFonts w:ascii="Times New Roman" w:hAnsi="Times New Roman" w:cs="Times New Roman"/>
          <w:color w:val="000000" w:themeColor="text1"/>
          <w:sz w:val="24"/>
          <w:szCs w:val="24"/>
          <w:lang w:bidi="mr-IN"/>
        </w:rPr>
        <w:t xml:space="preserve"> </w:t>
      </w:r>
      <w:r w:rsidRPr="00175A9A">
        <w:rPr>
          <w:rFonts w:ascii="Times New Roman" w:hAnsi="Times New Roman" w:cs="Times New Roman"/>
          <w:color w:val="000000" w:themeColor="text1"/>
          <w:sz w:val="24"/>
          <w:szCs w:val="24"/>
          <w:lang w:bidi="mr-IN"/>
        </w:rPr>
        <w:t>to vegetarian</w:t>
      </w:r>
      <w:r w:rsidR="00CD0B1D" w:rsidRPr="00175A9A">
        <w:rPr>
          <w:rFonts w:ascii="Times New Roman" w:hAnsi="Times New Roman" w:cs="Times New Roman"/>
          <w:color w:val="000000" w:themeColor="text1"/>
          <w:sz w:val="24"/>
          <w:szCs w:val="24"/>
          <w:lang w:bidi="mr-IN"/>
        </w:rPr>
        <w:t xml:space="preserve"> food</w:t>
      </w:r>
      <w:r w:rsidRPr="00175A9A">
        <w:rPr>
          <w:rFonts w:ascii="Times New Roman" w:hAnsi="Times New Roman" w:cs="Times New Roman"/>
          <w:color w:val="000000" w:themeColor="text1"/>
          <w:sz w:val="24"/>
          <w:szCs w:val="24"/>
          <w:lang w:bidi="mr-IN"/>
        </w:rPr>
        <w:t xml:space="preserve"> habits</w:t>
      </w:r>
      <w:r w:rsidR="00AF7A21">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 </w:t>
      </w:r>
      <w:r w:rsidR="00CD0B1D" w:rsidRPr="00175A9A">
        <w:rPr>
          <w:rFonts w:ascii="Times New Roman" w:hAnsi="Times New Roman" w:cs="Times New Roman"/>
          <w:color w:val="000000" w:themeColor="text1"/>
          <w:sz w:val="24"/>
          <w:szCs w:val="24"/>
          <w:lang w:bidi="mr-IN"/>
        </w:rPr>
        <w:t>due to religious</w:t>
      </w:r>
      <w:r w:rsidR="00781AD8" w:rsidRPr="00175A9A">
        <w:rPr>
          <w:rFonts w:ascii="Times New Roman" w:hAnsi="Times New Roman" w:cs="Times New Roman"/>
          <w:color w:val="000000" w:themeColor="text1"/>
          <w:sz w:val="24"/>
          <w:szCs w:val="24"/>
          <w:lang w:bidi="mr-IN"/>
        </w:rPr>
        <w:t>-</w:t>
      </w:r>
      <w:r w:rsidR="00CD0B1D" w:rsidRPr="00175A9A">
        <w:rPr>
          <w:rFonts w:ascii="Times New Roman" w:hAnsi="Times New Roman" w:cs="Times New Roman"/>
          <w:color w:val="000000" w:themeColor="text1"/>
          <w:sz w:val="24"/>
          <w:szCs w:val="24"/>
          <w:lang w:bidi="mr-IN"/>
        </w:rPr>
        <w:t xml:space="preserve">  socio-cultural factors </w:t>
      </w:r>
      <w:r w:rsidRPr="00175A9A">
        <w:rPr>
          <w:rFonts w:ascii="Times New Roman" w:hAnsi="Times New Roman" w:cs="Times New Roman"/>
          <w:color w:val="000000" w:themeColor="text1"/>
          <w:sz w:val="24"/>
          <w:szCs w:val="24"/>
          <w:lang w:bidi="mr-IN"/>
        </w:rPr>
        <w:t>and po</w:t>
      </w:r>
      <w:r w:rsidR="00781AD8" w:rsidRPr="00175A9A">
        <w:rPr>
          <w:rFonts w:ascii="Times New Roman" w:hAnsi="Times New Roman" w:cs="Times New Roman"/>
          <w:color w:val="000000" w:themeColor="text1"/>
          <w:sz w:val="24"/>
          <w:szCs w:val="24"/>
          <w:lang w:bidi="mr-IN"/>
        </w:rPr>
        <w:t>verty</w:t>
      </w:r>
      <w:r w:rsidR="00A87ECA" w:rsidRPr="00175A9A">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 </w:t>
      </w:r>
      <w:r w:rsidR="00A87ECA" w:rsidRPr="00175A9A">
        <w:rPr>
          <w:rFonts w:ascii="Times New Roman" w:hAnsi="Times New Roman" w:cs="Times New Roman"/>
          <w:color w:val="000000" w:themeColor="text1"/>
          <w:sz w:val="24"/>
          <w:szCs w:val="24"/>
          <w:lang w:bidi="mr-IN"/>
        </w:rPr>
        <w:t>though</w:t>
      </w:r>
      <w:r w:rsidRPr="00175A9A">
        <w:rPr>
          <w:rFonts w:ascii="Times New Roman" w:hAnsi="Times New Roman" w:cs="Times New Roman"/>
          <w:color w:val="000000" w:themeColor="text1"/>
          <w:sz w:val="24"/>
          <w:szCs w:val="24"/>
          <w:lang w:bidi="mr-IN"/>
        </w:rPr>
        <w:t xml:space="preserve"> other factors may contribute. </w:t>
      </w:r>
      <w:r w:rsidR="00673AA6" w:rsidRPr="00175A9A">
        <w:rPr>
          <w:rFonts w:ascii="Times New Roman" w:hAnsi="Times New Roman" w:cs="Times New Roman"/>
          <w:color w:val="000000" w:themeColor="text1"/>
          <w:sz w:val="24"/>
          <w:szCs w:val="24"/>
          <w:lang w:bidi="mr-IN"/>
        </w:rPr>
        <w:lastRenderedPageBreak/>
        <w:t>A large majority of these individuals are asymptomatic</w:t>
      </w:r>
      <w:r w:rsidR="008A2577" w:rsidRPr="00175A9A">
        <w:rPr>
          <w:rFonts w:ascii="Times New Roman" w:hAnsi="Times New Roman" w:cs="Times New Roman"/>
          <w:color w:val="000000" w:themeColor="text1"/>
          <w:sz w:val="24"/>
          <w:szCs w:val="24"/>
          <w:lang w:bidi="mr-IN"/>
        </w:rPr>
        <w:t xml:space="preserve"> and the </w:t>
      </w:r>
      <w:r w:rsidR="00A85EA6" w:rsidRPr="00175A9A">
        <w:rPr>
          <w:rFonts w:ascii="Times New Roman" w:hAnsi="Times New Roman" w:cs="Times New Roman"/>
          <w:color w:val="000000" w:themeColor="text1"/>
          <w:sz w:val="24"/>
          <w:szCs w:val="24"/>
          <w:lang w:bidi="mr-IN"/>
        </w:rPr>
        <w:t>B-12</w:t>
      </w:r>
      <w:r w:rsidR="008A2577" w:rsidRPr="00175A9A">
        <w:rPr>
          <w:rFonts w:ascii="Times New Roman" w:hAnsi="Times New Roman" w:cs="Times New Roman"/>
          <w:color w:val="000000" w:themeColor="text1"/>
          <w:sz w:val="24"/>
          <w:szCs w:val="24"/>
          <w:lang w:bidi="mr-IN"/>
        </w:rPr>
        <w:t xml:space="preserve"> deficiency may be evident only on laboratory testing</w:t>
      </w:r>
      <w:r w:rsidRPr="00175A9A">
        <w:rPr>
          <w:rFonts w:ascii="Times New Roman" w:hAnsi="Times New Roman" w:cs="Times New Roman"/>
          <w:color w:val="000000" w:themeColor="text1"/>
          <w:sz w:val="24"/>
          <w:szCs w:val="24"/>
          <w:lang w:bidi="mr-IN"/>
        </w:rPr>
        <w:t xml:space="preserve">. There is </w:t>
      </w:r>
      <w:r w:rsidR="00A87ECA" w:rsidRPr="00175A9A">
        <w:rPr>
          <w:rFonts w:ascii="Times New Roman" w:hAnsi="Times New Roman" w:cs="Times New Roman"/>
          <w:color w:val="000000" w:themeColor="text1"/>
          <w:sz w:val="24"/>
          <w:szCs w:val="24"/>
          <w:lang w:bidi="mr-IN"/>
        </w:rPr>
        <w:t>limited</w:t>
      </w:r>
      <w:r w:rsidRPr="00175A9A">
        <w:rPr>
          <w:rFonts w:ascii="Times New Roman" w:hAnsi="Times New Roman" w:cs="Times New Roman"/>
          <w:color w:val="000000" w:themeColor="text1"/>
          <w:sz w:val="24"/>
          <w:szCs w:val="24"/>
          <w:lang w:bidi="mr-IN"/>
        </w:rPr>
        <w:t xml:space="preserve"> information </w:t>
      </w:r>
      <w:r w:rsidR="000D0CDB" w:rsidRPr="00175A9A">
        <w:rPr>
          <w:rFonts w:ascii="Times New Roman" w:hAnsi="Times New Roman" w:cs="Times New Roman"/>
          <w:color w:val="000000" w:themeColor="text1"/>
          <w:sz w:val="24"/>
          <w:szCs w:val="24"/>
          <w:lang w:bidi="mr-IN"/>
        </w:rPr>
        <w:t xml:space="preserve">about their </w:t>
      </w:r>
      <w:r w:rsidRPr="00175A9A">
        <w:rPr>
          <w:rFonts w:ascii="Times New Roman" w:hAnsi="Times New Roman" w:cs="Times New Roman"/>
          <w:color w:val="000000" w:themeColor="text1"/>
          <w:sz w:val="24"/>
          <w:szCs w:val="24"/>
          <w:lang w:bidi="mr-IN"/>
        </w:rPr>
        <w:t xml:space="preserve">clinical, hematologic and biochemical response to </w:t>
      </w:r>
      <w:r w:rsidR="00967205" w:rsidRPr="00175A9A">
        <w:rPr>
          <w:rFonts w:ascii="Times New Roman" w:hAnsi="Times New Roman" w:cs="Times New Roman"/>
          <w:color w:val="000000" w:themeColor="text1"/>
          <w:sz w:val="24"/>
          <w:szCs w:val="24"/>
          <w:lang w:bidi="mr-IN"/>
        </w:rPr>
        <w:t>treatment</w:t>
      </w:r>
      <w:r w:rsidR="0084544C" w:rsidRPr="00175A9A">
        <w:rPr>
          <w:rFonts w:ascii="Times New Roman" w:hAnsi="Times New Roman" w:cs="Times New Roman"/>
          <w:color w:val="000000" w:themeColor="text1"/>
          <w:sz w:val="24"/>
          <w:szCs w:val="24"/>
          <w:lang w:bidi="mr-IN"/>
        </w:rPr>
        <w:t xml:space="preserve"> with near</w:t>
      </w:r>
      <w:r w:rsidR="009C4926" w:rsidRPr="00175A9A">
        <w:rPr>
          <w:rFonts w:ascii="Times New Roman" w:hAnsi="Times New Roman" w:cs="Times New Roman"/>
          <w:color w:val="000000" w:themeColor="text1"/>
          <w:sz w:val="24"/>
          <w:szCs w:val="24"/>
          <w:lang w:bidi="mr-IN"/>
        </w:rPr>
        <w:t xml:space="preserve"> Recommended Dietary Allowance</w:t>
      </w:r>
      <w:r w:rsidR="0084544C" w:rsidRPr="00175A9A">
        <w:rPr>
          <w:rFonts w:ascii="Times New Roman" w:hAnsi="Times New Roman" w:cs="Times New Roman"/>
          <w:color w:val="000000" w:themeColor="text1"/>
          <w:sz w:val="24"/>
          <w:szCs w:val="24"/>
          <w:lang w:bidi="mr-IN"/>
        </w:rPr>
        <w:t xml:space="preserve"> </w:t>
      </w:r>
      <w:r w:rsidR="009C4926" w:rsidRPr="00175A9A">
        <w:rPr>
          <w:rFonts w:ascii="Times New Roman" w:hAnsi="Times New Roman" w:cs="Times New Roman"/>
          <w:color w:val="000000" w:themeColor="text1"/>
          <w:sz w:val="24"/>
          <w:szCs w:val="24"/>
          <w:lang w:bidi="mr-IN"/>
        </w:rPr>
        <w:t>(</w:t>
      </w:r>
      <w:r w:rsidR="0084544C" w:rsidRPr="00175A9A">
        <w:rPr>
          <w:rFonts w:ascii="Times New Roman" w:hAnsi="Times New Roman" w:cs="Times New Roman"/>
          <w:color w:val="000000" w:themeColor="text1"/>
          <w:sz w:val="24"/>
          <w:szCs w:val="24"/>
          <w:lang w:bidi="mr-IN"/>
        </w:rPr>
        <w:t>RDA</w:t>
      </w:r>
      <w:r w:rsidR="009C4926" w:rsidRPr="00175A9A">
        <w:rPr>
          <w:rFonts w:ascii="Times New Roman" w:hAnsi="Times New Roman" w:cs="Times New Roman"/>
          <w:color w:val="000000" w:themeColor="text1"/>
          <w:sz w:val="24"/>
          <w:szCs w:val="24"/>
          <w:lang w:bidi="mr-IN"/>
        </w:rPr>
        <w:t>)</w:t>
      </w:r>
      <w:r w:rsidR="0084544C" w:rsidRPr="00175A9A">
        <w:rPr>
          <w:rFonts w:ascii="Times New Roman" w:hAnsi="Times New Roman" w:cs="Times New Roman"/>
          <w:color w:val="000000" w:themeColor="text1"/>
          <w:sz w:val="24"/>
          <w:szCs w:val="24"/>
          <w:lang w:bidi="mr-IN"/>
        </w:rPr>
        <w:t xml:space="preserve"> doses of vitamin</w:t>
      </w:r>
      <w:r w:rsidR="00C50B0B" w:rsidRPr="00175A9A">
        <w:rPr>
          <w:rFonts w:ascii="Times New Roman" w:hAnsi="Times New Roman" w:cs="Times New Roman"/>
          <w:color w:val="000000" w:themeColor="text1"/>
          <w:sz w:val="24"/>
          <w:szCs w:val="24"/>
          <w:lang w:bidi="mr-IN"/>
        </w:rPr>
        <w:t xml:space="preserve"> </w:t>
      </w:r>
      <w:r w:rsidR="00A85EA6" w:rsidRPr="00175A9A">
        <w:rPr>
          <w:rFonts w:ascii="Times New Roman" w:hAnsi="Times New Roman" w:cs="Times New Roman"/>
          <w:color w:val="000000" w:themeColor="text1"/>
          <w:sz w:val="24"/>
          <w:szCs w:val="24"/>
          <w:lang w:bidi="mr-IN"/>
        </w:rPr>
        <w:t>B-12</w:t>
      </w:r>
      <w:r w:rsidR="0084544C" w:rsidRPr="00175A9A">
        <w:rPr>
          <w:rFonts w:ascii="Times New Roman" w:hAnsi="Times New Roman" w:cs="Times New Roman"/>
          <w:color w:val="000000" w:themeColor="text1"/>
          <w:sz w:val="24"/>
          <w:szCs w:val="24"/>
          <w:lang w:bidi="mr-IN"/>
        </w:rPr>
        <w:t xml:space="preserve">. </w:t>
      </w:r>
    </w:p>
    <w:p w14:paraId="41660CC6" w14:textId="14FC9474" w:rsidR="00BE7312" w:rsidRPr="00175A9A" w:rsidRDefault="0084544C"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bCs/>
          <w:color w:val="000000" w:themeColor="text1"/>
          <w:sz w:val="24"/>
          <w:szCs w:val="24"/>
          <w:lang w:bidi="mr-IN"/>
        </w:rPr>
        <w:t xml:space="preserve">We </w:t>
      </w:r>
      <w:r w:rsidR="00A87ECA" w:rsidRPr="00175A9A">
        <w:rPr>
          <w:rFonts w:ascii="Times New Roman" w:hAnsi="Times New Roman" w:cs="Times New Roman"/>
          <w:bCs/>
          <w:color w:val="000000" w:themeColor="text1"/>
          <w:sz w:val="24"/>
          <w:szCs w:val="24"/>
          <w:lang w:bidi="mr-IN"/>
        </w:rPr>
        <w:t xml:space="preserve">have </w:t>
      </w:r>
      <w:r w:rsidR="00B0667F" w:rsidRPr="00175A9A">
        <w:rPr>
          <w:rFonts w:ascii="Times New Roman" w:hAnsi="Times New Roman" w:cs="Times New Roman"/>
          <w:bCs/>
          <w:color w:val="000000" w:themeColor="text1"/>
          <w:sz w:val="24"/>
          <w:szCs w:val="24"/>
          <w:lang w:bidi="mr-IN"/>
        </w:rPr>
        <w:t xml:space="preserve">reported a </w:t>
      </w:r>
      <w:r w:rsidRPr="00175A9A">
        <w:rPr>
          <w:rFonts w:ascii="Times New Roman" w:hAnsi="Times New Roman" w:cs="Times New Roman"/>
          <w:bCs/>
          <w:color w:val="000000" w:themeColor="text1"/>
          <w:sz w:val="24"/>
          <w:szCs w:val="24"/>
          <w:lang w:bidi="mr-IN"/>
        </w:rPr>
        <w:t xml:space="preserve">substantial prevalence of vitamin </w:t>
      </w:r>
      <w:r w:rsidR="00A85EA6" w:rsidRPr="00175A9A">
        <w:rPr>
          <w:rFonts w:ascii="Times New Roman" w:hAnsi="Times New Roman" w:cs="Times New Roman"/>
          <w:bCs/>
          <w:color w:val="000000" w:themeColor="text1"/>
          <w:sz w:val="24"/>
          <w:szCs w:val="24"/>
          <w:lang w:bidi="mr-IN"/>
        </w:rPr>
        <w:t>B-12</w:t>
      </w:r>
      <w:r w:rsidRPr="00175A9A">
        <w:rPr>
          <w:rFonts w:ascii="Times New Roman" w:hAnsi="Times New Roman" w:cs="Times New Roman"/>
          <w:bCs/>
          <w:color w:val="000000" w:themeColor="text1"/>
          <w:sz w:val="24"/>
          <w:szCs w:val="24"/>
          <w:lang w:bidi="mr-IN"/>
        </w:rPr>
        <w:t xml:space="preserve"> deficiency in people living in and</w:t>
      </w:r>
      <w:r w:rsidR="00CD0B1D" w:rsidRPr="00175A9A">
        <w:rPr>
          <w:rFonts w:ascii="Times New Roman" w:hAnsi="Times New Roman" w:cs="Times New Roman"/>
          <w:bCs/>
          <w:color w:val="000000" w:themeColor="text1"/>
          <w:sz w:val="24"/>
          <w:szCs w:val="24"/>
          <w:lang w:bidi="mr-IN"/>
        </w:rPr>
        <w:t xml:space="preserve"> </w:t>
      </w:r>
      <w:r w:rsidRPr="00175A9A">
        <w:rPr>
          <w:rFonts w:ascii="Times New Roman" w:hAnsi="Times New Roman" w:cs="Times New Roman"/>
          <w:bCs/>
          <w:color w:val="000000" w:themeColor="text1"/>
          <w:sz w:val="24"/>
          <w:szCs w:val="24"/>
          <w:lang w:bidi="mr-IN"/>
        </w:rPr>
        <w:t xml:space="preserve">around </w:t>
      </w:r>
      <w:r w:rsidR="00AF7A21">
        <w:rPr>
          <w:rFonts w:ascii="Times New Roman" w:hAnsi="Times New Roman" w:cs="Times New Roman"/>
          <w:bCs/>
          <w:color w:val="000000" w:themeColor="text1"/>
          <w:sz w:val="24"/>
          <w:szCs w:val="24"/>
          <w:lang w:bidi="mr-IN"/>
        </w:rPr>
        <w:t xml:space="preserve">the Indian city of </w:t>
      </w:r>
      <w:r w:rsidRPr="00175A9A">
        <w:rPr>
          <w:rFonts w:ascii="Times New Roman" w:hAnsi="Times New Roman" w:cs="Times New Roman"/>
          <w:bCs/>
          <w:color w:val="000000" w:themeColor="text1"/>
          <w:sz w:val="24"/>
          <w:szCs w:val="24"/>
          <w:lang w:bidi="mr-IN"/>
        </w:rPr>
        <w:t>Pune</w:t>
      </w:r>
      <w:r w:rsidR="0009559E" w:rsidRPr="00175A9A">
        <w:rPr>
          <w:rFonts w:ascii="Times New Roman" w:hAnsi="Times New Roman" w:cs="Times New Roman"/>
          <w:bCs/>
          <w:color w:val="000000" w:themeColor="text1"/>
          <w:sz w:val="24"/>
          <w:szCs w:val="24"/>
          <w:lang w:bidi="mr-IN"/>
        </w:rPr>
        <w:t xml:space="preserve"> </w:t>
      </w:r>
      <w:r w:rsidR="00BA7A18">
        <w:rPr>
          <w:rFonts w:ascii="Times New Roman" w:hAnsi="Times New Roman" w:cs="Times New Roman"/>
          <w:bCs/>
          <w:color w:val="000000" w:themeColor="text1"/>
          <w:sz w:val="24"/>
          <w:szCs w:val="24"/>
          <w:lang w:bidi="mr-IN"/>
        </w:rPr>
        <w:fldChar w:fldCharType="begin"/>
      </w:r>
      <w:r w:rsidR="004618E0">
        <w:rPr>
          <w:rFonts w:ascii="Times New Roman" w:hAnsi="Times New Roman" w:cs="Times New Roman"/>
          <w:bCs/>
          <w:color w:val="000000" w:themeColor="text1"/>
          <w:sz w:val="24"/>
          <w:szCs w:val="24"/>
          <w:lang w:bidi="mr-IN"/>
        </w:rPr>
        <w:instrText xml:space="preserve"> ADDIN ZOTERO_ITEM CSL_CITATION {"citationID":"PvVhP930","properties":{"formattedCitation":"[8]","plainCitation":"[8]","noteIndex":0},"citationItems":[{"id":1295,"uris":["http://zotero.org/users/4091385/items/CQM8CMQS"],"uri":["http://zotero.org/users/4091385/items/CQM8CMQS"],"itemData":{"id":1295,"type":"article-journal","title":"Vitamin B12 deficiency and hyperhomocysteinemia in rural and urban Indians","container-title":"The Journal of the Association of Physicians of India","page":"775-782","volume":"54","source":"PubMed","abstract":"BACKGROUND: Low vitamin B12 concentration in South Asian Indians is common, but the exact prevalence is not known.\nAIM: To investigate prevalence and associations of low vitamin B12 concentration and hyperhomocysteinemia in rural and urban Indian men living in and around Pune, Maharashtra.\nMETHOD: We studied 441 middle-aged men (149 rural, 142 slum and 150 urban middle-class residents, mean age 39 y). Data on lifestyle, socio-economic status, nutrition and medical history were obtained. Circulating concentrations of vitamin B12, folate, ferritin, total homocysteine (tHcy), and haematological indices, and cardiovascular risk variables were measured.\nRESULTS: Median plasma B12 concentration was low (110 pmol/L): Overall, 67% of men had low vitamin B12 concentration (&lt;150 pmol/L) and 58% had hyperhomocysteinemia (&gt;15 micromol/L). Of the urban middle class, 81% had low vitamin B12 concentration and 79% had hyperhomocysteinemia. Low vitamin B12 concentration contributed 28% to the risk of hyperhomocysteinemia (population attributable risk) while low red cell folate contributed 2%. Vegetarians had 4.4 times (95% CI 2.1, 9.4) higher risk of low vitamin B12 concentrations and 3.0 times (95% CI 1.4, 6.5) higher risk of hyperhomocysteinemia compared to those who ate non-vegetarian foods frequently. Urban middle-class residence was an additional independent risk factor of hyperhomocysteinemia (odds ratio 7.6 (95% CI 2.5, 22.6), compared to rural men). Low vitamin B12 concentration was related to lower blood haemoglobin concentration and higher mean corpuscular volume, but macrocytic anemia was rare.\nCONCLUSION: Low vitamin B12 concentration and hyperhomocysteinemia are common in Indian men, particularly in vegetarians and urban middle class residents. Further studies are needed to confirm these findings in other parts of India.","ISSN":"0004-5772","note":"PMID: 17214273","journalAbbreviation":"J Assoc Physicians India","language":"eng","author":[{"family":"Yajnik","given":"C. S."},{"family":"Deshpande","given":"Swapna S."},{"family":"Lubree","given":"Himangi G."},{"family":"Naik","given":"S. S."},{"family":"Bhat","given":"D. S."},{"family":"Uradey","given":"Bhagyashree S."},{"family":"Deshpande","given":"Jyoti A."},{"family":"Rege","given":"Sonali S."},{"family":"Refsum","given":"Helga"},{"family":"Yudkin","given":"J. S."}],"issued":{"date-parts":[["2006",10]]}}}],"schema":"https://github.com/citation-style-language/schema/raw/master/csl-citation.json"} </w:instrText>
      </w:r>
      <w:r w:rsidR="00BA7A18">
        <w:rPr>
          <w:rFonts w:ascii="Times New Roman" w:hAnsi="Times New Roman" w:cs="Times New Roman"/>
          <w:bCs/>
          <w:color w:val="000000" w:themeColor="text1"/>
          <w:sz w:val="24"/>
          <w:szCs w:val="24"/>
          <w:lang w:bidi="mr-IN"/>
        </w:rPr>
        <w:fldChar w:fldCharType="separate"/>
      </w:r>
      <w:r w:rsidR="004618E0">
        <w:rPr>
          <w:rFonts w:ascii="Times New Roman" w:hAnsi="Times New Roman" w:cs="Times New Roman"/>
          <w:bCs/>
          <w:noProof/>
          <w:color w:val="000000" w:themeColor="text1"/>
          <w:sz w:val="24"/>
          <w:szCs w:val="24"/>
          <w:lang w:bidi="mr-IN"/>
        </w:rPr>
        <w:t>[8]</w:t>
      </w:r>
      <w:r w:rsidR="00BA7A18">
        <w:rPr>
          <w:rFonts w:ascii="Times New Roman" w:hAnsi="Times New Roman" w:cs="Times New Roman"/>
          <w:bCs/>
          <w:color w:val="000000" w:themeColor="text1"/>
          <w:sz w:val="24"/>
          <w:szCs w:val="24"/>
          <w:lang w:bidi="mr-IN"/>
        </w:rPr>
        <w:fldChar w:fldCharType="end"/>
      </w:r>
      <w:r w:rsidR="00291F99" w:rsidRPr="00175A9A">
        <w:rPr>
          <w:rFonts w:ascii="Times New Roman" w:hAnsi="Times New Roman" w:cs="Times New Roman"/>
          <w:bCs/>
          <w:color w:val="000000" w:themeColor="text1"/>
          <w:sz w:val="24"/>
          <w:szCs w:val="24"/>
          <w:lang w:bidi="mr-IN"/>
        </w:rPr>
        <w:t xml:space="preserve">. </w:t>
      </w:r>
      <w:r w:rsidR="00A87ECA" w:rsidRPr="00175A9A">
        <w:rPr>
          <w:rFonts w:ascii="Times New Roman" w:hAnsi="Times New Roman" w:cs="Times New Roman"/>
          <w:bCs/>
          <w:color w:val="000000" w:themeColor="text1"/>
          <w:sz w:val="24"/>
          <w:szCs w:val="24"/>
          <w:lang w:bidi="mr-IN"/>
        </w:rPr>
        <w:t>The m</w:t>
      </w:r>
      <w:r w:rsidR="00291F99" w:rsidRPr="00175A9A">
        <w:rPr>
          <w:rFonts w:ascii="Times New Roman" w:hAnsi="Times New Roman" w:cs="Times New Roman"/>
          <w:bCs/>
          <w:color w:val="000000" w:themeColor="text1"/>
          <w:sz w:val="24"/>
          <w:szCs w:val="24"/>
          <w:lang w:bidi="mr-IN"/>
        </w:rPr>
        <w:t xml:space="preserve">ajority are </w:t>
      </w:r>
      <w:r w:rsidR="00AA3541" w:rsidRPr="00175A9A">
        <w:rPr>
          <w:rFonts w:ascii="Times New Roman" w:hAnsi="Times New Roman" w:cs="Times New Roman"/>
          <w:bCs/>
          <w:color w:val="000000" w:themeColor="text1"/>
          <w:sz w:val="24"/>
          <w:szCs w:val="24"/>
          <w:lang w:bidi="mr-IN"/>
        </w:rPr>
        <w:t>a</w:t>
      </w:r>
      <w:r w:rsidR="00291F99" w:rsidRPr="00175A9A">
        <w:rPr>
          <w:rFonts w:ascii="Times New Roman" w:hAnsi="Times New Roman" w:cs="Times New Roman"/>
          <w:bCs/>
          <w:color w:val="000000" w:themeColor="text1"/>
          <w:sz w:val="24"/>
          <w:szCs w:val="24"/>
          <w:lang w:bidi="mr-IN"/>
        </w:rPr>
        <w:t xml:space="preserve">symptomatic but have </w:t>
      </w:r>
      <w:r w:rsidR="00B0667F" w:rsidRPr="00175A9A">
        <w:rPr>
          <w:rFonts w:ascii="Times New Roman" w:hAnsi="Times New Roman" w:cs="Times New Roman"/>
          <w:bCs/>
          <w:color w:val="000000" w:themeColor="text1"/>
          <w:sz w:val="24"/>
          <w:szCs w:val="24"/>
          <w:lang w:bidi="mr-IN"/>
        </w:rPr>
        <w:t xml:space="preserve">demonstrable </w:t>
      </w:r>
      <w:r w:rsidR="00291F99" w:rsidRPr="00175A9A">
        <w:rPr>
          <w:rFonts w:ascii="Times New Roman" w:hAnsi="Times New Roman" w:cs="Times New Roman"/>
          <w:bCs/>
          <w:color w:val="000000" w:themeColor="text1"/>
          <w:sz w:val="24"/>
          <w:szCs w:val="24"/>
          <w:lang w:bidi="mr-IN"/>
        </w:rPr>
        <w:t xml:space="preserve">derangements in </w:t>
      </w:r>
      <w:r w:rsidRPr="00175A9A">
        <w:rPr>
          <w:rFonts w:ascii="Times New Roman" w:hAnsi="Times New Roman" w:cs="Times New Roman"/>
          <w:bCs/>
          <w:color w:val="000000" w:themeColor="text1"/>
          <w:sz w:val="24"/>
          <w:szCs w:val="24"/>
          <w:lang w:bidi="mr-IN"/>
        </w:rPr>
        <w:t>hematological and biochemical parameters</w:t>
      </w:r>
      <w:r w:rsidR="00B0667F" w:rsidRPr="00175A9A">
        <w:rPr>
          <w:rFonts w:ascii="Times New Roman" w:hAnsi="Times New Roman" w:cs="Times New Roman"/>
          <w:bCs/>
          <w:color w:val="000000" w:themeColor="text1"/>
          <w:sz w:val="24"/>
          <w:szCs w:val="24"/>
          <w:lang w:bidi="mr-IN"/>
        </w:rPr>
        <w:t xml:space="preserve"> </w:t>
      </w:r>
      <w:r w:rsidR="007102D9" w:rsidRPr="00175A9A">
        <w:rPr>
          <w:rFonts w:ascii="Times New Roman" w:hAnsi="Times New Roman" w:cs="Times New Roman"/>
          <w:bCs/>
          <w:color w:val="000000" w:themeColor="text1"/>
          <w:sz w:val="24"/>
          <w:szCs w:val="24"/>
          <w:lang w:bidi="mr-IN"/>
        </w:rPr>
        <w:fldChar w:fldCharType="begin"/>
      </w:r>
      <w:r w:rsidR="00AC1F15" w:rsidRPr="00175A9A">
        <w:rPr>
          <w:rFonts w:ascii="Times New Roman" w:hAnsi="Times New Roman" w:cs="Times New Roman"/>
          <w:bCs/>
          <w:color w:val="000000" w:themeColor="text1"/>
          <w:sz w:val="24"/>
          <w:szCs w:val="24"/>
          <w:lang w:bidi="mr-IN"/>
        </w:rPr>
        <w:instrText xml:space="preserve"> ADDIN ZOTERO_ITEM CSL_CITATION {"citationID":"hbrOmME5","properties":{"formattedCitation":"[8]","plainCitation":"[8]","noteIndex":0},"citationItems":[{"id":1295,"uris":["http://zotero.org/users/4091385/items/CQM8CMQS"],"uri":["http://zotero.org/users/4091385/items/CQM8CMQS"],"itemData":{"id":1295,"type":"article-journal","title":"Vitamin B12 deficiency and hyperhomocysteinemia in rural and urban Indians","container-title":"The Journal of the Association of Physicians of India","page":"775-782","volume":"54","source":"PubMed","abstract":"BACKGROUND: Low vitamin B12 concentration in South Asian Indians is common, but the exact prevalence is not known.\nAIM: To investigate prevalence and associations of low vitamin B12 concentration and hyperhomocysteinemia in rural and urban Indian men living in and around Pune, Maharashtra.\nMETHOD: We studied 441 middle-aged men (149 rural, 142 slum and 150 urban middle-class residents, mean age 39 y). Data on lifestyle, socio-economic status, nutrition and medical history were obtained. Circulating concentrations of vitamin B12, folate, ferritin, total homocysteine (tHcy), and haematological indices, and cardiovascular risk variables were measured.\nRESULTS: Median plasma B12 concentration was low (110 pmol/L): Overall, 67% of men had low vitamin B12 concentration (&lt;150 pmol/L) and 58% had hyperhomocysteinemia (&gt;15 micromol/L). Of the urban middle class, 81% had low vitamin B12 concentration and 79% had hyperhomocysteinemia. Low vitamin B12 concentration contributed 28% to the risk of hyperhomocysteinemia (population attributable risk) while low red cell folate contributed 2%. Vegetarians had 4.4 times (95% CI 2.1, 9.4) higher risk of low vitamin B12 concentrations and 3.0 times (95% CI 1.4, 6.5) higher risk of hyperhomocysteinemia compared to those who ate non-vegetarian foods frequently. Urban middle-class residence was an additional independent risk factor of hyperhomocysteinemia (odds ratio 7.6 (95% CI 2.5, 22.6), compared to rural men). Low vitamin B12 concentration was related to lower blood haemoglobin concentration and higher mean corpuscular volume, but macrocytic anemia was rare.\nCONCLUSION: Low vitamin B12 concentration and hyperhomocysteinemia are common in Indian men, particularly in vegetarians and urban middle class residents. Further studies are needed to confirm these findings in other parts of India.","ISSN":"0004-5772","note":"PMID: 17214273","journalAbbreviation":"J Assoc Physicians India","language":"eng","author":[{"family":"Yajnik","given":"C. S."},{"family":"Deshpande","given":"Swapna S."},{"family":"Lubree","given":"Himangi G."},{"family":"Naik","given":"S. S."},{"family":"Bhat","given":"D. S."},{"family":"Uradey","given":"Bhagyashree S."},{"family":"Deshpande","given":"Jyoti A."},{"family":"Rege","given":"Sonali S."},{"family":"Refsum","given":"Helga"},{"family":"Yudkin","given":"J. S."}],"issued":{"date-parts":[["2006",10]]}}}],"schema":"https://github.com/citation-style-language/schema/raw/master/csl-citation.json"} </w:instrText>
      </w:r>
      <w:r w:rsidR="007102D9" w:rsidRPr="00175A9A">
        <w:rPr>
          <w:rFonts w:ascii="Times New Roman" w:hAnsi="Times New Roman" w:cs="Times New Roman"/>
          <w:bCs/>
          <w:color w:val="000000" w:themeColor="text1"/>
          <w:sz w:val="24"/>
          <w:szCs w:val="24"/>
          <w:lang w:bidi="mr-IN"/>
        </w:rPr>
        <w:fldChar w:fldCharType="separate"/>
      </w:r>
      <w:r w:rsidR="00BA7A18">
        <w:rPr>
          <w:rFonts w:ascii="Times New Roman" w:hAnsi="Times New Roman" w:cs="Times New Roman"/>
          <w:bCs/>
          <w:noProof/>
          <w:color w:val="000000" w:themeColor="text1"/>
          <w:sz w:val="24"/>
          <w:szCs w:val="24"/>
          <w:lang w:bidi="mr-IN"/>
        </w:rPr>
        <w:t>[8]</w:t>
      </w:r>
      <w:r w:rsidR="007102D9" w:rsidRPr="00175A9A">
        <w:rPr>
          <w:rFonts w:ascii="Times New Roman" w:hAnsi="Times New Roman" w:cs="Times New Roman"/>
          <w:bCs/>
          <w:color w:val="000000" w:themeColor="text1"/>
          <w:sz w:val="24"/>
          <w:szCs w:val="24"/>
          <w:lang w:bidi="mr-IN"/>
        </w:rPr>
        <w:fldChar w:fldCharType="end"/>
      </w:r>
      <w:r w:rsidR="00B0667F" w:rsidRPr="00175A9A">
        <w:rPr>
          <w:rFonts w:ascii="Times New Roman" w:hAnsi="Times New Roman" w:cs="Times New Roman"/>
          <w:bCs/>
          <w:color w:val="000000" w:themeColor="text1"/>
          <w:sz w:val="24"/>
          <w:szCs w:val="24"/>
          <w:lang w:bidi="mr-IN"/>
        </w:rPr>
        <w:t>.</w:t>
      </w:r>
      <w:r w:rsidR="00291F99" w:rsidRPr="00175A9A">
        <w:rPr>
          <w:rFonts w:ascii="Times New Roman" w:hAnsi="Times New Roman" w:cs="Times New Roman"/>
          <w:bCs/>
          <w:color w:val="000000" w:themeColor="text1"/>
          <w:sz w:val="24"/>
          <w:szCs w:val="24"/>
          <w:lang w:bidi="mr-IN"/>
        </w:rPr>
        <w:t xml:space="preserve"> Low maternal B-12 status is</w:t>
      </w:r>
      <w:r w:rsidR="00B0667F" w:rsidRPr="00175A9A">
        <w:rPr>
          <w:rFonts w:ascii="Times New Roman" w:hAnsi="Times New Roman" w:cs="Times New Roman"/>
          <w:bCs/>
          <w:color w:val="000000" w:themeColor="text1"/>
          <w:sz w:val="24"/>
          <w:szCs w:val="24"/>
          <w:lang w:bidi="mr-IN"/>
        </w:rPr>
        <w:t xml:space="preserve"> </w:t>
      </w:r>
      <w:r w:rsidR="00382675" w:rsidRPr="00175A9A">
        <w:rPr>
          <w:rFonts w:ascii="Times New Roman" w:hAnsi="Times New Roman" w:cs="Times New Roman"/>
          <w:bCs/>
          <w:color w:val="000000" w:themeColor="text1"/>
          <w:sz w:val="24"/>
          <w:szCs w:val="24"/>
          <w:lang w:bidi="mr-IN"/>
        </w:rPr>
        <w:t xml:space="preserve">prevalent in pregnancy and is </w:t>
      </w:r>
      <w:r w:rsidR="00291F99" w:rsidRPr="00175A9A">
        <w:rPr>
          <w:rFonts w:ascii="Times New Roman" w:hAnsi="Times New Roman" w:cs="Times New Roman"/>
          <w:bCs/>
          <w:color w:val="000000" w:themeColor="text1"/>
          <w:sz w:val="24"/>
          <w:szCs w:val="24"/>
          <w:lang w:bidi="mr-IN"/>
        </w:rPr>
        <w:t>associated with</w:t>
      </w:r>
      <w:r w:rsidRPr="00175A9A">
        <w:rPr>
          <w:rFonts w:ascii="Times New Roman" w:hAnsi="Times New Roman" w:cs="Times New Roman"/>
          <w:bCs/>
          <w:color w:val="000000" w:themeColor="text1"/>
          <w:sz w:val="24"/>
          <w:szCs w:val="24"/>
          <w:lang w:bidi="mr-IN"/>
        </w:rPr>
        <w:t xml:space="preserve"> fetal growth</w:t>
      </w:r>
      <w:r w:rsidR="00CD0B1D" w:rsidRPr="00175A9A">
        <w:rPr>
          <w:rFonts w:ascii="Times New Roman" w:hAnsi="Times New Roman" w:cs="Times New Roman"/>
          <w:bCs/>
          <w:color w:val="000000" w:themeColor="text1"/>
          <w:sz w:val="24"/>
          <w:szCs w:val="24"/>
          <w:lang w:bidi="mr-IN"/>
        </w:rPr>
        <w:t xml:space="preserve"> restriction</w:t>
      </w:r>
      <w:r w:rsidR="00B0667F" w:rsidRPr="00175A9A">
        <w:rPr>
          <w:rFonts w:ascii="Times New Roman" w:hAnsi="Times New Roman" w:cs="Times New Roman"/>
          <w:bCs/>
          <w:color w:val="000000" w:themeColor="text1"/>
          <w:sz w:val="24"/>
          <w:szCs w:val="24"/>
          <w:lang w:bidi="mr-IN"/>
        </w:rPr>
        <w:t xml:space="preserve"> </w:t>
      </w:r>
      <w:r w:rsidR="007102D9" w:rsidRPr="00175A9A">
        <w:rPr>
          <w:rFonts w:ascii="Times New Roman" w:hAnsi="Times New Roman" w:cs="Times New Roman"/>
          <w:bCs/>
          <w:color w:val="000000" w:themeColor="text1"/>
          <w:sz w:val="24"/>
          <w:szCs w:val="24"/>
          <w:lang w:bidi="mr-IN"/>
        </w:rPr>
        <w:fldChar w:fldCharType="begin"/>
      </w:r>
      <w:r w:rsidR="00E12B3C">
        <w:rPr>
          <w:rFonts w:ascii="Times New Roman" w:hAnsi="Times New Roman" w:cs="Times New Roman"/>
          <w:bCs/>
          <w:color w:val="000000" w:themeColor="text1"/>
          <w:sz w:val="24"/>
          <w:szCs w:val="24"/>
          <w:lang w:bidi="mr-IN"/>
        </w:rPr>
        <w:instrText xml:space="preserve"> ADDIN ZOTERO_ITEM CSL_CITATION {"citationID":"0BPNdcal","properties":{"formattedCitation":"[9,10]","plainCitation":"[9,10]","noteIndex":0},"citationItems":[{"id":1311,"uris":["http://zotero.org/users/4091385/items/WFQBQIYR"],"uri":["http://zotero.org/users/4091385/items/WFQBQIYR"],"itemData":{"id":1311,"type":"article-journal","title":"Associations of Maternal Vitamin B12 Concentration in Pregnancy With the Risks of Preterm Birth and Low Birth Weight: A Systematic Review and Meta-Analysis of Individual Participant Data","container-title":"American Journal of Epidemiology","page":"212-223","volume":"185","issue":"3","source":"PubMed","abstract":"Vitamin B12 (hereafter referred to as B12) deficiency in pregnancy is prevalent and has been associated with both lower birth weight (birth weight &lt;2,500 g) and preterm birth (length of gestation &lt;37 weeks). Nevertheless, current evidence is contradictory. We performed a systematic review and a meta-analysis of individual participant data to evaluate the associations of maternal serum or plasma B12 concentrations in pregnancy with offspring birth weight and length of gestation. Twenty-two eligible studies were identified (11,993 observations). Eighteen studies were included in the meta-analysis (11,216 observations). No linear association was observed between maternal B12 levels in pregnancy and birth weight, but B12 deficiency (&lt;148 pmol/L) was associated with a higher risk of low birth weight in newborns (adjusted risk ratio = 1.15, 95% confidence interval (CI): 1.01, 1.31). There was a linear association between maternal levels of B12 and preterm birth (per each 1-standard-deviation increase in B12, adjusted risk ratio = 0.89, 95% CI: 0.82, 0.97). Accordingly, B12 deficiency was associated with a higher risk of preterm birth (adjusted risk ratio = 1.21, 95% CI: 0.99, 1.49). This finding supports the need for randomized controlled trials of vitamin B12 supplementation in pregnancy.","DOI":"10.1093/aje/kww212","ISSN":"1476-6256","note":"PMID: 28108470\nPMCID: PMC5390862","title-short":"Associations of Maternal Vitamin B12 Concentration in Pregnancy With the Risks of Preterm Birth and Low Birth Weight","journalAbbreviation":"Am. J. Epidemiol.","language":"eng","author":[{"family":"Rogne","given":"Tormod"},{"family":"Tielemans","given":"Myrte J."},{"family":"Chong","given":"Mary Foong-Fong"},{"family":"Yajnik","given":"Chittaranjan S."},{"family":"Krishnaveni","given":"Ghattu V."},{"family":"Poston","given":"Lucilla"},{"family":"Jaddoe","given":"Vincent W. V."},{"family":"Steegers","given":"Eric A. P."},{"family":"Joshi","given":"Suyog"},{"family":"Chong","given":"Yap-Seng"},{"family":"Godfrey","given":"Keith M."},{"family":"Yap","given":"Fabian"},{"family":"Yahyaoui","given":"Raquel"},{"family":"Thomas","given":"Tinku"},{"family":"Hay","given":"Gry"},{"family":"Hogeveen","given":"Marije"},{"family":"Demir","given":"Ahmet"},{"family":"Saravanan","given":"Ponnusamy"},{"family":"Skovlund","given":"Eva"},{"family":"Martinussen","given":"Marit P."},{"family":"Jacobsen","given":"Geir W."},{"family":"Franco","given":"Oscar H."},{"family":"Bracken","given":"Michael B."},{"family":"Risnes","given":"Kari R."}],"issued":{"date-parts":[["2017",2,1]]}}},{"id":1120,"uris":["http://zotero.org/users/4091385/items/9RARCPCZ"],"uri":["http://zotero.org/users/4091385/items/9RARCPCZ"],"itemData":{"id":1120,"type":"article-journal","title":"Maternal homocysteine in pregnancy and offspring birthweight: epidemiological associations and Mendelian randomization analysis","container-title":"International Journal of Epidemiology","page":"1487-1497","volume":"43","issue":"5","source":"PubMed","abstract":"BACKGROUND: Disturbed one-carbon (1-C) metabolism in the mother is associated with poor fetal growth but causality of this relationship has not been established.\nMETHODS: We studied the association between maternal total homocysteine and offspring birthweight in the Pune Maternal Nutrition Study (PMNS, Pune, India) and Parthenon Cohort Study (Mysore, India). We tested for evidence of causality within a Mendelian randomization framework, using a methylenetetrahydrofolatereductase (MTHFR) gene variant rs1801133 (earlier known as 677C→T) by instrumental variable and triangulation analysis, separately and using meta-analysis.\nRESULTS: Median (IQR) homocysteine concentration and mean (SD) birthweight were 8.6 µmol/l (6.7,10.8) and 2642 g (379) in the PMNS and 6.0 µmol/l (5.1,7.1) and 2871 g (443) in the Parthenon study. Offspring birthweight was inversely related to maternal homocysteine concentration-PMNS: -22 g/SD [95% confidence interval (CI): (-50, 5), adjusted for gestational age and offspring gender]; Parthenon: -57 g (-92, -21); meta-analysis: -40 g (-62, -17)]. Maternal risk genotype at rs1801133 predicted higher homocysteine concentration [PMNS: 0.30 SD/allele (0.14, 0.46); Parthenon: 0.21 SD (0.02, 0.40); meta-analysis: 0.26 SD (0.14, 0.39)]; and lower birthweight [PMNS: -46 g (-102, 11, adjusted for gestational age, offspring gender and rs1801133 genotype); Parthenon: -78 g (-170, 15); meta-analysis: -61 g (-111, -10)]. Instrumental variable and triangulation analysis supported a causal association between maternal homocysteine concentration and offspring birthweight.\nCONCLUSIONS: Our findings suggest a causal role for maternal homocysteine (1-C metabolism) in fetal growth. Reducing maternal homocysteine concentrations may improve fetal growth.","DOI":"10.1093/ije/dyu132","ISSN":"1464-3685","note":"PMID: 25052622\nPMCID: PMC4190518","title-short":"Maternal homocysteine in pregnancy and offspring birthweight","journalAbbreviation":"Int J Epidemiol","language":"eng","author":[{"family":"Yajnik","given":"Chittaranjan S."},{"family":"Chandak","given":"Giriraj R."},{"family":"Joglekar","given":"Charudatta"},{"family":"Katre","given":"Prachi"},{"family":"Bhat","given":"Dattatray S."},{"family":"Singh","given":"Suraj N."},{"family":"Janipalli","given":"Charles S."},{"family":"Refsum","given":"Helga"},{"family":"Krishnaveni","given":"Ghattu"},{"family":"Veena","given":"Sargoor"},{"family":"Osmond","given":"Clive"},{"family":"Fall","given":"Caroline H. D."}],"issued":{"date-parts":[["2014",10]]}}}],"schema":"https://github.com/citation-style-language/schema/raw/master/csl-citation.json"} </w:instrText>
      </w:r>
      <w:r w:rsidR="007102D9" w:rsidRPr="00175A9A">
        <w:rPr>
          <w:rFonts w:ascii="Times New Roman" w:hAnsi="Times New Roman" w:cs="Times New Roman"/>
          <w:bCs/>
          <w:color w:val="000000" w:themeColor="text1"/>
          <w:sz w:val="24"/>
          <w:szCs w:val="24"/>
          <w:lang w:bidi="mr-IN"/>
        </w:rPr>
        <w:fldChar w:fldCharType="separate"/>
      </w:r>
      <w:r w:rsidR="00BA7A18">
        <w:rPr>
          <w:rFonts w:ascii="Times New Roman" w:hAnsi="Times New Roman" w:cs="Times New Roman"/>
          <w:bCs/>
          <w:noProof/>
          <w:color w:val="000000" w:themeColor="text1"/>
          <w:sz w:val="24"/>
          <w:szCs w:val="24"/>
          <w:lang w:bidi="mr-IN"/>
        </w:rPr>
        <w:t>[9,10]</w:t>
      </w:r>
      <w:r w:rsidR="007102D9" w:rsidRPr="00175A9A">
        <w:rPr>
          <w:rFonts w:ascii="Times New Roman" w:hAnsi="Times New Roman" w:cs="Times New Roman"/>
          <w:bCs/>
          <w:color w:val="000000" w:themeColor="text1"/>
          <w:sz w:val="24"/>
          <w:szCs w:val="24"/>
          <w:lang w:bidi="mr-IN"/>
        </w:rPr>
        <w:fldChar w:fldCharType="end"/>
      </w:r>
      <w:r w:rsidR="00CD0B1D" w:rsidRPr="00175A9A">
        <w:rPr>
          <w:rFonts w:ascii="Times New Roman" w:hAnsi="Times New Roman" w:cs="Times New Roman"/>
          <w:bCs/>
          <w:color w:val="000000" w:themeColor="text1"/>
          <w:sz w:val="24"/>
          <w:szCs w:val="24"/>
          <w:lang w:bidi="mr-IN"/>
        </w:rPr>
        <w:t xml:space="preserve"> and </w:t>
      </w:r>
      <w:r w:rsidR="0009559E" w:rsidRPr="00175A9A">
        <w:rPr>
          <w:rFonts w:ascii="Times New Roman" w:hAnsi="Times New Roman" w:cs="Times New Roman"/>
          <w:bCs/>
          <w:color w:val="000000" w:themeColor="text1"/>
          <w:sz w:val="24"/>
          <w:szCs w:val="24"/>
          <w:lang w:bidi="mr-IN"/>
        </w:rPr>
        <w:t xml:space="preserve">with insulin resistance </w:t>
      </w:r>
      <w:r w:rsidR="00B0667F" w:rsidRPr="00175A9A">
        <w:rPr>
          <w:rFonts w:ascii="Times New Roman" w:hAnsi="Times New Roman" w:cs="Times New Roman"/>
          <w:bCs/>
          <w:color w:val="000000" w:themeColor="text1"/>
          <w:sz w:val="24"/>
          <w:szCs w:val="24"/>
          <w:lang w:bidi="mr-IN"/>
        </w:rPr>
        <w:t xml:space="preserve">in the offspring </w:t>
      </w:r>
      <w:r w:rsidR="003537ED" w:rsidRPr="00175A9A">
        <w:rPr>
          <w:rFonts w:ascii="Times New Roman" w:hAnsi="Times New Roman" w:cs="Times New Roman"/>
          <w:bCs/>
          <w:color w:val="000000" w:themeColor="text1"/>
          <w:sz w:val="24"/>
          <w:szCs w:val="24"/>
          <w:lang w:bidi="mr-IN"/>
        </w:rPr>
        <w:fldChar w:fldCharType="begin"/>
      </w:r>
      <w:r w:rsidR="00E12B3C">
        <w:rPr>
          <w:rFonts w:ascii="Times New Roman" w:hAnsi="Times New Roman" w:cs="Times New Roman"/>
          <w:bCs/>
          <w:color w:val="000000" w:themeColor="text1"/>
          <w:sz w:val="24"/>
          <w:szCs w:val="24"/>
          <w:lang w:bidi="mr-IN"/>
        </w:rPr>
        <w:instrText xml:space="preserve"> ADDIN ZOTERO_ITEM CSL_CITATION {"citationID":"rq3VQexa","properties":{"formattedCitation":"[11,12]","plainCitation":"[11,12]","noteIndex":0},"citationItems":[{"id":1128,"uris":["http://zotero.org/users/4091385/items/8QWPZGEZ"],"uri":["http://zotero.org/users/4091385/items/8QWPZGEZ"],"itemData":{"id":1128,"type":"article-journal","title":"Influence of maternal vitamin B12 and folate on growth and insulin resistance in the offspring","container-title":"Nestle Nutrition Institute Workshop Series","page":"145-154; discussion 154-156","volume":"74","source":"PubMed","abstract":"The burden of chronic noncommunicable diseases (NCDs) such as diabetes, obesity and cardiovascular disease is shifting rapidly to low- and middle-income countries. It calls for a review of the classic 'dogma' of genetic predisposition, precipitated by adult lifestyle. The paradigm of early life origins of chronic disease has focused attention on maternal health and nutrition as major determinants of the health of the offspring. India has high burden of maternal ill health and also of diabetes and cardiovascular disease, offering unique opportunities to study the links between the two. Pune studies showed that the Indian babies were thin but fat (more adipose) compared to European babies, and that maternal micronutrient status during pregnancy was a determinant of offspring size and body composition. Two thirds of the mothers had low vitamin B12 concentrations, while folate deficiency was rare. Higher circulating concentrations of homocysteine predicted smaller baby size. Follow-up studies revealed that higher maternal folate in pregnancy predicted higher adiposity and insulin resistance in the child at 6 years of age, and that low maternal vitamin B12 exaggerated the risk of insulin resistance. Low maternal vitamin B12 status is also associated with increased risk of neural tube defects and poor offspring cognitive functions. Our results suggest an important role for maternal one-carbon metabolism in offspring growth and programming of NCD risk. These ideas are supported by animal studies. Improvement of adolescent nutrition could effect intergenerational prevention of chronic diseases.","DOI":"10.1159/000348463","ISSN":"1664-2155","note":"PMID: 23887113","journalAbbreviation":"Nestle Nutr Inst Workshop Ser","language":"eng","author":[{"family":"Deshmukh","given":"Urmila"},{"family":"Katre","given":"Prachi"},{"family":"Yajnik","given":"Chittaranjan S."}],"issued":{"date-parts":[["2013"]]}}},{"id":1390,"uris":["http://zotero.org/users/4091385/items/JKPUC2IF"],"uri":["http://zotero.org/users/4091385/items/JKPUC2IF"],"itemData":{"id":1390,"type":"article-journal","title":"Vitamin B12 and folate concentrations during pregnancy and insulin resistance in the offspring: the Pune Maternal Nutrition Study","container-title":"Diabetologia","page":"29-38","volume":"51","issue":"1","source":"PubMed","abstract":"AIMS/HYPOTHESIS: Raised maternal plasma total homocysteine (tHcy) concentrations predict small size at birth, which is a risk factor for type 2 diabetes mellitus. We studied the association between maternal vitamin B12, folate and tHcy status during pregnancy, and offspring adiposity and insulin resistance at 6 years.\nMETHODS: In the Pune Maternal Nutrition Study we studied 700 consecutive eligible pregnant women in six villages. We measured maternal nutritional intake and circulating concentrations of folate, vitamin B12, tHcy and methylmalonic acid (MMA) at 18 and 28 weeks of gestation. These were correlated with offspring anthropometry, body composition (dual-energy X-ray absorptiometry scan) and insulin resistance (homeostatic model assessment of insulin resistance [HOMA-R]) at 6 years.\nRESULTS: Two-thirds of mothers had low vitamin B12 (&lt;150 pmol/l), 90% had high MMA (&gt;0.26 micromol/l) and 30% had raised tHcy concentrations (&gt;10 micromol/l); only one had a low erythrocyte folate concentration. Although short and thin (BMI), the 6-year-old children were relatively adipose compared with the UK standards (skinfold thicknesses). Higher maternal erythrocyte folate concentrations at 28 weeks predicted higher offspring adiposity and higher HOMA-R (both p &lt; 0.01). Low maternal vitamin B12 (18 weeks; p = 0.03) predicted higher HOMA-R in the children. The offspring of mothers with a combination of high folate and low vitamin B12 concentrations were the most insulin resistant.\nCONCLUSIONS/INTERPRETATION: Low maternal vitamin B12 and high folate status may contribute to the epidemic of adiposity and type 2 diabetes in India.","DOI":"10.1007/s00125-007-0793-y","ISSN":"0012-186X","note":"PMID: 17851649\nPMCID: PMC2100429","title-short":"Vitamin B12 and folate concentrations during pregnancy and insulin resistance in the offspring","journalAbbreviation":"Diabetologia","language":"eng","author":[{"family":"Yajnik","given":"C. S."},{"family":"Deshpande","given":"S. S."},{"family":"Jackson","given":"A. A."},{"family":"Refsum","given":"H."},{"family":"Rao","given":"S."},{"family":"Fisher","given":"D. J."},{"family":"Bhat","given":"D. S."},{"family":"Naik","given":"S. S."},{"family":"Coyaji","given":"K. J."},{"family":"Joglekar","given":"C. V."},{"family":"Joshi","given":"N."},{"family":"Lubree","given":"H. G."},{"family":"Deshpande","given":"V. U."},{"family":"Rege","given":"S. S."},{"family":"Fall","given":"C. H. D."}],"issued":{"date-parts":[["2008",1]]}}}],"schema":"https://github.com/citation-style-language/schema/raw/master/csl-citation.json"} </w:instrText>
      </w:r>
      <w:r w:rsidR="003537ED" w:rsidRPr="00175A9A">
        <w:rPr>
          <w:rFonts w:ascii="Times New Roman" w:hAnsi="Times New Roman" w:cs="Times New Roman"/>
          <w:bCs/>
          <w:color w:val="000000" w:themeColor="text1"/>
          <w:sz w:val="24"/>
          <w:szCs w:val="24"/>
          <w:lang w:bidi="mr-IN"/>
        </w:rPr>
        <w:fldChar w:fldCharType="separate"/>
      </w:r>
      <w:r w:rsidR="00BA7A18">
        <w:rPr>
          <w:rFonts w:ascii="Times New Roman" w:hAnsi="Times New Roman" w:cs="Times New Roman"/>
          <w:bCs/>
          <w:noProof/>
          <w:color w:val="000000" w:themeColor="text1"/>
          <w:sz w:val="24"/>
          <w:szCs w:val="24"/>
          <w:lang w:bidi="mr-IN"/>
        </w:rPr>
        <w:t>[11,12]</w:t>
      </w:r>
      <w:r w:rsidR="003537ED" w:rsidRPr="00175A9A">
        <w:rPr>
          <w:rFonts w:ascii="Times New Roman" w:hAnsi="Times New Roman" w:cs="Times New Roman"/>
          <w:bCs/>
          <w:color w:val="000000" w:themeColor="text1"/>
          <w:sz w:val="24"/>
          <w:szCs w:val="24"/>
          <w:lang w:bidi="mr-IN"/>
        </w:rPr>
        <w:fldChar w:fldCharType="end"/>
      </w:r>
      <w:r w:rsidRPr="00175A9A">
        <w:rPr>
          <w:rFonts w:ascii="Times New Roman" w:hAnsi="Times New Roman" w:cs="Times New Roman"/>
          <w:bCs/>
          <w:color w:val="000000" w:themeColor="text1"/>
          <w:sz w:val="24"/>
          <w:szCs w:val="24"/>
          <w:lang w:bidi="mr-IN"/>
        </w:rPr>
        <w:t>.</w:t>
      </w:r>
      <w:r w:rsidR="001A188C" w:rsidRPr="00175A9A">
        <w:rPr>
          <w:rFonts w:ascii="Times New Roman" w:hAnsi="Times New Roman" w:cs="Times New Roman"/>
          <w:bCs/>
          <w:color w:val="000000" w:themeColor="text1"/>
          <w:sz w:val="24"/>
          <w:szCs w:val="24"/>
          <w:lang w:bidi="mr-IN"/>
        </w:rPr>
        <w:t xml:space="preserve"> These findings suggested a need for B-12 supplementation</w:t>
      </w:r>
      <w:r w:rsidR="00B0667F" w:rsidRPr="00175A9A">
        <w:rPr>
          <w:rFonts w:ascii="Times New Roman" w:hAnsi="Times New Roman" w:cs="Times New Roman"/>
          <w:bCs/>
          <w:color w:val="000000" w:themeColor="text1"/>
          <w:sz w:val="24"/>
          <w:szCs w:val="24"/>
          <w:lang w:bidi="mr-IN"/>
        </w:rPr>
        <w:t xml:space="preserve"> using a public health approach</w:t>
      </w:r>
      <w:r w:rsidR="001A188C" w:rsidRPr="00175A9A">
        <w:rPr>
          <w:rFonts w:ascii="Times New Roman" w:hAnsi="Times New Roman" w:cs="Times New Roman"/>
          <w:bCs/>
          <w:color w:val="000000" w:themeColor="text1"/>
          <w:sz w:val="24"/>
          <w:szCs w:val="24"/>
          <w:lang w:bidi="mr-IN"/>
        </w:rPr>
        <w:t>.</w:t>
      </w:r>
      <w:r w:rsidRPr="00175A9A">
        <w:rPr>
          <w:rFonts w:ascii="Times New Roman" w:hAnsi="Times New Roman" w:cs="Times New Roman"/>
          <w:bCs/>
          <w:color w:val="000000" w:themeColor="text1"/>
          <w:sz w:val="24"/>
          <w:szCs w:val="24"/>
          <w:lang w:bidi="mr-IN"/>
        </w:rPr>
        <w:t xml:space="preserve"> In </w:t>
      </w:r>
      <w:r w:rsidR="00B0667F" w:rsidRPr="00175A9A">
        <w:rPr>
          <w:rFonts w:ascii="Times New Roman" w:hAnsi="Times New Roman" w:cs="Times New Roman"/>
          <w:bCs/>
          <w:color w:val="000000" w:themeColor="text1"/>
          <w:sz w:val="24"/>
          <w:szCs w:val="24"/>
          <w:lang w:bidi="mr-IN"/>
        </w:rPr>
        <w:t xml:space="preserve">preparation </w:t>
      </w:r>
      <w:r w:rsidR="00A87ECA" w:rsidRPr="00175A9A">
        <w:rPr>
          <w:rFonts w:ascii="Times New Roman" w:hAnsi="Times New Roman" w:cs="Times New Roman"/>
          <w:bCs/>
          <w:color w:val="000000" w:themeColor="text1"/>
          <w:sz w:val="24"/>
          <w:szCs w:val="24"/>
          <w:lang w:bidi="mr-IN"/>
        </w:rPr>
        <w:t>for</w:t>
      </w:r>
      <w:r w:rsidRPr="00175A9A">
        <w:rPr>
          <w:rFonts w:ascii="Times New Roman" w:hAnsi="Times New Roman" w:cs="Times New Roman"/>
          <w:bCs/>
          <w:color w:val="000000" w:themeColor="text1"/>
          <w:sz w:val="24"/>
          <w:szCs w:val="24"/>
          <w:lang w:bidi="mr-IN"/>
        </w:rPr>
        <w:t xml:space="preserve"> a</w:t>
      </w:r>
      <w:r w:rsidR="00B0667F" w:rsidRPr="00175A9A">
        <w:rPr>
          <w:rFonts w:ascii="Times New Roman" w:hAnsi="Times New Roman" w:cs="Times New Roman"/>
          <w:bCs/>
          <w:color w:val="000000" w:themeColor="text1"/>
          <w:sz w:val="24"/>
          <w:szCs w:val="24"/>
          <w:lang w:bidi="mr-IN"/>
        </w:rPr>
        <w:t xml:space="preserve"> large</w:t>
      </w:r>
      <w:r w:rsidRPr="00175A9A">
        <w:rPr>
          <w:rFonts w:ascii="Times New Roman" w:hAnsi="Times New Roman" w:cs="Times New Roman"/>
          <w:bCs/>
          <w:color w:val="000000" w:themeColor="text1"/>
          <w:sz w:val="24"/>
          <w:szCs w:val="24"/>
          <w:lang w:bidi="mr-IN"/>
        </w:rPr>
        <w:t xml:space="preserve"> supplementation trial </w:t>
      </w:r>
      <w:r w:rsidR="000D5D38" w:rsidRPr="00175A9A">
        <w:rPr>
          <w:rFonts w:ascii="Times New Roman" w:hAnsi="Times New Roman" w:cs="Times New Roman"/>
          <w:bCs/>
          <w:color w:val="000000" w:themeColor="text1"/>
          <w:sz w:val="24"/>
          <w:szCs w:val="24"/>
          <w:lang w:bidi="mr-IN"/>
        </w:rPr>
        <w:t xml:space="preserve">we </w:t>
      </w:r>
      <w:r w:rsidR="000D5D38" w:rsidRPr="00175A9A">
        <w:rPr>
          <w:rFonts w:ascii="Times New Roman" w:hAnsi="Times New Roman" w:cs="Times New Roman"/>
          <w:color w:val="000000" w:themeColor="text1"/>
          <w:sz w:val="24"/>
          <w:szCs w:val="24"/>
          <w:lang w:bidi="mr-IN"/>
        </w:rPr>
        <w:t>demonstrated</w:t>
      </w:r>
      <w:r w:rsidR="00291F99" w:rsidRPr="00175A9A">
        <w:rPr>
          <w:rFonts w:ascii="Times New Roman" w:hAnsi="Times New Roman" w:cs="Times New Roman"/>
          <w:color w:val="000000" w:themeColor="text1"/>
          <w:sz w:val="24"/>
          <w:szCs w:val="24"/>
          <w:lang w:bidi="mr-IN"/>
        </w:rPr>
        <w:t xml:space="preserve"> </w:t>
      </w:r>
      <w:r w:rsidR="0009559E" w:rsidRPr="00175A9A">
        <w:rPr>
          <w:rFonts w:ascii="Times New Roman" w:hAnsi="Times New Roman" w:cs="Times New Roman"/>
          <w:color w:val="000000" w:themeColor="text1"/>
          <w:sz w:val="24"/>
          <w:szCs w:val="24"/>
          <w:lang w:bidi="mr-IN"/>
        </w:rPr>
        <w:t>adequate absorption of</w:t>
      </w:r>
      <w:r w:rsidR="00291F99" w:rsidRPr="00175A9A">
        <w:rPr>
          <w:rFonts w:ascii="Times New Roman" w:hAnsi="Times New Roman" w:cs="Times New Roman"/>
          <w:color w:val="000000" w:themeColor="text1"/>
          <w:sz w:val="24"/>
          <w:szCs w:val="24"/>
          <w:lang w:bidi="mr-IN"/>
        </w:rPr>
        <w:t xml:space="preserve"> </w:t>
      </w:r>
      <w:r w:rsidR="000D5D38" w:rsidRPr="00175A9A">
        <w:rPr>
          <w:rFonts w:ascii="Times New Roman" w:hAnsi="Times New Roman" w:cs="Times New Roman"/>
          <w:color w:val="000000" w:themeColor="text1"/>
          <w:sz w:val="24"/>
          <w:szCs w:val="24"/>
          <w:lang w:bidi="mr-IN"/>
        </w:rPr>
        <w:t xml:space="preserve"> vitamin </w:t>
      </w:r>
      <w:r w:rsidR="00A85EA6" w:rsidRPr="00175A9A">
        <w:rPr>
          <w:rFonts w:ascii="Times New Roman" w:hAnsi="Times New Roman" w:cs="Times New Roman"/>
          <w:color w:val="000000" w:themeColor="text1"/>
          <w:sz w:val="24"/>
          <w:szCs w:val="24"/>
          <w:lang w:bidi="mr-IN"/>
        </w:rPr>
        <w:t>B-12</w:t>
      </w:r>
      <w:r w:rsidR="000D5D38" w:rsidRPr="00175A9A">
        <w:rPr>
          <w:rFonts w:ascii="Times New Roman" w:hAnsi="Times New Roman" w:cs="Times New Roman"/>
          <w:color w:val="000000" w:themeColor="text1"/>
          <w:sz w:val="24"/>
          <w:szCs w:val="24"/>
          <w:lang w:bidi="mr-IN"/>
        </w:rPr>
        <w:t xml:space="preserve"> </w:t>
      </w:r>
      <w:r w:rsidR="00265EF4" w:rsidRPr="00175A9A">
        <w:rPr>
          <w:rFonts w:ascii="Times New Roman" w:hAnsi="Times New Roman" w:cs="Times New Roman"/>
          <w:color w:val="000000" w:themeColor="text1"/>
          <w:sz w:val="24"/>
          <w:szCs w:val="24"/>
          <w:lang w:bidi="mr-IN"/>
        </w:rPr>
        <w:t xml:space="preserve">in the majority </w:t>
      </w:r>
      <w:r w:rsidR="00B0667F" w:rsidRPr="00175A9A">
        <w:rPr>
          <w:rFonts w:ascii="Times New Roman" w:hAnsi="Times New Roman" w:cs="Times New Roman"/>
          <w:color w:val="000000" w:themeColor="text1"/>
          <w:sz w:val="24"/>
          <w:szCs w:val="24"/>
          <w:lang w:bidi="mr-IN"/>
        </w:rPr>
        <w:t xml:space="preserve">of this population using a modified </w:t>
      </w:r>
      <w:r w:rsidR="000D5D38" w:rsidRPr="00175A9A">
        <w:rPr>
          <w:rFonts w:ascii="Times New Roman" w:hAnsi="Times New Roman" w:cs="Times New Roman"/>
          <w:color w:val="000000" w:themeColor="text1"/>
          <w:sz w:val="24"/>
          <w:szCs w:val="24"/>
          <w:lang w:bidi="mr-IN"/>
        </w:rPr>
        <w:t>CobaSorb test (</w:t>
      </w:r>
      <w:r w:rsidR="001B2910" w:rsidRPr="00175A9A">
        <w:rPr>
          <w:rFonts w:ascii="Times New Roman" w:hAnsi="Times New Roman" w:cs="Times New Roman"/>
          <w:color w:val="000000" w:themeColor="text1"/>
          <w:sz w:val="24"/>
          <w:szCs w:val="24"/>
          <w:lang w:bidi="mr-IN"/>
        </w:rPr>
        <w:t xml:space="preserve">oral </w:t>
      </w:r>
      <w:r w:rsidR="001A3945" w:rsidRPr="00175A9A">
        <w:rPr>
          <w:rFonts w:ascii="Times New Roman" w:hAnsi="Times New Roman" w:cs="Times New Roman"/>
          <w:color w:val="000000" w:themeColor="text1"/>
          <w:sz w:val="24"/>
          <w:szCs w:val="24"/>
          <w:lang w:bidi="mr-IN"/>
        </w:rPr>
        <w:t>2μg</w:t>
      </w:r>
      <w:r w:rsidR="00B0667F" w:rsidRPr="00175A9A">
        <w:rPr>
          <w:rFonts w:ascii="Times New Roman" w:hAnsi="Times New Roman" w:cs="Times New Roman"/>
          <w:color w:val="000000" w:themeColor="text1"/>
          <w:sz w:val="24"/>
          <w:szCs w:val="24"/>
          <w:lang w:bidi="mr-IN"/>
        </w:rPr>
        <w:t xml:space="preserve"> B-12</w:t>
      </w:r>
      <w:r w:rsidR="001B2910" w:rsidRPr="00175A9A">
        <w:rPr>
          <w:rFonts w:ascii="Times New Roman" w:hAnsi="Times New Roman" w:cs="Times New Roman"/>
          <w:color w:val="000000" w:themeColor="text1"/>
          <w:sz w:val="24"/>
          <w:szCs w:val="24"/>
          <w:lang w:bidi="mr-IN"/>
        </w:rPr>
        <w:t xml:space="preserve"> x 3 doses</w:t>
      </w:r>
      <w:r w:rsidR="000D5D38" w:rsidRPr="00175A9A">
        <w:rPr>
          <w:rFonts w:ascii="Times New Roman" w:hAnsi="Times New Roman" w:cs="Times New Roman"/>
          <w:color w:val="000000" w:themeColor="text1"/>
          <w:sz w:val="24"/>
          <w:szCs w:val="24"/>
          <w:lang w:bidi="mr-IN"/>
        </w:rPr>
        <w:t>)</w:t>
      </w:r>
      <w:r w:rsidR="00B0667F" w:rsidRPr="00175A9A">
        <w:rPr>
          <w:rFonts w:ascii="Times New Roman" w:hAnsi="Times New Roman" w:cs="Times New Roman"/>
          <w:color w:val="000000" w:themeColor="text1"/>
          <w:sz w:val="24"/>
          <w:szCs w:val="24"/>
          <w:lang w:bidi="mr-IN"/>
        </w:rPr>
        <w:t xml:space="preserve"> </w:t>
      </w:r>
      <w:r w:rsidR="005C1965" w:rsidRPr="00175A9A">
        <w:rPr>
          <w:rFonts w:ascii="Times New Roman" w:hAnsi="Times New Roman" w:cs="Times New Roman"/>
          <w:color w:val="000000" w:themeColor="text1"/>
          <w:sz w:val="24"/>
          <w:szCs w:val="24"/>
          <w:lang w:bidi="mr-IN"/>
        </w:rPr>
        <w:fldChar w:fldCharType="begin"/>
      </w:r>
      <w:r w:rsidR="00AC1F15" w:rsidRPr="00175A9A">
        <w:rPr>
          <w:rFonts w:ascii="Times New Roman" w:hAnsi="Times New Roman" w:cs="Times New Roman"/>
          <w:color w:val="000000" w:themeColor="text1"/>
          <w:sz w:val="24"/>
          <w:szCs w:val="24"/>
          <w:lang w:bidi="mr-IN"/>
        </w:rPr>
        <w:instrText xml:space="preserve"> ADDIN ZOTERO_ITEM CSL_CITATION {"citationID":"VUaDdEdx","properties":{"formattedCitation":"[13]","plainCitation":"[13]","noteIndex":0},"citationItems":[{"id":1376,"uris":["http://zotero.org/users/4091385/items/64U8DYE9"],"uri":["http://zotero.org/users/4091385/items/64U8DYE9"],"itemData":{"id":1376,"type":"article-journal","title":"Increases in plasma holotranscobalamin can be used to assess vitamin B-12 absorption in individuals with low plasma vitamin B-12","container-title":"The Journal of Nutrition","page":"2119-2123","volume":"139","issue":"11","source":"PubMed","abstract":"Low plasma concentrations of vitamin B-12 are common in Indians, possibly due to low dietary intakes of animal-source foods. Whether malabsorption of the vitamin contributes to this has not been investigated. A rise in the plasma holotranscobalamin (holo-TC) concentration after a standard dose of oral vitamin B-12 has been proposed as a measure of gastrointestinal absorption in people with normal plasma vitamin B-12 concentrations. We studied 313 individuals (children and parents, 109 families) in the Pune Maternal Nutrition Study. They received 3 doses of 10 microg (n = 191) or 2 microg (n = 122) of cyanocobalamin at 6-h intervals. A rise in plasma holo-TC of &gt; or =15% and &gt;15 pmol/L above baseline was considered normal vitamin B-12 absorption. The baseline plasma vitamin B-12 concentration was &lt;150 pmol/L in 48% of participants; holo-TC was &lt;35 pmol/L in 98% and total homocysteine was high in 50% of participants (&gt;10 micromol/L in children and &gt;15 micromol/L in adults). In the 10 microg group, the plasma holo-TC concentration increased by 4.8-fold from (mean +/- SD) 9.3 +/- 7.0 pmol/L to 53.8 +/- 25.9 pmol/L and in the 2 microg group by 2.2-fold from 11.1 +/- 8.5 pmol/L to 35.7 +/- 19.3 pmol/L. Only 10% of the participants, mostly fathers, had an increase less than the suggested cut-points. Our results suggest that an increase in plasma holo-TC may be used to assess vitamin B-12 absorption in individuals with low vitamin B-12 status. Because malabsorption is unlikely to be a major reason for the low plasma vitamin B-12 concentrations in this population, increasing dietary vitamin B-12 should improve their status.","DOI":"10.3945/jn.109.107359","ISSN":"1541-6100","note":"PMID: 19776185\nPMCID: PMC3428886","journalAbbreviation":"J. Nutr.","language":"eng","author":[{"family":"Bhat","given":"Dattatray S."},{"family":"Thuse","given":"Nileema V."},{"family":"Lubree","given":"Himangi G."},{"family":"Joglekar","given":"Charudatta V."},{"family":"Naik","given":"Sadanand S."},{"family":"Ramdas","given":"Lalita V."},{"family":"Johnston","given":"Carole"},{"family":"Refsum","given":"Helga"},{"family":"Fall","given":"Caroline H."},{"family":"Yajnik","given":"Chittaranjan S."}],"issued":{"date-parts":[["2009",11]]}}}],"schema":"https://github.com/citation-style-language/schema/raw/master/csl-citation.json"} </w:instrText>
      </w:r>
      <w:r w:rsidR="005C1965" w:rsidRPr="00175A9A">
        <w:rPr>
          <w:rFonts w:ascii="Times New Roman" w:hAnsi="Times New Roman" w:cs="Times New Roman"/>
          <w:color w:val="000000" w:themeColor="text1"/>
          <w:sz w:val="24"/>
          <w:szCs w:val="24"/>
          <w:lang w:bidi="mr-IN"/>
        </w:rPr>
        <w:fldChar w:fldCharType="separate"/>
      </w:r>
      <w:r w:rsidR="00BA7A18">
        <w:rPr>
          <w:rFonts w:ascii="Times New Roman" w:hAnsi="Times New Roman" w:cs="Times New Roman"/>
          <w:noProof/>
          <w:color w:val="000000" w:themeColor="text1"/>
          <w:sz w:val="24"/>
          <w:szCs w:val="24"/>
          <w:lang w:bidi="mr-IN"/>
        </w:rPr>
        <w:t>[13]</w:t>
      </w:r>
      <w:r w:rsidR="005C1965" w:rsidRPr="00175A9A">
        <w:rPr>
          <w:rFonts w:ascii="Times New Roman" w:hAnsi="Times New Roman" w:cs="Times New Roman"/>
          <w:color w:val="000000" w:themeColor="text1"/>
          <w:sz w:val="24"/>
          <w:szCs w:val="24"/>
          <w:lang w:bidi="mr-IN"/>
        </w:rPr>
        <w:fldChar w:fldCharType="end"/>
      </w:r>
      <w:r w:rsidR="005C1965" w:rsidRPr="00175A9A">
        <w:rPr>
          <w:rFonts w:ascii="Times New Roman" w:hAnsi="Times New Roman" w:cs="Times New Roman"/>
          <w:color w:val="000000" w:themeColor="text1"/>
          <w:sz w:val="24"/>
          <w:szCs w:val="24"/>
          <w:lang w:bidi="mr-IN"/>
        </w:rPr>
        <w:t xml:space="preserve"> </w:t>
      </w:r>
      <w:r w:rsidR="00B0667F" w:rsidRPr="00175A9A">
        <w:rPr>
          <w:rFonts w:ascii="Times New Roman" w:hAnsi="Times New Roman" w:cs="Times New Roman"/>
          <w:color w:val="000000" w:themeColor="text1"/>
          <w:sz w:val="24"/>
          <w:szCs w:val="24"/>
          <w:lang w:bidi="mr-IN"/>
        </w:rPr>
        <w:t xml:space="preserve">and </w:t>
      </w:r>
      <w:r w:rsidR="0009559E" w:rsidRPr="00175A9A">
        <w:rPr>
          <w:rFonts w:ascii="Times New Roman" w:hAnsi="Times New Roman" w:cs="Times New Roman"/>
          <w:color w:val="000000" w:themeColor="text1"/>
          <w:sz w:val="24"/>
          <w:szCs w:val="24"/>
          <w:lang w:bidi="mr-IN"/>
        </w:rPr>
        <w:t xml:space="preserve">also documented </w:t>
      </w:r>
      <w:r w:rsidR="0009559E" w:rsidRPr="00175A9A">
        <w:rPr>
          <w:rFonts w:ascii="Times New Roman" w:hAnsi="Times New Roman" w:cs="Times New Roman"/>
          <w:bCs/>
          <w:color w:val="000000" w:themeColor="text1"/>
          <w:sz w:val="24"/>
          <w:szCs w:val="24"/>
          <w:lang w:bidi="mr-IN"/>
        </w:rPr>
        <w:t xml:space="preserve">improved B-12 status with </w:t>
      </w:r>
      <w:r w:rsidRPr="00175A9A">
        <w:rPr>
          <w:rFonts w:ascii="Times New Roman" w:hAnsi="Times New Roman" w:cs="Times New Roman"/>
          <w:bCs/>
          <w:color w:val="000000" w:themeColor="text1"/>
          <w:sz w:val="24"/>
          <w:szCs w:val="24"/>
          <w:lang w:bidi="mr-IN"/>
        </w:rPr>
        <w:t>near RDA (“physiological”</w:t>
      </w:r>
      <w:r w:rsidR="000C6028" w:rsidRPr="000C6028">
        <w:rPr>
          <w:rFonts w:ascii="Times New Roman" w:hAnsi="Times New Roman" w:cs="Times New Roman"/>
          <w:bCs/>
          <w:color w:val="000000" w:themeColor="text1"/>
          <w:sz w:val="24"/>
          <w:szCs w:val="24"/>
          <w:lang w:bidi="mr-IN"/>
        </w:rPr>
        <w:t xml:space="preserve"> </w:t>
      </w:r>
      <w:r w:rsidR="000C6028">
        <w:rPr>
          <w:rFonts w:ascii="Times New Roman" w:hAnsi="Times New Roman" w:cs="Times New Roman"/>
          <w:bCs/>
          <w:color w:val="000000" w:themeColor="text1"/>
          <w:sz w:val="24"/>
          <w:szCs w:val="24"/>
          <w:lang w:bidi="mr-IN"/>
        </w:rPr>
        <w:t>2</w:t>
      </w:r>
      <w:r w:rsidR="000C6028" w:rsidRPr="008D088B">
        <w:rPr>
          <w:rFonts w:ascii="Times New Roman" w:hAnsi="Times New Roman" w:cs="Times New Roman"/>
          <w:color w:val="000000" w:themeColor="text1"/>
          <w:sz w:val="24"/>
          <w:szCs w:val="24"/>
          <w:lang w:bidi="mr-IN"/>
        </w:rPr>
        <w:t xml:space="preserve"> </w:t>
      </w:r>
      <w:r w:rsidR="000C6028" w:rsidRPr="00175A9A">
        <w:rPr>
          <w:rFonts w:ascii="Times New Roman" w:hAnsi="Times New Roman" w:cs="Times New Roman"/>
          <w:color w:val="000000" w:themeColor="text1"/>
          <w:sz w:val="24"/>
          <w:szCs w:val="24"/>
          <w:lang w:bidi="mr-IN"/>
        </w:rPr>
        <w:t>μg</w:t>
      </w:r>
      <w:r w:rsidR="000C6028">
        <w:rPr>
          <w:rFonts w:ascii="Times New Roman" w:hAnsi="Times New Roman" w:cs="Times New Roman"/>
          <w:color w:val="000000" w:themeColor="text1"/>
          <w:sz w:val="24"/>
          <w:szCs w:val="24"/>
          <w:lang w:bidi="mr-IN"/>
        </w:rPr>
        <w:t>/day</w:t>
      </w:r>
      <w:r w:rsidRPr="00175A9A">
        <w:rPr>
          <w:rFonts w:ascii="Times New Roman" w:hAnsi="Times New Roman" w:cs="Times New Roman"/>
          <w:bCs/>
          <w:color w:val="000000" w:themeColor="text1"/>
          <w:sz w:val="24"/>
          <w:szCs w:val="24"/>
          <w:lang w:bidi="mr-IN"/>
        </w:rPr>
        <w:t xml:space="preserve">) doses of oral vitamin </w:t>
      </w:r>
      <w:r w:rsidR="00A85EA6" w:rsidRPr="00175A9A">
        <w:rPr>
          <w:rFonts w:ascii="Times New Roman" w:hAnsi="Times New Roman" w:cs="Times New Roman"/>
          <w:bCs/>
          <w:color w:val="000000" w:themeColor="text1"/>
          <w:sz w:val="24"/>
          <w:szCs w:val="24"/>
          <w:lang w:bidi="mr-IN"/>
        </w:rPr>
        <w:t>B-12</w:t>
      </w:r>
      <w:r w:rsidR="000D5D38" w:rsidRPr="00175A9A">
        <w:rPr>
          <w:rFonts w:ascii="Times New Roman" w:hAnsi="Times New Roman" w:cs="Times New Roman"/>
          <w:bCs/>
          <w:color w:val="000000" w:themeColor="text1"/>
          <w:sz w:val="24"/>
          <w:szCs w:val="24"/>
          <w:lang w:bidi="mr-IN"/>
        </w:rPr>
        <w:t xml:space="preserve"> </w:t>
      </w:r>
      <w:r w:rsidR="0009559E" w:rsidRPr="00175A9A">
        <w:rPr>
          <w:rFonts w:ascii="Times New Roman" w:hAnsi="Times New Roman" w:cs="Times New Roman"/>
          <w:bCs/>
          <w:color w:val="000000" w:themeColor="text1"/>
          <w:sz w:val="24"/>
          <w:szCs w:val="24"/>
          <w:lang w:bidi="mr-IN"/>
        </w:rPr>
        <w:t xml:space="preserve">over </w:t>
      </w:r>
      <w:r w:rsidR="000D5D38" w:rsidRPr="00175A9A">
        <w:rPr>
          <w:rFonts w:ascii="Times New Roman" w:hAnsi="Times New Roman" w:cs="Times New Roman"/>
          <w:bCs/>
          <w:color w:val="000000" w:themeColor="text1"/>
          <w:sz w:val="24"/>
          <w:szCs w:val="24"/>
          <w:lang w:bidi="mr-IN"/>
        </w:rPr>
        <w:t>one year</w:t>
      </w:r>
      <w:r w:rsidR="00B0667F" w:rsidRPr="00175A9A">
        <w:rPr>
          <w:rFonts w:ascii="Times New Roman" w:hAnsi="Times New Roman" w:cs="Times New Roman"/>
          <w:bCs/>
          <w:color w:val="000000" w:themeColor="text1"/>
          <w:sz w:val="24"/>
          <w:szCs w:val="24"/>
          <w:lang w:bidi="mr-IN"/>
        </w:rPr>
        <w:t xml:space="preserve"> </w:t>
      </w:r>
      <w:r w:rsidR="009665C7" w:rsidRPr="00175A9A">
        <w:rPr>
          <w:rFonts w:ascii="Times New Roman" w:hAnsi="Times New Roman" w:cs="Times New Roman"/>
          <w:bCs/>
          <w:color w:val="000000" w:themeColor="text1"/>
          <w:sz w:val="24"/>
          <w:szCs w:val="24"/>
          <w:lang w:bidi="mr-IN"/>
        </w:rPr>
        <w:fldChar w:fldCharType="begin"/>
      </w:r>
      <w:r w:rsidR="00AC1F15" w:rsidRPr="00175A9A">
        <w:rPr>
          <w:rFonts w:ascii="Times New Roman" w:hAnsi="Times New Roman" w:cs="Times New Roman"/>
          <w:bCs/>
          <w:color w:val="000000" w:themeColor="text1"/>
          <w:sz w:val="24"/>
          <w:szCs w:val="24"/>
          <w:lang w:bidi="mr-IN"/>
        </w:rPr>
        <w:instrText xml:space="preserve"> ADDIN ZOTERO_ITEM CSL_CITATION {"citationID":"GZTVqwwo","properties":{"formattedCitation":"[14]","plainCitation":"[14]","noteIndex":0},"citationItems":[{"id":1395,"uris":["http://zotero.org/users/4091385/items/5A9I8W8E"],"uri":["http://zotero.org/users/4091385/items/5A9I8W8E"],"itemData":{"id":1395,"type":"article-journal","title":"Oral vitamin B12 supplementation reduces plasma total homocysteine concentration in women in India","container-title":"Asia Pacific Journal of Clinical Nutrition","page":"103-109","volume":"16","issue":"1","source":"PubMed","abstract":"People in India have a high prevalence of low vitamin B12 status and high plasma total homocysteine (tHcy) concentrations. In a proof of principle trial, we studied the effect of oral vitamin B12 (500 microg) and/or 100 g cooked green leafy vegetables (GLV) every alternate day in a 2x2 factorial design over a 6-week period. Forty-two non-pregnant vegetarian women (age 20-50 years) were randomly allocated to four study groups. Clinical measurements were made at the beginning and at the end of the study, and blood samples were collected before, and 2 and 6 weeks after commencement of intervention. Forty women completed the trial. Twenty-six women had low vitamin B12 status (&lt;150 pmol/L) and 24 had hyperhomocysteinemia (&gt;15 micromol/L). GLV supplementation did not alter plasma folate or tHcy. Vitamin B12 supplementation increased plasma vitamin B12 concentration (125 to 215 pmol/L, p &lt;0.05) and reduced tHcy concentration (18.0 to 13.0 micromol/L, p &lt;0.05) within first 2 weeks, both of which remained stable for the next 4 weeks. Plasma vitamin B12 and tHcy concentrations did not change in those who did not receive vitamin B12, and there was no change in plasma folate concentration in any of the groups. Blood haemoglobin concentration increased marginally within first two weeks in those women who received vitamin B12 (by 3 g/L, p &lt;0.05) and the number of women with macrocytosis decreased from 2 to zero. There was no change in vibration sensory threshold during the period of the study. High-dose per oral vitamin B12 supplementation significantly reduced plasma tHcy within 2 weeks but did not achieve normal plasma tHcy concentration even after 6 weeks. People in India have a high prevalence of low vitamin B12 status and high plasma total homocysteine (tHcy) concentrations.","ISSN":"0964-7058","note":"PMID: 17215186","journalAbbreviation":"Asia Pac J Clin Nutr","language":"eng","author":[{"family":"Yajnik","given":"Chittaranjan S."},{"family":"Lubree","given":"Himangi G."},{"family":"Thuse","given":"Nileema V."},{"family":"Ramdas","given":"Lalita V."},{"family":"Deshpande","given":"Swapna S."},{"family":"Deshpande","given":"Vaishali U."},{"family":"Deshpande","given":"Jyoti A."},{"family":"Uradey","given":"Bhagyashree S."},{"family":"Ganpule","given":"Anjali A."},{"family":"Naik","given":"Sadanand S."},{"family":"Joshi","given":"Niranjan P."},{"family":"Farrant","given":"Hannah"},{"family":"Refsum","given":"Helga"}],"issued":{"date-parts":[["2007"]]}},"locator":"12"}],"schema":"https://github.com/citation-style-language/schema/raw/master/csl-citation.json"} </w:instrText>
      </w:r>
      <w:r w:rsidR="009665C7" w:rsidRPr="00175A9A">
        <w:rPr>
          <w:rFonts w:ascii="Times New Roman" w:hAnsi="Times New Roman" w:cs="Times New Roman"/>
          <w:bCs/>
          <w:color w:val="000000" w:themeColor="text1"/>
          <w:sz w:val="24"/>
          <w:szCs w:val="24"/>
          <w:lang w:bidi="mr-IN"/>
        </w:rPr>
        <w:fldChar w:fldCharType="separate"/>
      </w:r>
      <w:r w:rsidR="00BA7A18">
        <w:rPr>
          <w:rFonts w:ascii="Times New Roman" w:hAnsi="Times New Roman" w:cs="Times New Roman"/>
          <w:bCs/>
          <w:noProof/>
          <w:color w:val="000000" w:themeColor="text1"/>
          <w:sz w:val="24"/>
          <w:szCs w:val="24"/>
          <w:lang w:bidi="mr-IN"/>
        </w:rPr>
        <w:t>[14]</w:t>
      </w:r>
      <w:r w:rsidR="009665C7" w:rsidRPr="00175A9A">
        <w:rPr>
          <w:rFonts w:ascii="Times New Roman" w:hAnsi="Times New Roman" w:cs="Times New Roman"/>
          <w:bCs/>
          <w:color w:val="000000" w:themeColor="text1"/>
          <w:sz w:val="24"/>
          <w:szCs w:val="24"/>
          <w:lang w:bidi="mr-IN"/>
        </w:rPr>
        <w:fldChar w:fldCharType="end"/>
      </w:r>
      <w:r w:rsidRPr="00175A9A">
        <w:rPr>
          <w:rFonts w:ascii="Times New Roman" w:hAnsi="Times New Roman" w:cs="Times New Roman"/>
          <w:bCs/>
          <w:color w:val="000000" w:themeColor="text1"/>
          <w:sz w:val="24"/>
          <w:szCs w:val="24"/>
          <w:lang w:bidi="mr-IN"/>
        </w:rPr>
        <w:t xml:space="preserve">. </w:t>
      </w:r>
      <w:r w:rsidR="000C3BB5" w:rsidRPr="00B839AA">
        <w:rPr>
          <w:rFonts w:ascii="Times New Roman" w:hAnsi="Times New Roman" w:cs="Times New Roman"/>
          <w:bCs/>
          <w:color w:val="000000" w:themeColor="text1"/>
          <w:sz w:val="24"/>
          <w:szCs w:val="24"/>
          <w:lang w:bidi="mr-IN"/>
        </w:rPr>
        <w:t xml:space="preserve">The </w:t>
      </w:r>
      <w:r w:rsidR="000C3BB5" w:rsidRPr="00B839AA">
        <w:rPr>
          <w:rFonts w:ascii="Times New Roman" w:hAnsi="Times New Roman" w:cs="Times New Roman"/>
          <w:bCs/>
          <w:color w:val="000000" w:themeColor="text1"/>
          <w:sz w:val="24"/>
          <w:szCs w:val="24"/>
          <w:lang w:bidi="mr-IN"/>
        </w:rPr>
        <w:lastRenderedPageBreak/>
        <w:t xml:space="preserve">PRIYA </w:t>
      </w:r>
      <w:r w:rsidR="0009559E" w:rsidRPr="00B839AA">
        <w:rPr>
          <w:rFonts w:ascii="Times New Roman" w:hAnsi="Times New Roman" w:cs="Times New Roman"/>
          <w:bCs/>
          <w:color w:val="000000" w:themeColor="text1"/>
          <w:sz w:val="24"/>
          <w:szCs w:val="24"/>
          <w:lang w:bidi="mr-IN"/>
        </w:rPr>
        <w:t xml:space="preserve">trial  </w:t>
      </w:r>
      <w:r w:rsidR="0032396E" w:rsidRPr="00B839AA">
        <w:rPr>
          <w:rFonts w:ascii="Times New Roman" w:hAnsi="Times New Roman" w:cs="Times New Roman"/>
          <w:bCs/>
          <w:color w:val="000000" w:themeColor="text1"/>
          <w:sz w:val="24"/>
          <w:szCs w:val="24"/>
          <w:lang w:bidi="mr-IN"/>
        </w:rPr>
        <w:t>(</w:t>
      </w:r>
      <w:r w:rsidR="00F1725F" w:rsidRPr="00B839AA">
        <w:rPr>
          <w:rFonts w:ascii="Times New Roman" w:hAnsi="Times New Roman" w:cs="Times New Roman"/>
          <w:bCs/>
          <w:color w:val="000000" w:themeColor="text1"/>
          <w:sz w:val="24"/>
          <w:szCs w:val="24"/>
          <w:lang w:bidi="mr-IN"/>
        </w:rPr>
        <w:t>Pune Rural Intervention in Young Adolescents</w:t>
      </w:r>
      <w:r w:rsidR="006007AD" w:rsidRPr="00B839AA">
        <w:rPr>
          <w:rFonts w:ascii="Times New Roman" w:hAnsi="Times New Roman" w:cs="Times New Roman"/>
          <w:bCs/>
          <w:color w:val="000000" w:themeColor="text1"/>
          <w:sz w:val="24"/>
          <w:szCs w:val="24"/>
          <w:lang w:bidi="mr-IN"/>
        </w:rPr>
        <w:t xml:space="preserve">, </w:t>
      </w:r>
      <w:r w:rsidR="00D87FDA" w:rsidRPr="00B839AA">
        <w:rPr>
          <w:rFonts w:ascii="Times New Roman" w:hAnsi="Times New Roman" w:cs="Times New Roman"/>
          <w:color w:val="000000" w:themeColor="text1"/>
          <w:sz w:val="24"/>
          <w:szCs w:val="24"/>
          <w:lang w:bidi="mr-IN"/>
        </w:rPr>
        <w:t>ISRCTN 32921044)</w:t>
      </w:r>
      <w:r w:rsidR="00D7120F" w:rsidRPr="00B839AA">
        <w:rPr>
          <w:rFonts w:ascii="Times New Roman" w:hAnsi="Times New Roman" w:cs="Times New Roman"/>
          <w:bCs/>
          <w:color w:val="000000" w:themeColor="text1"/>
          <w:sz w:val="24"/>
          <w:szCs w:val="24"/>
          <w:lang w:bidi="mr-IN"/>
        </w:rPr>
        <w:t xml:space="preserve"> </w:t>
      </w:r>
      <w:r w:rsidR="00D7120F" w:rsidRPr="00B839AA">
        <w:rPr>
          <w:rFonts w:ascii="Times New Roman" w:hAnsi="Times New Roman" w:cs="Times New Roman"/>
          <w:bCs/>
          <w:color w:val="000000" w:themeColor="text1"/>
          <w:sz w:val="24"/>
          <w:szCs w:val="24"/>
          <w:lang w:bidi="mr-IN"/>
        </w:rPr>
        <w:fldChar w:fldCharType="begin"/>
      </w:r>
      <w:r w:rsidR="00D7120F" w:rsidRPr="00B839AA">
        <w:rPr>
          <w:rFonts w:ascii="Times New Roman" w:hAnsi="Times New Roman" w:cs="Times New Roman"/>
          <w:bCs/>
          <w:color w:val="000000" w:themeColor="text1"/>
          <w:sz w:val="24"/>
          <w:szCs w:val="24"/>
          <w:lang w:bidi="mr-IN"/>
        </w:rPr>
        <w:instrText xml:space="preserve"> ADDIN ZOTERO_ITEM CSL_CITATION {"citationID":"7qHQ0aAP","properties":{"formattedCitation":"[15]","plainCitation":"[15]","noteIndex":0},"citationItems":[{"id":2009,"uris":["http://zotero.org/users/4091385/items/HF429N8K"],"uri":["http://zotero.org/users/4091385/items/HF429N8K"],"itemData":{"id":2009,"type":"article-journal","title":"The Pune Rural Intervention in Young Adolescents (PRIYA) study: design and methods of a randomised controlled trial","container-title":"BMC Nutrition","volume":"3","issue":"1","source":"Crossref","URL":"http://bmcnutr.biomedcentral.com/articles/10.1186/s40795-017-0143-5","DOI":"10.1186/s40795-017-0143-5","ISSN":"2055-0928","title-short":"The Pune Rural Intervention in Young Adolescents (PRIYA) study","language":"en","author":[{"family":"Kumaran","given":"Kalyanaraman"},{"family":"Yajnik","given":"Pallavi"},{"family":"Lubree","given":"Himangi"},{"family":"Joglekar","given":"Charudatta"},{"family":"Bhat","given":"Dattatray"},{"family":"Katre","given":"Prachi"},{"family":"Joshi","given":"Suyog"},{"family":"Ladkat","given":"Rasika"},{"family":"Fall","given":"Caroline"},{"family":"Yajnik","given":"Chittaranjan"}],"issued":{"date-parts":[["2017",12]]},"accessed":{"date-parts":[["2019",1,22]]}}}],"schema":"https://github.com/citation-style-language/schema/raw/master/csl-citation.json"} </w:instrText>
      </w:r>
      <w:r w:rsidR="00D7120F" w:rsidRPr="00B839AA">
        <w:rPr>
          <w:rFonts w:ascii="Times New Roman" w:hAnsi="Times New Roman" w:cs="Times New Roman"/>
          <w:bCs/>
          <w:color w:val="000000" w:themeColor="text1"/>
          <w:sz w:val="24"/>
          <w:szCs w:val="24"/>
          <w:lang w:bidi="mr-IN"/>
        </w:rPr>
        <w:fldChar w:fldCharType="separate"/>
      </w:r>
      <w:r w:rsidR="00D7120F" w:rsidRPr="00B839AA">
        <w:rPr>
          <w:rFonts w:ascii="Times New Roman" w:hAnsi="Times New Roman" w:cs="Times New Roman"/>
          <w:bCs/>
          <w:noProof/>
          <w:color w:val="000000" w:themeColor="text1"/>
          <w:sz w:val="24"/>
          <w:szCs w:val="24"/>
          <w:lang w:bidi="mr-IN"/>
        </w:rPr>
        <w:t>[15]</w:t>
      </w:r>
      <w:r w:rsidR="00D7120F" w:rsidRPr="00B839AA">
        <w:rPr>
          <w:rFonts w:ascii="Times New Roman" w:hAnsi="Times New Roman" w:cs="Times New Roman"/>
          <w:bCs/>
          <w:color w:val="000000" w:themeColor="text1"/>
          <w:sz w:val="24"/>
          <w:szCs w:val="24"/>
          <w:lang w:bidi="mr-IN"/>
        </w:rPr>
        <w:fldChar w:fldCharType="end"/>
      </w:r>
      <w:r w:rsidR="009B6B40" w:rsidRPr="00B839AA">
        <w:rPr>
          <w:rFonts w:ascii="Times New Roman" w:hAnsi="Times New Roman" w:cs="Times New Roman"/>
          <w:color w:val="000000" w:themeColor="text1"/>
          <w:sz w:val="24"/>
          <w:szCs w:val="24"/>
          <w:lang w:bidi="mr-IN"/>
        </w:rPr>
        <w:t xml:space="preserve">, </w:t>
      </w:r>
      <w:r w:rsidR="000C3BB5" w:rsidRPr="00B839AA">
        <w:rPr>
          <w:rFonts w:ascii="Times New Roman" w:hAnsi="Times New Roman" w:cs="Times New Roman"/>
          <w:bCs/>
          <w:color w:val="000000" w:themeColor="text1"/>
          <w:sz w:val="24"/>
          <w:szCs w:val="24"/>
          <w:lang w:bidi="mr-IN"/>
        </w:rPr>
        <w:t>was</w:t>
      </w:r>
      <w:r w:rsidR="001A188C" w:rsidRPr="00B839AA">
        <w:rPr>
          <w:rFonts w:ascii="Times New Roman" w:hAnsi="Times New Roman" w:cs="Times New Roman"/>
          <w:bCs/>
          <w:color w:val="000000" w:themeColor="text1"/>
          <w:sz w:val="24"/>
          <w:szCs w:val="24"/>
          <w:lang w:bidi="mr-IN"/>
        </w:rPr>
        <w:t xml:space="preserve"> </w:t>
      </w:r>
      <w:r w:rsidR="006007AD" w:rsidRPr="00B839AA">
        <w:rPr>
          <w:rFonts w:ascii="Times New Roman" w:hAnsi="Times New Roman" w:cs="Times New Roman"/>
          <w:bCs/>
          <w:color w:val="000000" w:themeColor="text1"/>
          <w:sz w:val="24"/>
          <w:szCs w:val="24"/>
          <w:lang w:bidi="mr-IN"/>
        </w:rPr>
        <w:t xml:space="preserve">thus </w:t>
      </w:r>
      <w:r w:rsidR="00B03C12" w:rsidRPr="00B839AA">
        <w:rPr>
          <w:rFonts w:ascii="Times New Roman" w:hAnsi="Times New Roman" w:cs="Times New Roman"/>
          <w:bCs/>
          <w:color w:val="000000" w:themeColor="text1"/>
          <w:sz w:val="24"/>
          <w:szCs w:val="24"/>
          <w:lang w:bidi="mr-IN"/>
        </w:rPr>
        <w:t xml:space="preserve">designed to improve </w:t>
      </w:r>
      <w:r w:rsidR="00AF7A21" w:rsidRPr="00B839AA">
        <w:rPr>
          <w:rFonts w:ascii="Times New Roman" w:hAnsi="Times New Roman" w:cs="Times New Roman"/>
          <w:bCs/>
          <w:color w:val="000000" w:themeColor="text1"/>
          <w:sz w:val="24"/>
          <w:szCs w:val="24"/>
          <w:lang w:bidi="mr-IN"/>
        </w:rPr>
        <w:t xml:space="preserve">the </w:t>
      </w:r>
      <w:r w:rsidR="00B03C12" w:rsidRPr="00B839AA">
        <w:rPr>
          <w:rFonts w:ascii="Times New Roman" w:hAnsi="Times New Roman" w:cs="Times New Roman"/>
          <w:bCs/>
          <w:color w:val="000000" w:themeColor="text1"/>
          <w:sz w:val="24"/>
          <w:szCs w:val="24"/>
          <w:lang w:bidi="mr-IN"/>
        </w:rPr>
        <w:t>v</w:t>
      </w:r>
      <w:r w:rsidR="001A188C" w:rsidRPr="00B839AA">
        <w:rPr>
          <w:rFonts w:ascii="Times New Roman" w:hAnsi="Times New Roman" w:cs="Times New Roman"/>
          <w:bCs/>
          <w:color w:val="000000" w:themeColor="text1"/>
          <w:sz w:val="24"/>
          <w:szCs w:val="24"/>
          <w:lang w:bidi="mr-IN"/>
        </w:rPr>
        <w:t xml:space="preserve">itamin B-12 status </w:t>
      </w:r>
      <w:r w:rsidR="007D67B5" w:rsidRPr="00B839AA">
        <w:rPr>
          <w:rFonts w:ascii="Times New Roman" w:hAnsi="Times New Roman" w:cs="Times New Roman"/>
          <w:bCs/>
          <w:color w:val="000000" w:themeColor="text1"/>
          <w:sz w:val="24"/>
          <w:szCs w:val="24"/>
          <w:lang w:bidi="mr-IN"/>
        </w:rPr>
        <w:t>of</w:t>
      </w:r>
      <w:r w:rsidR="00D47006" w:rsidRPr="00B839AA">
        <w:rPr>
          <w:rFonts w:ascii="Times New Roman" w:hAnsi="Times New Roman" w:cs="Times New Roman"/>
          <w:bCs/>
          <w:color w:val="000000" w:themeColor="text1"/>
          <w:sz w:val="24"/>
          <w:szCs w:val="24"/>
          <w:lang w:bidi="mr-IN"/>
        </w:rPr>
        <w:t xml:space="preserve"> adolescent</w:t>
      </w:r>
      <w:r w:rsidR="006007AD" w:rsidRPr="00B839AA">
        <w:rPr>
          <w:rFonts w:ascii="Times New Roman" w:hAnsi="Times New Roman" w:cs="Times New Roman"/>
          <w:bCs/>
          <w:color w:val="000000" w:themeColor="text1"/>
          <w:sz w:val="24"/>
          <w:szCs w:val="24"/>
          <w:lang w:bidi="mr-IN"/>
        </w:rPr>
        <w:t xml:space="preserve"> participant</w:t>
      </w:r>
      <w:r w:rsidR="00D47006" w:rsidRPr="00B839AA">
        <w:rPr>
          <w:rFonts w:ascii="Times New Roman" w:hAnsi="Times New Roman" w:cs="Times New Roman"/>
          <w:bCs/>
          <w:color w:val="000000" w:themeColor="text1"/>
          <w:sz w:val="24"/>
          <w:szCs w:val="24"/>
          <w:lang w:bidi="mr-IN"/>
        </w:rPr>
        <w:t>s</w:t>
      </w:r>
      <w:r w:rsidR="007D67B5" w:rsidRPr="00B839AA">
        <w:rPr>
          <w:rFonts w:ascii="Times New Roman" w:hAnsi="Times New Roman" w:cs="Times New Roman"/>
          <w:bCs/>
          <w:color w:val="000000" w:themeColor="text1"/>
          <w:sz w:val="24"/>
          <w:szCs w:val="24"/>
          <w:lang w:bidi="mr-IN"/>
        </w:rPr>
        <w:t xml:space="preserve"> </w:t>
      </w:r>
      <w:r w:rsidR="00AF7A21" w:rsidRPr="00B839AA">
        <w:rPr>
          <w:rFonts w:ascii="Times New Roman" w:hAnsi="Times New Roman" w:cs="Times New Roman"/>
          <w:bCs/>
          <w:color w:val="000000" w:themeColor="text1"/>
          <w:sz w:val="24"/>
          <w:szCs w:val="24"/>
          <w:lang w:bidi="mr-IN"/>
        </w:rPr>
        <w:t>in</w:t>
      </w:r>
      <w:r w:rsidR="001A188C" w:rsidRPr="00B839AA">
        <w:rPr>
          <w:rFonts w:ascii="Times New Roman" w:hAnsi="Times New Roman" w:cs="Times New Roman"/>
          <w:bCs/>
          <w:color w:val="000000" w:themeColor="text1"/>
          <w:sz w:val="24"/>
          <w:szCs w:val="24"/>
          <w:lang w:bidi="mr-IN"/>
        </w:rPr>
        <w:t xml:space="preserve"> </w:t>
      </w:r>
      <w:r w:rsidR="000C3BB5" w:rsidRPr="00B839AA">
        <w:rPr>
          <w:rFonts w:ascii="Times New Roman" w:hAnsi="Times New Roman" w:cs="Times New Roman"/>
          <w:bCs/>
          <w:color w:val="000000" w:themeColor="text1"/>
          <w:sz w:val="24"/>
          <w:szCs w:val="24"/>
          <w:lang w:bidi="mr-IN"/>
        </w:rPr>
        <w:t xml:space="preserve">the </w:t>
      </w:r>
      <w:r w:rsidR="000B3A05" w:rsidRPr="00B839AA">
        <w:rPr>
          <w:rFonts w:ascii="Times New Roman" w:hAnsi="Times New Roman" w:cs="Times New Roman"/>
          <w:bCs/>
          <w:color w:val="000000" w:themeColor="text1"/>
          <w:sz w:val="24"/>
          <w:szCs w:val="24"/>
          <w:lang w:bidi="mr-IN"/>
        </w:rPr>
        <w:t>Pune Maternal Nutrition Study</w:t>
      </w:r>
      <w:r w:rsidR="0061157D" w:rsidRPr="00B839AA">
        <w:rPr>
          <w:rFonts w:ascii="Times New Roman" w:hAnsi="Times New Roman" w:cs="Times New Roman"/>
          <w:bCs/>
          <w:color w:val="000000" w:themeColor="text1"/>
          <w:sz w:val="24"/>
          <w:szCs w:val="24"/>
          <w:lang w:bidi="mr-IN"/>
        </w:rPr>
        <w:t xml:space="preserve"> </w:t>
      </w:r>
      <w:r w:rsidR="007D67B5" w:rsidRPr="00B839AA">
        <w:rPr>
          <w:rFonts w:ascii="Times New Roman" w:hAnsi="Times New Roman" w:cs="Times New Roman"/>
          <w:bCs/>
          <w:color w:val="000000" w:themeColor="text1"/>
          <w:sz w:val="24"/>
          <w:szCs w:val="24"/>
          <w:lang w:bidi="mr-IN"/>
        </w:rPr>
        <w:t xml:space="preserve">(a preconceptional birth cohort established in 1994-96) with an aim to improve </w:t>
      </w:r>
      <w:r w:rsidR="007D67B5" w:rsidRPr="00B839AA">
        <w:rPr>
          <w:rFonts w:ascii="Times New Roman" w:hAnsi="Times New Roman" w:cs="Times New Roman"/>
          <w:color w:val="000000" w:themeColor="text1"/>
          <w:sz w:val="24"/>
          <w:szCs w:val="24"/>
          <w:lang w:bidi="mr-IN"/>
        </w:rPr>
        <w:t>health outcomes in their offspring</w:t>
      </w:r>
      <w:r w:rsidR="000848B6" w:rsidRPr="00B839AA">
        <w:rPr>
          <w:rFonts w:ascii="Times New Roman" w:hAnsi="Times New Roman" w:cs="Times New Roman"/>
          <w:color w:val="000000" w:themeColor="text1"/>
          <w:sz w:val="24"/>
          <w:szCs w:val="24"/>
          <w:lang w:bidi="mr-IN"/>
        </w:rPr>
        <w:t xml:space="preserve"> (Intervention started in 2012</w:t>
      </w:r>
      <w:r w:rsidR="000848B6" w:rsidRPr="00B839AA">
        <w:rPr>
          <w:rFonts w:ascii="Times New Roman" w:hAnsi="Times New Roman" w:cs="Times New Roman"/>
          <w:bCs/>
          <w:color w:val="000000" w:themeColor="text1"/>
          <w:sz w:val="24"/>
          <w:szCs w:val="24"/>
          <w:lang w:bidi="mr-IN"/>
        </w:rPr>
        <w:t>)</w:t>
      </w:r>
      <w:r w:rsidR="00D90750" w:rsidRPr="00B839AA">
        <w:rPr>
          <w:rFonts w:ascii="Times New Roman" w:hAnsi="Times New Roman" w:cs="Times New Roman"/>
          <w:color w:val="000000" w:themeColor="text1"/>
          <w:sz w:val="24"/>
          <w:szCs w:val="24"/>
          <w:lang w:bidi="mr-IN"/>
        </w:rPr>
        <w:t>.</w:t>
      </w:r>
      <w:r w:rsidR="00D90750" w:rsidRPr="00175A9A">
        <w:rPr>
          <w:rFonts w:ascii="Times New Roman" w:hAnsi="Times New Roman" w:cs="Times New Roman"/>
          <w:color w:val="000000" w:themeColor="text1"/>
          <w:sz w:val="24"/>
          <w:szCs w:val="24"/>
          <w:lang w:bidi="mr-IN"/>
        </w:rPr>
        <w:t xml:space="preserve"> </w:t>
      </w:r>
    </w:p>
    <w:p w14:paraId="36B918DC" w14:textId="74AB2840" w:rsidR="00E64C85" w:rsidRPr="00B839AA" w:rsidRDefault="001A188C"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PRIYA is a placebo- controlled trial and therefore we decided to exclude</w:t>
      </w:r>
      <w:r w:rsidR="006007AD" w:rsidRPr="00175A9A">
        <w:rPr>
          <w:rFonts w:ascii="Times New Roman" w:hAnsi="Times New Roman" w:cs="Times New Roman"/>
          <w:color w:val="000000" w:themeColor="text1"/>
          <w:sz w:val="24"/>
          <w:szCs w:val="24"/>
          <w:lang w:bidi="mr-IN"/>
        </w:rPr>
        <w:t xml:space="preserve"> and treat</w:t>
      </w:r>
      <w:r w:rsidRPr="00175A9A">
        <w:rPr>
          <w:rFonts w:ascii="Times New Roman" w:hAnsi="Times New Roman" w:cs="Times New Roman"/>
          <w:color w:val="000000" w:themeColor="text1"/>
          <w:sz w:val="24"/>
          <w:szCs w:val="24"/>
          <w:lang w:bidi="mr-IN"/>
        </w:rPr>
        <w:t xml:space="preserve"> those with very </w:t>
      </w:r>
      <w:r w:rsidR="000C3BB5" w:rsidRPr="00175A9A">
        <w:rPr>
          <w:rFonts w:ascii="Times New Roman" w:hAnsi="Times New Roman" w:cs="Times New Roman"/>
          <w:color w:val="000000" w:themeColor="text1"/>
          <w:sz w:val="24"/>
          <w:szCs w:val="24"/>
          <w:lang w:bidi="mr-IN"/>
        </w:rPr>
        <w:t xml:space="preserve">low vitamin </w:t>
      </w:r>
      <w:r w:rsidR="00A85EA6" w:rsidRPr="00175A9A">
        <w:rPr>
          <w:rFonts w:ascii="Times New Roman" w:hAnsi="Times New Roman" w:cs="Times New Roman"/>
          <w:color w:val="000000" w:themeColor="text1"/>
          <w:sz w:val="24"/>
          <w:szCs w:val="24"/>
          <w:lang w:bidi="mr-IN"/>
        </w:rPr>
        <w:t>B-12</w:t>
      </w:r>
      <w:r w:rsidR="000C3BB5" w:rsidRPr="00175A9A">
        <w:rPr>
          <w:rFonts w:ascii="Times New Roman" w:hAnsi="Times New Roman" w:cs="Times New Roman"/>
          <w:color w:val="000000" w:themeColor="text1"/>
          <w:sz w:val="24"/>
          <w:szCs w:val="24"/>
          <w:lang w:bidi="mr-IN"/>
        </w:rPr>
        <w:t xml:space="preserve"> status </w:t>
      </w:r>
      <w:r w:rsidR="00A87ECA" w:rsidRPr="00175A9A">
        <w:rPr>
          <w:rFonts w:ascii="Times New Roman" w:hAnsi="Times New Roman" w:cs="Times New Roman"/>
          <w:color w:val="000000" w:themeColor="text1"/>
          <w:sz w:val="24"/>
          <w:szCs w:val="24"/>
          <w:lang w:bidi="mr-IN"/>
        </w:rPr>
        <w:t>(&lt;100</w:t>
      </w:r>
      <w:r w:rsidR="00532704" w:rsidRPr="00175A9A">
        <w:rPr>
          <w:rFonts w:ascii="Times New Roman" w:hAnsi="Times New Roman" w:cs="Times New Roman"/>
          <w:color w:val="000000" w:themeColor="text1"/>
          <w:sz w:val="24"/>
          <w:szCs w:val="24"/>
          <w:lang w:bidi="mr-IN"/>
        </w:rPr>
        <w:t xml:space="preserve"> pmol/L</w:t>
      </w:r>
      <w:r w:rsidR="00A87ECA" w:rsidRPr="00175A9A">
        <w:rPr>
          <w:rFonts w:ascii="Times New Roman" w:hAnsi="Times New Roman" w:cs="Times New Roman"/>
          <w:color w:val="000000" w:themeColor="text1"/>
          <w:sz w:val="24"/>
          <w:szCs w:val="24"/>
          <w:lang w:bidi="mr-IN"/>
        </w:rPr>
        <w:t xml:space="preserve">) </w:t>
      </w:r>
      <w:r w:rsidR="003D027A" w:rsidRPr="00175A9A">
        <w:rPr>
          <w:rFonts w:ascii="Times New Roman" w:hAnsi="Times New Roman" w:cs="Times New Roman"/>
          <w:color w:val="000000" w:themeColor="text1"/>
          <w:sz w:val="24"/>
          <w:szCs w:val="24"/>
          <w:lang w:bidi="mr-IN"/>
        </w:rPr>
        <w:t xml:space="preserve">for ethical </w:t>
      </w:r>
      <w:r w:rsidR="00A87ECA" w:rsidRPr="00175A9A">
        <w:rPr>
          <w:rFonts w:ascii="Times New Roman" w:hAnsi="Times New Roman" w:cs="Times New Roman"/>
          <w:color w:val="000000" w:themeColor="text1"/>
          <w:sz w:val="24"/>
          <w:szCs w:val="24"/>
          <w:lang w:bidi="mr-IN"/>
        </w:rPr>
        <w:t>reasons</w:t>
      </w:r>
      <w:r w:rsidR="003D027A" w:rsidRPr="00175A9A">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 </w:t>
      </w:r>
      <w:r w:rsidR="00A87ECA" w:rsidRPr="00175A9A">
        <w:rPr>
          <w:rFonts w:ascii="Times New Roman" w:hAnsi="Times New Roman" w:cs="Times New Roman"/>
          <w:color w:val="000000" w:themeColor="text1"/>
          <w:sz w:val="24"/>
          <w:szCs w:val="24"/>
          <w:lang w:bidi="mr-IN"/>
        </w:rPr>
        <w:t>The current study was</w:t>
      </w:r>
      <w:r w:rsidR="00E835A0" w:rsidRPr="00175A9A">
        <w:rPr>
          <w:rFonts w:ascii="Times New Roman" w:hAnsi="Times New Roman" w:cs="Times New Roman"/>
          <w:color w:val="000000" w:themeColor="text1"/>
          <w:sz w:val="24"/>
          <w:szCs w:val="24"/>
          <w:lang w:bidi="mr-IN"/>
        </w:rPr>
        <w:t xml:space="preserve"> </w:t>
      </w:r>
      <w:r w:rsidR="00EE5DBC" w:rsidRPr="00175A9A">
        <w:rPr>
          <w:rFonts w:ascii="Times New Roman" w:hAnsi="Times New Roman" w:cs="Times New Roman"/>
          <w:color w:val="000000" w:themeColor="text1"/>
          <w:sz w:val="24"/>
          <w:szCs w:val="24"/>
          <w:lang w:bidi="mr-IN"/>
        </w:rPr>
        <w:t xml:space="preserve">designed to </w:t>
      </w:r>
      <w:r w:rsidR="008E5167" w:rsidRPr="00175A9A">
        <w:rPr>
          <w:rFonts w:ascii="Times New Roman" w:hAnsi="Times New Roman" w:cs="Times New Roman"/>
          <w:color w:val="000000" w:themeColor="text1"/>
          <w:sz w:val="24"/>
          <w:szCs w:val="24"/>
          <w:lang w:bidi="mr-IN"/>
        </w:rPr>
        <w:t>document the effect</w:t>
      </w:r>
      <w:r w:rsidR="00532704" w:rsidRPr="00175A9A">
        <w:rPr>
          <w:rFonts w:ascii="Times New Roman" w:hAnsi="Times New Roman" w:cs="Times New Roman"/>
          <w:color w:val="000000" w:themeColor="text1"/>
          <w:sz w:val="24"/>
          <w:szCs w:val="24"/>
          <w:lang w:bidi="mr-IN"/>
        </w:rPr>
        <w:t>s</w:t>
      </w:r>
      <w:r w:rsidR="008E5167" w:rsidRPr="00175A9A">
        <w:rPr>
          <w:rFonts w:ascii="Times New Roman" w:hAnsi="Times New Roman" w:cs="Times New Roman"/>
          <w:color w:val="000000" w:themeColor="text1"/>
          <w:sz w:val="24"/>
          <w:szCs w:val="24"/>
          <w:lang w:bidi="mr-IN"/>
        </w:rPr>
        <w:t xml:space="preserve"> </w:t>
      </w:r>
      <w:r w:rsidR="00A87ECA" w:rsidRPr="00175A9A">
        <w:rPr>
          <w:rFonts w:ascii="Times New Roman" w:hAnsi="Times New Roman" w:cs="Times New Roman"/>
          <w:color w:val="000000" w:themeColor="text1"/>
          <w:sz w:val="24"/>
          <w:szCs w:val="24"/>
          <w:lang w:bidi="mr-IN"/>
        </w:rPr>
        <w:t xml:space="preserve">of treatment in this </w:t>
      </w:r>
      <w:r w:rsidR="00532704" w:rsidRPr="00175A9A">
        <w:rPr>
          <w:rFonts w:ascii="Times New Roman" w:hAnsi="Times New Roman" w:cs="Times New Roman"/>
          <w:color w:val="000000" w:themeColor="text1"/>
          <w:sz w:val="24"/>
          <w:szCs w:val="24"/>
          <w:lang w:bidi="mr-IN"/>
        </w:rPr>
        <w:t xml:space="preserve">excluded </w:t>
      </w:r>
      <w:r w:rsidR="00A87ECA" w:rsidRPr="00175A9A">
        <w:rPr>
          <w:rFonts w:ascii="Times New Roman" w:hAnsi="Times New Roman" w:cs="Times New Roman"/>
          <w:color w:val="000000" w:themeColor="text1"/>
          <w:sz w:val="24"/>
          <w:szCs w:val="24"/>
          <w:lang w:bidi="mr-IN"/>
        </w:rPr>
        <w:t>group</w:t>
      </w:r>
      <w:r w:rsidR="00532704" w:rsidRPr="00175A9A">
        <w:rPr>
          <w:rFonts w:ascii="Times New Roman" w:hAnsi="Times New Roman" w:cs="Times New Roman"/>
          <w:color w:val="000000" w:themeColor="text1"/>
          <w:sz w:val="24"/>
          <w:szCs w:val="24"/>
          <w:lang w:bidi="mr-IN"/>
        </w:rPr>
        <w:t xml:space="preserve">. </w:t>
      </w:r>
      <w:r w:rsidR="00F92C54" w:rsidRPr="00B839AA">
        <w:rPr>
          <w:rFonts w:ascii="Times New Roman" w:hAnsi="Times New Roman" w:cs="Times New Roman"/>
          <w:color w:val="000000" w:themeColor="text1"/>
          <w:sz w:val="24"/>
          <w:szCs w:val="24"/>
          <w:lang w:bidi="mr-IN"/>
        </w:rPr>
        <w:t>We performed two sets of measurements</w:t>
      </w:r>
      <w:r w:rsidR="00AD65F6" w:rsidRPr="00B839AA">
        <w:rPr>
          <w:rFonts w:ascii="Times New Roman" w:hAnsi="Times New Roman" w:cs="Times New Roman"/>
          <w:color w:val="000000" w:themeColor="text1"/>
          <w:sz w:val="24"/>
          <w:szCs w:val="24"/>
          <w:lang w:bidi="mr-IN"/>
        </w:rPr>
        <w:t xml:space="preserve"> to document the effect of an oral physiological dose of B-12 (2μg/day), </w:t>
      </w:r>
      <w:r w:rsidR="000848B6" w:rsidRPr="00B839AA">
        <w:rPr>
          <w:rFonts w:ascii="Times New Roman" w:hAnsi="Times New Roman" w:cs="Times New Roman"/>
          <w:color w:val="000000" w:themeColor="text1"/>
          <w:sz w:val="24"/>
          <w:szCs w:val="24"/>
          <w:lang w:bidi="mr-IN"/>
        </w:rPr>
        <w:t xml:space="preserve">with the following objectives: </w:t>
      </w:r>
      <w:r w:rsidR="00F92C54" w:rsidRPr="00B839AA">
        <w:rPr>
          <w:rFonts w:ascii="Times New Roman" w:hAnsi="Times New Roman" w:cs="Times New Roman"/>
          <w:color w:val="000000" w:themeColor="text1"/>
          <w:sz w:val="24"/>
          <w:szCs w:val="24"/>
          <w:lang w:bidi="mr-IN"/>
        </w:rPr>
        <w:t>1)</w:t>
      </w:r>
      <w:r w:rsidR="000848B6" w:rsidRPr="00B839AA">
        <w:rPr>
          <w:rFonts w:ascii="Times New Roman" w:hAnsi="Times New Roman" w:cs="Times New Roman"/>
          <w:color w:val="000000" w:themeColor="text1"/>
          <w:sz w:val="24"/>
          <w:szCs w:val="24"/>
          <w:lang w:bidi="mr-IN"/>
        </w:rPr>
        <w:t xml:space="preserve"> </w:t>
      </w:r>
      <w:r w:rsidR="00AD65F6" w:rsidRPr="00B839AA">
        <w:rPr>
          <w:rFonts w:ascii="Times New Roman" w:hAnsi="Times New Roman" w:cs="Times New Roman"/>
          <w:color w:val="000000" w:themeColor="text1"/>
          <w:sz w:val="24"/>
          <w:szCs w:val="24"/>
          <w:lang w:bidi="mr-IN"/>
        </w:rPr>
        <w:t>To document changes in clinical</w:t>
      </w:r>
      <w:r w:rsidR="00F92C54" w:rsidRPr="00B839AA">
        <w:rPr>
          <w:rFonts w:ascii="Times New Roman" w:hAnsi="Times New Roman" w:cs="Times New Roman"/>
          <w:color w:val="000000" w:themeColor="text1"/>
          <w:sz w:val="24"/>
          <w:szCs w:val="24"/>
          <w:lang w:bidi="mr-IN"/>
        </w:rPr>
        <w:t xml:space="preserve">, </w:t>
      </w:r>
      <w:r w:rsidR="00C3369C" w:rsidRPr="00B839AA">
        <w:rPr>
          <w:rFonts w:ascii="Times New Roman" w:hAnsi="Times New Roman" w:cs="Times New Roman"/>
          <w:color w:val="000000" w:themeColor="text1"/>
          <w:sz w:val="24"/>
          <w:szCs w:val="24"/>
          <w:lang w:bidi="mr-IN"/>
        </w:rPr>
        <w:t>h</w:t>
      </w:r>
      <w:r w:rsidR="00F92C54" w:rsidRPr="00B839AA">
        <w:rPr>
          <w:rFonts w:ascii="Times New Roman" w:hAnsi="Times New Roman" w:cs="Times New Roman"/>
          <w:color w:val="000000" w:themeColor="text1"/>
          <w:sz w:val="24"/>
          <w:szCs w:val="24"/>
          <w:lang w:bidi="mr-IN"/>
        </w:rPr>
        <w:t>ematological</w:t>
      </w:r>
      <w:r w:rsidR="00C3369C" w:rsidRPr="00B839AA">
        <w:rPr>
          <w:rFonts w:ascii="Times New Roman" w:hAnsi="Times New Roman" w:cs="Times New Roman"/>
          <w:color w:val="000000" w:themeColor="text1"/>
          <w:sz w:val="24"/>
          <w:szCs w:val="24"/>
          <w:lang w:bidi="mr-IN"/>
        </w:rPr>
        <w:t>,</w:t>
      </w:r>
      <w:r w:rsidR="00F92C54" w:rsidRPr="00B839AA">
        <w:rPr>
          <w:rFonts w:ascii="Times New Roman" w:hAnsi="Times New Roman" w:cs="Times New Roman"/>
          <w:color w:val="000000" w:themeColor="text1"/>
          <w:sz w:val="24"/>
          <w:szCs w:val="24"/>
          <w:lang w:bidi="mr-IN"/>
        </w:rPr>
        <w:t xml:space="preserve"> </w:t>
      </w:r>
      <w:r w:rsidR="00C3369C" w:rsidRPr="00B839AA">
        <w:rPr>
          <w:rFonts w:ascii="Times New Roman" w:hAnsi="Times New Roman" w:cs="Times New Roman"/>
          <w:color w:val="000000" w:themeColor="text1"/>
          <w:sz w:val="24"/>
          <w:szCs w:val="24"/>
          <w:lang w:bidi="mr-IN"/>
        </w:rPr>
        <w:t>b</w:t>
      </w:r>
      <w:r w:rsidR="00F92C54" w:rsidRPr="00B839AA">
        <w:rPr>
          <w:rFonts w:ascii="Times New Roman" w:hAnsi="Times New Roman" w:cs="Times New Roman"/>
          <w:color w:val="000000" w:themeColor="text1"/>
          <w:sz w:val="24"/>
          <w:szCs w:val="24"/>
          <w:lang w:bidi="mr-IN"/>
        </w:rPr>
        <w:t xml:space="preserve">iochemical and </w:t>
      </w:r>
      <w:r w:rsidR="00C3369C" w:rsidRPr="00B839AA">
        <w:rPr>
          <w:rFonts w:ascii="Times New Roman" w:hAnsi="Times New Roman" w:cs="Times New Roman"/>
          <w:color w:val="000000" w:themeColor="text1"/>
          <w:sz w:val="24"/>
          <w:szCs w:val="24"/>
          <w:lang w:bidi="mr-IN"/>
        </w:rPr>
        <w:t>n</w:t>
      </w:r>
      <w:r w:rsidR="00AD65F6" w:rsidRPr="00B839AA">
        <w:rPr>
          <w:rFonts w:ascii="Times New Roman" w:hAnsi="Times New Roman" w:cs="Times New Roman"/>
          <w:color w:val="000000" w:themeColor="text1"/>
          <w:sz w:val="24"/>
          <w:szCs w:val="24"/>
          <w:lang w:bidi="mr-IN"/>
        </w:rPr>
        <w:t xml:space="preserve">erve function. </w:t>
      </w:r>
      <w:r w:rsidR="00F92C54" w:rsidRPr="00B839AA">
        <w:rPr>
          <w:rFonts w:ascii="Times New Roman" w:hAnsi="Times New Roman" w:cs="Times New Roman"/>
          <w:color w:val="000000" w:themeColor="text1"/>
          <w:sz w:val="24"/>
          <w:szCs w:val="24"/>
          <w:lang w:bidi="mr-IN"/>
        </w:rPr>
        <w:t xml:space="preserve">2) </w:t>
      </w:r>
      <w:r w:rsidR="00AD65F6" w:rsidRPr="00B839AA">
        <w:rPr>
          <w:rFonts w:ascii="Times New Roman" w:hAnsi="Times New Roman" w:cs="Times New Roman"/>
          <w:color w:val="000000" w:themeColor="text1"/>
          <w:sz w:val="24"/>
          <w:szCs w:val="24"/>
          <w:lang w:bidi="mr-IN"/>
        </w:rPr>
        <w:t xml:space="preserve">To study 1-Carbon metabolic cycles after a methionine load using stable isotopes. The first objective would provide useful information to guide public health policy about B-12 supplementation among women in the reproductive age group. And the second objective would provide </w:t>
      </w:r>
      <w:r w:rsidR="00AD65F6" w:rsidRPr="00B839AA">
        <w:rPr>
          <w:rFonts w:ascii="Times New Roman" w:hAnsi="Times New Roman" w:cs="Times New Roman"/>
          <w:color w:val="000000" w:themeColor="text1"/>
          <w:sz w:val="24"/>
          <w:szCs w:val="24"/>
          <w:lang w:bidi="mr-IN"/>
        </w:rPr>
        <w:lastRenderedPageBreak/>
        <w:t xml:space="preserve">mechanistic information in 1-carbon cycles to improve scientific understanding. </w:t>
      </w:r>
      <w:r w:rsidR="00710F77" w:rsidRPr="00B839AA">
        <w:rPr>
          <w:rFonts w:ascii="Times New Roman" w:hAnsi="Times New Roman" w:cs="Times New Roman"/>
          <w:color w:val="000000" w:themeColor="text1"/>
          <w:sz w:val="24"/>
          <w:szCs w:val="24"/>
          <w:lang w:bidi="mr-IN"/>
        </w:rPr>
        <w:t>The results</w:t>
      </w:r>
      <w:r w:rsidR="008C6AFE" w:rsidRPr="00B839AA">
        <w:rPr>
          <w:rFonts w:ascii="Times New Roman" w:hAnsi="Times New Roman" w:cs="Times New Roman"/>
          <w:color w:val="000000" w:themeColor="text1"/>
          <w:sz w:val="24"/>
          <w:szCs w:val="24"/>
          <w:lang w:bidi="mr-IN"/>
        </w:rPr>
        <w:t xml:space="preserve"> </w:t>
      </w:r>
      <w:r w:rsidR="00B43B05" w:rsidRPr="00B839AA">
        <w:rPr>
          <w:rFonts w:ascii="Times New Roman" w:hAnsi="Times New Roman" w:cs="Times New Roman"/>
          <w:color w:val="000000" w:themeColor="text1"/>
          <w:sz w:val="24"/>
          <w:szCs w:val="24"/>
          <w:lang w:bidi="mr-IN"/>
        </w:rPr>
        <w:t xml:space="preserve">of </w:t>
      </w:r>
      <w:r w:rsidR="00C3369C" w:rsidRPr="00B839AA">
        <w:rPr>
          <w:rFonts w:ascii="Times New Roman" w:hAnsi="Times New Roman" w:cs="Times New Roman"/>
          <w:color w:val="000000" w:themeColor="text1"/>
          <w:sz w:val="24"/>
          <w:szCs w:val="24"/>
          <w:lang w:bidi="mr-IN"/>
        </w:rPr>
        <w:t xml:space="preserve">the </w:t>
      </w:r>
      <w:r w:rsidR="007543A6" w:rsidRPr="00B839AA">
        <w:rPr>
          <w:rFonts w:ascii="Times New Roman" w:hAnsi="Times New Roman" w:cs="Times New Roman"/>
          <w:color w:val="000000" w:themeColor="text1"/>
          <w:sz w:val="24"/>
          <w:szCs w:val="24"/>
          <w:lang w:bidi="mr-IN"/>
        </w:rPr>
        <w:t xml:space="preserve">isotopic </w:t>
      </w:r>
      <w:r w:rsidR="00B43B05" w:rsidRPr="00B839AA">
        <w:rPr>
          <w:rFonts w:ascii="Times New Roman" w:hAnsi="Times New Roman" w:cs="Times New Roman"/>
          <w:color w:val="000000" w:themeColor="text1"/>
          <w:sz w:val="24"/>
          <w:szCs w:val="24"/>
          <w:lang w:bidi="mr-IN"/>
        </w:rPr>
        <w:t xml:space="preserve">metabolic studies </w:t>
      </w:r>
      <w:r w:rsidR="00BE2D1D" w:rsidRPr="00B839AA">
        <w:rPr>
          <w:rFonts w:ascii="Times New Roman" w:hAnsi="Times New Roman" w:cs="Times New Roman"/>
          <w:color w:val="000000" w:themeColor="text1"/>
          <w:sz w:val="24"/>
          <w:szCs w:val="24"/>
          <w:lang w:bidi="mr-IN"/>
        </w:rPr>
        <w:t>have been published</w:t>
      </w:r>
      <w:r w:rsidR="006007AD" w:rsidRPr="00B839AA">
        <w:rPr>
          <w:rFonts w:ascii="Times New Roman" w:hAnsi="Times New Roman" w:cs="Times New Roman"/>
          <w:color w:val="000000" w:themeColor="text1"/>
          <w:sz w:val="24"/>
          <w:szCs w:val="24"/>
          <w:lang w:bidi="mr-IN"/>
        </w:rPr>
        <w:t xml:space="preserve"> </w:t>
      </w:r>
      <w:r w:rsidR="00BF08B7" w:rsidRPr="00B839AA">
        <w:rPr>
          <w:rFonts w:ascii="Times New Roman" w:hAnsi="Times New Roman" w:cs="Times New Roman"/>
          <w:color w:val="000000" w:themeColor="text1"/>
          <w:sz w:val="24"/>
          <w:szCs w:val="24"/>
          <w:lang w:bidi="mr-IN"/>
        </w:rPr>
        <w:fldChar w:fldCharType="begin"/>
      </w:r>
      <w:r w:rsidR="00AC1F15" w:rsidRPr="00B839AA">
        <w:rPr>
          <w:rFonts w:ascii="Times New Roman" w:hAnsi="Times New Roman" w:cs="Times New Roman"/>
          <w:color w:val="000000" w:themeColor="text1"/>
          <w:sz w:val="24"/>
          <w:szCs w:val="24"/>
          <w:lang w:bidi="mr-IN"/>
        </w:rPr>
        <w:instrText xml:space="preserve"> ADDIN ZOTERO_ITEM CSL_CITATION {"citationID":"IGd75w15","properties":{"formattedCitation":"[16]","plainCitation":"[16]","noteIndex":0},"citationItems":[{"id":1297,"uris":["http://zotero.org/users/4091385/items/Z2FELHIS"],"uri":["http://zotero.org/users/4091385/items/Z2FELHIS"],"itemData":{"id":1297,"type":"article-journal","title":"Evaluation of tracer labelled methionine load test in vitamin B-12 deficient adolescent women","container-title":"PloS One","page":"e0196970","volume":"13","issue":"5","source":"PubMed","abstract":"BACKGROUND: Methionine loading test (MLT) has been used primarily to identify defects in transsulfuration of homocysteine in cystathionine beta synthase deficiency. It may not be as useful to evaluate remethylation pathway, in vitamin B-12 and folate deficiencies.\nOBJECTIVE: We used tracer isotope labelled MLT to interrogate transsulfuration and remethylation independently in vitamin B-12 deficiency.\nDESIGN: We studied vitamin B-12 deficient women with a tracer labelled MLT before and eleven months after treatment with vitamin B-12. The fractional contribution of [13C]homocysteine to breath CO2 was used as a measure of transsulfuration, and difference in the intracellular enrichment of [13C]methionine and that of [C2H3]methionine as a measure of remethylation of homocysteine. Combined pre- and post-treatment results were analyzed to investigate the association between plasma vitamin B-12 concentrations and measures of homocysteine metabolism.\nRESULTS: The subjects were 17 years old, with a BMI of 19.4 kg/m2. Treatment with vitamin B-12, 2µg/day increased plasma B-12 from 93 (78.7, 106.2) [median (25th, 75th centiles)] to 161.5 (125.5, 226.2) pmol/L; 44% were below &lt;150pmol/L after treatment. Fasting homocysteine concentration was significantly lower and that of cysteine higher in subjects with B-12 levels &gt;150pmol/L. The tracer estimated transsulfuration of homocysteine was lower and remethylation higher with B-12 levels &gt;150pmol/L when compared with those &lt;150pmol/L.\nCONCLUSIONS: The tracer labelled MLT in combination with fasting parameters is a robust way to estimate parameters of methionine metabolism and can be used in the field where prime-constant rate infusion studies cannot be done efficiently.","DOI":"10.1371/journal.pone.0196970","ISSN":"1932-6203","note":"PMID: 29795596\nPMCID: PMC5967743","journalAbbreviation":"PLoS ONE","language":"eng","author":[{"family":"Bhat","given":"Dattatray S."},{"family":"Gruca","given":"Lourdes L."},{"family":"Bennett","given":"Carole D."},{"family":"Katre","given":"Prachi"},{"family":"Kurpad","given":"Anura V."},{"family":"Yajnik","given":"Chittaranjan S."},{"family":"Kalhan","given":"Satish C."}],"issued":{"date-parts":[["2018"]]}}}],"schema":"https://github.com/citation-style-language/schema/raw/master/csl-citation.json"} </w:instrText>
      </w:r>
      <w:r w:rsidR="00BF08B7" w:rsidRPr="00B839AA">
        <w:rPr>
          <w:rFonts w:ascii="Times New Roman" w:hAnsi="Times New Roman" w:cs="Times New Roman"/>
          <w:color w:val="000000" w:themeColor="text1"/>
          <w:sz w:val="24"/>
          <w:szCs w:val="24"/>
          <w:lang w:bidi="mr-IN"/>
        </w:rPr>
        <w:fldChar w:fldCharType="separate"/>
      </w:r>
      <w:r w:rsidR="00BA7A18" w:rsidRPr="00B839AA">
        <w:rPr>
          <w:rFonts w:ascii="Times New Roman" w:hAnsi="Times New Roman" w:cs="Times New Roman"/>
          <w:noProof/>
          <w:color w:val="000000" w:themeColor="text1"/>
          <w:sz w:val="24"/>
          <w:szCs w:val="24"/>
          <w:lang w:bidi="mr-IN"/>
        </w:rPr>
        <w:t>[16]</w:t>
      </w:r>
      <w:r w:rsidR="00BF08B7" w:rsidRPr="00B839AA">
        <w:rPr>
          <w:rFonts w:ascii="Times New Roman" w:hAnsi="Times New Roman" w:cs="Times New Roman"/>
          <w:color w:val="000000" w:themeColor="text1"/>
          <w:sz w:val="24"/>
          <w:szCs w:val="24"/>
          <w:lang w:bidi="mr-IN"/>
        </w:rPr>
        <w:fldChar w:fldCharType="end"/>
      </w:r>
      <w:r w:rsidR="007543A6" w:rsidRPr="00B839AA">
        <w:rPr>
          <w:rFonts w:ascii="Times New Roman" w:hAnsi="Times New Roman" w:cs="Times New Roman"/>
          <w:color w:val="000000" w:themeColor="text1"/>
          <w:sz w:val="24"/>
          <w:szCs w:val="24"/>
          <w:lang w:bidi="mr-IN"/>
        </w:rPr>
        <w:t>.</w:t>
      </w:r>
      <w:r w:rsidR="005129C1" w:rsidRPr="00B839AA">
        <w:rPr>
          <w:rFonts w:ascii="Times New Roman" w:hAnsi="Times New Roman" w:cs="Times New Roman"/>
          <w:color w:val="000000" w:themeColor="text1"/>
          <w:sz w:val="24"/>
          <w:szCs w:val="24"/>
          <w:lang w:bidi="mr-IN"/>
        </w:rPr>
        <w:t xml:space="preserve"> </w:t>
      </w:r>
      <w:r w:rsidR="007543A6" w:rsidRPr="00B839AA">
        <w:rPr>
          <w:rFonts w:ascii="Times New Roman" w:hAnsi="Times New Roman" w:cs="Times New Roman"/>
          <w:color w:val="000000" w:themeColor="text1"/>
          <w:sz w:val="24"/>
          <w:szCs w:val="24"/>
          <w:lang w:bidi="mr-IN"/>
        </w:rPr>
        <w:t xml:space="preserve">We now </w:t>
      </w:r>
      <w:r w:rsidR="00061872" w:rsidRPr="00B839AA">
        <w:rPr>
          <w:rFonts w:ascii="Times New Roman" w:hAnsi="Times New Roman" w:cs="Times New Roman"/>
          <w:color w:val="000000" w:themeColor="text1"/>
          <w:sz w:val="24"/>
          <w:szCs w:val="24"/>
          <w:lang w:bidi="mr-IN"/>
        </w:rPr>
        <w:t xml:space="preserve">report </w:t>
      </w:r>
      <w:r w:rsidR="00C3369C" w:rsidRPr="00B839AA">
        <w:rPr>
          <w:rFonts w:ascii="Times New Roman" w:hAnsi="Times New Roman" w:cs="Times New Roman"/>
          <w:color w:val="000000" w:themeColor="text1"/>
          <w:sz w:val="24"/>
          <w:szCs w:val="24"/>
          <w:lang w:bidi="mr-IN"/>
        </w:rPr>
        <w:t xml:space="preserve">the </w:t>
      </w:r>
      <w:r w:rsidR="00AD65F6" w:rsidRPr="00B839AA">
        <w:rPr>
          <w:rFonts w:ascii="Times New Roman" w:hAnsi="Times New Roman" w:cs="Times New Roman"/>
          <w:color w:val="000000" w:themeColor="text1"/>
          <w:sz w:val="24"/>
          <w:szCs w:val="24"/>
          <w:lang w:bidi="mr-IN"/>
        </w:rPr>
        <w:t xml:space="preserve">clinical, </w:t>
      </w:r>
      <w:r w:rsidR="00061872" w:rsidRPr="00B839AA">
        <w:rPr>
          <w:rFonts w:ascii="Times New Roman" w:hAnsi="Times New Roman" w:cs="Times New Roman"/>
          <w:color w:val="000000" w:themeColor="text1"/>
          <w:sz w:val="24"/>
          <w:szCs w:val="24"/>
          <w:lang w:bidi="mr-IN"/>
        </w:rPr>
        <w:t>hematological</w:t>
      </w:r>
      <w:r w:rsidR="005B4F6B" w:rsidRPr="00B839AA">
        <w:rPr>
          <w:rFonts w:ascii="Times New Roman" w:hAnsi="Times New Roman" w:cs="Times New Roman"/>
          <w:color w:val="000000" w:themeColor="text1"/>
          <w:sz w:val="24"/>
          <w:szCs w:val="24"/>
          <w:lang w:bidi="mr-IN"/>
        </w:rPr>
        <w:t>,</w:t>
      </w:r>
      <w:r w:rsidR="007543A6" w:rsidRPr="00B839AA">
        <w:rPr>
          <w:rFonts w:ascii="Times New Roman" w:hAnsi="Times New Roman" w:cs="Times New Roman"/>
          <w:color w:val="000000" w:themeColor="text1"/>
          <w:sz w:val="24"/>
          <w:szCs w:val="24"/>
          <w:lang w:bidi="mr-IN"/>
        </w:rPr>
        <w:t xml:space="preserve"> </w:t>
      </w:r>
      <w:r w:rsidR="00AD65F6" w:rsidRPr="00B839AA">
        <w:rPr>
          <w:rFonts w:ascii="Times New Roman" w:hAnsi="Times New Roman" w:cs="Times New Roman"/>
          <w:color w:val="000000" w:themeColor="text1"/>
          <w:sz w:val="24"/>
          <w:szCs w:val="24"/>
          <w:lang w:bidi="mr-IN"/>
        </w:rPr>
        <w:t>nutritional</w:t>
      </w:r>
      <w:r w:rsidR="00612328" w:rsidRPr="00B839AA">
        <w:rPr>
          <w:rFonts w:ascii="Times New Roman" w:hAnsi="Times New Roman" w:cs="Times New Roman"/>
          <w:color w:val="000000" w:themeColor="text1"/>
          <w:sz w:val="24"/>
          <w:szCs w:val="24"/>
          <w:lang w:bidi="mr-IN"/>
        </w:rPr>
        <w:t xml:space="preserve">, </w:t>
      </w:r>
      <w:r w:rsidR="007543A6" w:rsidRPr="00B839AA">
        <w:rPr>
          <w:rFonts w:ascii="Times New Roman" w:hAnsi="Times New Roman" w:cs="Times New Roman"/>
          <w:color w:val="000000" w:themeColor="text1"/>
          <w:sz w:val="24"/>
          <w:szCs w:val="24"/>
          <w:lang w:bidi="mr-IN"/>
        </w:rPr>
        <w:t>biochemical</w:t>
      </w:r>
      <w:r w:rsidR="00612328" w:rsidRPr="00B839AA">
        <w:rPr>
          <w:rFonts w:ascii="Times New Roman" w:hAnsi="Times New Roman" w:cs="Times New Roman"/>
          <w:color w:val="000000" w:themeColor="text1"/>
          <w:sz w:val="24"/>
          <w:szCs w:val="24"/>
          <w:lang w:bidi="mr-IN"/>
        </w:rPr>
        <w:t>-metabolic</w:t>
      </w:r>
      <w:r w:rsidR="00AD65F6" w:rsidRPr="00B839AA">
        <w:rPr>
          <w:rFonts w:ascii="Times New Roman" w:hAnsi="Times New Roman" w:cs="Times New Roman"/>
          <w:color w:val="000000" w:themeColor="text1"/>
          <w:sz w:val="24"/>
          <w:szCs w:val="24"/>
          <w:lang w:bidi="mr-IN"/>
        </w:rPr>
        <w:t xml:space="preserve"> </w:t>
      </w:r>
      <w:r w:rsidR="005B4F6B" w:rsidRPr="00B839AA">
        <w:rPr>
          <w:rFonts w:ascii="Times New Roman" w:hAnsi="Times New Roman" w:cs="Times New Roman"/>
          <w:color w:val="000000" w:themeColor="text1"/>
          <w:sz w:val="24"/>
          <w:szCs w:val="24"/>
          <w:lang w:bidi="mr-IN"/>
        </w:rPr>
        <w:t>and peripheral nerve function measurements</w:t>
      </w:r>
      <w:r w:rsidR="00AD65F6" w:rsidRPr="00B839AA">
        <w:rPr>
          <w:rFonts w:ascii="Times New Roman" w:hAnsi="Times New Roman" w:cs="Times New Roman"/>
          <w:color w:val="000000" w:themeColor="text1"/>
          <w:sz w:val="24"/>
          <w:szCs w:val="24"/>
          <w:lang w:bidi="mr-IN"/>
        </w:rPr>
        <w:t xml:space="preserve">. </w:t>
      </w:r>
      <w:r w:rsidR="00710F77" w:rsidRPr="00B839AA">
        <w:rPr>
          <w:rFonts w:ascii="Times New Roman" w:hAnsi="Times New Roman" w:cs="Times New Roman"/>
          <w:color w:val="000000" w:themeColor="text1"/>
          <w:sz w:val="24"/>
          <w:szCs w:val="24"/>
          <w:lang w:bidi="mr-IN"/>
        </w:rPr>
        <w:t>We hypothesise</w:t>
      </w:r>
      <w:r w:rsidR="00C3369C" w:rsidRPr="00B839AA">
        <w:rPr>
          <w:rFonts w:ascii="Times New Roman" w:hAnsi="Times New Roman" w:cs="Times New Roman"/>
          <w:color w:val="000000" w:themeColor="text1"/>
          <w:sz w:val="24"/>
          <w:szCs w:val="24"/>
          <w:lang w:bidi="mr-IN"/>
        </w:rPr>
        <w:t>d</w:t>
      </w:r>
      <w:r w:rsidR="00710F77" w:rsidRPr="00B839AA">
        <w:rPr>
          <w:rFonts w:ascii="Times New Roman" w:hAnsi="Times New Roman" w:cs="Times New Roman"/>
          <w:color w:val="000000" w:themeColor="text1"/>
          <w:sz w:val="24"/>
          <w:szCs w:val="24"/>
          <w:lang w:bidi="mr-IN"/>
        </w:rPr>
        <w:t xml:space="preserve"> that treatment with oral </w:t>
      </w:r>
      <w:r w:rsidR="00AD65F6" w:rsidRPr="00B839AA">
        <w:rPr>
          <w:rFonts w:ascii="Times New Roman" w:hAnsi="Times New Roman" w:cs="Times New Roman"/>
          <w:color w:val="000000" w:themeColor="text1"/>
          <w:sz w:val="24"/>
          <w:szCs w:val="24"/>
          <w:lang w:bidi="mr-IN"/>
        </w:rPr>
        <w:t xml:space="preserve">physiological dose of 2 µg/day </w:t>
      </w:r>
      <w:r w:rsidR="00710F77" w:rsidRPr="00B839AA">
        <w:rPr>
          <w:rFonts w:ascii="Times New Roman" w:hAnsi="Times New Roman" w:cs="Times New Roman"/>
          <w:color w:val="000000" w:themeColor="text1"/>
          <w:sz w:val="24"/>
          <w:szCs w:val="24"/>
          <w:lang w:bidi="mr-IN"/>
        </w:rPr>
        <w:t>B-12 for 11 months would improve</w:t>
      </w:r>
      <w:r w:rsidR="00AD65F6" w:rsidRPr="00B839AA">
        <w:rPr>
          <w:rFonts w:ascii="Times New Roman" w:hAnsi="Times New Roman" w:cs="Times New Roman"/>
          <w:color w:val="000000" w:themeColor="text1"/>
          <w:sz w:val="24"/>
          <w:szCs w:val="24"/>
          <w:lang w:bidi="mr-IN"/>
        </w:rPr>
        <w:t xml:space="preserve"> the above parameters</w:t>
      </w:r>
      <w:r w:rsidR="00710F77" w:rsidRPr="00B839AA">
        <w:rPr>
          <w:rFonts w:ascii="Times New Roman" w:hAnsi="Times New Roman" w:cs="Times New Roman"/>
          <w:color w:val="000000" w:themeColor="text1"/>
          <w:sz w:val="24"/>
          <w:szCs w:val="24"/>
          <w:lang w:bidi="mr-IN"/>
        </w:rPr>
        <w:t xml:space="preserve"> favorably</w:t>
      </w:r>
      <w:r w:rsidR="007C3D6B" w:rsidRPr="00B839AA">
        <w:rPr>
          <w:rFonts w:ascii="Times New Roman" w:hAnsi="Times New Roman" w:cs="Times New Roman"/>
          <w:color w:val="000000" w:themeColor="text1"/>
          <w:sz w:val="24"/>
          <w:szCs w:val="24"/>
          <w:lang w:bidi="mr-IN"/>
        </w:rPr>
        <w:t xml:space="preserve"> in the</w:t>
      </w:r>
      <w:r w:rsidR="00C3369C" w:rsidRPr="00B839AA">
        <w:rPr>
          <w:rFonts w:ascii="Times New Roman" w:hAnsi="Times New Roman" w:cs="Times New Roman"/>
          <w:color w:val="000000" w:themeColor="text1"/>
          <w:sz w:val="24"/>
          <w:szCs w:val="24"/>
          <w:lang w:bidi="mr-IN"/>
        </w:rPr>
        <w:t>se</w:t>
      </w:r>
      <w:r w:rsidR="007C3D6B" w:rsidRPr="00B839AA">
        <w:rPr>
          <w:rFonts w:ascii="Times New Roman" w:hAnsi="Times New Roman" w:cs="Times New Roman"/>
          <w:color w:val="000000" w:themeColor="text1"/>
          <w:sz w:val="24"/>
          <w:szCs w:val="24"/>
          <w:lang w:bidi="mr-IN"/>
        </w:rPr>
        <w:t xml:space="preserve"> women</w:t>
      </w:r>
      <w:r w:rsidR="00710F77" w:rsidRPr="00B839AA">
        <w:rPr>
          <w:rFonts w:ascii="Times New Roman" w:hAnsi="Times New Roman" w:cs="Times New Roman"/>
          <w:color w:val="000000" w:themeColor="text1"/>
          <w:sz w:val="24"/>
          <w:szCs w:val="24"/>
          <w:lang w:bidi="mr-IN"/>
        </w:rPr>
        <w:t>.</w:t>
      </w:r>
    </w:p>
    <w:p w14:paraId="6816C288" w14:textId="292AC8E5" w:rsidR="00413867" w:rsidRPr="00175A9A" w:rsidRDefault="009C4926" w:rsidP="00330CC2">
      <w:pPr>
        <w:spacing w:line="480" w:lineRule="auto"/>
        <w:jc w:val="both"/>
        <w:outlineLvl w:val="0"/>
        <w:rPr>
          <w:rFonts w:ascii="Times New Roman" w:hAnsi="Times New Roman" w:cs="Times New Roman"/>
          <w:b/>
          <w:color w:val="000000" w:themeColor="text1"/>
          <w:sz w:val="24"/>
          <w:szCs w:val="24"/>
          <w:lang w:bidi="mr-IN"/>
        </w:rPr>
      </w:pPr>
      <w:r w:rsidRPr="00175A9A">
        <w:rPr>
          <w:rFonts w:ascii="Times New Roman" w:hAnsi="Times New Roman" w:cs="Times New Roman"/>
          <w:b/>
          <w:color w:val="000000" w:themeColor="text1"/>
          <w:sz w:val="24"/>
          <w:szCs w:val="24"/>
          <w:lang w:bidi="mr-IN"/>
        </w:rPr>
        <w:t xml:space="preserve">Materials and </w:t>
      </w:r>
      <w:r w:rsidR="00413867" w:rsidRPr="00175A9A">
        <w:rPr>
          <w:rFonts w:ascii="Times New Roman" w:hAnsi="Times New Roman" w:cs="Times New Roman"/>
          <w:b/>
          <w:color w:val="000000" w:themeColor="text1"/>
          <w:sz w:val="24"/>
          <w:szCs w:val="24"/>
          <w:lang w:bidi="mr-IN"/>
        </w:rPr>
        <w:t>Methods</w:t>
      </w:r>
    </w:p>
    <w:p w14:paraId="5FFC9972" w14:textId="6E3E2568" w:rsidR="00772BBE" w:rsidRDefault="002D59CC" w:rsidP="003F3D2A">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Before </w:t>
      </w:r>
      <w:r w:rsidR="009C778E" w:rsidRPr="00175A9A">
        <w:rPr>
          <w:rFonts w:ascii="Times New Roman" w:hAnsi="Times New Roman" w:cs="Times New Roman"/>
          <w:color w:val="000000" w:themeColor="text1"/>
          <w:sz w:val="24"/>
          <w:szCs w:val="24"/>
          <w:lang w:bidi="mr-IN"/>
        </w:rPr>
        <w:t>starting</w:t>
      </w:r>
      <w:r w:rsidRPr="00175A9A">
        <w:rPr>
          <w:rFonts w:ascii="Times New Roman" w:hAnsi="Times New Roman" w:cs="Times New Roman"/>
          <w:color w:val="000000" w:themeColor="text1"/>
          <w:sz w:val="24"/>
          <w:szCs w:val="24"/>
          <w:lang w:bidi="mr-IN"/>
        </w:rPr>
        <w:t xml:space="preserve"> the </w:t>
      </w:r>
      <w:r w:rsidR="001A188C" w:rsidRPr="00175A9A">
        <w:rPr>
          <w:rFonts w:ascii="Times New Roman" w:hAnsi="Times New Roman" w:cs="Times New Roman"/>
          <w:color w:val="000000" w:themeColor="text1"/>
          <w:sz w:val="24"/>
          <w:szCs w:val="24"/>
          <w:lang w:bidi="mr-IN"/>
        </w:rPr>
        <w:t xml:space="preserve">PRIYA </w:t>
      </w:r>
      <w:r w:rsidRPr="00175A9A">
        <w:rPr>
          <w:rFonts w:ascii="Times New Roman" w:hAnsi="Times New Roman" w:cs="Times New Roman"/>
          <w:color w:val="000000" w:themeColor="text1"/>
          <w:sz w:val="24"/>
          <w:szCs w:val="24"/>
          <w:lang w:bidi="mr-IN"/>
        </w:rPr>
        <w:t>trial</w:t>
      </w:r>
      <w:r w:rsidR="009C778E" w:rsidRPr="00175A9A">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 </w:t>
      </w:r>
      <w:r w:rsidR="009C778E" w:rsidRPr="00175A9A">
        <w:rPr>
          <w:rFonts w:ascii="Times New Roman" w:hAnsi="Times New Roman" w:cs="Times New Roman"/>
          <w:color w:val="000000" w:themeColor="text1"/>
          <w:sz w:val="24"/>
          <w:szCs w:val="24"/>
          <w:lang w:bidi="mr-IN"/>
        </w:rPr>
        <w:t xml:space="preserve">we measured plasma B-12 concentrations in </w:t>
      </w:r>
      <w:r w:rsidRPr="00175A9A">
        <w:rPr>
          <w:rFonts w:ascii="Times New Roman" w:hAnsi="Times New Roman" w:cs="Times New Roman"/>
          <w:color w:val="000000" w:themeColor="text1"/>
          <w:sz w:val="24"/>
          <w:szCs w:val="24"/>
          <w:lang w:bidi="mr-IN"/>
        </w:rPr>
        <w:t xml:space="preserve">all adolescents </w:t>
      </w:r>
      <w:r w:rsidR="009C778E" w:rsidRPr="00175A9A">
        <w:rPr>
          <w:rFonts w:ascii="Times New Roman" w:hAnsi="Times New Roman" w:cs="Times New Roman"/>
          <w:color w:val="000000" w:themeColor="text1"/>
          <w:sz w:val="24"/>
          <w:szCs w:val="24"/>
          <w:lang w:bidi="mr-IN"/>
        </w:rPr>
        <w:t>in</w:t>
      </w:r>
      <w:r w:rsidRPr="00175A9A">
        <w:rPr>
          <w:rFonts w:ascii="Times New Roman" w:hAnsi="Times New Roman" w:cs="Times New Roman"/>
          <w:color w:val="000000" w:themeColor="text1"/>
          <w:sz w:val="24"/>
          <w:szCs w:val="24"/>
          <w:lang w:bidi="mr-IN"/>
        </w:rPr>
        <w:t xml:space="preserve"> the</w:t>
      </w:r>
      <w:r w:rsidR="00032025" w:rsidRPr="00175A9A">
        <w:rPr>
          <w:rFonts w:ascii="Times New Roman" w:hAnsi="Times New Roman" w:cs="Times New Roman"/>
          <w:color w:val="000000" w:themeColor="text1"/>
          <w:sz w:val="24"/>
          <w:szCs w:val="24"/>
          <w:lang w:bidi="mr-IN"/>
        </w:rPr>
        <w:t xml:space="preserve"> Pune Maternal Nutrition Study</w:t>
      </w:r>
      <w:r w:rsidR="001A188C" w:rsidRPr="00175A9A">
        <w:rPr>
          <w:rFonts w:ascii="Times New Roman" w:hAnsi="Times New Roman" w:cs="Times New Roman"/>
          <w:color w:val="000000" w:themeColor="text1"/>
          <w:sz w:val="24"/>
          <w:szCs w:val="24"/>
          <w:lang w:bidi="mr-IN"/>
        </w:rPr>
        <w:t xml:space="preserve"> </w:t>
      </w:r>
      <w:r w:rsidR="00032025" w:rsidRPr="00175A9A">
        <w:rPr>
          <w:rFonts w:ascii="Times New Roman" w:hAnsi="Times New Roman" w:cs="Times New Roman"/>
          <w:color w:val="000000" w:themeColor="text1"/>
          <w:sz w:val="24"/>
          <w:szCs w:val="24"/>
          <w:lang w:bidi="mr-IN"/>
        </w:rPr>
        <w:t>(</w:t>
      </w:r>
      <w:r w:rsidR="001A188C" w:rsidRPr="00175A9A">
        <w:rPr>
          <w:rFonts w:ascii="Times New Roman" w:hAnsi="Times New Roman" w:cs="Times New Roman"/>
          <w:color w:val="000000" w:themeColor="text1"/>
          <w:sz w:val="24"/>
          <w:szCs w:val="24"/>
          <w:lang w:bidi="mr-IN"/>
        </w:rPr>
        <w:t>PMNS</w:t>
      </w:r>
      <w:r w:rsidR="00032025" w:rsidRPr="00175A9A">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 cohort. </w:t>
      </w:r>
      <w:r w:rsidR="00A36189" w:rsidRPr="00175A9A">
        <w:rPr>
          <w:rFonts w:ascii="Times New Roman" w:hAnsi="Times New Roman" w:cs="Times New Roman"/>
          <w:color w:val="000000" w:themeColor="text1"/>
          <w:sz w:val="24"/>
          <w:szCs w:val="24"/>
          <w:lang w:bidi="mr-IN"/>
        </w:rPr>
        <w:t xml:space="preserve">We decided to exclude those </w:t>
      </w:r>
      <w:r w:rsidR="00B70DB0" w:rsidRPr="00175A9A">
        <w:rPr>
          <w:rFonts w:ascii="Times New Roman" w:hAnsi="Times New Roman" w:cs="Times New Roman"/>
          <w:color w:val="000000" w:themeColor="text1"/>
          <w:sz w:val="24"/>
          <w:szCs w:val="24"/>
          <w:lang w:bidi="mr-IN"/>
        </w:rPr>
        <w:t xml:space="preserve">with B-12 concentrations </w:t>
      </w:r>
      <w:r w:rsidR="00A36189" w:rsidRPr="00175A9A">
        <w:rPr>
          <w:rFonts w:ascii="Times New Roman" w:hAnsi="Times New Roman" w:cs="Times New Roman"/>
          <w:color w:val="000000" w:themeColor="text1"/>
          <w:sz w:val="24"/>
          <w:szCs w:val="24"/>
          <w:lang w:bidi="mr-IN"/>
        </w:rPr>
        <w:t>below 100</w:t>
      </w:r>
      <w:r w:rsidR="00FF3533" w:rsidRPr="00175A9A">
        <w:rPr>
          <w:rFonts w:ascii="Times New Roman" w:hAnsi="Times New Roman" w:cs="Times New Roman"/>
          <w:color w:val="000000" w:themeColor="text1"/>
          <w:sz w:val="24"/>
          <w:szCs w:val="24"/>
          <w:lang w:bidi="mr-IN"/>
        </w:rPr>
        <w:t xml:space="preserve"> </w:t>
      </w:r>
      <w:r w:rsidR="00A36189" w:rsidRPr="00175A9A">
        <w:rPr>
          <w:rFonts w:ascii="Times New Roman" w:hAnsi="Times New Roman" w:cs="Times New Roman"/>
          <w:color w:val="000000" w:themeColor="text1"/>
          <w:sz w:val="24"/>
          <w:szCs w:val="24"/>
          <w:lang w:bidi="mr-IN"/>
        </w:rPr>
        <w:t>p</w:t>
      </w:r>
      <w:r w:rsidR="00B129ED" w:rsidRPr="00175A9A">
        <w:rPr>
          <w:rFonts w:ascii="Times New Roman" w:hAnsi="Times New Roman" w:cs="Times New Roman"/>
          <w:color w:val="000000" w:themeColor="text1"/>
          <w:sz w:val="24"/>
          <w:szCs w:val="24"/>
          <w:lang w:bidi="mr-IN"/>
        </w:rPr>
        <w:t>mol/L</w:t>
      </w:r>
      <w:r w:rsidR="00061872" w:rsidRPr="00175A9A">
        <w:rPr>
          <w:rFonts w:ascii="Times New Roman" w:hAnsi="Times New Roman" w:cs="Times New Roman"/>
          <w:color w:val="000000" w:themeColor="text1"/>
          <w:sz w:val="24"/>
          <w:szCs w:val="24"/>
          <w:lang w:bidi="mr-IN"/>
        </w:rPr>
        <w:t xml:space="preserve"> (15</w:t>
      </w:r>
      <w:r w:rsidR="00061872" w:rsidRPr="00582415">
        <w:rPr>
          <w:rFonts w:ascii="Times New Roman" w:hAnsi="Times New Roman" w:cs="Times New Roman"/>
          <w:color w:val="000000" w:themeColor="text1"/>
          <w:sz w:val="24"/>
          <w:szCs w:val="24"/>
          <w:lang w:bidi="mr-IN"/>
        </w:rPr>
        <w:t>th</w:t>
      </w:r>
      <w:r w:rsidR="00061872" w:rsidRPr="00175A9A">
        <w:rPr>
          <w:rFonts w:ascii="Times New Roman" w:hAnsi="Times New Roman" w:cs="Times New Roman"/>
          <w:color w:val="000000" w:themeColor="text1"/>
          <w:sz w:val="24"/>
          <w:szCs w:val="24"/>
          <w:lang w:bidi="mr-IN"/>
        </w:rPr>
        <w:t xml:space="preserve"> centile)</w:t>
      </w:r>
      <w:r w:rsidR="00B129ED" w:rsidRPr="00175A9A">
        <w:rPr>
          <w:rFonts w:ascii="Times New Roman" w:hAnsi="Times New Roman" w:cs="Times New Roman"/>
          <w:color w:val="000000" w:themeColor="text1"/>
          <w:sz w:val="24"/>
          <w:szCs w:val="24"/>
          <w:lang w:bidi="mr-IN"/>
        </w:rPr>
        <w:t xml:space="preserve"> from the trial</w:t>
      </w:r>
      <w:r w:rsidR="003B5D6A" w:rsidRPr="00175A9A">
        <w:rPr>
          <w:rFonts w:ascii="Times New Roman" w:hAnsi="Times New Roman" w:cs="Times New Roman"/>
          <w:color w:val="000000" w:themeColor="text1"/>
          <w:sz w:val="24"/>
          <w:szCs w:val="24"/>
          <w:lang w:bidi="mr-IN"/>
        </w:rPr>
        <w:t xml:space="preserve"> </w:t>
      </w:r>
      <w:r w:rsidR="00E16BAF" w:rsidRPr="00175A9A">
        <w:rPr>
          <w:rFonts w:ascii="Times New Roman" w:hAnsi="Times New Roman" w:cs="Times New Roman"/>
          <w:color w:val="000000" w:themeColor="text1"/>
          <w:sz w:val="24"/>
          <w:szCs w:val="24"/>
          <w:lang w:bidi="mr-IN"/>
        </w:rPr>
        <w:t xml:space="preserve">and to treat them with B-12 </w:t>
      </w:r>
      <w:r w:rsidR="003B5D6A" w:rsidRPr="00175A9A">
        <w:rPr>
          <w:rFonts w:ascii="Times New Roman" w:hAnsi="Times New Roman" w:cs="Times New Roman"/>
          <w:color w:val="000000" w:themeColor="text1"/>
          <w:sz w:val="24"/>
          <w:szCs w:val="24"/>
          <w:lang w:bidi="mr-IN"/>
        </w:rPr>
        <w:t>because it would be ethically inappropriate to randomize them in</w:t>
      </w:r>
      <w:r w:rsidR="009C778E" w:rsidRPr="00175A9A">
        <w:rPr>
          <w:rFonts w:ascii="Times New Roman" w:hAnsi="Times New Roman" w:cs="Times New Roman"/>
          <w:color w:val="000000" w:themeColor="text1"/>
          <w:sz w:val="24"/>
          <w:szCs w:val="24"/>
          <w:lang w:bidi="mr-IN"/>
        </w:rPr>
        <w:t>to</w:t>
      </w:r>
      <w:r w:rsidR="003B5D6A" w:rsidRPr="00175A9A">
        <w:rPr>
          <w:rFonts w:ascii="Times New Roman" w:hAnsi="Times New Roman" w:cs="Times New Roman"/>
          <w:color w:val="000000" w:themeColor="text1"/>
          <w:sz w:val="24"/>
          <w:szCs w:val="24"/>
          <w:lang w:bidi="mr-IN"/>
        </w:rPr>
        <w:t xml:space="preserve"> a placebo</w:t>
      </w:r>
      <w:r w:rsidR="00FF3533" w:rsidRPr="00175A9A">
        <w:rPr>
          <w:rFonts w:ascii="Times New Roman" w:hAnsi="Times New Roman" w:cs="Times New Roman"/>
          <w:color w:val="000000" w:themeColor="text1"/>
          <w:sz w:val="24"/>
          <w:szCs w:val="24"/>
          <w:lang w:bidi="mr-IN"/>
        </w:rPr>
        <w:t>-</w:t>
      </w:r>
      <w:r w:rsidR="003B5D6A" w:rsidRPr="00175A9A">
        <w:rPr>
          <w:rFonts w:ascii="Times New Roman" w:hAnsi="Times New Roman" w:cs="Times New Roman"/>
          <w:color w:val="000000" w:themeColor="text1"/>
          <w:sz w:val="24"/>
          <w:szCs w:val="24"/>
          <w:lang w:bidi="mr-IN"/>
        </w:rPr>
        <w:t>controlled trial</w:t>
      </w:r>
      <w:r w:rsidR="00AB007C" w:rsidRPr="00175A9A">
        <w:rPr>
          <w:rFonts w:ascii="Times New Roman" w:hAnsi="Times New Roman" w:cs="Times New Roman"/>
          <w:color w:val="000000" w:themeColor="text1"/>
          <w:sz w:val="24"/>
          <w:szCs w:val="24"/>
          <w:lang w:bidi="mr-IN"/>
        </w:rPr>
        <w:t xml:space="preserve">. </w:t>
      </w:r>
      <w:r w:rsidR="00C3369C" w:rsidRPr="00B839AA">
        <w:rPr>
          <w:rFonts w:ascii="Times New Roman" w:hAnsi="Times New Roman" w:cs="Times New Roman"/>
          <w:color w:val="000000" w:themeColor="text1"/>
          <w:sz w:val="24"/>
          <w:szCs w:val="24"/>
          <w:lang w:bidi="mr-IN"/>
        </w:rPr>
        <w:t xml:space="preserve">According to </w:t>
      </w:r>
      <w:r w:rsidR="006E37A6" w:rsidRPr="00B839AA">
        <w:rPr>
          <w:rFonts w:ascii="Times New Roman" w:hAnsi="Times New Roman" w:cs="Times New Roman"/>
          <w:color w:val="000000" w:themeColor="text1"/>
          <w:sz w:val="24"/>
          <w:szCs w:val="24"/>
          <w:lang w:bidi="mr-IN"/>
        </w:rPr>
        <w:t>Indian nutritional guidelines (</w:t>
      </w:r>
      <w:r w:rsidR="00612328" w:rsidRPr="00B839AA">
        <w:rPr>
          <w:rFonts w:ascii="Times New Roman" w:hAnsi="Times New Roman" w:cs="Times New Roman"/>
          <w:color w:val="000000" w:themeColor="text1"/>
          <w:sz w:val="24"/>
          <w:szCs w:val="24"/>
          <w:lang w:bidi="mr-IN"/>
        </w:rPr>
        <w:t xml:space="preserve">Indian Council of Medical Research, </w:t>
      </w:r>
      <w:r w:rsidR="006E37A6" w:rsidRPr="00B839AA">
        <w:rPr>
          <w:rFonts w:ascii="Times New Roman" w:hAnsi="Times New Roman" w:cs="Times New Roman"/>
          <w:color w:val="000000" w:themeColor="text1"/>
          <w:sz w:val="24"/>
          <w:szCs w:val="24"/>
          <w:lang w:bidi="mr-IN"/>
        </w:rPr>
        <w:t xml:space="preserve">National Institute of </w:t>
      </w:r>
      <w:r w:rsidR="00C3369C" w:rsidRPr="00B839AA">
        <w:rPr>
          <w:rFonts w:ascii="Times New Roman" w:hAnsi="Times New Roman" w:cs="Times New Roman"/>
          <w:color w:val="000000" w:themeColor="text1"/>
          <w:sz w:val="24"/>
          <w:szCs w:val="24"/>
          <w:lang w:bidi="mr-IN"/>
        </w:rPr>
        <w:t>N</w:t>
      </w:r>
      <w:r w:rsidR="00612328" w:rsidRPr="00B839AA">
        <w:rPr>
          <w:rFonts w:ascii="Times New Roman" w:hAnsi="Times New Roman" w:cs="Times New Roman"/>
          <w:color w:val="000000" w:themeColor="text1"/>
          <w:sz w:val="24"/>
          <w:szCs w:val="24"/>
          <w:lang w:bidi="mr-IN"/>
        </w:rPr>
        <w:t>utrition</w:t>
      </w:r>
      <w:r w:rsidR="006E37A6" w:rsidRPr="00B839AA">
        <w:rPr>
          <w:rFonts w:ascii="Times New Roman" w:hAnsi="Times New Roman" w:cs="Times New Roman"/>
          <w:color w:val="000000" w:themeColor="text1"/>
          <w:sz w:val="24"/>
          <w:szCs w:val="24"/>
          <w:lang w:bidi="mr-IN"/>
        </w:rPr>
        <w:t xml:space="preserve">) </w:t>
      </w:r>
      <w:r w:rsidR="00C3369C" w:rsidRPr="00B839AA">
        <w:rPr>
          <w:rFonts w:ascii="Times New Roman" w:hAnsi="Times New Roman" w:cs="Times New Roman"/>
          <w:color w:val="000000" w:themeColor="text1"/>
          <w:sz w:val="24"/>
          <w:szCs w:val="24"/>
          <w:lang w:bidi="mr-IN"/>
        </w:rPr>
        <w:t xml:space="preserve">the recommended daily dietary intake of B-12 is </w:t>
      </w:r>
      <w:r w:rsidR="006E37A6" w:rsidRPr="00B839AA">
        <w:rPr>
          <w:rFonts w:ascii="Times New Roman" w:hAnsi="Times New Roman" w:cs="Times New Roman"/>
          <w:color w:val="000000" w:themeColor="text1"/>
          <w:sz w:val="24"/>
          <w:szCs w:val="24"/>
          <w:lang w:bidi="mr-IN"/>
        </w:rPr>
        <w:t>1</w:t>
      </w:r>
      <w:r w:rsidR="00E6248B" w:rsidRPr="00B839AA">
        <w:rPr>
          <w:rFonts w:ascii="Times New Roman" w:hAnsi="Times New Roman" w:cs="Times New Roman"/>
          <w:color w:val="000000" w:themeColor="text1"/>
          <w:sz w:val="24"/>
          <w:szCs w:val="24"/>
          <w:lang w:bidi="mr-IN"/>
        </w:rPr>
        <w:t xml:space="preserve"> µ</w:t>
      </w:r>
      <w:r w:rsidR="006E37A6" w:rsidRPr="00B839AA">
        <w:rPr>
          <w:rFonts w:ascii="Times New Roman" w:hAnsi="Times New Roman" w:cs="Times New Roman"/>
          <w:color w:val="000000" w:themeColor="text1"/>
          <w:sz w:val="24"/>
          <w:szCs w:val="24"/>
          <w:lang w:bidi="mr-IN"/>
        </w:rPr>
        <w:t>g/day</w:t>
      </w:r>
      <w:r w:rsidR="00BB19B2" w:rsidRPr="00B839AA">
        <w:rPr>
          <w:rFonts w:ascii="Times New Roman" w:hAnsi="Times New Roman" w:cs="Times New Roman"/>
          <w:color w:val="000000" w:themeColor="text1"/>
          <w:sz w:val="24"/>
          <w:szCs w:val="24"/>
          <w:lang w:bidi="mr-IN"/>
        </w:rPr>
        <w:fldChar w:fldCharType="begin"/>
      </w:r>
      <w:r w:rsidR="003150A3" w:rsidRPr="00B839AA">
        <w:rPr>
          <w:rFonts w:ascii="Times New Roman" w:hAnsi="Times New Roman" w:cs="Times New Roman"/>
          <w:color w:val="000000" w:themeColor="text1"/>
          <w:sz w:val="24"/>
          <w:szCs w:val="24"/>
          <w:lang w:bidi="mr-IN"/>
        </w:rPr>
        <w:instrText xml:space="preserve"> ADDIN ZOTERO_ITEM CSL_CITATION {"citationID":"53Cmnqwj","properties":{"formattedCitation":"[17]","plainCitation":"[17]","noteIndex":0},"citationItems":[{"id":2038,"uris":["http://zotero.org/users/4091385/items/3XY36VW3"],"uri":["http://zotero.org/users/4091385/items/3XY36VW3"],"itemData":{"id":2038,"type":"article-journal","title":"Dietary guidelines for Indians","container-title":"Nat Inst Nutrition, Second edition. Hyderabad, India","page":"89–117","author":[{"family":"","given":"Indian Council of Medical Research"}],"issued":{"date-parts":[["2011"]]}}}],"schema":"https://github.com/citation-style-language/schema/raw/master/csl-citation.json"} </w:instrText>
      </w:r>
      <w:r w:rsidR="00BB19B2" w:rsidRPr="00B839AA">
        <w:rPr>
          <w:rFonts w:ascii="Times New Roman" w:hAnsi="Times New Roman" w:cs="Times New Roman"/>
          <w:color w:val="000000" w:themeColor="text1"/>
          <w:sz w:val="24"/>
          <w:szCs w:val="24"/>
          <w:lang w:bidi="mr-IN"/>
        </w:rPr>
        <w:fldChar w:fldCharType="separate"/>
      </w:r>
      <w:r w:rsidR="00672CC9" w:rsidRPr="00B839AA">
        <w:rPr>
          <w:rFonts w:ascii="Times New Roman" w:hAnsi="Times New Roman" w:cs="Times New Roman"/>
          <w:color w:val="000000" w:themeColor="text1"/>
          <w:sz w:val="24"/>
          <w:szCs w:val="24"/>
          <w:lang w:bidi="mr-IN"/>
        </w:rPr>
        <w:t>[17]</w:t>
      </w:r>
      <w:r w:rsidR="00BB19B2" w:rsidRPr="00B839AA">
        <w:rPr>
          <w:rFonts w:ascii="Times New Roman" w:hAnsi="Times New Roman" w:cs="Times New Roman"/>
          <w:color w:val="000000" w:themeColor="text1"/>
          <w:sz w:val="24"/>
          <w:szCs w:val="24"/>
          <w:lang w:bidi="mr-IN"/>
        </w:rPr>
        <w:fldChar w:fldCharType="end"/>
      </w:r>
      <w:r w:rsidR="006E37A6" w:rsidRPr="00B839AA">
        <w:rPr>
          <w:rFonts w:ascii="Times New Roman" w:hAnsi="Times New Roman" w:cs="Times New Roman"/>
          <w:color w:val="000000" w:themeColor="text1"/>
          <w:sz w:val="24"/>
          <w:szCs w:val="24"/>
          <w:lang w:bidi="mr-IN"/>
        </w:rPr>
        <w:t>.</w:t>
      </w:r>
      <w:r w:rsidR="00434703">
        <w:rPr>
          <w:rFonts w:ascii="Times New Roman" w:hAnsi="Times New Roman" w:cs="Times New Roman"/>
          <w:color w:val="000000" w:themeColor="text1"/>
          <w:sz w:val="24"/>
          <w:szCs w:val="24"/>
          <w:lang w:bidi="mr-IN"/>
        </w:rPr>
        <w:t xml:space="preserve"> </w:t>
      </w:r>
      <w:r w:rsidR="00434703" w:rsidRPr="00582415">
        <w:rPr>
          <w:rFonts w:ascii="Times New Roman" w:hAnsi="Times New Roman" w:cs="Times New Roman"/>
          <w:color w:val="000000" w:themeColor="text1"/>
          <w:sz w:val="24"/>
          <w:szCs w:val="24"/>
          <w:lang w:bidi="mr-IN"/>
        </w:rPr>
        <w:t xml:space="preserve">This study was approved by the Institutional Ethics Committee of KEM Hospital Research </w:t>
      </w:r>
      <w:r w:rsidR="00434703" w:rsidRPr="00582415">
        <w:rPr>
          <w:rFonts w:ascii="Times New Roman" w:hAnsi="Times New Roman" w:cs="Times New Roman"/>
          <w:color w:val="000000" w:themeColor="text1"/>
          <w:sz w:val="24"/>
          <w:szCs w:val="24"/>
          <w:lang w:bidi="mr-IN"/>
        </w:rPr>
        <w:lastRenderedPageBreak/>
        <w:t>Center, Pune. Approval No. 1112A(i)</w:t>
      </w:r>
      <w:r w:rsidR="00582415">
        <w:rPr>
          <w:rFonts w:ascii="Times New Roman" w:hAnsi="Times New Roman" w:cs="Times New Roman"/>
          <w:color w:val="000000" w:themeColor="text1"/>
          <w:sz w:val="24"/>
          <w:szCs w:val="24"/>
          <w:lang w:bidi="mr-IN"/>
        </w:rPr>
        <w:t>.</w:t>
      </w:r>
      <w:r w:rsidR="003F3D2A">
        <w:rPr>
          <w:rFonts w:ascii="Times New Roman" w:hAnsi="Times New Roman" w:cs="Times New Roman"/>
          <w:color w:val="000000" w:themeColor="text1"/>
          <w:sz w:val="24"/>
          <w:szCs w:val="24"/>
          <w:lang w:bidi="mr-IN"/>
        </w:rPr>
        <w:t xml:space="preserve"> </w:t>
      </w:r>
      <w:r w:rsidR="003478BF" w:rsidRPr="00175A9A">
        <w:rPr>
          <w:rFonts w:ascii="Times New Roman" w:hAnsi="Times New Roman" w:cs="Times New Roman"/>
          <w:color w:val="000000" w:themeColor="text1"/>
          <w:sz w:val="24"/>
          <w:szCs w:val="24"/>
          <w:lang w:bidi="mr-IN"/>
        </w:rPr>
        <w:t>The ethics committee of the KEM Hospital Research Centre approved a treatment dose of 2 µg B-12 on the basis of o</w:t>
      </w:r>
      <w:r w:rsidR="00AB007C" w:rsidRPr="00175A9A">
        <w:rPr>
          <w:rFonts w:ascii="Times New Roman" w:hAnsi="Times New Roman" w:cs="Times New Roman"/>
          <w:color w:val="000000" w:themeColor="text1"/>
          <w:sz w:val="24"/>
          <w:szCs w:val="24"/>
          <w:lang w:bidi="mr-IN"/>
        </w:rPr>
        <w:t xml:space="preserve">ur previous demonstration </w:t>
      </w:r>
      <w:r w:rsidR="003478BF" w:rsidRPr="00175A9A">
        <w:rPr>
          <w:rFonts w:ascii="Times New Roman" w:hAnsi="Times New Roman" w:cs="Times New Roman"/>
          <w:color w:val="000000" w:themeColor="text1"/>
          <w:sz w:val="24"/>
          <w:szCs w:val="24"/>
          <w:lang w:bidi="mr-IN"/>
        </w:rPr>
        <w:t xml:space="preserve">that this dose was </w:t>
      </w:r>
      <w:r w:rsidR="005E78D5" w:rsidRPr="00175A9A">
        <w:rPr>
          <w:rFonts w:ascii="Times New Roman" w:hAnsi="Times New Roman" w:cs="Times New Roman"/>
          <w:color w:val="000000" w:themeColor="text1"/>
          <w:sz w:val="24"/>
          <w:szCs w:val="24"/>
          <w:lang w:bidi="mr-IN"/>
        </w:rPr>
        <w:t xml:space="preserve">adequately absorbed by the majority in this population, and that it was also </w:t>
      </w:r>
      <w:r w:rsidR="003478BF" w:rsidRPr="00175A9A">
        <w:rPr>
          <w:rFonts w:ascii="Times New Roman" w:hAnsi="Times New Roman" w:cs="Times New Roman"/>
          <w:color w:val="000000" w:themeColor="text1"/>
          <w:sz w:val="24"/>
          <w:szCs w:val="24"/>
          <w:lang w:bidi="mr-IN"/>
        </w:rPr>
        <w:t>eff</w:t>
      </w:r>
      <w:r w:rsidR="00DB055E" w:rsidRPr="00175A9A">
        <w:rPr>
          <w:rFonts w:ascii="Times New Roman" w:hAnsi="Times New Roman" w:cs="Times New Roman"/>
          <w:color w:val="000000" w:themeColor="text1"/>
          <w:sz w:val="24"/>
          <w:szCs w:val="24"/>
          <w:lang w:bidi="mr-IN"/>
        </w:rPr>
        <w:t>icac</w:t>
      </w:r>
      <w:r w:rsidR="00E42107" w:rsidRPr="00175A9A">
        <w:rPr>
          <w:rFonts w:ascii="Times New Roman" w:hAnsi="Times New Roman" w:cs="Times New Roman"/>
          <w:color w:val="000000" w:themeColor="text1"/>
          <w:sz w:val="24"/>
          <w:szCs w:val="24"/>
          <w:lang w:bidi="mr-IN"/>
        </w:rPr>
        <w:t xml:space="preserve">ious </w:t>
      </w:r>
      <w:r w:rsidR="003478BF" w:rsidRPr="00175A9A">
        <w:rPr>
          <w:rFonts w:ascii="Times New Roman" w:hAnsi="Times New Roman" w:cs="Times New Roman"/>
          <w:color w:val="000000" w:themeColor="text1"/>
          <w:sz w:val="24"/>
          <w:szCs w:val="24"/>
          <w:lang w:bidi="mr-IN"/>
        </w:rPr>
        <w:t xml:space="preserve">in improving B-12 status in </w:t>
      </w:r>
      <w:r w:rsidR="005E78D5" w:rsidRPr="00175A9A">
        <w:rPr>
          <w:rFonts w:ascii="Times New Roman" w:hAnsi="Times New Roman" w:cs="Times New Roman"/>
          <w:color w:val="000000" w:themeColor="text1"/>
          <w:sz w:val="24"/>
          <w:szCs w:val="24"/>
          <w:lang w:bidi="mr-IN"/>
        </w:rPr>
        <w:t xml:space="preserve">a </w:t>
      </w:r>
      <w:r w:rsidR="003478BF" w:rsidRPr="00175A9A">
        <w:rPr>
          <w:rFonts w:ascii="Times New Roman" w:hAnsi="Times New Roman" w:cs="Times New Roman"/>
          <w:color w:val="000000" w:themeColor="text1"/>
          <w:sz w:val="24"/>
          <w:szCs w:val="24"/>
          <w:lang w:bidi="mr-IN"/>
        </w:rPr>
        <w:t>one year pilot trial</w:t>
      </w:r>
      <w:r w:rsidR="00E12B3C">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TZ5SW8mW","properties":{"formattedCitation":"[18]","plainCitation":"[18]","noteIndex":0},"citationItems":[{"id":1373,"uris":["http://zotero.org/users/4091385/items/2JBQQT9U"],"uri":["http://zotero.org/users/4091385/items/2JBQQT9U"],"itemData":{"id":1373,"type":"article-journal","title":"Effect of physiological doses of oral vitamin B12 on plasma homocysteine: a randomized, placebo-controlled, double-blind trial in India","container-title":"European Journal of Clinical Nutrition","page":"495-502","volume":"64","issue":"5","source":"PubMed","abstract":"BACKGROUND/OBJECTIVES: Vitamin B(12) (B(12)) deficiency is common in Indians and a major contributor to hyperhomocysteinemia, which may influence fetal growth, risk of type II diabetes and cardiovascular disease. The purpose of this paper was to study the effect of physiological doses of B(12) and folic acid on plasma total homocysteine (tHcy) concentration.\nSUBJECTS/METHODS: A cluster randomized, placebo-controlled, double-blind, 2 x 3 factorial trial, using the family as the randomization unit. B(12) was given as 2 or 10 microg capsules, with or without 200 microg folic acid, forming six groups (B(0)F(0), B(2)F(0), B(10)F(0), B(0)F(200), B(2)F(200) and B(10)F(200)). Plasma tHcy concentration was measured before and after 4 and 12 months of supplementation.\nRESULTS: From 119 families in the Pune Maternal Nutrition Study, 300 individuals were randomized. There was no interaction between B(12) and folic acid (P=0.14) in relation to tHcy concentration change and their effects were analyzed separately: B(0) vs. B(2) vs. B(10); and F(0) vs. F(200). At 12 months, tHcy concentration reduced by a mean 5.9 (95% CI: -7.8, -4.1) micromol/l in B(2), and by 7.1 (95% CI: -8.9, -5.4) micromol/l in B(10), compared to nonsignificant rise of 1.2 (95% CI: -0.5, 2.9) micromol/l in B(0). B(2) and B(10) did not differ significantly. In F(200), tHcy concentration decreased by 4.8 (95% CI: -6.3, -3.3) micromol/l compared to 2.8 (95% CI: -4.3, -1.2) micromol/l in F(0).\nCONCLUSION: Daily oral supplementation with physiological doses of B(12) is an effective community intervention to reduce tHcy. Folic acid (200 microg per day) showed no additional benefit, neither had any unfavorable effects.","DOI":"10.1038/ejcn.2010.15","ISSN":"1476-5640","note":"PMID: 20216560\nPMCID: PMC2865445","title-short":"Effect of physiological doses of oral vitamin B12 on plasma homocysteine","journalAbbreviation":"Eur J Clin Nutr","language":"eng","author":[{"family":"Deshmukh","given":"U. S."},{"family":"Joglekar","given":"C. V."},{"family":"Lubree","given":"H. G."},{"family":"Ramdas","given":"L. V."},{"family":"Bhat","given":"D. S."},{"family":"Naik","given":"S. S."},{"family":"Hardikar","given":"P. S."},{"family":"Raut","given":"D. A."},{"family":"Konde","given":"T. B."},{"family":"Wills","given":"A. K."},{"family":"Jackson","given":"A. A."},{"family":"Refsum","given":"H."},{"family":"Nanivadekar","given":"A. S."},{"family":"Fall","given":"C. H."},{"family":"Yajnik","given":"C. S."}],"issued":{"date-parts":[["2010",5]]}}}],"schema":"https://github.com/citation-style-language/schema/raw/master/csl-citation.json"} </w:instrText>
      </w:r>
      <w:r w:rsidR="00E12B3C">
        <w:rPr>
          <w:rFonts w:ascii="Times New Roman" w:hAnsi="Times New Roman" w:cs="Times New Roman"/>
          <w:color w:val="000000" w:themeColor="text1"/>
          <w:sz w:val="24"/>
          <w:szCs w:val="24"/>
          <w:lang w:bidi="mr-IN"/>
        </w:rPr>
        <w:fldChar w:fldCharType="separate"/>
      </w:r>
      <w:r w:rsidR="00BB19B2">
        <w:rPr>
          <w:rFonts w:ascii="Times New Roman" w:hAnsi="Times New Roman" w:cs="Times New Roman"/>
          <w:noProof/>
          <w:color w:val="000000" w:themeColor="text1"/>
          <w:sz w:val="24"/>
          <w:szCs w:val="24"/>
          <w:lang w:bidi="mr-IN"/>
        </w:rPr>
        <w:t>[18]</w:t>
      </w:r>
      <w:r w:rsidR="00E12B3C">
        <w:rPr>
          <w:rFonts w:ascii="Times New Roman" w:hAnsi="Times New Roman" w:cs="Times New Roman"/>
          <w:color w:val="000000" w:themeColor="text1"/>
          <w:sz w:val="24"/>
          <w:szCs w:val="24"/>
          <w:lang w:bidi="mr-IN"/>
        </w:rPr>
        <w:fldChar w:fldCharType="end"/>
      </w:r>
      <w:r w:rsidR="00772BBE" w:rsidRPr="00175A9A">
        <w:rPr>
          <w:rFonts w:ascii="Times New Roman" w:hAnsi="Times New Roman" w:cs="Times New Roman"/>
          <w:color w:val="000000" w:themeColor="text1"/>
          <w:sz w:val="24"/>
          <w:szCs w:val="24"/>
          <w:lang w:bidi="mr-IN"/>
        </w:rPr>
        <w:t xml:space="preserve">. </w:t>
      </w:r>
      <w:r w:rsidR="003B5D6A" w:rsidRPr="00175A9A">
        <w:rPr>
          <w:rFonts w:ascii="Times New Roman" w:hAnsi="Times New Roman" w:cs="Times New Roman"/>
          <w:color w:val="000000" w:themeColor="text1"/>
          <w:sz w:val="24"/>
          <w:szCs w:val="24"/>
          <w:lang w:bidi="mr-IN"/>
        </w:rPr>
        <w:t xml:space="preserve">Informed consent was obtained from the parents and </w:t>
      </w:r>
      <w:r w:rsidR="001C08E1" w:rsidRPr="00175A9A">
        <w:rPr>
          <w:rFonts w:ascii="Times New Roman" w:hAnsi="Times New Roman" w:cs="Times New Roman"/>
          <w:color w:val="000000" w:themeColor="text1"/>
          <w:sz w:val="24"/>
          <w:szCs w:val="24"/>
          <w:lang w:bidi="mr-IN"/>
        </w:rPr>
        <w:t xml:space="preserve">assent from </w:t>
      </w:r>
      <w:r w:rsidR="003B5D6A" w:rsidRPr="00175A9A">
        <w:rPr>
          <w:rFonts w:ascii="Times New Roman" w:hAnsi="Times New Roman" w:cs="Times New Roman"/>
          <w:color w:val="000000" w:themeColor="text1"/>
          <w:sz w:val="24"/>
          <w:szCs w:val="24"/>
          <w:lang w:bidi="mr-IN"/>
        </w:rPr>
        <w:t>t</w:t>
      </w:r>
      <w:r w:rsidR="003279FF" w:rsidRPr="00175A9A">
        <w:rPr>
          <w:rFonts w:ascii="Times New Roman" w:hAnsi="Times New Roman" w:cs="Times New Roman"/>
          <w:color w:val="000000" w:themeColor="text1"/>
          <w:sz w:val="24"/>
          <w:szCs w:val="24"/>
          <w:lang w:bidi="mr-IN"/>
        </w:rPr>
        <w:t>he participants</w:t>
      </w:r>
      <w:r w:rsidR="001C08E1" w:rsidRPr="00175A9A">
        <w:rPr>
          <w:rFonts w:ascii="Times New Roman" w:hAnsi="Times New Roman" w:cs="Times New Roman"/>
          <w:color w:val="000000" w:themeColor="text1"/>
          <w:sz w:val="24"/>
          <w:szCs w:val="24"/>
          <w:lang w:bidi="mr-IN"/>
        </w:rPr>
        <w:t xml:space="preserve"> who </w:t>
      </w:r>
      <w:r w:rsidR="005E78D5" w:rsidRPr="00175A9A">
        <w:rPr>
          <w:rFonts w:ascii="Times New Roman" w:hAnsi="Times New Roman" w:cs="Times New Roman"/>
          <w:color w:val="000000" w:themeColor="text1"/>
          <w:sz w:val="24"/>
          <w:szCs w:val="24"/>
          <w:lang w:bidi="mr-IN"/>
        </w:rPr>
        <w:t>were younger than 18 years of age</w:t>
      </w:r>
      <w:r w:rsidR="003279FF" w:rsidRPr="00175A9A">
        <w:rPr>
          <w:rFonts w:ascii="Times New Roman" w:hAnsi="Times New Roman" w:cs="Times New Roman"/>
          <w:color w:val="000000" w:themeColor="text1"/>
          <w:sz w:val="24"/>
          <w:szCs w:val="24"/>
          <w:lang w:bidi="mr-IN"/>
        </w:rPr>
        <w:t>.</w:t>
      </w:r>
      <w:r w:rsidR="00772BBE" w:rsidRPr="00175A9A">
        <w:rPr>
          <w:rFonts w:ascii="Times New Roman" w:hAnsi="Times New Roman" w:cs="Times New Roman"/>
          <w:color w:val="000000" w:themeColor="text1"/>
          <w:sz w:val="24"/>
          <w:szCs w:val="24"/>
          <w:lang w:bidi="mr-IN"/>
        </w:rPr>
        <w:t xml:space="preserve"> </w:t>
      </w:r>
      <w:r w:rsidR="00FD2206" w:rsidRPr="00B839AA">
        <w:rPr>
          <w:rFonts w:ascii="Times New Roman" w:hAnsi="Times New Roman" w:cs="Times New Roman"/>
          <w:color w:val="000000" w:themeColor="text1"/>
          <w:sz w:val="24"/>
          <w:szCs w:val="24"/>
          <w:lang w:bidi="mr-IN"/>
        </w:rPr>
        <w:t>The study was carried out in 20</w:t>
      </w:r>
      <w:r w:rsidR="00F66BA9" w:rsidRPr="00B839AA">
        <w:rPr>
          <w:rFonts w:ascii="Times New Roman" w:hAnsi="Times New Roman" w:cs="Times New Roman"/>
          <w:color w:val="000000" w:themeColor="text1"/>
          <w:sz w:val="24"/>
          <w:szCs w:val="24"/>
          <w:lang w:bidi="mr-IN"/>
        </w:rPr>
        <w:t>12</w:t>
      </w:r>
      <w:r w:rsidR="00FD2206" w:rsidRPr="00B839AA">
        <w:rPr>
          <w:rFonts w:ascii="Times New Roman" w:hAnsi="Times New Roman" w:cs="Times New Roman"/>
          <w:color w:val="000000" w:themeColor="text1"/>
          <w:sz w:val="24"/>
          <w:szCs w:val="24"/>
          <w:lang w:bidi="mr-IN"/>
        </w:rPr>
        <w:t>-20</w:t>
      </w:r>
      <w:r w:rsidR="00F66BA9" w:rsidRPr="00B839AA">
        <w:rPr>
          <w:rFonts w:ascii="Times New Roman" w:hAnsi="Times New Roman" w:cs="Times New Roman"/>
          <w:color w:val="000000" w:themeColor="text1"/>
          <w:sz w:val="24"/>
          <w:szCs w:val="24"/>
          <w:lang w:bidi="mr-IN"/>
        </w:rPr>
        <w:t>14</w:t>
      </w:r>
      <w:r w:rsidR="00FD2206" w:rsidRPr="00B839AA">
        <w:rPr>
          <w:rFonts w:ascii="Times New Roman" w:hAnsi="Times New Roman" w:cs="Times New Roman"/>
          <w:color w:val="000000" w:themeColor="text1"/>
          <w:sz w:val="24"/>
          <w:szCs w:val="24"/>
          <w:lang w:bidi="mr-IN"/>
        </w:rPr>
        <w:t>.</w:t>
      </w:r>
    </w:p>
    <w:p w14:paraId="35BEE97E" w14:textId="2E6D0DFF" w:rsidR="00F7425E" w:rsidRPr="00175A9A" w:rsidRDefault="00914CC0" w:rsidP="00330CC2">
      <w:pPr>
        <w:widowControl w:val="0"/>
        <w:autoSpaceDE w:val="0"/>
        <w:autoSpaceDN w:val="0"/>
        <w:adjustRightInd w:val="0"/>
        <w:spacing w:after="240" w:line="480" w:lineRule="auto"/>
        <w:jc w:val="both"/>
        <w:rPr>
          <w:rFonts w:ascii="Times New Roman" w:hAnsi="Times New Roman" w:cs="Times New Roman"/>
          <w:color w:val="000000" w:themeColor="text1"/>
          <w:sz w:val="24"/>
          <w:szCs w:val="24"/>
          <w:lang w:bidi="mr-IN"/>
        </w:rPr>
      </w:pPr>
      <w:r w:rsidRPr="00B839AA">
        <w:rPr>
          <w:rFonts w:ascii="Times New Roman" w:hAnsi="Times New Roman" w:cs="Times New Roman"/>
          <w:color w:val="000000" w:themeColor="text1"/>
          <w:sz w:val="24"/>
          <w:szCs w:val="24"/>
          <w:lang w:bidi="mr-IN"/>
        </w:rPr>
        <w:t xml:space="preserve">Participants </w:t>
      </w:r>
      <w:r w:rsidR="00F7425E" w:rsidRPr="00B839AA">
        <w:rPr>
          <w:rFonts w:ascii="Times New Roman" w:hAnsi="Times New Roman" w:cs="Times New Roman"/>
          <w:color w:val="000000" w:themeColor="text1"/>
          <w:sz w:val="24"/>
          <w:szCs w:val="24"/>
          <w:lang w:bidi="mr-IN"/>
        </w:rPr>
        <w:t xml:space="preserve">were allocated to receive either (a) vitamin B-12 only </w:t>
      </w:r>
      <w:r w:rsidR="00F76A2F" w:rsidRPr="00B839AA">
        <w:rPr>
          <w:rFonts w:ascii="Times New Roman" w:hAnsi="Times New Roman" w:cs="Times New Roman"/>
          <w:color w:val="000000" w:themeColor="text1"/>
          <w:sz w:val="24"/>
          <w:szCs w:val="24"/>
          <w:lang w:bidi="mr-IN"/>
        </w:rPr>
        <w:t xml:space="preserve">(cyanocobalamin 2μg/day) </w:t>
      </w:r>
      <w:r w:rsidR="007D5130" w:rsidRPr="00B839AA">
        <w:rPr>
          <w:rFonts w:ascii="Times New Roman" w:hAnsi="Times New Roman" w:cs="Times New Roman"/>
          <w:color w:val="000000" w:themeColor="text1"/>
          <w:sz w:val="24"/>
          <w:szCs w:val="24"/>
          <w:lang w:bidi="mr-IN"/>
        </w:rPr>
        <w:t xml:space="preserve"> </w:t>
      </w:r>
      <w:r w:rsidR="00F7425E" w:rsidRPr="00B839AA">
        <w:rPr>
          <w:rFonts w:ascii="Times New Roman" w:hAnsi="Times New Roman" w:cs="Times New Roman"/>
          <w:color w:val="000000" w:themeColor="text1"/>
          <w:sz w:val="24"/>
          <w:szCs w:val="24"/>
          <w:lang w:bidi="mr-IN"/>
        </w:rPr>
        <w:t>or (b) cyanocobalamin 2 μg/day + a multiple micronutrient tablet (UNIMAPP formula without folic acid) + 20 gm milk powder made up wi</w:t>
      </w:r>
      <w:r w:rsidR="008B4570" w:rsidRPr="00B839AA">
        <w:rPr>
          <w:rFonts w:ascii="Times New Roman" w:hAnsi="Times New Roman" w:cs="Times New Roman"/>
          <w:color w:val="000000" w:themeColor="text1"/>
          <w:sz w:val="24"/>
          <w:szCs w:val="24"/>
          <w:lang w:bidi="mr-IN"/>
        </w:rPr>
        <w:t>th water or added to food</w:t>
      </w:r>
      <w:r w:rsidR="00F7425E" w:rsidRPr="00B839AA">
        <w:rPr>
          <w:rFonts w:ascii="Times New Roman" w:hAnsi="Times New Roman" w:cs="Times New Roman"/>
          <w:color w:val="000000" w:themeColor="text1"/>
          <w:sz w:val="24"/>
          <w:szCs w:val="24"/>
          <w:lang w:bidi="mr-IN"/>
        </w:rPr>
        <w:t xml:space="preserve"> to mimic the two active treatment arms in the PRIYA trial</w:t>
      </w:r>
      <w:r w:rsidR="00BB19B2" w:rsidRPr="00B839AA">
        <w:rPr>
          <w:rFonts w:ascii="Times New Roman" w:hAnsi="Times New Roman" w:cs="Times New Roman"/>
          <w:color w:val="000000" w:themeColor="text1"/>
          <w:sz w:val="24"/>
          <w:szCs w:val="24"/>
          <w:lang w:bidi="mr-IN"/>
        </w:rPr>
        <w:fldChar w:fldCharType="begin"/>
      </w:r>
      <w:r w:rsidR="00BB19B2" w:rsidRPr="00B839AA">
        <w:rPr>
          <w:rFonts w:ascii="Times New Roman" w:hAnsi="Times New Roman" w:cs="Times New Roman"/>
          <w:color w:val="000000" w:themeColor="text1"/>
          <w:sz w:val="24"/>
          <w:szCs w:val="24"/>
          <w:lang w:bidi="mr-IN"/>
        </w:rPr>
        <w:instrText xml:space="preserve"> ADDIN ZOTERO_ITEM CSL_CITATION {"citationID":"QDkIGHx1","properties":{"formattedCitation":"[15]","plainCitation":"[15]","noteIndex":0},"citationItems":[{"id":2009,"uris":["http://zotero.org/users/4091385/items/HF429N8K"],"uri":["http://zotero.org/users/4091385/items/HF429N8K"],"itemData":{"id":2009,"type":"article-journal","title":"The Pune Rural Intervention in Young Adolescents (PRIYA) study: design and methods of a randomised controlled trial","container-title":"BMC Nutrition","volume":"3","issue":"1","source":"Crossref","URL":"http://bmcnutr.biomedcentral.com/articles/10.1186/s40795-017-0143-5","DOI":"10.1186/s40795-017-0143-5","ISSN":"2055-0928","title-short":"The Pune Rural Intervention in Young Adolescents (PRIYA) study","language":"en","author":[{"family":"Kumaran","given":"Kalyanaraman"},{"family":"Yajnik","given":"Pallavi"},{"family":"Lubree","given":"Himangi"},{"family":"Joglekar","given":"Charudatta"},{"family":"Bhat","given":"Dattatray"},{"family":"Katre","given":"Prachi"},{"family":"Joshi","given":"Suyog"},{"family":"Ladkat","given":"Rasika"},{"family":"Fall","given":"Caroline"},{"family":"Yajnik","given":"Chittaranjan"}],"issued":{"date-parts":[["2017",12]]},"accessed":{"date-parts":[["2019",1,22]]}}}],"schema":"https://github.com/citation-style-language/schema/raw/master/csl-citation.json"} </w:instrText>
      </w:r>
      <w:r w:rsidR="00BB19B2" w:rsidRPr="00B839AA">
        <w:rPr>
          <w:rFonts w:ascii="Times New Roman" w:hAnsi="Times New Roman" w:cs="Times New Roman"/>
          <w:color w:val="000000" w:themeColor="text1"/>
          <w:sz w:val="24"/>
          <w:szCs w:val="24"/>
          <w:lang w:bidi="mr-IN"/>
        </w:rPr>
        <w:fldChar w:fldCharType="separate"/>
      </w:r>
      <w:r w:rsidR="00BB19B2" w:rsidRPr="00B839AA">
        <w:rPr>
          <w:rFonts w:ascii="Times New Roman" w:hAnsi="Times New Roman" w:cs="Times New Roman"/>
          <w:noProof/>
          <w:color w:val="000000" w:themeColor="text1"/>
          <w:sz w:val="24"/>
          <w:szCs w:val="24"/>
          <w:lang w:bidi="mr-IN"/>
        </w:rPr>
        <w:t>[15]</w:t>
      </w:r>
      <w:r w:rsidR="00BB19B2" w:rsidRPr="00B839AA">
        <w:rPr>
          <w:rFonts w:ascii="Times New Roman" w:hAnsi="Times New Roman" w:cs="Times New Roman"/>
          <w:color w:val="000000" w:themeColor="text1"/>
          <w:sz w:val="24"/>
          <w:szCs w:val="24"/>
          <w:lang w:bidi="mr-IN"/>
        </w:rPr>
        <w:fldChar w:fldCharType="end"/>
      </w:r>
      <w:r w:rsidR="00F7425E" w:rsidRPr="00B839AA">
        <w:rPr>
          <w:rFonts w:ascii="Times New Roman" w:hAnsi="Times New Roman" w:cs="Times New Roman"/>
          <w:color w:val="000000" w:themeColor="text1"/>
          <w:sz w:val="24"/>
          <w:szCs w:val="24"/>
          <w:lang w:bidi="mr-IN"/>
        </w:rPr>
        <w:t>. All participants received 100 mg iron and 500 μg folic acid tablet once a week as per Government of India guidelines.</w:t>
      </w:r>
      <w:r w:rsidR="00F7425E" w:rsidRPr="00175A9A">
        <w:rPr>
          <w:rFonts w:ascii="Times New Roman" w:hAnsi="Times New Roman" w:cs="Times New Roman"/>
          <w:color w:val="000000" w:themeColor="text1"/>
          <w:sz w:val="24"/>
          <w:szCs w:val="24"/>
          <w:lang w:bidi="mr-IN"/>
        </w:rPr>
        <w:t xml:space="preserve"> </w:t>
      </w:r>
    </w:p>
    <w:p w14:paraId="7D5FE987" w14:textId="28853121" w:rsidR="006D4688" w:rsidRPr="00175A9A" w:rsidRDefault="003279FF" w:rsidP="003E5284">
      <w:pPr>
        <w:widowControl w:val="0"/>
        <w:autoSpaceDE w:val="0"/>
        <w:autoSpaceDN w:val="0"/>
        <w:adjustRightInd w:val="0"/>
        <w:spacing w:after="240"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M</w:t>
      </w:r>
      <w:r w:rsidR="009E6159" w:rsidRPr="00175A9A">
        <w:rPr>
          <w:rFonts w:ascii="Times New Roman" w:hAnsi="Times New Roman" w:cs="Times New Roman"/>
          <w:color w:val="000000" w:themeColor="text1"/>
          <w:sz w:val="24"/>
          <w:szCs w:val="24"/>
          <w:lang w:bidi="mr-IN"/>
        </w:rPr>
        <w:t xml:space="preserve">easurements were </w:t>
      </w:r>
      <w:r w:rsidR="00D41188" w:rsidRPr="00175A9A">
        <w:rPr>
          <w:rFonts w:ascii="Times New Roman" w:hAnsi="Times New Roman" w:cs="Times New Roman"/>
          <w:color w:val="000000" w:themeColor="text1"/>
          <w:sz w:val="24"/>
          <w:szCs w:val="24"/>
          <w:lang w:bidi="mr-IN"/>
        </w:rPr>
        <w:t>carried out</w:t>
      </w:r>
      <w:r w:rsidR="00F0441A" w:rsidRPr="00175A9A">
        <w:rPr>
          <w:rFonts w:ascii="Times New Roman" w:hAnsi="Times New Roman" w:cs="Times New Roman"/>
          <w:color w:val="000000" w:themeColor="text1"/>
          <w:sz w:val="24"/>
          <w:szCs w:val="24"/>
          <w:lang w:bidi="mr-IN"/>
        </w:rPr>
        <w:t xml:space="preserve"> at baseline and </w:t>
      </w:r>
      <w:r w:rsidR="009E6159" w:rsidRPr="00175A9A">
        <w:rPr>
          <w:rFonts w:ascii="Times New Roman" w:hAnsi="Times New Roman" w:cs="Times New Roman"/>
          <w:color w:val="000000" w:themeColor="text1"/>
          <w:sz w:val="24"/>
          <w:szCs w:val="24"/>
          <w:lang w:bidi="mr-IN"/>
        </w:rPr>
        <w:t>a</w:t>
      </w:r>
      <w:r w:rsidR="005F1A95" w:rsidRPr="00175A9A">
        <w:rPr>
          <w:rFonts w:ascii="Times New Roman" w:hAnsi="Times New Roman" w:cs="Times New Roman"/>
          <w:color w:val="000000" w:themeColor="text1"/>
          <w:sz w:val="24"/>
          <w:szCs w:val="24"/>
          <w:lang w:bidi="mr-IN"/>
        </w:rPr>
        <w:t>fter</w:t>
      </w:r>
      <w:r w:rsidR="009E6159" w:rsidRPr="00175A9A">
        <w:rPr>
          <w:rFonts w:ascii="Times New Roman" w:hAnsi="Times New Roman" w:cs="Times New Roman"/>
          <w:color w:val="000000" w:themeColor="text1"/>
          <w:sz w:val="24"/>
          <w:szCs w:val="24"/>
          <w:lang w:bidi="mr-IN"/>
        </w:rPr>
        <w:t xml:space="preserve"> </w:t>
      </w:r>
      <w:r w:rsidR="00DF0E66" w:rsidRPr="00175A9A">
        <w:rPr>
          <w:rFonts w:ascii="Times New Roman" w:hAnsi="Times New Roman" w:cs="Times New Roman"/>
          <w:color w:val="000000" w:themeColor="text1"/>
          <w:sz w:val="24"/>
          <w:szCs w:val="24"/>
          <w:lang w:bidi="mr-IN"/>
        </w:rPr>
        <w:t>11 months</w:t>
      </w:r>
      <w:r w:rsidR="005F1A95" w:rsidRPr="00175A9A">
        <w:rPr>
          <w:rFonts w:ascii="Times New Roman" w:hAnsi="Times New Roman" w:cs="Times New Roman"/>
          <w:color w:val="000000" w:themeColor="text1"/>
          <w:sz w:val="24"/>
          <w:szCs w:val="24"/>
          <w:lang w:bidi="mr-IN"/>
        </w:rPr>
        <w:t xml:space="preserve"> of treatment</w:t>
      </w:r>
      <w:r w:rsidR="00F0441A" w:rsidRPr="00175A9A">
        <w:rPr>
          <w:rFonts w:ascii="Times New Roman" w:hAnsi="Times New Roman" w:cs="Times New Roman"/>
          <w:color w:val="000000" w:themeColor="text1"/>
          <w:sz w:val="24"/>
          <w:szCs w:val="24"/>
          <w:lang w:bidi="mr-IN"/>
        </w:rPr>
        <w:t>.</w:t>
      </w:r>
      <w:r w:rsidR="009E6159" w:rsidRPr="00175A9A">
        <w:rPr>
          <w:rFonts w:ascii="Times New Roman" w:hAnsi="Times New Roman" w:cs="Times New Roman"/>
          <w:color w:val="000000" w:themeColor="text1"/>
          <w:sz w:val="24"/>
          <w:szCs w:val="24"/>
          <w:lang w:bidi="mr-IN"/>
        </w:rPr>
        <w:t xml:space="preserve"> </w:t>
      </w:r>
      <w:r w:rsidR="002777C8" w:rsidRPr="00175A9A">
        <w:rPr>
          <w:rFonts w:ascii="Times New Roman" w:hAnsi="Times New Roman" w:cs="Times New Roman"/>
          <w:color w:val="000000" w:themeColor="text1"/>
          <w:sz w:val="24"/>
          <w:szCs w:val="24"/>
          <w:lang w:bidi="mr-IN"/>
        </w:rPr>
        <w:t xml:space="preserve">Physical </w:t>
      </w:r>
      <w:r w:rsidR="00F0441A" w:rsidRPr="00175A9A">
        <w:rPr>
          <w:rFonts w:ascii="Times New Roman" w:hAnsi="Times New Roman" w:cs="Times New Roman"/>
          <w:color w:val="000000" w:themeColor="text1"/>
          <w:sz w:val="24"/>
          <w:szCs w:val="24"/>
          <w:lang w:bidi="mr-IN"/>
        </w:rPr>
        <w:t>examinati</w:t>
      </w:r>
      <w:r w:rsidR="002777C8" w:rsidRPr="00175A9A">
        <w:rPr>
          <w:rFonts w:ascii="Times New Roman" w:hAnsi="Times New Roman" w:cs="Times New Roman"/>
          <w:color w:val="000000" w:themeColor="text1"/>
          <w:sz w:val="24"/>
          <w:szCs w:val="24"/>
          <w:lang w:bidi="mr-IN"/>
        </w:rPr>
        <w:t>on included</w:t>
      </w:r>
      <w:r w:rsidR="00C72B24" w:rsidRPr="00175A9A">
        <w:rPr>
          <w:rFonts w:ascii="Times New Roman" w:hAnsi="Times New Roman" w:cs="Times New Roman"/>
          <w:color w:val="000000" w:themeColor="text1"/>
          <w:sz w:val="24"/>
          <w:szCs w:val="24"/>
          <w:lang w:bidi="mr-IN"/>
        </w:rPr>
        <w:t xml:space="preserve"> </w:t>
      </w:r>
      <w:r w:rsidR="002777C8" w:rsidRPr="00175A9A">
        <w:rPr>
          <w:rFonts w:ascii="Times New Roman" w:hAnsi="Times New Roman" w:cs="Times New Roman"/>
          <w:color w:val="000000" w:themeColor="text1"/>
          <w:sz w:val="24"/>
          <w:szCs w:val="24"/>
          <w:lang w:bidi="mr-IN"/>
        </w:rPr>
        <w:t>anthropometry</w:t>
      </w:r>
      <w:r w:rsidR="00F0441A" w:rsidRPr="00175A9A">
        <w:rPr>
          <w:rFonts w:ascii="Times New Roman" w:hAnsi="Times New Roman" w:cs="Times New Roman"/>
          <w:color w:val="000000" w:themeColor="text1"/>
          <w:sz w:val="24"/>
          <w:szCs w:val="24"/>
          <w:lang w:bidi="mr-IN"/>
        </w:rPr>
        <w:t xml:space="preserve"> (height</w:t>
      </w:r>
      <w:r w:rsidR="00DB055E" w:rsidRPr="00175A9A">
        <w:rPr>
          <w:rFonts w:ascii="Times New Roman" w:hAnsi="Times New Roman" w:cs="Times New Roman"/>
          <w:color w:val="000000" w:themeColor="text1"/>
          <w:sz w:val="24"/>
          <w:szCs w:val="24"/>
          <w:lang w:bidi="mr-IN"/>
        </w:rPr>
        <w:t xml:space="preserve"> and</w:t>
      </w:r>
      <w:r w:rsidR="00F0441A" w:rsidRPr="00175A9A">
        <w:rPr>
          <w:rFonts w:ascii="Times New Roman" w:hAnsi="Times New Roman" w:cs="Times New Roman"/>
          <w:color w:val="000000" w:themeColor="text1"/>
          <w:sz w:val="24"/>
          <w:szCs w:val="24"/>
          <w:lang w:bidi="mr-IN"/>
        </w:rPr>
        <w:t xml:space="preserve"> weight) and</w:t>
      </w:r>
      <w:r w:rsidRPr="00175A9A">
        <w:rPr>
          <w:rFonts w:ascii="Times New Roman" w:hAnsi="Times New Roman" w:cs="Times New Roman"/>
          <w:color w:val="000000" w:themeColor="text1"/>
          <w:sz w:val="24"/>
          <w:szCs w:val="24"/>
          <w:lang w:bidi="mr-IN"/>
        </w:rPr>
        <w:t xml:space="preserve"> </w:t>
      </w:r>
      <w:r w:rsidR="00F0441A" w:rsidRPr="00175A9A">
        <w:rPr>
          <w:rFonts w:ascii="Times New Roman" w:hAnsi="Times New Roman" w:cs="Times New Roman"/>
          <w:color w:val="000000" w:themeColor="text1"/>
          <w:sz w:val="24"/>
          <w:szCs w:val="24"/>
          <w:lang w:bidi="mr-IN"/>
        </w:rPr>
        <w:t xml:space="preserve">examination for </w:t>
      </w:r>
      <w:r w:rsidR="00F867F6" w:rsidRPr="00175A9A">
        <w:rPr>
          <w:rFonts w:ascii="Times New Roman" w:hAnsi="Times New Roman" w:cs="Times New Roman"/>
          <w:color w:val="000000" w:themeColor="text1"/>
          <w:sz w:val="24"/>
          <w:szCs w:val="24"/>
          <w:lang w:bidi="mr-IN"/>
        </w:rPr>
        <w:t xml:space="preserve">stomatitis, glossitis and </w:t>
      </w:r>
      <w:r w:rsidR="00F0441A" w:rsidRPr="00175A9A">
        <w:rPr>
          <w:rFonts w:ascii="Times New Roman" w:hAnsi="Times New Roman" w:cs="Times New Roman"/>
          <w:color w:val="000000" w:themeColor="text1"/>
          <w:sz w:val="24"/>
          <w:szCs w:val="24"/>
          <w:lang w:bidi="mr-IN"/>
        </w:rPr>
        <w:lastRenderedPageBreak/>
        <w:t>peripheral neuropathy</w:t>
      </w:r>
      <w:r w:rsidR="00C72B24" w:rsidRPr="00175A9A">
        <w:rPr>
          <w:rFonts w:ascii="Times New Roman" w:hAnsi="Times New Roman" w:cs="Times New Roman"/>
          <w:color w:val="000000" w:themeColor="text1"/>
          <w:sz w:val="24"/>
          <w:szCs w:val="24"/>
          <w:lang w:bidi="mr-IN"/>
        </w:rPr>
        <w:t xml:space="preserve"> (</w:t>
      </w:r>
      <w:r w:rsidR="005E78D5" w:rsidRPr="00175A9A">
        <w:rPr>
          <w:rFonts w:ascii="Times New Roman" w:hAnsi="Times New Roman" w:cs="Times New Roman"/>
          <w:color w:val="000000" w:themeColor="text1"/>
          <w:sz w:val="24"/>
          <w:szCs w:val="24"/>
          <w:lang w:bidi="mr-IN"/>
        </w:rPr>
        <w:t xml:space="preserve">clinical examination for </w:t>
      </w:r>
      <w:r w:rsidR="00C72B24" w:rsidRPr="00175A9A">
        <w:rPr>
          <w:rFonts w:ascii="Times New Roman" w:hAnsi="Times New Roman" w:cs="Times New Roman"/>
          <w:color w:val="000000" w:themeColor="text1"/>
          <w:sz w:val="24"/>
          <w:szCs w:val="24"/>
          <w:lang w:bidi="mr-IN"/>
        </w:rPr>
        <w:t xml:space="preserve">joint </w:t>
      </w:r>
      <w:r w:rsidR="005E78D5" w:rsidRPr="00175A9A">
        <w:rPr>
          <w:rFonts w:ascii="Times New Roman" w:hAnsi="Times New Roman" w:cs="Times New Roman"/>
          <w:color w:val="000000" w:themeColor="text1"/>
          <w:sz w:val="24"/>
          <w:szCs w:val="24"/>
          <w:lang w:bidi="mr-IN"/>
        </w:rPr>
        <w:t>sense</w:t>
      </w:r>
      <w:r w:rsidR="00B10C94" w:rsidRPr="00175A9A">
        <w:rPr>
          <w:rFonts w:ascii="Times New Roman" w:hAnsi="Times New Roman" w:cs="Times New Roman"/>
          <w:color w:val="000000" w:themeColor="text1"/>
          <w:sz w:val="24"/>
          <w:szCs w:val="24"/>
          <w:lang w:bidi="mr-IN"/>
        </w:rPr>
        <w:t>;</w:t>
      </w:r>
      <w:r w:rsidR="005E78D5" w:rsidRPr="00175A9A">
        <w:rPr>
          <w:rFonts w:ascii="Times New Roman" w:hAnsi="Times New Roman" w:cs="Times New Roman"/>
          <w:color w:val="000000" w:themeColor="text1"/>
          <w:sz w:val="24"/>
          <w:szCs w:val="24"/>
          <w:lang w:bidi="mr-IN"/>
        </w:rPr>
        <w:t xml:space="preserve"> </w:t>
      </w:r>
      <w:r w:rsidR="00C72B24" w:rsidRPr="00175A9A">
        <w:rPr>
          <w:rFonts w:ascii="Times New Roman" w:hAnsi="Times New Roman" w:cs="Times New Roman"/>
          <w:color w:val="000000" w:themeColor="text1"/>
          <w:sz w:val="24"/>
          <w:szCs w:val="24"/>
          <w:lang w:bidi="mr-IN"/>
        </w:rPr>
        <w:t>vibration</w:t>
      </w:r>
      <w:r w:rsidR="00B10C94" w:rsidRPr="00175A9A">
        <w:rPr>
          <w:rFonts w:ascii="Times New Roman" w:hAnsi="Times New Roman" w:cs="Times New Roman"/>
          <w:color w:val="000000" w:themeColor="text1"/>
          <w:sz w:val="24"/>
          <w:szCs w:val="24"/>
          <w:lang w:bidi="mr-IN"/>
        </w:rPr>
        <w:t>,</w:t>
      </w:r>
      <w:r w:rsidR="005E78D5" w:rsidRPr="00175A9A">
        <w:rPr>
          <w:rFonts w:ascii="Times New Roman" w:hAnsi="Times New Roman" w:cs="Times New Roman"/>
          <w:color w:val="000000" w:themeColor="text1"/>
          <w:sz w:val="24"/>
          <w:szCs w:val="24"/>
          <w:lang w:bidi="mr-IN"/>
        </w:rPr>
        <w:t xml:space="preserve"> </w:t>
      </w:r>
      <w:r w:rsidR="001C08E1" w:rsidRPr="00175A9A">
        <w:rPr>
          <w:rFonts w:ascii="Times New Roman" w:hAnsi="Times New Roman" w:cs="Times New Roman"/>
          <w:color w:val="000000" w:themeColor="text1"/>
          <w:sz w:val="24"/>
          <w:szCs w:val="24"/>
          <w:lang w:bidi="mr-IN"/>
        </w:rPr>
        <w:t xml:space="preserve">using a </w:t>
      </w:r>
      <w:r w:rsidR="005E78D5" w:rsidRPr="00175A9A">
        <w:rPr>
          <w:rFonts w:ascii="Times New Roman" w:hAnsi="Times New Roman" w:cs="Times New Roman"/>
          <w:color w:val="000000" w:themeColor="text1"/>
          <w:sz w:val="24"/>
          <w:szCs w:val="24"/>
          <w:lang w:bidi="mr-IN"/>
        </w:rPr>
        <w:t>128</w:t>
      </w:r>
      <w:r w:rsidR="001C08E1" w:rsidRPr="00175A9A">
        <w:rPr>
          <w:rFonts w:ascii="Times New Roman" w:hAnsi="Times New Roman" w:cs="Times New Roman"/>
          <w:color w:val="000000" w:themeColor="text1"/>
          <w:sz w:val="24"/>
          <w:szCs w:val="24"/>
          <w:lang w:bidi="mr-IN"/>
        </w:rPr>
        <w:t xml:space="preserve"> Hz</w:t>
      </w:r>
      <w:r w:rsidR="005E78D5" w:rsidRPr="00175A9A">
        <w:rPr>
          <w:rFonts w:ascii="Times New Roman" w:hAnsi="Times New Roman" w:cs="Times New Roman"/>
          <w:color w:val="000000" w:themeColor="text1"/>
          <w:sz w:val="24"/>
          <w:szCs w:val="24"/>
          <w:lang w:bidi="mr-IN"/>
        </w:rPr>
        <w:t xml:space="preserve"> tuning fork</w:t>
      </w:r>
      <w:r w:rsidR="00B10C94" w:rsidRPr="00175A9A">
        <w:rPr>
          <w:rFonts w:ascii="Times New Roman" w:hAnsi="Times New Roman" w:cs="Times New Roman"/>
          <w:color w:val="000000" w:themeColor="text1"/>
          <w:sz w:val="24"/>
          <w:szCs w:val="24"/>
          <w:lang w:bidi="mr-IN"/>
        </w:rPr>
        <w:t>;</w:t>
      </w:r>
      <w:r w:rsidR="00C72B24" w:rsidRPr="00175A9A">
        <w:rPr>
          <w:rFonts w:ascii="Times New Roman" w:hAnsi="Times New Roman" w:cs="Times New Roman"/>
          <w:color w:val="000000" w:themeColor="text1"/>
          <w:sz w:val="24"/>
          <w:szCs w:val="24"/>
          <w:lang w:bidi="mr-IN"/>
        </w:rPr>
        <w:t xml:space="preserve"> and </w:t>
      </w:r>
      <w:r w:rsidR="001C08E1" w:rsidRPr="00175A9A">
        <w:rPr>
          <w:rFonts w:ascii="Times New Roman" w:hAnsi="Times New Roman" w:cs="Times New Roman"/>
          <w:color w:val="000000" w:themeColor="text1"/>
          <w:sz w:val="24"/>
          <w:szCs w:val="24"/>
          <w:lang w:bidi="mr-IN"/>
        </w:rPr>
        <w:t>light touch</w:t>
      </w:r>
      <w:r w:rsidR="00B10C94" w:rsidRPr="00175A9A">
        <w:rPr>
          <w:rFonts w:ascii="Times New Roman" w:hAnsi="Times New Roman" w:cs="Times New Roman"/>
          <w:color w:val="000000" w:themeColor="text1"/>
          <w:sz w:val="24"/>
          <w:szCs w:val="24"/>
          <w:lang w:bidi="mr-IN"/>
        </w:rPr>
        <w:t>,</w:t>
      </w:r>
      <w:r w:rsidR="001C08E1" w:rsidRPr="00175A9A">
        <w:rPr>
          <w:rFonts w:ascii="Times New Roman" w:hAnsi="Times New Roman" w:cs="Times New Roman"/>
          <w:color w:val="000000" w:themeColor="text1"/>
          <w:sz w:val="24"/>
          <w:szCs w:val="24"/>
          <w:lang w:bidi="mr-IN"/>
        </w:rPr>
        <w:t xml:space="preserve"> using a </w:t>
      </w:r>
      <w:r w:rsidR="00BD4533" w:rsidRPr="00175A9A">
        <w:rPr>
          <w:rFonts w:ascii="Times New Roman" w:hAnsi="Times New Roman" w:cs="Times New Roman"/>
          <w:color w:val="000000" w:themeColor="text1"/>
          <w:sz w:val="24"/>
          <w:szCs w:val="24"/>
          <w:lang w:bidi="mr-IN"/>
        </w:rPr>
        <w:t xml:space="preserve">Semmes Weinstein </w:t>
      </w:r>
      <w:r w:rsidR="00C72B24" w:rsidRPr="00175A9A">
        <w:rPr>
          <w:rFonts w:ascii="Times New Roman" w:hAnsi="Times New Roman" w:cs="Times New Roman"/>
          <w:color w:val="000000" w:themeColor="text1"/>
          <w:sz w:val="24"/>
          <w:szCs w:val="24"/>
          <w:lang w:bidi="mr-IN"/>
        </w:rPr>
        <w:t>monofilament</w:t>
      </w:r>
      <w:r w:rsidR="005E78D5" w:rsidRPr="00175A9A">
        <w:rPr>
          <w:rFonts w:ascii="Times New Roman" w:hAnsi="Times New Roman" w:cs="Times New Roman"/>
          <w:color w:val="000000" w:themeColor="text1"/>
          <w:sz w:val="24"/>
          <w:szCs w:val="24"/>
          <w:lang w:bidi="mr-IN"/>
        </w:rPr>
        <w:t xml:space="preserve"> </w:t>
      </w:r>
      <w:r w:rsidR="007D5130" w:rsidRPr="007D5130">
        <w:rPr>
          <w:rFonts w:ascii="Times New Roman" w:hAnsi="Times New Roman" w:cs="Times New Roman"/>
          <w:color w:val="000000" w:themeColor="text1"/>
          <w:sz w:val="24"/>
          <w:szCs w:val="24"/>
          <w:lang w:bidi="mr-IN"/>
        </w:rPr>
        <w:t>5</w:t>
      </w:r>
      <w:r w:rsidR="005E78D5" w:rsidRPr="007D5130">
        <w:rPr>
          <w:rFonts w:ascii="Times New Roman" w:hAnsi="Times New Roman" w:cs="Times New Roman"/>
          <w:color w:val="000000" w:themeColor="text1"/>
          <w:sz w:val="24"/>
          <w:szCs w:val="24"/>
          <w:lang w:bidi="mr-IN"/>
        </w:rPr>
        <w:t>g</w:t>
      </w:r>
      <w:r w:rsidR="00860BE3" w:rsidRPr="00175A9A">
        <w:rPr>
          <w:rFonts w:ascii="Times New Roman" w:hAnsi="Times New Roman" w:cs="Times New Roman"/>
          <w:color w:val="000000" w:themeColor="text1"/>
          <w:sz w:val="24"/>
          <w:szCs w:val="24"/>
          <w:lang w:bidi="mr-IN"/>
        </w:rPr>
        <w:t xml:space="preserve">, </w:t>
      </w:r>
      <w:r w:rsidR="005E78D5" w:rsidRPr="00175A9A">
        <w:rPr>
          <w:rFonts w:ascii="Times New Roman" w:hAnsi="Times New Roman" w:cs="Times New Roman"/>
          <w:color w:val="000000" w:themeColor="text1"/>
          <w:sz w:val="24"/>
          <w:szCs w:val="24"/>
          <w:lang w:bidi="mr-IN"/>
        </w:rPr>
        <w:t>classified as normal, impaired or absent</w:t>
      </w:r>
      <w:r w:rsidR="00B10C94" w:rsidRPr="00175A9A">
        <w:rPr>
          <w:rFonts w:ascii="Times New Roman" w:hAnsi="Times New Roman" w:cs="Times New Roman"/>
          <w:color w:val="000000" w:themeColor="text1"/>
          <w:sz w:val="24"/>
          <w:szCs w:val="24"/>
          <w:lang w:bidi="mr-IN"/>
        </w:rPr>
        <w:t xml:space="preserve"> sensation</w:t>
      </w:r>
      <w:r w:rsidR="00860BE3" w:rsidRPr="00175A9A">
        <w:rPr>
          <w:rFonts w:ascii="Times New Roman" w:hAnsi="Times New Roman" w:cs="Times New Roman"/>
          <w:color w:val="000000" w:themeColor="text1"/>
          <w:sz w:val="24"/>
          <w:szCs w:val="24"/>
          <w:lang w:bidi="mr-IN"/>
        </w:rPr>
        <w:t>)</w:t>
      </w:r>
      <w:r w:rsidR="005E78D5" w:rsidRPr="00175A9A">
        <w:rPr>
          <w:rFonts w:ascii="Times New Roman" w:hAnsi="Times New Roman" w:cs="Times New Roman"/>
          <w:color w:val="000000" w:themeColor="text1"/>
          <w:sz w:val="24"/>
          <w:szCs w:val="24"/>
          <w:lang w:bidi="mr-IN"/>
        </w:rPr>
        <w:t>.</w:t>
      </w:r>
      <w:r w:rsidR="00FC2535">
        <w:rPr>
          <w:rFonts w:ascii="Times New Roman" w:hAnsi="Times New Roman" w:cs="Times New Roman"/>
          <w:color w:val="000000" w:themeColor="text1"/>
          <w:sz w:val="24"/>
          <w:szCs w:val="24"/>
          <w:lang w:bidi="mr-IN"/>
        </w:rPr>
        <w:t xml:space="preserve"> </w:t>
      </w:r>
      <w:r w:rsidR="00FC2535" w:rsidRPr="00B839AA">
        <w:rPr>
          <w:rFonts w:ascii="Times New Roman" w:hAnsi="Times New Roman" w:cs="Times New Roman"/>
          <w:color w:val="000000" w:themeColor="text1"/>
          <w:sz w:val="24"/>
          <w:szCs w:val="24"/>
          <w:lang w:bidi="mr-IN"/>
        </w:rPr>
        <w:t>Blood samples were centrifuged in cold</w:t>
      </w:r>
      <w:r w:rsidR="00A15F61" w:rsidRPr="00B839AA">
        <w:rPr>
          <w:rFonts w:ascii="Times New Roman" w:hAnsi="Times New Roman" w:cs="Times New Roman"/>
          <w:color w:val="000000" w:themeColor="text1"/>
          <w:sz w:val="24"/>
          <w:szCs w:val="24"/>
          <w:lang w:bidi="mr-IN"/>
        </w:rPr>
        <w:t xml:space="preserve"> at </w:t>
      </w:r>
      <w:r w:rsidR="00BB19B2" w:rsidRPr="00B839AA">
        <w:rPr>
          <w:rFonts w:ascii="Times New Roman" w:hAnsi="Times New Roman" w:cs="Times New Roman"/>
          <w:color w:val="000000" w:themeColor="text1"/>
          <w:sz w:val="24"/>
          <w:szCs w:val="24"/>
          <w:lang w:bidi="mr-IN"/>
        </w:rPr>
        <w:t>4</w:t>
      </w:r>
      <w:r w:rsidR="00BB19B2" w:rsidRPr="00B839AA">
        <w:rPr>
          <w:rFonts w:ascii="Times New Roman" w:hAnsi="Times New Roman" w:cs="Times New Roman"/>
          <w:color w:val="000000" w:themeColor="text1"/>
          <w:sz w:val="24"/>
          <w:szCs w:val="24"/>
          <w:vertAlign w:val="superscript"/>
          <w:lang w:bidi="mr-IN"/>
        </w:rPr>
        <w:t>o</w:t>
      </w:r>
      <w:r w:rsidR="00BB19B2" w:rsidRPr="00B839AA">
        <w:rPr>
          <w:rFonts w:ascii="Times New Roman" w:hAnsi="Times New Roman" w:cs="Times New Roman"/>
          <w:color w:val="000000" w:themeColor="text1"/>
          <w:sz w:val="24"/>
          <w:szCs w:val="24"/>
          <w:lang w:bidi="mr-IN"/>
        </w:rPr>
        <w:t xml:space="preserve">C </w:t>
      </w:r>
      <w:r w:rsidR="006833F0">
        <w:rPr>
          <w:rFonts w:ascii="Times New Roman" w:hAnsi="Times New Roman" w:cs="Times New Roman"/>
          <w:color w:val="000000" w:themeColor="text1"/>
          <w:sz w:val="24"/>
          <w:szCs w:val="24"/>
          <w:lang w:bidi="mr-IN"/>
        </w:rPr>
        <w:t xml:space="preserve">within one hour of sample collection </w:t>
      </w:r>
      <w:r w:rsidR="00FC2535" w:rsidRPr="00B839AA">
        <w:rPr>
          <w:rFonts w:ascii="Times New Roman" w:hAnsi="Times New Roman" w:cs="Times New Roman"/>
          <w:color w:val="000000" w:themeColor="text1"/>
          <w:sz w:val="24"/>
          <w:szCs w:val="24"/>
          <w:lang w:bidi="mr-IN"/>
        </w:rPr>
        <w:t>and the separated plasma and serum were stored at -80</w:t>
      </w:r>
      <w:r w:rsidR="00FC2535" w:rsidRPr="00B839AA">
        <w:rPr>
          <w:rFonts w:ascii="Times New Roman" w:hAnsi="Times New Roman" w:cs="Times New Roman"/>
          <w:color w:val="000000" w:themeColor="text1"/>
          <w:sz w:val="24"/>
          <w:szCs w:val="24"/>
          <w:vertAlign w:val="superscript"/>
          <w:lang w:bidi="mr-IN"/>
        </w:rPr>
        <w:t>o</w:t>
      </w:r>
      <w:r w:rsidR="00FC2535" w:rsidRPr="00B839AA">
        <w:rPr>
          <w:rFonts w:ascii="Times New Roman" w:hAnsi="Times New Roman" w:cs="Times New Roman"/>
          <w:color w:val="000000" w:themeColor="text1"/>
          <w:sz w:val="24"/>
          <w:szCs w:val="24"/>
          <w:lang w:bidi="mr-IN"/>
        </w:rPr>
        <w:t>C for analysis later.</w:t>
      </w:r>
      <w:r w:rsidR="00FC2535">
        <w:rPr>
          <w:rFonts w:ascii="Times New Roman" w:hAnsi="Times New Roman" w:cs="Times New Roman"/>
          <w:color w:val="000000" w:themeColor="text1"/>
          <w:sz w:val="24"/>
          <w:szCs w:val="24"/>
          <w:lang w:bidi="mr-IN"/>
        </w:rPr>
        <w:t xml:space="preserve"> </w:t>
      </w:r>
      <w:r w:rsidR="00F0441A" w:rsidRPr="00175A9A">
        <w:rPr>
          <w:rFonts w:ascii="Times New Roman" w:hAnsi="Times New Roman" w:cs="Times New Roman"/>
          <w:color w:val="000000" w:themeColor="text1"/>
          <w:sz w:val="24"/>
          <w:szCs w:val="24"/>
          <w:lang w:bidi="mr-IN"/>
        </w:rPr>
        <w:t>Hematological measure</w:t>
      </w:r>
      <w:r w:rsidR="00C72B24" w:rsidRPr="00175A9A">
        <w:rPr>
          <w:rFonts w:ascii="Times New Roman" w:hAnsi="Times New Roman" w:cs="Times New Roman"/>
          <w:color w:val="000000" w:themeColor="text1"/>
          <w:sz w:val="24"/>
          <w:szCs w:val="24"/>
          <w:lang w:bidi="mr-IN"/>
        </w:rPr>
        <w:t>ments</w:t>
      </w:r>
      <w:r w:rsidR="00D55B34" w:rsidRPr="00175A9A">
        <w:rPr>
          <w:rFonts w:ascii="Times New Roman" w:hAnsi="Times New Roman" w:cs="Times New Roman"/>
          <w:color w:val="000000" w:themeColor="text1"/>
          <w:sz w:val="24"/>
          <w:szCs w:val="24"/>
          <w:lang w:bidi="mr-IN"/>
        </w:rPr>
        <w:t xml:space="preserve"> (Complete Blood Count)</w:t>
      </w:r>
      <w:r w:rsidR="00C72B24" w:rsidRPr="00175A9A">
        <w:rPr>
          <w:rFonts w:ascii="Times New Roman" w:hAnsi="Times New Roman" w:cs="Times New Roman"/>
          <w:color w:val="000000" w:themeColor="text1"/>
          <w:sz w:val="24"/>
          <w:szCs w:val="24"/>
          <w:lang w:bidi="mr-IN"/>
        </w:rPr>
        <w:t xml:space="preserve"> were</w:t>
      </w:r>
      <w:r w:rsidR="00A26AC1" w:rsidRPr="00175A9A">
        <w:rPr>
          <w:rFonts w:ascii="Times New Roman" w:hAnsi="Times New Roman" w:cs="Times New Roman"/>
          <w:color w:val="000000" w:themeColor="text1"/>
          <w:sz w:val="24"/>
          <w:szCs w:val="24"/>
          <w:lang w:bidi="mr-IN"/>
        </w:rPr>
        <w:t xml:space="preserve"> done</w:t>
      </w:r>
      <w:r w:rsidR="00F0441A" w:rsidRPr="00175A9A">
        <w:rPr>
          <w:rFonts w:ascii="Times New Roman" w:hAnsi="Times New Roman" w:cs="Times New Roman"/>
          <w:color w:val="000000" w:themeColor="text1"/>
          <w:sz w:val="24"/>
          <w:szCs w:val="24"/>
          <w:lang w:bidi="mr-IN"/>
        </w:rPr>
        <w:t xml:space="preserve"> on a Beckman Coulter Ac·T diff Analyzer (Miami, Florida, USA). Plasma vitamin B-12 was measured by microbial assay using a colistin sulphate-resistant strain of </w:t>
      </w:r>
      <w:r w:rsidR="00F0441A" w:rsidRPr="003E5284">
        <w:rPr>
          <w:rFonts w:ascii="Times New Roman" w:hAnsi="Times New Roman" w:cs="Times New Roman"/>
          <w:color w:val="000000" w:themeColor="text1"/>
          <w:sz w:val="24"/>
          <w:szCs w:val="24"/>
          <w:lang w:bidi="mr-IN"/>
        </w:rPr>
        <w:t>L. leichmanii</w:t>
      </w:r>
      <w:r w:rsidR="00F0441A" w:rsidRPr="00175A9A">
        <w:rPr>
          <w:rFonts w:ascii="Times New Roman" w:hAnsi="Times New Roman" w:cs="Times New Roman"/>
          <w:color w:val="000000" w:themeColor="text1"/>
          <w:sz w:val="24"/>
          <w:szCs w:val="24"/>
          <w:lang w:bidi="mr-IN"/>
        </w:rPr>
        <w:t>.</w:t>
      </w:r>
      <w:r w:rsidR="00694990" w:rsidRPr="00175A9A">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lEoVJy5q","properties":{"formattedCitation":"[19]","plainCitation":"[19]","noteIndex":0},"citationItems":[{"id":2011,"uris":["http://zotero.org/users/4091385/items/PR2BCV6U"],"uri":["http://zotero.org/users/4091385/items/PR2BCV6U"],"itemData":{"id":2011,"type":"article-journal","title":"Lactobacillus casei microbiological assay of folic acid derivatives in 96-well microtiter plates","container-title":"Clinical Chemistry","page":"2357-2359","volume":"34","issue":"11","source":"PubMed","abstract":"Microbiological assay is still widely used for estimating folic acid derivatives in serum and other biological samples. We describe here a modification of this procedure involving use of 96-well microtiter plates. This procedure, used with modern, computer-interfaced microtiter-plate readers and data-reduction software, greatly shortens the time and minimizes reagent costs for this assay. Under the conditions of our assay procedures, all folic acid derivatives tested gave equal growth response for Lactobacillus casei. Results for assays of rat liver extracts showed excellent agreement between the standard bioassay and the 96-well procedure.","ISSN":"0009-9147","note":"PMID: 3141087","journalAbbreviation":"Clin. Chem.","language":"eng","author":[{"family":"Horne","given":"D. W."},{"family":"Patterson","given":"D."}],"issued":{"date-parts":[["1988",11]]}}}],"schema":"https://github.com/citation-style-language/schema/raw/master/csl-citation.json"} </w:instrText>
      </w:r>
      <w:r w:rsidR="00694990" w:rsidRPr="00175A9A">
        <w:rPr>
          <w:rFonts w:ascii="Times New Roman" w:hAnsi="Times New Roman" w:cs="Times New Roman"/>
          <w:color w:val="000000" w:themeColor="text1"/>
          <w:sz w:val="24"/>
          <w:szCs w:val="24"/>
          <w:lang w:bidi="mr-IN"/>
        </w:rPr>
        <w:fldChar w:fldCharType="separate"/>
      </w:r>
      <w:r w:rsidR="00BB19B2">
        <w:rPr>
          <w:rFonts w:ascii="Times New Roman" w:hAnsi="Times New Roman" w:cs="Times New Roman"/>
          <w:color w:val="000000" w:themeColor="text1"/>
          <w:sz w:val="24"/>
          <w:szCs w:val="24"/>
          <w:lang w:bidi="mr-IN"/>
        </w:rPr>
        <w:t>[19]</w:t>
      </w:r>
      <w:r w:rsidR="00694990" w:rsidRPr="00175A9A">
        <w:rPr>
          <w:rFonts w:ascii="Times New Roman" w:hAnsi="Times New Roman" w:cs="Times New Roman"/>
          <w:color w:val="000000" w:themeColor="text1"/>
          <w:sz w:val="24"/>
          <w:szCs w:val="24"/>
          <w:lang w:bidi="mr-IN"/>
        </w:rPr>
        <w:fldChar w:fldCharType="end"/>
      </w:r>
      <w:r w:rsidR="00BD4533" w:rsidRPr="00175A9A">
        <w:rPr>
          <w:rFonts w:ascii="Times New Roman" w:hAnsi="Times New Roman" w:cs="Times New Roman"/>
          <w:color w:val="000000" w:themeColor="text1"/>
          <w:sz w:val="24"/>
          <w:szCs w:val="24"/>
          <w:lang w:bidi="mr-IN"/>
        </w:rPr>
        <w:t xml:space="preserve">. </w:t>
      </w:r>
      <w:r w:rsidR="00F0441A" w:rsidRPr="00175A9A">
        <w:rPr>
          <w:rFonts w:ascii="Times New Roman" w:hAnsi="Times New Roman" w:cs="Times New Roman"/>
          <w:color w:val="000000" w:themeColor="text1"/>
          <w:sz w:val="24"/>
          <w:szCs w:val="24"/>
          <w:lang w:bidi="mr-IN"/>
        </w:rPr>
        <w:t xml:space="preserve">Plasma folate was measured by microbiological assay using a chloramphenicol-resistant strain of </w:t>
      </w:r>
      <w:r w:rsidR="00F0441A" w:rsidRPr="003E5284">
        <w:rPr>
          <w:rFonts w:ascii="Times New Roman" w:hAnsi="Times New Roman" w:cs="Times New Roman"/>
          <w:color w:val="000000" w:themeColor="text1"/>
          <w:sz w:val="24"/>
          <w:szCs w:val="24"/>
          <w:lang w:bidi="mr-IN"/>
        </w:rPr>
        <w:t>L. casei</w:t>
      </w:r>
      <w:r w:rsidR="00F0441A" w:rsidRPr="00175A9A">
        <w:rPr>
          <w:rFonts w:ascii="Times New Roman" w:hAnsi="Times New Roman" w:cs="Times New Roman"/>
          <w:color w:val="000000" w:themeColor="text1"/>
          <w:sz w:val="24"/>
          <w:szCs w:val="24"/>
          <w:lang w:bidi="mr-IN"/>
        </w:rPr>
        <w:t>.</w:t>
      </w:r>
      <w:r w:rsidR="00982B9E" w:rsidRPr="00175A9A">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6e6PgZVV","properties":{"formattedCitation":"[20]","plainCitation":"[20]","noteIndex":0},"citationItems":[{"id":2013,"uris":["http://zotero.org/users/4091385/items/8X8H5JDG"],"uri":["http://zotero.org/users/4091385/items/8X8H5JDG"],"itemData":{"id":2013,"type":"article-journal","title":"Inhibition of EDTA of growth of Lactobacillus casei in the folate microbiological assay and its reversal by added manganese or iron","container-title":"Clinical Chemistry","page":"1993","volume":"36","issue":"11","source":"PubMed","ISSN":"0009-9147","note":"PMID: 2122927","journalAbbreviation":"Clin. Chem.","language":"eng","author":[{"family":"Tamura","given":"T."},{"family":"Freeberg","given":"L. E."},{"family":"Cornwell","given":"P. E."}],"issued":{"date-parts":[["1990",11]]}}}],"schema":"https://github.com/citation-style-language/schema/raw/master/csl-citation.json"} </w:instrText>
      </w:r>
      <w:r w:rsidR="00982B9E" w:rsidRPr="00175A9A">
        <w:rPr>
          <w:rFonts w:ascii="Times New Roman" w:hAnsi="Times New Roman" w:cs="Times New Roman"/>
          <w:color w:val="000000" w:themeColor="text1"/>
          <w:sz w:val="24"/>
          <w:szCs w:val="24"/>
          <w:lang w:bidi="mr-IN"/>
        </w:rPr>
        <w:fldChar w:fldCharType="separate"/>
      </w:r>
      <w:r w:rsidR="00BB19B2">
        <w:rPr>
          <w:rFonts w:ascii="Times New Roman" w:hAnsi="Times New Roman" w:cs="Times New Roman"/>
          <w:color w:val="000000" w:themeColor="text1"/>
          <w:sz w:val="24"/>
          <w:szCs w:val="24"/>
          <w:lang w:bidi="mr-IN"/>
        </w:rPr>
        <w:t>[20]</w:t>
      </w:r>
      <w:r w:rsidR="00982B9E" w:rsidRPr="00175A9A">
        <w:rPr>
          <w:rFonts w:ascii="Times New Roman" w:hAnsi="Times New Roman" w:cs="Times New Roman"/>
          <w:color w:val="000000" w:themeColor="text1"/>
          <w:sz w:val="24"/>
          <w:szCs w:val="24"/>
          <w:lang w:bidi="mr-IN"/>
        </w:rPr>
        <w:fldChar w:fldCharType="end"/>
      </w:r>
      <w:r w:rsidR="003E5284">
        <w:rPr>
          <w:rFonts w:ascii="Times New Roman" w:hAnsi="Times New Roman" w:cs="Times New Roman"/>
          <w:color w:val="000000" w:themeColor="text1"/>
          <w:sz w:val="24"/>
          <w:szCs w:val="24"/>
          <w:lang w:bidi="mr-IN"/>
        </w:rPr>
        <w:t xml:space="preserve"> </w:t>
      </w:r>
      <w:r w:rsidR="00160868">
        <w:rPr>
          <w:rFonts w:ascii="Times New Roman" w:hAnsi="Times New Roman" w:cs="Times New Roman"/>
          <w:color w:val="000000" w:themeColor="text1"/>
          <w:sz w:val="24"/>
          <w:szCs w:val="24"/>
          <w:lang w:bidi="mr-IN"/>
        </w:rPr>
        <w:t xml:space="preserve"> </w:t>
      </w:r>
      <w:r w:rsidR="00DC02EE" w:rsidRPr="00B839AA">
        <w:rPr>
          <w:rFonts w:ascii="Times New Roman" w:hAnsi="Times New Roman" w:cs="Times New Roman"/>
          <w:color w:val="000000" w:themeColor="text1"/>
          <w:sz w:val="24"/>
          <w:szCs w:val="24"/>
          <w:lang w:bidi="mr-IN"/>
        </w:rPr>
        <w:t xml:space="preserve">Plasma </w:t>
      </w:r>
      <w:r w:rsidR="00F0441A" w:rsidRPr="00B839AA">
        <w:rPr>
          <w:rFonts w:ascii="Times New Roman" w:hAnsi="Times New Roman" w:cs="Times New Roman"/>
          <w:color w:val="000000" w:themeColor="text1"/>
          <w:sz w:val="24"/>
          <w:szCs w:val="24"/>
          <w:lang w:bidi="mr-IN"/>
        </w:rPr>
        <w:t xml:space="preserve">total homocysteine (tHcy) concentration was measured by </w:t>
      </w:r>
      <w:r w:rsidR="00DC02EE" w:rsidRPr="00B839AA">
        <w:rPr>
          <w:rFonts w:ascii="Times New Roman" w:hAnsi="Times New Roman" w:cs="Times New Roman"/>
          <w:color w:val="000000"/>
          <w:sz w:val="24"/>
          <w:szCs w:val="24"/>
        </w:rPr>
        <w:t>reducing oxidized thiols with sodium borohydride followed by conjugation of thiols with monobromobimane</w:t>
      </w:r>
      <w:r w:rsidR="0049776E" w:rsidRPr="00B839AA">
        <w:rPr>
          <w:rFonts w:ascii="Times New Roman" w:hAnsi="Times New Roman" w:cs="Times New Roman"/>
          <w:color w:val="000000"/>
          <w:sz w:val="24"/>
          <w:szCs w:val="24"/>
        </w:rPr>
        <w:t xml:space="preserve"> </w:t>
      </w:r>
      <w:r w:rsidR="00BB19B2" w:rsidRPr="00B839AA">
        <w:rPr>
          <w:rFonts w:ascii="Times New Roman" w:hAnsi="Times New Roman" w:cs="Times New Roman"/>
          <w:color w:val="000000"/>
          <w:sz w:val="24"/>
          <w:szCs w:val="24"/>
        </w:rPr>
        <w:fldChar w:fldCharType="begin"/>
      </w:r>
      <w:r w:rsidR="00BB19B2" w:rsidRPr="00B839AA">
        <w:rPr>
          <w:rFonts w:ascii="Times New Roman" w:hAnsi="Times New Roman" w:cs="Times New Roman"/>
          <w:color w:val="000000"/>
          <w:sz w:val="24"/>
          <w:szCs w:val="24"/>
        </w:rPr>
        <w:instrText xml:space="preserve"> ADDIN ZOTERO_ITEM CSL_CITATION {"citationID":"3dDWC7Kt","properties":{"formattedCitation":"[21]","plainCitation":"[21]","noteIndex":0},"citationItems":[{"id":2021,"uris":["http://zotero.org/users/4091385/items/DD62JM9P"],"uri":["http://zotero.org/users/4091385/items/DD62JM9P"],"itemData":{"id":2021,"type":"article-journal","title":"Determination of total serum sulfite by HPLC with fluorescence detection.","container-title":"Clinical Chemistry","page":"897-903","volume":"41","issue":"6","source":"clinchem.aaccjnls.org","abstract":"An estimated 500,000 individuals in the US, mostly steroid-dependent asthmatics, suffer severe adverse reactions to sulfites in foods, beverages, and pharmaceutical products. In an attempt to understand the pathogenesis of sulfite hypersensitivity, we have developed an assay for the determination of total serum sulfite by utilizing: (a) reductive release of serum protein-bound sulfite; (b) derivatization of free sulfite with monobromobimane; (c) separation of sulfite-bimane from thiol-bimanes by reversed-phase HPLC; and (d) quantitation of sulfite-bimane by fluorescence detection. The detection limit of this assay was 0.44 mumol/L serum sulfite. The intra- and interassay CVs for total serum sulfite at 5.4 mumol/L were 8.1% and 22.0%, respectively. The standard addition method was used to determine total serum sulfite in normal subjects. More than 70 samples were prepared in 2-3 h, followed by automated overnight analysis. The mean concentrations (+/- SD) of total serum sulfite in female (n = 41) and male (n = 35) donors were 4.63 +/- 2.33 and 5.16 +/- 2.68 mumol/L, respectively (not statistically significant: P = 0.368). The combined mean concentration of total sulfite in both sexes was 4.87 +/- 2.49 mumol/L. There was no correlation between total serum sulfite and total serum cysteine, cysteinylglycine, homocysteine, subject age, serum cobalamin, or serum folic acid. The reference range (mean +/- 2 SD) for total serum sulfite in normal subjects is 0-9.85 mumol/L.","ISSN":"0009-9147, 1530-8561","note":"PMID: 7768009","language":"en","author":[{"family":"Ji","given":"A. J."},{"family":"Savon","given":"S. R."},{"family":"Jacobsen","given":"D. W."}],"issued":{"date-parts":[["1995",6,1]]}}}],"schema":"https://github.com/citation-style-language/schema/raw/master/csl-citation.json"} </w:instrText>
      </w:r>
      <w:r w:rsidR="00BB19B2" w:rsidRPr="00B839AA">
        <w:rPr>
          <w:rFonts w:ascii="Times New Roman" w:hAnsi="Times New Roman" w:cs="Times New Roman"/>
          <w:color w:val="000000"/>
          <w:sz w:val="24"/>
          <w:szCs w:val="24"/>
        </w:rPr>
        <w:fldChar w:fldCharType="separate"/>
      </w:r>
      <w:r w:rsidR="00BB19B2" w:rsidRPr="00B839AA">
        <w:rPr>
          <w:rFonts w:ascii="Times New Roman" w:hAnsi="Times New Roman" w:cs="Times New Roman"/>
          <w:noProof/>
          <w:color w:val="000000"/>
          <w:sz w:val="24"/>
          <w:szCs w:val="24"/>
        </w:rPr>
        <w:t>[21]</w:t>
      </w:r>
      <w:r w:rsidR="00BB19B2" w:rsidRPr="00B839AA">
        <w:rPr>
          <w:rFonts w:ascii="Times New Roman" w:hAnsi="Times New Roman" w:cs="Times New Roman"/>
          <w:color w:val="000000"/>
          <w:sz w:val="24"/>
          <w:szCs w:val="24"/>
        </w:rPr>
        <w:fldChar w:fldCharType="end"/>
      </w:r>
      <w:r w:rsidR="0049776E" w:rsidRPr="00B839AA">
        <w:rPr>
          <w:rFonts w:ascii="Times New Roman" w:hAnsi="Times New Roman" w:cs="Times New Roman"/>
          <w:color w:val="000000" w:themeColor="text1"/>
          <w:sz w:val="24"/>
          <w:szCs w:val="24"/>
          <w:lang w:bidi="mr-IN"/>
        </w:rPr>
        <w:t xml:space="preserve">. </w:t>
      </w:r>
      <w:r w:rsidR="003E5284" w:rsidRPr="00B839AA">
        <w:rPr>
          <w:rFonts w:ascii="Times New Roman" w:hAnsi="Times New Roman" w:cs="Times New Roman"/>
          <w:color w:val="000000" w:themeColor="text1"/>
          <w:sz w:val="24"/>
          <w:szCs w:val="24"/>
          <w:lang w:bidi="mr-IN"/>
        </w:rPr>
        <w:t xml:space="preserve"> </w:t>
      </w:r>
      <w:r w:rsidR="00520279" w:rsidRPr="00B839AA">
        <w:rPr>
          <w:rFonts w:ascii="Times New Roman" w:hAnsi="Times New Roman" w:cs="Times New Roman"/>
          <w:color w:val="000000" w:themeColor="text1"/>
          <w:sz w:val="24"/>
          <w:szCs w:val="24"/>
          <w:lang w:bidi="mr-IN"/>
        </w:rPr>
        <w:t>T</w:t>
      </w:r>
      <w:r w:rsidR="00DC02EE" w:rsidRPr="00B839AA">
        <w:rPr>
          <w:rFonts w:ascii="Times New Roman" w:hAnsi="Times New Roman" w:cs="Times New Roman"/>
          <w:color w:val="000000" w:themeColor="text1"/>
          <w:sz w:val="24"/>
          <w:szCs w:val="24"/>
          <w:lang w:bidi="mr-IN"/>
        </w:rPr>
        <w:t xml:space="preserve">he </w:t>
      </w:r>
      <w:r w:rsidR="003E5284" w:rsidRPr="00B839AA">
        <w:rPr>
          <w:rFonts w:ascii="Times New Roman" w:hAnsi="Times New Roman" w:cs="Times New Roman"/>
          <w:color w:val="000000" w:themeColor="text1"/>
          <w:sz w:val="24"/>
          <w:szCs w:val="24"/>
          <w:lang w:bidi="mr-IN"/>
        </w:rPr>
        <w:t>baseline and post treatment samples were processed separately</w:t>
      </w:r>
      <w:r w:rsidR="00914CC0" w:rsidRPr="00B839AA">
        <w:rPr>
          <w:rFonts w:ascii="Times New Roman" w:hAnsi="Times New Roman" w:cs="Times New Roman"/>
          <w:color w:val="000000" w:themeColor="text1"/>
          <w:sz w:val="24"/>
          <w:szCs w:val="24"/>
          <w:lang w:bidi="mr-IN"/>
        </w:rPr>
        <w:t xml:space="preserve">, </w:t>
      </w:r>
      <w:r w:rsidR="003E5284" w:rsidRPr="00B839AA">
        <w:rPr>
          <w:rFonts w:ascii="Times New Roman" w:hAnsi="Times New Roman" w:cs="Times New Roman"/>
          <w:color w:val="000000" w:themeColor="text1"/>
          <w:sz w:val="24"/>
          <w:szCs w:val="24"/>
          <w:lang w:bidi="mr-IN"/>
        </w:rPr>
        <w:t xml:space="preserve">within 3 months </w:t>
      </w:r>
      <w:r w:rsidR="00520279" w:rsidRPr="00B839AA">
        <w:rPr>
          <w:rFonts w:ascii="Times New Roman" w:hAnsi="Times New Roman" w:cs="Times New Roman"/>
          <w:color w:val="000000" w:themeColor="text1"/>
          <w:sz w:val="24"/>
          <w:szCs w:val="24"/>
          <w:lang w:bidi="mr-IN"/>
        </w:rPr>
        <w:t>of</w:t>
      </w:r>
      <w:r w:rsidR="003E5284" w:rsidRPr="00B839AA">
        <w:rPr>
          <w:rFonts w:ascii="Times New Roman" w:hAnsi="Times New Roman" w:cs="Times New Roman"/>
          <w:color w:val="000000" w:themeColor="text1"/>
          <w:sz w:val="24"/>
          <w:szCs w:val="24"/>
          <w:lang w:bidi="mr-IN"/>
        </w:rPr>
        <w:t xml:space="preserve"> sample collection. </w:t>
      </w:r>
      <w:r w:rsidR="00520279" w:rsidRPr="00B839AA">
        <w:rPr>
          <w:rFonts w:ascii="Times New Roman" w:hAnsi="Times New Roman" w:cs="Times New Roman"/>
          <w:color w:val="000000" w:themeColor="text1"/>
          <w:sz w:val="24"/>
          <w:szCs w:val="24"/>
          <w:lang w:bidi="mr-IN"/>
        </w:rPr>
        <w:t>I</w:t>
      </w:r>
      <w:r w:rsidR="00914CC0" w:rsidRPr="00B839AA">
        <w:rPr>
          <w:rFonts w:ascii="Times New Roman" w:hAnsi="Times New Roman" w:cs="Times New Roman"/>
          <w:color w:val="000000" w:themeColor="text1"/>
          <w:sz w:val="24"/>
          <w:szCs w:val="24"/>
          <w:lang w:bidi="mr-IN"/>
        </w:rPr>
        <w:t xml:space="preserve">nter—and intra-batch </w:t>
      </w:r>
      <w:r w:rsidR="003E5284" w:rsidRPr="00B839AA">
        <w:rPr>
          <w:rFonts w:ascii="Times New Roman" w:hAnsi="Times New Roman" w:cs="Times New Roman"/>
          <w:color w:val="000000" w:themeColor="text1"/>
          <w:sz w:val="24"/>
          <w:szCs w:val="24"/>
          <w:lang w:bidi="mr-IN"/>
        </w:rPr>
        <w:t>coeffic</w:t>
      </w:r>
      <w:r w:rsidR="00A15F61" w:rsidRPr="00B839AA">
        <w:rPr>
          <w:rFonts w:ascii="Times New Roman" w:hAnsi="Times New Roman" w:cs="Times New Roman"/>
          <w:color w:val="000000" w:themeColor="text1"/>
          <w:sz w:val="24"/>
          <w:szCs w:val="24"/>
          <w:lang w:bidi="mr-IN"/>
        </w:rPr>
        <w:t xml:space="preserve">ients of variation for B-12 </w:t>
      </w:r>
      <w:r w:rsidR="003E5284" w:rsidRPr="00B839AA">
        <w:rPr>
          <w:rFonts w:ascii="Times New Roman" w:hAnsi="Times New Roman" w:cs="Times New Roman"/>
          <w:color w:val="000000" w:themeColor="text1"/>
          <w:sz w:val="24"/>
          <w:szCs w:val="24"/>
          <w:lang w:bidi="mr-IN"/>
        </w:rPr>
        <w:t>folate</w:t>
      </w:r>
      <w:r w:rsidR="00A15F61" w:rsidRPr="00B839AA">
        <w:rPr>
          <w:rFonts w:ascii="Times New Roman" w:hAnsi="Times New Roman" w:cs="Times New Roman"/>
          <w:color w:val="000000" w:themeColor="text1"/>
          <w:sz w:val="24"/>
          <w:szCs w:val="24"/>
          <w:lang w:bidi="mr-IN"/>
        </w:rPr>
        <w:t xml:space="preserve"> and homocysteine</w:t>
      </w:r>
      <w:r w:rsidR="003E5284" w:rsidRPr="00B839AA">
        <w:rPr>
          <w:rFonts w:ascii="Times New Roman" w:hAnsi="Times New Roman" w:cs="Times New Roman"/>
          <w:color w:val="000000" w:themeColor="text1"/>
          <w:sz w:val="24"/>
          <w:szCs w:val="24"/>
          <w:lang w:bidi="mr-IN"/>
        </w:rPr>
        <w:t xml:space="preserve"> measurements were </w:t>
      </w:r>
      <w:r w:rsidR="00914CC0" w:rsidRPr="00B839AA">
        <w:rPr>
          <w:rFonts w:ascii="Times New Roman" w:hAnsi="Times New Roman" w:cs="Times New Roman"/>
          <w:color w:val="000000" w:themeColor="text1"/>
          <w:sz w:val="24"/>
          <w:szCs w:val="24"/>
          <w:lang w:bidi="mr-IN"/>
        </w:rPr>
        <w:t xml:space="preserve">all </w:t>
      </w:r>
      <w:r w:rsidR="003E5284" w:rsidRPr="00B839AA">
        <w:rPr>
          <w:rFonts w:ascii="Times New Roman" w:hAnsi="Times New Roman" w:cs="Times New Roman"/>
          <w:color w:val="000000" w:themeColor="text1"/>
          <w:sz w:val="24"/>
          <w:szCs w:val="24"/>
          <w:lang w:bidi="mr-IN"/>
        </w:rPr>
        <w:t>&lt; 8%.</w:t>
      </w:r>
      <w:r w:rsidR="003E5284" w:rsidRPr="003E5284">
        <w:rPr>
          <w:rFonts w:ascii="Times New Roman" w:hAnsi="Times New Roman" w:cs="Times New Roman"/>
          <w:color w:val="000000" w:themeColor="text1"/>
          <w:sz w:val="24"/>
          <w:szCs w:val="24"/>
          <w:lang w:bidi="mr-IN"/>
        </w:rPr>
        <w:t xml:space="preserve"> </w:t>
      </w:r>
    </w:p>
    <w:p w14:paraId="29270F00" w14:textId="7A40479B" w:rsidR="00421B9B" w:rsidRPr="00175A9A" w:rsidRDefault="009E6159"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lastRenderedPageBreak/>
        <w:t>We used</w:t>
      </w:r>
      <w:r w:rsidR="00D85D6A" w:rsidRPr="00175A9A">
        <w:rPr>
          <w:rFonts w:ascii="Times New Roman" w:hAnsi="Times New Roman" w:cs="Times New Roman"/>
          <w:color w:val="000000" w:themeColor="text1"/>
          <w:sz w:val="24"/>
          <w:szCs w:val="24"/>
          <w:lang w:bidi="mr-IN"/>
        </w:rPr>
        <w:t xml:space="preserve"> </w:t>
      </w:r>
      <w:r w:rsidR="00B11989" w:rsidRPr="00175A9A">
        <w:rPr>
          <w:rFonts w:ascii="Times New Roman" w:hAnsi="Times New Roman" w:cs="Times New Roman"/>
          <w:color w:val="000000" w:themeColor="text1"/>
          <w:sz w:val="24"/>
          <w:szCs w:val="24"/>
          <w:lang w:bidi="mr-IN"/>
        </w:rPr>
        <w:t>SUDOSCAN</w:t>
      </w:r>
      <w:r w:rsidR="00130E95" w:rsidRPr="00175A9A">
        <w:rPr>
          <w:rFonts w:ascii="Times New Roman" w:hAnsi="Times New Roman" w:cs="Times New Roman"/>
          <w:color w:val="000000" w:themeColor="text1"/>
          <w:sz w:val="24"/>
          <w:szCs w:val="24"/>
          <w:lang w:bidi="mr-IN"/>
        </w:rPr>
        <w:t xml:space="preserve"> (</w:t>
      </w:r>
      <w:r w:rsidR="00AF6D68" w:rsidRPr="00175A9A">
        <w:rPr>
          <w:rFonts w:ascii="Times New Roman" w:hAnsi="Times New Roman" w:cs="Times New Roman"/>
          <w:color w:val="000000" w:themeColor="text1"/>
          <w:sz w:val="24"/>
          <w:szCs w:val="24"/>
          <w:lang w:bidi="mr-IN"/>
        </w:rPr>
        <w:t>I</w:t>
      </w:r>
      <w:r w:rsidR="00614E51" w:rsidRPr="00175A9A">
        <w:rPr>
          <w:rFonts w:ascii="Times New Roman" w:hAnsi="Times New Roman" w:cs="Times New Roman"/>
          <w:color w:val="000000" w:themeColor="text1"/>
          <w:sz w:val="24"/>
          <w:szCs w:val="24"/>
          <w:lang w:bidi="mr-IN"/>
        </w:rPr>
        <w:t>mpeto</w:t>
      </w:r>
      <w:r w:rsidR="00AF6D68" w:rsidRPr="00175A9A">
        <w:rPr>
          <w:rFonts w:ascii="Times New Roman" w:hAnsi="Times New Roman" w:cs="Times New Roman"/>
          <w:color w:val="000000" w:themeColor="text1"/>
          <w:sz w:val="24"/>
          <w:szCs w:val="24"/>
          <w:lang w:bidi="mr-IN"/>
        </w:rPr>
        <w:t xml:space="preserve"> M</w:t>
      </w:r>
      <w:r w:rsidR="00614E51" w:rsidRPr="00175A9A">
        <w:rPr>
          <w:rFonts w:ascii="Times New Roman" w:hAnsi="Times New Roman" w:cs="Times New Roman"/>
          <w:color w:val="000000" w:themeColor="text1"/>
          <w:sz w:val="24"/>
          <w:szCs w:val="24"/>
          <w:lang w:bidi="mr-IN"/>
        </w:rPr>
        <w:t>edical</w:t>
      </w:r>
      <w:r w:rsidR="009D4A76" w:rsidRPr="00175A9A">
        <w:rPr>
          <w:rFonts w:ascii="Times New Roman" w:hAnsi="Times New Roman" w:cs="Times New Roman"/>
          <w:color w:val="000000" w:themeColor="text1"/>
          <w:sz w:val="24"/>
          <w:szCs w:val="24"/>
          <w:lang w:bidi="mr-IN"/>
        </w:rPr>
        <w:t>, Paris</w:t>
      </w:r>
      <w:r w:rsidR="00130E95" w:rsidRPr="00175A9A">
        <w:rPr>
          <w:rFonts w:ascii="Times New Roman" w:hAnsi="Times New Roman" w:cs="Times New Roman"/>
          <w:color w:val="000000" w:themeColor="text1"/>
          <w:sz w:val="24"/>
          <w:szCs w:val="24"/>
          <w:lang w:bidi="mr-IN"/>
        </w:rPr>
        <w:t>)</w:t>
      </w:r>
      <w:r w:rsidR="00D85D6A" w:rsidRPr="00175A9A">
        <w:rPr>
          <w:rFonts w:ascii="Times New Roman" w:hAnsi="Times New Roman" w:cs="Times New Roman"/>
          <w:color w:val="000000" w:themeColor="text1"/>
          <w:sz w:val="24"/>
          <w:szCs w:val="24"/>
          <w:lang w:bidi="mr-IN"/>
        </w:rPr>
        <w:t xml:space="preserve"> which</w:t>
      </w:r>
      <w:r w:rsidR="00B11989" w:rsidRPr="00175A9A">
        <w:rPr>
          <w:rFonts w:ascii="Times New Roman" w:hAnsi="Times New Roman" w:cs="Times New Roman"/>
          <w:color w:val="000000" w:themeColor="text1"/>
          <w:sz w:val="24"/>
          <w:szCs w:val="24"/>
          <w:lang w:bidi="mr-IN"/>
        </w:rPr>
        <w:t xml:space="preserve"> is a noninvasive and quick method for assessing dysfunction in thin unmyelinated sympathetic C </w:t>
      </w:r>
      <w:r w:rsidR="005C48ED" w:rsidRPr="00175A9A">
        <w:rPr>
          <w:rFonts w:ascii="Times New Roman" w:hAnsi="Times New Roman" w:cs="Times New Roman"/>
          <w:color w:val="000000" w:themeColor="text1"/>
          <w:sz w:val="24"/>
          <w:szCs w:val="24"/>
          <w:lang w:bidi="mr-IN"/>
        </w:rPr>
        <w:t xml:space="preserve">nerve </w:t>
      </w:r>
      <w:r w:rsidR="00B11989" w:rsidRPr="00175A9A">
        <w:rPr>
          <w:rFonts w:ascii="Times New Roman" w:hAnsi="Times New Roman" w:cs="Times New Roman"/>
          <w:color w:val="000000" w:themeColor="text1"/>
          <w:sz w:val="24"/>
          <w:szCs w:val="24"/>
          <w:lang w:bidi="mr-IN"/>
        </w:rPr>
        <w:t>fibers</w:t>
      </w:r>
      <w:r w:rsidRPr="00175A9A">
        <w:rPr>
          <w:rFonts w:ascii="Times New Roman" w:hAnsi="Times New Roman" w:cs="Times New Roman"/>
          <w:color w:val="000000" w:themeColor="text1"/>
          <w:sz w:val="24"/>
          <w:szCs w:val="24"/>
          <w:lang w:bidi="mr-IN"/>
        </w:rPr>
        <w:t xml:space="preserve"> supplying the sweat glands</w:t>
      </w:r>
      <w:r w:rsidR="005817CB" w:rsidRPr="00175A9A">
        <w:rPr>
          <w:rFonts w:ascii="Times New Roman" w:hAnsi="Times New Roman" w:cs="Times New Roman"/>
          <w:color w:val="000000" w:themeColor="text1"/>
          <w:sz w:val="24"/>
          <w:szCs w:val="24"/>
          <w:lang w:bidi="mr-IN"/>
        </w:rPr>
        <w:t xml:space="preserve">. We have </w:t>
      </w:r>
      <w:r w:rsidR="00237D92" w:rsidRPr="00175A9A">
        <w:rPr>
          <w:rFonts w:ascii="Times New Roman" w:hAnsi="Times New Roman" w:cs="Times New Roman"/>
          <w:color w:val="000000" w:themeColor="text1"/>
          <w:sz w:val="24"/>
          <w:szCs w:val="24"/>
          <w:lang w:bidi="mr-IN"/>
        </w:rPr>
        <w:t xml:space="preserve">previously </w:t>
      </w:r>
      <w:r w:rsidR="00F428CB" w:rsidRPr="00175A9A">
        <w:rPr>
          <w:rFonts w:ascii="Times New Roman" w:hAnsi="Times New Roman" w:cs="Times New Roman"/>
          <w:color w:val="000000" w:themeColor="text1"/>
          <w:sz w:val="24"/>
          <w:szCs w:val="24"/>
          <w:lang w:bidi="mr-IN"/>
        </w:rPr>
        <w:t xml:space="preserve">demonstrated its usefulness in the diagnosis of </w:t>
      </w:r>
      <w:r w:rsidR="005817CB" w:rsidRPr="00175A9A">
        <w:rPr>
          <w:rFonts w:ascii="Times New Roman" w:hAnsi="Times New Roman" w:cs="Times New Roman"/>
          <w:color w:val="000000" w:themeColor="text1"/>
          <w:sz w:val="24"/>
          <w:szCs w:val="24"/>
          <w:lang w:bidi="mr-IN"/>
        </w:rPr>
        <w:t>peripheral neuropathy in diabetic</w:t>
      </w:r>
      <w:r w:rsidR="00F428CB" w:rsidRPr="00175A9A">
        <w:rPr>
          <w:rFonts w:ascii="Times New Roman" w:hAnsi="Times New Roman" w:cs="Times New Roman"/>
          <w:color w:val="000000" w:themeColor="text1"/>
          <w:sz w:val="24"/>
          <w:szCs w:val="24"/>
          <w:lang w:bidi="mr-IN"/>
        </w:rPr>
        <w:t xml:space="preserve"> patients</w:t>
      </w:r>
      <w:r w:rsidR="00CB7D68" w:rsidRPr="00175A9A">
        <w:rPr>
          <w:rFonts w:ascii="Times New Roman" w:hAnsi="Times New Roman" w:cs="Times New Roman"/>
          <w:color w:val="000000" w:themeColor="text1"/>
          <w:sz w:val="24"/>
          <w:szCs w:val="24"/>
          <w:lang w:bidi="mr-IN"/>
        </w:rPr>
        <w:t xml:space="preserve"> </w:t>
      </w:r>
      <w:r w:rsidR="003E0542" w:rsidRPr="00175A9A">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sQ3MkKic","properties":{"formattedCitation":"[22,23]","plainCitation":"[22,23]","noteIndex":0},"citationItems":[{"id":1351,"uris":["http://zotero.org/users/4091385/items/BJV5A9MA"],"uri":["http://zotero.org/users/4091385/items/BJV5A9MA"],"itemData":{"id":1351,"type":"article-journal","title":"Quick and simple evaluation of sudomotor function for screening of diabetic neuropathy","container-title":"ISRN endocrinology","page":"103714","volume":"2012","source":"PubMed","abstract":"Objective. The aim of this study was to compare SUDOSCAN, a new device to evaluate sweat function (reflecting peripheral small C-fiber status), with conventional measures of peripheral and cardiac neuropathy in patients with type 2 diabetes. Methods. 265 diabetic patients were tested for symptoms and clinical signs of neuropathy using Michigan Neuropathy Screening Instrument (MNSI), vibration perception threshold (VPT) using biothesiometer, and cardiac autonomic neuropathy (CAN) using Ewing's protocol. Sudomotor function was investigated with SUDOSCAN through measurement of electrochemical skin conductance (ESC) of hands and feet. Lower ESC is suggestive of sudomotor dysfunction. Results. Lower ESC at feet was significantly associated both with increasing symptoms (MNSI A) and increasing score on physical abnormalities (MNSI B). Lower ESC at feet was also significantly associated with increasing VPT by biothesiometry (P &lt; 0.01), and with higher number of abnormal CAN results (P &lt; 0.05). ESC was associated with postural fall in blood pressure (sympathetic abnormality) (P &lt; 0.05), but not with heart rate variability (HRV) tests (parasympathetic abnormalities). Conclusions. Sudomotor dysfunction testing may be a simple test to alert physicians to peripheral nerve and cardiac sympathetic dysfunction. Ease of performance could make it useful in a busy diabetic clinic. Further studies with hard clinical outcomes are indicated.","DOI":"10.5402/2012/103714","ISSN":"2090-4649","note":"PMID: 22830040\nPMCID: PMC3399356","journalAbbreviation":"ISRN Endocrinol","language":"eng","author":[{"family":"Yajnik","given":"Chittaranjan S."},{"family":"Kantikar","given":"Vaishali V."},{"family":"Pande","given":"Amol J."},{"family":"Deslypere","given":"Jean P."}],"issued":{"date-parts":[["2012"]]}}},{"id":1348,"uris":["http://zotero.org/users/4091385/items/SK4IUUID"],"uri":["http://zotero.org/users/4091385/items/SK4IUUID"],"itemData":{"id":1348,"type":"article-journal","title":"Screening of cardiovascular autonomic neuropathy in patients with diabetes using non-invasive quick and simple assessment of sudomotor function","container-title":"Diabetes &amp; Metabolism","page":"126-131","volume":"39","issue":"2","source":"PubMed","abstract":"AIM: Cardiovascular autonomic neuropathy (CAN) is a common but often overlooked complication of diabetes. Sympathetic C-fibers innervating sweat glands can be impaired early on in patients with diabetes. In this study, SUDOSCAN, a new non-invasive device that assesses sudomotor function was compared to methods generally used for the investigation of CAN.\nPATIENTS: A total of 232 patients with diabetes were measured for heart rate variability (HRV) at rest and during moderate activity. Time and frequency domain analysis techniques, including measurement of the low-frequency (LF) domain component, were assessed during HRV testing. Ewing tests, as recommended by the French Health Authority, were also done. Electrochemical sweat conductance (ESC) was measured on the hands and feet, and a risk-score was calculated.\nRESULTS: Using two abnormal Ewing tests as a reference for the area under the curve (AUC) of the receiver operating characteristics (ROC) curve for SUDOSCAN, the risk-score was 0.74, with a sensitivity of 92% and specificity of 49% for a risk-score cut-off value of 35%. For the ROC curve analysis using the LF power component during moderate activity at a threshold of 90 ms(2) (first quartile) as reference, the AUC was higher for the SUDOSCAN risk-score (0.77) compared with the standard Ewing tests [E:I ratio (0.62), 30:15 ratio (0.76) and blood pressure change on standing (0.55)]. Using a cut-off value of 35%, risk-score sensitivity and specificity were 88 and 54%, respectively.\nCONCLUSION: SUDOSCAN, which allows quick quantitative assessment of sudomotor function, may be used for early screening of CAN in everyday clinical practice before resorting to the more sophisticated and specific, but ultimately more time-consuming, Ewing tests.","DOI":"10.1016/j.diabet.2012.09.004","ISSN":"1878-1780","note":"PMID: 23159130","journalAbbreviation":"Diabetes Metab.","language":"eng","author":[{"family":"Yajnik","given":"C. S."},{"family":"Kantikar","given":"V."},{"family":"Pande","given":"A."},{"family":"Deslypere","given":"J.-P."},{"family":"Dupin","given":"J."},{"family":"Calvet","given":"J.-H."},{"family":"Bauduceau","given":"B."}],"issued":{"date-parts":[["2013",4]]}}}],"schema":"https://github.com/citation-style-language/schema/raw/master/csl-citation.json"} </w:instrText>
      </w:r>
      <w:r w:rsidR="003E0542" w:rsidRPr="00175A9A">
        <w:rPr>
          <w:rFonts w:ascii="Times New Roman" w:hAnsi="Times New Roman" w:cs="Times New Roman"/>
          <w:color w:val="000000" w:themeColor="text1"/>
          <w:sz w:val="24"/>
          <w:szCs w:val="24"/>
          <w:lang w:bidi="mr-IN"/>
        </w:rPr>
        <w:fldChar w:fldCharType="separate"/>
      </w:r>
      <w:r w:rsidR="00BB19B2">
        <w:rPr>
          <w:rFonts w:ascii="Times New Roman" w:hAnsi="Times New Roman" w:cs="Times New Roman"/>
          <w:noProof/>
          <w:color w:val="000000" w:themeColor="text1"/>
          <w:sz w:val="24"/>
          <w:szCs w:val="24"/>
          <w:lang w:bidi="mr-IN"/>
        </w:rPr>
        <w:t>[22,23]</w:t>
      </w:r>
      <w:r w:rsidR="003E0542" w:rsidRPr="00175A9A">
        <w:rPr>
          <w:rFonts w:ascii="Times New Roman" w:hAnsi="Times New Roman" w:cs="Times New Roman"/>
          <w:color w:val="000000" w:themeColor="text1"/>
          <w:sz w:val="24"/>
          <w:szCs w:val="24"/>
          <w:lang w:bidi="mr-IN"/>
        </w:rPr>
        <w:fldChar w:fldCharType="end"/>
      </w:r>
      <w:r w:rsidR="00496D6F" w:rsidRPr="00175A9A">
        <w:rPr>
          <w:rFonts w:ascii="Times New Roman" w:hAnsi="Times New Roman" w:cs="Times New Roman"/>
          <w:color w:val="000000" w:themeColor="text1"/>
          <w:sz w:val="24"/>
          <w:szCs w:val="24"/>
          <w:lang w:bidi="mr-IN"/>
        </w:rPr>
        <w:t>.</w:t>
      </w:r>
      <w:r w:rsidR="007964D0" w:rsidRPr="00175A9A">
        <w:rPr>
          <w:rFonts w:ascii="Times New Roman" w:eastAsia="Times New Roman" w:hAnsi="Times New Roman" w:cs="Times New Roman"/>
          <w:color w:val="000000" w:themeColor="text1"/>
          <w:sz w:val="24"/>
          <w:szCs w:val="24"/>
          <w:lang w:bidi="mr-IN"/>
        </w:rPr>
        <w:t xml:space="preserve"> </w:t>
      </w:r>
      <w:r w:rsidR="007964D0" w:rsidRPr="00175A9A">
        <w:rPr>
          <w:rFonts w:ascii="Times New Roman" w:hAnsi="Times New Roman" w:cs="Times New Roman"/>
          <w:color w:val="000000" w:themeColor="text1"/>
          <w:sz w:val="24"/>
          <w:szCs w:val="24"/>
          <w:lang w:bidi="mr-IN"/>
        </w:rPr>
        <w:t xml:space="preserve">Higher ESC values </w:t>
      </w:r>
      <w:r w:rsidR="00370CED" w:rsidRPr="00175A9A">
        <w:rPr>
          <w:rFonts w:ascii="Times New Roman" w:hAnsi="Times New Roman" w:cs="Times New Roman"/>
          <w:color w:val="000000" w:themeColor="text1"/>
          <w:sz w:val="24"/>
          <w:szCs w:val="24"/>
          <w:lang w:bidi="mr-IN"/>
        </w:rPr>
        <w:t xml:space="preserve">(Electrochemical Skin Conductance = current/power in microSiemens) </w:t>
      </w:r>
      <w:r w:rsidR="007964D0" w:rsidRPr="00175A9A">
        <w:rPr>
          <w:rFonts w:ascii="Times New Roman" w:hAnsi="Times New Roman" w:cs="Times New Roman"/>
          <w:color w:val="000000" w:themeColor="text1"/>
          <w:sz w:val="24"/>
          <w:szCs w:val="24"/>
          <w:lang w:bidi="mr-IN"/>
        </w:rPr>
        <w:t>indicate better nerve function and an ESC value of &lt; 40</w:t>
      </w:r>
      <w:r w:rsidR="007964D0" w:rsidRPr="00175A9A">
        <w:rPr>
          <w:rFonts w:ascii="Times New Roman" w:eastAsia="Times New Roman" w:hAnsi="Times New Roman" w:cs="Times New Roman"/>
          <w:color w:val="000000" w:themeColor="text1"/>
          <w:sz w:val="24"/>
          <w:szCs w:val="24"/>
          <w:lang w:bidi="mr-IN"/>
        </w:rPr>
        <w:t xml:space="preserve">µS is </w:t>
      </w:r>
      <w:r w:rsidR="00CB7D68" w:rsidRPr="00175A9A">
        <w:rPr>
          <w:rFonts w:ascii="Times New Roman" w:eastAsia="Times New Roman" w:hAnsi="Times New Roman" w:cs="Times New Roman"/>
          <w:color w:val="000000" w:themeColor="text1"/>
          <w:sz w:val="24"/>
          <w:szCs w:val="24"/>
          <w:lang w:bidi="mr-IN"/>
        </w:rPr>
        <w:t xml:space="preserve">taken as </w:t>
      </w:r>
      <w:r w:rsidR="00DB055E" w:rsidRPr="00175A9A">
        <w:rPr>
          <w:rFonts w:ascii="Times New Roman" w:eastAsia="Times New Roman" w:hAnsi="Times New Roman" w:cs="Times New Roman"/>
          <w:color w:val="000000" w:themeColor="text1"/>
          <w:sz w:val="24"/>
          <w:szCs w:val="24"/>
          <w:lang w:bidi="mr-IN"/>
        </w:rPr>
        <w:t xml:space="preserve">diagnostic of </w:t>
      </w:r>
      <w:r w:rsidR="00CB7D68" w:rsidRPr="00175A9A">
        <w:rPr>
          <w:rFonts w:ascii="Times New Roman" w:eastAsia="Times New Roman" w:hAnsi="Times New Roman" w:cs="Times New Roman"/>
          <w:color w:val="000000" w:themeColor="text1"/>
          <w:sz w:val="24"/>
          <w:szCs w:val="24"/>
          <w:lang w:bidi="mr-IN"/>
        </w:rPr>
        <w:t>clinically significant</w:t>
      </w:r>
      <w:r w:rsidR="007964D0" w:rsidRPr="00175A9A">
        <w:rPr>
          <w:rFonts w:ascii="Times New Roman" w:eastAsia="Times New Roman" w:hAnsi="Times New Roman" w:cs="Times New Roman"/>
          <w:color w:val="000000" w:themeColor="text1"/>
          <w:sz w:val="24"/>
          <w:szCs w:val="24"/>
          <w:lang w:bidi="mr-IN"/>
        </w:rPr>
        <w:t xml:space="preserve"> neuropathy</w:t>
      </w:r>
      <w:r w:rsidR="002D59CC" w:rsidRPr="00175A9A">
        <w:rPr>
          <w:rFonts w:ascii="Times New Roman" w:hAnsi="Times New Roman" w:cs="Times New Roman"/>
          <w:color w:val="000000" w:themeColor="text1"/>
          <w:sz w:val="24"/>
          <w:szCs w:val="24"/>
          <w:lang w:bidi="mr-IN"/>
        </w:rPr>
        <w:t xml:space="preserve"> (as provided by the manufacturer).</w:t>
      </w:r>
      <w:r w:rsidR="00CB7D68" w:rsidRPr="00175A9A">
        <w:rPr>
          <w:rFonts w:ascii="Times New Roman" w:hAnsi="Times New Roman" w:cs="Times New Roman"/>
          <w:color w:val="000000" w:themeColor="text1"/>
          <w:sz w:val="24"/>
          <w:szCs w:val="24"/>
          <w:lang w:bidi="mr-IN"/>
        </w:rPr>
        <w:t xml:space="preserve"> </w:t>
      </w:r>
      <w:r w:rsidR="0024797D" w:rsidRPr="00175A9A">
        <w:rPr>
          <w:rFonts w:ascii="Times New Roman" w:hAnsi="Times New Roman" w:cs="Times New Roman"/>
          <w:color w:val="000000" w:themeColor="text1"/>
          <w:sz w:val="24"/>
          <w:szCs w:val="24"/>
          <w:lang w:bidi="mr-IN"/>
        </w:rPr>
        <w:t xml:space="preserve">Lower </w:t>
      </w:r>
      <w:r w:rsidR="006F3ADE" w:rsidRPr="00175A9A">
        <w:rPr>
          <w:rFonts w:ascii="Times New Roman" w:hAnsi="Times New Roman" w:cs="Times New Roman"/>
          <w:color w:val="000000" w:themeColor="text1"/>
          <w:sz w:val="24"/>
          <w:szCs w:val="24"/>
          <w:lang w:bidi="mr-IN"/>
        </w:rPr>
        <w:t>limbs are more sensitive to nerve tissue function changes</w:t>
      </w:r>
      <w:r w:rsidR="00CB7D68" w:rsidRPr="00175A9A">
        <w:rPr>
          <w:rFonts w:ascii="Times New Roman" w:hAnsi="Times New Roman" w:cs="Times New Roman"/>
          <w:color w:val="000000" w:themeColor="text1"/>
          <w:sz w:val="24"/>
          <w:szCs w:val="24"/>
          <w:lang w:bidi="mr-IN"/>
        </w:rPr>
        <w:t>,</w:t>
      </w:r>
      <w:r w:rsidR="006F3ADE" w:rsidRPr="00175A9A">
        <w:rPr>
          <w:rFonts w:ascii="Times New Roman" w:hAnsi="Times New Roman" w:cs="Times New Roman"/>
          <w:color w:val="000000" w:themeColor="text1"/>
          <w:sz w:val="24"/>
          <w:szCs w:val="24"/>
          <w:lang w:bidi="mr-IN"/>
        </w:rPr>
        <w:t xml:space="preserve"> </w:t>
      </w:r>
      <w:r w:rsidR="0024797D" w:rsidRPr="00175A9A">
        <w:rPr>
          <w:rFonts w:ascii="Times New Roman" w:hAnsi="Times New Roman" w:cs="Times New Roman"/>
          <w:color w:val="000000" w:themeColor="text1"/>
          <w:sz w:val="24"/>
          <w:szCs w:val="24"/>
          <w:lang w:bidi="mr-IN"/>
        </w:rPr>
        <w:t xml:space="preserve">and hence we measured the ESC values </w:t>
      </w:r>
      <w:r w:rsidR="00B10C94" w:rsidRPr="00175A9A">
        <w:rPr>
          <w:rFonts w:ascii="Times New Roman" w:hAnsi="Times New Roman" w:cs="Times New Roman"/>
          <w:color w:val="000000" w:themeColor="text1"/>
          <w:sz w:val="24"/>
          <w:szCs w:val="24"/>
          <w:lang w:bidi="mr-IN"/>
        </w:rPr>
        <w:t>in</w:t>
      </w:r>
      <w:r w:rsidR="0024797D" w:rsidRPr="00175A9A">
        <w:rPr>
          <w:rFonts w:ascii="Times New Roman" w:hAnsi="Times New Roman" w:cs="Times New Roman"/>
          <w:color w:val="000000" w:themeColor="text1"/>
          <w:sz w:val="24"/>
          <w:szCs w:val="24"/>
          <w:lang w:bidi="mr-IN"/>
        </w:rPr>
        <w:t xml:space="preserve"> the feet </w:t>
      </w:r>
      <w:r w:rsidR="002872F4" w:rsidRPr="00175A9A">
        <w:rPr>
          <w:rFonts w:ascii="Times New Roman" w:hAnsi="Times New Roman" w:cs="Times New Roman"/>
          <w:color w:val="000000" w:themeColor="text1"/>
          <w:sz w:val="24"/>
          <w:szCs w:val="24"/>
          <w:lang w:bidi="mr-IN"/>
        </w:rPr>
        <w:t>in this study</w:t>
      </w:r>
      <w:r w:rsidR="005866D6" w:rsidRPr="00175A9A">
        <w:rPr>
          <w:rFonts w:ascii="Times New Roman" w:hAnsi="Times New Roman" w:cs="Times New Roman"/>
          <w:color w:val="000000" w:themeColor="text1"/>
          <w:sz w:val="24"/>
          <w:szCs w:val="24"/>
          <w:lang w:bidi="mr-IN"/>
        </w:rPr>
        <w:t>.</w:t>
      </w:r>
      <w:r w:rsidR="002A36A5" w:rsidRPr="00175A9A">
        <w:rPr>
          <w:rFonts w:ascii="Times New Roman" w:hAnsi="Times New Roman" w:cs="Times New Roman"/>
          <w:color w:val="000000" w:themeColor="text1"/>
          <w:sz w:val="24"/>
          <w:szCs w:val="24"/>
          <w:lang w:bidi="mr-IN"/>
        </w:rPr>
        <w:t xml:space="preserve"> </w:t>
      </w:r>
      <w:r w:rsidR="00421B9B" w:rsidRPr="00175A9A">
        <w:rPr>
          <w:rFonts w:ascii="Times New Roman" w:hAnsi="Times New Roman" w:cs="Times New Roman"/>
          <w:color w:val="000000" w:themeColor="text1"/>
          <w:sz w:val="24"/>
          <w:szCs w:val="24"/>
          <w:lang w:bidi="mr-IN"/>
        </w:rPr>
        <w:t xml:space="preserve">Nerve conduction studies were performed antidromically to measure sensory nerve conduction velocities in both sural nerves of lower limb and both median nerves of upper limb </w:t>
      </w:r>
      <w:r w:rsidR="00D95351" w:rsidRPr="00175A9A">
        <w:rPr>
          <w:rFonts w:ascii="Times New Roman" w:hAnsi="Times New Roman" w:cs="Times New Roman"/>
          <w:color w:val="000000" w:themeColor="text1"/>
          <w:sz w:val="24"/>
          <w:szCs w:val="24"/>
          <w:lang w:bidi="mr-IN"/>
        </w:rPr>
        <w:t>(Nicolet Biomedical EMG/NCS system)</w:t>
      </w:r>
      <w:r w:rsidR="00421B9B" w:rsidRPr="00175A9A">
        <w:rPr>
          <w:rFonts w:ascii="Times New Roman" w:hAnsi="Times New Roman" w:cs="Times New Roman"/>
          <w:color w:val="000000" w:themeColor="text1"/>
          <w:sz w:val="24"/>
          <w:szCs w:val="24"/>
          <w:lang w:bidi="mr-IN"/>
        </w:rPr>
        <w:t>.</w:t>
      </w:r>
      <w:r w:rsidR="00D95351" w:rsidRPr="00175A9A">
        <w:rPr>
          <w:rFonts w:ascii="Times New Roman" w:hAnsi="Times New Roman" w:cs="Times New Roman"/>
          <w:color w:val="000000" w:themeColor="text1"/>
          <w:sz w:val="24"/>
          <w:szCs w:val="24"/>
          <w:lang w:bidi="mr-IN"/>
        </w:rPr>
        <w:t xml:space="preserve"> </w:t>
      </w:r>
      <w:r w:rsidR="00421B9B" w:rsidRPr="00175A9A">
        <w:rPr>
          <w:rFonts w:ascii="Times New Roman" w:hAnsi="Times New Roman" w:cs="Times New Roman"/>
          <w:color w:val="000000" w:themeColor="text1"/>
          <w:sz w:val="24"/>
          <w:szCs w:val="24"/>
          <w:lang w:bidi="mr-IN"/>
        </w:rPr>
        <w:t xml:space="preserve"> </w:t>
      </w:r>
    </w:p>
    <w:p w14:paraId="68B26F07" w14:textId="77777777" w:rsidR="00DA5110" w:rsidRPr="00175A9A" w:rsidRDefault="00DA5110" w:rsidP="00330CC2">
      <w:pPr>
        <w:spacing w:line="480" w:lineRule="auto"/>
        <w:jc w:val="both"/>
        <w:rPr>
          <w:rFonts w:ascii="Times New Roman" w:hAnsi="Times New Roman" w:cs="Times New Roman"/>
          <w:color w:val="000000" w:themeColor="text1"/>
          <w:sz w:val="24"/>
          <w:szCs w:val="24"/>
          <w:lang w:bidi="mr-IN"/>
        </w:rPr>
      </w:pPr>
    </w:p>
    <w:p w14:paraId="3D2ECC2C" w14:textId="77777777" w:rsidR="00853A2C" w:rsidRPr="00175A9A" w:rsidRDefault="0078146D" w:rsidP="00330CC2">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Statistical analysis: </w:t>
      </w:r>
    </w:p>
    <w:p w14:paraId="60665DDE" w14:textId="5FEBF097" w:rsidR="00981781" w:rsidRPr="00175A9A" w:rsidRDefault="00B46AD7" w:rsidP="00330CC2">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lastRenderedPageBreak/>
        <w:t xml:space="preserve">The </w:t>
      </w:r>
      <w:r w:rsidR="00CB7D68" w:rsidRPr="00175A9A">
        <w:rPr>
          <w:rFonts w:ascii="Times New Roman" w:hAnsi="Times New Roman" w:cs="Times New Roman"/>
          <w:color w:val="000000" w:themeColor="text1"/>
          <w:sz w:val="24"/>
          <w:szCs w:val="24"/>
          <w:lang w:bidi="mr-IN"/>
        </w:rPr>
        <w:t xml:space="preserve">outcomes </w:t>
      </w:r>
      <w:r w:rsidR="002015B2" w:rsidRPr="00175A9A">
        <w:rPr>
          <w:rFonts w:ascii="Times New Roman" w:hAnsi="Times New Roman" w:cs="Times New Roman"/>
          <w:color w:val="000000" w:themeColor="text1"/>
          <w:sz w:val="24"/>
          <w:szCs w:val="24"/>
          <w:lang w:bidi="mr-IN"/>
        </w:rPr>
        <w:t xml:space="preserve">included </w:t>
      </w:r>
      <w:r w:rsidR="00853A2C" w:rsidRPr="00175A9A">
        <w:rPr>
          <w:rFonts w:ascii="Times New Roman" w:hAnsi="Times New Roman" w:cs="Times New Roman"/>
          <w:color w:val="000000" w:themeColor="text1"/>
          <w:sz w:val="24"/>
          <w:szCs w:val="24"/>
          <w:lang w:bidi="mr-IN"/>
        </w:rPr>
        <w:t>plasma</w:t>
      </w:r>
      <w:r w:rsidR="00375458" w:rsidRPr="00175A9A">
        <w:rPr>
          <w:rFonts w:ascii="Times New Roman" w:hAnsi="Times New Roman" w:cs="Times New Roman"/>
          <w:color w:val="000000" w:themeColor="text1"/>
          <w:sz w:val="24"/>
          <w:szCs w:val="24"/>
          <w:lang w:bidi="mr-IN"/>
        </w:rPr>
        <w:t xml:space="preserve"> </w:t>
      </w:r>
      <w:r w:rsidR="00B03C12" w:rsidRPr="00175A9A">
        <w:rPr>
          <w:rFonts w:ascii="Times New Roman" w:hAnsi="Times New Roman" w:cs="Times New Roman"/>
          <w:color w:val="000000" w:themeColor="text1"/>
          <w:sz w:val="24"/>
          <w:szCs w:val="24"/>
          <w:lang w:bidi="mr-IN"/>
        </w:rPr>
        <w:t>v</w:t>
      </w:r>
      <w:r w:rsidR="00D54C77" w:rsidRPr="00175A9A">
        <w:rPr>
          <w:rFonts w:ascii="Times New Roman" w:hAnsi="Times New Roman" w:cs="Times New Roman"/>
          <w:color w:val="000000" w:themeColor="text1"/>
          <w:sz w:val="24"/>
          <w:szCs w:val="24"/>
          <w:lang w:bidi="mr-IN"/>
        </w:rPr>
        <w:t xml:space="preserve">itamin </w:t>
      </w:r>
      <w:r w:rsidR="00A85EA6" w:rsidRPr="00175A9A">
        <w:rPr>
          <w:rFonts w:ascii="Times New Roman" w:hAnsi="Times New Roman" w:cs="Times New Roman"/>
          <w:color w:val="000000" w:themeColor="text1"/>
          <w:sz w:val="24"/>
          <w:szCs w:val="24"/>
          <w:lang w:bidi="mr-IN"/>
        </w:rPr>
        <w:t>B-12</w:t>
      </w:r>
      <w:r w:rsidR="00853A2C" w:rsidRPr="00175A9A">
        <w:rPr>
          <w:rFonts w:ascii="Times New Roman" w:hAnsi="Times New Roman" w:cs="Times New Roman"/>
          <w:color w:val="000000" w:themeColor="text1"/>
          <w:sz w:val="24"/>
          <w:szCs w:val="24"/>
          <w:lang w:bidi="mr-IN"/>
        </w:rPr>
        <w:t xml:space="preserve"> and</w:t>
      </w:r>
      <w:r w:rsidR="007964D0" w:rsidRPr="00175A9A">
        <w:rPr>
          <w:rFonts w:ascii="Times New Roman" w:hAnsi="Times New Roman" w:cs="Times New Roman"/>
          <w:color w:val="000000" w:themeColor="text1"/>
          <w:sz w:val="24"/>
          <w:szCs w:val="24"/>
          <w:lang w:bidi="mr-IN"/>
        </w:rPr>
        <w:t xml:space="preserve"> </w:t>
      </w:r>
      <w:r w:rsidR="00853A2C" w:rsidRPr="00175A9A">
        <w:rPr>
          <w:rFonts w:ascii="Times New Roman" w:hAnsi="Times New Roman" w:cs="Times New Roman"/>
          <w:color w:val="000000" w:themeColor="text1"/>
          <w:sz w:val="24"/>
          <w:szCs w:val="24"/>
          <w:lang w:bidi="mr-IN"/>
        </w:rPr>
        <w:t xml:space="preserve">tHcy </w:t>
      </w:r>
      <w:r w:rsidR="00406D4C" w:rsidRPr="00175A9A">
        <w:rPr>
          <w:rFonts w:ascii="Times New Roman" w:hAnsi="Times New Roman" w:cs="Times New Roman"/>
          <w:color w:val="000000" w:themeColor="text1"/>
          <w:sz w:val="24"/>
          <w:szCs w:val="24"/>
          <w:lang w:bidi="mr-IN"/>
        </w:rPr>
        <w:t>concentration</w:t>
      </w:r>
      <w:r w:rsidR="00853A2C" w:rsidRPr="00175A9A">
        <w:rPr>
          <w:rFonts w:ascii="Times New Roman" w:hAnsi="Times New Roman" w:cs="Times New Roman"/>
          <w:color w:val="000000" w:themeColor="text1"/>
          <w:sz w:val="24"/>
          <w:szCs w:val="24"/>
          <w:lang w:bidi="mr-IN"/>
        </w:rPr>
        <w:t>s</w:t>
      </w:r>
      <w:r w:rsidR="00D54C77" w:rsidRPr="00175A9A">
        <w:rPr>
          <w:rFonts w:ascii="Times New Roman" w:hAnsi="Times New Roman" w:cs="Times New Roman"/>
          <w:color w:val="000000" w:themeColor="text1"/>
          <w:sz w:val="24"/>
          <w:szCs w:val="24"/>
          <w:lang w:bidi="mr-IN"/>
        </w:rPr>
        <w:t xml:space="preserve">, </w:t>
      </w:r>
      <w:r w:rsidR="00584677" w:rsidRPr="00175A9A">
        <w:rPr>
          <w:rFonts w:ascii="Times New Roman" w:hAnsi="Times New Roman" w:cs="Times New Roman"/>
          <w:color w:val="000000" w:themeColor="text1"/>
          <w:sz w:val="24"/>
          <w:szCs w:val="24"/>
          <w:lang w:bidi="mr-IN"/>
        </w:rPr>
        <w:t>hemoglobin</w:t>
      </w:r>
      <w:r w:rsidR="00853A2C" w:rsidRPr="00175A9A">
        <w:rPr>
          <w:rFonts w:ascii="Times New Roman" w:hAnsi="Times New Roman" w:cs="Times New Roman"/>
          <w:color w:val="000000" w:themeColor="text1"/>
          <w:sz w:val="24"/>
          <w:szCs w:val="24"/>
          <w:lang w:bidi="mr-IN"/>
        </w:rPr>
        <w:t xml:space="preserve">, </w:t>
      </w:r>
      <w:r w:rsidR="001C2E4D" w:rsidRPr="00175A9A">
        <w:rPr>
          <w:rFonts w:ascii="Times New Roman" w:hAnsi="Times New Roman" w:cs="Times New Roman"/>
          <w:color w:val="000000" w:themeColor="text1"/>
          <w:sz w:val="24"/>
          <w:szCs w:val="24"/>
          <w:lang w:bidi="mr-IN"/>
        </w:rPr>
        <w:t>mean corpuscular volume (</w:t>
      </w:r>
      <w:r w:rsidR="00584677" w:rsidRPr="00175A9A">
        <w:rPr>
          <w:rFonts w:ascii="Times New Roman" w:hAnsi="Times New Roman" w:cs="Times New Roman"/>
          <w:color w:val="000000" w:themeColor="text1"/>
          <w:sz w:val="24"/>
          <w:szCs w:val="24"/>
          <w:lang w:bidi="mr-IN"/>
        </w:rPr>
        <w:t>MCV</w:t>
      </w:r>
      <w:r w:rsidR="001C2E4D" w:rsidRPr="00175A9A">
        <w:rPr>
          <w:rFonts w:ascii="Times New Roman" w:hAnsi="Times New Roman" w:cs="Times New Roman"/>
          <w:color w:val="000000" w:themeColor="text1"/>
          <w:sz w:val="24"/>
          <w:szCs w:val="24"/>
          <w:lang w:bidi="mr-IN"/>
        </w:rPr>
        <w:t>)</w:t>
      </w:r>
      <w:r w:rsidR="00853A2C" w:rsidRPr="00175A9A">
        <w:rPr>
          <w:rFonts w:ascii="Times New Roman" w:hAnsi="Times New Roman" w:cs="Times New Roman"/>
          <w:color w:val="000000" w:themeColor="text1"/>
          <w:sz w:val="24"/>
          <w:szCs w:val="24"/>
          <w:lang w:bidi="mr-IN"/>
        </w:rPr>
        <w:t xml:space="preserve"> and red cell diameter (RDW)</w:t>
      </w:r>
      <w:r w:rsidR="002015B2" w:rsidRPr="00175A9A">
        <w:rPr>
          <w:rFonts w:ascii="Times New Roman" w:hAnsi="Times New Roman" w:cs="Times New Roman"/>
          <w:color w:val="000000" w:themeColor="text1"/>
          <w:sz w:val="24"/>
          <w:szCs w:val="24"/>
          <w:lang w:bidi="mr-IN"/>
        </w:rPr>
        <w:t>. Additional outcomes were</w:t>
      </w:r>
      <w:r w:rsidR="00326364" w:rsidRPr="00175A9A">
        <w:rPr>
          <w:rFonts w:ascii="Times New Roman" w:hAnsi="Times New Roman" w:cs="Times New Roman"/>
          <w:color w:val="000000" w:themeColor="text1"/>
          <w:sz w:val="24"/>
          <w:szCs w:val="24"/>
          <w:lang w:bidi="mr-IN"/>
        </w:rPr>
        <w:t xml:space="preserve"> </w:t>
      </w:r>
      <w:r w:rsidR="00060101" w:rsidRPr="00175A9A">
        <w:rPr>
          <w:rFonts w:ascii="Times New Roman" w:hAnsi="Times New Roman" w:cs="Times New Roman"/>
          <w:color w:val="000000" w:themeColor="text1"/>
          <w:sz w:val="24"/>
          <w:szCs w:val="24"/>
          <w:lang w:bidi="mr-IN"/>
        </w:rPr>
        <w:t>clinical peripheral neuropathy measures</w:t>
      </w:r>
      <w:r w:rsidR="002015B2" w:rsidRPr="00175A9A">
        <w:rPr>
          <w:rFonts w:ascii="Times New Roman" w:hAnsi="Times New Roman" w:cs="Times New Roman"/>
          <w:color w:val="000000" w:themeColor="text1"/>
          <w:sz w:val="24"/>
          <w:szCs w:val="24"/>
          <w:lang w:bidi="mr-IN"/>
        </w:rPr>
        <w:t>,</w:t>
      </w:r>
      <w:r w:rsidR="00060101" w:rsidRPr="00175A9A">
        <w:rPr>
          <w:rFonts w:ascii="Times New Roman" w:hAnsi="Times New Roman" w:cs="Times New Roman"/>
          <w:color w:val="000000" w:themeColor="text1"/>
          <w:sz w:val="24"/>
          <w:szCs w:val="24"/>
          <w:lang w:bidi="mr-IN"/>
        </w:rPr>
        <w:t xml:space="preserve"> </w:t>
      </w:r>
      <w:r w:rsidR="00853A2C" w:rsidRPr="00175A9A">
        <w:rPr>
          <w:rFonts w:ascii="Times New Roman" w:hAnsi="Times New Roman" w:cs="Times New Roman"/>
          <w:color w:val="000000" w:themeColor="text1"/>
          <w:sz w:val="24"/>
          <w:szCs w:val="24"/>
          <w:lang w:bidi="mr-IN"/>
        </w:rPr>
        <w:t xml:space="preserve">SUDOSCAN </w:t>
      </w:r>
      <w:r w:rsidR="00CB7D68" w:rsidRPr="00175A9A">
        <w:rPr>
          <w:rFonts w:ascii="Times New Roman" w:hAnsi="Times New Roman" w:cs="Times New Roman"/>
          <w:color w:val="000000" w:themeColor="text1"/>
          <w:sz w:val="24"/>
          <w:szCs w:val="24"/>
          <w:lang w:bidi="mr-IN"/>
        </w:rPr>
        <w:t xml:space="preserve">ESC </w:t>
      </w:r>
      <w:r w:rsidR="00F62176" w:rsidRPr="00175A9A">
        <w:rPr>
          <w:rFonts w:ascii="Times New Roman" w:hAnsi="Times New Roman" w:cs="Times New Roman"/>
          <w:color w:val="000000" w:themeColor="text1"/>
          <w:sz w:val="24"/>
          <w:szCs w:val="24"/>
          <w:lang w:bidi="mr-IN"/>
        </w:rPr>
        <w:t>measurements</w:t>
      </w:r>
      <w:r w:rsidR="002015B2" w:rsidRPr="00175A9A">
        <w:rPr>
          <w:rFonts w:ascii="Times New Roman" w:hAnsi="Times New Roman" w:cs="Times New Roman"/>
          <w:color w:val="000000" w:themeColor="text1"/>
          <w:sz w:val="24"/>
          <w:szCs w:val="24"/>
          <w:lang w:bidi="mr-IN"/>
        </w:rPr>
        <w:t xml:space="preserve">, and </w:t>
      </w:r>
      <w:r w:rsidR="006C44A6" w:rsidRPr="00175A9A">
        <w:rPr>
          <w:rFonts w:ascii="Times New Roman" w:hAnsi="Times New Roman" w:cs="Times New Roman"/>
          <w:color w:val="000000" w:themeColor="text1"/>
          <w:sz w:val="24"/>
          <w:szCs w:val="24"/>
          <w:lang w:bidi="mr-IN"/>
        </w:rPr>
        <w:t xml:space="preserve">sensory NCV values of </w:t>
      </w:r>
      <w:r w:rsidR="00267F5C">
        <w:rPr>
          <w:rFonts w:ascii="Times New Roman" w:hAnsi="Times New Roman" w:cs="Times New Roman"/>
          <w:color w:val="000000" w:themeColor="text1"/>
          <w:sz w:val="24"/>
          <w:szCs w:val="24"/>
          <w:lang w:bidi="mr-IN"/>
        </w:rPr>
        <w:t xml:space="preserve">the </w:t>
      </w:r>
      <w:r w:rsidR="002015B2" w:rsidRPr="00175A9A">
        <w:rPr>
          <w:rFonts w:ascii="Times New Roman" w:hAnsi="Times New Roman" w:cs="Times New Roman"/>
          <w:color w:val="000000" w:themeColor="text1"/>
          <w:sz w:val="24"/>
          <w:szCs w:val="24"/>
          <w:lang w:bidi="mr-IN"/>
        </w:rPr>
        <w:t>m</w:t>
      </w:r>
      <w:r w:rsidR="006C44A6" w:rsidRPr="00175A9A">
        <w:rPr>
          <w:rFonts w:ascii="Times New Roman" w:hAnsi="Times New Roman" w:cs="Times New Roman"/>
          <w:color w:val="000000" w:themeColor="text1"/>
          <w:sz w:val="24"/>
          <w:szCs w:val="24"/>
          <w:lang w:bidi="mr-IN"/>
        </w:rPr>
        <w:t xml:space="preserve">edian and </w:t>
      </w:r>
      <w:r w:rsidR="002015B2" w:rsidRPr="00175A9A">
        <w:rPr>
          <w:rFonts w:ascii="Times New Roman" w:hAnsi="Times New Roman" w:cs="Times New Roman"/>
          <w:color w:val="000000" w:themeColor="text1"/>
          <w:sz w:val="24"/>
          <w:szCs w:val="24"/>
          <w:lang w:bidi="mr-IN"/>
        </w:rPr>
        <w:t>s</w:t>
      </w:r>
      <w:r w:rsidR="006C44A6" w:rsidRPr="00175A9A">
        <w:rPr>
          <w:rFonts w:ascii="Times New Roman" w:hAnsi="Times New Roman" w:cs="Times New Roman"/>
          <w:color w:val="000000" w:themeColor="text1"/>
          <w:sz w:val="24"/>
          <w:szCs w:val="24"/>
          <w:lang w:bidi="mr-IN"/>
        </w:rPr>
        <w:t>ural nerves</w:t>
      </w:r>
      <w:r w:rsidR="002015B2" w:rsidRPr="00175A9A">
        <w:rPr>
          <w:rFonts w:ascii="Times New Roman" w:hAnsi="Times New Roman" w:cs="Times New Roman"/>
          <w:color w:val="000000" w:themeColor="text1"/>
          <w:sz w:val="24"/>
          <w:szCs w:val="24"/>
          <w:lang w:bidi="mr-IN"/>
        </w:rPr>
        <w:t>; all nerve measurements</w:t>
      </w:r>
      <w:r w:rsidR="006C44A6" w:rsidRPr="00175A9A">
        <w:rPr>
          <w:rFonts w:ascii="Times New Roman" w:hAnsi="Times New Roman" w:cs="Times New Roman"/>
          <w:color w:val="000000" w:themeColor="text1"/>
          <w:sz w:val="24"/>
          <w:szCs w:val="24"/>
          <w:lang w:bidi="mr-IN"/>
        </w:rPr>
        <w:t xml:space="preserve"> </w:t>
      </w:r>
      <w:r w:rsidR="002015B2" w:rsidRPr="00175A9A">
        <w:rPr>
          <w:rFonts w:ascii="Times New Roman" w:hAnsi="Times New Roman" w:cs="Times New Roman"/>
          <w:color w:val="000000" w:themeColor="text1"/>
          <w:sz w:val="24"/>
          <w:szCs w:val="24"/>
          <w:lang w:bidi="mr-IN"/>
        </w:rPr>
        <w:t>for</w:t>
      </w:r>
      <w:r w:rsidR="006C44A6" w:rsidRPr="00175A9A">
        <w:rPr>
          <w:rFonts w:ascii="Times New Roman" w:hAnsi="Times New Roman" w:cs="Times New Roman"/>
          <w:color w:val="000000" w:themeColor="text1"/>
          <w:sz w:val="24"/>
          <w:szCs w:val="24"/>
          <w:lang w:bidi="mr-IN"/>
        </w:rPr>
        <w:t xml:space="preserve"> </w:t>
      </w:r>
      <w:r w:rsidR="00267F5C">
        <w:rPr>
          <w:rFonts w:ascii="Times New Roman" w:hAnsi="Times New Roman" w:cs="Times New Roman"/>
          <w:color w:val="000000" w:themeColor="text1"/>
          <w:sz w:val="24"/>
          <w:szCs w:val="24"/>
          <w:lang w:bidi="mr-IN"/>
        </w:rPr>
        <w:t xml:space="preserve">the </w:t>
      </w:r>
      <w:r w:rsidR="006C44A6" w:rsidRPr="00175A9A">
        <w:rPr>
          <w:rFonts w:ascii="Times New Roman" w:hAnsi="Times New Roman" w:cs="Times New Roman"/>
          <w:color w:val="000000" w:themeColor="text1"/>
          <w:sz w:val="24"/>
          <w:szCs w:val="24"/>
          <w:lang w:bidi="mr-IN"/>
        </w:rPr>
        <w:t xml:space="preserve">right and left sides were averaged for </w:t>
      </w:r>
      <w:r w:rsidR="00267F5C">
        <w:rPr>
          <w:rFonts w:ascii="Times New Roman" w:hAnsi="Times New Roman" w:cs="Times New Roman"/>
          <w:color w:val="000000" w:themeColor="text1"/>
          <w:sz w:val="24"/>
          <w:szCs w:val="24"/>
          <w:lang w:bidi="mr-IN"/>
        </w:rPr>
        <w:t xml:space="preserve">the </w:t>
      </w:r>
      <w:r w:rsidR="006C44A6" w:rsidRPr="00175A9A">
        <w:rPr>
          <w:rFonts w:ascii="Times New Roman" w:hAnsi="Times New Roman" w:cs="Times New Roman"/>
          <w:color w:val="000000" w:themeColor="text1"/>
          <w:sz w:val="24"/>
          <w:szCs w:val="24"/>
          <w:lang w:bidi="mr-IN"/>
        </w:rPr>
        <w:t>analysis.</w:t>
      </w:r>
      <w:r w:rsidR="00CB7D68" w:rsidRPr="00175A9A">
        <w:rPr>
          <w:rFonts w:ascii="Times New Roman" w:hAnsi="Times New Roman" w:cs="Times New Roman"/>
          <w:color w:val="000000" w:themeColor="text1"/>
          <w:sz w:val="24"/>
          <w:szCs w:val="24"/>
          <w:lang w:bidi="mr-IN"/>
        </w:rPr>
        <w:t xml:space="preserve"> </w:t>
      </w:r>
      <w:r w:rsidR="008A45A6" w:rsidRPr="00175A9A">
        <w:rPr>
          <w:rFonts w:ascii="Times New Roman" w:hAnsi="Times New Roman" w:cs="Times New Roman"/>
          <w:color w:val="000000" w:themeColor="text1"/>
          <w:sz w:val="24"/>
          <w:szCs w:val="24"/>
          <w:lang w:bidi="mr-IN"/>
        </w:rPr>
        <w:t xml:space="preserve">Many </w:t>
      </w:r>
      <w:r w:rsidR="00AF3AD0" w:rsidRPr="00175A9A">
        <w:rPr>
          <w:rFonts w:ascii="Times New Roman" w:hAnsi="Times New Roman" w:cs="Times New Roman"/>
          <w:color w:val="000000" w:themeColor="text1"/>
          <w:sz w:val="24"/>
          <w:szCs w:val="24"/>
          <w:lang w:bidi="mr-IN"/>
        </w:rPr>
        <w:t xml:space="preserve">variables were not normally distributed and hence </w:t>
      </w:r>
      <w:r w:rsidR="006B70B8" w:rsidRPr="00175A9A">
        <w:rPr>
          <w:rFonts w:ascii="Times New Roman" w:hAnsi="Times New Roman" w:cs="Times New Roman"/>
          <w:color w:val="000000" w:themeColor="text1"/>
          <w:sz w:val="24"/>
          <w:szCs w:val="24"/>
          <w:lang w:bidi="mr-IN"/>
        </w:rPr>
        <w:t>non-parametric</w:t>
      </w:r>
      <w:r w:rsidR="000E705C" w:rsidRPr="00175A9A">
        <w:rPr>
          <w:rFonts w:ascii="Times New Roman" w:hAnsi="Times New Roman" w:cs="Times New Roman"/>
          <w:color w:val="000000" w:themeColor="text1"/>
          <w:sz w:val="24"/>
          <w:szCs w:val="24"/>
          <w:lang w:bidi="mr-IN"/>
        </w:rPr>
        <w:t xml:space="preserve"> </w:t>
      </w:r>
      <w:r w:rsidR="00AF3AD0" w:rsidRPr="00175A9A">
        <w:rPr>
          <w:rFonts w:ascii="Times New Roman" w:hAnsi="Times New Roman" w:cs="Times New Roman"/>
          <w:color w:val="000000" w:themeColor="text1"/>
          <w:sz w:val="24"/>
          <w:szCs w:val="24"/>
          <w:lang w:bidi="mr-IN"/>
        </w:rPr>
        <w:t xml:space="preserve">statistical tests were applied. </w:t>
      </w:r>
      <w:r w:rsidR="0078146D" w:rsidRPr="00175A9A">
        <w:rPr>
          <w:rFonts w:ascii="Times New Roman" w:hAnsi="Times New Roman" w:cs="Times New Roman"/>
          <w:color w:val="000000" w:themeColor="text1"/>
          <w:sz w:val="24"/>
          <w:szCs w:val="24"/>
          <w:lang w:bidi="mr-IN"/>
        </w:rPr>
        <w:t xml:space="preserve">Data are presented as </w:t>
      </w:r>
      <w:r w:rsidR="00AF3AD0" w:rsidRPr="00175A9A">
        <w:rPr>
          <w:rFonts w:ascii="Times New Roman" w:hAnsi="Times New Roman" w:cs="Times New Roman"/>
          <w:color w:val="000000" w:themeColor="text1"/>
          <w:sz w:val="24"/>
          <w:szCs w:val="24"/>
          <w:lang w:bidi="mr-IN"/>
        </w:rPr>
        <w:t>median and 25</w:t>
      </w:r>
      <w:r w:rsidR="00AF3AD0" w:rsidRPr="00175A9A">
        <w:rPr>
          <w:rFonts w:ascii="Times New Roman" w:hAnsi="Times New Roman" w:cs="Times New Roman"/>
          <w:color w:val="000000" w:themeColor="text1"/>
          <w:sz w:val="24"/>
          <w:szCs w:val="24"/>
          <w:vertAlign w:val="superscript"/>
          <w:lang w:bidi="mr-IN"/>
        </w:rPr>
        <w:t>th</w:t>
      </w:r>
      <w:r w:rsidR="00AF3AD0" w:rsidRPr="00175A9A">
        <w:rPr>
          <w:rFonts w:ascii="Times New Roman" w:hAnsi="Times New Roman" w:cs="Times New Roman"/>
          <w:color w:val="000000" w:themeColor="text1"/>
          <w:sz w:val="24"/>
          <w:szCs w:val="24"/>
          <w:lang w:bidi="mr-IN"/>
        </w:rPr>
        <w:t xml:space="preserve"> &amp; 75</w:t>
      </w:r>
      <w:r w:rsidR="00AF3AD0" w:rsidRPr="00175A9A">
        <w:rPr>
          <w:rFonts w:ascii="Times New Roman" w:hAnsi="Times New Roman" w:cs="Times New Roman"/>
          <w:color w:val="000000" w:themeColor="text1"/>
          <w:sz w:val="24"/>
          <w:szCs w:val="24"/>
          <w:vertAlign w:val="superscript"/>
          <w:lang w:bidi="mr-IN"/>
        </w:rPr>
        <w:t>th</w:t>
      </w:r>
      <w:r w:rsidR="00AF3AD0" w:rsidRPr="00175A9A">
        <w:rPr>
          <w:rFonts w:ascii="Times New Roman" w:hAnsi="Times New Roman" w:cs="Times New Roman"/>
          <w:color w:val="000000" w:themeColor="text1"/>
          <w:sz w:val="24"/>
          <w:szCs w:val="24"/>
          <w:lang w:bidi="mr-IN"/>
        </w:rPr>
        <w:t xml:space="preserve"> percentile </w:t>
      </w:r>
      <w:r w:rsidR="00AC03FE" w:rsidRPr="00175A9A">
        <w:rPr>
          <w:rFonts w:ascii="Times New Roman" w:hAnsi="Times New Roman" w:cs="Times New Roman"/>
          <w:color w:val="000000" w:themeColor="text1"/>
          <w:sz w:val="24"/>
          <w:szCs w:val="24"/>
          <w:lang w:bidi="mr-IN"/>
        </w:rPr>
        <w:t>values</w:t>
      </w:r>
      <w:r w:rsidR="0078146D" w:rsidRPr="00175A9A">
        <w:rPr>
          <w:rFonts w:ascii="Times New Roman" w:hAnsi="Times New Roman" w:cs="Times New Roman"/>
          <w:color w:val="000000" w:themeColor="text1"/>
          <w:sz w:val="24"/>
          <w:szCs w:val="24"/>
          <w:lang w:bidi="mr-IN"/>
        </w:rPr>
        <w:t xml:space="preserve">. The </w:t>
      </w:r>
      <w:r w:rsidR="0067649B" w:rsidRPr="00175A9A">
        <w:rPr>
          <w:rFonts w:ascii="Times New Roman" w:hAnsi="Times New Roman" w:cs="Times New Roman"/>
          <w:color w:val="000000" w:themeColor="text1"/>
          <w:sz w:val="24"/>
          <w:szCs w:val="24"/>
          <w:lang w:bidi="mr-IN"/>
        </w:rPr>
        <w:t xml:space="preserve">change </w:t>
      </w:r>
      <w:r w:rsidR="000E705C" w:rsidRPr="00175A9A">
        <w:rPr>
          <w:rFonts w:ascii="Times New Roman" w:hAnsi="Times New Roman" w:cs="Times New Roman"/>
          <w:color w:val="000000" w:themeColor="text1"/>
          <w:sz w:val="24"/>
          <w:szCs w:val="24"/>
          <w:lang w:bidi="mr-IN"/>
        </w:rPr>
        <w:t xml:space="preserve">in measurements </w:t>
      </w:r>
      <w:r w:rsidR="0067649B" w:rsidRPr="00175A9A">
        <w:rPr>
          <w:rFonts w:ascii="Times New Roman" w:hAnsi="Times New Roman" w:cs="Times New Roman"/>
          <w:color w:val="000000" w:themeColor="text1"/>
          <w:sz w:val="24"/>
          <w:szCs w:val="24"/>
          <w:lang w:bidi="mr-IN"/>
        </w:rPr>
        <w:t>from baseline to follow up w</w:t>
      </w:r>
      <w:r w:rsidR="000E705C" w:rsidRPr="00175A9A">
        <w:rPr>
          <w:rFonts w:ascii="Times New Roman" w:hAnsi="Times New Roman" w:cs="Times New Roman"/>
          <w:color w:val="000000" w:themeColor="text1"/>
          <w:sz w:val="24"/>
          <w:szCs w:val="24"/>
          <w:lang w:bidi="mr-IN"/>
        </w:rPr>
        <w:t>ere</w:t>
      </w:r>
      <w:r w:rsidR="0067649B" w:rsidRPr="00175A9A">
        <w:rPr>
          <w:rFonts w:ascii="Times New Roman" w:hAnsi="Times New Roman" w:cs="Times New Roman"/>
          <w:color w:val="000000" w:themeColor="text1"/>
          <w:sz w:val="24"/>
          <w:szCs w:val="24"/>
          <w:lang w:bidi="mr-IN"/>
        </w:rPr>
        <w:t xml:space="preserve"> tested</w:t>
      </w:r>
      <w:r w:rsidR="000E705C" w:rsidRPr="00175A9A">
        <w:rPr>
          <w:rFonts w:ascii="Times New Roman" w:hAnsi="Times New Roman" w:cs="Times New Roman"/>
          <w:color w:val="000000" w:themeColor="text1"/>
          <w:sz w:val="24"/>
          <w:szCs w:val="24"/>
          <w:lang w:bidi="mr-IN"/>
        </w:rPr>
        <w:t xml:space="preserve"> using </w:t>
      </w:r>
      <w:r w:rsidR="00267F5C">
        <w:rPr>
          <w:rFonts w:ascii="Times New Roman" w:hAnsi="Times New Roman" w:cs="Times New Roman"/>
          <w:color w:val="000000" w:themeColor="text1"/>
          <w:sz w:val="24"/>
          <w:szCs w:val="24"/>
          <w:lang w:bidi="mr-IN"/>
        </w:rPr>
        <w:t xml:space="preserve">the </w:t>
      </w:r>
      <w:r w:rsidR="000E705C" w:rsidRPr="00175A9A">
        <w:rPr>
          <w:rFonts w:ascii="Times New Roman" w:hAnsi="Times New Roman" w:cs="Times New Roman"/>
          <w:color w:val="000000" w:themeColor="text1"/>
          <w:sz w:val="24"/>
          <w:szCs w:val="24"/>
          <w:lang w:bidi="mr-IN"/>
        </w:rPr>
        <w:t xml:space="preserve">Wilcoxon </w:t>
      </w:r>
      <w:r w:rsidR="00AB7565" w:rsidRPr="00175A9A">
        <w:rPr>
          <w:rFonts w:ascii="Times New Roman" w:hAnsi="Times New Roman" w:cs="Times New Roman"/>
          <w:color w:val="000000" w:themeColor="text1"/>
          <w:sz w:val="24"/>
          <w:szCs w:val="24"/>
          <w:lang w:bidi="mr-IN"/>
        </w:rPr>
        <w:t xml:space="preserve">paired </w:t>
      </w:r>
      <w:r w:rsidR="000E705C" w:rsidRPr="00175A9A">
        <w:rPr>
          <w:rFonts w:ascii="Times New Roman" w:hAnsi="Times New Roman" w:cs="Times New Roman"/>
          <w:color w:val="000000" w:themeColor="text1"/>
          <w:sz w:val="24"/>
          <w:szCs w:val="24"/>
          <w:lang w:bidi="mr-IN"/>
        </w:rPr>
        <w:t>signed rank test.</w:t>
      </w:r>
    </w:p>
    <w:p w14:paraId="2526A28A" w14:textId="5ECAAC5E" w:rsidR="002D4098" w:rsidRPr="00175A9A" w:rsidRDefault="006C44A6"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 </w:t>
      </w:r>
    </w:p>
    <w:p w14:paraId="41382A7C" w14:textId="7979C48B" w:rsidR="00132D3B" w:rsidRPr="00175A9A" w:rsidRDefault="00B84DE8" w:rsidP="00330CC2">
      <w:pPr>
        <w:autoSpaceDE w:val="0"/>
        <w:autoSpaceDN w:val="0"/>
        <w:adjustRightInd w:val="0"/>
        <w:spacing w:after="0" w:line="480" w:lineRule="auto"/>
        <w:jc w:val="both"/>
        <w:outlineLvl w:val="0"/>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lang w:bidi="mr-IN"/>
        </w:rPr>
        <w:t>Results</w:t>
      </w:r>
    </w:p>
    <w:p w14:paraId="05607E9E" w14:textId="2EAB7D47" w:rsidR="00B90D59" w:rsidRPr="00B839AA" w:rsidRDefault="00B90D59" w:rsidP="00131BB4">
      <w:pPr>
        <w:spacing w:line="480" w:lineRule="auto"/>
        <w:jc w:val="both"/>
        <w:rPr>
          <w:rFonts w:ascii="Times New Roman" w:hAnsi="Times New Roman" w:cs="Times New Roman"/>
          <w:color w:val="000000" w:themeColor="text1"/>
          <w:sz w:val="24"/>
          <w:szCs w:val="24"/>
          <w:lang w:bidi="mr-IN"/>
        </w:rPr>
      </w:pPr>
      <w:r w:rsidRPr="00B839AA">
        <w:rPr>
          <w:rFonts w:ascii="Times New Roman" w:hAnsi="Times New Roman" w:cs="Times New Roman"/>
          <w:color w:val="000000" w:themeColor="text1"/>
          <w:sz w:val="24"/>
          <w:szCs w:val="24"/>
          <w:lang w:bidi="mr-IN"/>
        </w:rPr>
        <w:t>Of the 690 adolescents screened</w:t>
      </w:r>
      <w:r w:rsidR="00697DF3" w:rsidRPr="00B839AA">
        <w:rPr>
          <w:rFonts w:ascii="Times New Roman" w:hAnsi="Times New Roman" w:cs="Times New Roman"/>
          <w:color w:val="000000" w:themeColor="text1"/>
          <w:sz w:val="24"/>
          <w:szCs w:val="24"/>
          <w:lang w:bidi="mr-IN"/>
        </w:rPr>
        <w:t xml:space="preserve"> for </w:t>
      </w:r>
      <w:r w:rsidR="00FE0FEA" w:rsidRPr="00B839AA">
        <w:rPr>
          <w:rFonts w:ascii="Times New Roman" w:hAnsi="Times New Roman" w:cs="Times New Roman"/>
          <w:color w:val="000000" w:themeColor="text1"/>
          <w:sz w:val="24"/>
          <w:szCs w:val="24"/>
          <w:lang w:bidi="mr-IN"/>
        </w:rPr>
        <w:t xml:space="preserve">the </w:t>
      </w:r>
      <w:r w:rsidR="00697DF3" w:rsidRPr="00B839AA">
        <w:rPr>
          <w:rFonts w:ascii="Times New Roman" w:hAnsi="Times New Roman" w:cs="Times New Roman"/>
          <w:color w:val="000000" w:themeColor="text1"/>
          <w:sz w:val="24"/>
          <w:szCs w:val="24"/>
          <w:lang w:bidi="mr-IN"/>
        </w:rPr>
        <w:t>PRIYA trial</w:t>
      </w:r>
      <w:r w:rsidRPr="00B839AA">
        <w:rPr>
          <w:rFonts w:ascii="Times New Roman" w:hAnsi="Times New Roman" w:cs="Times New Roman"/>
          <w:color w:val="000000" w:themeColor="text1"/>
          <w:sz w:val="24"/>
          <w:szCs w:val="24"/>
          <w:lang w:bidi="mr-IN"/>
        </w:rPr>
        <w:t xml:space="preserve">, 117 (52 women) were found to have </w:t>
      </w:r>
      <w:r w:rsidR="00267F5C" w:rsidRPr="00B839AA">
        <w:rPr>
          <w:rFonts w:ascii="Times New Roman" w:hAnsi="Times New Roman" w:cs="Times New Roman"/>
          <w:color w:val="000000" w:themeColor="text1"/>
          <w:sz w:val="24"/>
          <w:szCs w:val="24"/>
          <w:lang w:bidi="mr-IN"/>
        </w:rPr>
        <w:t xml:space="preserve">a </w:t>
      </w:r>
      <w:r w:rsidRPr="00B839AA">
        <w:rPr>
          <w:rFonts w:ascii="Times New Roman" w:hAnsi="Times New Roman" w:cs="Times New Roman"/>
          <w:color w:val="000000" w:themeColor="text1"/>
          <w:sz w:val="24"/>
          <w:szCs w:val="24"/>
          <w:lang w:bidi="mr-IN"/>
        </w:rPr>
        <w:t xml:space="preserve">plasma vitamin B-12 concentration &lt;100 pmol/L. Of </w:t>
      </w:r>
      <w:r w:rsidR="00FE0FEA" w:rsidRPr="00B839AA">
        <w:rPr>
          <w:rFonts w:ascii="Times New Roman" w:hAnsi="Times New Roman" w:cs="Times New Roman"/>
          <w:color w:val="000000" w:themeColor="text1"/>
          <w:sz w:val="24"/>
          <w:szCs w:val="24"/>
          <w:lang w:bidi="mr-IN"/>
        </w:rPr>
        <w:t xml:space="preserve">the </w:t>
      </w:r>
      <w:r w:rsidRPr="00B839AA">
        <w:rPr>
          <w:rFonts w:ascii="Times New Roman" w:hAnsi="Times New Roman" w:cs="Times New Roman"/>
          <w:color w:val="000000" w:themeColor="text1"/>
          <w:sz w:val="24"/>
          <w:szCs w:val="24"/>
          <w:lang w:bidi="mr-IN"/>
        </w:rPr>
        <w:t xml:space="preserve">52 women, 39 agreed </w:t>
      </w:r>
      <w:r w:rsidR="00267F5C" w:rsidRPr="00B839AA">
        <w:rPr>
          <w:rFonts w:ascii="Times New Roman" w:hAnsi="Times New Roman" w:cs="Times New Roman"/>
          <w:color w:val="000000" w:themeColor="text1"/>
          <w:sz w:val="24"/>
          <w:szCs w:val="24"/>
          <w:lang w:bidi="mr-IN"/>
        </w:rPr>
        <w:t>to</w:t>
      </w:r>
      <w:r w:rsidRPr="00B839AA">
        <w:rPr>
          <w:rFonts w:ascii="Times New Roman" w:hAnsi="Times New Roman" w:cs="Times New Roman"/>
          <w:color w:val="000000" w:themeColor="text1"/>
          <w:sz w:val="24"/>
          <w:szCs w:val="24"/>
          <w:lang w:bidi="mr-IN"/>
        </w:rPr>
        <w:t xml:space="preserve"> research measurements and were allocated to receive either (a) vitamin B-12 only </w:t>
      </w:r>
      <w:r w:rsidRPr="00B839AA">
        <w:rPr>
          <w:rFonts w:ascii="Times New Roman" w:hAnsi="Times New Roman" w:cs="Times New Roman"/>
          <w:color w:val="000000" w:themeColor="text1"/>
          <w:sz w:val="24"/>
          <w:szCs w:val="24"/>
          <w:lang w:bidi="mr-IN"/>
        </w:rPr>
        <w:lastRenderedPageBreak/>
        <w:t xml:space="preserve">[n=19] or (b) </w:t>
      </w:r>
      <w:r w:rsidR="00791F0E" w:rsidRPr="00B839AA">
        <w:rPr>
          <w:rFonts w:ascii="Times New Roman" w:hAnsi="Times New Roman" w:cs="Times New Roman"/>
          <w:color w:val="000000" w:themeColor="text1"/>
          <w:sz w:val="24"/>
          <w:szCs w:val="24"/>
          <w:lang w:bidi="mr-IN"/>
        </w:rPr>
        <w:t xml:space="preserve">Vitamin B-12 </w:t>
      </w:r>
      <w:r w:rsidRPr="00B839AA">
        <w:rPr>
          <w:rFonts w:ascii="Times New Roman" w:hAnsi="Times New Roman" w:cs="Times New Roman"/>
          <w:color w:val="000000" w:themeColor="text1"/>
          <w:sz w:val="24"/>
          <w:szCs w:val="24"/>
          <w:lang w:bidi="mr-IN"/>
        </w:rPr>
        <w:t xml:space="preserve">+ </w:t>
      </w:r>
      <w:r w:rsidR="00FE0FEA" w:rsidRPr="00B839AA">
        <w:rPr>
          <w:rFonts w:ascii="Times New Roman" w:hAnsi="Times New Roman" w:cs="Times New Roman"/>
          <w:color w:val="000000" w:themeColor="text1"/>
          <w:sz w:val="24"/>
          <w:szCs w:val="24"/>
          <w:lang w:bidi="mr-IN"/>
        </w:rPr>
        <w:t xml:space="preserve">a multiple micronutrient tablet </w:t>
      </w:r>
      <w:r w:rsidRPr="00B839AA">
        <w:rPr>
          <w:rFonts w:ascii="Times New Roman" w:hAnsi="Times New Roman" w:cs="Times New Roman"/>
          <w:color w:val="000000" w:themeColor="text1"/>
          <w:sz w:val="24"/>
          <w:szCs w:val="24"/>
          <w:lang w:bidi="mr-IN"/>
        </w:rPr>
        <w:t xml:space="preserve"> + milk powder </w:t>
      </w:r>
      <w:r w:rsidR="00CB6D97" w:rsidRPr="00B839AA">
        <w:rPr>
          <w:rFonts w:ascii="Times New Roman" w:hAnsi="Times New Roman" w:cs="Times New Roman"/>
          <w:color w:val="000000" w:themeColor="text1"/>
          <w:sz w:val="24"/>
          <w:szCs w:val="24"/>
          <w:lang w:bidi="mr-IN"/>
        </w:rPr>
        <w:t>[</w:t>
      </w:r>
      <w:r w:rsidRPr="00B839AA">
        <w:rPr>
          <w:rFonts w:ascii="Times New Roman" w:hAnsi="Times New Roman" w:cs="Times New Roman"/>
          <w:color w:val="000000" w:themeColor="text1"/>
          <w:sz w:val="24"/>
          <w:szCs w:val="24"/>
          <w:lang w:bidi="mr-IN"/>
        </w:rPr>
        <w:t xml:space="preserve">n=20]. </w:t>
      </w:r>
    </w:p>
    <w:p w14:paraId="3D322DBA" w14:textId="5183E615" w:rsidR="00995772" w:rsidRDefault="00791F0E" w:rsidP="00330CC2">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r>
        <w:rPr>
          <w:rFonts w:ascii="Times New Roman" w:hAnsi="Times New Roman" w:cs="Times New Roman"/>
          <w:color w:val="000000" w:themeColor="text1"/>
          <w:sz w:val="24"/>
          <w:szCs w:val="24"/>
          <w:lang w:bidi="mr-IN"/>
        </w:rPr>
        <w:t xml:space="preserve">Measurements were available on </w:t>
      </w:r>
      <w:r w:rsidR="00246FF6" w:rsidRPr="00175A9A">
        <w:rPr>
          <w:rFonts w:ascii="Times New Roman" w:hAnsi="Times New Roman" w:cs="Times New Roman"/>
          <w:color w:val="000000" w:themeColor="text1"/>
          <w:sz w:val="24"/>
          <w:szCs w:val="24"/>
          <w:lang w:bidi="mr-IN"/>
        </w:rPr>
        <w:t xml:space="preserve">39 </w:t>
      </w:r>
      <w:r w:rsidR="000E705C" w:rsidRPr="00175A9A">
        <w:rPr>
          <w:rFonts w:ascii="Times New Roman" w:hAnsi="Times New Roman" w:cs="Times New Roman"/>
          <w:color w:val="000000" w:themeColor="text1"/>
          <w:sz w:val="24"/>
          <w:szCs w:val="24"/>
          <w:lang w:bidi="mr-IN"/>
        </w:rPr>
        <w:t xml:space="preserve">women </w:t>
      </w:r>
      <w:r>
        <w:rPr>
          <w:rFonts w:ascii="Times New Roman" w:hAnsi="Times New Roman" w:cs="Times New Roman"/>
          <w:color w:val="000000" w:themeColor="text1"/>
          <w:sz w:val="24"/>
          <w:szCs w:val="24"/>
          <w:lang w:bidi="mr-IN"/>
        </w:rPr>
        <w:t>participants</w:t>
      </w:r>
      <w:r w:rsidR="00F21D17" w:rsidRPr="00175A9A">
        <w:rPr>
          <w:rFonts w:ascii="Times New Roman" w:hAnsi="Times New Roman" w:cs="Times New Roman"/>
          <w:color w:val="000000" w:themeColor="text1"/>
          <w:sz w:val="24"/>
          <w:szCs w:val="24"/>
          <w:lang w:bidi="mr-IN"/>
        </w:rPr>
        <w:t xml:space="preserve"> </w:t>
      </w:r>
      <w:r w:rsidR="00FE0FEA" w:rsidRPr="00175A9A">
        <w:rPr>
          <w:rFonts w:ascii="Times New Roman" w:hAnsi="Times New Roman" w:cs="Times New Roman"/>
          <w:color w:val="000000" w:themeColor="text1"/>
          <w:sz w:val="24"/>
          <w:szCs w:val="24"/>
          <w:lang w:bidi="mr-IN"/>
        </w:rPr>
        <w:t xml:space="preserve">at baseline </w:t>
      </w:r>
      <w:r w:rsidR="000E705C" w:rsidRPr="00175A9A">
        <w:rPr>
          <w:rFonts w:ascii="Times New Roman" w:hAnsi="Times New Roman" w:cs="Times New Roman"/>
          <w:color w:val="000000" w:themeColor="text1"/>
          <w:sz w:val="24"/>
          <w:szCs w:val="24"/>
          <w:lang w:bidi="mr-IN"/>
        </w:rPr>
        <w:t xml:space="preserve">and </w:t>
      </w:r>
      <w:r w:rsidR="00FE0FEA" w:rsidRPr="00175A9A">
        <w:rPr>
          <w:rFonts w:ascii="Times New Roman" w:hAnsi="Times New Roman" w:cs="Times New Roman"/>
          <w:color w:val="000000" w:themeColor="text1"/>
          <w:sz w:val="24"/>
          <w:szCs w:val="24"/>
          <w:lang w:bidi="mr-IN"/>
        </w:rPr>
        <w:t xml:space="preserve">for </w:t>
      </w:r>
      <w:r w:rsidR="000E705C" w:rsidRPr="00175A9A">
        <w:rPr>
          <w:rFonts w:ascii="Times New Roman" w:hAnsi="Times New Roman" w:cs="Times New Roman"/>
          <w:color w:val="000000" w:themeColor="text1"/>
          <w:sz w:val="24"/>
          <w:szCs w:val="24"/>
          <w:lang w:bidi="mr-IN"/>
        </w:rPr>
        <w:t xml:space="preserve">34 </w:t>
      </w:r>
      <w:r w:rsidR="00FE0FEA" w:rsidRPr="00175A9A">
        <w:rPr>
          <w:rFonts w:ascii="Times New Roman" w:hAnsi="Times New Roman" w:cs="Times New Roman"/>
          <w:color w:val="000000" w:themeColor="text1"/>
          <w:sz w:val="24"/>
          <w:szCs w:val="24"/>
          <w:lang w:bidi="mr-IN"/>
        </w:rPr>
        <w:t xml:space="preserve">women at the 11 </w:t>
      </w:r>
      <w:r w:rsidR="00175A9A">
        <w:rPr>
          <w:rFonts w:ascii="Times New Roman" w:hAnsi="Times New Roman" w:cs="Times New Roman"/>
          <w:color w:val="000000" w:themeColor="text1"/>
          <w:sz w:val="24"/>
          <w:szCs w:val="24"/>
          <w:lang w:bidi="mr-IN"/>
        </w:rPr>
        <w:t>month</w:t>
      </w:r>
      <w:r w:rsidR="00FE0FEA" w:rsidRPr="00175A9A">
        <w:rPr>
          <w:rFonts w:ascii="Times New Roman" w:hAnsi="Times New Roman" w:cs="Times New Roman"/>
          <w:color w:val="000000" w:themeColor="text1"/>
          <w:sz w:val="24"/>
          <w:szCs w:val="24"/>
          <w:lang w:bidi="mr-IN"/>
        </w:rPr>
        <w:t xml:space="preserve"> (post-treatment) </w:t>
      </w:r>
      <w:r w:rsidR="000E705C" w:rsidRPr="00175A9A">
        <w:rPr>
          <w:rFonts w:ascii="Times New Roman" w:hAnsi="Times New Roman" w:cs="Times New Roman"/>
          <w:color w:val="000000" w:themeColor="text1"/>
          <w:sz w:val="24"/>
          <w:szCs w:val="24"/>
          <w:lang w:bidi="mr-IN"/>
        </w:rPr>
        <w:t>follow up</w:t>
      </w:r>
      <w:r w:rsidR="008E7BE0" w:rsidRPr="00175A9A">
        <w:rPr>
          <w:rFonts w:ascii="Times New Roman" w:hAnsi="Times New Roman" w:cs="Times New Roman"/>
          <w:color w:val="000000" w:themeColor="text1"/>
          <w:sz w:val="24"/>
          <w:szCs w:val="24"/>
          <w:lang w:bidi="mr-IN"/>
        </w:rPr>
        <w:t>.</w:t>
      </w:r>
      <w:r w:rsidR="000E705C" w:rsidRPr="00175A9A">
        <w:rPr>
          <w:rFonts w:ascii="Times New Roman" w:hAnsi="Times New Roman" w:cs="Times New Roman"/>
          <w:color w:val="000000" w:themeColor="text1"/>
          <w:sz w:val="24"/>
          <w:szCs w:val="24"/>
          <w:lang w:bidi="mr-IN"/>
        </w:rPr>
        <w:t xml:space="preserve"> </w:t>
      </w:r>
      <w:r w:rsidR="003E41F3" w:rsidRPr="00175A9A">
        <w:rPr>
          <w:rFonts w:ascii="Times New Roman" w:hAnsi="Times New Roman" w:cs="Times New Roman"/>
          <w:color w:val="000000" w:themeColor="text1"/>
          <w:sz w:val="24"/>
          <w:szCs w:val="24"/>
          <w:lang w:bidi="mr-IN"/>
        </w:rPr>
        <w:t xml:space="preserve">Of the five women </w:t>
      </w:r>
      <w:r w:rsidR="00697DF3" w:rsidRPr="00175A9A">
        <w:rPr>
          <w:rFonts w:ascii="Times New Roman" w:hAnsi="Times New Roman" w:cs="Times New Roman"/>
          <w:color w:val="000000" w:themeColor="text1"/>
          <w:sz w:val="24"/>
          <w:szCs w:val="24"/>
          <w:lang w:bidi="mr-IN"/>
        </w:rPr>
        <w:t xml:space="preserve">not studied at </w:t>
      </w:r>
      <w:r w:rsidR="003E41F3" w:rsidRPr="00175A9A">
        <w:rPr>
          <w:rFonts w:ascii="Times New Roman" w:hAnsi="Times New Roman" w:cs="Times New Roman"/>
          <w:color w:val="000000" w:themeColor="text1"/>
          <w:sz w:val="24"/>
          <w:szCs w:val="24"/>
          <w:lang w:bidi="mr-IN"/>
        </w:rPr>
        <w:t>follow up, t</w:t>
      </w:r>
      <w:r w:rsidR="008E7BE0" w:rsidRPr="00175A9A">
        <w:rPr>
          <w:rFonts w:ascii="Times New Roman" w:hAnsi="Times New Roman" w:cs="Times New Roman"/>
          <w:color w:val="000000" w:themeColor="text1"/>
          <w:sz w:val="24"/>
          <w:szCs w:val="24"/>
          <w:lang w:bidi="mr-IN"/>
        </w:rPr>
        <w:t>hree were pregnant and two</w:t>
      </w:r>
      <w:r w:rsidR="003E41F3" w:rsidRPr="00175A9A">
        <w:rPr>
          <w:rFonts w:ascii="Times New Roman" w:hAnsi="Times New Roman" w:cs="Times New Roman"/>
          <w:color w:val="000000" w:themeColor="text1"/>
          <w:sz w:val="24"/>
          <w:szCs w:val="24"/>
          <w:lang w:bidi="mr-IN"/>
        </w:rPr>
        <w:t xml:space="preserve"> </w:t>
      </w:r>
      <w:r w:rsidR="00FE0FEA" w:rsidRPr="00175A9A">
        <w:rPr>
          <w:rFonts w:ascii="Times New Roman" w:hAnsi="Times New Roman" w:cs="Times New Roman"/>
          <w:color w:val="000000" w:themeColor="text1"/>
          <w:sz w:val="24"/>
          <w:szCs w:val="24"/>
          <w:lang w:bidi="mr-IN"/>
        </w:rPr>
        <w:t>declined</w:t>
      </w:r>
      <w:r w:rsidR="003E41F3" w:rsidRPr="00175A9A">
        <w:rPr>
          <w:rFonts w:ascii="Times New Roman" w:hAnsi="Times New Roman" w:cs="Times New Roman"/>
          <w:color w:val="000000" w:themeColor="text1"/>
          <w:sz w:val="24"/>
          <w:szCs w:val="24"/>
          <w:lang w:bidi="mr-IN"/>
        </w:rPr>
        <w:t xml:space="preserve"> follow up measurements.</w:t>
      </w:r>
      <w:r w:rsidR="008E7BE0" w:rsidRPr="00175A9A">
        <w:rPr>
          <w:rFonts w:ascii="Times New Roman" w:hAnsi="Times New Roman" w:cs="Times New Roman"/>
          <w:color w:val="000000" w:themeColor="text1"/>
          <w:sz w:val="24"/>
          <w:szCs w:val="24"/>
          <w:lang w:bidi="mr-IN"/>
        </w:rPr>
        <w:t xml:space="preserve"> </w:t>
      </w:r>
      <w:r w:rsidR="003E41F3" w:rsidRPr="00175A9A">
        <w:rPr>
          <w:rFonts w:ascii="Times New Roman" w:hAnsi="Times New Roman" w:cs="Times New Roman"/>
          <w:color w:val="000000" w:themeColor="text1"/>
          <w:sz w:val="24"/>
          <w:szCs w:val="24"/>
          <w:lang w:bidi="mr-IN"/>
        </w:rPr>
        <w:t>T</w:t>
      </w:r>
      <w:r w:rsidR="002B1059" w:rsidRPr="00175A9A">
        <w:rPr>
          <w:rFonts w:ascii="Times New Roman" w:hAnsi="Times New Roman" w:cs="Times New Roman"/>
          <w:color w:val="000000" w:themeColor="text1"/>
          <w:sz w:val="24"/>
          <w:szCs w:val="24"/>
          <w:lang w:bidi="mr-IN"/>
        </w:rPr>
        <w:t>he</w:t>
      </w:r>
      <w:r>
        <w:rPr>
          <w:rFonts w:ascii="Times New Roman" w:hAnsi="Times New Roman" w:cs="Times New Roman"/>
          <w:color w:val="000000" w:themeColor="text1"/>
          <w:sz w:val="24"/>
          <w:szCs w:val="24"/>
          <w:lang w:bidi="mr-IN"/>
        </w:rPr>
        <w:t>se five women had</w:t>
      </w:r>
      <w:r w:rsidR="004E08E6" w:rsidRPr="00175A9A">
        <w:rPr>
          <w:rFonts w:ascii="Times New Roman" w:hAnsi="Times New Roman" w:cs="Times New Roman"/>
          <w:color w:val="000000" w:themeColor="text1"/>
          <w:sz w:val="24"/>
          <w:szCs w:val="24"/>
          <w:lang w:bidi="mr-IN"/>
        </w:rPr>
        <w:t xml:space="preserve"> comparable baseline plasma vitamin B-12 concentration (median 93.4 vs 93.0 </w:t>
      </w:r>
      <w:r w:rsidR="00971760" w:rsidRPr="00175A9A">
        <w:rPr>
          <w:rFonts w:ascii="Times New Roman" w:hAnsi="Times New Roman" w:cs="Times New Roman"/>
          <w:color w:val="000000" w:themeColor="text1"/>
          <w:sz w:val="24"/>
          <w:szCs w:val="24"/>
          <w:lang w:bidi="mr-IN"/>
        </w:rPr>
        <w:t>pmol/L</w:t>
      </w:r>
      <w:r w:rsidR="004E08E6" w:rsidRPr="00175A9A">
        <w:rPr>
          <w:rFonts w:ascii="Times New Roman" w:hAnsi="Times New Roman" w:cs="Times New Roman"/>
          <w:color w:val="000000" w:themeColor="text1"/>
          <w:sz w:val="24"/>
          <w:szCs w:val="24"/>
          <w:lang w:bidi="mr-IN"/>
        </w:rPr>
        <w:t>)</w:t>
      </w:r>
      <w:r>
        <w:rPr>
          <w:rFonts w:ascii="Times New Roman" w:hAnsi="Times New Roman" w:cs="Times New Roman"/>
          <w:color w:val="000000" w:themeColor="text1"/>
          <w:sz w:val="24"/>
          <w:szCs w:val="24"/>
          <w:lang w:bidi="mr-IN"/>
        </w:rPr>
        <w:t xml:space="preserve"> and </w:t>
      </w:r>
      <w:r w:rsidR="004A0CD6" w:rsidRPr="00175A9A">
        <w:rPr>
          <w:rFonts w:ascii="Times New Roman" w:hAnsi="Times New Roman" w:cs="Times New Roman"/>
          <w:color w:val="000000" w:themeColor="text1"/>
          <w:sz w:val="24"/>
          <w:szCs w:val="24"/>
          <w:lang w:bidi="mr-IN"/>
        </w:rPr>
        <w:t xml:space="preserve">SUDOSCAN </w:t>
      </w:r>
      <w:r w:rsidR="00AF10B8" w:rsidRPr="00175A9A">
        <w:rPr>
          <w:rFonts w:ascii="Times New Roman" w:hAnsi="Times New Roman" w:cs="Times New Roman"/>
          <w:color w:val="000000" w:themeColor="text1"/>
          <w:sz w:val="24"/>
          <w:szCs w:val="24"/>
          <w:lang w:bidi="mr-IN"/>
        </w:rPr>
        <w:t xml:space="preserve">ESC values (75.9 </w:t>
      </w:r>
      <w:r w:rsidR="00081020" w:rsidRPr="00175A9A">
        <w:rPr>
          <w:rFonts w:ascii="Times New Roman" w:hAnsi="Times New Roman" w:cs="Times New Roman"/>
          <w:color w:val="000000" w:themeColor="text1"/>
          <w:sz w:val="24"/>
          <w:szCs w:val="24"/>
          <w:lang w:bidi="mr-IN"/>
        </w:rPr>
        <w:t>vs</w:t>
      </w:r>
      <w:r w:rsidR="00AF10B8" w:rsidRPr="00175A9A">
        <w:rPr>
          <w:rFonts w:ascii="Times New Roman" w:hAnsi="Times New Roman" w:cs="Times New Roman"/>
          <w:color w:val="000000" w:themeColor="text1"/>
          <w:sz w:val="24"/>
          <w:szCs w:val="24"/>
          <w:lang w:bidi="mr-IN"/>
        </w:rPr>
        <w:t xml:space="preserve"> 76</w:t>
      </w:r>
      <w:r w:rsidR="008E7BE0" w:rsidRPr="00175A9A">
        <w:rPr>
          <w:rFonts w:ascii="Times New Roman" w:hAnsi="Times New Roman" w:cs="Times New Roman"/>
          <w:color w:val="000000" w:themeColor="text1"/>
          <w:sz w:val="24"/>
          <w:szCs w:val="24"/>
          <w:lang w:bidi="mr-IN"/>
        </w:rPr>
        <w:t>.0</w:t>
      </w:r>
      <w:r w:rsidR="00E11ABB" w:rsidRPr="00175A9A">
        <w:rPr>
          <w:rFonts w:ascii="Times New Roman" w:eastAsia="Times New Roman" w:hAnsi="Times New Roman" w:cs="Times New Roman"/>
          <w:color w:val="000000" w:themeColor="text1"/>
          <w:sz w:val="24"/>
          <w:szCs w:val="24"/>
          <w:lang w:bidi="mr-IN"/>
        </w:rPr>
        <w:t xml:space="preserve"> µS)</w:t>
      </w:r>
      <w:r>
        <w:rPr>
          <w:rFonts w:ascii="Times New Roman" w:eastAsia="Times New Roman" w:hAnsi="Times New Roman" w:cs="Times New Roman"/>
          <w:color w:val="000000" w:themeColor="text1"/>
          <w:sz w:val="24"/>
          <w:szCs w:val="24"/>
          <w:lang w:bidi="mr-IN"/>
        </w:rPr>
        <w:t xml:space="preserve"> compared to the rest of the study group</w:t>
      </w:r>
      <w:r w:rsidR="004E08E6" w:rsidRPr="00175A9A">
        <w:rPr>
          <w:rFonts w:ascii="Times New Roman" w:hAnsi="Times New Roman" w:cs="Times New Roman"/>
          <w:color w:val="000000" w:themeColor="text1"/>
          <w:sz w:val="24"/>
          <w:szCs w:val="24"/>
          <w:lang w:bidi="mr-IN"/>
        </w:rPr>
        <w:t>.</w:t>
      </w:r>
      <w:r w:rsidR="002F54B9" w:rsidRPr="00175A9A">
        <w:rPr>
          <w:rFonts w:ascii="Times New Roman" w:hAnsi="Times New Roman" w:cs="Times New Roman"/>
          <w:color w:val="000000" w:themeColor="text1"/>
          <w:sz w:val="24"/>
          <w:szCs w:val="24"/>
          <w:lang w:bidi="mr-IN"/>
        </w:rPr>
        <w:t xml:space="preserve"> </w:t>
      </w:r>
      <w:r w:rsidR="00264935" w:rsidRPr="00175A9A">
        <w:rPr>
          <w:rFonts w:ascii="Times New Roman" w:hAnsi="Times New Roman" w:cs="Times New Roman"/>
          <w:color w:val="000000" w:themeColor="text1"/>
          <w:sz w:val="24"/>
          <w:szCs w:val="24"/>
          <w:lang w:bidi="mr-IN"/>
        </w:rPr>
        <w:t xml:space="preserve">The baseline and post treatment values of the outcomes </w:t>
      </w:r>
      <w:r w:rsidR="00267F5C">
        <w:rPr>
          <w:rFonts w:ascii="Times New Roman" w:hAnsi="Times New Roman" w:cs="Times New Roman"/>
          <w:color w:val="000000" w:themeColor="text1"/>
          <w:sz w:val="24"/>
          <w:szCs w:val="24"/>
          <w:lang w:bidi="mr-IN"/>
        </w:rPr>
        <w:t xml:space="preserve">were similar in </w:t>
      </w:r>
      <w:r w:rsidR="00264935" w:rsidRPr="00175A9A">
        <w:rPr>
          <w:rFonts w:ascii="Times New Roman" w:hAnsi="Times New Roman" w:cs="Times New Roman"/>
          <w:color w:val="000000" w:themeColor="text1"/>
          <w:sz w:val="24"/>
          <w:szCs w:val="24"/>
          <w:lang w:bidi="mr-IN"/>
        </w:rPr>
        <w:t xml:space="preserve">the two </w:t>
      </w:r>
      <w:r w:rsidR="00FF6692" w:rsidRPr="00175A9A">
        <w:rPr>
          <w:rFonts w:ascii="Times New Roman" w:hAnsi="Times New Roman" w:cs="Times New Roman"/>
          <w:color w:val="000000" w:themeColor="text1"/>
          <w:sz w:val="24"/>
          <w:szCs w:val="24"/>
          <w:lang w:bidi="mr-IN"/>
        </w:rPr>
        <w:t>treatment allocation</w:t>
      </w:r>
      <w:r w:rsidR="00267F5C">
        <w:rPr>
          <w:rFonts w:ascii="Times New Roman" w:hAnsi="Times New Roman" w:cs="Times New Roman"/>
          <w:color w:val="000000" w:themeColor="text1"/>
          <w:sz w:val="24"/>
          <w:szCs w:val="24"/>
          <w:lang w:bidi="mr-IN"/>
        </w:rPr>
        <w:t xml:space="preserve"> group</w:t>
      </w:r>
      <w:r w:rsidR="00FF6692" w:rsidRPr="00175A9A">
        <w:rPr>
          <w:rFonts w:ascii="Times New Roman" w:hAnsi="Times New Roman" w:cs="Times New Roman"/>
          <w:color w:val="000000" w:themeColor="text1"/>
          <w:sz w:val="24"/>
          <w:szCs w:val="24"/>
          <w:lang w:bidi="mr-IN"/>
        </w:rPr>
        <w:t>s</w:t>
      </w:r>
      <w:r w:rsidR="00264935" w:rsidRPr="00175A9A">
        <w:rPr>
          <w:rFonts w:ascii="Times New Roman" w:hAnsi="Times New Roman" w:cs="Times New Roman"/>
          <w:color w:val="000000" w:themeColor="text1"/>
          <w:sz w:val="24"/>
          <w:szCs w:val="24"/>
          <w:lang w:bidi="mr-IN"/>
        </w:rPr>
        <w:t xml:space="preserve"> (</w:t>
      </w:r>
      <w:r w:rsidR="00A85EA6" w:rsidRPr="00175A9A">
        <w:rPr>
          <w:rFonts w:ascii="Times New Roman" w:hAnsi="Times New Roman" w:cs="Times New Roman"/>
          <w:color w:val="000000" w:themeColor="text1"/>
          <w:sz w:val="24"/>
          <w:szCs w:val="24"/>
          <w:lang w:bidi="mr-IN"/>
        </w:rPr>
        <w:t>B-12</w:t>
      </w:r>
      <w:r w:rsidR="00264935" w:rsidRPr="00175A9A">
        <w:rPr>
          <w:rFonts w:ascii="Times New Roman" w:hAnsi="Times New Roman" w:cs="Times New Roman"/>
          <w:color w:val="000000" w:themeColor="text1"/>
          <w:sz w:val="24"/>
          <w:szCs w:val="24"/>
          <w:lang w:bidi="mr-IN"/>
        </w:rPr>
        <w:t xml:space="preserve"> vs </w:t>
      </w:r>
      <w:r w:rsidR="00A85EA6" w:rsidRPr="00175A9A">
        <w:rPr>
          <w:rFonts w:ascii="Times New Roman" w:hAnsi="Times New Roman" w:cs="Times New Roman"/>
          <w:color w:val="000000" w:themeColor="text1"/>
          <w:sz w:val="24"/>
          <w:szCs w:val="24"/>
          <w:lang w:bidi="mr-IN"/>
        </w:rPr>
        <w:t>B-12</w:t>
      </w:r>
      <w:r w:rsidR="00264935" w:rsidRPr="00175A9A">
        <w:rPr>
          <w:rFonts w:ascii="Times New Roman" w:hAnsi="Times New Roman" w:cs="Times New Roman"/>
          <w:color w:val="000000" w:themeColor="text1"/>
          <w:sz w:val="24"/>
          <w:szCs w:val="24"/>
          <w:lang w:bidi="mr-IN"/>
        </w:rPr>
        <w:t xml:space="preserve"> + MMN) and hence </w:t>
      </w:r>
      <w:r w:rsidR="00267F5C">
        <w:rPr>
          <w:rFonts w:ascii="Times New Roman" w:hAnsi="Times New Roman" w:cs="Times New Roman"/>
          <w:color w:val="000000" w:themeColor="text1"/>
          <w:sz w:val="24"/>
          <w:szCs w:val="24"/>
          <w:lang w:bidi="mr-IN"/>
        </w:rPr>
        <w:t>pooled</w:t>
      </w:r>
      <w:r w:rsidR="00FF6692" w:rsidRPr="00175A9A">
        <w:rPr>
          <w:rFonts w:ascii="Times New Roman" w:hAnsi="Times New Roman" w:cs="Times New Roman"/>
          <w:color w:val="000000" w:themeColor="text1"/>
          <w:sz w:val="24"/>
          <w:szCs w:val="24"/>
          <w:lang w:bidi="mr-IN"/>
        </w:rPr>
        <w:t xml:space="preserve"> </w:t>
      </w:r>
      <w:r w:rsidR="00264935" w:rsidRPr="00175A9A">
        <w:rPr>
          <w:rFonts w:ascii="Times New Roman" w:hAnsi="Times New Roman" w:cs="Times New Roman"/>
          <w:color w:val="000000" w:themeColor="text1"/>
          <w:sz w:val="24"/>
          <w:szCs w:val="24"/>
          <w:lang w:bidi="mr-IN"/>
        </w:rPr>
        <w:t xml:space="preserve">results are presented </w:t>
      </w:r>
      <w:r w:rsidR="00FF6692" w:rsidRPr="00175A9A">
        <w:rPr>
          <w:rFonts w:ascii="Times New Roman" w:hAnsi="Times New Roman" w:cs="Times New Roman"/>
          <w:color w:val="000000" w:themeColor="text1"/>
          <w:sz w:val="24"/>
          <w:szCs w:val="24"/>
          <w:lang w:bidi="mr-IN"/>
        </w:rPr>
        <w:t>(</w:t>
      </w:r>
      <w:r w:rsidR="00264935" w:rsidRPr="00175A9A">
        <w:rPr>
          <w:rFonts w:ascii="Times New Roman" w:hAnsi="Times New Roman" w:cs="Times New Roman"/>
          <w:b/>
          <w:color w:val="000000" w:themeColor="text1"/>
          <w:sz w:val="24"/>
          <w:szCs w:val="24"/>
          <w:lang w:bidi="mr-IN"/>
        </w:rPr>
        <w:t>Table 1</w:t>
      </w:r>
      <w:r w:rsidR="00FF6692" w:rsidRPr="00175A9A">
        <w:rPr>
          <w:rFonts w:ascii="Times New Roman" w:hAnsi="Times New Roman" w:cs="Times New Roman"/>
          <w:b/>
          <w:color w:val="000000" w:themeColor="text1"/>
          <w:sz w:val="24"/>
          <w:szCs w:val="24"/>
          <w:lang w:bidi="mr-IN"/>
        </w:rPr>
        <w:t>)</w:t>
      </w:r>
      <w:r w:rsidR="00264935" w:rsidRPr="00175A9A">
        <w:rPr>
          <w:rFonts w:ascii="Times New Roman" w:hAnsi="Times New Roman" w:cs="Times New Roman"/>
          <w:b/>
          <w:color w:val="000000" w:themeColor="text1"/>
          <w:sz w:val="24"/>
          <w:szCs w:val="24"/>
          <w:lang w:bidi="mr-IN"/>
        </w:rPr>
        <w:t>.</w:t>
      </w:r>
      <w:r w:rsidR="00264935" w:rsidRPr="00175A9A">
        <w:rPr>
          <w:rFonts w:ascii="Times New Roman" w:hAnsi="Times New Roman" w:cs="Times New Roman"/>
          <w:color w:val="000000" w:themeColor="text1"/>
          <w:sz w:val="24"/>
          <w:szCs w:val="24"/>
          <w:lang w:bidi="mr-IN"/>
        </w:rPr>
        <w:t xml:space="preserve"> </w:t>
      </w:r>
    </w:p>
    <w:p w14:paraId="2CA0A866" w14:textId="77777777" w:rsidR="00267F5C" w:rsidRDefault="00267F5C" w:rsidP="00BF5755">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p>
    <w:p w14:paraId="30064B05" w14:textId="4BF8DC83" w:rsidR="00BF5755" w:rsidRPr="00175A9A" w:rsidRDefault="00BF5755" w:rsidP="00BF5755">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As a group, these women were ‘undernourished’ (18 women had a </w:t>
      </w:r>
      <w:r w:rsidR="00267F5C">
        <w:rPr>
          <w:rFonts w:ascii="Times New Roman" w:hAnsi="Times New Roman" w:cs="Times New Roman"/>
          <w:color w:val="000000" w:themeColor="text1"/>
          <w:sz w:val="24"/>
          <w:szCs w:val="24"/>
          <w:lang w:bidi="mr-IN"/>
        </w:rPr>
        <w:t>b</w:t>
      </w:r>
      <w:r w:rsidRPr="00175A9A">
        <w:rPr>
          <w:rFonts w:ascii="Times New Roman" w:hAnsi="Times New Roman" w:cs="Times New Roman"/>
          <w:color w:val="000000" w:themeColor="text1"/>
          <w:sz w:val="24"/>
          <w:szCs w:val="24"/>
          <w:lang w:bidi="mr-IN"/>
        </w:rPr>
        <w:t xml:space="preserve">ody </w:t>
      </w:r>
      <w:r w:rsidR="00267F5C">
        <w:rPr>
          <w:rFonts w:ascii="Times New Roman" w:hAnsi="Times New Roman" w:cs="Times New Roman"/>
          <w:color w:val="000000" w:themeColor="text1"/>
          <w:sz w:val="24"/>
          <w:szCs w:val="24"/>
          <w:lang w:bidi="mr-IN"/>
        </w:rPr>
        <w:t>m</w:t>
      </w:r>
      <w:r w:rsidRPr="00175A9A">
        <w:rPr>
          <w:rFonts w:ascii="Times New Roman" w:hAnsi="Times New Roman" w:cs="Times New Roman"/>
          <w:color w:val="000000" w:themeColor="text1"/>
          <w:sz w:val="24"/>
          <w:szCs w:val="24"/>
          <w:lang w:bidi="mr-IN"/>
        </w:rPr>
        <w:t xml:space="preserve">ass </w:t>
      </w:r>
      <w:r w:rsidR="00267F5C">
        <w:rPr>
          <w:rFonts w:ascii="Times New Roman" w:hAnsi="Times New Roman" w:cs="Times New Roman"/>
          <w:color w:val="000000" w:themeColor="text1"/>
          <w:sz w:val="24"/>
          <w:szCs w:val="24"/>
          <w:lang w:bidi="mr-IN"/>
        </w:rPr>
        <w:t>i</w:t>
      </w:r>
      <w:r w:rsidRPr="00175A9A">
        <w:rPr>
          <w:rFonts w:ascii="Times New Roman" w:hAnsi="Times New Roman" w:cs="Times New Roman"/>
          <w:color w:val="000000" w:themeColor="text1"/>
          <w:sz w:val="24"/>
          <w:szCs w:val="24"/>
          <w:lang w:bidi="mr-IN"/>
        </w:rPr>
        <w:t>ndex (BMI) &lt;18.5 kg/m</w:t>
      </w:r>
      <w:r w:rsidRPr="00175A9A">
        <w:rPr>
          <w:rFonts w:ascii="Times New Roman" w:hAnsi="Times New Roman" w:cs="Times New Roman"/>
          <w:color w:val="000000" w:themeColor="text1"/>
          <w:sz w:val="24"/>
          <w:szCs w:val="24"/>
          <w:vertAlign w:val="superscript"/>
          <w:lang w:bidi="mr-IN"/>
        </w:rPr>
        <w:t>2</w:t>
      </w:r>
      <w:r w:rsidRPr="00175A9A">
        <w:rPr>
          <w:rFonts w:ascii="Times New Roman" w:hAnsi="Times New Roman" w:cs="Times New Roman"/>
          <w:color w:val="000000" w:themeColor="text1"/>
          <w:sz w:val="24"/>
          <w:szCs w:val="24"/>
          <w:lang w:bidi="mr-IN"/>
        </w:rPr>
        <w:t>), 31 (79%) had anemia (Hb &lt;12 g/dl) and 13 (33%) had macrocytosis (MCV &gt;100 fl). All had normal p</w:t>
      </w:r>
      <w:r w:rsidR="007808C7">
        <w:rPr>
          <w:rFonts w:ascii="Times New Roman" w:hAnsi="Times New Roman" w:cs="Times New Roman"/>
          <w:color w:val="000000" w:themeColor="text1"/>
          <w:sz w:val="24"/>
          <w:szCs w:val="24"/>
          <w:lang w:bidi="mr-IN"/>
        </w:rPr>
        <w:t>lasma folate concentrations but</w:t>
      </w:r>
      <w:r w:rsidRPr="00175A9A">
        <w:rPr>
          <w:rFonts w:ascii="Times New Roman" w:hAnsi="Times New Roman" w:cs="Times New Roman"/>
          <w:color w:val="000000" w:themeColor="text1"/>
          <w:sz w:val="24"/>
          <w:szCs w:val="24"/>
          <w:lang w:bidi="mr-IN"/>
        </w:rPr>
        <w:t xml:space="preserve"> high homocys</w:t>
      </w:r>
      <w:r w:rsidRPr="00175A9A">
        <w:rPr>
          <w:rFonts w:ascii="Times New Roman" w:hAnsi="Times New Roman" w:cs="Times New Roman"/>
          <w:color w:val="000000" w:themeColor="text1"/>
          <w:sz w:val="24"/>
          <w:szCs w:val="24"/>
          <w:lang w:bidi="mr-IN"/>
        </w:rPr>
        <w:lastRenderedPageBreak/>
        <w:t xml:space="preserve">teine. None of the women showed clinical signs of B-12 deficiency (stomatitis, glossitis, peripheral neuropathy) and the SUDOSCAN ESC values and sensory NCVs were in the normal range (Table 1).  </w:t>
      </w:r>
    </w:p>
    <w:p w14:paraId="732965FC" w14:textId="77777777" w:rsidR="00BF5755" w:rsidRPr="00175A9A" w:rsidRDefault="00BF5755" w:rsidP="00330CC2">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p>
    <w:p w14:paraId="63BE9509" w14:textId="39777252" w:rsidR="00131B2E" w:rsidRPr="00BF5755" w:rsidRDefault="00131B2E" w:rsidP="00BF5755">
      <w:pPr>
        <w:tabs>
          <w:tab w:val="left" w:pos="3765"/>
        </w:tabs>
        <w:spacing w:line="480" w:lineRule="auto"/>
        <w:jc w:val="both"/>
        <w:rPr>
          <w:rFonts w:ascii="Times New Roman" w:eastAsia="Times New Roman" w:hAnsi="Times New Roman" w:cs="Times New Roman"/>
          <w:b/>
          <w:color w:val="000000" w:themeColor="text1"/>
          <w:sz w:val="24"/>
          <w:szCs w:val="24"/>
          <w:lang w:bidi="mr-IN"/>
        </w:rPr>
      </w:pPr>
      <w:r w:rsidRPr="00175A9A">
        <w:rPr>
          <w:rFonts w:ascii="Times New Roman" w:eastAsia="Times New Roman" w:hAnsi="Times New Roman" w:cs="Times New Roman"/>
          <w:b/>
          <w:bCs/>
          <w:color w:val="000000" w:themeColor="text1"/>
          <w:sz w:val="24"/>
          <w:szCs w:val="24"/>
          <w:lang w:bidi="mr-IN"/>
        </w:rPr>
        <w:t xml:space="preserve">Table 1: </w:t>
      </w:r>
      <w:r w:rsidRPr="00175A9A">
        <w:rPr>
          <w:rFonts w:ascii="Times New Roman" w:eastAsia="Times New Roman" w:hAnsi="Times New Roman" w:cs="Times New Roman"/>
          <w:b/>
          <w:color w:val="000000" w:themeColor="text1"/>
          <w:sz w:val="24"/>
          <w:szCs w:val="24"/>
          <w:lang w:bidi="mr-IN"/>
        </w:rPr>
        <w:t xml:space="preserve">Comparison of </w:t>
      </w:r>
      <w:r w:rsidR="008E6535" w:rsidRPr="00175A9A">
        <w:rPr>
          <w:rFonts w:ascii="Times New Roman" w:eastAsia="Times New Roman" w:hAnsi="Times New Roman" w:cs="Times New Roman"/>
          <w:b/>
          <w:color w:val="000000" w:themeColor="text1"/>
          <w:sz w:val="24"/>
          <w:szCs w:val="24"/>
          <w:lang w:bidi="mr-IN"/>
        </w:rPr>
        <w:t xml:space="preserve">clinical, </w:t>
      </w:r>
      <w:r w:rsidR="00FF09A0">
        <w:rPr>
          <w:rFonts w:ascii="Times New Roman" w:eastAsia="Times New Roman" w:hAnsi="Times New Roman" w:cs="Times New Roman"/>
          <w:b/>
          <w:color w:val="000000" w:themeColor="text1"/>
          <w:sz w:val="24"/>
          <w:szCs w:val="24"/>
          <w:lang w:bidi="mr-IN"/>
        </w:rPr>
        <w:t>hematological</w:t>
      </w:r>
      <w:r w:rsidR="008E6535" w:rsidRPr="00175A9A">
        <w:rPr>
          <w:rFonts w:ascii="Times New Roman" w:eastAsia="Times New Roman" w:hAnsi="Times New Roman" w:cs="Times New Roman"/>
          <w:b/>
          <w:color w:val="000000" w:themeColor="text1"/>
          <w:sz w:val="24"/>
          <w:szCs w:val="24"/>
          <w:lang w:bidi="mr-IN"/>
        </w:rPr>
        <w:t xml:space="preserve"> and nerve </w:t>
      </w:r>
      <w:r w:rsidR="00FF09A0">
        <w:rPr>
          <w:rFonts w:ascii="Times New Roman" w:eastAsia="Times New Roman" w:hAnsi="Times New Roman" w:cs="Times New Roman"/>
          <w:b/>
          <w:color w:val="000000" w:themeColor="text1"/>
          <w:sz w:val="24"/>
          <w:szCs w:val="24"/>
          <w:lang w:bidi="mr-IN"/>
        </w:rPr>
        <w:t xml:space="preserve">function </w:t>
      </w:r>
      <w:r w:rsidR="008E6535" w:rsidRPr="00175A9A">
        <w:rPr>
          <w:rFonts w:ascii="Times New Roman" w:eastAsia="Times New Roman" w:hAnsi="Times New Roman" w:cs="Times New Roman"/>
          <w:b/>
          <w:color w:val="000000" w:themeColor="text1"/>
          <w:sz w:val="24"/>
          <w:szCs w:val="24"/>
          <w:lang w:bidi="mr-IN"/>
        </w:rPr>
        <w:t xml:space="preserve">measurements </w:t>
      </w:r>
      <w:r w:rsidR="00FF09A0">
        <w:rPr>
          <w:rFonts w:ascii="Times New Roman" w:eastAsia="Times New Roman" w:hAnsi="Times New Roman" w:cs="Times New Roman"/>
          <w:b/>
          <w:color w:val="000000" w:themeColor="text1"/>
          <w:sz w:val="24"/>
          <w:szCs w:val="24"/>
          <w:lang w:bidi="mr-IN"/>
        </w:rPr>
        <w:t>before</w:t>
      </w:r>
      <w:r w:rsidRPr="00175A9A">
        <w:rPr>
          <w:rFonts w:ascii="Times New Roman" w:eastAsia="Times New Roman" w:hAnsi="Times New Roman" w:cs="Times New Roman"/>
          <w:b/>
          <w:color w:val="000000" w:themeColor="text1"/>
          <w:sz w:val="24"/>
          <w:szCs w:val="24"/>
          <w:lang w:bidi="mr-IN"/>
        </w:rPr>
        <w:t xml:space="preserve"> and </w:t>
      </w:r>
      <w:r w:rsidR="00FF09A0">
        <w:rPr>
          <w:rFonts w:ascii="Times New Roman" w:eastAsia="Times New Roman" w:hAnsi="Times New Roman" w:cs="Times New Roman"/>
          <w:b/>
          <w:color w:val="000000" w:themeColor="text1"/>
          <w:sz w:val="24"/>
          <w:szCs w:val="24"/>
          <w:lang w:bidi="mr-IN"/>
        </w:rPr>
        <w:t xml:space="preserve">after </w:t>
      </w:r>
      <w:r w:rsidRPr="00175A9A">
        <w:rPr>
          <w:rFonts w:ascii="Times New Roman" w:eastAsia="Times New Roman" w:hAnsi="Times New Roman" w:cs="Times New Roman"/>
          <w:b/>
          <w:color w:val="000000" w:themeColor="text1"/>
          <w:sz w:val="24"/>
          <w:szCs w:val="24"/>
          <w:lang w:bidi="mr-IN"/>
        </w:rPr>
        <w:t xml:space="preserve">11 months </w:t>
      </w:r>
      <w:r w:rsidR="00FF09A0">
        <w:rPr>
          <w:rFonts w:ascii="Times New Roman" w:eastAsia="Times New Roman" w:hAnsi="Times New Roman" w:cs="Times New Roman"/>
          <w:b/>
          <w:color w:val="000000" w:themeColor="text1"/>
          <w:sz w:val="24"/>
          <w:szCs w:val="24"/>
          <w:lang w:bidi="mr-IN"/>
        </w:rPr>
        <w:t>of</w:t>
      </w:r>
      <w:r w:rsidRPr="00175A9A">
        <w:rPr>
          <w:rFonts w:ascii="Times New Roman" w:eastAsia="Times New Roman" w:hAnsi="Times New Roman" w:cs="Times New Roman"/>
          <w:b/>
          <w:color w:val="000000" w:themeColor="text1"/>
          <w:sz w:val="24"/>
          <w:szCs w:val="24"/>
          <w:lang w:bidi="mr-IN"/>
        </w:rPr>
        <w:t xml:space="preserve"> treatment</w:t>
      </w:r>
    </w:p>
    <w:tbl>
      <w:tblPr>
        <w:tblStyle w:val="TableGrid"/>
        <w:tblW w:w="5000" w:type="pct"/>
        <w:tblLook w:val="04A0" w:firstRow="1" w:lastRow="0" w:firstColumn="1" w:lastColumn="0" w:noHBand="0" w:noVBand="1"/>
      </w:tblPr>
      <w:tblGrid>
        <w:gridCol w:w="2944"/>
        <w:gridCol w:w="473"/>
        <w:gridCol w:w="2250"/>
        <w:gridCol w:w="473"/>
        <w:gridCol w:w="2250"/>
        <w:gridCol w:w="1186"/>
      </w:tblGrid>
      <w:tr w:rsidR="00927302" w:rsidRPr="00175A9A" w14:paraId="115E179D" w14:textId="77777777" w:rsidTr="00927302">
        <w:trPr>
          <w:trHeight w:val="315"/>
        </w:trPr>
        <w:tc>
          <w:tcPr>
            <w:tcW w:w="1537" w:type="pct"/>
            <w:vMerge w:val="restart"/>
            <w:noWrap/>
            <w:hideMark/>
          </w:tcPr>
          <w:p w14:paraId="49BFE674" w14:textId="77777777" w:rsidR="00927302" w:rsidRPr="00927302" w:rsidRDefault="00927302" w:rsidP="00330CC2">
            <w:pP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 </w:t>
            </w:r>
          </w:p>
          <w:p w14:paraId="2A245679" w14:textId="61F8C46F" w:rsidR="00927302" w:rsidRPr="00927302" w:rsidRDefault="00927302" w:rsidP="00330CC2">
            <w:pP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 </w:t>
            </w:r>
          </w:p>
        </w:tc>
        <w:tc>
          <w:tcPr>
            <w:tcW w:w="1422" w:type="pct"/>
            <w:gridSpan w:val="2"/>
            <w:noWrap/>
            <w:hideMark/>
          </w:tcPr>
          <w:p w14:paraId="4F162BDC" w14:textId="77777777"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 xml:space="preserve">Pre -  Intervention </w:t>
            </w:r>
          </w:p>
        </w:tc>
        <w:tc>
          <w:tcPr>
            <w:tcW w:w="1422" w:type="pct"/>
            <w:gridSpan w:val="2"/>
            <w:noWrap/>
            <w:hideMark/>
          </w:tcPr>
          <w:p w14:paraId="209D70D7" w14:textId="77777777"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 xml:space="preserve">Post -  Intervention </w:t>
            </w:r>
          </w:p>
        </w:tc>
        <w:tc>
          <w:tcPr>
            <w:tcW w:w="619" w:type="pct"/>
            <w:vMerge w:val="restart"/>
            <w:noWrap/>
            <w:hideMark/>
          </w:tcPr>
          <w:p w14:paraId="52FE9A62" w14:textId="77777777"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 xml:space="preserve">p </w:t>
            </w:r>
            <w:r w:rsidRPr="00927302">
              <w:rPr>
                <w:rFonts w:ascii="Arial" w:eastAsia="Helvetica" w:hAnsi="Arial" w:cs="Helvetica"/>
                <w:b/>
                <w:bCs/>
                <w:color w:val="000000"/>
                <w:lang w:eastAsia="en-IN" w:bidi="mr-IN"/>
              </w:rPr>
              <w:t>– value</w:t>
            </w:r>
          </w:p>
        </w:tc>
      </w:tr>
      <w:tr w:rsidR="00927302" w:rsidRPr="00175A9A" w14:paraId="37DAF9CF" w14:textId="77777777" w:rsidTr="00927302">
        <w:trPr>
          <w:trHeight w:val="315"/>
        </w:trPr>
        <w:tc>
          <w:tcPr>
            <w:tcW w:w="1537" w:type="pct"/>
            <w:vMerge/>
            <w:noWrap/>
            <w:hideMark/>
          </w:tcPr>
          <w:p w14:paraId="61BCAA44" w14:textId="6BCD9AFE" w:rsidR="00927302" w:rsidRPr="00927302" w:rsidRDefault="00927302" w:rsidP="00330CC2">
            <w:pPr>
              <w:rPr>
                <w:rFonts w:ascii="Arial" w:eastAsia="Times New Roman" w:hAnsi="Arial" w:cs="Times New Roman"/>
                <w:color w:val="000000"/>
                <w:lang w:val="en-IN" w:eastAsia="en-IN" w:bidi="mr-IN"/>
              </w:rPr>
            </w:pPr>
          </w:p>
        </w:tc>
        <w:tc>
          <w:tcPr>
            <w:tcW w:w="247" w:type="pct"/>
            <w:noWrap/>
            <w:hideMark/>
          </w:tcPr>
          <w:p w14:paraId="1DDCD071" w14:textId="77777777"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N</w:t>
            </w:r>
          </w:p>
        </w:tc>
        <w:tc>
          <w:tcPr>
            <w:tcW w:w="1175" w:type="pct"/>
            <w:noWrap/>
            <w:hideMark/>
          </w:tcPr>
          <w:p w14:paraId="3B353B72" w14:textId="40261617"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Median (P25, P75)</w:t>
            </w:r>
          </w:p>
        </w:tc>
        <w:tc>
          <w:tcPr>
            <w:tcW w:w="247" w:type="pct"/>
            <w:noWrap/>
            <w:hideMark/>
          </w:tcPr>
          <w:p w14:paraId="04364754" w14:textId="77777777"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N</w:t>
            </w:r>
          </w:p>
        </w:tc>
        <w:tc>
          <w:tcPr>
            <w:tcW w:w="1175" w:type="pct"/>
            <w:noWrap/>
            <w:hideMark/>
          </w:tcPr>
          <w:p w14:paraId="315B1CDC" w14:textId="0852F8C0" w:rsidR="00927302" w:rsidRPr="00927302" w:rsidRDefault="00927302" w:rsidP="00330CC2">
            <w:pPr>
              <w:jc w:val="center"/>
              <w:rPr>
                <w:rFonts w:ascii="Arial" w:eastAsia="Times New Roman" w:hAnsi="Arial" w:cs="Times New Roman"/>
                <w:b/>
                <w:bCs/>
                <w:color w:val="000000"/>
                <w:lang w:val="en-IN" w:eastAsia="en-IN" w:bidi="mr-IN"/>
              </w:rPr>
            </w:pPr>
            <w:r w:rsidRPr="00927302">
              <w:rPr>
                <w:rFonts w:ascii="Arial" w:eastAsia="Times New Roman" w:hAnsi="Arial" w:cs="Times New Roman"/>
                <w:b/>
                <w:bCs/>
                <w:color w:val="000000"/>
                <w:lang w:eastAsia="en-IN" w:bidi="mr-IN"/>
              </w:rPr>
              <w:t>Median (P25, P75)</w:t>
            </w:r>
          </w:p>
        </w:tc>
        <w:tc>
          <w:tcPr>
            <w:tcW w:w="619" w:type="pct"/>
            <w:vMerge/>
            <w:hideMark/>
          </w:tcPr>
          <w:p w14:paraId="0F6EF85F" w14:textId="77777777" w:rsidR="00927302" w:rsidRPr="00927302" w:rsidRDefault="00927302" w:rsidP="00330CC2">
            <w:pPr>
              <w:rPr>
                <w:rFonts w:ascii="Arial" w:eastAsia="Times New Roman" w:hAnsi="Arial" w:cs="Times New Roman"/>
                <w:b/>
                <w:bCs/>
                <w:color w:val="000000"/>
                <w:lang w:val="en-IN" w:eastAsia="en-IN" w:bidi="mr-IN"/>
              </w:rPr>
            </w:pPr>
          </w:p>
        </w:tc>
      </w:tr>
      <w:tr w:rsidR="00927302" w:rsidRPr="00175A9A" w14:paraId="530F5DA5" w14:textId="77777777" w:rsidTr="00927302">
        <w:trPr>
          <w:trHeight w:val="525"/>
        </w:trPr>
        <w:tc>
          <w:tcPr>
            <w:tcW w:w="1537" w:type="pct"/>
            <w:noWrap/>
            <w:hideMark/>
          </w:tcPr>
          <w:p w14:paraId="66AE5D54" w14:textId="77777777" w:rsidR="00EA7997" w:rsidRPr="00927302" w:rsidRDefault="00EA7997" w:rsidP="00330CC2">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Height (cms)</w:t>
            </w:r>
          </w:p>
        </w:tc>
        <w:tc>
          <w:tcPr>
            <w:tcW w:w="247" w:type="pct"/>
            <w:noWrap/>
            <w:hideMark/>
          </w:tcPr>
          <w:p w14:paraId="4A3F4545"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7851352A" w14:textId="7F25FAC9"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155.9 (152.9, 161.1)</w:t>
            </w:r>
          </w:p>
        </w:tc>
        <w:tc>
          <w:tcPr>
            <w:tcW w:w="247" w:type="pct"/>
            <w:noWrap/>
            <w:hideMark/>
          </w:tcPr>
          <w:p w14:paraId="5E7188F0"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449F429E" w14:textId="0C078DCB"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156.0 (152.7, 161.5)</w:t>
            </w:r>
          </w:p>
        </w:tc>
        <w:tc>
          <w:tcPr>
            <w:tcW w:w="619" w:type="pct"/>
            <w:noWrap/>
            <w:hideMark/>
          </w:tcPr>
          <w:p w14:paraId="2CCB82AA" w14:textId="366987C9" w:rsidR="00EA7997" w:rsidRPr="00927302" w:rsidRDefault="00EA7997" w:rsidP="00267F5C">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&lt;0.001</w:t>
            </w:r>
          </w:p>
        </w:tc>
      </w:tr>
      <w:tr w:rsidR="00927302" w:rsidRPr="00175A9A" w14:paraId="3C351D9F" w14:textId="77777777" w:rsidTr="00927302">
        <w:trPr>
          <w:trHeight w:val="525"/>
        </w:trPr>
        <w:tc>
          <w:tcPr>
            <w:tcW w:w="1537" w:type="pct"/>
            <w:noWrap/>
            <w:hideMark/>
          </w:tcPr>
          <w:p w14:paraId="0F885883" w14:textId="77777777" w:rsidR="00EA7997" w:rsidRPr="00927302" w:rsidRDefault="00EA7997" w:rsidP="00330CC2">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Weight (kg)</w:t>
            </w:r>
          </w:p>
        </w:tc>
        <w:tc>
          <w:tcPr>
            <w:tcW w:w="247" w:type="pct"/>
            <w:noWrap/>
            <w:hideMark/>
          </w:tcPr>
          <w:p w14:paraId="7CB85DB2"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47EF7A23" w14:textId="4EB607BB"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46.2 (41.0, 52.5)</w:t>
            </w:r>
          </w:p>
        </w:tc>
        <w:tc>
          <w:tcPr>
            <w:tcW w:w="247" w:type="pct"/>
            <w:noWrap/>
            <w:hideMark/>
          </w:tcPr>
          <w:p w14:paraId="492D6FF3"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6F2C91F2" w14:textId="3AF5C290"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46.9 (42, 53.4)</w:t>
            </w:r>
          </w:p>
        </w:tc>
        <w:tc>
          <w:tcPr>
            <w:tcW w:w="619" w:type="pct"/>
            <w:noWrap/>
            <w:hideMark/>
          </w:tcPr>
          <w:p w14:paraId="1BE7D47F"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0.028</w:t>
            </w:r>
          </w:p>
        </w:tc>
      </w:tr>
      <w:tr w:rsidR="00927302" w:rsidRPr="00175A9A" w14:paraId="33354B67" w14:textId="77777777" w:rsidTr="00927302">
        <w:trPr>
          <w:trHeight w:val="525"/>
        </w:trPr>
        <w:tc>
          <w:tcPr>
            <w:tcW w:w="1537" w:type="pct"/>
            <w:noWrap/>
            <w:hideMark/>
          </w:tcPr>
          <w:p w14:paraId="5CBE2B6F" w14:textId="77777777" w:rsidR="00EA7997" w:rsidRPr="00927302" w:rsidRDefault="00EA7997" w:rsidP="00330CC2">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BMI (kg/m2)</w:t>
            </w:r>
          </w:p>
        </w:tc>
        <w:tc>
          <w:tcPr>
            <w:tcW w:w="247" w:type="pct"/>
            <w:noWrap/>
            <w:hideMark/>
          </w:tcPr>
          <w:p w14:paraId="069536E4"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25677C15" w14:textId="61E4C3DE"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18.6 (17.2, 21.2)</w:t>
            </w:r>
          </w:p>
        </w:tc>
        <w:tc>
          <w:tcPr>
            <w:tcW w:w="247" w:type="pct"/>
            <w:noWrap/>
            <w:hideMark/>
          </w:tcPr>
          <w:p w14:paraId="0E0FEE66"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14397E72" w14:textId="45C0157B"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18.8 (17.5, 21.6)</w:t>
            </w:r>
          </w:p>
        </w:tc>
        <w:tc>
          <w:tcPr>
            <w:tcW w:w="619" w:type="pct"/>
            <w:noWrap/>
            <w:hideMark/>
          </w:tcPr>
          <w:p w14:paraId="7CB4A883"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0.248</w:t>
            </w:r>
          </w:p>
        </w:tc>
      </w:tr>
      <w:tr w:rsidR="00927302" w:rsidRPr="00175A9A" w14:paraId="0057DC61" w14:textId="77777777" w:rsidTr="00927302">
        <w:trPr>
          <w:trHeight w:val="525"/>
        </w:trPr>
        <w:tc>
          <w:tcPr>
            <w:tcW w:w="1537" w:type="pct"/>
            <w:noWrap/>
            <w:hideMark/>
          </w:tcPr>
          <w:p w14:paraId="1E9A6B30" w14:textId="77777777" w:rsidR="00EA7997" w:rsidRPr="00927302" w:rsidRDefault="00EA7997" w:rsidP="00330CC2">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Hemoglobin (gm%)</w:t>
            </w:r>
          </w:p>
        </w:tc>
        <w:tc>
          <w:tcPr>
            <w:tcW w:w="247" w:type="pct"/>
            <w:noWrap/>
            <w:hideMark/>
          </w:tcPr>
          <w:p w14:paraId="250ECFD4"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4447C51E" w14:textId="5D7F4A4A"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11.3 (10.5, 11.9)</w:t>
            </w:r>
          </w:p>
        </w:tc>
        <w:tc>
          <w:tcPr>
            <w:tcW w:w="247" w:type="pct"/>
            <w:noWrap/>
            <w:hideMark/>
          </w:tcPr>
          <w:p w14:paraId="1061E638"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16C9AF6A" w14:textId="6264CCB0"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11.8 (11.4, 12.5)</w:t>
            </w:r>
          </w:p>
        </w:tc>
        <w:tc>
          <w:tcPr>
            <w:tcW w:w="619" w:type="pct"/>
            <w:noWrap/>
            <w:hideMark/>
          </w:tcPr>
          <w:p w14:paraId="525B2A68" w14:textId="098AF540" w:rsidR="00EA7997" w:rsidRPr="00927302" w:rsidRDefault="00EA7997" w:rsidP="00267F5C">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&lt;0.001</w:t>
            </w:r>
          </w:p>
        </w:tc>
      </w:tr>
      <w:tr w:rsidR="00927302" w:rsidRPr="00175A9A" w14:paraId="5B567446" w14:textId="77777777" w:rsidTr="00927302">
        <w:trPr>
          <w:trHeight w:val="423"/>
        </w:trPr>
        <w:tc>
          <w:tcPr>
            <w:tcW w:w="1537" w:type="pct"/>
            <w:noWrap/>
            <w:hideMark/>
          </w:tcPr>
          <w:p w14:paraId="45AE2485" w14:textId="77777777" w:rsidR="00EA7997" w:rsidRPr="00927302" w:rsidRDefault="00EA7997" w:rsidP="00330CC2">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MCV (fl)</w:t>
            </w:r>
          </w:p>
        </w:tc>
        <w:tc>
          <w:tcPr>
            <w:tcW w:w="247" w:type="pct"/>
            <w:noWrap/>
            <w:hideMark/>
          </w:tcPr>
          <w:p w14:paraId="44BBCD65"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73C38410" w14:textId="616014B3"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94.2 (85.2, 100.8)</w:t>
            </w:r>
          </w:p>
        </w:tc>
        <w:tc>
          <w:tcPr>
            <w:tcW w:w="247" w:type="pct"/>
            <w:noWrap/>
            <w:hideMark/>
          </w:tcPr>
          <w:p w14:paraId="2EAE5AFE"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71E57B71" w14:textId="33CE948C"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85.4 (82.4, 91.1)</w:t>
            </w:r>
          </w:p>
        </w:tc>
        <w:tc>
          <w:tcPr>
            <w:tcW w:w="619" w:type="pct"/>
            <w:noWrap/>
            <w:hideMark/>
          </w:tcPr>
          <w:p w14:paraId="0BBD8E99" w14:textId="32EF59D0" w:rsidR="00EA7997" w:rsidRPr="00927302" w:rsidRDefault="00EA7997" w:rsidP="00267F5C">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&lt;0.001</w:t>
            </w:r>
          </w:p>
        </w:tc>
      </w:tr>
      <w:tr w:rsidR="00927302" w:rsidRPr="00175A9A" w14:paraId="71AF2515" w14:textId="77777777" w:rsidTr="00927302">
        <w:trPr>
          <w:trHeight w:val="423"/>
        </w:trPr>
        <w:tc>
          <w:tcPr>
            <w:tcW w:w="1537" w:type="pct"/>
            <w:noWrap/>
            <w:hideMark/>
          </w:tcPr>
          <w:p w14:paraId="1EB78C0E" w14:textId="77777777" w:rsidR="00EA7997" w:rsidRPr="00927302" w:rsidRDefault="00EA7997" w:rsidP="00330CC2">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RDW (%)</w:t>
            </w:r>
          </w:p>
        </w:tc>
        <w:tc>
          <w:tcPr>
            <w:tcW w:w="247" w:type="pct"/>
            <w:noWrap/>
            <w:hideMark/>
          </w:tcPr>
          <w:p w14:paraId="0284BAC6"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38FDEE8F" w14:textId="211A9A80"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15.1 (14.1, 16.4)</w:t>
            </w:r>
          </w:p>
        </w:tc>
        <w:tc>
          <w:tcPr>
            <w:tcW w:w="247" w:type="pct"/>
            <w:noWrap/>
            <w:hideMark/>
          </w:tcPr>
          <w:p w14:paraId="00B5B960"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56953EB0" w14:textId="03BF3820"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13.6 (12.9, 14.5)</w:t>
            </w:r>
          </w:p>
        </w:tc>
        <w:tc>
          <w:tcPr>
            <w:tcW w:w="619" w:type="pct"/>
            <w:noWrap/>
            <w:hideMark/>
          </w:tcPr>
          <w:p w14:paraId="3692C33A"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0.001</w:t>
            </w:r>
          </w:p>
        </w:tc>
      </w:tr>
      <w:tr w:rsidR="00927302" w:rsidRPr="00175A9A" w14:paraId="3F206D97" w14:textId="77777777" w:rsidTr="00927302">
        <w:trPr>
          <w:trHeight w:val="423"/>
        </w:trPr>
        <w:tc>
          <w:tcPr>
            <w:tcW w:w="1537" w:type="pct"/>
            <w:noWrap/>
            <w:hideMark/>
          </w:tcPr>
          <w:p w14:paraId="660D5ED0" w14:textId="77777777" w:rsidR="00EA7997" w:rsidRDefault="00EA7997" w:rsidP="00330CC2">
            <w:pPr>
              <w:jc w:val="both"/>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VitaminB-12 (pmol/L)</w:t>
            </w:r>
          </w:p>
          <w:p w14:paraId="672E9328" w14:textId="2E50480D" w:rsidR="001F0D2C" w:rsidRPr="00927302" w:rsidRDefault="001F0D2C" w:rsidP="00330CC2">
            <w:pPr>
              <w:jc w:val="both"/>
              <w:rPr>
                <w:rFonts w:ascii="Arial" w:eastAsia="Times New Roman" w:hAnsi="Arial" w:cs="Times New Roman"/>
                <w:color w:val="000000"/>
                <w:lang w:val="en-IN" w:eastAsia="en-IN" w:bidi="mr-IN"/>
              </w:rPr>
            </w:pPr>
            <w:r>
              <w:rPr>
                <w:rFonts w:ascii="Arial" w:eastAsia="Times New Roman" w:hAnsi="Arial" w:cs="Times New Roman"/>
                <w:color w:val="000000"/>
                <w:lang w:eastAsia="en-IN" w:bidi="mr-IN"/>
              </w:rPr>
              <w:t>(Normal &gt; 150pmol/L)</w:t>
            </w:r>
          </w:p>
        </w:tc>
        <w:tc>
          <w:tcPr>
            <w:tcW w:w="247" w:type="pct"/>
            <w:noWrap/>
            <w:hideMark/>
          </w:tcPr>
          <w:p w14:paraId="00D0618B"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553AB636" w14:textId="79E1D0A9"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92.0 (78.0, 106.0)</w:t>
            </w:r>
          </w:p>
        </w:tc>
        <w:tc>
          <w:tcPr>
            <w:tcW w:w="247" w:type="pct"/>
            <w:noWrap/>
            <w:hideMark/>
          </w:tcPr>
          <w:p w14:paraId="486D0F9B"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1AFC9862" w14:textId="3A2A91F2"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161.5 (125.5, 226.3)</w:t>
            </w:r>
          </w:p>
        </w:tc>
        <w:tc>
          <w:tcPr>
            <w:tcW w:w="619" w:type="pct"/>
            <w:noWrap/>
            <w:hideMark/>
          </w:tcPr>
          <w:p w14:paraId="676EB0BB" w14:textId="235557EE" w:rsidR="00EA7997" w:rsidRPr="00927302" w:rsidRDefault="00EA7997" w:rsidP="00267F5C">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&lt;0.001</w:t>
            </w:r>
          </w:p>
        </w:tc>
      </w:tr>
      <w:tr w:rsidR="00927302" w:rsidRPr="00175A9A" w14:paraId="328BEAA8" w14:textId="77777777" w:rsidTr="00927302">
        <w:trPr>
          <w:trHeight w:val="525"/>
        </w:trPr>
        <w:tc>
          <w:tcPr>
            <w:tcW w:w="1537" w:type="pct"/>
            <w:noWrap/>
            <w:hideMark/>
          </w:tcPr>
          <w:p w14:paraId="58E8D444" w14:textId="77777777" w:rsidR="00EA7997" w:rsidRDefault="00EA7997" w:rsidP="00330CC2">
            <w:pPr>
              <w:jc w:val="both"/>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Folate (nmol/L)</w:t>
            </w:r>
          </w:p>
          <w:p w14:paraId="5A1917AA" w14:textId="5FDA63C1" w:rsidR="001F0D2C" w:rsidRPr="00927302" w:rsidRDefault="001F0D2C" w:rsidP="00330CC2">
            <w:pPr>
              <w:jc w:val="both"/>
              <w:rPr>
                <w:rFonts w:ascii="Arial" w:eastAsia="Times New Roman" w:hAnsi="Arial" w:cs="Times New Roman"/>
                <w:color w:val="000000"/>
                <w:lang w:val="en-IN" w:eastAsia="en-IN" w:bidi="mr-IN"/>
              </w:rPr>
            </w:pPr>
            <w:r>
              <w:rPr>
                <w:rFonts w:ascii="Arial" w:eastAsia="Times New Roman" w:hAnsi="Arial" w:cs="Times New Roman"/>
                <w:color w:val="000000"/>
                <w:lang w:eastAsia="en-IN" w:bidi="mr-IN"/>
              </w:rPr>
              <w:t>(Normal &gt; 7nmol/L)</w:t>
            </w:r>
          </w:p>
        </w:tc>
        <w:tc>
          <w:tcPr>
            <w:tcW w:w="247" w:type="pct"/>
            <w:noWrap/>
            <w:hideMark/>
          </w:tcPr>
          <w:p w14:paraId="0FADBE7C"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38</w:t>
            </w:r>
          </w:p>
        </w:tc>
        <w:tc>
          <w:tcPr>
            <w:tcW w:w="1175" w:type="pct"/>
            <w:noWrap/>
            <w:hideMark/>
          </w:tcPr>
          <w:p w14:paraId="177159D7" w14:textId="0CBD711D"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18.9 (13.1, 25.8)</w:t>
            </w:r>
          </w:p>
        </w:tc>
        <w:tc>
          <w:tcPr>
            <w:tcW w:w="247" w:type="pct"/>
            <w:noWrap/>
            <w:hideMark/>
          </w:tcPr>
          <w:p w14:paraId="729048D2"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30</w:t>
            </w:r>
          </w:p>
        </w:tc>
        <w:tc>
          <w:tcPr>
            <w:tcW w:w="1175" w:type="pct"/>
            <w:noWrap/>
            <w:hideMark/>
          </w:tcPr>
          <w:p w14:paraId="24469794" w14:textId="28B3A5DD"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19.7 (13.5, 26)</w:t>
            </w:r>
          </w:p>
        </w:tc>
        <w:tc>
          <w:tcPr>
            <w:tcW w:w="619" w:type="pct"/>
            <w:noWrap/>
            <w:hideMark/>
          </w:tcPr>
          <w:p w14:paraId="4331C2D6"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0.795</w:t>
            </w:r>
          </w:p>
        </w:tc>
      </w:tr>
      <w:tr w:rsidR="00927302" w:rsidRPr="00175A9A" w14:paraId="745C8A6A" w14:textId="77777777" w:rsidTr="00927302">
        <w:trPr>
          <w:trHeight w:val="451"/>
        </w:trPr>
        <w:tc>
          <w:tcPr>
            <w:tcW w:w="1537" w:type="pct"/>
            <w:noWrap/>
            <w:hideMark/>
          </w:tcPr>
          <w:p w14:paraId="5831BBC1" w14:textId="77777777" w:rsidR="00EA7997" w:rsidRDefault="00EA7997" w:rsidP="00330CC2">
            <w:pPr>
              <w:jc w:val="both"/>
              <w:rPr>
                <w:rFonts w:ascii="Arial" w:eastAsia="Helvetica" w:hAnsi="Arial" w:cs="Helvetica"/>
                <w:color w:val="000000"/>
                <w:lang w:eastAsia="en-IN" w:bidi="mr-IN"/>
              </w:rPr>
            </w:pPr>
            <w:r w:rsidRPr="00927302">
              <w:rPr>
                <w:rFonts w:ascii="Arial" w:eastAsia="Times New Roman" w:hAnsi="Arial" w:cs="Times New Roman"/>
                <w:color w:val="000000"/>
                <w:lang w:eastAsia="en-IN" w:bidi="mr-IN"/>
              </w:rPr>
              <w:t>Homocysteine (</w:t>
            </w:r>
            <w:r w:rsidRPr="00927302">
              <w:rPr>
                <w:rFonts w:ascii="Arial" w:eastAsia="Helvetica" w:hAnsi="Arial" w:cs="Helvetica"/>
                <w:color w:val="000000"/>
                <w:lang w:eastAsia="en-IN" w:bidi="mr-IN"/>
              </w:rPr>
              <w:t xml:space="preserve">µmol/L) </w:t>
            </w:r>
          </w:p>
          <w:p w14:paraId="3CB5F7CA" w14:textId="5C5BC500" w:rsidR="001F0D2C" w:rsidRPr="00927302" w:rsidRDefault="001F0D2C" w:rsidP="00330CC2">
            <w:pPr>
              <w:jc w:val="both"/>
              <w:rPr>
                <w:rFonts w:ascii="Arial" w:eastAsia="Times New Roman" w:hAnsi="Arial" w:cs="Times New Roman"/>
                <w:color w:val="000000"/>
                <w:lang w:val="en-IN" w:eastAsia="en-IN" w:bidi="mr-IN"/>
              </w:rPr>
            </w:pPr>
            <w:r>
              <w:rPr>
                <w:rFonts w:ascii="Arial" w:eastAsia="Helvetica" w:hAnsi="Arial" w:cs="Helvetica"/>
                <w:color w:val="000000"/>
                <w:lang w:eastAsia="en-IN" w:bidi="mr-IN"/>
              </w:rPr>
              <w:t>(Normal &lt; 15</w:t>
            </w:r>
            <w:r w:rsidRPr="00927302">
              <w:rPr>
                <w:rFonts w:ascii="Arial" w:eastAsia="Helvetica" w:hAnsi="Arial" w:cs="Helvetica"/>
                <w:color w:val="000000"/>
                <w:lang w:eastAsia="en-IN" w:bidi="mr-IN"/>
              </w:rPr>
              <w:t xml:space="preserve"> µmol/L</w:t>
            </w:r>
            <w:r>
              <w:rPr>
                <w:rFonts w:ascii="Arial" w:eastAsia="Helvetica" w:hAnsi="Arial" w:cs="Helvetica"/>
                <w:color w:val="000000"/>
                <w:lang w:eastAsia="en-IN" w:bidi="mr-IN"/>
              </w:rPr>
              <w:t>)</w:t>
            </w:r>
          </w:p>
        </w:tc>
        <w:tc>
          <w:tcPr>
            <w:tcW w:w="247" w:type="pct"/>
            <w:noWrap/>
            <w:hideMark/>
          </w:tcPr>
          <w:p w14:paraId="2BEFC22C"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27F8D7E5" w14:textId="7731A1A9"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41.5 (26.7, 56.7)</w:t>
            </w:r>
          </w:p>
        </w:tc>
        <w:tc>
          <w:tcPr>
            <w:tcW w:w="247" w:type="pct"/>
            <w:noWrap/>
            <w:hideMark/>
          </w:tcPr>
          <w:p w14:paraId="107F31BA"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34</w:t>
            </w:r>
          </w:p>
        </w:tc>
        <w:tc>
          <w:tcPr>
            <w:tcW w:w="1175" w:type="pct"/>
            <w:noWrap/>
            <w:hideMark/>
          </w:tcPr>
          <w:p w14:paraId="7AA3759F" w14:textId="361FA49B"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13.3 (9.7, 24.6)</w:t>
            </w:r>
          </w:p>
        </w:tc>
        <w:tc>
          <w:tcPr>
            <w:tcW w:w="619" w:type="pct"/>
            <w:noWrap/>
            <w:hideMark/>
          </w:tcPr>
          <w:p w14:paraId="6BE458C8"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&lt; 0.001</w:t>
            </w:r>
          </w:p>
        </w:tc>
      </w:tr>
      <w:tr w:rsidR="00927302" w:rsidRPr="00175A9A" w14:paraId="088D21F7" w14:textId="77777777" w:rsidTr="00927302">
        <w:trPr>
          <w:trHeight w:val="423"/>
        </w:trPr>
        <w:tc>
          <w:tcPr>
            <w:tcW w:w="1537" w:type="pct"/>
            <w:noWrap/>
            <w:hideMark/>
          </w:tcPr>
          <w:p w14:paraId="1D36FF78" w14:textId="1C1B175C" w:rsidR="00EA7997" w:rsidRPr="00927302" w:rsidRDefault="00EA7997" w:rsidP="00FF09A0">
            <w:pPr>
              <w:jc w:val="both"/>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 xml:space="preserve">ESC values </w:t>
            </w:r>
            <w:r w:rsidR="00FF09A0">
              <w:rPr>
                <w:rFonts w:ascii="Arial" w:eastAsia="Times New Roman" w:hAnsi="Arial" w:cs="Times New Roman"/>
                <w:color w:val="000000"/>
                <w:lang w:eastAsia="en-IN" w:bidi="mr-IN"/>
              </w:rPr>
              <w:t>in the</w:t>
            </w:r>
            <w:r w:rsidRPr="00927302">
              <w:rPr>
                <w:rFonts w:ascii="Arial" w:eastAsia="Times New Roman" w:hAnsi="Arial" w:cs="Times New Roman"/>
                <w:color w:val="000000"/>
                <w:lang w:eastAsia="en-IN" w:bidi="mr-IN"/>
              </w:rPr>
              <w:t xml:space="preserve"> feet (</w:t>
            </w:r>
            <w:r w:rsidRPr="00927302">
              <w:rPr>
                <w:rFonts w:ascii="Arial" w:eastAsia="Helvetica" w:hAnsi="Arial" w:cs="Helvetica"/>
                <w:color w:val="000000"/>
                <w:lang w:eastAsia="en-IN" w:bidi="mr-IN"/>
              </w:rPr>
              <w:t>µS)</w:t>
            </w:r>
          </w:p>
        </w:tc>
        <w:tc>
          <w:tcPr>
            <w:tcW w:w="247" w:type="pct"/>
            <w:noWrap/>
            <w:hideMark/>
          </w:tcPr>
          <w:p w14:paraId="61F354EA"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39</w:t>
            </w:r>
          </w:p>
        </w:tc>
        <w:tc>
          <w:tcPr>
            <w:tcW w:w="1175" w:type="pct"/>
            <w:noWrap/>
            <w:hideMark/>
          </w:tcPr>
          <w:p w14:paraId="4F0D894C" w14:textId="665BD82A"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76.0 [67.7, 83.3]</w:t>
            </w:r>
          </w:p>
        </w:tc>
        <w:tc>
          <w:tcPr>
            <w:tcW w:w="247" w:type="pct"/>
            <w:noWrap/>
            <w:hideMark/>
          </w:tcPr>
          <w:p w14:paraId="5558FEDA"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33</w:t>
            </w:r>
          </w:p>
        </w:tc>
        <w:tc>
          <w:tcPr>
            <w:tcW w:w="1175" w:type="pct"/>
            <w:noWrap/>
            <w:hideMark/>
          </w:tcPr>
          <w:p w14:paraId="5235CDA8" w14:textId="464A4428"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88.5 (77.4, 92.5)</w:t>
            </w:r>
          </w:p>
        </w:tc>
        <w:tc>
          <w:tcPr>
            <w:tcW w:w="619" w:type="pct"/>
            <w:noWrap/>
            <w:hideMark/>
          </w:tcPr>
          <w:p w14:paraId="751F8569" w14:textId="77777777" w:rsidR="00EA7997" w:rsidRPr="00927302" w:rsidRDefault="00EA7997" w:rsidP="00330CC2">
            <w:pPr>
              <w:jc w:val="center"/>
              <w:rPr>
                <w:rFonts w:ascii="Arial" w:eastAsia="Times New Roman" w:hAnsi="Arial" w:cs="Times New Roman"/>
                <w:color w:val="000000"/>
                <w:lang w:val="en-IN" w:eastAsia="en-IN" w:bidi="mr-IN"/>
              </w:rPr>
            </w:pPr>
            <w:r w:rsidRPr="00927302">
              <w:rPr>
                <w:rFonts w:ascii="Arial" w:eastAsia="Times New Roman" w:hAnsi="Arial" w:cs="Times New Roman"/>
                <w:color w:val="000000"/>
                <w:lang w:eastAsia="en-IN" w:bidi="mr-IN"/>
              </w:rPr>
              <w:t>&lt; 0.001</w:t>
            </w:r>
          </w:p>
        </w:tc>
      </w:tr>
      <w:tr w:rsidR="00927302" w:rsidRPr="00175A9A" w14:paraId="13319C3D" w14:textId="77777777" w:rsidTr="00927302">
        <w:trPr>
          <w:trHeight w:val="493"/>
        </w:trPr>
        <w:tc>
          <w:tcPr>
            <w:tcW w:w="1537" w:type="pct"/>
            <w:noWrap/>
          </w:tcPr>
          <w:p w14:paraId="079063C7" w14:textId="77777777" w:rsidR="00927302" w:rsidRDefault="00EA7997" w:rsidP="00330CC2">
            <w:pPr>
              <w:jc w:val="both"/>
              <w:rPr>
                <w:rFonts w:ascii="Arial" w:eastAsia="Helvetica" w:hAnsi="Arial" w:cs="Helvetica"/>
                <w:color w:val="000000"/>
                <w:lang w:eastAsia="en-IN" w:bidi="mr-IN"/>
              </w:rPr>
            </w:pPr>
            <w:r w:rsidRPr="00927302">
              <w:rPr>
                <w:rFonts w:ascii="Arial" w:eastAsia="Times New Roman" w:hAnsi="Arial" w:cs="Times New Roman"/>
                <w:color w:val="000000"/>
                <w:lang w:eastAsia="en-IN" w:bidi="mr-IN"/>
              </w:rPr>
              <w:t xml:space="preserve">Median Nerve </w:t>
            </w:r>
            <w:r w:rsidRPr="00927302">
              <w:rPr>
                <w:rFonts w:ascii="Arial" w:eastAsia="Helvetica" w:hAnsi="Arial" w:cs="Helvetica"/>
                <w:color w:val="000000"/>
                <w:lang w:eastAsia="en-IN" w:bidi="mr-IN"/>
              </w:rPr>
              <w:t xml:space="preserve">– </w:t>
            </w:r>
          </w:p>
          <w:p w14:paraId="4D91F32B" w14:textId="49508263" w:rsidR="00EA7997" w:rsidRPr="00927302" w:rsidRDefault="00EA7997" w:rsidP="00330CC2">
            <w:pPr>
              <w:jc w:val="both"/>
              <w:rPr>
                <w:rFonts w:ascii="Arial" w:eastAsia="Times New Roman" w:hAnsi="Arial" w:cs="Times New Roman"/>
                <w:color w:val="000000"/>
                <w:lang w:eastAsia="en-IN" w:bidi="mr-IN"/>
              </w:rPr>
            </w:pPr>
            <w:r w:rsidRPr="00927302">
              <w:rPr>
                <w:rFonts w:ascii="Arial" w:eastAsia="Helvetica" w:hAnsi="Arial" w:cs="Helvetica"/>
                <w:color w:val="000000"/>
                <w:lang w:eastAsia="en-IN" w:bidi="mr-IN"/>
              </w:rPr>
              <w:t>Sensory NCV (m/s)</w:t>
            </w:r>
          </w:p>
        </w:tc>
        <w:tc>
          <w:tcPr>
            <w:tcW w:w="247" w:type="pct"/>
            <w:noWrap/>
          </w:tcPr>
          <w:p w14:paraId="732A9D9F" w14:textId="0C0EDA85"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31</w:t>
            </w:r>
          </w:p>
        </w:tc>
        <w:tc>
          <w:tcPr>
            <w:tcW w:w="1175" w:type="pct"/>
            <w:noWrap/>
          </w:tcPr>
          <w:p w14:paraId="44EDD745" w14:textId="59CE8076"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54.3 (50.7, 58.8)</w:t>
            </w:r>
          </w:p>
        </w:tc>
        <w:tc>
          <w:tcPr>
            <w:tcW w:w="247" w:type="pct"/>
            <w:noWrap/>
          </w:tcPr>
          <w:p w14:paraId="73684B4E" w14:textId="7BE9CCDA" w:rsidR="00EA7997" w:rsidRPr="00927302" w:rsidRDefault="00B77ABE" w:rsidP="00330CC2">
            <w:pPr>
              <w:jc w:val="center"/>
              <w:rPr>
                <w:rFonts w:ascii="Arial" w:eastAsia="Times New Roman" w:hAnsi="Arial" w:cs="Times New Roman"/>
                <w:color w:val="000000"/>
                <w:lang w:eastAsia="en-IN" w:bidi="mr-IN"/>
              </w:rPr>
            </w:pPr>
            <w:r>
              <w:rPr>
                <w:rFonts w:ascii="Arial" w:eastAsia="Times New Roman" w:hAnsi="Arial" w:cs="Times New Roman"/>
                <w:color w:val="000000"/>
                <w:lang w:eastAsia="en-IN" w:bidi="mr-IN"/>
              </w:rPr>
              <w:t>26</w:t>
            </w:r>
          </w:p>
        </w:tc>
        <w:tc>
          <w:tcPr>
            <w:tcW w:w="1175" w:type="pct"/>
            <w:noWrap/>
          </w:tcPr>
          <w:p w14:paraId="031DD5FE" w14:textId="42224B7C"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62.3 (55.7, 68.6)</w:t>
            </w:r>
          </w:p>
        </w:tc>
        <w:tc>
          <w:tcPr>
            <w:tcW w:w="619" w:type="pct"/>
            <w:noWrap/>
          </w:tcPr>
          <w:p w14:paraId="2AA71F0E" w14:textId="0357D609"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&lt; 0.001</w:t>
            </w:r>
          </w:p>
        </w:tc>
      </w:tr>
      <w:tr w:rsidR="00927302" w:rsidRPr="00175A9A" w14:paraId="1DB475A5" w14:textId="77777777" w:rsidTr="00927302">
        <w:trPr>
          <w:trHeight w:val="422"/>
        </w:trPr>
        <w:tc>
          <w:tcPr>
            <w:tcW w:w="1537" w:type="pct"/>
            <w:noWrap/>
          </w:tcPr>
          <w:p w14:paraId="6120090C" w14:textId="77777777" w:rsidR="00927302" w:rsidRDefault="00EA7997" w:rsidP="00330CC2">
            <w:pPr>
              <w:jc w:val="both"/>
              <w:rPr>
                <w:rFonts w:ascii="Arial" w:eastAsia="Helvetica" w:hAnsi="Arial" w:cs="Helvetica"/>
                <w:color w:val="000000"/>
                <w:lang w:eastAsia="en-IN" w:bidi="mr-IN"/>
              </w:rPr>
            </w:pPr>
            <w:r w:rsidRPr="00927302">
              <w:rPr>
                <w:rFonts w:ascii="Arial" w:eastAsia="Times New Roman" w:hAnsi="Arial" w:cs="Times New Roman"/>
                <w:color w:val="000000"/>
                <w:lang w:eastAsia="en-IN" w:bidi="mr-IN"/>
              </w:rPr>
              <w:t xml:space="preserve">Sural Nerve </w:t>
            </w:r>
            <w:r w:rsidRPr="00927302">
              <w:rPr>
                <w:rFonts w:ascii="Arial" w:eastAsia="Helvetica" w:hAnsi="Arial" w:cs="Helvetica"/>
                <w:color w:val="000000"/>
                <w:lang w:eastAsia="en-IN" w:bidi="mr-IN"/>
              </w:rPr>
              <w:t xml:space="preserve">– </w:t>
            </w:r>
          </w:p>
          <w:p w14:paraId="29E552AA" w14:textId="25080400" w:rsidR="00EA7997" w:rsidRPr="00927302" w:rsidRDefault="00EA7997" w:rsidP="00330CC2">
            <w:pPr>
              <w:jc w:val="both"/>
              <w:rPr>
                <w:rFonts w:ascii="Arial" w:eastAsia="Times New Roman" w:hAnsi="Arial" w:cs="Times New Roman"/>
                <w:color w:val="000000"/>
                <w:lang w:eastAsia="en-IN" w:bidi="mr-IN"/>
              </w:rPr>
            </w:pPr>
            <w:r w:rsidRPr="00927302">
              <w:rPr>
                <w:rFonts w:ascii="Arial" w:eastAsia="Helvetica" w:hAnsi="Arial" w:cs="Helvetica"/>
                <w:color w:val="000000"/>
                <w:lang w:eastAsia="en-IN" w:bidi="mr-IN"/>
              </w:rPr>
              <w:t>Sensory NCV (m/s)</w:t>
            </w:r>
          </w:p>
        </w:tc>
        <w:tc>
          <w:tcPr>
            <w:tcW w:w="247" w:type="pct"/>
            <w:noWrap/>
          </w:tcPr>
          <w:p w14:paraId="5DA10C5D" w14:textId="51A109E8"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31</w:t>
            </w:r>
          </w:p>
        </w:tc>
        <w:tc>
          <w:tcPr>
            <w:tcW w:w="1175" w:type="pct"/>
            <w:noWrap/>
          </w:tcPr>
          <w:p w14:paraId="06642601" w14:textId="503C9C76"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46.4 (43.9, 52.0)</w:t>
            </w:r>
          </w:p>
        </w:tc>
        <w:tc>
          <w:tcPr>
            <w:tcW w:w="247" w:type="pct"/>
            <w:noWrap/>
          </w:tcPr>
          <w:p w14:paraId="4B129C26" w14:textId="0A089C0D"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2</w:t>
            </w:r>
            <w:r w:rsidR="00B77ABE">
              <w:rPr>
                <w:rFonts w:ascii="Arial" w:eastAsia="Times New Roman" w:hAnsi="Arial" w:cs="Times New Roman"/>
                <w:color w:val="000000"/>
                <w:lang w:eastAsia="en-IN" w:bidi="mr-IN"/>
              </w:rPr>
              <w:t>7</w:t>
            </w:r>
          </w:p>
        </w:tc>
        <w:tc>
          <w:tcPr>
            <w:tcW w:w="1175" w:type="pct"/>
            <w:noWrap/>
          </w:tcPr>
          <w:p w14:paraId="23FD48F4" w14:textId="2C49F270"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61.1 (54.1, 65.9)</w:t>
            </w:r>
          </w:p>
        </w:tc>
        <w:tc>
          <w:tcPr>
            <w:tcW w:w="619" w:type="pct"/>
            <w:noWrap/>
          </w:tcPr>
          <w:p w14:paraId="46E488BD" w14:textId="0015ADE8" w:rsidR="00EA7997" w:rsidRPr="00927302" w:rsidRDefault="00EA7997" w:rsidP="00330CC2">
            <w:pPr>
              <w:jc w:val="center"/>
              <w:rPr>
                <w:rFonts w:ascii="Arial" w:eastAsia="Times New Roman" w:hAnsi="Arial" w:cs="Times New Roman"/>
                <w:color w:val="000000"/>
                <w:lang w:eastAsia="en-IN" w:bidi="mr-IN"/>
              </w:rPr>
            </w:pPr>
            <w:r w:rsidRPr="00927302">
              <w:rPr>
                <w:rFonts w:ascii="Arial" w:eastAsia="Times New Roman" w:hAnsi="Arial" w:cs="Times New Roman"/>
                <w:color w:val="000000"/>
                <w:lang w:eastAsia="en-IN" w:bidi="mr-IN"/>
              </w:rPr>
              <w:t>&lt; 0.001</w:t>
            </w:r>
          </w:p>
        </w:tc>
      </w:tr>
    </w:tbl>
    <w:p w14:paraId="5508F2A4" w14:textId="1F8720EC" w:rsidR="00131B2E" w:rsidRPr="00175A9A" w:rsidRDefault="00131B2E" w:rsidP="00330CC2">
      <w:pPr>
        <w:tabs>
          <w:tab w:val="left" w:pos="3765"/>
        </w:tabs>
        <w:spacing w:line="240" w:lineRule="auto"/>
        <w:jc w:val="both"/>
        <w:rPr>
          <w:rFonts w:ascii="Times New Roman" w:eastAsia="Times New Roman" w:hAnsi="Times New Roman" w:cs="Times New Roman"/>
          <w:color w:val="000000" w:themeColor="text1"/>
          <w:sz w:val="24"/>
          <w:szCs w:val="24"/>
          <w:lang w:bidi="mr-IN"/>
        </w:rPr>
      </w:pPr>
      <w:r w:rsidRPr="00175A9A">
        <w:rPr>
          <w:rFonts w:ascii="Times New Roman" w:eastAsia="Times New Roman" w:hAnsi="Times New Roman" w:cs="Times New Roman"/>
          <w:color w:val="000000" w:themeColor="text1"/>
          <w:sz w:val="24"/>
          <w:szCs w:val="24"/>
          <w:lang w:bidi="mr-IN"/>
        </w:rPr>
        <w:t>p – value</w:t>
      </w:r>
      <w:r w:rsidR="00160868">
        <w:rPr>
          <w:rFonts w:ascii="Times New Roman" w:eastAsia="Times New Roman" w:hAnsi="Times New Roman" w:cs="Times New Roman"/>
          <w:color w:val="000000" w:themeColor="text1"/>
          <w:sz w:val="24"/>
          <w:szCs w:val="24"/>
          <w:lang w:bidi="mr-IN"/>
        </w:rPr>
        <w:t>s</w:t>
      </w:r>
      <w:r w:rsidRPr="00175A9A">
        <w:rPr>
          <w:rFonts w:ascii="Times New Roman" w:eastAsia="Times New Roman" w:hAnsi="Times New Roman" w:cs="Times New Roman"/>
          <w:color w:val="000000" w:themeColor="text1"/>
          <w:sz w:val="24"/>
          <w:szCs w:val="24"/>
          <w:lang w:bidi="mr-IN"/>
        </w:rPr>
        <w:t xml:space="preserve"> </w:t>
      </w:r>
      <w:r w:rsidR="00160868">
        <w:rPr>
          <w:rFonts w:ascii="Times New Roman" w:eastAsia="Times New Roman" w:hAnsi="Times New Roman" w:cs="Times New Roman"/>
          <w:color w:val="000000" w:themeColor="text1"/>
          <w:sz w:val="24"/>
          <w:szCs w:val="24"/>
          <w:lang w:bidi="mr-IN"/>
        </w:rPr>
        <w:t>were</w:t>
      </w:r>
      <w:r w:rsidRPr="00175A9A">
        <w:rPr>
          <w:rFonts w:ascii="Times New Roman" w:eastAsia="Times New Roman" w:hAnsi="Times New Roman" w:cs="Times New Roman"/>
          <w:color w:val="000000" w:themeColor="text1"/>
          <w:sz w:val="24"/>
          <w:szCs w:val="24"/>
          <w:lang w:bidi="mr-IN"/>
        </w:rPr>
        <w:t xml:space="preserve"> calculated </w:t>
      </w:r>
      <w:r w:rsidR="00160868">
        <w:rPr>
          <w:rFonts w:ascii="Times New Roman" w:eastAsia="Times New Roman" w:hAnsi="Times New Roman" w:cs="Times New Roman"/>
          <w:color w:val="000000" w:themeColor="text1"/>
          <w:sz w:val="24"/>
          <w:szCs w:val="24"/>
          <w:lang w:bidi="mr-IN"/>
        </w:rPr>
        <w:t>using the</w:t>
      </w:r>
      <w:r w:rsidRPr="00175A9A">
        <w:rPr>
          <w:rFonts w:ascii="Times New Roman" w:eastAsia="Times New Roman" w:hAnsi="Times New Roman" w:cs="Times New Roman"/>
          <w:color w:val="000000" w:themeColor="text1"/>
          <w:sz w:val="24"/>
          <w:szCs w:val="24"/>
          <w:lang w:bidi="mr-IN"/>
        </w:rPr>
        <w:t xml:space="preserve"> Wilcoxon</w:t>
      </w:r>
      <w:r w:rsidR="00555D87" w:rsidRPr="00175A9A">
        <w:rPr>
          <w:rFonts w:ascii="Times New Roman" w:eastAsia="Times New Roman" w:hAnsi="Times New Roman" w:cs="Times New Roman"/>
          <w:color w:val="000000" w:themeColor="text1"/>
          <w:sz w:val="24"/>
          <w:szCs w:val="24"/>
          <w:lang w:bidi="mr-IN"/>
        </w:rPr>
        <w:t xml:space="preserve"> paired</w:t>
      </w:r>
      <w:r w:rsidRPr="00175A9A">
        <w:rPr>
          <w:rFonts w:ascii="Times New Roman" w:eastAsia="Times New Roman" w:hAnsi="Times New Roman" w:cs="Times New Roman"/>
          <w:color w:val="000000" w:themeColor="text1"/>
          <w:sz w:val="24"/>
          <w:szCs w:val="24"/>
          <w:lang w:bidi="mr-IN"/>
        </w:rPr>
        <w:t xml:space="preserve"> Signed Rank test</w:t>
      </w:r>
    </w:p>
    <w:p w14:paraId="2F667308" w14:textId="77777777" w:rsidR="00995772" w:rsidRPr="00175A9A" w:rsidRDefault="00995772" w:rsidP="00330CC2">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p>
    <w:p w14:paraId="3D8A07CC" w14:textId="4CD67EBD" w:rsidR="00BA2B8C" w:rsidRPr="00175A9A" w:rsidRDefault="00094538" w:rsidP="00330CC2">
      <w:pPr>
        <w:autoSpaceDE w:val="0"/>
        <w:autoSpaceDN w:val="0"/>
        <w:adjustRightInd w:val="0"/>
        <w:spacing w:after="0" w:line="480" w:lineRule="auto"/>
        <w:jc w:val="both"/>
        <w:rPr>
          <w:rFonts w:ascii="Times New Roman" w:hAnsi="Times New Roman" w:cs="Times New Roman"/>
          <w:bCs/>
          <w:color w:val="000000" w:themeColor="text1"/>
          <w:sz w:val="24"/>
          <w:szCs w:val="24"/>
          <w:lang w:bidi="mr-IN"/>
        </w:rPr>
      </w:pPr>
      <w:r w:rsidRPr="00175A9A">
        <w:rPr>
          <w:rFonts w:ascii="Times New Roman" w:hAnsi="Times New Roman" w:cs="Times New Roman"/>
          <w:color w:val="000000" w:themeColor="text1"/>
          <w:sz w:val="24"/>
          <w:szCs w:val="24"/>
          <w:lang w:bidi="mr-IN"/>
        </w:rPr>
        <w:t>After 11 months of treatment,</w:t>
      </w:r>
      <w:r w:rsidR="001F13C0" w:rsidRPr="00175A9A">
        <w:rPr>
          <w:rFonts w:ascii="Times New Roman" w:hAnsi="Times New Roman" w:cs="Times New Roman"/>
          <w:color w:val="000000" w:themeColor="text1"/>
          <w:sz w:val="24"/>
          <w:szCs w:val="24"/>
          <w:lang w:bidi="mr-IN"/>
        </w:rPr>
        <w:t xml:space="preserve"> there was a significant increase in plasma vitamin </w:t>
      </w:r>
      <w:r w:rsidR="00A85EA6" w:rsidRPr="00175A9A">
        <w:rPr>
          <w:rFonts w:ascii="Times New Roman" w:hAnsi="Times New Roman" w:cs="Times New Roman"/>
          <w:color w:val="000000" w:themeColor="text1"/>
          <w:sz w:val="24"/>
          <w:szCs w:val="24"/>
          <w:lang w:bidi="mr-IN"/>
        </w:rPr>
        <w:t>B-12</w:t>
      </w:r>
      <w:r w:rsidR="001F13C0" w:rsidRPr="00175A9A">
        <w:rPr>
          <w:rFonts w:ascii="Times New Roman" w:hAnsi="Times New Roman" w:cs="Times New Roman"/>
          <w:color w:val="000000" w:themeColor="text1"/>
          <w:sz w:val="24"/>
          <w:szCs w:val="24"/>
          <w:lang w:bidi="mr-IN"/>
        </w:rPr>
        <w:t xml:space="preserve"> concentrations</w:t>
      </w:r>
      <w:r w:rsidR="00A5412E" w:rsidRPr="00175A9A">
        <w:rPr>
          <w:rFonts w:ascii="Times New Roman" w:hAnsi="Times New Roman" w:cs="Times New Roman"/>
          <w:color w:val="000000" w:themeColor="text1"/>
          <w:sz w:val="24"/>
          <w:szCs w:val="24"/>
          <w:lang w:bidi="mr-IN"/>
        </w:rPr>
        <w:t>;</w:t>
      </w:r>
      <w:r w:rsidR="006F7F81" w:rsidRPr="00175A9A">
        <w:rPr>
          <w:rFonts w:ascii="Times New Roman" w:hAnsi="Times New Roman" w:cs="Times New Roman"/>
          <w:color w:val="000000" w:themeColor="text1"/>
          <w:sz w:val="24"/>
          <w:szCs w:val="24"/>
          <w:lang w:bidi="mr-IN"/>
        </w:rPr>
        <w:t xml:space="preserve"> only 4 </w:t>
      </w:r>
      <w:r w:rsidR="00FF09A0">
        <w:rPr>
          <w:rFonts w:ascii="Times New Roman" w:hAnsi="Times New Roman" w:cs="Times New Roman"/>
          <w:color w:val="000000" w:themeColor="text1"/>
          <w:sz w:val="24"/>
          <w:szCs w:val="24"/>
          <w:lang w:bidi="mr-IN"/>
        </w:rPr>
        <w:t xml:space="preserve">still </w:t>
      </w:r>
      <w:r w:rsidR="006F7F81" w:rsidRPr="00175A9A">
        <w:rPr>
          <w:rFonts w:ascii="Times New Roman" w:hAnsi="Times New Roman" w:cs="Times New Roman"/>
          <w:color w:val="000000" w:themeColor="text1"/>
          <w:sz w:val="24"/>
          <w:szCs w:val="24"/>
          <w:lang w:bidi="mr-IN"/>
        </w:rPr>
        <w:t xml:space="preserve">had </w:t>
      </w:r>
      <w:r w:rsidR="00A5412E" w:rsidRPr="00175A9A">
        <w:rPr>
          <w:rFonts w:ascii="Times New Roman" w:hAnsi="Times New Roman" w:cs="Times New Roman"/>
          <w:color w:val="000000" w:themeColor="text1"/>
          <w:sz w:val="24"/>
          <w:szCs w:val="24"/>
          <w:lang w:bidi="mr-IN"/>
        </w:rPr>
        <w:t xml:space="preserve">a </w:t>
      </w:r>
      <w:r w:rsidR="00A85EA6" w:rsidRPr="00175A9A">
        <w:rPr>
          <w:rFonts w:ascii="Times New Roman" w:hAnsi="Times New Roman" w:cs="Times New Roman"/>
          <w:color w:val="000000" w:themeColor="text1"/>
          <w:sz w:val="24"/>
          <w:szCs w:val="24"/>
          <w:lang w:bidi="mr-IN"/>
        </w:rPr>
        <w:t>B-12</w:t>
      </w:r>
      <w:r w:rsidR="00216956" w:rsidRPr="00175A9A">
        <w:rPr>
          <w:rFonts w:ascii="Times New Roman" w:hAnsi="Times New Roman" w:cs="Times New Roman"/>
          <w:color w:val="000000" w:themeColor="text1"/>
          <w:sz w:val="24"/>
          <w:szCs w:val="24"/>
          <w:lang w:bidi="mr-IN"/>
        </w:rPr>
        <w:t xml:space="preserve"> level </w:t>
      </w:r>
      <w:r w:rsidR="006F7F81" w:rsidRPr="00175A9A">
        <w:rPr>
          <w:rFonts w:ascii="Times New Roman" w:hAnsi="Times New Roman" w:cs="Times New Roman"/>
          <w:color w:val="000000" w:themeColor="text1"/>
          <w:sz w:val="24"/>
          <w:szCs w:val="24"/>
          <w:lang w:bidi="mr-IN"/>
        </w:rPr>
        <w:lastRenderedPageBreak/>
        <w:t>&lt;</w:t>
      </w:r>
      <w:r w:rsidR="00216956" w:rsidRPr="00175A9A">
        <w:rPr>
          <w:rFonts w:ascii="Times New Roman" w:hAnsi="Times New Roman" w:cs="Times New Roman"/>
          <w:color w:val="000000" w:themeColor="text1"/>
          <w:sz w:val="24"/>
          <w:szCs w:val="24"/>
          <w:lang w:bidi="mr-IN"/>
        </w:rPr>
        <w:t>100 p</w:t>
      </w:r>
      <w:r w:rsidR="00AC0574" w:rsidRPr="00175A9A">
        <w:rPr>
          <w:rFonts w:ascii="Times New Roman" w:hAnsi="Times New Roman" w:cs="Times New Roman"/>
          <w:color w:val="000000" w:themeColor="text1"/>
          <w:sz w:val="24"/>
          <w:szCs w:val="24"/>
          <w:lang w:bidi="mr-IN"/>
        </w:rPr>
        <w:t>mol</w:t>
      </w:r>
      <w:r w:rsidR="00216956" w:rsidRPr="00175A9A">
        <w:rPr>
          <w:rFonts w:ascii="Times New Roman" w:hAnsi="Times New Roman" w:cs="Times New Roman"/>
          <w:color w:val="000000" w:themeColor="text1"/>
          <w:sz w:val="24"/>
          <w:szCs w:val="24"/>
          <w:lang w:bidi="mr-IN"/>
        </w:rPr>
        <w:t>/</w:t>
      </w:r>
      <w:r w:rsidR="00D95349" w:rsidRPr="00175A9A">
        <w:rPr>
          <w:rFonts w:ascii="Times New Roman" w:hAnsi="Times New Roman" w:cs="Times New Roman"/>
          <w:color w:val="000000" w:themeColor="text1"/>
          <w:sz w:val="24"/>
          <w:szCs w:val="24"/>
          <w:lang w:bidi="mr-IN"/>
        </w:rPr>
        <w:t>L</w:t>
      </w:r>
      <w:r w:rsidR="006A5355" w:rsidRPr="00175A9A">
        <w:rPr>
          <w:rFonts w:ascii="Times New Roman" w:hAnsi="Times New Roman" w:cs="Times New Roman"/>
          <w:color w:val="000000" w:themeColor="text1"/>
          <w:sz w:val="24"/>
          <w:szCs w:val="24"/>
          <w:lang w:bidi="mr-IN"/>
        </w:rPr>
        <w:t>.</w:t>
      </w:r>
      <w:r w:rsidR="00216956" w:rsidRPr="00175A9A">
        <w:rPr>
          <w:rFonts w:ascii="Times New Roman" w:hAnsi="Times New Roman" w:cs="Times New Roman"/>
          <w:color w:val="000000" w:themeColor="text1"/>
          <w:sz w:val="24"/>
          <w:szCs w:val="24"/>
          <w:lang w:bidi="mr-IN"/>
        </w:rPr>
        <w:t xml:space="preserve"> </w:t>
      </w:r>
      <w:r w:rsidRPr="00175A9A">
        <w:rPr>
          <w:rFonts w:ascii="Times New Roman" w:hAnsi="Times New Roman" w:cs="Times New Roman"/>
          <w:color w:val="000000" w:themeColor="text1"/>
          <w:sz w:val="24"/>
          <w:szCs w:val="24"/>
          <w:lang w:bidi="mr-IN"/>
        </w:rPr>
        <w:t>The hemoglobin concentration increased</w:t>
      </w:r>
      <w:r w:rsidR="00E64D53" w:rsidRPr="00175A9A">
        <w:rPr>
          <w:rFonts w:ascii="Times New Roman" w:hAnsi="Times New Roman" w:cs="Times New Roman"/>
          <w:color w:val="000000" w:themeColor="text1"/>
          <w:sz w:val="24"/>
          <w:szCs w:val="24"/>
          <w:lang w:bidi="mr-IN"/>
        </w:rPr>
        <w:t xml:space="preserve"> </w:t>
      </w:r>
      <w:r w:rsidR="00DE5066" w:rsidRPr="00175A9A">
        <w:rPr>
          <w:rFonts w:ascii="Times New Roman" w:hAnsi="Times New Roman" w:cs="Times New Roman"/>
          <w:color w:val="000000" w:themeColor="text1"/>
          <w:sz w:val="24"/>
          <w:szCs w:val="24"/>
          <w:lang w:bidi="mr-IN"/>
        </w:rPr>
        <w:t>significantly</w:t>
      </w:r>
      <w:r w:rsidR="00FF09A0">
        <w:rPr>
          <w:rFonts w:ascii="Times New Roman" w:hAnsi="Times New Roman" w:cs="Times New Roman"/>
          <w:color w:val="000000" w:themeColor="text1"/>
          <w:sz w:val="24"/>
          <w:szCs w:val="24"/>
          <w:lang w:bidi="mr-IN"/>
        </w:rPr>
        <w:t>, while</w:t>
      </w:r>
      <w:r w:rsidR="000A33B9" w:rsidRPr="00175A9A">
        <w:rPr>
          <w:rFonts w:ascii="Times New Roman" w:hAnsi="Times New Roman" w:cs="Times New Roman"/>
          <w:color w:val="000000" w:themeColor="text1"/>
          <w:sz w:val="24"/>
          <w:szCs w:val="24"/>
          <w:lang w:bidi="mr-IN"/>
        </w:rPr>
        <w:t xml:space="preserve"> the MCV</w:t>
      </w:r>
      <w:r w:rsidR="008E7BE0" w:rsidRPr="00175A9A">
        <w:rPr>
          <w:rFonts w:ascii="Times New Roman" w:hAnsi="Times New Roman" w:cs="Times New Roman"/>
          <w:color w:val="000000" w:themeColor="text1"/>
          <w:sz w:val="24"/>
          <w:szCs w:val="24"/>
          <w:lang w:bidi="mr-IN"/>
        </w:rPr>
        <w:t xml:space="preserve">, </w:t>
      </w:r>
      <w:r w:rsidR="000A33B9" w:rsidRPr="00175A9A">
        <w:rPr>
          <w:rFonts w:ascii="Times New Roman" w:hAnsi="Times New Roman" w:cs="Times New Roman"/>
          <w:color w:val="000000" w:themeColor="text1"/>
          <w:sz w:val="24"/>
          <w:szCs w:val="24"/>
          <w:lang w:bidi="mr-IN"/>
        </w:rPr>
        <w:t>RDW</w:t>
      </w:r>
      <w:r w:rsidR="00210410" w:rsidRPr="00175A9A">
        <w:rPr>
          <w:rFonts w:ascii="Times New Roman" w:hAnsi="Times New Roman" w:cs="Times New Roman"/>
          <w:color w:val="000000" w:themeColor="text1"/>
          <w:sz w:val="24"/>
          <w:szCs w:val="24"/>
          <w:lang w:bidi="mr-IN"/>
        </w:rPr>
        <w:t>,</w:t>
      </w:r>
      <w:r w:rsidR="000A33B9" w:rsidRPr="00175A9A">
        <w:rPr>
          <w:rFonts w:ascii="Times New Roman" w:hAnsi="Times New Roman" w:cs="Times New Roman"/>
          <w:color w:val="000000" w:themeColor="text1"/>
          <w:sz w:val="24"/>
          <w:szCs w:val="24"/>
          <w:lang w:bidi="mr-IN"/>
        </w:rPr>
        <w:t xml:space="preserve"> </w:t>
      </w:r>
      <w:r w:rsidR="00210410" w:rsidRPr="00175A9A">
        <w:rPr>
          <w:rFonts w:ascii="Times New Roman" w:hAnsi="Times New Roman" w:cs="Times New Roman"/>
          <w:color w:val="000000" w:themeColor="text1"/>
          <w:sz w:val="24"/>
          <w:szCs w:val="24"/>
          <w:lang w:bidi="mr-IN"/>
        </w:rPr>
        <w:t xml:space="preserve">and </w:t>
      </w:r>
      <w:r w:rsidR="00FF09A0">
        <w:rPr>
          <w:rFonts w:ascii="Times New Roman" w:hAnsi="Times New Roman" w:cs="Times New Roman"/>
          <w:color w:val="000000" w:themeColor="text1"/>
          <w:sz w:val="24"/>
          <w:szCs w:val="24"/>
          <w:lang w:bidi="mr-IN"/>
        </w:rPr>
        <w:t>prevalence of anemia</w:t>
      </w:r>
      <w:r w:rsidR="00DE0557" w:rsidRPr="00175A9A">
        <w:rPr>
          <w:rFonts w:ascii="Times New Roman" w:hAnsi="Times New Roman" w:cs="Times New Roman"/>
          <w:color w:val="000000" w:themeColor="text1"/>
          <w:sz w:val="24"/>
          <w:szCs w:val="24"/>
          <w:lang w:bidi="mr-IN"/>
        </w:rPr>
        <w:t xml:space="preserve"> </w:t>
      </w:r>
      <w:r w:rsidR="006F7F81" w:rsidRPr="00175A9A">
        <w:rPr>
          <w:rFonts w:ascii="Times New Roman" w:hAnsi="Times New Roman" w:cs="Times New Roman"/>
          <w:color w:val="000000" w:themeColor="text1"/>
          <w:sz w:val="24"/>
          <w:szCs w:val="24"/>
          <w:lang w:bidi="mr-IN"/>
        </w:rPr>
        <w:t>(</w:t>
      </w:r>
      <w:r w:rsidR="00DE0557" w:rsidRPr="00175A9A">
        <w:rPr>
          <w:rFonts w:ascii="Times New Roman" w:hAnsi="Times New Roman" w:cs="Times New Roman"/>
          <w:color w:val="000000" w:themeColor="text1"/>
          <w:sz w:val="24"/>
          <w:szCs w:val="24"/>
          <w:lang w:bidi="mr-IN"/>
        </w:rPr>
        <w:t>59%</w:t>
      </w:r>
      <w:r w:rsidR="006F7F81" w:rsidRPr="00175A9A">
        <w:rPr>
          <w:rFonts w:ascii="Times New Roman" w:hAnsi="Times New Roman" w:cs="Times New Roman"/>
          <w:color w:val="000000" w:themeColor="text1"/>
          <w:sz w:val="24"/>
          <w:szCs w:val="24"/>
          <w:lang w:bidi="mr-IN"/>
        </w:rPr>
        <w:t>)</w:t>
      </w:r>
      <w:r w:rsidR="00FF09A0">
        <w:rPr>
          <w:rFonts w:ascii="Times New Roman" w:hAnsi="Times New Roman" w:cs="Times New Roman"/>
          <w:color w:val="000000" w:themeColor="text1"/>
          <w:sz w:val="24"/>
          <w:szCs w:val="24"/>
          <w:lang w:bidi="mr-IN"/>
        </w:rPr>
        <w:t xml:space="preserve"> decreased</w:t>
      </w:r>
      <w:r w:rsidR="00210410" w:rsidRPr="00175A9A">
        <w:rPr>
          <w:rFonts w:ascii="Times New Roman" w:hAnsi="Times New Roman" w:cs="Times New Roman"/>
          <w:color w:val="000000" w:themeColor="text1"/>
          <w:sz w:val="24"/>
          <w:szCs w:val="24"/>
          <w:lang w:bidi="mr-IN"/>
        </w:rPr>
        <w:t>.</w:t>
      </w:r>
      <w:r w:rsidR="001F13C0" w:rsidRPr="00175A9A">
        <w:rPr>
          <w:rFonts w:ascii="Times New Roman" w:hAnsi="Times New Roman" w:cs="Times New Roman"/>
          <w:color w:val="000000" w:themeColor="text1"/>
          <w:sz w:val="24"/>
          <w:szCs w:val="24"/>
          <w:lang w:bidi="mr-IN"/>
        </w:rPr>
        <w:t xml:space="preserve"> </w:t>
      </w:r>
      <w:r w:rsidR="0061293A" w:rsidRPr="00175A9A">
        <w:rPr>
          <w:rFonts w:ascii="Times New Roman" w:hAnsi="Times New Roman" w:cs="Times New Roman"/>
          <w:color w:val="000000" w:themeColor="text1"/>
          <w:sz w:val="24"/>
          <w:szCs w:val="24"/>
          <w:lang w:bidi="mr-IN"/>
        </w:rPr>
        <w:t>Of the 13 women who were macrocytic at baseline</w:t>
      </w:r>
      <w:r w:rsidR="00A5412E" w:rsidRPr="00175A9A">
        <w:rPr>
          <w:rFonts w:ascii="Times New Roman" w:hAnsi="Times New Roman" w:cs="Times New Roman"/>
          <w:color w:val="000000" w:themeColor="text1"/>
          <w:sz w:val="24"/>
          <w:szCs w:val="24"/>
          <w:lang w:bidi="mr-IN"/>
        </w:rPr>
        <w:t>,</w:t>
      </w:r>
      <w:r w:rsidR="0061293A" w:rsidRPr="00175A9A">
        <w:rPr>
          <w:rFonts w:ascii="Times New Roman" w:hAnsi="Times New Roman" w:cs="Times New Roman"/>
          <w:color w:val="000000" w:themeColor="text1"/>
          <w:sz w:val="24"/>
          <w:szCs w:val="24"/>
          <w:lang w:bidi="mr-IN"/>
        </w:rPr>
        <w:t xml:space="preserve"> </w:t>
      </w:r>
      <w:r w:rsidR="00A5412E" w:rsidRPr="00175A9A">
        <w:rPr>
          <w:rFonts w:ascii="Times New Roman" w:hAnsi="Times New Roman" w:cs="Times New Roman"/>
          <w:color w:val="000000" w:themeColor="text1"/>
          <w:sz w:val="24"/>
          <w:szCs w:val="24"/>
          <w:lang w:bidi="mr-IN"/>
        </w:rPr>
        <w:t>two</w:t>
      </w:r>
      <w:r w:rsidR="0061293A" w:rsidRPr="00175A9A">
        <w:rPr>
          <w:rFonts w:ascii="Times New Roman" w:hAnsi="Times New Roman" w:cs="Times New Roman"/>
          <w:color w:val="000000" w:themeColor="text1"/>
          <w:sz w:val="24"/>
          <w:szCs w:val="24"/>
          <w:lang w:bidi="mr-IN"/>
        </w:rPr>
        <w:t xml:space="preserve"> </w:t>
      </w:r>
      <w:r w:rsidR="006F7F81" w:rsidRPr="00175A9A">
        <w:rPr>
          <w:rFonts w:ascii="Times New Roman" w:hAnsi="Times New Roman" w:cs="Times New Roman"/>
          <w:color w:val="000000" w:themeColor="text1"/>
          <w:sz w:val="24"/>
          <w:szCs w:val="24"/>
          <w:lang w:bidi="mr-IN"/>
        </w:rPr>
        <w:t xml:space="preserve">did not </w:t>
      </w:r>
      <w:r w:rsidR="00F867F6" w:rsidRPr="00175A9A">
        <w:rPr>
          <w:rFonts w:ascii="Times New Roman" w:hAnsi="Times New Roman" w:cs="Times New Roman"/>
          <w:color w:val="000000" w:themeColor="text1"/>
          <w:sz w:val="24"/>
          <w:szCs w:val="24"/>
          <w:lang w:bidi="mr-IN"/>
        </w:rPr>
        <w:t xml:space="preserve">attend for </w:t>
      </w:r>
      <w:r w:rsidR="0061293A" w:rsidRPr="00175A9A">
        <w:rPr>
          <w:rFonts w:ascii="Times New Roman" w:hAnsi="Times New Roman" w:cs="Times New Roman"/>
          <w:color w:val="000000" w:themeColor="text1"/>
          <w:sz w:val="24"/>
          <w:szCs w:val="24"/>
          <w:lang w:bidi="mr-IN"/>
        </w:rPr>
        <w:t>follow up</w:t>
      </w:r>
      <w:r w:rsidR="006F7F81" w:rsidRPr="00175A9A">
        <w:rPr>
          <w:rFonts w:ascii="Times New Roman" w:hAnsi="Times New Roman" w:cs="Times New Roman"/>
          <w:color w:val="000000" w:themeColor="text1"/>
          <w:sz w:val="24"/>
          <w:szCs w:val="24"/>
          <w:lang w:bidi="mr-IN"/>
        </w:rPr>
        <w:t xml:space="preserve">, </w:t>
      </w:r>
      <w:r w:rsidR="00A5412E" w:rsidRPr="00175A9A">
        <w:rPr>
          <w:rFonts w:ascii="Times New Roman" w:hAnsi="Times New Roman" w:cs="Times New Roman"/>
          <w:color w:val="000000" w:themeColor="text1"/>
          <w:sz w:val="24"/>
          <w:szCs w:val="24"/>
          <w:lang w:bidi="mr-IN"/>
        </w:rPr>
        <w:t xml:space="preserve">and </w:t>
      </w:r>
      <w:r w:rsidR="00572B2B" w:rsidRPr="00175A9A">
        <w:rPr>
          <w:rFonts w:ascii="Times New Roman" w:hAnsi="Times New Roman" w:cs="Times New Roman"/>
          <w:color w:val="000000" w:themeColor="text1"/>
          <w:sz w:val="24"/>
          <w:szCs w:val="24"/>
          <w:lang w:bidi="mr-IN"/>
        </w:rPr>
        <w:t>of th</w:t>
      </w:r>
      <w:r w:rsidR="006E23C4" w:rsidRPr="00175A9A">
        <w:rPr>
          <w:rFonts w:ascii="Times New Roman" w:hAnsi="Times New Roman" w:cs="Times New Roman"/>
          <w:color w:val="000000" w:themeColor="text1"/>
          <w:sz w:val="24"/>
          <w:szCs w:val="24"/>
          <w:lang w:bidi="mr-IN"/>
        </w:rPr>
        <w:t>e remaining</w:t>
      </w:r>
      <w:r w:rsidR="00FF09A0">
        <w:rPr>
          <w:rFonts w:ascii="Times New Roman" w:hAnsi="Times New Roman" w:cs="Times New Roman"/>
          <w:color w:val="000000" w:themeColor="text1"/>
          <w:sz w:val="24"/>
          <w:szCs w:val="24"/>
          <w:lang w:bidi="mr-IN"/>
        </w:rPr>
        <w:t xml:space="preserve"> 11</w:t>
      </w:r>
      <w:r w:rsidR="00F867F6" w:rsidRPr="00175A9A">
        <w:rPr>
          <w:rFonts w:ascii="Times New Roman" w:hAnsi="Times New Roman" w:cs="Times New Roman"/>
          <w:color w:val="000000" w:themeColor="text1"/>
          <w:sz w:val="24"/>
          <w:szCs w:val="24"/>
          <w:lang w:bidi="mr-IN"/>
        </w:rPr>
        <w:t>,</w:t>
      </w:r>
      <w:r w:rsidR="00572B2B" w:rsidRPr="00175A9A">
        <w:rPr>
          <w:rFonts w:ascii="Times New Roman" w:hAnsi="Times New Roman" w:cs="Times New Roman"/>
          <w:color w:val="000000" w:themeColor="text1"/>
          <w:sz w:val="24"/>
          <w:szCs w:val="24"/>
          <w:lang w:bidi="mr-IN"/>
        </w:rPr>
        <w:t xml:space="preserve"> </w:t>
      </w:r>
      <w:r w:rsidR="00A5412E" w:rsidRPr="00175A9A">
        <w:rPr>
          <w:rFonts w:ascii="Times New Roman" w:hAnsi="Times New Roman" w:cs="Times New Roman"/>
          <w:color w:val="000000" w:themeColor="text1"/>
          <w:sz w:val="24"/>
          <w:szCs w:val="24"/>
          <w:lang w:bidi="mr-IN"/>
        </w:rPr>
        <w:t xml:space="preserve">the </w:t>
      </w:r>
      <w:r w:rsidR="0061293A" w:rsidRPr="00175A9A">
        <w:rPr>
          <w:rFonts w:ascii="Times New Roman" w:hAnsi="Times New Roman" w:cs="Times New Roman"/>
          <w:color w:val="000000" w:themeColor="text1"/>
          <w:sz w:val="24"/>
          <w:szCs w:val="24"/>
          <w:lang w:bidi="mr-IN"/>
        </w:rPr>
        <w:t xml:space="preserve">MCV had fallen to </w:t>
      </w:r>
      <w:r w:rsidR="00546F3E" w:rsidRPr="00175A9A">
        <w:rPr>
          <w:rFonts w:ascii="Times New Roman" w:hAnsi="Times New Roman" w:cs="Times New Roman"/>
          <w:color w:val="000000" w:themeColor="text1"/>
          <w:sz w:val="24"/>
          <w:szCs w:val="24"/>
          <w:lang w:bidi="mr-IN"/>
        </w:rPr>
        <w:t>&lt;</w:t>
      </w:r>
      <w:r w:rsidR="0061293A" w:rsidRPr="00175A9A">
        <w:rPr>
          <w:rFonts w:ascii="Times New Roman" w:hAnsi="Times New Roman" w:cs="Times New Roman"/>
          <w:color w:val="000000" w:themeColor="text1"/>
          <w:sz w:val="24"/>
          <w:szCs w:val="24"/>
          <w:lang w:bidi="mr-IN"/>
        </w:rPr>
        <w:t>100fl</w:t>
      </w:r>
      <w:r w:rsidR="00572B2B" w:rsidRPr="00175A9A">
        <w:rPr>
          <w:rFonts w:ascii="Times New Roman" w:hAnsi="Times New Roman" w:cs="Times New Roman"/>
          <w:color w:val="000000" w:themeColor="text1"/>
          <w:sz w:val="24"/>
          <w:szCs w:val="24"/>
          <w:lang w:bidi="mr-IN"/>
        </w:rPr>
        <w:t xml:space="preserve"> in </w:t>
      </w:r>
      <w:r w:rsidR="00A5412E" w:rsidRPr="00175A9A">
        <w:rPr>
          <w:rFonts w:ascii="Times New Roman" w:hAnsi="Times New Roman" w:cs="Times New Roman"/>
          <w:color w:val="000000" w:themeColor="text1"/>
          <w:sz w:val="24"/>
          <w:szCs w:val="24"/>
          <w:lang w:bidi="mr-IN"/>
        </w:rPr>
        <w:t>eight</w:t>
      </w:r>
      <w:r w:rsidR="0061293A" w:rsidRPr="00175A9A">
        <w:rPr>
          <w:rFonts w:ascii="Times New Roman" w:hAnsi="Times New Roman" w:cs="Times New Roman"/>
          <w:color w:val="000000" w:themeColor="text1"/>
          <w:sz w:val="24"/>
          <w:szCs w:val="24"/>
          <w:lang w:bidi="mr-IN"/>
        </w:rPr>
        <w:t xml:space="preserve">. </w:t>
      </w:r>
      <w:r w:rsidR="00210410" w:rsidRPr="00175A9A">
        <w:rPr>
          <w:rFonts w:ascii="Times New Roman" w:hAnsi="Times New Roman" w:cs="Times New Roman"/>
          <w:color w:val="000000" w:themeColor="text1"/>
          <w:sz w:val="24"/>
          <w:szCs w:val="24"/>
          <w:lang w:bidi="mr-IN"/>
        </w:rPr>
        <w:t xml:space="preserve">There was a substantial fall in </w:t>
      </w:r>
      <w:r w:rsidR="00AD43C2" w:rsidRPr="00175A9A">
        <w:rPr>
          <w:rFonts w:ascii="Times New Roman" w:hAnsi="Times New Roman" w:cs="Times New Roman"/>
          <w:color w:val="000000" w:themeColor="text1"/>
          <w:sz w:val="24"/>
          <w:szCs w:val="24"/>
          <w:lang w:bidi="mr-IN"/>
        </w:rPr>
        <w:t xml:space="preserve">plasma </w:t>
      </w:r>
      <w:r w:rsidR="001F13C0" w:rsidRPr="00175A9A">
        <w:rPr>
          <w:rFonts w:ascii="Times New Roman" w:hAnsi="Times New Roman" w:cs="Times New Roman"/>
          <w:color w:val="000000" w:themeColor="text1"/>
          <w:sz w:val="24"/>
          <w:szCs w:val="24"/>
          <w:lang w:bidi="mr-IN"/>
        </w:rPr>
        <w:t>t</w:t>
      </w:r>
      <w:r w:rsidR="00D95349" w:rsidRPr="00175A9A">
        <w:rPr>
          <w:rFonts w:ascii="Times New Roman" w:hAnsi="Times New Roman" w:cs="Times New Roman"/>
          <w:color w:val="000000" w:themeColor="text1"/>
          <w:sz w:val="24"/>
          <w:szCs w:val="24"/>
          <w:lang w:bidi="mr-IN"/>
        </w:rPr>
        <w:t xml:space="preserve">Hcy </w:t>
      </w:r>
      <w:r w:rsidR="001F13C0" w:rsidRPr="00175A9A">
        <w:rPr>
          <w:rFonts w:ascii="Times New Roman" w:hAnsi="Times New Roman" w:cs="Times New Roman"/>
          <w:color w:val="000000" w:themeColor="text1"/>
          <w:sz w:val="24"/>
          <w:szCs w:val="24"/>
          <w:lang w:bidi="mr-IN"/>
        </w:rPr>
        <w:t>concentration</w:t>
      </w:r>
      <w:r w:rsidR="00F867F6" w:rsidRPr="00175A9A">
        <w:rPr>
          <w:rFonts w:ascii="Times New Roman" w:hAnsi="Times New Roman" w:cs="Times New Roman"/>
          <w:color w:val="000000" w:themeColor="text1"/>
          <w:sz w:val="24"/>
          <w:szCs w:val="24"/>
          <w:lang w:bidi="mr-IN"/>
        </w:rPr>
        <w:t>,</w:t>
      </w:r>
      <w:r w:rsidR="001F13C0" w:rsidRPr="00175A9A">
        <w:rPr>
          <w:rFonts w:ascii="Times New Roman" w:hAnsi="Times New Roman" w:cs="Times New Roman"/>
          <w:color w:val="000000" w:themeColor="text1"/>
          <w:sz w:val="24"/>
          <w:szCs w:val="24"/>
          <w:lang w:bidi="mr-IN"/>
        </w:rPr>
        <w:t xml:space="preserve"> </w:t>
      </w:r>
      <w:r w:rsidR="00210410" w:rsidRPr="00175A9A">
        <w:rPr>
          <w:rFonts w:ascii="Times New Roman" w:hAnsi="Times New Roman" w:cs="Times New Roman"/>
          <w:color w:val="000000" w:themeColor="text1"/>
          <w:sz w:val="24"/>
          <w:szCs w:val="24"/>
          <w:lang w:bidi="mr-IN"/>
        </w:rPr>
        <w:t>while</w:t>
      </w:r>
      <w:r w:rsidR="001F13C0" w:rsidRPr="00175A9A">
        <w:rPr>
          <w:rFonts w:ascii="Times New Roman" w:hAnsi="Times New Roman" w:cs="Times New Roman"/>
          <w:color w:val="000000" w:themeColor="text1"/>
          <w:sz w:val="24"/>
          <w:szCs w:val="24"/>
          <w:lang w:bidi="mr-IN"/>
        </w:rPr>
        <w:t xml:space="preserve"> folate concentrations remained stable.</w:t>
      </w:r>
      <w:r w:rsidR="00264935" w:rsidRPr="00175A9A">
        <w:rPr>
          <w:rFonts w:ascii="Times New Roman" w:hAnsi="Times New Roman" w:cs="Times New Roman"/>
          <w:color w:val="000000" w:themeColor="text1"/>
          <w:sz w:val="24"/>
          <w:szCs w:val="24"/>
          <w:lang w:bidi="mr-IN"/>
        </w:rPr>
        <w:t xml:space="preserve"> </w:t>
      </w:r>
      <w:r w:rsidR="003E41F3" w:rsidRPr="00175A9A">
        <w:rPr>
          <w:rFonts w:ascii="Times New Roman" w:hAnsi="Times New Roman" w:cs="Times New Roman"/>
          <w:color w:val="000000" w:themeColor="text1"/>
          <w:sz w:val="24"/>
          <w:szCs w:val="24"/>
          <w:lang w:bidi="mr-IN"/>
        </w:rPr>
        <w:t xml:space="preserve">Joint position and vibration sense </w:t>
      </w:r>
      <w:r w:rsidR="00FB6A14" w:rsidRPr="00175A9A">
        <w:rPr>
          <w:rFonts w:ascii="Times New Roman" w:hAnsi="Times New Roman" w:cs="Times New Roman"/>
          <w:color w:val="000000" w:themeColor="text1"/>
          <w:sz w:val="24"/>
          <w:szCs w:val="24"/>
          <w:lang w:bidi="mr-IN"/>
        </w:rPr>
        <w:t xml:space="preserve">remained </w:t>
      </w:r>
      <w:r w:rsidR="003E41F3" w:rsidRPr="00175A9A">
        <w:rPr>
          <w:rFonts w:ascii="Times New Roman" w:hAnsi="Times New Roman" w:cs="Times New Roman"/>
          <w:color w:val="000000" w:themeColor="text1"/>
          <w:sz w:val="24"/>
          <w:szCs w:val="24"/>
          <w:lang w:bidi="mr-IN"/>
        </w:rPr>
        <w:t xml:space="preserve">normal in all </w:t>
      </w:r>
      <w:r w:rsidR="00B46AD7" w:rsidRPr="00175A9A">
        <w:rPr>
          <w:rFonts w:ascii="Times New Roman" w:hAnsi="Times New Roman" w:cs="Times New Roman"/>
          <w:color w:val="000000" w:themeColor="text1"/>
          <w:sz w:val="24"/>
          <w:szCs w:val="24"/>
          <w:lang w:bidi="mr-IN"/>
        </w:rPr>
        <w:t xml:space="preserve">but </w:t>
      </w:r>
      <w:r w:rsidR="00264935" w:rsidRPr="00175A9A">
        <w:rPr>
          <w:rFonts w:ascii="Times New Roman" w:hAnsi="Times New Roman" w:cs="Times New Roman"/>
          <w:color w:val="000000" w:themeColor="text1"/>
          <w:sz w:val="24"/>
          <w:szCs w:val="24"/>
          <w:lang w:bidi="mr-IN"/>
        </w:rPr>
        <w:t xml:space="preserve">there was a significant increase in the </w:t>
      </w:r>
      <w:r w:rsidR="00FB6A14" w:rsidRPr="00175A9A">
        <w:rPr>
          <w:rFonts w:ascii="Times New Roman" w:hAnsi="Times New Roman" w:cs="Times New Roman"/>
          <w:color w:val="000000" w:themeColor="text1"/>
          <w:sz w:val="24"/>
          <w:szCs w:val="24"/>
          <w:lang w:bidi="mr-IN"/>
        </w:rPr>
        <w:t xml:space="preserve">SUDOSCAN </w:t>
      </w:r>
      <w:r w:rsidR="00264935" w:rsidRPr="00175A9A">
        <w:rPr>
          <w:rFonts w:ascii="Times New Roman" w:hAnsi="Times New Roman" w:cs="Times New Roman"/>
          <w:color w:val="000000" w:themeColor="text1"/>
          <w:sz w:val="24"/>
          <w:szCs w:val="24"/>
          <w:lang w:bidi="mr-IN"/>
        </w:rPr>
        <w:t xml:space="preserve">ESC </w:t>
      </w:r>
      <w:r w:rsidR="003F608A" w:rsidRPr="00175A9A">
        <w:rPr>
          <w:rFonts w:ascii="Times New Roman" w:hAnsi="Times New Roman" w:cs="Times New Roman"/>
          <w:color w:val="000000" w:themeColor="text1"/>
          <w:sz w:val="24"/>
          <w:szCs w:val="24"/>
          <w:lang w:bidi="mr-IN"/>
        </w:rPr>
        <w:t xml:space="preserve">and </w:t>
      </w:r>
      <w:r w:rsidR="003F608A" w:rsidRPr="00175A9A">
        <w:rPr>
          <w:rFonts w:ascii="Times New Roman" w:hAnsi="Times New Roman" w:cs="Times New Roman"/>
          <w:bCs/>
          <w:color w:val="000000" w:themeColor="text1"/>
          <w:sz w:val="24"/>
          <w:szCs w:val="24"/>
          <w:lang w:bidi="mr-IN"/>
        </w:rPr>
        <w:t>t</w:t>
      </w:r>
      <w:r w:rsidR="005E2C5B" w:rsidRPr="00175A9A">
        <w:rPr>
          <w:rFonts w:ascii="Times New Roman" w:hAnsi="Times New Roman" w:cs="Times New Roman"/>
          <w:bCs/>
          <w:color w:val="000000" w:themeColor="text1"/>
          <w:sz w:val="24"/>
          <w:szCs w:val="24"/>
          <w:lang w:bidi="mr-IN"/>
        </w:rPr>
        <w:t>he median and sural sensory NCV</w:t>
      </w:r>
      <w:r w:rsidR="007B6A85" w:rsidRPr="00175A9A">
        <w:rPr>
          <w:rFonts w:ascii="Times New Roman" w:hAnsi="Times New Roman" w:cs="Times New Roman"/>
          <w:bCs/>
          <w:color w:val="000000" w:themeColor="text1"/>
          <w:sz w:val="24"/>
          <w:szCs w:val="24"/>
          <w:lang w:bidi="mr-IN"/>
        </w:rPr>
        <w:t xml:space="preserve"> (</w:t>
      </w:r>
      <w:r w:rsidR="005E2C5B" w:rsidRPr="00175A9A">
        <w:rPr>
          <w:rFonts w:ascii="Times New Roman" w:hAnsi="Times New Roman" w:cs="Times New Roman"/>
          <w:bCs/>
          <w:color w:val="000000" w:themeColor="text1"/>
          <w:sz w:val="24"/>
          <w:szCs w:val="24"/>
          <w:lang w:bidi="mr-IN"/>
        </w:rPr>
        <w:t>by</w:t>
      </w:r>
      <w:r w:rsidR="005C5DB1" w:rsidRPr="00175A9A">
        <w:rPr>
          <w:rFonts w:ascii="Times New Roman" w:hAnsi="Times New Roman" w:cs="Times New Roman"/>
          <w:bCs/>
          <w:color w:val="000000" w:themeColor="text1"/>
          <w:sz w:val="24"/>
          <w:szCs w:val="24"/>
          <w:lang w:bidi="mr-IN"/>
        </w:rPr>
        <w:t xml:space="preserve"> 14.7%</w:t>
      </w:r>
      <w:r w:rsidR="007B6A85" w:rsidRPr="00175A9A">
        <w:rPr>
          <w:rFonts w:ascii="Times New Roman" w:hAnsi="Times New Roman" w:cs="Times New Roman"/>
          <w:bCs/>
          <w:color w:val="000000" w:themeColor="text1"/>
          <w:sz w:val="24"/>
          <w:szCs w:val="24"/>
          <w:lang w:bidi="mr-IN"/>
        </w:rPr>
        <w:t xml:space="preserve">, </w:t>
      </w:r>
      <w:r w:rsidR="003E4CEB" w:rsidRPr="00175A9A">
        <w:rPr>
          <w:rFonts w:ascii="Times New Roman" w:hAnsi="Times New Roman" w:cs="Times New Roman"/>
          <w:bCs/>
          <w:color w:val="000000" w:themeColor="text1"/>
          <w:sz w:val="24"/>
          <w:szCs w:val="24"/>
          <w:lang w:bidi="mr-IN"/>
        </w:rPr>
        <w:t>16.2% and 29.4</w:t>
      </w:r>
      <w:r w:rsidR="005E2C5B" w:rsidRPr="00175A9A">
        <w:rPr>
          <w:rFonts w:ascii="Times New Roman" w:hAnsi="Times New Roman" w:cs="Times New Roman"/>
          <w:bCs/>
          <w:color w:val="000000" w:themeColor="text1"/>
          <w:sz w:val="24"/>
          <w:szCs w:val="24"/>
          <w:lang w:bidi="mr-IN"/>
        </w:rPr>
        <w:t>% respectively</w:t>
      </w:r>
      <w:r w:rsidR="007B6A85" w:rsidRPr="00175A9A">
        <w:rPr>
          <w:rFonts w:ascii="Times New Roman" w:hAnsi="Times New Roman" w:cs="Times New Roman"/>
          <w:bCs/>
          <w:color w:val="000000" w:themeColor="text1"/>
          <w:sz w:val="24"/>
          <w:szCs w:val="24"/>
          <w:lang w:bidi="mr-IN"/>
        </w:rPr>
        <w:t>).</w:t>
      </w:r>
      <w:r w:rsidR="005E2C5B" w:rsidRPr="00175A9A">
        <w:rPr>
          <w:rFonts w:ascii="Times New Roman" w:hAnsi="Times New Roman" w:cs="Times New Roman"/>
          <w:bCs/>
          <w:color w:val="000000" w:themeColor="text1"/>
          <w:sz w:val="24"/>
          <w:szCs w:val="24"/>
          <w:lang w:bidi="mr-IN"/>
        </w:rPr>
        <w:t xml:space="preserve"> </w:t>
      </w:r>
    </w:p>
    <w:p w14:paraId="1E4476FA" w14:textId="77777777" w:rsidR="005E2C5B" w:rsidRPr="00175A9A" w:rsidRDefault="005E2C5B" w:rsidP="00330CC2">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p>
    <w:p w14:paraId="68338AC5" w14:textId="04B154A5" w:rsidR="037D32E8" w:rsidRPr="00175A9A" w:rsidRDefault="009340B2" w:rsidP="00330CC2">
      <w:pPr>
        <w:spacing w:line="480" w:lineRule="auto"/>
        <w:jc w:val="both"/>
        <w:outlineLvl w:val="0"/>
        <w:rPr>
          <w:rFonts w:ascii="Times New Roman" w:eastAsia="Times New Roman" w:hAnsi="Times New Roman" w:cs="Times New Roman"/>
          <w:b/>
          <w:color w:val="000000" w:themeColor="text1"/>
          <w:sz w:val="24"/>
          <w:szCs w:val="24"/>
          <w:lang w:bidi="mr-IN"/>
        </w:rPr>
      </w:pPr>
      <w:r w:rsidRPr="00175A9A">
        <w:rPr>
          <w:rFonts w:ascii="Times New Roman" w:eastAsia="Times New Roman" w:hAnsi="Times New Roman" w:cs="Times New Roman"/>
          <w:b/>
          <w:color w:val="000000" w:themeColor="text1"/>
          <w:sz w:val="24"/>
          <w:szCs w:val="24"/>
          <w:lang w:bidi="mr-IN"/>
        </w:rPr>
        <w:t>Discussio</w:t>
      </w:r>
      <w:r w:rsidR="00B84DE8">
        <w:rPr>
          <w:rFonts w:ascii="Times New Roman" w:eastAsia="Times New Roman" w:hAnsi="Times New Roman" w:cs="Times New Roman"/>
          <w:b/>
          <w:color w:val="000000" w:themeColor="text1"/>
          <w:sz w:val="24"/>
          <w:szCs w:val="24"/>
          <w:lang w:bidi="mr-IN"/>
        </w:rPr>
        <w:t>n</w:t>
      </w:r>
    </w:p>
    <w:p w14:paraId="3FC39089" w14:textId="24899D04" w:rsidR="00413D1D" w:rsidRPr="00175A9A" w:rsidRDefault="037D32E8"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eastAsia="Times New Roman" w:hAnsi="Times New Roman" w:cs="Times New Roman"/>
          <w:color w:val="000000" w:themeColor="text1"/>
          <w:sz w:val="24"/>
          <w:szCs w:val="24"/>
          <w:lang w:bidi="mr-IN"/>
        </w:rPr>
        <w:t>In this</w:t>
      </w:r>
      <w:r w:rsidR="00A44C24" w:rsidRPr="00175A9A">
        <w:rPr>
          <w:rFonts w:ascii="Times New Roman" w:eastAsia="Times New Roman" w:hAnsi="Times New Roman" w:cs="Times New Roman"/>
          <w:color w:val="000000" w:themeColor="text1"/>
          <w:sz w:val="24"/>
          <w:szCs w:val="24"/>
          <w:lang w:bidi="mr-IN"/>
        </w:rPr>
        <w:t xml:space="preserve"> </w:t>
      </w:r>
      <w:r w:rsidR="0086336B" w:rsidRPr="00175A9A">
        <w:rPr>
          <w:rFonts w:ascii="Times New Roman" w:eastAsia="Times New Roman" w:hAnsi="Times New Roman" w:cs="Times New Roman"/>
          <w:color w:val="000000" w:themeColor="text1"/>
          <w:sz w:val="24"/>
          <w:szCs w:val="24"/>
          <w:lang w:bidi="mr-IN"/>
        </w:rPr>
        <w:t>study</w:t>
      </w:r>
      <w:r w:rsidR="00553795" w:rsidRPr="00175A9A">
        <w:rPr>
          <w:rFonts w:ascii="Times New Roman" w:eastAsia="Times New Roman" w:hAnsi="Times New Roman" w:cs="Times New Roman"/>
          <w:color w:val="000000" w:themeColor="text1"/>
          <w:sz w:val="24"/>
          <w:szCs w:val="24"/>
          <w:lang w:bidi="mr-IN"/>
        </w:rPr>
        <w:t xml:space="preserve"> of asymptomatic </w:t>
      </w:r>
      <w:r w:rsidR="00B171A2" w:rsidRPr="00175A9A">
        <w:rPr>
          <w:rFonts w:ascii="Times New Roman" w:eastAsia="Times New Roman" w:hAnsi="Times New Roman" w:cs="Times New Roman"/>
          <w:color w:val="000000" w:themeColor="text1"/>
          <w:sz w:val="24"/>
          <w:szCs w:val="24"/>
          <w:lang w:bidi="mr-IN"/>
        </w:rPr>
        <w:t>vit</w:t>
      </w:r>
      <w:r w:rsidR="00B03C12" w:rsidRPr="00175A9A">
        <w:rPr>
          <w:rFonts w:ascii="Times New Roman" w:eastAsia="Times New Roman" w:hAnsi="Times New Roman" w:cs="Times New Roman"/>
          <w:color w:val="000000" w:themeColor="text1"/>
          <w:sz w:val="24"/>
          <w:szCs w:val="24"/>
          <w:lang w:bidi="mr-IN"/>
        </w:rPr>
        <w:t>amin</w:t>
      </w:r>
      <w:r w:rsidR="00B171A2" w:rsidRPr="00175A9A">
        <w:rPr>
          <w:rFonts w:ascii="Times New Roman" w:eastAsia="Times New Roman" w:hAnsi="Times New Roman" w:cs="Times New Roman"/>
          <w:color w:val="000000" w:themeColor="text1"/>
          <w:sz w:val="24"/>
          <w:szCs w:val="24"/>
          <w:lang w:bidi="mr-IN"/>
        </w:rPr>
        <w:t xml:space="preserve"> B-12 deficient adolescent women w</w:t>
      </w:r>
      <w:r w:rsidR="00A44C24" w:rsidRPr="00175A9A">
        <w:rPr>
          <w:rFonts w:ascii="Times New Roman" w:hAnsi="Times New Roman" w:cs="Times New Roman"/>
          <w:color w:val="000000" w:themeColor="text1"/>
          <w:sz w:val="24"/>
          <w:szCs w:val="24"/>
          <w:lang w:bidi="mr-IN"/>
        </w:rPr>
        <w:t xml:space="preserve">e observed a significant improvement in </w:t>
      </w:r>
      <w:r w:rsidR="00930FAE" w:rsidRPr="00175A9A">
        <w:rPr>
          <w:rFonts w:ascii="Times New Roman" w:hAnsi="Times New Roman" w:cs="Times New Roman"/>
          <w:color w:val="000000" w:themeColor="text1"/>
          <w:sz w:val="24"/>
          <w:szCs w:val="24"/>
          <w:lang w:bidi="mr-IN"/>
        </w:rPr>
        <w:t xml:space="preserve">B-12 concentrations, </w:t>
      </w:r>
      <w:r w:rsidR="00A44C24" w:rsidRPr="00175A9A">
        <w:rPr>
          <w:rFonts w:ascii="Times New Roman" w:hAnsi="Times New Roman" w:cs="Times New Roman"/>
          <w:color w:val="000000" w:themeColor="text1"/>
          <w:sz w:val="24"/>
          <w:szCs w:val="24"/>
          <w:lang w:bidi="mr-IN"/>
        </w:rPr>
        <w:t>hematological and biochemical</w:t>
      </w:r>
      <w:r w:rsidR="00A860D6">
        <w:rPr>
          <w:rFonts w:ascii="Times New Roman" w:hAnsi="Times New Roman" w:cs="Times New Roman"/>
          <w:color w:val="000000" w:themeColor="text1"/>
          <w:sz w:val="24"/>
          <w:szCs w:val="24"/>
          <w:lang w:bidi="mr-IN"/>
        </w:rPr>
        <w:t>, metabolic</w:t>
      </w:r>
      <w:r w:rsidR="00A44C24" w:rsidRPr="00175A9A">
        <w:rPr>
          <w:rFonts w:ascii="Times New Roman" w:hAnsi="Times New Roman" w:cs="Times New Roman"/>
          <w:color w:val="000000" w:themeColor="text1"/>
          <w:sz w:val="24"/>
          <w:szCs w:val="24"/>
          <w:lang w:bidi="mr-IN"/>
        </w:rPr>
        <w:t xml:space="preserve"> parameters and </w:t>
      </w:r>
      <w:r w:rsidR="005E2C5B" w:rsidRPr="00175A9A">
        <w:rPr>
          <w:rFonts w:ascii="Times New Roman" w:hAnsi="Times New Roman" w:cs="Times New Roman"/>
          <w:color w:val="000000" w:themeColor="text1"/>
          <w:sz w:val="24"/>
          <w:szCs w:val="24"/>
          <w:lang w:bidi="mr-IN"/>
        </w:rPr>
        <w:t xml:space="preserve">peripheral </w:t>
      </w:r>
      <w:r w:rsidR="00A44C24" w:rsidRPr="00175A9A">
        <w:rPr>
          <w:rFonts w:ascii="Times New Roman" w:hAnsi="Times New Roman" w:cs="Times New Roman"/>
          <w:color w:val="000000" w:themeColor="text1"/>
          <w:sz w:val="24"/>
          <w:szCs w:val="24"/>
          <w:lang w:bidi="mr-IN"/>
        </w:rPr>
        <w:t>nerve function after 11 months of treatment</w:t>
      </w:r>
      <w:r w:rsidR="00B171A2" w:rsidRPr="00175A9A">
        <w:rPr>
          <w:rFonts w:ascii="Times New Roman" w:hAnsi="Times New Roman" w:cs="Times New Roman"/>
          <w:color w:val="000000" w:themeColor="text1"/>
          <w:sz w:val="24"/>
          <w:szCs w:val="24"/>
          <w:lang w:bidi="mr-IN"/>
        </w:rPr>
        <w:t xml:space="preserve"> with </w:t>
      </w:r>
      <w:r w:rsidR="00F867F6" w:rsidRPr="00175A9A">
        <w:rPr>
          <w:rFonts w:ascii="Times New Roman" w:hAnsi="Times New Roman" w:cs="Times New Roman"/>
          <w:color w:val="000000" w:themeColor="text1"/>
          <w:sz w:val="24"/>
          <w:szCs w:val="24"/>
          <w:lang w:bidi="mr-IN"/>
        </w:rPr>
        <w:t xml:space="preserve">an </w:t>
      </w:r>
      <w:r w:rsidR="00D952E7" w:rsidRPr="00175A9A">
        <w:rPr>
          <w:rFonts w:ascii="Times New Roman" w:hAnsi="Times New Roman" w:cs="Times New Roman"/>
          <w:color w:val="000000" w:themeColor="text1"/>
          <w:sz w:val="24"/>
          <w:szCs w:val="24"/>
          <w:lang w:bidi="mr-IN"/>
        </w:rPr>
        <w:t xml:space="preserve">oral </w:t>
      </w:r>
      <w:r w:rsidR="00CC2E5B">
        <w:rPr>
          <w:rFonts w:ascii="Times New Roman" w:hAnsi="Times New Roman" w:cs="Times New Roman"/>
          <w:color w:val="000000" w:themeColor="text1"/>
          <w:sz w:val="24"/>
          <w:szCs w:val="24"/>
          <w:lang w:bidi="mr-IN"/>
        </w:rPr>
        <w:t xml:space="preserve">B-12 dose of </w:t>
      </w:r>
      <w:r w:rsidR="00C35D45" w:rsidRPr="00175A9A">
        <w:rPr>
          <w:rFonts w:ascii="Times New Roman" w:hAnsi="Times New Roman" w:cs="Times New Roman"/>
          <w:color w:val="000000" w:themeColor="text1"/>
          <w:sz w:val="24"/>
          <w:szCs w:val="24"/>
          <w:lang w:bidi="mr-IN"/>
        </w:rPr>
        <w:t xml:space="preserve">2 µg </w:t>
      </w:r>
      <w:r w:rsidR="00B171A2" w:rsidRPr="00175A9A">
        <w:rPr>
          <w:rFonts w:ascii="Times New Roman" w:hAnsi="Times New Roman" w:cs="Times New Roman"/>
          <w:color w:val="000000" w:themeColor="text1"/>
          <w:sz w:val="24"/>
          <w:szCs w:val="24"/>
          <w:lang w:bidi="mr-IN"/>
        </w:rPr>
        <w:t>/d</w:t>
      </w:r>
      <w:r w:rsidR="00F867F6" w:rsidRPr="00175A9A">
        <w:rPr>
          <w:rFonts w:ascii="Times New Roman" w:hAnsi="Times New Roman" w:cs="Times New Roman"/>
          <w:color w:val="000000" w:themeColor="text1"/>
          <w:sz w:val="24"/>
          <w:szCs w:val="24"/>
          <w:lang w:bidi="mr-IN"/>
        </w:rPr>
        <w:t>ay</w:t>
      </w:r>
      <w:r w:rsidR="00A44C24" w:rsidRPr="00175A9A">
        <w:rPr>
          <w:rFonts w:ascii="Times New Roman" w:hAnsi="Times New Roman" w:cs="Times New Roman"/>
          <w:color w:val="000000" w:themeColor="text1"/>
          <w:sz w:val="24"/>
          <w:szCs w:val="24"/>
          <w:lang w:bidi="mr-IN"/>
        </w:rPr>
        <w:t xml:space="preserve">. </w:t>
      </w:r>
      <w:r w:rsidR="0053776C" w:rsidRPr="00175A9A">
        <w:rPr>
          <w:rFonts w:ascii="Times New Roman" w:hAnsi="Times New Roman" w:cs="Times New Roman"/>
          <w:color w:val="000000" w:themeColor="text1"/>
          <w:sz w:val="24"/>
          <w:szCs w:val="24"/>
          <w:lang w:bidi="mr-IN"/>
        </w:rPr>
        <w:t xml:space="preserve"> </w:t>
      </w:r>
      <w:r w:rsidR="005F03AF" w:rsidRPr="00175A9A">
        <w:rPr>
          <w:rFonts w:ascii="Times New Roman" w:hAnsi="Times New Roman" w:cs="Times New Roman"/>
          <w:sz w:val="24"/>
          <w:szCs w:val="24"/>
        </w:rPr>
        <w:t>Th</w:t>
      </w:r>
      <w:r w:rsidR="00D952E7" w:rsidRPr="00175A9A">
        <w:rPr>
          <w:rFonts w:ascii="Times New Roman" w:hAnsi="Times New Roman" w:cs="Times New Roman"/>
          <w:sz w:val="24"/>
          <w:szCs w:val="24"/>
        </w:rPr>
        <w:t>is</w:t>
      </w:r>
      <w:r w:rsidR="005F03AF" w:rsidRPr="00175A9A">
        <w:rPr>
          <w:rFonts w:ascii="Times New Roman" w:hAnsi="Times New Roman" w:cs="Times New Roman"/>
          <w:sz w:val="24"/>
          <w:szCs w:val="24"/>
        </w:rPr>
        <w:t xml:space="preserve"> was not a clinical trial, </w:t>
      </w:r>
      <w:r w:rsidR="004E442B" w:rsidRPr="00175A9A">
        <w:rPr>
          <w:rFonts w:ascii="Times New Roman" w:hAnsi="Times New Roman" w:cs="Times New Roman"/>
          <w:sz w:val="24"/>
          <w:szCs w:val="24"/>
        </w:rPr>
        <w:t xml:space="preserve">but </w:t>
      </w:r>
      <w:r w:rsidR="005F03AF" w:rsidRPr="00175A9A">
        <w:rPr>
          <w:rFonts w:ascii="Times New Roman" w:hAnsi="Times New Roman" w:cs="Times New Roman"/>
          <w:sz w:val="24"/>
          <w:szCs w:val="24"/>
        </w:rPr>
        <w:t>rather a care protocol</w:t>
      </w:r>
      <w:r w:rsidR="003C60F3" w:rsidRPr="00175A9A">
        <w:rPr>
          <w:rFonts w:ascii="Times New Roman" w:hAnsi="Times New Roman" w:cs="Times New Roman"/>
          <w:sz w:val="24"/>
          <w:szCs w:val="24"/>
        </w:rPr>
        <w:t>,</w:t>
      </w:r>
      <w:r w:rsidR="005F03AF" w:rsidRPr="00175A9A">
        <w:rPr>
          <w:rFonts w:ascii="Times New Roman" w:hAnsi="Times New Roman" w:cs="Times New Roman"/>
          <w:sz w:val="24"/>
          <w:szCs w:val="24"/>
        </w:rPr>
        <w:t xml:space="preserve"> </w:t>
      </w:r>
      <w:r w:rsidR="003C60F3" w:rsidRPr="00175A9A">
        <w:rPr>
          <w:rFonts w:ascii="Times New Roman" w:hAnsi="Times New Roman" w:cs="Times New Roman"/>
          <w:sz w:val="24"/>
          <w:szCs w:val="24"/>
        </w:rPr>
        <w:t>in which</w:t>
      </w:r>
      <w:r w:rsidR="005F03AF" w:rsidRPr="00175A9A">
        <w:rPr>
          <w:rFonts w:ascii="Times New Roman" w:hAnsi="Times New Roman" w:cs="Times New Roman"/>
          <w:sz w:val="24"/>
          <w:szCs w:val="24"/>
        </w:rPr>
        <w:t xml:space="preserve"> we </w:t>
      </w:r>
      <w:r w:rsidR="00B171A2" w:rsidRPr="00175A9A">
        <w:rPr>
          <w:rFonts w:ascii="Times New Roman" w:hAnsi="Times New Roman" w:cs="Times New Roman"/>
          <w:sz w:val="24"/>
          <w:szCs w:val="24"/>
        </w:rPr>
        <w:t xml:space="preserve">documented the effects of </w:t>
      </w:r>
      <w:r w:rsidR="00CC2E5B">
        <w:rPr>
          <w:rFonts w:ascii="Times New Roman" w:hAnsi="Times New Roman" w:cs="Times New Roman"/>
          <w:sz w:val="24"/>
          <w:szCs w:val="24"/>
        </w:rPr>
        <w:t xml:space="preserve">a </w:t>
      </w:r>
      <w:r w:rsidR="00B171A2" w:rsidRPr="00175A9A">
        <w:rPr>
          <w:rFonts w:ascii="Times New Roman" w:hAnsi="Times New Roman" w:cs="Times New Roman"/>
          <w:sz w:val="24"/>
          <w:szCs w:val="24"/>
        </w:rPr>
        <w:lastRenderedPageBreak/>
        <w:t>physiological dose of B-12 on different parameters in otherwise asymptomatic</w:t>
      </w:r>
      <w:r w:rsidR="00930FAE" w:rsidRPr="00175A9A">
        <w:rPr>
          <w:rFonts w:ascii="Times New Roman" w:hAnsi="Times New Roman" w:cs="Times New Roman"/>
          <w:sz w:val="24"/>
          <w:szCs w:val="24"/>
        </w:rPr>
        <w:t xml:space="preserve"> </w:t>
      </w:r>
      <w:r w:rsidR="00CC2E5B">
        <w:rPr>
          <w:rFonts w:ascii="Times New Roman" w:hAnsi="Times New Roman" w:cs="Times New Roman"/>
          <w:sz w:val="24"/>
          <w:szCs w:val="24"/>
        </w:rPr>
        <w:t xml:space="preserve">but clearly </w:t>
      </w:r>
      <w:r w:rsidR="00D952E7" w:rsidRPr="00175A9A">
        <w:rPr>
          <w:rFonts w:ascii="Times New Roman" w:hAnsi="Times New Roman" w:cs="Times New Roman"/>
          <w:sz w:val="24"/>
          <w:szCs w:val="24"/>
        </w:rPr>
        <w:t xml:space="preserve">B-12 deficient </w:t>
      </w:r>
      <w:r w:rsidR="00930FAE" w:rsidRPr="00175A9A">
        <w:rPr>
          <w:rFonts w:ascii="Times New Roman" w:hAnsi="Times New Roman" w:cs="Times New Roman"/>
          <w:sz w:val="24"/>
          <w:szCs w:val="24"/>
        </w:rPr>
        <w:t>women</w:t>
      </w:r>
      <w:r w:rsidR="00B171A2" w:rsidRPr="00175A9A">
        <w:rPr>
          <w:rFonts w:ascii="Times New Roman" w:hAnsi="Times New Roman" w:cs="Times New Roman"/>
          <w:sz w:val="24"/>
          <w:szCs w:val="24"/>
        </w:rPr>
        <w:t xml:space="preserve">. </w:t>
      </w:r>
      <w:r w:rsidR="00CA7EEE" w:rsidRPr="00B839AA">
        <w:rPr>
          <w:rFonts w:ascii="Times New Roman" w:hAnsi="Times New Roman" w:cs="Times New Roman"/>
          <w:sz w:val="24"/>
          <w:szCs w:val="24"/>
        </w:rPr>
        <w:t>W</w:t>
      </w:r>
      <w:r w:rsidR="00B171A2" w:rsidRPr="00B839AA">
        <w:rPr>
          <w:rFonts w:ascii="Times New Roman" w:hAnsi="Times New Roman" w:cs="Times New Roman"/>
          <w:sz w:val="24"/>
          <w:szCs w:val="24"/>
        </w:rPr>
        <w:t>e piggy</w:t>
      </w:r>
      <w:r w:rsidR="004E442B" w:rsidRPr="00B839AA">
        <w:rPr>
          <w:rFonts w:ascii="Times New Roman" w:hAnsi="Times New Roman" w:cs="Times New Roman"/>
          <w:sz w:val="24"/>
          <w:szCs w:val="24"/>
        </w:rPr>
        <w:t>-</w:t>
      </w:r>
      <w:r w:rsidR="00B171A2" w:rsidRPr="00B839AA">
        <w:rPr>
          <w:rFonts w:ascii="Times New Roman" w:hAnsi="Times New Roman" w:cs="Times New Roman"/>
          <w:sz w:val="24"/>
          <w:szCs w:val="24"/>
        </w:rPr>
        <w:t xml:space="preserve">backed </w:t>
      </w:r>
      <w:r w:rsidR="00CA7EEE" w:rsidRPr="00B839AA">
        <w:rPr>
          <w:rFonts w:ascii="Times New Roman" w:hAnsi="Times New Roman" w:cs="Times New Roman"/>
          <w:sz w:val="24"/>
          <w:szCs w:val="24"/>
        </w:rPr>
        <w:t>these observations on</w:t>
      </w:r>
      <w:r w:rsidR="003C60F3" w:rsidRPr="00B839AA">
        <w:rPr>
          <w:rFonts w:ascii="Times New Roman" w:hAnsi="Times New Roman" w:cs="Times New Roman"/>
          <w:sz w:val="24"/>
          <w:szCs w:val="24"/>
        </w:rPr>
        <w:t>to</w:t>
      </w:r>
      <w:r w:rsidR="00CA7EEE" w:rsidRPr="00B839AA">
        <w:rPr>
          <w:rFonts w:ascii="Times New Roman" w:hAnsi="Times New Roman" w:cs="Times New Roman"/>
          <w:sz w:val="24"/>
          <w:szCs w:val="24"/>
        </w:rPr>
        <w:t xml:space="preserve"> a randomized control</w:t>
      </w:r>
      <w:r w:rsidR="00CC2E5B" w:rsidRPr="00B839AA">
        <w:rPr>
          <w:rFonts w:ascii="Times New Roman" w:hAnsi="Times New Roman" w:cs="Times New Roman"/>
          <w:sz w:val="24"/>
          <w:szCs w:val="24"/>
        </w:rPr>
        <w:t>led</w:t>
      </w:r>
      <w:r w:rsidR="00CA7EEE" w:rsidRPr="00B839AA">
        <w:rPr>
          <w:rFonts w:ascii="Times New Roman" w:hAnsi="Times New Roman" w:cs="Times New Roman"/>
          <w:sz w:val="24"/>
          <w:szCs w:val="24"/>
        </w:rPr>
        <w:t xml:space="preserve"> trial of B-12</w:t>
      </w:r>
      <w:r w:rsidR="00CC2E5B" w:rsidRPr="00B839AA">
        <w:rPr>
          <w:rFonts w:ascii="Times New Roman" w:hAnsi="Times New Roman" w:cs="Times New Roman"/>
          <w:sz w:val="24"/>
          <w:szCs w:val="24"/>
        </w:rPr>
        <w:t>,</w:t>
      </w:r>
      <w:r w:rsidR="00CA7EEE" w:rsidRPr="00B839AA">
        <w:rPr>
          <w:rFonts w:ascii="Times New Roman" w:hAnsi="Times New Roman" w:cs="Times New Roman"/>
          <w:sz w:val="24"/>
          <w:szCs w:val="24"/>
        </w:rPr>
        <w:t xml:space="preserve"> in adolescents </w:t>
      </w:r>
      <w:r w:rsidR="00D952E7" w:rsidRPr="00B839AA">
        <w:rPr>
          <w:rFonts w:ascii="Times New Roman" w:hAnsi="Times New Roman" w:cs="Times New Roman"/>
          <w:sz w:val="24"/>
          <w:szCs w:val="24"/>
        </w:rPr>
        <w:t xml:space="preserve">by following the </w:t>
      </w:r>
      <w:r w:rsidR="00D2301E" w:rsidRPr="00B839AA">
        <w:rPr>
          <w:rFonts w:ascii="Times New Roman" w:hAnsi="Times New Roman" w:cs="Times New Roman"/>
          <w:sz w:val="24"/>
          <w:szCs w:val="24"/>
        </w:rPr>
        <w:t xml:space="preserve">B12 deficient </w:t>
      </w:r>
      <w:r w:rsidR="00D952E7" w:rsidRPr="00B839AA">
        <w:rPr>
          <w:rFonts w:ascii="Times New Roman" w:hAnsi="Times New Roman" w:cs="Times New Roman"/>
          <w:sz w:val="24"/>
          <w:szCs w:val="24"/>
        </w:rPr>
        <w:t xml:space="preserve">women who were excluded from the main trial due to </w:t>
      </w:r>
      <w:r w:rsidR="003C60F3" w:rsidRPr="00B839AA">
        <w:rPr>
          <w:rFonts w:ascii="Times New Roman" w:hAnsi="Times New Roman" w:cs="Times New Roman"/>
          <w:sz w:val="24"/>
          <w:szCs w:val="24"/>
        </w:rPr>
        <w:t xml:space="preserve">the </w:t>
      </w:r>
      <w:r w:rsidR="00D952E7" w:rsidRPr="00B839AA">
        <w:rPr>
          <w:rFonts w:ascii="Times New Roman" w:hAnsi="Times New Roman" w:cs="Times New Roman"/>
          <w:sz w:val="24"/>
          <w:szCs w:val="24"/>
        </w:rPr>
        <w:t>ethical imperative of a placebo controlled trial.</w:t>
      </w:r>
      <w:r w:rsidR="00D952E7" w:rsidRPr="00175A9A">
        <w:rPr>
          <w:rFonts w:ascii="Times New Roman" w:hAnsi="Times New Roman" w:cs="Times New Roman"/>
          <w:sz w:val="24"/>
          <w:szCs w:val="24"/>
        </w:rPr>
        <w:t xml:space="preserve"> </w:t>
      </w:r>
      <w:r w:rsidR="00CA7EEE" w:rsidRPr="00175A9A">
        <w:rPr>
          <w:rFonts w:ascii="Times New Roman" w:hAnsi="Times New Roman" w:cs="Times New Roman"/>
          <w:sz w:val="24"/>
          <w:szCs w:val="24"/>
        </w:rPr>
        <w:t>The</w:t>
      </w:r>
      <w:r w:rsidR="00957EAA" w:rsidRPr="00175A9A">
        <w:rPr>
          <w:rFonts w:ascii="Times New Roman" w:hAnsi="Times New Roman" w:cs="Times New Roman"/>
          <w:sz w:val="24"/>
          <w:szCs w:val="24"/>
        </w:rPr>
        <w:t xml:space="preserve"> selection of the</w:t>
      </w:r>
      <w:r w:rsidR="00CA7EEE" w:rsidRPr="00175A9A">
        <w:rPr>
          <w:rFonts w:ascii="Times New Roman" w:hAnsi="Times New Roman" w:cs="Times New Roman"/>
          <w:sz w:val="24"/>
          <w:szCs w:val="24"/>
        </w:rPr>
        <w:t xml:space="preserve"> dose of </w:t>
      </w:r>
      <w:r w:rsidR="00957EAA" w:rsidRPr="00175A9A">
        <w:rPr>
          <w:rFonts w:ascii="Times New Roman" w:hAnsi="Times New Roman" w:cs="Times New Roman"/>
          <w:sz w:val="24"/>
          <w:szCs w:val="24"/>
        </w:rPr>
        <w:t>B-12 (2</w:t>
      </w:r>
      <w:r w:rsidR="008A5926" w:rsidRPr="00175A9A">
        <w:rPr>
          <w:rFonts w:ascii="Times New Roman" w:hAnsi="Times New Roman" w:cs="Times New Roman"/>
          <w:color w:val="000000" w:themeColor="text1"/>
          <w:sz w:val="24"/>
          <w:szCs w:val="24"/>
          <w:lang w:bidi="mr-IN"/>
        </w:rPr>
        <w:t xml:space="preserve"> µg</w:t>
      </w:r>
      <w:r w:rsidR="00957EAA" w:rsidRPr="00175A9A">
        <w:rPr>
          <w:rFonts w:ascii="Times New Roman" w:hAnsi="Times New Roman" w:cs="Times New Roman"/>
          <w:color w:val="000000" w:themeColor="text1"/>
          <w:sz w:val="24"/>
          <w:szCs w:val="24"/>
          <w:lang w:bidi="mr-IN"/>
        </w:rPr>
        <w:t>/d</w:t>
      </w:r>
      <w:r w:rsidR="00CC2E5B">
        <w:rPr>
          <w:rFonts w:ascii="Times New Roman" w:hAnsi="Times New Roman" w:cs="Times New Roman"/>
          <w:color w:val="000000" w:themeColor="text1"/>
          <w:sz w:val="24"/>
          <w:szCs w:val="24"/>
          <w:lang w:bidi="mr-IN"/>
        </w:rPr>
        <w:t>ay</w:t>
      </w:r>
      <w:r w:rsidR="00957EAA" w:rsidRPr="00175A9A">
        <w:rPr>
          <w:rFonts w:ascii="Times New Roman" w:hAnsi="Times New Roman" w:cs="Times New Roman"/>
          <w:color w:val="000000" w:themeColor="text1"/>
          <w:sz w:val="24"/>
          <w:szCs w:val="24"/>
          <w:lang w:bidi="mr-IN"/>
        </w:rPr>
        <w:t xml:space="preserve">) </w:t>
      </w:r>
      <w:r w:rsidR="00CA7EEE" w:rsidRPr="00175A9A">
        <w:rPr>
          <w:rFonts w:ascii="Times New Roman" w:hAnsi="Times New Roman" w:cs="Times New Roman"/>
          <w:sz w:val="24"/>
          <w:szCs w:val="24"/>
        </w:rPr>
        <w:t xml:space="preserve">was based on two previous studies in this population </w:t>
      </w:r>
      <w:r w:rsidR="004E442B" w:rsidRPr="00175A9A">
        <w:rPr>
          <w:rFonts w:ascii="Times New Roman" w:hAnsi="Times New Roman" w:cs="Times New Roman"/>
          <w:sz w:val="24"/>
          <w:szCs w:val="24"/>
        </w:rPr>
        <w:t>in which</w:t>
      </w:r>
      <w:r w:rsidR="00CA7EEE" w:rsidRPr="00175A9A">
        <w:rPr>
          <w:rFonts w:ascii="Times New Roman" w:hAnsi="Times New Roman" w:cs="Times New Roman"/>
          <w:sz w:val="24"/>
          <w:szCs w:val="24"/>
        </w:rPr>
        <w:t xml:space="preserve"> we had demonstrated adequate absorption of oral B-12</w:t>
      </w:r>
      <w:r w:rsidR="00C51566" w:rsidRPr="00175A9A">
        <w:rPr>
          <w:rFonts w:ascii="Times New Roman" w:hAnsi="Times New Roman" w:cs="Times New Roman"/>
          <w:sz w:val="24"/>
          <w:szCs w:val="24"/>
        </w:rPr>
        <w:t xml:space="preserve"> in the majority</w:t>
      </w:r>
      <w:r w:rsidR="004E442B" w:rsidRPr="00175A9A">
        <w:rPr>
          <w:rFonts w:ascii="Times New Roman" w:hAnsi="Times New Roman" w:cs="Times New Roman"/>
          <w:sz w:val="24"/>
          <w:szCs w:val="24"/>
        </w:rPr>
        <w:t>,</w:t>
      </w:r>
      <w:r w:rsidR="00CA7EEE" w:rsidRPr="00175A9A">
        <w:rPr>
          <w:rFonts w:ascii="Times New Roman" w:hAnsi="Times New Roman" w:cs="Times New Roman"/>
          <w:sz w:val="24"/>
          <w:szCs w:val="24"/>
        </w:rPr>
        <w:t xml:space="preserve"> and documented improvement in B-12 status after </w:t>
      </w:r>
      <w:r w:rsidR="00D2301E" w:rsidRPr="00175A9A">
        <w:rPr>
          <w:rFonts w:ascii="Times New Roman" w:hAnsi="Times New Roman" w:cs="Times New Roman"/>
          <w:sz w:val="24"/>
          <w:szCs w:val="24"/>
        </w:rPr>
        <w:t xml:space="preserve">oral </w:t>
      </w:r>
      <w:r w:rsidR="00CA7EEE" w:rsidRPr="00175A9A">
        <w:rPr>
          <w:rFonts w:ascii="Times New Roman" w:hAnsi="Times New Roman" w:cs="Times New Roman"/>
          <w:sz w:val="24"/>
          <w:szCs w:val="24"/>
        </w:rPr>
        <w:t>supplementation for</w:t>
      </w:r>
      <w:r w:rsidR="00E47A43" w:rsidRPr="00175A9A">
        <w:rPr>
          <w:rFonts w:ascii="Times New Roman" w:hAnsi="Times New Roman" w:cs="Times New Roman"/>
          <w:sz w:val="24"/>
          <w:szCs w:val="24"/>
        </w:rPr>
        <w:t xml:space="preserve"> </w:t>
      </w:r>
      <w:r w:rsidR="00CA7EEE" w:rsidRPr="00175A9A">
        <w:rPr>
          <w:rFonts w:ascii="Times New Roman" w:hAnsi="Times New Roman" w:cs="Times New Roman"/>
          <w:sz w:val="24"/>
          <w:szCs w:val="24"/>
        </w:rPr>
        <w:t xml:space="preserve">1 year. </w:t>
      </w:r>
      <w:r w:rsidR="00920EA4" w:rsidRPr="00175A9A">
        <w:rPr>
          <w:rFonts w:ascii="Times New Roman" w:hAnsi="Times New Roman" w:cs="Times New Roman"/>
          <w:sz w:val="24"/>
          <w:szCs w:val="24"/>
        </w:rPr>
        <w:t xml:space="preserve">The improvements in </w:t>
      </w:r>
      <w:r w:rsidR="008A5926" w:rsidRPr="00175A9A">
        <w:rPr>
          <w:rFonts w:ascii="Times New Roman" w:hAnsi="Times New Roman" w:cs="Times New Roman"/>
          <w:sz w:val="24"/>
          <w:szCs w:val="24"/>
        </w:rPr>
        <w:t>hemoglobin, MCV</w:t>
      </w:r>
      <w:r w:rsidR="00275425" w:rsidRPr="00175A9A">
        <w:rPr>
          <w:rFonts w:ascii="Times New Roman" w:hAnsi="Times New Roman" w:cs="Times New Roman"/>
          <w:sz w:val="24"/>
          <w:szCs w:val="24"/>
        </w:rPr>
        <w:t xml:space="preserve"> and RDW, homocysteine</w:t>
      </w:r>
      <w:r w:rsidR="00920EA4" w:rsidRPr="00175A9A">
        <w:rPr>
          <w:rFonts w:ascii="Times New Roman" w:hAnsi="Times New Roman" w:cs="Times New Roman"/>
          <w:sz w:val="24"/>
          <w:szCs w:val="24"/>
        </w:rPr>
        <w:t xml:space="preserve"> and </w:t>
      </w:r>
      <w:r w:rsidR="005E2C5B" w:rsidRPr="00175A9A">
        <w:rPr>
          <w:rFonts w:ascii="Times New Roman" w:hAnsi="Times New Roman" w:cs="Times New Roman"/>
          <w:sz w:val="24"/>
          <w:szCs w:val="24"/>
        </w:rPr>
        <w:t xml:space="preserve">peripheral </w:t>
      </w:r>
      <w:r w:rsidR="00920EA4" w:rsidRPr="00175A9A">
        <w:rPr>
          <w:rFonts w:ascii="Times New Roman" w:hAnsi="Times New Roman" w:cs="Times New Roman"/>
          <w:sz w:val="24"/>
          <w:szCs w:val="24"/>
        </w:rPr>
        <w:t xml:space="preserve">nerve function (even though </w:t>
      </w:r>
      <w:r w:rsidR="003C60F3" w:rsidRPr="00175A9A">
        <w:rPr>
          <w:rFonts w:ascii="Times New Roman" w:hAnsi="Times New Roman" w:cs="Times New Roman"/>
          <w:sz w:val="24"/>
          <w:szCs w:val="24"/>
        </w:rPr>
        <w:t xml:space="preserve">this was </w:t>
      </w:r>
      <w:r w:rsidR="00920EA4" w:rsidRPr="00175A9A">
        <w:rPr>
          <w:rFonts w:ascii="Times New Roman" w:hAnsi="Times New Roman" w:cs="Times New Roman"/>
          <w:sz w:val="24"/>
          <w:szCs w:val="24"/>
        </w:rPr>
        <w:t>in the clinically normal range</w:t>
      </w:r>
      <w:r w:rsidR="003C60F3" w:rsidRPr="00175A9A">
        <w:rPr>
          <w:rFonts w:ascii="Times New Roman" w:hAnsi="Times New Roman" w:cs="Times New Roman"/>
          <w:sz w:val="24"/>
          <w:szCs w:val="24"/>
        </w:rPr>
        <w:t xml:space="preserve"> at baseline</w:t>
      </w:r>
      <w:r w:rsidR="00920EA4" w:rsidRPr="00175A9A">
        <w:rPr>
          <w:rFonts w:ascii="Times New Roman" w:hAnsi="Times New Roman" w:cs="Times New Roman"/>
          <w:sz w:val="24"/>
          <w:szCs w:val="24"/>
        </w:rPr>
        <w:t xml:space="preserve">) are </w:t>
      </w:r>
      <w:r w:rsidR="00930FAE" w:rsidRPr="00175A9A">
        <w:rPr>
          <w:rFonts w:ascii="Times New Roman" w:hAnsi="Times New Roman" w:cs="Times New Roman"/>
          <w:sz w:val="24"/>
          <w:szCs w:val="24"/>
        </w:rPr>
        <w:t xml:space="preserve">very </w:t>
      </w:r>
      <w:r w:rsidR="00920EA4" w:rsidRPr="00175A9A">
        <w:rPr>
          <w:rFonts w:ascii="Times New Roman" w:hAnsi="Times New Roman" w:cs="Times New Roman"/>
          <w:sz w:val="24"/>
          <w:szCs w:val="24"/>
        </w:rPr>
        <w:t>encouraging</w:t>
      </w:r>
      <w:r w:rsidR="000A0BAE" w:rsidRPr="00175A9A">
        <w:rPr>
          <w:rFonts w:ascii="Times New Roman" w:hAnsi="Times New Roman" w:cs="Times New Roman"/>
          <w:color w:val="000000" w:themeColor="text1"/>
          <w:sz w:val="24"/>
          <w:szCs w:val="24"/>
          <w:lang w:bidi="mr-IN"/>
        </w:rPr>
        <w:t xml:space="preserve">. </w:t>
      </w:r>
      <w:r w:rsidR="002B5068" w:rsidRPr="00175A9A">
        <w:rPr>
          <w:rFonts w:ascii="Times New Roman" w:hAnsi="Times New Roman" w:cs="Times New Roman"/>
          <w:color w:val="000000" w:themeColor="text1"/>
          <w:sz w:val="24"/>
          <w:szCs w:val="24"/>
          <w:lang w:bidi="mr-IN"/>
        </w:rPr>
        <w:t xml:space="preserve">The substantial prevalence of vitamin </w:t>
      </w:r>
      <w:r w:rsidR="00A85EA6" w:rsidRPr="00175A9A">
        <w:rPr>
          <w:rFonts w:ascii="Times New Roman" w:hAnsi="Times New Roman" w:cs="Times New Roman"/>
          <w:color w:val="000000" w:themeColor="text1"/>
          <w:sz w:val="24"/>
          <w:szCs w:val="24"/>
          <w:lang w:bidi="mr-IN"/>
        </w:rPr>
        <w:t>B-12</w:t>
      </w:r>
      <w:r w:rsidR="002B5068" w:rsidRPr="00175A9A">
        <w:rPr>
          <w:rFonts w:ascii="Times New Roman" w:hAnsi="Times New Roman" w:cs="Times New Roman"/>
          <w:color w:val="000000" w:themeColor="text1"/>
          <w:sz w:val="24"/>
          <w:szCs w:val="24"/>
          <w:lang w:bidi="mr-IN"/>
        </w:rPr>
        <w:t xml:space="preserve"> deficiency in this population</w:t>
      </w:r>
      <w:r w:rsidR="001130AE" w:rsidRPr="00175A9A">
        <w:rPr>
          <w:rFonts w:ascii="Times New Roman" w:hAnsi="Times New Roman" w:cs="Times New Roman"/>
          <w:color w:val="000000" w:themeColor="text1"/>
          <w:sz w:val="24"/>
          <w:szCs w:val="24"/>
          <w:lang w:bidi="mr-IN"/>
        </w:rPr>
        <w:t xml:space="preserve"> is at least partly ascribable to vegetarianism due to religious and socioeconomic factors</w:t>
      </w:r>
      <w:r w:rsidR="00D65F5C" w:rsidRPr="00175A9A">
        <w:rPr>
          <w:rFonts w:ascii="Times New Roman" w:hAnsi="Times New Roman" w:cs="Times New Roman"/>
          <w:color w:val="000000" w:themeColor="text1"/>
          <w:sz w:val="24"/>
          <w:szCs w:val="24"/>
          <w:lang w:bidi="mr-IN"/>
        </w:rPr>
        <w:t>.</w:t>
      </w:r>
      <w:r w:rsidR="003C205E" w:rsidRPr="00175A9A">
        <w:rPr>
          <w:rFonts w:ascii="Times New Roman" w:hAnsi="Times New Roman" w:cs="Times New Roman"/>
          <w:color w:val="000000" w:themeColor="text1"/>
          <w:sz w:val="24"/>
          <w:szCs w:val="24"/>
          <w:lang w:bidi="mr-IN"/>
        </w:rPr>
        <w:t xml:space="preserve"> </w:t>
      </w:r>
      <w:r w:rsidR="003C60F3" w:rsidRPr="00175A9A">
        <w:rPr>
          <w:rFonts w:ascii="Times New Roman" w:hAnsi="Times New Roman" w:cs="Times New Roman"/>
          <w:color w:val="000000" w:themeColor="text1"/>
          <w:sz w:val="24"/>
          <w:szCs w:val="24"/>
          <w:lang w:bidi="mr-IN"/>
        </w:rPr>
        <w:t>The l</w:t>
      </w:r>
      <w:r w:rsidR="007A3DB8" w:rsidRPr="00175A9A">
        <w:rPr>
          <w:rFonts w:ascii="Times New Roman" w:hAnsi="Times New Roman" w:cs="Times New Roman"/>
          <w:color w:val="000000" w:themeColor="text1"/>
          <w:sz w:val="24"/>
          <w:szCs w:val="24"/>
          <w:lang w:bidi="mr-IN"/>
        </w:rPr>
        <w:t>ack of clinical symptoms (severe anemia, stomatitis and glossitis, and peripheral neuropathy) is a surprising but common observation in our experience. We do not know the reasons for this with confidence</w:t>
      </w:r>
      <w:r w:rsidR="003C60F3" w:rsidRPr="00175A9A">
        <w:rPr>
          <w:rFonts w:ascii="Times New Roman" w:hAnsi="Times New Roman" w:cs="Times New Roman"/>
          <w:color w:val="000000" w:themeColor="text1"/>
          <w:sz w:val="24"/>
          <w:szCs w:val="24"/>
          <w:lang w:bidi="mr-IN"/>
        </w:rPr>
        <w:t>,</w:t>
      </w:r>
      <w:r w:rsidR="007A3DB8" w:rsidRPr="00175A9A">
        <w:rPr>
          <w:rFonts w:ascii="Times New Roman" w:hAnsi="Times New Roman" w:cs="Times New Roman"/>
          <w:color w:val="000000" w:themeColor="text1"/>
          <w:sz w:val="24"/>
          <w:szCs w:val="24"/>
          <w:lang w:bidi="mr-IN"/>
        </w:rPr>
        <w:t xml:space="preserve"> but it could be partly due to an adaptation </w:t>
      </w:r>
      <w:r w:rsidR="004E442B" w:rsidRPr="00175A9A">
        <w:rPr>
          <w:rFonts w:ascii="Times New Roman" w:hAnsi="Times New Roman" w:cs="Times New Roman"/>
          <w:color w:val="000000" w:themeColor="text1"/>
          <w:sz w:val="24"/>
          <w:szCs w:val="24"/>
          <w:lang w:bidi="mr-IN"/>
        </w:rPr>
        <w:t xml:space="preserve">(in a </w:t>
      </w:r>
      <w:r w:rsidR="004E442B" w:rsidRPr="00175A9A">
        <w:rPr>
          <w:rFonts w:ascii="Times New Roman" w:hAnsi="Times New Roman" w:cs="Times New Roman"/>
          <w:color w:val="000000" w:themeColor="text1"/>
          <w:sz w:val="24"/>
          <w:szCs w:val="24"/>
          <w:lang w:bidi="mr-IN"/>
        </w:rPr>
        <w:lastRenderedPageBreak/>
        <w:t xml:space="preserve">population likely to have been B-12 deficient for many generations) </w:t>
      </w:r>
      <w:r w:rsidR="007A3DB8" w:rsidRPr="00175A9A">
        <w:rPr>
          <w:rFonts w:ascii="Times New Roman" w:hAnsi="Times New Roman" w:cs="Times New Roman"/>
          <w:color w:val="000000" w:themeColor="text1"/>
          <w:sz w:val="24"/>
          <w:szCs w:val="24"/>
          <w:lang w:bidi="mr-IN"/>
        </w:rPr>
        <w:t>or due to adequate status of the related vitamin folate which might compensate for some of the actions of vit</w:t>
      </w:r>
      <w:r w:rsidR="00B03C12" w:rsidRPr="00175A9A">
        <w:rPr>
          <w:rFonts w:ascii="Times New Roman" w:hAnsi="Times New Roman" w:cs="Times New Roman"/>
          <w:color w:val="000000" w:themeColor="text1"/>
          <w:sz w:val="24"/>
          <w:szCs w:val="24"/>
          <w:lang w:bidi="mr-IN"/>
        </w:rPr>
        <w:t>amin</w:t>
      </w:r>
      <w:r w:rsidR="007A3DB8" w:rsidRPr="00175A9A">
        <w:rPr>
          <w:rFonts w:ascii="Times New Roman" w:hAnsi="Times New Roman" w:cs="Times New Roman"/>
          <w:color w:val="000000" w:themeColor="text1"/>
          <w:sz w:val="24"/>
          <w:szCs w:val="24"/>
          <w:lang w:bidi="mr-IN"/>
        </w:rPr>
        <w:t xml:space="preserve"> B-12. </w:t>
      </w:r>
      <w:r w:rsidR="003C205E" w:rsidRPr="00175A9A">
        <w:rPr>
          <w:rFonts w:ascii="Times New Roman" w:hAnsi="Times New Roman" w:cs="Times New Roman"/>
          <w:color w:val="000000" w:themeColor="text1"/>
          <w:sz w:val="24"/>
          <w:szCs w:val="24"/>
          <w:lang w:bidi="mr-IN"/>
        </w:rPr>
        <w:t xml:space="preserve">These </w:t>
      </w:r>
      <w:r w:rsidR="002B5068" w:rsidRPr="00175A9A">
        <w:rPr>
          <w:rFonts w:ascii="Times New Roman" w:hAnsi="Times New Roman" w:cs="Times New Roman"/>
          <w:color w:val="000000" w:themeColor="text1"/>
          <w:sz w:val="24"/>
          <w:szCs w:val="24"/>
          <w:lang w:bidi="mr-IN"/>
        </w:rPr>
        <w:t>facts</w:t>
      </w:r>
      <w:r w:rsidR="003C205E" w:rsidRPr="00175A9A">
        <w:rPr>
          <w:rFonts w:ascii="Times New Roman" w:hAnsi="Times New Roman" w:cs="Times New Roman"/>
          <w:color w:val="000000" w:themeColor="text1"/>
          <w:sz w:val="24"/>
          <w:szCs w:val="24"/>
          <w:lang w:bidi="mr-IN"/>
        </w:rPr>
        <w:t xml:space="preserve"> supported our decision to use</w:t>
      </w:r>
      <w:r w:rsidR="00375AEA" w:rsidRPr="00175A9A">
        <w:rPr>
          <w:rFonts w:ascii="Times New Roman" w:hAnsi="Times New Roman" w:cs="Times New Roman"/>
          <w:color w:val="000000" w:themeColor="text1"/>
          <w:sz w:val="24"/>
          <w:szCs w:val="24"/>
          <w:lang w:bidi="mr-IN"/>
        </w:rPr>
        <w:t xml:space="preserve"> </w:t>
      </w:r>
      <w:r w:rsidR="003C205E" w:rsidRPr="00175A9A">
        <w:rPr>
          <w:rFonts w:ascii="Times New Roman" w:hAnsi="Times New Roman" w:cs="Times New Roman"/>
          <w:color w:val="000000" w:themeColor="text1"/>
          <w:sz w:val="24"/>
          <w:szCs w:val="24"/>
          <w:lang w:bidi="mr-IN"/>
        </w:rPr>
        <w:t xml:space="preserve">oral </w:t>
      </w:r>
      <w:r w:rsidR="00A85EA6" w:rsidRPr="00175A9A">
        <w:rPr>
          <w:rFonts w:ascii="Times New Roman" w:hAnsi="Times New Roman" w:cs="Times New Roman"/>
          <w:color w:val="000000" w:themeColor="text1"/>
          <w:sz w:val="24"/>
          <w:szCs w:val="24"/>
          <w:lang w:bidi="mr-IN"/>
        </w:rPr>
        <w:t>B-12</w:t>
      </w:r>
      <w:r w:rsidR="003C205E" w:rsidRPr="00175A9A">
        <w:rPr>
          <w:rFonts w:ascii="Times New Roman" w:hAnsi="Times New Roman" w:cs="Times New Roman"/>
          <w:color w:val="000000" w:themeColor="text1"/>
          <w:sz w:val="24"/>
          <w:szCs w:val="24"/>
          <w:lang w:bidi="mr-IN"/>
        </w:rPr>
        <w:t xml:space="preserve"> in physiological doses</w:t>
      </w:r>
      <w:r w:rsidR="002B5068" w:rsidRPr="00175A9A">
        <w:rPr>
          <w:rFonts w:ascii="Times New Roman" w:hAnsi="Times New Roman" w:cs="Times New Roman"/>
          <w:color w:val="000000" w:themeColor="text1"/>
          <w:sz w:val="24"/>
          <w:szCs w:val="24"/>
          <w:lang w:bidi="mr-IN"/>
        </w:rPr>
        <w:t xml:space="preserve"> in the PRIYA trial as well as in the treatment of excluded women</w:t>
      </w:r>
      <w:r w:rsidR="00413D1D" w:rsidRPr="00175A9A">
        <w:rPr>
          <w:rFonts w:ascii="Times New Roman" w:eastAsia="Times New Roman" w:hAnsi="Times New Roman" w:cs="Times New Roman"/>
          <w:color w:val="000000" w:themeColor="text1"/>
          <w:sz w:val="24"/>
          <w:szCs w:val="24"/>
          <w:lang w:bidi="mr-IN"/>
        </w:rPr>
        <w:t>.</w:t>
      </w:r>
      <w:r w:rsidR="00413D1D" w:rsidRPr="00175A9A">
        <w:rPr>
          <w:rFonts w:ascii="Times New Roman" w:hAnsi="Times New Roman" w:cs="Times New Roman"/>
          <w:color w:val="000000" w:themeColor="text1"/>
          <w:sz w:val="24"/>
          <w:szCs w:val="24"/>
          <w:lang w:bidi="mr-IN"/>
        </w:rPr>
        <w:t xml:space="preserve"> In the only other community</w:t>
      </w:r>
      <w:r w:rsidR="003C60F3" w:rsidRPr="00175A9A">
        <w:rPr>
          <w:rFonts w:ascii="Times New Roman" w:hAnsi="Times New Roman" w:cs="Times New Roman"/>
          <w:color w:val="000000" w:themeColor="text1"/>
          <w:sz w:val="24"/>
          <w:szCs w:val="24"/>
          <w:lang w:bidi="mr-IN"/>
        </w:rPr>
        <w:t>-</w:t>
      </w:r>
      <w:r w:rsidR="00413D1D" w:rsidRPr="00175A9A">
        <w:rPr>
          <w:rFonts w:ascii="Times New Roman" w:hAnsi="Times New Roman" w:cs="Times New Roman"/>
          <w:color w:val="000000" w:themeColor="text1"/>
          <w:sz w:val="24"/>
          <w:szCs w:val="24"/>
          <w:lang w:bidi="mr-IN"/>
        </w:rPr>
        <w:t xml:space="preserve">based intervention in adolescent Indian women, </w:t>
      </w:r>
      <w:r w:rsidR="00CA5D9E" w:rsidRPr="00175A9A">
        <w:rPr>
          <w:rFonts w:ascii="Times New Roman" w:hAnsi="Times New Roman" w:cs="Times New Roman"/>
          <w:color w:val="000000" w:themeColor="text1"/>
          <w:sz w:val="24"/>
          <w:szCs w:val="24"/>
          <w:lang w:bidi="mr-IN"/>
        </w:rPr>
        <w:t xml:space="preserve">oral vitamin </w:t>
      </w:r>
      <w:r w:rsidR="00A85EA6" w:rsidRPr="00175A9A">
        <w:rPr>
          <w:rFonts w:ascii="Times New Roman" w:hAnsi="Times New Roman" w:cs="Times New Roman"/>
          <w:color w:val="000000" w:themeColor="text1"/>
          <w:sz w:val="24"/>
          <w:szCs w:val="24"/>
          <w:lang w:bidi="mr-IN"/>
        </w:rPr>
        <w:t>B-12</w:t>
      </w:r>
      <w:r w:rsidR="00413D1D" w:rsidRPr="00175A9A">
        <w:rPr>
          <w:rFonts w:ascii="Times New Roman" w:hAnsi="Times New Roman" w:cs="Times New Roman"/>
          <w:color w:val="000000" w:themeColor="text1"/>
          <w:sz w:val="24"/>
          <w:szCs w:val="24"/>
          <w:lang w:bidi="mr-IN"/>
        </w:rPr>
        <w:t xml:space="preserve"> </w:t>
      </w:r>
      <w:r w:rsidR="004E442B" w:rsidRPr="00175A9A">
        <w:rPr>
          <w:rFonts w:ascii="Times New Roman" w:hAnsi="Times New Roman" w:cs="Times New Roman"/>
          <w:color w:val="000000" w:themeColor="text1"/>
          <w:sz w:val="24"/>
          <w:szCs w:val="24"/>
          <w:lang w:bidi="mr-IN"/>
        </w:rPr>
        <w:t xml:space="preserve">at a much higher dose </w:t>
      </w:r>
      <w:r w:rsidR="00413D1D" w:rsidRPr="00175A9A">
        <w:rPr>
          <w:rFonts w:ascii="Times New Roman" w:hAnsi="Times New Roman" w:cs="Times New Roman"/>
          <w:color w:val="000000" w:themeColor="text1"/>
          <w:sz w:val="24"/>
          <w:szCs w:val="24"/>
          <w:lang w:bidi="mr-IN"/>
        </w:rPr>
        <w:t>(</w:t>
      </w:r>
      <w:r w:rsidR="00413D1D" w:rsidRPr="0049776E">
        <w:rPr>
          <w:rFonts w:ascii="Times New Roman" w:hAnsi="Times New Roman" w:cs="Times New Roman"/>
          <w:color w:val="000000" w:themeColor="text1"/>
          <w:sz w:val="24"/>
          <w:szCs w:val="24"/>
          <w:lang w:bidi="mr-IN"/>
        </w:rPr>
        <w:t>500</w:t>
      </w:r>
      <w:r w:rsidR="0049776E">
        <w:rPr>
          <w:rFonts w:ascii="Times New Roman" w:hAnsi="Times New Roman" w:cs="Times New Roman"/>
          <w:color w:val="000000" w:themeColor="text1"/>
          <w:sz w:val="24"/>
          <w:szCs w:val="24"/>
          <w:lang w:bidi="mr-IN"/>
        </w:rPr>
        <w:t xml:space="preserve"> </w:t>
      </w:r>
      <w:r w:rsidR="00D7120F" w:rsidRPr="00D7120F">
        <w:rPr>
          <w:rFonts w:ascii="Times New Roman" w:hAnsi="Times New Roman" w:cs="Times New Roman"/>
          <w:color w:val="000000" w:themeColor="text1"/>
          <w:sz w:val="24"/>
          <w:szCs w:val="24"/>
          <w:lang w:bidi="mr-IN"/>
        </w:rPr>
        <w:t>µg/day</w:t>
      </w:r>
      <w:r w:rsidR="00D7120F" w:rsidRPr="00175A9A">
        <w:rPr>
          <w:rFonts w:ascii="Times New Roman" w:hAnsi="Times New Roman" w:cs="Times New Roman"/>
          <w:color w:val="000000" w:themeColor="text1"/>
          <w:sz w:val="24"/>
          <w:szCs w:val="24"/>
          <w:lang w:bidi="mr-IN"/>
        </w:rPr>
        <w:t xml:space="preserve"> </w:t>
      </w:r>
      <w:r w:rsidR="00413D1D" w:rsidRPr="00175A9A">
        <w:rPr>
          <w:rFonts w:ascii="Times New Roman" w:hAnsi="Times New Roman" w:cs="Times New Roman"/>
          <w:color w:val="000000" w:themeColor="text1"/>
          <w:sz w:val="24"/>
          <w:szCs w:val="24"/>
          <w:lang w:bidi="mr-IN"/>
        </w:rPr>
        <w:t xml:space="preserve">for </w:t>
      </w:r>
      <w:r w:rsidR="004E442B" w:rsidRPr="00175A9A">
        <w:rPr>
          <w:rFonts w:ascii="Times New Roman" w:hAnsi="Times New Roman" w:cs="Times New Roman"/>
          <w:color w:val="000000" w:themeColor="text1"/>
          <w:sz w:val="24"/>
          <w:szCs w:val="24"/>
          <w:lang w:bidi="mr-IN"/>
        </w:rPr>
        <w:t xml:space="preserve">the </w:t>
      </w:r>
      <w:r w:rsidR="00C47624" w:rsidRPr="00175A9A">
        <w:rPr>
          <w:rFonts w:ascii="Times New Roman" w:hAnsi="Times New Roman" w:cs="Times New Roman"/>
          <w:color w:val="000000" w:themeColor="text1"/>
          <w:sz w:val="24"/>
          <w:szCs w:val="24"/>
          <w:lang w:bidi="mr-IN"/>
        </w:rPr>
        <w:t xml:space="preserve">first </w:t>
      </w:r>
      <w:r w:rsidR="00413D1D" w:rsidRPr="00175A9A">
        <w:rPr>
          <w:rFonts w:ascii="Times New Roman" w:hAnsi="Times New Roman" w:cs="Times New Roman"/>
          <w:color w:val="000000" w:themeColor="text1"/>
          <w:sz w:val="24"/>
          <w:szCs w:val="24"/>
          <w:lang w:bidi="mr-IN"/>
        </w:rPr>
        <w:t>6 weeks and 15 </w:t>
      </w:r>
      <w:r w:rsidR="00D7120F" w:rsidRPr="00D7120F">
        <w:rPr>
          <w:rFonts w:ascii="Times New Roman" w:hAnsi="Times New Roman" w:cs="Times New Roman"/>
          <w:color w:val="000000" w:themeColor="text1"/>
          <w:sz w:val="24"/>
          <w:szCs w:val="24"/>
          <w:lang w:bidi="mr-IN"/>
        </w:rPr>
        <w:t xml:space="preserve"> µg/day</w:t>
      </w:r>
      <w:r w:rsidR="00D7120F" w:rsidRPr="00175A9A">
        <w:rPr>
          <w:rFonts w:ascii="Times New Roman" w:hAnsi="Times New Roman" w:cs="Times New Roman"/>
          <w:color w:val="000000" w:themeColor="text1"/>
          <w:sz w:val="24"/>
          <w:szCs w:val="24"/>
          <w:lang w:bidi="mr-IN"/>
        </w:rPr>
        <w:t xml:space="preserve"> </w:t>
      </w:r>
      <w:r w:rsidR="00413D1D" w:rsidRPr="00175A9A">
        <w:rPr>
          <w:rFonts w:ascii="Times New Roman" w:hAnsi="Times New Roman" w:cs="Times New Roman"/>
          <w:color w:val="000000" w:themeColor="text1"/>
          <w:sz w:val="24"/>
          <w:szCs w:val="24"/>
          <w:lang w:bidi="mr-IN"/>
        </w:rPr>
        <w:t xml:space="preserve">for </w:t>
      </w:r>
      <w:r w:rsidR="004E442B" w:rsidRPr="00175A9A">
        <w:rPr>
          <w:rFonts w:ascii="Times New Roman" w:hAnsi="Times New Roman" w:cs="Times New Roman"/>
          <w:color w:val="000000" w:themeColor="text1"/>
          <w:sz w:val="24"/>
          <w:szCs w:val="24"/>
          <w:lang w:bidi="mr-IN"/>
        </w:rPr>
        <w:t xml:space="preserve">the </w:t>
      </w:r>
      <w:r w:rsidR="00C47624" w:rsidRPr="00175A9A">
        <w:rPr>
          <w:rFonts w:ascii="Times New Roman" w:hAnsi="Times New Roman" w:cs="Times New Roman"/>
          <w:color w:val="000000" w:themeColor="text1"/>
          <w:sz w:val="24"/>
          <w:szCs w:val="24"/>
          <w:lang w:bidi="mr-IN"/>
        </w:rPr>
        <w:t xml:space="preserve">subsequent </w:t>
      </w:r>
      <w:r w:rsidR="00413D1D" w:rsidRPr="00175A9A">
        <w:rPr>
          <w:rFonts w:ascii="Times New Roman" w:hAnsi="Times New Roman" w:cs="Times New Roman"/>
          <w:color w:val="000000" w:themeColor="text1"/>
          <w:sz w:val="24"/>
          <w:szCs w:val="24"/>
          <w:lang w:bidi="mr-IN"/>
        </w:rPr>
        <w:t>20 weeks)</w:t>
      </w:r>
      <w:r w:rsidR="00035549" w:rsidRPr="00175A9A">
        <w:rPr>
          <w:rFonts w:ascii="Times New Roman" w:hAnsi="Times New Roman" w:cs="Times New Roman"/>
          <w:color w:val="000000" w:themeColor="text1"/>
          <w:sz w:val="24"/>
          <w:szCs w:val="24"/>
          <w:lang w:bidi="mr-IN"/>
        </w:rPr>
        <w:t xml:space="preserve"> along with Iron-Folic acid supplementation </w:t>
      </w:r>
      <w:r w:rsidR="00413D1D" w:rsidRPr="00175A9A">
        <w:rPr>
          <w:rFonts w:ascii="Times New Roman" w:hAnsi="Times New Roman" w:cs="Times New Roman"/>
          <w:color w:val="000000" w:themeColor="text1"/>
          <w:sz w:val="24"/>
          <w:szCs w:val="24"/>
          <w:lang w:bidi="mr-IN"/>
        </w:rPr>
        <w:t xml:space="preserve">resulted in a reduction in </w:t>
      </w:r>
      <w:r w:rsidR="00CA5D9E" w:rsidRPr="00175A9A">
        <w:rPr>
          <w:rFonts w:ascii="Times New Roman" w:hAnsi="Times New Roman" w:cs="Times New Roman"/>
          <w:color w:val="000000" w:themeColor="text1"/>
          <w:sz w:val="24"/>
          <w:szCs w:val="24"/>
          <w:lang w:bidi="mr-IN"/>
        </w:rPr>
        <w:t xml:space="preserve">vitamin </w:t>
      </w:r>
      <w:r w:rsidR="00A85EA6" w:rsidRPr="00175A9A">
        <w:rPr>
          <w:rFonts w:ascii="Times New Roman" w:hAnsi="Times New Roman" w:cs="Times New Roman"/>
          <w:color w:val="000000" w:themeColor="text1"/>
          <w:sz w:val="24"/>
          <w:szCs w:val="24"/>
          <w:lang w:bidi="mr-IN"/>
        </w:rPr>
        <w:t>B-12</w:t>
      </w:r>
      <w:r w:rsidR="00413D1D" w:rsidRPr="00175A9A">
        <w:rPr>
          <w:rFonts w:ascii="Times New Roman" w:hAnsi="Times New Roman" w:cs="Times New Roman"/>
          <w:color w:val="000000" w:themeColor="text1"/>
          <w:sz w:val="24"/>
          <w:szCs w:val="24"/>
          <w:lang w:bidi="mr-IN"/>
        </w:rPr>
        <w:t xml:space="preserve"> deficiency</w:t>
      </w:r>
      <w:r w:rsidR="00AF23C0" w:rsidRPr="00175A9A">
        <w:rPr>
          <w:rFonts w:ascii="Times New Roman" w:hAnsi="Times New Roman" w:cs="Times New Roman"/>
          <w:color w:val="000000" w:themeColor="text1"/>
          <w:sz w:val="24"/>
          <w:szCs w:val="24"/>
          <w:lang w:bidi="mr-IN"/>
        </w:rPr>
        <w:t xml:space="preserve"> from </w:t>
      </w:r>
      <w:r w:rsidR="00035549" w:rsidRPr="00175A9A">
        <w:rPr>
          <w:rFonts w:ascii="Times New Roman" w:hAnsi="Times New Roman" w:cs="Times New Roman"/>
          <w:color w:val="000000" w:themeColor="text1"/>
          <w:sz w:val="24"/>
          <w:szCs w:val="24"/>
          <w:lang w:bidi="mr-IN"/>
        </w:rPr>
        <w:t>63.3% at baseline to 40.4% post intervention</w:t>
      </w:r>
      <w:r w:rsidR="00375AEA" w:rsidRPr="00175A9A">
        <w:rPr>
          <w:rFonts w:ascii="Times New Roman" w:hAnsi="Times New Roman" w:cs="Times New Roman"/>
          <w:color w:val="000000" w:themeColor="text1"/>
          <w:sz w:val="24"/>
          <w:szCs w:val="24"/>
          <w:lang w:bidi="mr-IN"/>
        </w:rPr>
        <w:t xml:space="preserve"> </w:t>
      </w:r>
      <w:r w:rsidR="00CC3A7E" w:rsidRPr="00175A9A">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i1P7TkPy","properties":{"formattedCitation":"[24]","plainCitation":"[24]","noteIndex":0},"citationItems":[{"id":1270,"uris":["http://zotero.org/users/4091385/items/WQEBN3HN"],"uri":["http://zotero.org/users/4091385/items/WQEBN3HN"],"itemData":{"id":1270,"type":"article-journal","title":"Impact of weekly iron folic acid supplementation with and without vitamin B12 on anaemic adolescent girls: a randomised clinical trial","container-title":"European Journal of Clinical Nutrition","page":"730-737","volume":"70","issue":"6","source":"PubMed","abstract":"BACKGROUND/OBJECTIVES: In India, approx. 70% of the adolescent girls are anaemic (haemolgobin &lt;120 g/l). The present study was a supervised randomised double-blind clinical trial conducted among adolescent girls (11-18 years) to assess and compare the impact of weekly iron folic acid (IFA) supplementation with or without vitamin B12 on reduction in the prevalence of anaemia and on blood/serum levels of haemoglobin, serum ferritin, folic acid and vitamin B12.\nSUBJECTS/METHODS: Community-based randomized controlled trial was carried out in Kirti Nagar slums of West Delhi. A total of 446 mild (100-119 g/l) and moderate (70-99 g/l) anaemic volunteer adolescent girls were identified and randomised into two groups. Weekly supervised supplementation was given for 26 weeks: Group A (n=222): iron (100 mg), folic acid (500 mcg) and placebo; Group B (n=224): iron (100 mg), folic acid (500 mcg) and cyanocobalamin (500 mcg for 6 weeks and 15 mcg for 20 weeks). Haemoglobin, serum ferritin, folic acid and vitamin B12 levels were assessed at baseline and after intervention. A total of 373 subjects completed 26 weeks of supplementation successfully.\nRESULTS: The mean haemoglobin increased from 106.7±11.2 g/l and 108.9±8.91 g/l in Group A and Group B at baseline to 116.4±10.8 g/l (P&lt;0.001) and 116.5±10.26 g/l (P&lt;0.001) at post-intervention, respectively, with the reduction in the prevalence of anaemia by 35.9% in Group A and 39.7% in Group B (P&gt;0.05). A total of 63.3% participants had deficient vitamin B12 levels (&lt;203 pg/ml) at baseline, which reduced to 40.4% after intervention with cyanocobalamin, whereas no change was observed in vitamin B12 status in the other group. Significant reduction (P=0.01) in the prevalence of serum ferritin deficiency (&lt;15 ng/ml) was observed in the group supplemented with vitamin B12 (from 36.5 to 6.4%) as compared with the other group supplemented with only IFA (from 39.1 to 15.2%).\nCONCLUSIONS: IFA supplementation with or without vitamin B12 is an effective measure to cure anaemia. Although addition of vitamin B12 had similar impact on improving haemoglobin status as IFA alone, it resulted in better ferritin status. Hence, more multi-centre studies with a longer duration of supplementation or higher dose of vitamin B12 may be undertaken to assess the possible impact of vitamin B12 on improving haemoglobin levels in the population.","DOI":"10.1038/ejcn.2015.215","ISSN":"1476-5640","note":"PMID: 26695724","title-short":"Impact of weekly iron folic acid supplementation with and without vitamin B12 on anaemic adolescent girls","journalAbbreviation":"Eur J Clin Nutr","language":"eng","author":[{"family":"Bansal","given":"P. G."},{"family":"Toteja","given":"G. S."},{"family":"Bhatia","given":"N."},{"family":"Vikram","given":"N. K."},{"family":"Siddhu","given":"A."}],"issued":{"date-parts":[["2016"]]}}}],"schema":"https://github.com/citation-style-language/schema/raw/master/csl-citation.json"} </w:instrText>
      </w:r>
      <w:r w:rsidR="00CC3A7E" w:rsidRPr="00175A9A">
        <w:rPr>
          <w:rFonts w:ascii="Times New Roman" w:hAnsi="Times New Roman" w:cs="Times New Roman"/>
          <w:color w:val="000000" w:themeColor="text1"/>
          <w:sz w:val="24"/>
          <w:szCs w:val="24"/>
          <w:lang w:bidi="mr-IN"/>
        </w:rPr>
        <w:fldChar w:fldCharType="separate"/>
      </w:r>
      <w:r w:rsidR="00BB19B2">
        <w:rPr>
          <w:rFonts w:ascii="Times New Roman" w:hAnsi="Times New Roman" w:cs="Times New Roman"/>
          <w:noProof/>
          <w:color w:val="000000" w:themeColor="text1"/>
          <w:sz w:val="24"/>
          <w:szCs w:val="24"/>
          <w:lang w:bidi="mr-IN"/>
        </w:rPr>
        <w:t>[24]</w:t>
      </w:r>
      <w:r w:rsidR="00CC3A7E" w:rsidRPr="00175A9A">
        <w:rPr>
          <w:rFonts w:ascii="Times New Roman" w:hAnsi="Times New Roman" w:cs="Times New Roman"/>
          <w:color w:val="000000" w:themeColor="text1"/>
          <w:sz w:val="24"/>
          <w:szCs w:val="24"/>
          <w:lang w:bidi="mr-IN"/>
        </w:rPr>
        <w:fldChar w:fldCharType="end"/>
      </w:r>
      <w:r w:rsidR="00413D1D" w:rsidRPr="00175A9A">
        <w:rPr>
          <w:rFonts w:ascii="Times New Roman" w:hAnsi="Times New Roman" w:cs="Times New Roman"/>
          <w:color w:val="000000" w:themeColor="text1"/>
          <w:sz w:val="24"/>
          <w:szCs w:val="24"/>
          <w:lang w:bidi="mr-IN"/>
        </w:rPr>
        <w:t xml:space="preserve"> . </w:t>
      </w:r>
      <w:r w:rsidR="00375AEA" w:rsidRPr="00B839AA">
        <w:rPr>
          <w:rFonts w:ascii="Times New Roman" w:hAnsi="Times New Roman" w:cs="Times New Roman"/>
          <w:color w:val="000000" w:themeColor="text1"/>
          <w:sz w:val="24"/>
          <w:szCs w:val="24"/>
          <w:lang w:bidi="mr-IN"/>
        </w:rPr>
        <w:t xml:space="preserve">Such large </w:t>
      </w:r>
      <w:r w:rsidR="00413D1D" w:rsidRPr="00B839AA">
        <w:rPr>
          <w:rFonts w:ascii="Times New Roman" w:hAnsi="Times New Roman" w:cs="Times New Roman"/>
          <w:color w:val="000000" w:themeColor="text1"/>
          <w:sz w:val="24"/>
          <w:szCs w:val="24"/>
          <w:lang w:bidi="mr-IN"/>
        </w:rPr>
        <w:t xml:space="preserve">doses are </w:t>
      </w:r>
      <w:r w:rsidR="00CC2E5B" w:rsidRPr="00B839AA">
        <w:rPr>
          <w:rFonts w:ascii="Times New Roman" w:hAnsi="Times New Roman" w:cs="Times New Roman"/>
          <w:color w:val="000000" w:themeColor="text1"/>
          <w:sz w:val="24"/>
          <w:szCs w:val="24"/>
          <w:lang w:bidi="mr-IN"/>
        </w:rPr>
        <w:t xml:space="preserve">costly, and are </w:t>
      </w:r>
      <w:r w:rsidR="00413D1D" w:rsidRPr="00B839AA">
        <w:rPr>
          <w:rFonts w:ascii="Times New Roman" w:hAnsi="Times New Roman" w:cs="Times New Roman"/>
          <w:color w:val="000000" w:themeColor="text1"/>
          <w:sz w:val="24"/>
          <w:szCs w:val="24"/>
          <w:lang w:bidi="mr-IN"/>
        </w:rPr>
        <w:t xml:space="preserve">unlikely to be </w:t>
      </w:r>
      <w:r w:rsidR="008F6B9A" w:rsidRPr="00B839AA">
        <w:rPr>
          <w:rFonts w:ascii="Times New Roman" w:hAnsi="Times New Roman" w:cs="Times New Roman"/>
          <w:color w:val="000000" w:themeColor="text1"/>
          <w:sz w:val="24"/>
          <w:szCs w:val="24"/>
          <w:lang w:bidi="mr-IN"/>
        </w:rPr>
        <w:t>used</w:t>
      </w:r>
      <w:r w:rsidR="00413D1D" w:rsidRPr="00B839AA">
        <w:rPr>
          <w:rFonts w:ascii="Times New Roman" w:hAnsi="Times New Roman" w:cs="Times New Roman"/>
          <w:color w:val="000000" w:themeColor="text1"/>
          <w:sz w:val="24"/>
          <w:szCs w:val="24"/>
          <w:lang w:bidi="mr-IN"/>
        </w:rPr>
        <w:t xml:space="preserve"> </w:t>
      </w:r>
      <w:r w:rsidR="00F35897" w:rsidRPr="00B839AA">
        <w:rPr>
          <w:rFonts w:ascii="Times New Roman" w:hAnsi="Times New Roman" w:cs="Times New Roman"/>
          <w:color w:val="000000" w:themeColor="text1"/>
          <w:sz w:val="24"/>
          <w:szCs w:val="24"/>
          <w:lang w:bidi="mr-IN"/>
        </w:rPr>
        <w:t>in</w:t>
      </w:r>
      <w:r w:rsidR="00413D1D" w:rsidRPr="00B839AA">
        <w:rPr>
          <w:rFonts w:ascii="Times New Roman" w:hAnsi="Times New Roman" w:cs="Times New Roman"/>
          <w:color w:val="000000" w:themeColor="text1"/>
          <w:sz w:val="24"/>
          <w:szCs w:val="24"/>
          <w:lang w:bidi="mr-IN"/>
        </w:rPr>
        <w:t xml:space="preserve"> </w:t>
      </w:r>
      <w:r w:rsidR="00CC2E5B" w:rsidRPr="00B839AA">
        <w:rPr>
          <w:rFonts w:ascii="Times New Roman" w:hAnsi="Times New Roman" w:cs="Times New Roman"/>
          <w:color w:val="000000" w:themeColor="text1"/>
          <w:sz w:val="24"/>
          <w:szCs w:val="24"/>
          <w:lang w:bidi="mr-IN"/>
        </w:rPr>
        <w:t xml:space="preserve">a </w:t>
      </w:r>
      <w:r w:rsidR="004E442B" w:rsidRPr="00B839AA">
        <w:rPr>
          <w:rFonts w:ascii="Times New Roman" w:hAnsi="Times New Roman" w:cs="Times New Roman"/>
          <w:color w:val="000000" w:themeColor="text1"/>
          <w:sz w:val="24"/>
          <w:szCs w:val="24"/>
          <w:lang w:bidi="mr-IN"/>
        </w:rPr>
        <w:t xml:space="preserve">large-scale </w:t>
      </w:r>
      <w:r w:rsidR="00413D1D" w:rsidRPr="00B839AA">
        <w:rPr>
          <w:rFonts w:ascii="Times New Roman" w:hAnsi="Times New Roman" w:cs="Times New Roman"/>
          <w:color w:val="000000" w:themeColor="text1"/>
          <w:sz w:val="24"/>
          <w:szCs w:val="24"/>
          <w:lang w:bidi="mr-IN"/>
        </w:rPr>
        <w:t>public health</w:t>
      </w:r>
      <w:r w:rsidR="00DE0F04" w:rsidRPr="00B839AA">
        <w:rPr>
          <w:rFonts w:ascii="Times New Roman" w:hAnsi="Times New Roman" w:cs="Times New Roman"/>
          <w:color w:val="000000" w:themeColor="text1"/>
          <w:sz w:val="24"/>
          <w:szCs w:val="24"/>
          <w:lang w:bidi="mr-IN"/>
        </w:rPr>
        <w:t xml:space="preserve"> intervention</w:t>
      </w:r>
      <w:r w:rsidR="00A5412E" w:rsidRPr="00B839AA">
        <w:rPr>
          <w:rFonts w:ascii="Times New Roman" w:hAnsi="Times New Roman" w:cs="Times New Roman"/>
          <w:color w:val="000000" w:themeColor="text1"/>
          <w:sz w:val="24"/>
          <w:szCs w:val="24"/>
          <w:lang w:bidi="mr-IN"/>
        </w:rPr>
        <w:t xml:space="preserve"> in India</w:t>
      </w:r>
      <w:r w:rsidR="00413D1D" w:rsidRPr="00B839AA">
        <w:rPr>
          <w:rFonts w:ascii="Times New Roman" w:hAnsi="Times New Roman" w:cs="Times New Roman"/>
          <w:color w:val="000000" w:themeColor="text1"/>
          <w:sz w:val="24"/>
          <w:szCs w:val="24"/>
          <w:lang w:bidi="mr-IN"/>
        </w:rPr>
        <w:t>.</w:t>
      </w:r>
      <w:r w:rsidR="00413D1D" w:rsidRPr="00175A9A">
        <w:rPr>
          <w:rFonts w:ascii="Times New Roman" w:hAnsi="Times New Roman" w:cs="Times New Roman"/>
          <w:color w:val="000000" w:themeColor="text1"/>
          <w:sz w:val="24"/>
          <w:szCs w:val="24"/>
          <w:lang w:bidi="mr-IN"/>
        </w:rPr>
        <w:t xml:space="preserve"> </w:t>
      </w:r>
      <w:r w:rsidR="007146EC" w:rsidRPr="00175A9A">
        <w:rPr>
          <w:rFonts w:ascii="Times New Roman" w:eastAsia="Times New Roman" w:hAnsi="Times New Roman" w:cs="Times New Roman"/>
          <w:color w:val="000000" w:themeColor="text1"/>
          <w:sz w:val="24"/>
          <w:szCs w:val="24"/>
          <w:lang w:bidi="mr-IN"/>
        </w:rPr>
        <w:t xml:space="preserve">Other </w:t>
      </w:r>
      <w:r w:rsidR="00413D1D" w:rsidRPr="00175A9A">
        <w:rPr>
          <w:rFonts w:ascii="Times New Roman" w:hAnsi="Times New Roman" w:cs="Times New Roman"/>
          <w:color w:val="000000" w:themeColor="text1"/>
          <w:sz w:val="24"/>
          <w:szCs w:val="24"/>
          <w:lang w:bidi="mr-IN"/>
        </w:rPr>
        <w:t>studies</w:t>
      </w:r>
      <w:r w:rsidR="00A87F74" w:rsidRPr="00175A9A">
        <w:rPr>
          <w:rFonts w:ascii="Times New Roman" w:hAnsi="Times New Roman" w:cs="Times New Roman"/>
          <w:color w:val="000000" w:themeColor="text1"/>
          <w:sz w:val="24"/>
          <w:szCs w:val="24"/>
          <w:lang w:bidi="mr-IN"/>
        </w:rPr>
        <w:t xml:space="preserve"> </w:t>
      </w:r>
      <w:r w:rsidR="00E85587" w:rsidRPr="00175A9A">
        <w:rPr>
          <w:rFonts w:ascii="Times New Roman" w:hAnsi="Times New Roman" w:cs="Times New Roman"/>
          <w:color w:val="000000" w:themeColor="text1"/>
          <w:sz w:val="24"/>
          <w:szCs w:val="24"/>
          <w:lang w:bidi="mr-IN"/>
        </w:rPr>
        <w:t>from</w:t>
      </w:r>
      <w:r w:rsidR="00A87F74" w:rsidRPr="00175A9A">
        <w:rPr>
          <w:rFonts w:ascii="Times New Roman" w:hAnsi="Times New Roman" w:cs="Times New Roman"/>
          <w:color w:val="000000" w:themeColor="text1"/>
          <w:sz w:val="24"/>
          <w:szCs w:val="24"/>
          <w:lang w:bidi="mr-IN"/>
        </w:rPr>
        <w:t xml:space="preserve"> India </w:t>
      </w:r>
      <w:r w:rsidR="004E442B" w:rsidRPr="00175A9A">
        <w:rPr>
          <w:rFonts w:ascii="Times New Roman" w:hAnsi="Times New Roman" w:cs="Times New Roman"/>
          <w:color w:val="000000" w:themeColor="text1"/>
          <w:sz w:val="24"/>
          <w:szCs w:val="24"/>
          <w:lang w:bidi="mr-IN"/>
        </w:rPr>
        <w:t>have been</w:t>
      </w:r>
      <w:r w:rsidR="00D37A4A" w:rsidRPr="00175A9A">
        <w:rPr>
          <w:rFonts w:ascii="Times New Roman" w:hAnsi="Times New Roman" w:cs="Times New Roman"/>
          <w:color w:val="000000" w:themeColor="text1"/>
          <w:sz w:val="24"/>
          <w:szCs w:val="24"/>
          <w:lang w:bidi="mr-IN"/>
        </w:rPr>
        <w:t xml:space="preserve"> </w:t>
      </w:r>
      <w:r w:rsidR="00A87F74" w:rsidRPr="00175A9A">
        <w:rPr>
          <w:rFonts w:ascii="Times New Roman" w:hAnsi="Times New Roman" w:cs="Times New Roman"/>
          <w:color w:val="000000" w:themeColor="text1"/>
          <w:sz w:val="24"/>
          <w:szCs w:val="24"/>
          <w:lang w:bidi="mr-IN"/>
        </w:rPr>
        <w:t>hospital</w:t>
      </w:r>
      <w:r w:rsidR="00CC2E5B">
        <w:rPr>
          <w:rFonts w:ascii="Times New Roman" w:hAnsi="Times New Roman" w:cs="Times New Roman"/>
          <w:color w:val="000000" w:themeColor="text1"/>
          <w:sz w:val="24"/>
          <w:szCs w:val="24"/>
          <w:lang w:bidi="mr-IN"/>
        </w:rPr>
        <w:t>-</w:t>
      </w:r>
      <w:r w:rsidR="00A87F74" w:rsidRPr="00175A9A">
        <w:rPr>
          <w:rFonts w:ascii="Times New Roman" w:hAnsi="Times New Roman" w:cs="Times New Roman"/>
          <w:color w:val="000000" w:themeColor="text1"/>
          <w:sz w:val="24"/>
          <w:szCs w:val="24"/>
          <w:lang w:bidi="mr-IN"/>
        </w:rPr>
        <w:t xml:space="preserve">based </w:t>
      </w:r>
      <w:r w:rsidR="00D37A4A" w:rsidRPr="00175A9A">
        <w:rPr>
          <w:rFonts w:ascii="Times New Roman" w:hAnsi="Times New Roman" w:cs="Times New Roman"/>
          <w:color w:val="000000" w:themeColor="text1"/>
          <w:sz w:val="24"/>
          <w:szCs w:val="24"/>
          <w:lang w:bidi="mr-IN"/>
        </w:rPr>
        <w:t xml:space="preserve">and in </w:t>
      </w:r>
      <w:r w:rsidR="00A87F74" w:rsidRPr="00175A9A">
        <w:rPr>
          <w:rFonts w:ascii="Times New Roman" w:hAnsi="Times New Roman" w:cs="Times New Roman"/>
          <w:color w:val="000000" w:themeColor="text1"/>
          <w:sz w:val="24"/>
          <w:szCs w:val="24"/>
          <w:lang w:bidi="mr-IN"/>
        </w:rPr>
        <w:t>symptomatic</w:t>
      </w:r>
      <w:r w:rsidR="00CA5D9E" w:rsidRPr="00175A9A">
        <w:rPr>
          <w:rFonts w:ascii="Times New Roman" w:hAnsi="Times New Roman" w:cs="Times New Roman"/>
          <w:color w:val="000000" w:themeColor="text1"/>
          <w:sz w:val="24"/>
          <w:szCs w:val="24"/>
          <w:lang w:bidi="mr-IN"/>
        </w:rPr>
        <w:t xml:space="preserve"> vitamin</w:t>
      </w:r>
      <w:r w:rsidR="00A87F74" w:rsidRPr="00175A9A">
        <w:rPr>
          <w:rFonts w:ascii="Times New Roman" w:hAnsi="Times New Roman" w:cs="Times New Roman"/>
          <w:color w:val="000000" w:themeColor="text1"/>
          <w:sz w:val="24"/>
          <w:szCs w:val="24"/>
          <w:lang w:bidi="mr-IN"/>
        </w:rPr>
        <w:t xml:space="preserve"> </w:t>
      </w:r>
      <w:r w:rsidR="00A85EA6" w:rsidRPr="00175A9A">
        <w:rPr>
          <w:rFonts w:ascii="Times New Roman" w:hAnsi="Times New Roman" w:cs="Times New Roman"/>
          <w:color w:val="000000" w:themeColor="text1"/>
          <w:sz w:val="24"/>
          <w:szCs w:val="24"/>
          <w:lang w:bidi="mr-IN"/>
        </w:rPr>
        <w:t>B-12</w:t>
      </w:r>
      <w:r w:rsidR="00A87F74" w:rsidRPr="00175A9A">
        <w:rPr>
          <w:rFonts w:ascii="Times New Roman" w:hAnsi="Times New Roman" w:cs="Times New Roman"/>
          <w:color w:val="000000" w:themeColor="text1"/>
          <w:sz w:val="24"/>
          <w:szCs w:val="24"/>
          <w:lang w:bidi="mr-IN"/>
        </w:rPr>
        <w:t xml:space="preserve"> deficient </w:t>
      </w:r>
      <w:r w:rsidR="00D37A4A" w:rsidRPr="00175A9A">
        <w:rPr>
          <w:rFonts w:ascii="Times New Roman" w:hAnsi="Times New Roman" w:cs="Times New Roman"/>
          <w:color w:val="000000" w:themeColor="text1"/>
          <w:sz w:val="24"/>
          <w:szCs w:val="24"/>
          <w:lang w:bidi="mr-IN"/>
        </w:rPr>
        <w:t>patients</w:t>
      </w:r>
      <w:r w:rsidR="00A87F74" w:rsidRPr="00175A9A">
        <w:rPr>
          <w:rFonts w:ascii="Times New Roman" w:hAnsi="Times New Roman" w:cs="Times New Roman"/>
          <w:color w:val="000000" w:themeColor="text1"/>
          <w:sz w:val="24"/>
          <w:szCs w:val="24"/>
          <w:lang w:bidi="mr-IN"/>
        </w:rPr>
        <w:t xml:space="preserve">. </w:t>
      </w:r>
      <w:r w:rsidR="00D37A4A" w:rsidRPr="00175A9A">
        <w:rPr>
          <w:rFonts w:ascii="Times New Roman" w:hAnsi="Times New Roman" w:cs="Times New Roman"/>
          <w:color w:val="000000" w:themeColor="text1"/>
          <w:sz w:val="24"/>
          <w:szCs w:val="24"/>
          <w:lang w:bidi="mr-IN"/>
        </w:rPr>
        <w:t xml:space="preserve">They </w:t>
      </w:r>
      <w:r w:rsidR="002E5971" w:rsidRPr="00175A9A">
        <w:rPr>
          <w:rFonts w:ascii="Times New Roman" w:hAnsi="Times New Roman" w:cs="Times New Roman"/>
          <w:color w:val="000000" w:themeColor="text1"/>
          <w:sz w:val="24"/>
          <w:szCs w:val="24"/>
          <w:lang w:bidi="mr-IN"/>
        </w:rPr>
        <w:t xml:space="preserve">reported </w:t>
      </w:r>
      <w:r w:rsidR="00D37A4A" w:rsidRPr="00175A9A">
        <w:rPr>
          <w:rFonts w:ascii="Times New Roman" w:hAnsi="Times New Roman" w:cs="Times New Roman"/>
          <w:color w:val="000000" w:themeColor="text1"/>
          <w:sz w:val="24"/>
          <w:szCs w:val="24"/>
          <w:lang w:bidi="mr-IN"/>
        </w:rPr>
        <w:t>an improvement in nerve conduction</w:t>
      </w:r>
      <w:r w:rsidR="00375AEA" w:rsidRPr="00175A9A">
        <w:rPr>
          <w:rFonts w:ascii="Times New Roman" w:hAnsi="Times New Roman" w:cs="Times New Roman"/>
          <w:color w:val="000000" w:themeColor="text1"/>
          <w:sz w:val="24"/>
          <w:szCs w:val="24"/>
          <w:lang w:bidi="mr-IN"/>
        </w:rPr>
        <w:t xml:space="preserve"> </w:t>
      </w:r>
      <w:r w:rsidR="00CC3A7E" w:rsidRPr="00175A9A">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DuEjOOw1","properties":{"formattedCitation":"[25,26]","plainCitation":"[25,26]","noteIndex":0},"citationItems":[{"id":206,"uris":["http://zotero.org/users/4091385/items/EUKMHXJM"],"uri":["http://zotero.org/users/4091385/items/EUKMHXJM"],"itemData":{"id":206,"type":"article-journal","title":"Vitamin B12 deficiency: a clinical and electrophysiological profile","container-title":"Electromyography and Clinical Neurophysiology","page":"273-284","volume":"45","issue":"5","abstract":"OBJECTIVE: The present study was conducted to evaluate the clinical and electrophysiological profile of vitamin B12 deficiency syndrome and whether a correlation exists between the disease process and the various electrophysiological parameters.\nMETHODS: 40 patients with vitamin B12 deficiency neurological syndromes with low serum vitamin B12 and high homocysteine levels were subjected to a detailed motor and sensory nerve conduction studies and pattern reversal VER (P100), SSEP (P37) after stimulation of the posterior tibial nerve and median nerve (N 20) were obtained bilaterally. MR cervical spine was done in all the patients and MR brain in those who presented with neuro-psychiatric symptoms. The patients were followed up at three months, six months and one year after treatment.\nRESULTS: On the basis of clinico-electrophysiological profile, 31 patients had myeloneuropathy, 5 isolated myelopathy, 4 isolated neuropathy. Four of the patients with myeloneuropathy, had concomitant dementia. MR imaging revealed abnormality in 12.5% of cases. Prolongation of P37 latency was observed in 39 (97.5%) patients, N 20 latency in 22 (55%), and P100 latency in 19 (47.5%) patients. Peripheral neuropathy was seen in 18 patients; optic neuropathy in 8; and combination of peripheral and optic neuropathy in 9 patients. The peripheral neuropathy was axonal in 19, and demyelinating in 6 patients. There was a significant correlation of the duration of the disease with N 20 latency (P &lt; 0.04). Serum vitamin B12 level correlated well with the latencies of P37 (P &lt; 0.005) and sural SNAP (P &lt; 0.006). On treatment, normalization of P100, MRI signal, N 20 and partial recovery of P37 latencies was seen at 6 months, 9 months and one year respectively.\nCONCLUSION: Differential recovery of central and peripheral syndromes was seen. This correlated with the underlying demyelinating and axonal processes, which was well reflected by the electrophysiological studies, and has an important bearing on the outcome.","ISSN":"0301-150X","note":"PMID: 16218195","journalAbbreviation":"Electromyogr Clin Neurophysiol","language":"eng","author":[{"family":"Puri","given":"V."},{"family":"Chaudhry","given":"N."},{"family":"Goel","given":"S."},{"family":"Gulati","given":"P."},{"family":"Nehru","given":"R."},{"family":"Chowdhury","given":"D."}],"issued":{"date-parts":[["2005",8]]}}},{"id":53,"uris":["http://zotero.org/users/4091385/items/ZMSQEN9I"],"uri":["http://zotero.org/users/4091385/items/ZMSQEN9I"],"itemData":{"id":53,"type":"article-journal","title":"Vitamin B12 deficiency neurological syndromes: a clinical, MRI and electrodiagnostic study","container-title":"Electromyography and Clinical Neurophysiology","page":"57-64","volume":"43","issue":"1","abstract":"BACKGROUND: Vegetarianism is an important cause of vitamin B12 deficiency, especially in countries like India. We managed 17 patients with neurological syndrome due to vitamin B12 deficiency in a tertiary care referral teaching hospital which caters to relatively affluent population.\nAIM: To evaluate neurophysiological and MRI changes in patients presenting with vitamin B12 deficiency neurological syndrome and interpret these is the light of reported autopsy findings.\nSETTING: Tertiary care referral teaching hospital.\nMETHODS: Patients with vitamin B12 deficiency neurological syndrome diagnosed by low serum vitamin B12 and/or megaloblastic bone marrow were subjected to clinical evaluation and spinal MRI. The neurophysiological tests included nerve conduction studies, tibial somatosensory evoked potential (SEP), motor evoked potential (MEP) and visual evoked potential (VEP) studies. The recovery was defined on the basis of 6 months Barthel Index score into complete, partial or poor.\nRESULTS: There were 17 patients with vitamin B12 deficiency neurological syndrome, 3 were females and 12 lactovegetarian. The clinical syndrome was that of myelopathy in 8, myeloneuropathy in 5, dementia myelopathy in 3 and neuropathy in 1 patient. All the patients had impaired joint position and vibration sensation in the lower limbs and 4 had in upper limbs as well. Lower limbs were spastic in 13 and upper limbs in 2 patients. Spinal MRI revealed T2 hyperintensity in cervicodorsal region in 6 and cord atrophy in 3 patients. Sural nerve conduction was abnormal in 8 and peroneal conduction in 5 patients. In one patient all sensory nerve conductions were unrecordable but motor conductions were normal. Tibial SEP was abnormal in 12 out of 15 and lower limb MEP in 8 out of 12 patients. P100 latency of VEP was prolonged in 7 out of 13 patients. Right to left asymmetry was present in tibial SEP in 4 and VEP in 2 patients. At 6 months followup 2 patients improved completely, 7 partially and 3 had poor recovery. Clinical recovery correlated with MEP but not with SEP or MRI changes.\nCONCLUSION: The evoked potential and MRI changes in vitamin B12 deficiency neurological syndrome are consistent with focal demyelination of white matter in spinal cord and optic nerve. Myelopathic presentation is commoner and SEP is more frequently abnormal. The outcome at 6 months correlated with MEP changes.","ISSN":"0301-150X","note":"PMID: 12613142","journalAbbreviation":"Electromyogr Clin Neurophysiol","language":"eng","author":[{"family":"Misra","given":"U. K."},{"family":"Kalita","given":"J."},{"family":"Das","given":"A."}],"issued":{"date-parts":[["2003",2]]}}}],"schema":"https://github.com/citation-style-language/schema/raw/master/csl-citation.json"} </w:instrText>
      </w:r>
      <w:r w:rsidR="00CC3A7E" w:rsidRPr="00175A9A">
        <w:rPr>
          <w:rFonts w:ascii="Times New Roman" w:hAnsi="Times New Roman" w:cs="Times New Roman"/>
          <w:color w:val="000000" w:themeColor="text1"/>
          <w:sz w:val="24"/>
          <w:szCs w:val="24"/>
          <w:lang w:bidi="mr-IN"/>
        </w:rPr>
        <w:fldChar w:fldCharType="separate"/>
      </w:r>
      <w:r w:rsidR="00BB19B2">
        <w:rPr>
          <w:rFonts w:ascii="Times New Roman" w:hAnsi="Times New Roman" w:cs="Times New Roman"/>
          <w:noProof/>
          <w:color w:val="000000" w:themeColor="text1"/>
          <w:sz w:val="24"/>
          <w:szCs w:val="24"/>
          <w:lang w:bidi="mr-IN"/>
        </w:rPr>
        <w:t>[25,26]</w:t>
      </w:r>
      <w:r w:rsidR="00CC3A7E" w:rsidRPr="00175A9A">
        <w:rPr>
          <w:rFonts w:ascii="Times New Roman" w:hAnsi="Times New Roman" w:cs="Times New Roman"/>
          <w:color w:val="000000" w:themeColor="text1"/>
          <w:sz w:val="24"/>
          <w:szCs w:val="24"/>
          <w:lang w:bidi="mr-IN"/>
        </w:rPr>
        <w:fldChar w:fldCharType="end"/>
      </w:r>
      <w:r w:rsidR="00D01CE4" w:rsidRPr="00175A9A">
        <w:rPr>
          <w:rFonts w:ascii="Times New Roman" w:hAnsi="Times New Roman" w:cs="Times New Roman"/>
          <w:color w:val="000000" w:themeColor="text1"/>
          <w:sz w:val="24"/>
          <w:szCs w:val="24"/>
          <w:lang w:bidi="mr-IN"/>
        </w:rPr>
        <w:t xml:space="preserve">, </w:t>
      </w:r>
      <w:r w:rsidR="00A87F74" w:rsidRPr="00175A9A">
        <w:rPr>
          <w:rFonts w:ascii="Times New Roman" w:hAnsi="Times New Roman" w:cs="Times New Roman"/>
          <w:color w:val="000000" w:themeColor="text1"/>
          <w:sz w:val="24"/>
          <w:szCs w:val="24"/>
          <w:lang w:bidi="mr-IN"/>
        </w:rPr>
        <w:t xml:space="preserve">cerebral blood flow </w:t>
      </w:r>
      <w:r w:rsidR="00D37A4A" w:rsidRPr="00175A9A">
        <w:rPr>
          <w:rFonts w:ascii="Times New Roman" w:hAnsi="Times New Roman" w:cs="Times New Roman"/>
          <w:color w:val="000000" w:themeColor="text1"/>
          <w:sz w:val="24"/>
          <w:szCs w:val="24"/>
          <w:lang w:bidi="mr-IN"/>
        </w:rPr>
        <w:t>(</w:t>
      </w:r>
      <w:r w:rsidR="00A87F74" w:rsidRPr="00175A9A">
        <w:rPr>
          <w:rFonts w:ascii="Times New Roman" w:hAnsi="Times New Roman" w:cs="Times New Roman"/>
          <w:color w:val="000000" w:themeColor="text1"/>
          <w:sz w:val="24"/>
          <w:szCs w:val="24"/>
          <w:lang w:bidi="mr-IN"/>
        </w:rPr>
        <w:t>functional magnetic resonance imaging</w:t>
      </w:r>
      <w:r w:rsidR="00D37A4A" w:rsidRPr="00175A9A">
        <w:rPr>
          <w:rFonts w:ascii="Times New Roman" w:hAnsi="Times New Roman" w:cs="Times New Roman"/>
          <w:color w:val="000000" w:themeColor="text1"/>
          <w:sz w:val="24"/>
          <w:szCs w:val="24"/>
          <w:lang w:bidi="mr-IN"/>
        </w:rPr>
        <w:t xml:space="preserve">) </w:t>
      </w:r>
      <w:r w:rsidR="00D01CE4" w:rsidRPr="00175A9A">
        <w:rPr>
          <w:rFonts w:ascii="Times New Roman" w:hAnsi="Times New Roman" w:cs="Times New Roman"/>
          <w:color w:val="000000" w:themeColor="text1"/>
          <w:sz w:val="24"/>
          <w:szCs w:val="24"/>
          <w:lang w:bidi="mr-IN"/>
        </w:rPr>
        <w:t>and</w:t>
      </w:r>
      <w:r w:rsidR="00A87F74" w:rsidRPr="00175A9A">
        <w:rPr>
          <w:rFonts w:ascii="Times New Roman" w:hAnsi="Times New Roman" w:cs="Times New Roman"/>
          <w:color w:val="000000" w:themeColor="text1"/>
          <w:sz w:val="24"/>
          <w:szCs w:val="24"/>
          <w:lang w:bidi="mr-IN"/>
        </w:rPr>
        <w:t xml:space="preserve"> white matter microstructural integrity </w:t>
      </w:r>
      <w:r w:rsidR="00D37A4A" w:rsidRPr="00175A9A">
        <w:rPr>
          <w:rFonts w:ascii="Times New Roman" w:hAnsi="Times New Roman" w:cs="Times New Roman"/>
          <w:color w:val="000000" w:themeColor="text1"/>
          <w:sz w:val="24"/>
          <w:szCs w:val="24"/>
          <w:lang w:bidi="mr-IN"/>
        </w:rPr>
        <w:t>(</w:t>
      </w:r>
      <w:r w:rsidR="00A87F74" w:rsidRPr="00175A9A">
        <w:rPr>
          <w:rFonts w:ascii="Times New Roman" w:hAnsi="Times New Roman" w:cs="Times New Roman"/>
          <w:color w:val="000000" w:themeColor="text1"/>
          <w:sz w:val="24"/>
          <w:szCs w:val="24"/>
          <w:lang w:bidi="mr-IN"/>
        </w:rPr>
        <w:t>Diffusion Tensor Imaging)</w:t>
      </w:r>
      <w:r w:rsidR="00D37A4A" w:rsidRPr="00175A9A">
        <w:rPr>
          <w:rFonts w:ascii="Times New Roman" w:hAnsi="Times New Roman" w:cs="Times New Roman"/>
          <w:color w:val="000000" w:themeColor="text1"/>
          <w:sz w:val="24"/>
          <w:szCs w:val="24"/>
          <w:lang w:bidi="mr-IN"/>
        </w:rPr>
        <w:t xml:space="preserve"> </w:t>
      </w:r>
      <w:r w:rsidR="00CC3A7E" w:rsidRPr="00175A9A">
        <w:rPr>
          <w:rFonts w:ascii="Times New Roman" w:hAnsi="Times New Roman" w:cs="Times New Roman"/>
          <w:color w:val="000000" w:themeColor="text1"/>
          <w:sz w:val="24"/>
          <w:szCs w:val="24"/>
          <w:lang w:bidi="mr-IN"/>
        </w:rPr>
        <w:fldChar w:fldCharType="begin"/>
      </w:r>
      <w:r w:rsidR="00BB19B2">
        <w:rPr>
          <w:rFonts w:ascii="Times New Roman" w:hAnsi="Times New Roman" w:cs="Times New Roman"/>
          <w:color w:val="000000" w:themeColor="text1"/>
          <w:sz w:val="24"/>
          <w:szCs w:val="24"/>
          <w:lang w:bidi="mr-IN"/>
        </w:rPr>
        <w:instrText xml:space="preserve"> ADDIN ZOTERO_ITEM CSL_CITATION {"citationID":"xJq2DZnO","properties":{"formattedCitation":"[27\\uc0\\u8211{}30]","plainCitation":"[27–30]","noteIndex":0},"citationItems":[{"id":160,"uris":["http://zotero.org/users/4091385/items/F67M5WR2"],"uri":["http://zotero.org/users/4091385/items/F67M5WR2"],"itemData":{"id":160,"type":"article-journal","title":"Assessment of functional and structural damage in brain parenchyma in patients with vitamin B12 deficiency: A longitudinal perfusion and diffusion tensor imaging study","container-title":"Magnetic Resonance Imaging","page":"537-543","volume":"33","issue":"5","abstract":"INTRODUCTION: Vitamin B12 deficiency may cause neural tissue damage. Even in advanced stages, conventional imaging of brain usually appears normal in vitamin B12 deficient patients. The aim of this study was to assess the structural and functional changes in brain of patients with vitamin B12 deficiency before and after six weeks of vitamin B12 supplementation using diffusion tensor imaging and pseudo-continuous arterial spin labelling (PCASL).\nMETHODS: MR imaging including DTI and PCASL and neuropsychological tests (NPT) were performed in 16 patients with vitamin B12 deficiency and 16 controls before and after 6weeks of therapy. Cerebral blood flow (CBF) derived from PCASL and DTI indices was calculated in brain of patients with vitamin B12 deficiency and controls.\nRESULTS: Patient with vitamin B12 deficiency showed altered neuropsychological scores and altered CBF as well as fractional anisotropy (FA) values in various brain regions as compared with controls. Both CBF values and neuropsychological scores showed complete reversibility at 6weeks post therapy. Though FA values showed significant recovery, it failed to show complete recovery.\nCONCLUSION: Our results suggest that micro-structural recovery lags behind functional recovery in patients with vitamin B12 deficiency following therapy and CBF change may be used as an early predictor of complete recovery in patients with B12 deficiency.","DOI":"10.1016/j.mri.2015.02.012","ISSN":"1873-5894","note":"PMID: 25708265","journalAbbreviation":"Magn Reson Imaging","language":"eng","author":[{"family":"Roy","given":"Bhaswati"},{"family":"Trivedi","given":"Richa"},{"family":"Garg","given":"Ravindra K."},{"family":"Gupta","given":"Pradeep K."},{"family":"Tyagi","given":"Ritu"},{"family":"Gupta","given":"Rakesh K."}],"issued":{"date-parts":[["2015",6]]}}},{"id":447,"uris":["http://zotero.org/users/4091385/items/RVK2IGFM"],"uri":["http://zotero.org/users/4091385/items/RVK2IGFM"],"itemData":{"id":447,"type":"article-journal","title":"Diffusion-weighted imaging signal hyperintensity in subacute combined degeneration of the spinal cord","container-title":"Neurology India","page":"331-332","volume":"59","issue":"3","DOI":"10.4103/0028-3886.82708","ISSN":"0028-3886","note":"PMID: 21743157","journalAbbreviation":"Neurol India","language":"eng","author":[{"family":"Puri","given":"Basant K."}],"issued":{"date-parts":[["2011",6]]}}},{"id":167,"uris":["http://zotero.org/users/4091385/items/69VFQEDG"],"uri":["http://zotero.org/users/4091385/items/69VFQEDG"],"itemData":{"id":167,"type":"article-journal","title":"Assessment of brain cognitive functions in patients with vitamin B12 deficiency using resting state functional MRI: A longitudinal study","container-title":"Magnetic Resonance Imaging","page":"191-196","volume":"34","issue":"2","abstract":"INTRODUCTION: The resting state functional MRI (rsfMRI) approach is useful to explore the brain's functional organization in health and disease conditions. In this study, using rsfMRI the alteration in brain due to vitamin B12 deficiency and reversibility of these alterations following therapy was studied.\nMETHODS: Thirteen patients with clinical and biochemical evidence of vitamin B12 deficiency were recruited in this study. Fifteen age and sex matched healthy controls were also included. Patients and controls were clinically evaluated using neuropsychological test (NPT). The analysis was carried out using regional homogeneity (ReHo) and low frequency oscillations (LFO) of BOLD signals in resting state. Six patients were also evaluated with rsfMRI and NPT after 6 weeks replacement therapy.\nRESULTS: ReHo values in patients with vitamin B12 deficiency were significantly lower than controls in the entire cerebrum and the brain networks associated with cognition control, i.e., default mode, cingulo-opercular and fronto-parietal network. There was no significant difference using LFO and it did not show significant correlations with NPT scores. ReHo showed significant correlation with NPT scores. All the 6 patients showed increase in ReHo after replacement therapy.\nCONCLUSION: We conclude that brain networks associated with cognition control are altered in patients with vitamin B12 deficiency, which partially recover following six weeks of replacement therapy. This is the first study to evaluate the rsfMRI in the light of clinical neuropsychological evaluation in patients. rsfMRI may be used as functional biomarker to assess therapeutic response in vitamin B12 deficiency patients.","DOI":"10.1016/j.mri.2015.10.026","ISSN":"1873-5894","note":"PMID: 26523658","journalAbbreviation":"Magn Reson Imaging","language":"eng","author":[{"family":"Gupta","given":"Lalit"},{"family":"Gupta","given":"Rakesh Kumar"},{"family":"Gupta","given":"Pradeep K."},{"family":"Malhotra","given":"Hardeep Singh"},{"family":"Saha","given":"Indrajit"},{"family":"Garg","given":"Ravindra K."}],"issued":{"date-parts":[["2016",2]]}}},{"id":114,"uris":["http://zotero.org/users/4091385/items/VRRW6VW5"],"uri":["http://zotero.org/users/4091385/items/VRRW6VW5"],"itemData":{"id":114,"type":"article-journal","title":"DTI correlates of cognition in conventional MRI of normal-appearing brain in patients with clinical features of subacute combined degeneration and biochemically proven vitamin B(12) deficiency","container-title":"AJNR. American journal of neuroradiology","page":"872-877","volume":"35","issue":"5","abstract":"BACKGROUND AND PURPOSE: Vitamin B12 deficiency may cause neural injury that results in cognitive deficits. The main purpose of our study was to evaluate morphometric and microstructural changes in the brain and relate them to cognition in subacute combined degeneration of the spinal cord and patients with biochemically deficient vitamin B12.\nMATERIALS AND METHODS: Fifty-one patients were recruited and underwent nerve-conduction velocity tests and routine hematologic examinations. Serum vitamin B12 and homocystine levels were also measured. All patients and 46 age- and sex-matched controls underwent cervical spine and brain MR imaging along with cognition tests. MR imaging included conventional scans and DTI. Voxel-based morphometry was performed for determining the WM and GM volumes, based on T1-weighted images. DTI measures that included fractional anisotropy, ADC, radial diffusivity, and axial diffusivity were determined by using tract-based statistics.\nRESULTS: None of the patients showed any abnormality on conventional MR imaging. No significant changes in GM and WM volumes were observed in patients compared with controls. Significant reductions in the fractional anisotropy and an increase in ADC and radial diffusivity values were observed in multiple brain regions in patients compared with controls. These changes were confirmed on the region-of-interest analysis. Neuropsychological scores were significantly different in patients compared with controls and showed significant correlation with fractional anisotropy and radial diffusivity in a few brain regions.\nCONCLUSIONS: Microstructural changes are seen in WM regions on DTI in patients with vitamin B12 deficiency and correlate with cognition scores. DTI can be used for objective assessment of microstructural changes in the brain in vitamin B12 deficiency.","DOI":"10.3174/ajnr.A3785","ISSN":"1936-959X","note":"PMID: 24263693","journalAbbreviation":"AJNR Am J Neuroradiol","language":"eng","author":[{"family":"Gupta","given":"P. K."},{"family":"Gupta","given":"R. K."},{"family":"Garg","given":"R. K."},{"family":"Rai","given":"Y."},{"family":"Roy","given":"B."},{"family":"Pandey","given":"C. M."},{"family":"Malhotra","given":"H. S."},{"family":"Narayana","given":"P. A."}],"issued":{"date-parts":[["2014",5]]}}}],"schema":"https://github.com/citation-style-language/schema/raw/master/csl-citation.json"} </w:instrText>
      </w:r>
      <w:r w:rsidR="00CC3A7E" w:rsidRPr="00175A9A">
        <w:rPr>
          <w:rFonts w:ascii="Times New Roman" w:hAnsi="Times New Roman" w:cs="Times New Roman"/>
          <w:color w:val="000000" w:themeColor="text1"/>
          <w:sz w:val="24"/>
          <w:szCs w:val="24"/>
          <w:lang w:bidi="mr-IN"/>
        </w:rPr>
        <w:fldChar w:fldCharType="separate"/>
      </w:r>
      <w:r w:rsidR="00BB19B2" w:rsidRPr="00BB19B2">
        <w:rPr>
          <w:rFonts w:ascii="Times New Roman" w:eastAsia="Times New Roman" w:hAnsi="Times New Roman" w:cs="Times New Roman"/>
          <w:color w:val="000000"/>
          <w:sz w:val="24"/>
        </w:rPr>
        <w:t>[27–30]</w:t>
      </w:r>
      <w:r w:rsidR="00CC3A7E" w:rsidRPr="00175A9A">
        <w:rPr>
          <w:rFonts w:ascii="Times New Roman" w:hAnsi="Times New Roman" w:cs="Times New Roman"/>
          <w:color w:val="000000" w:themeColor="text1"/>
          <w:sz w:val="24"/>
          <w:szCs w:val="24"/>
          <w:lang w:bidi="mr-IN"/>
        </w:rPr>
        <w:fldChar w:fldCharType="end"/>
      </w:r>
      <w:r w:rsidR="00D37A4A" w:rsidRPr="00175A9A">
        <w:rPr>
          <w:rFonts w:ascii="Times New Roman" w:hAnsi="Times New Roman" w:cs="Times New Roman"/>
          <w:color w:val="000000" w:themeColor="text1"/>
          <w:sz w:val="24"/>
          <w:szCs w:val="24"/>
          <w:lang w:bidi="mr-IN"/>
        </w:rPr>
        <w:t xml:space="preserve"> after 6-12 months of </w:t>
      </w:r>
      <w:r w:rsidR="00F35897" w:rsidRPr="00175A9A">
        <w:rPr>
          <w:rFonts w:ascii="Times New Roman" w:hAnsi="Times New Roman" w:cs="Times New Roman"/>
          <w:color w:val="000000" w:themeColor="text1"/>
          <w:sz w:val="24"/>
          <w:szCs w:val="24"/>
          <w:lang w:bidi="mr-IN"/>
        </w:rPr>
        <w:t xml:space="preserve"> </w:t>
      </w:r>
      <w:r w:rsidR="00D37A4A" w:rsidRPr="00175A9A">
        <w:rPr>
          <w:rFonts w:ascii="Times New Roman" w:hAnsi="Times New Roman" w:cs="Times New Roman"/>
          <w:color w:val="000000" w:themeColor="text1"/>
          <w:sz w:val="24"/>
          <w:szCs w:val="24"/>
          <w:lang w:bidi="mr-IN"/>
        </w:rPr>
        <w:t xml:space="preserve">treatment with </w:t>
      </w:r>
      <w:r w:rsidR="00A12258" w:rsidRPr="00175A9A">
        <w:rPr>
          <w:rFonts w:ascii="Times New Roman" w:hAnsi="Times New Roman" w:cs="Times New Roman"/>
          <w:color w:val="000000" w:themeColor="text1"/>
          <w:sz w:val="24"/>
          <w:szCs w:val="24"/>
          <w:lang w:bidi="mr-IN"/>
        </w:rPr>
        <w:t xml:space="preserve">large doses of </w:t>
      </w:r>
      <w:r w:rsidR="00D37A4A" w:rsidRPr="00175A9A">
        <w:rPr>
          <w:rFonts w:ascii="Times New Roman" w:hAnsi="Times New Roman" w:cs="Times New Roman"/>
          <w:color w:val="000000" w:themeColor="text1"/>
          <w:sz w:val="24"/>
          <w:szCs w:val="24"/>
          <w:lang w:bidi="mr-IN"/>
        </w:rPr>
        <w:t xml:space="preserve">parenteral </w:t>
      </w:r>
      <w:r w:rsidR="00A85EA6" w:rsidRPr="00175A9A">
        <w:rPr>
          <w:rFonts w:ascii="Times New Roman" w:hAnsi="Times New Roman" w:cs="Times New Roman"/>
          <w:color w:val="000000" w:themeColor="text1"/>
          <w:sz w:val="24"/>
          <w:szCs w:val="24"/>
          <w:lang w:bidi="mr-IN"/>
        </w:rPr>
        <w:t>B-12</w:t>
      </w:r>
      <w:r w:rsidR="00D37A4A" w:rsidRPr="00175A9A">
        <w:rPr>
          <w:rFonts w:ascii="Times New Roman" w:hAnsi="Times New Roman" w:cs="Times New Roman"/>
          <w:color w:val="000000" w:themeColor="text1"/>
          <w:sz w:val="24"/>
          <w:szCs w:val="24"/>
          <w:lang w:bidi="mr-IN"/>
        </w:rPr>
        <w:t xml:space="preserve">. </w:t>
      </w:r>
    </w:p>
    <w:p w14:paraId="69EABD26" w14:textId="514E1422" w:rsidR="00413D1D" w:rsidRDefault="00DF20F5" w:rsidP="006D4599">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lastRenderedPageBreak/>
        <w:t xml:space="preserve">The strengths of this study are that we measured </w:t>
      </w:r>
      <w:r w:rsidR="003C60F3" w:rsidRPr="00175A9A">
        <w:rPr>
          <w:rFonts w:ascii="Times New Roman" w:hAnsi="Times New Roman" w:cs="Times New Roman"/>
          <w:color w:val="000000" w:themeColor="text1"/>
          <w:sz w:val="24"/>
          <w:szCs w:val="24"/>
          <w:lang w:bidi="mr-IN"/>
        </w:rPr>
        <w:t xml:space="preserve">the </w:t>
      </w:r>
      <w:r w:rsidRPr="00175A9A">
        <w:rPr>
          <w:rFonts w:ascii="Times New Roman" w:hAnsi="Times New Roman" w:cs="Times New Roman"/>
          <w:color w:val="000000" w:themeColor="text1"/>
          <w:sz w:val="24"/>
          <w:szCs w:val="24"/>
          <w:lang w:bidi="mr-IN"/>
        </w:rPr>
        <w:t xml:space="preserve">effects of </w:t>
      </w:r>
      <w:r w:rsidR="004F0D08" w:rsidRPr="00175A9A">
        <w:rPr>
          <w:rFonts w:ascii="Times New Roman" w:hAnsi="Times New Roman" w:cs="Times New Roman"/>
          <w:color w:val="000000" w:themeColor="text1"/>
          <w:sz w:val="24"/>
          <w:szCs w:val="24"/>
          <w:lang w:bidi="mr-IN"/>
        </w:rPr>
        <w:t xml:space="preserve">a ‘pragmatic’ </w:t>
      </w:r>
      <w:r w:rsidR="00E85587" w:rsidRPr="00175A9A">
        <w:rPr>
          <w:rFonts w:ascii="Times New Roman" w:hAnsi="Times New Roman" w:cs="Times New Roman"/>
          <w:color w:val="000000" w:themeColor="text1"/>
          <w:sz w:val="24"/>
          <w:szCs w:val="24"/>
          <w:lang w:bidi="mr-IN"/>
        </w:rPr>
        <w:t xml:space="preserve">physiological dose of </w:t>
      </w:r>
      <w:r w:rsidR="00A85EA6" w:rsidRPr="00175A9A">
        <w:rPr>
          <w:rFonts w:ascii="Times New Roman" w:hAnsi="Times New Roman" w:cs="Times New Roman"/>
          <w:color w:val="000000" w:themeColor="text1"/>
          <w:sz w:val="24"/>
          <w:szCs w:val="24"/>
          <w:lang w:bidi="mr-IN"/>
        </w:rPr>
        <w:t>B-12</w:t>
      </w:r>
      <w:r w:rsidR="004F0D08" w:rsidRPr="00175A9A">
        <w:rPr>
          <w:rFonts w:ascii="Times New Roman" w:hAnsi="Times New Roman" w:cs="Times New Roman"/>
          <w:color w:val="000000" w:themeColor="text1"/>
          <w:sz w:val="24"/>
          <w:szCs w:val="24"/>
          <w:lang w:bidi="mr-IN"/>
        </w:rPr>
        <w:t xml:space="preserve"> and </w:t>
      </w:r>
      <w:r w:rsidRPr="00175A9A">
        <w:rPr>
          <w:rFonts w:ascii="Times New Roman" w:hAnsi="Times New Roman" w:cs="Times New Roman"/>
          <w:color w:val="000000" w:themeColor="text1"/>
          <w:sz w:val="24"/>
          <w:szCs w:val="24"/>
          <w:lang w:bidi="mr-IN"/>
        </w:rPr>
        <w:t>demonstrate</w:t>
      </w:r>
      <w:r w:rsidR="004F0D08" w:rsidRPr="00175A9A">
        <w:rPr>
          <w:rFonts w:ascii="Times New Roman" w:hAnsi="Times New Roman" w:cs="Times New Roman"/>
          <w:color w:val="000000" w:themeColor="text1"/>
          <w:sz w:val="24"/>
          <w:szCs w:val="24"/>
          <w:lang w:bidi="mr-IN"/>
        </w:rPr>
        <w:t>d</w:t>
      </w:r>
      <w:r w:rsidRPr="00175A9A">
        <w:rPr>
          <w:rFonts w:ascii="Times New Roman" w:hAnsi="Times New Roman" w:cs="Times New Roman"/>
          <w:color w:val="000000" w:themeColor="text1"/>
          <w:sz w:val="24"/>
          <w:szCs w:val="24"/>
          <w:lang w:bidi="mr-IN"/>
        </w:rPr>
        <w:t xml:space="preserve"> significant improvement in </w:t>
      </w:r>
      <w:r w:rsidR="004F0D08" w:rsidRPr="00175A9A">
        <w:rPr>
          <w:rFonts w:ascii="Times New Roman" w:hAnsi="Times New Roman" w:cs="Times New Roman"/>
          <w:color w:val="000000" w:themeColor="text1"/>
          <w:sz w:val="24"/>
          <w:szCs w:val="24"/>
          <w:lang w:bidi="mr-IN"/>
        </w:rPr>
        <w:t>several</w:t>
      </w:r>
      <w:r w:rsidRPr="00175A9A">
        <w:rPr>
          <w:rFonts w:ascii="Times New Roman" w:hAnsi="Times New Roman" w:cs="Times New Roman"/>
          <w:color w:val="000000" w:themeColor="text1"/>
          <w:sz w:val="24"/>
          <w:szCs w:val="24"/>
          <w:lang w:bidi="mr-IN"/>
        </w:rPr>
        <w:t xml:space="preserve"> </w:t>
      </w:r>
      <w:r w:rsidR="004F0D08" w:rsidRPr="00175A9A">
        <w:rPr>
          <w:rFonts w:ascii="Times New Roman" w:hAnsi="Times New Roman" w:cs="Times New Roman"/>
          <w:color w:val="000000" w:themeColor="text1"/>
          <w:sz w:val="24"/>
          <w:szCs w:val="24"/>
          <w:lang w:bidi="mr-IN"/>
        </w:rPr>
        <w:t xml:space="preserve">important </w:t>
      </w:r>
      <w:r w:rsidRPr="00175A9A">
        <w:rPr>
          <w:rFonts w:ascii="Times New Roman" w:hAnsi="Times New Roman" w:cs="Times New Roman"/>
          <w:color w:val="000000" w:themeColor="text1"/>
          <w:sz w:val="24"/>
          <w:szCs w:val="24"/>
          <w:lang w:bidi="mr-IN"/>
        </w:rPr>
        <w:t>physiological parameters</w:t>
      </w:r>
      <w:r w:rsidR="004F0D08" w:rsidRPr="00175A9A">
        <w:rPr>
          <w:rFonts w:ascii="Times New Roman" w:hAnsi="Times New Roman" w:cs="Times New Roman"/>
          <w:color w:val="000000" w:themeColor="text1"/>
          <w:sz w:val="24"/>
          <w:szCs w:val="24"/>
          <w:lang w:bidi="mr-IN"/>
        </w:rPr>
        <w:t>, making the findings highly policy-relevant</w:t>
      </w:r>
      <w:r w:rsidR="00B4333C" w:rsidRPr="00175A9A">
        <w:rPr>
          <w:rFonts w:ascii="Times New Roman" w:hAnsi="Times New Roman" w:cs="Times New Roman"/>
          <w:color w:val="000000" w:themeColor="text1"/>
          <w:sz w:val="24"/>
          <w:szCs w:val="24"/>
          <w:lang w:bidi="mr-IN"/>
        </w:rPr>
        <w:t>.</w:t>
      </w:r>
      <w:r w:rsidR="00CA02F1" w:rsidRPr="00175A9A">
        <w:rPr>
          <w:rFonts w:ascii="Times New Roman" w:hAnsi="Times New Roman" w:cs="Times New Roman"/>
          <w:color w:val="000000" w:themeColor="text1"/>
          <w:sz w:val="24"/>
          <w:szCs w:val="24"/>
          <w:lang w:bidi="mr-IN"/>
        </w:rPr>
        <w:t xml:space="preserve"> </w:t>
      </w:r>
      <w:r w:rsidR="00252F8D" w:rsidRPr="00B839AA">
        <w:rPr>
          <w:rFonts w:ascii="Times New Roman" w:hAnsi="Times New Roman" w:cs="Times New Roman"/>
          <w:color w:val="000000" w:themeColor="text1"/>
          <w:sz w:val="24"/>
          <w:szCs w:val="24"/>
          <w:lang w:bidi="mr-IN"/>
        </w:rPr>
        <w:t xml:space="preserve">Limitations include: 1) We </w:t>
      </w:r>
      <w:r w:rsidRPr="00B839AA">
        <w:rPr>
          <w:rFonts w:ascii="Times New Roman" w:hAnsi="Times New Roman" w:cs="Times New Roman"/>
          <w:color w:val="000000" w:themeColor="text1"/>
          <w:sz w:val="24"/>
          <w:szCs w:val="24"/>
          <w:lang w:bidi="mr-IN"/>
        </w:rPr>
        <w:t xml:space="preserve">did not formally assess compliance </w:t>
      </w:r>
      <w:r w:rsidR="004F0D08" w:rsidRPr="00B839AA">
        <w:rPr>
          <w:rFonts w:ascii="Times New Roman" w:hAnsi="Times New Roman" w:cs="Times New Roman"/>
          <w:color w:val="000000" w:themeColor="text1"/>
          <w:sz w:val="24"/>
          <w:szCs w:val="24"/>
          <w:lang w:bidi="mr-IN"/>
        </w:rPr>
        <w:t>with treatment</w:t>
      </w:r>
      <w:r w:rsidR="00252F8D" w:rsidRPr="00B839AA">
        <w:rPr>
          <w:rFonts w:ascii="Times New Roman" w:hAnsi="Times New Roman" w:cs="Times New Roman"/>
          <w:color w:val="000000" w:themeColor="text1"/>
          <w:sz w:val="24"/>
          <w:szCs w:val="24"/>
          <w:lang w:bidi="mr-IN"/>
        </w:rPr>
        <w:t>, 2)</w:t>
      </w:r>
      <w:r w:rsidR="00F35897" w:rsidRPr="00B839AA">
        <w:rPr>
          <w:rFonts w:ascii="Times New Roman" w:hAnsi="Times New Roman" w:cs="Times New Roman"/>
          <w:color w:val="000000" w:themeColor="text1"/>
          <w:sz w:val="24"/>
          <w:szCs w:val="24"/>
          <w:lang w:bidi="mr-IN"/>
        </w:rPr>
        <w:t xml:space="preserve"> </w:t>
      </w:r>
      <w:r w:rsidR="00252F8D" w:rsidRPr="00B839AA">
        <w:rPr>
          <w:rFonts w:ascii="Times New Roman" w:hAnsi="Times New Roman" w:cs="Times New Roman"/>
          <w:color w:val="000000" w:themeColor="text1"/>
          <w:sz w:val="24"/>
          <w:szCs w:val="24"/>
          <w:lang w:bidi="mr-IN"/>
        </w:rPr>
        <w:t>small</w:t>
      </w:r>
      <w:r w:rsidR="00E85587" w:rsidRPr="00B839AA">
        <w:rPr>
          <w:rFonts w:ascii="Times New Roman" w:hAnsi="Times New Roman" w:cs="Times New Roman"/>
          <w:color w:val="000000" w:themeColor="text1"/>
          <w:sz w:val="24"/>
          <w:szCs w:val="24"/>
          <w:lang w:bidi="mr-IN"/>
        </w:rPr>
        <w:t xml:space="preserve"> </w:t>
      </w:r>
      <w:r w:rsidR="00A5412E" w:rsidRPr="00B839AA">
        <w:rPr>
          <w:rFonts w:ascii="Times New Roman" w:hAnsi="Times New Roman" w:cs="Times New Roman"/>
          <w:color w:val="000000" w:themeColor="text1"/>
          <w:sz w:val="24"/>
          <w:szCs w:val="24"/>
          <w:lang w:bidi="mr-IN"/>
        </w:rPr>
        <w:t xml:space="preserve">sample size </w:t>
      </w:r>
      <w:r w:rsidR="00E85587" w:rsidRPr="00B839AA">
        <w:rPr>
          <w:rFonts w:ascii="Times New Roman" w:hAnsi="Times New Roman" w:cs="Times New Roman"/>
          <w:color w:val="000000" w:themeColor="text1"/>
          <w:sz w:val="24"/>
          <w:szCs w:val="24"/>
          <w:lang w:bidi="mr-IN"/>
        </w:rPr>
        <w:t xml:space="preserve">because the </w:t>
      </w:r>
      <w:r w:rsidRPr="00B839AA">
        <w:rPr>
          <w:rFonts w:ascii="Times New Roman" w:hAnsi="Times New Roman" w:cs="Times New Roman"/>
          <w:color w:val="000000" w:themeColor="text1"/>
          <w:sz w:val="24"/>
          <w:szCs w:val="24"/>
          <w:lang w:bidi="mr-IN"/>
        </w:rPr>
        <w:t xml:space="preserve">study </w:t>
      </w:r>
      <w:r w:rsidR="00252F8D" w:rsidRPr="00B839AA">
        <w:rPr>
          <w:rFonts w:ascii="Times New Roman" w:hAnsi="Times New Roman" w:cs="Times New Roman"/>
          <w:color w:val="000000" w:themeColor="text1"/>
          <w:sz w:val="24"/>
          <w:szCs w:val="24"/>
          <w:lang w:bidi="mr-IN"/>
        </w:rPr>
        <w:t>was piggybacked</w:t>
      </w:r>
      <w:r w:rsidR="003B102A" w:rsidRPr="00B839AA">
        <w:rPr>
          <w:rFonts w:ascii="Times New Roman" w:hAnsi="Times New Roman" w:cs="Times New Roman"/>
          <w:color w:val="000000" w:themeColor="text1"/>
          <w:sz w:val="24"/>
          <w:szCs w:val="24"/>
          <w:lang w:bidi="mr-IN"/>
        </w:rPr>
        <w:t xml:space="preserve"> on</w:t>
      </w:r>
      <w:r w:rsidR="00F56E9D" w:rsidRPr="00B839AA">
        <w:rPr>
          <w:rFonts w:ascii="Times New Roman" w:hAnsi="Times New Roman" w:cs="Times New Roman"/>
          <w:color w:val="000000" w:themeColor="text1"/>
          <w:sz w:val="24"/>
          <w:szCs w:val="24"/>
          <w:lang w:bidi="mr-IN"/>
        </w:rPr>
        <w:t>to</w:t>
      </w:r>
      <w:r w:rsidR="003B102A" w:rsidRPr="00B839AA">
        <w:rPr>
          <w:rFonts w:ascii="Times New Roman" w:hAnsi="Times New Roman" w:cs="Times New Roman"/>
          <w:color w:val="000000" w:themeColor="text1"/>
          <w:sz w:val="24"/>
          <w:szCs w:val="24"/>
          <w:lang w:bidi="mr-IN"/>
        </w:rPr>
        <w:t xml:space="preserve"> an ongoing</w:t>
      </w:r>
      <w:r w:rsidRPr="00B839AA">
        <w:rPr>
          <w:rFonts w:ascii="Times New Roman" w:hAnsi="Times New Roman" w:cs="Times New Roman"/>
          <w:color w:val="000000" w:themeColor="text1"/>
          <w:sz w:val="24"/>
          <w:szCs w:val="24"/>
          <w:lang w:bidi="mr-IN"/>
        </w:rPr>
        <w:t xml:space="preserve"> trial </w:t>
      </w:r>
      <w:r w:rsidR="00252F8D" w:rsidRPr="00B839AA">
        <w:rPr>
          <w:rFonts w:ascii="Times New Roman" w:hAnsi="Times New Roman" w:cs="Times New Roman"/>
          <w:color w:val="000000" w:themeColor="text1"/>
          <w:sz w:val="24"/>
          <w:szCs w:val="24"/>
          <w:lang w:bidi="mr-IN"/>
        </w:rPr>
        <w:t xml:space="preserve">3) </w:t>
      </w:r>
      <w:r w:rsidR="00511B39" w:rsidRPr="00B839AA">
        <w:rPr>
          <w:rFonts w:ascii="Times New Roman" w:hAnsi="Times New Roman" w:cs="Times New Roman"/>
          <w:color w:val="000000" w:themeColor="text1"/>
          <w:sz w:val="24"/>
          <w:szCs w:val="24"/>
          <w:lang w:bidi="mr-IN"/>
        </w:rPr>
        <w:t xml:space="preserve">absence of a </w:t>
      </w:r>
      <w:r w:rsidRPr="00B839AA">
        <w:rPr>
          <w:rFonts w:ascii="Times New Roman" w:hAnsi="Times New Roman" w:cs="Times New Roman"/>
          <w:color w:val="000000" w:themeColor="text1"/>
          <w:sz w:val="24"/>
          <w:szCs w:val="24"/>
          <w:lang w:bidi="mr-IN"/>
        </w:rPr>
        <w:t>control group</w:t>
      </w:r>
      <w:r w:rsidR="007014C7" w:rsidRPr="00B839AA">
        <w:rPr>
          <w:rFonts w:ascii="Times New Roman" w:hAnsi="Times New Roman" w:cs="Times New Roman"/>
          <w:color w:val="000000" w:themeColor="text1"/>
          <w:sz w:val="24"/>
          <w:szCs w:val="24"/>
          <w:lang w:bidi="mr-IN"/>
        </w:rPr>
        <w:t xml:space="preserve"> </w:t>
      </w:r>
      <w:r w:rsidR="00511B39" w:rsidRPr="00B839AA">
        <w:rPr>
          <w:rFonts w:ascii="Times New Roman" w:hAnsi="Times New Roman" w:cs="Times New Roman"/>
          <w:color w:val="000000" w:themeColor="text1"/>
          <w:sz w:val="24"/>
          <w:szCs w:val="24"/>
          <w:lang w:bidi="mr-IN"/>
        </w:rPr>
        <w:t xml:space="preserve">reflects the </w:t>
      </w:r>
      <w:r w:rsidRPr="00B839AA">
        <w:rPr>
          <w:rFonts w:ascii="Times New Roman" w:hAnsi="Times New Roman" w:cs="Times New Roman"/>
          <w:color w:val="000000" w:themeColor="text1"/>
          <w:sz w:val="24"/>
          <w:szCs w:val="24"/>
          <w:lang w:bidi="mr-IN"/>
        </w:rPr>
        <w:t>ethical</w:t>
      </w:r>
      <w:r w:rsidR="00511B39" w:rsidRPr="00B839AA">
        <w:rPr>
          <w:rFonts w:ascii="Times New Roman" w:hAnsi="Times New Roman" w:cs="Times New Roman"/>
          <w:color w:val="000000" w:themeColor="text1"/>
          <w:sz w:val="24"/>
          <w:szCs w:val="24"/>
          <w:lang w:bidi="mr-IN"/>
        </w:rPr>
        <w:t xml:space="preserve"> imperative of </w:t>
      </w:r>
      <w:r w:rsidRPr="00B839AA">
        <w:rPr>
          <w:rFonts w:ascii="Times New Roman" w:hAnsi="Times New Roman" w:cs="Times New Roman"/>
          <w:color w:val="000000" w:themeColor="text1"/>
          <w:sz w:val="24"/>
          <w:szCs w:val="24"/>
          <w:lang w:bidi="mr-IN"/>
        </w:rPr>
        <w:t xml:space="preserve">not </w:t>
      </w:r>
      <w:r w:rsidR="007014C7" w:rsidRPr="00B839AA">
        <w:rPr>
          <w:rFonts w:ascii="Times New Roman" w:hAnsi="Times New Roman" w:cs="Times New Roman"/>
          <w:color w:val="000000" w:themeColor="text1"/>
          <w:sz w:val="24"/>
          <w:szCs w:val="24"/>
          <w:lang w:bidi="mr-IN"/>
        </w:rPr>
        <w:t>withhold</w:t>
      </w:r>
      <w:r w:rsidR="00511B39" w:rsidRPr="00B839AA">
        <w:rPr>
          <w:rFonts w:ascii="Times New Roman" w:hAnsi="Times New Roman" w:cs="Times New Roman"/>
          <w:color w:val="000000" w:themeColor="text1"/>
          <w:sz w:val="24"/>
          <w:szCs w:val="24"/>
          <w:lang w:bidi="mr-IN"/>
        </w:rPr>
        <w:t>ing</w:t>
      </w:r>
      <w:r w:rsidR="007014C7" w:rsidRPr="00B839AA">
        <w:rPr>
          <w:rFonts w:ascii="Times New Roman" w:hAnsi="Times New Roman" w:cs="Times New Roman"/>
          <w:color w:val="000000" w:themeColor="text1"/>
          <w:sz w:val="24"/>
          <w:szCs w:val="24"/>
          <w:lang w:bidi="mr-IN"/>
        </w:rPr>
        <w:t xml:space="preserve"> treatment </w:t>
      </w:r>
      <w:r w:rsidRPr="00B839AA">
        <w:rPr>
          <w:rFonts w:ascii="Times New Roman" w:hAnsi="Times New Roman" w:cs="Times New Roman"/>
          <w:color w:val="000000" w:themeColor="text1"/>
          <w:sz w:val="24"/>
          <w:szCs w:val="24"/>
          <w:lang w:bidi="mr-IN"/>
        </w:rPr>
        <w:t xml:space="preserve">in a </w:t>
      </w:r>
      <w:r w:rsidR="0025030E" w:rsidRPr="00B839AA">
        <w:rPr>
          <w:rFonts w:ascii="Times New Roman" w:hAnsi="Times New Roman" w:cs="Times New Roman"/>
          <w:color w:val="000000" w:themeColor="text1"/>
          <w:sz w:val="24"/>
          <w:szCs w:val="24"/>
          <w:lang w:bidi="mr-IN"/>
        </w:rPr>
        <w:t xml:space="preserve">more severely </w:t>
      </w:r>
      <w:r w:rsidR="00252F8D" w:rsidRPr="00B839AA">
        <w:rPr>
          <w:rFonts w:ascii="Times New Roman" w:hAnsi="Times New Roman" w:cs="Times New Roman"/>
          <w:color w:val="000000" w:themeColor="text1"/>
          <w:sz w:val="24"/>
          <w:szCs w:val="24"/>
          <w:lang w:bidi="mr-IN"/>
        </w:rPr>
        <w:t xml:space="preserve">deficient 4) lack of active B-12 and </w:t>
      </w:r>
      <w:r w:rsidR="006D4599" w:rsidRPr="00B839AA">
        <w:rPr>
          <w:rFonts w:ascii="Times New Roman" w:hAnsi="Times New Roman" w:cs="Times New Roman"/>
          <w:color w:val="000000" w:themeColor="text1"/>
          <w:sz w:val="24"/>
          <w:szCs w:val="24"/>
          <w:lang w:bidi="mr-IN"/>
        </w:rPr>
        <w:t>methyl malonic acid (MMA)</w:t>
      </w:r>
      <w:r w:rsidR="00252F8D" w:rsidRPr="00B839AA">
        <w:rPr>
          <w:rFonts w:ascii="Times New Roman" w:hAnsi="Times New Roman" w:cs="Times New Roman"/>
          <w:color w:val="000000" w:themeColor="text1"/>
          <w:sz w:val="24"/>
          <w:szCs w:val="24"/>
          <w:lang w:bidi="mr-IN"/>
        </w:rPr>
        <w:t xml:space="preserve"> measurements</w:t>
      </w:r>
      <w:r w:rsidR="00CC2E5B" w:rsidRPr="00B839AA">
        <w:rPr>
          <w:rFonts w:ascii="Times New Roman" w:hAnsi="Times New Roman" w:cs="Times New Roman"/>
          <w:color w:val="000000" w:themeColor="text1"/>
          <w:sz w:val="24"/>
          <w:szCs w:val="24"/>
          <w:lang w:bidi="mr-IN"/>
        </w:rPr>
        <w:t>,</w:t>
      </w:r>
      <w:r w:rsidR="006D4599" w:rsidRPr="00B839AA">
        <w:rPr>
          <w:rFonts w:ascii="Times New Roman" w:hAnsi="Times New Roman" w:cs="Times New Roman"/>
          <w:color w:val="000000" w:themeColor="text1"/>
          <w:sz w:val="24"/>
          <w:szCs w:val="24"/>
          <w:lang w:bidi="mr-IN"/>
        </w:rPr>
        <w:t xml:space="preserve"> </w:t>
      </w:r>
      <w:r w:rsidR="00252F8D" w:rsidRPr="00B839AA">
        <w:rPr>
          <w:rFonts w:ascii="Times New Roman" w:hAnsi="Times New Roman" w:cs="Times New Roman"/>
          <w:color w:val="000000" w:themeColor="text1"/>
          <w:sz w:val="24"/>
          <w:szCs w:val="24"/>
          <w:lang w:bidi="mr-IN"/>
        </w:rPr>
        <w:t>(</w:t>
      </w:r>
      <w:r w:rsidR="006D4599" w:rsidRPr="00B839AA">
        <w:rPr>
          <w:rFonts w:ascii="Times New Roman" w:hAnsi="Times New Roman" w:cs="Times New Roman"/>
          <w:color w:val="000000" w:themeColor="text1"/>
          <w:sz w:val="24"/>
          <w:szCs w:val="24"/>
          <w:lang w:bidi="mr-IN"/>
        </w:rPr>
        <w:t xml:space="preserve">specific </w:t>
      </w:r>
      <w:r w:rsidR="00CC2E5B" w:rsidRPr="00B839AA">
        <w:rPr>
          <w:rFonts w:ascii="Times New Roman" w:hAnsi="Times New Roman" w:cs="Times New Roman"/>
          <w:color w:val="000000" w:themeColor="text1"/>
          <w:sz w:val="24"/>
          <w:szCs w:val="24"/>
          <w:lang w:bidi="mr-IN"/>
        </w:rPr>
        <w:t xml:space="preserve">metabolic </w:t>
      </w:r>
      <w:r w:rsidR="006D4599" w:rsidRPr="00B839AA">
        <w:rPr>
          <w:rFonts w:ascii="Times New Roman" w:hAnsi="Times New Roman" w:cs="Times New Roman"/>
          <w:color w:val="000000" w:themeColor="text1"/>
          <w:sz w:val="24"/>
          <w:szCs w:val="24"/>
          <w:lang w:bidi="mr-IN"/>
        </w:rPr>
        <w:t>marker</w:t>
      </w:r>
      <w:r w:rsidR="00252F8D" w:rsidRPr="00B839AA">
        <w:rPr>
          <w:rFonts w:ascii="Times New Roman" w:hAnsi="Times New Roman" w:cs="Times New Roman"/>
          <w:color w:val="000000" w:themeColor="text1"/>
          <w:sz w:val="24"/>
          <w:szCs w:val="24"/>
          <w:lang w:bidi="mr-IN"/>
        </w:rPr>
        <w:t>s</w:t>
      </w:r>
      <w:r w:rsidR="006D4599" w:rsidRPr="00B839AA">
        <w:rPr>
          <w:rFonts w:ascii="Times New Roman" w:hAnsi="Times New Roman" w:cs="Times New Roman"/>
          <w:color w:val="000000" w:themeColor="text1"/>
          <w:sz w:val="24"/>
          <w:szCs w:val="24"/>
          <w:lang w:bidi="mr-IN"/>
        </w:rPr>
        <w:t xml:space="preserve"> for B-12 </w:t>
      </w:r>
      <w:r w:rsidR="00CC2E5B" w:rsidRPr="00B839AA">
        <w:rPr>
          <w:rFonts w:ascii="Times New Roman" w:hAnsi="Times New Roman" w:cs="Times New Roman"/>
          <w:color w:val="000000" w:themeColor="text1"/>
          <w:sz w:val="24"/>
          <w:szCs w:val="24"/>
          <w:lang w:bidi="mr-IN"/>
        </w:rPr>
        <w:t>deficiency</w:t>
      </w:r>
      <w:r w:rsidR="00252F8D" w:rsidRPr="00B839AA">
        <w:rPr>
          <w:rFonts w:ascii="Times New Roman" w:hAnsi="Times New Roman" w:cs="Times New Roman"/>
          <w:color w:val="000000" w:themeColor="text1"/>
          <w:sz w:val="24"/>
          <w:szCs w:val="24"/>
          <w:lang w:bidi="mr-IN"/>
        </w:rPr>
        <w:t>)</w:t>
      </w:r>
      <w:r w:rsidR="00CC2E5B" w:rsidRPr="00B839AA">
        <w:rPr>
          <w:rFonts w:ascii="Times New Roman" w:hAnsi="Times New Roman" w:cs="Times New Roman"/>
          <w:color w:val="000000" w:themeColor="text1"/>
          <w:sz w:val="24"/>
          <w:szCs w:val="24"/>
          <w:lang w:bidi="mr-IN"/>
        </w:rPr>
        <w:t xml:space="preserve">, </w:t>
      </w:r>
      <w:r w:rsidR="006D4599" w:rsidRPr="00B839AA">
        <w:rPr>
          <w:rFonts w:ascii="Times New Roman" w:hAnsi="Times New Roman" w:cs="Times New Roman"/>
          <w:color w:val="000000" w:themeColor="text1"/>
          <w:sz w:val="24"/>
          <w:szCs w:val="24"/>
          <w:lang w:bidi="mr-IN"/>
        </w:rPr>
        <w:t xml:space="preserve">due to limited availability of funds. However, in </w:t>
      </w:r>
      <w:r w:rsidR="00CC2E5B" w:rsidRPr="00B839AA">
        <w:rPr>
          <w:rFonts w:ascii="Times New Roman" w:hAnsi="Times New Roman" w:cs="Times New Roman"/>
          <w:color w:val="000000" w:themeColor="text1"/>
          <w:sz w:val="24"/>
          <w:szCs w:val="24"/>
          <w:lang w:bidi="mr-IN"/>
        </w:rPr>
        <w:t xml:space="preserve">the </w:t>
      </w:r>
      <w:r w:rsidR="006D4599" w:rsidRPr="00B839AA">
        <w:rPr>
          <w:rFonts w:ascii="Times New Roman" w:hAnsi="Times New Roman" w:cs="Times New Roman"/>
          <w:color w:val="000000" w:themeColor="text1"/>
          <w:sz w:val="24"/>
          <w:szCs w:val="24"/>
          <w:lang w:bidi="mr-IN"/>
        </w:rPr>
        <w:t xml:space="preserve">absence of concomitant changes in folate status, homocysteine concentrations </w:t>
      </w:r>
      <w:r w:rsidR="00CC2E5B" w:rsidRPr="00B839AA">
        <w:rPr>
          <w:rFonts w:ascii="Times New Roman" w:hAnsi="Times New Roman" w:cs="Times New Roman"/>
          <w:color w:val="000000" w:themeColor="text1"/>
          <w:sz w:val="24"/>
          <w:szCs w:val="24"/>
          <w:lang w:bidi="mr-IN"/>
        </w:rPr>
        <w:t>provide</w:t>
      </w:r>
      <w:r w:rsidR="006D4599" w:rsidRPr="00B839AA">
        <w:rPr>
          <w:rFonts w:ascii="Times New Roman" w:hAnsi="Times New Roman" w:cs="Times New Roman"/>
          <w:color w:val="000000" w:themeColor="text1"/>
          <w:sz w:val="24"/>
          <w:szCs w:val="24"/>
          <w:lang w:bidi="mr-IN"/>
        </w:rPr>
        <w:t xml:space="preserve"> important information on tissue (liver)</w:t>
      </w:r>
      <w:r w:rsidR="00252F8D" w:rsidRPr="00B839AA">
        <w:rPr>
          <w:rFonts w:ascii="Times New Roman" w:hAnsi="Times New Roman" w:cs="Times New Roman"/>
          <w:color w:val="000000" w:themeColor="text1"/>
          <w:sz w:val="24"/>
          <w:szCs w:val="24"/>
          <w:lang w:bidi="mr-IN"/>
        </w:rPr>
        <w:t xml:space="preserve"> effects of B12 supplementation, as demonstrated in our previous observational and interventional studies</w:t>
      </w:r>
      <w:r w:rsidR="0049776E" w:rsidRPr="00B839AA">
        <w:rPr>
          <w:rFonts w:ascii="Times New Roman" w:hAnsi="Times New Roman" w:cs="Times New Roman"/>
          <w:color w:val="000000" w:themeColor="text1"/>
          <w:sz w:val="24"/>
          <w:szCs w:val="24"/>
          <w:lang w:bidi="mr-IN"/>
        </w:rPr>
        <w:fldChar w:fldCharType="begin"/>
      </w:r>
      <w:r w:rsidR="0049776E" w:rsidRPr="00B839AA">
        <w:rPr>
          <w:rFonts w:ascii="Times New Roman" w:hAnsi="Times New Roman" w:cs="Times New Roman"/>
          <w:color w:val="000000" w:themeColor="text1"/>
          <w:sz w:val="24"/>
          <w:szCs w:val="24"/>
          <w:lang w:bidi="mr-IN"/>
        </w:rPr>
        <w:instrText xml:space="preserve"> ADDIN ZOTERO_ITEM CSL_CITATION {"citationID":"FH1vokbg","properties":{"formattedCitation":"[18]","plainCitation":"[18]","noteIndex":0},"citationItems":[{"id":1373,"uris":["http://zotero.org/users/4091385/items/2JBQQT9U"],"uri":["http://zotero.org/users/4091385/items/2JBQQT9U"],"itemData":{"id":1373,"type":"article-journal","title":"Effect of physiological doses of oral vitamin B12 on plasma homocysteine: a randomized, placebo-controlled, double-blind trial in India","container-title":"European Journal of Clinical Nutrition","page":"495-502","volume":"64","issue":"5","source":"PubMed","abstract":"BACKGROUND/OBJECTIVES: Vitamin B(12) (B(12)) deficiency is common in Indians and a major contributor to hyperhomocysteinemia, which may influence fetal growth, risk of type II diabetes and cardiovascular disease. The purpose of this paper was to study the effect of physiological doses of B(12) and folic acid on plasma total homocysteine (tHcy) concentration.\nSUBJECTS/METHODS: A cluster randomized, placebo-controlled, double-blind, 2 x 3 factorial trial, using the family as the randomization unit. B(12) was given as 2 or 10 microg capsules, with or without 200 microg folic acid, forming six groups (B(0)F(0), B(2)F(0), B(10)F(0), B(0)F(200), B(2)F(200) and B(10)F(200)). Plasma tHcy concentration was measured before and after 4 and 12 months of supplementation.\nRESULTS: From 119 families in the Pune Maternal Nutrition Study, 300 individuals were randomized. There was no interaction between B(12) and folic acid (P=0.14) in relation to tHcy concentration change and their effects were analyzed separately: B(0) vs. B(2) vs. B(10); and F(0) vs. F(200). At 12 months, tHcy concentration reduced by a mean 5.9 (95% CI: -7.8, -4.1) micromol/l in B(2), and by 7.1 (95% CI: -8.9, -5.4) micromol/l in B(10), compared to nonsignificant rise of 1.2 (95% CI: -0.5, 2.9) micromol/l in B(0). B(2) and B(10) did not differ significantly. In F(200), tHcy concentration decreased by 4.8 (95% CI: -6.3, -3.3) micromol/l compared to 2.8 (95% CI: -4.3, -1.2) micromol/l in F(0).\nCONCLUSION: Daily oral supplementation with physiological doses of B(12) is an effective community intervention to reduce tHcy. Folic acid (200 microg per day) showed no additional benefit, neither had any unfavorable effects.","DOI":"10.1038/ejcn.2010.15","ISSN":"1476-5640","note":"PMID: 20216560\nPMCID: PMC2865445","title-short":"Effect of physiological doses of oral vitamin B12 on plasma homocysteine","journalAbbreviation":"Eur J Clin Nutr","language":"eng","author":[{"family":"Deshmukh","given":"U. S."},{"family":"Joglekar","given":"C. V."},{"family":"Lubree","given":"H. G."},{"family":"Ramdas","given":"L. V."},{"family":"Bhat","given":"D. S."},{"family":"Naik","given":"S. S."},{"family":"Hardikar","given":"P. S."},{"family":"Raut","given":"D. A."},{"family":"Konde","given":"T. B."},{"family":"Wills","given":"A. K."},{"family":"Jackson","given":"A. A."},{"family":"Refsum","given":"H."},{"family":"Nanivadekar","given":"A. S."},{"family":"Fall","given":"C. H."},{"family":"Yajnik","given":"C. S."}],"issued":{"date-parts":[["2010",5]]}}}],"schema":"https://github.com/citation-style-language/schema/raw/master/csl-citation.json"} </w:instrText>
      </w:r>
      <w:r w:rsidR="0049776E" w:rsidRPr="00B839AA">
        <w:rPr>
          <w:rFonts w:ascii="Times New Roman" w:hAnsi="Times New Roman" w:cs="Times New Roman"/>
          <w:color w:val="000000" w:themeColor="text1"/>
          <w:sz w:val="24"/>
          <w:szCs w:val="24"/>
          <w:lang w:bidi="mr-IN"/>
        </w:rPr>
        <w:fldChar w:fldCharType="separate"/>
      </w:r>
      <w:r w:rsidR="0049776E" w:rsidRPr="00B839AA">
        <w:rPr>
          <w:rFonts w:ascii="Times New Roman" w:hAnsi="Times New Roman" w:cs="Times New Roman"/>
          <w:noProof/>
          <w:color w:val="000000" w:themeColor="text1"/>
          <w:sz w:val="24"/>
          <w:szCs w:val="24"/>
          <w:lang w:bidi="mr-IN"/>
        </w:rPr>
        <w:t>[18]</w:t>
      </w:r>
      <w:r w:rsidR="0049776E" w:rsidRPr="00B839AA">
        <w:rPr>
          <w:rFonts w:ascii="Times New Roman" w:hAnsi="Times New Roman" w:cs="Times New Roman"/>
          <w:color w:val="000000" w:themeColor="text1"/>
          <w:sz w:val="24"/>
          <w:szCs w:val="24"/>
          <w:lang w:bidi="mr-IN"/>
        </w:rPr>
        <w:fldChar w:fldCharType="end"/>
      </w:r>
      <w:r w:rsidR="00252F8D" w:rsidRPr="00B839AA">
        <w:rPr>
          <w:rFonts w:ascii="Times New Roman" w:hAnsi="Times New Roman" w:cs="Times New Roman"/>
          <w:color w:val="000000" w:themeColor="text1"/>
          <w:sz w:val="24"/>
          <w:szCs w:val="24"/>
          <w:lang w:bidi="mr-IN"/>
        </w:rPr>
        <w:t xml:space="preserve">. </w:t>
      </w:r>
    </w:p>
    <w:p w14:paraId="1D7E7B39" w14:textId="77777777" w:rsidR="00CC2E5B" w:rsidRPr="00175A9A" w:rsidRDefault="00CC2E5B" w:rsidP="006D4599">
      <w:pPr>
        <w:autoSpaceDE w:val="0"/>
        <w:autoSpaceDN w:val="0"/>
        <w:adjustRightInd w:val="0"/>
        <w:spacing w:after="0" w:line="480" w:lineRule="auto"/>
        <w:jc w:val="both"/>
        <w:rPr>
          <w:rFonts w:ascii="Times New Roman" w:hAnsi="Times New Roman" w:cs="Times New Roman"/>
          <w:color w:val="000000" w:themeColor="text1"/>
          <w:sz w:val="24"/>
          <w:szCs w:val="24"/>
          <w:lang w:bidi="mr-IN"/>
        </w:rPr>
      </w:pPr>
    </w:p>
    <w:p w14:paraId="5FC6C1C8" w14:textId="3477F59F" w:rsidR="000C6072" w:rsidRPr="00175A9A" w:rsidRDefault="00B84DE8" w:rsidP="00330CC2">
      <w:pPr>
        <w:spacing w:line="480" w:lineRule="auto"/>
        <w:jc w:val="both"/>
        <w:outlineLvl w:val="0"/>
        <w:rPr>
          <w:rFonts w:ascii="Times New Roman" w:hAnsi="Times New Roman" w:cs="Times New Roman"/>
          <w:b/>
          <w:bCs/>
          <w:color w:val="000000" w:themeColor="text1"/>
          <w:sz w:val="24"/>
          <w:szCs w:val="24"/>
          <w:lang w:bidi="mr-IN"/>
        </w:rPr>
      </w:pPr>
      <w:r>
        <w:rPr>
          <w:rFonts w:ascii="Times New Roman" w:hAnsi="Times New Roman" w:cs="Times New Roman"/>
          <w:b/>
          <w:bCs/>
          <w:color w:val="000000" w:themeColor="text1"/>
          <w:sz w:val="24"/>
          <w:szCs w:val="24"/>
          <w:lang w:bidi="mr-IN"/>
        </w:rPr>
        <w:t>Conclusion</w:t>
      </w:r>
    </w:p>
    <w:p w14:paraId="6A4BC322" w14:textId="1A70307D" w:rsidR="00394E1F" w:rsidRPr="00175A9A" w:rsidRDefault="001104B4"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lastRenderedPageBreak/>
        <w:t>In this community</w:t>
      </w:r>
      <w:r w:rsidR="00F56E9D" w:rsidRPr="00175A9A">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based study in adolescent rural Indian women with asymptomatic vitamin </w:t>
      </w:r>
      <w:r w:rsidR="00A85EA6" w:rsidRPr="00175A9A">
        <w:rPr>
          <w:rFonts w:ascii="Times New Roman" w:hAnsi="Times New Roman" w:cs="Times New Roman"/>
          <w:color w:val="000000" w:themeColor="text1"/>
          <w:sz w:val="24"/>
          <w:szCs w:val="24"/>
          <w:lang w:bidi="mr-IN"/>
        </w:rPr>
        <w:t>B-12</w:t>
      </w:r>
      <w:r w:rsidRPr="00175A9A">
        <w:rPr>
          <w:rFonts w:ascii="Times New Roman" w:hAnsi="Times New Roman" w:cs="Times New Roman"/>
          <w:color w:val="000000" w:themeColor="text1"/>
          <w:sz w:val="24"/>
          <w:szCs w:val="24"/>
          <w:lang w:bidi="mr-IN"/>
        </w:rPr>
        <w:t xml:space="preserve"> deficiency we were able to demonstrate improve</w:t>
      </w:r>
      <w:r w:rsidR="00366FFF" w:rsidRPr="00175A9A">
        <w:rPr>
          <w:rFonts w:ascii="Times New Roman" w:hAnsi="Times New Roman" w:cs="Times New Roman"/>
          <w:color w:val="000000" w:themeColor="text1"/>
          <w:sz w:val="24"/>
          <w:szCs w:val="24"/>
          <w:lang w:bidi="mr-IN"/>
        </w:rPr>
        <w:t>ment in</w:t>
      </w:r>
      <w:r w:rsidRPr="00175A9A">
        <w:rPr>
          <w:rFonts w:ascii="Times New Roman" w:hAnsi="Times New Roman" w:cs="Times New Roman"/>
          <w:color w:val="000000" w:themeColor="text1"/>
          <w:sz w:val="24"/>
          <w:szCs w:val="24"/>
          <w:lang w:bidi="mr-IN"/>
        </w:rPr>
        <w:t xml:space="preserve"> </w:t>
      </w:r>
      <w:r w:rsidR="007014C7" w:rsidRPr="00175A9A">
        <w:rPr>
          <w:rFonts w:ascii="Times New Roman" w:hAnsi="Times New Roman" w:cs="Times New Roman"/>
          <w:color w:val="000000" w:themeColor="text1"/>
          <w:sz w:val="24"/>
          <w:szCs w:val="24"/>
          <w:lang w:bidi="mr-IN"/>
        </w:rPr>
        <w:t>hematological</w:t>
      </w:r>
      <w:r w:rsidR="004C6602">
        <w:rPr>
          <w:rFonts w:ascii="Times New Roman" w:hAnsi="Times New Roman" w:cs="Times New Roman"/>
          <w:color w:val="000000" w:themeColor="text1"/>
          <w:sz w:val="24"/>
          <w:szCs w:val="24"/>
          <w:lang w:bidi="mr-IN"/>
        </w:rPr>
        <w:t xml:space="preserve"> and</w:t>
      </w:r>
      <w:r w:rsidR="00F35897" w:rsidRPr="00175A9A">
        <w:rPr>
          <w:rFonts w:ascii="Times New Roman" w:hAnsi="Times New Roman" w:cs="Times New Roman"/>
          <w:color w:val="000000" w:themeColor="text1"/>
          <w:sz w:val="24"/>
          <w:szCs w:val="24"/>
          <w:lang w:bidi="mr-IN"/>
        </w:rPr>
        <w:t xml:space="preserve"> </w:t>
      </w:r>
      <w:r w:rsidR="007014C7" w:rsidRPr="00175A9A">
        <w:rPr>
          <w:rFonts w:ascii="Times New Roman" w:hAnsi="Times New Roman" w:cs="Times New Roman"/>
          <w:color w:val="000000" w:themeColor="text1"/>
          <w:sz w:val="24"/>
          <w:szCs w:val="24"/>
          <w:lang w:bidi="mr-IN"/>
        </w:rPr>
        <w:t>biochemical</w:t>
      </w:r>
      <w:r w:rsidR="00F35897" w:rsidRPr="00175A9A">
        <w:rPr>
          <w:rFonts w:ascii="Times New Roman" w:hAnsi="Times New Roman" w:cs="Times New Roman"/>
          <w:color w:val="000000" w:themeColor="text1"/>
          <w:sz w:val="24"/>
          <w:szCs w:val="24"/>
          <w:lang w:bidi="mr-IN"/>
        </w:rPr>
        <w:t>-</w:t>
      </w:r>
      <w:r w:rsidR="00B4333C" w:rsidRPr="00175A9A">
        <w:rPr>
          <w:rFonts w:ascii="Times New Roman" w:hAnsi="Times New Roman" w:cs="Times New Roman"/>
          <w:color w:val="000000" w:themeColor="text1"/>
          <w:sz w:val="24"/>
          <w:szCs w:val="24"/>
          <w:lang w:bidi="mr-IN"/>
        </w:rPr>
        <w:t>metabolic</w:t>
      </w:r>
      <w:r w:rsidR="00366FFF" w:rsidRPr="00175A9A">
        <w:rPr>
          <w:rFonts w:ascii="Times New Roman" w:hAnsi="Times New Roman" w:cs="Times New Roman"/>
          <w:color w:val="000000" w:themeColor="text1"/>
          <w:sz w:val="24"/>
          <w:szCs w:val="24"/>
          <w:lang w:bidi="mr-IN"/>
        </w:rPr>
        <w:t xml:space="preserve"> indices</w:t>
      </w:r>
      <w:r w:rsidR="004C6602">
        <w:rPr>
          <w:rFonts w:ascii="Times New Roman" w:hAnsi="Times New Roman" w:cs="Times New Roman"/>
          <w:color w:val="000000" w:themeColor="text1"/>
          <w:sz w:val="24"/>
          <w:szCs w:val="24"/>
          <w:lang w:bidi="mr-IN"/>
        </w:rPr>
        <w:t>,</w:t>
      </w:r>
      <w:r w:rsidR="007014C7" w:rsidRPr="00175A9A">
        <w:rPr>
          <w:rFonts w:ascii="Times New Roman" w:hAnsi="Times New Roman" w:cs="Times New Roman"/>
          <w:color w:val="000000" w:themeColor="text1"/>
          <w:sz w:val="24"/>
          <w:szCs w:val="24"/>
          <w:lang w:bidi="mr-IN"/>
        </w:rPr>
        <w:t xml:space="preserve"> and </w:t>
      </w:r>
      <w:r w:rsidR="00366FFF" w:rsidRPr="00175A9A">
        <w:rPr>
          <w:rFonts w:ascii="Times New Roman" w:hAnsi="Times New Roman" w:cs="Times New Roman"/>
          <w:color w:val="000000" w:themeColor="text1"/>
          <w:sz w:val="24"/>
          <w:szCs w:val="24"/>
          <w:lang w:bidi="mr-IN"/>
        </w:rPr>
        <w:t xml:space="preserve">in </w:t>
      </w:r>
      <w:r w:rsidRPr="00175A9A">
        <w:rPr>
          <w:rFonts w:ascii="Times New Roman" w:hAnsi="Times New Roman" w:cs="Times New Roman"/>
          <w:color w:val="000000" w:themeColor="text1"/>
          <w:sz w:val="24"/>
          <w:szCs w:val="24"/>
          <w:lang w:bidi="mr-IN"/>
        </w:rPr>
        <w:t>peripheral nerve function</w:t>
      </w:r>
      <w:r w:rsidR="004C6602">
        <w:rPr>
          <w:rFonts w:ascii="Times New Roman" w:hAnsi="Times New Roman" w:cs="Times New Roman"/>
          <w:color w:val="000000" w:themeColor="text1"/>
          <w:sz w:val="24"/>
          <w:szCs w:val="24"/>
          <w:lang w:bidi="mr-IN"/>
        </w:rPr>
        <w:t>,</w:t>
      </w:r>
      <w:r w:rsidRPr="00175A9A">
        <w:rPr>
          <w:rFonts w:ascii="Times New Roman" w:hAnsi="Times New Roman" w:cs="Times New Roman"/>
          <w:color w:val="000000" w:themeColor="text1"/>
          <w:sz w:val="24"/>
          <w:szCs w:val="24"/>
          <w:lang w:bidi="mr-IN"/>
        </w:rPr>
        <w:t xml:space="preserve"> </w:t>
      </w:r>
      <w:r w:rsidR="00352478" w:rsidRPr="00175A9A">
        <w:rPr>
          <w:rFonts w:ascii="Times New Roman" w:hAnsi="Times New Roman" w:cs="Times New Roman"/>
          <w:color w:val="000000" w:themeColor="text1"/>
          <w:sz w:val="24"/>
          <w:szCs w:val="24"/>
          <w:lang w:bidi="mr-IN"/>
        </w:rPr>
        <w:t>after treatment with</w:t>
      </w:r>
      <w:r w:rsidRPr="00175A9A">
        <w:rPr>
          <w:rFonts w:ascii="Times New Roman" w:hAnsi="Times New Roman" w:cs="Times New Roman"/>
          <w:color w:val="000000" w:themeColor="text1"/>
          <w:sz w:val="24"/>
          <w:szCs w:val="24"/>
          <w:lang w:bidi="mr-IN"/>
        </w:rPr>
        <w:t xml:space="preserve"> </w:t>
      </w:r>
      <w:r w:rsidR="008249E8" w:rsidRPr="00175A9A">
        <w:rPr>
          <w:rFonts w:ascii="Times New Roman" w:hAnsi="Times New Roman" w:cs="Times New Roman"/>
          <w:color w:val="000000" w:themeColor="text1"/>
          <w:sz w:val="24"/>
          <w:szCs w:val="24"/>
          <w:lang w:bidi="mr-IN"/>
        </w:rPr>
        <w:t xml:space="preserve">a </w:t>
      </w:r>
      <w:r w:rsidRPr="00175A9A">
        <w:rPr>
          <w:rFonts w:ascii="Times New Roman" w:hAnsi="Times New Roman" w:cs="Times New Roman"/>
          <w:color w:val="000000" w:themeColor="text1"/>
          <w:sz w:val="24"/>
          <w:szCs w:val="24"/>
          <w:lang w:bidi="mr-IN"/>
        </w:rPr>
        <w:t xml:space="preserve">physiological dose of oral vitamin </w:t>
      </w:r>
      <w:r w:rsidR="00A85EA6" w:rsidRPr="00175A9A">
        <w:rPr>
          <w:rFonts w:ascii="Times New Roman" w:hAnsi="Times New Roman" w:cs="Times New Roman"/>
          <w:color w:val="000000" w:themeColor="text1"/>
          <w:sz w:val="24"/>
          <w:szCs w:val="24"/>
          <w:lang w:bidi="mr-IN"/>
        </w:rPr>
        <w:t>B-12</w:t>
      </w:r>
      <w:r w:rsidRPr="00175A9A">
        <w:rPr>
          <w:rFonts w:ascii="Times New Roman" w:hAnsi="Times New Roman" w:cs="Times New Roman"/>
          <w:color w:val="000000" w:themeColor="text1"/>
          <w:sz w:val="24"/>
          <w:szCs w:val="24"/>
          <w:lang w:bidi="mr-IN"/>
        </w:rPr>
        <w:t xml:space="preserve">. </w:t>
      </w:r>
      <w:r w:rsidR="007014C7" w:rsidRPr="00175A9A">
        <w:rPr>
          <w:rFonts w:ascii="Times New Roman" w:hAnsi="Times New Roman" w:cs="Times New Roman"/>
          <w:color w:val="000000" w:themeColor="text1"/>
          <w:sz w:val="24"/>
          <w:szCs w:val="24"/>
          <w:lang w:bidi="mr-IN"/>
        </w:rPr>
        <w:t xml:space="preserve">Our findings are relevant to public health because of the </w:t>
      </w:r>
      <w:r w:rsidR="00681A06" w:rsidRPr="00175A9A">
        <w:rPr>
          <w:rFonts w:ascii="Times New Roman" w:hAnsi="Times New Roman" w:cs="Times New Roman"/>
          <w:color w:val="000000" w:themeColor="text1"/>
          <w:sz w:val="24"/>
          <w:szCs w:val="24"/>
          <w:lang w:bidi="mr-IN"/>
        </w:rPr>
        <w:t xml:space="preserve">widely prevalent </w:t>
      </w:r>
      <w:r w:rsidR="00201865" w:rsidRPr="00175A9A">
        <w:rPr>
          <w:rFonts w:ascii="Times New Roman" w:hAnsi="Times New Roman" w:cs="Times New Roman"/>
          <w:color w:val="000000" w:themeColor="text1"/>
          <w:sz w:val="24"/>
          <w:szCs w:val="24"/>
          <w:lang w:bidi="mr-IN"/>
        </w:rPr>
        <w:t xml:space="preserve">low </w:t>
      </w:r>
      <w:r w:rsidR="00A85EA6" w:rsidRPr="00175A9A">
        <w:rPr>
          <w:rFonts w:ascii="Times New Roman" w:hAnsi="Times New Roman" w:cs="Times New Roman"/>
          <w:color w:val="000000" w:themeColor="text1"/>
          <w:sz w:val="24"/>
          <w:szCs w:val="24"/>
          <w:lang w:bidi="mr-IN"/>
        </w:rPr>
        <w:t>B-12</w:t>
      </w:r>
      <w:r w:rsidR="00201865" w:rsidRPr="00175A9A">
        <w:rPr>
          <w:rFonts w:ascii="Times New Roman" w:hAnsi="Times New Roman" w:cs="Times New Roman"/>
          <w:color w:val="000000" w:themeColor="text1"/>
          <w:sz w:val="24"/>
          <w:szCs w:val="24"/>
          <w:lang w:bidi="mr-IN"/>
        </w:rPr>
        <w:t xml:space="preserve"> status</w:t>
      </w:r>
      <w:r w:rsidR="00681A06" w:rsidRPr="00175A9A">
        <w:rPr>
          <w:rFonts w:ascii="Times New Roman" w:hAnsi="Times New Roman" w:cs="Times New Roman"/>
          <w:color w:val="000000" w:themeColor="text1"/>
          <w:sz w:val="24"/>
          <w:szCs w:val="24"/>
          <w:lang w:bidi="mr-IN"/>
        </w:rPr>
        <w:t xml:space="preserve"> in Indian</w:t>
      </w:r>
      <w:r w:rsidR="007014C7" w:rsidRPr="00175A9A">
        <w:rPr>
          <w:rFonts w:ascii="Times New Roman" w:hAnsi="Times New Roman" w:cs="Times New Roman"/>
          <w:color w:val="000000" w:themeColor="text1"/>
          <w:sz w:val="24"/>
          <w:szCs w:val="24"/>
          <w:lang w:bidi="mr-IN"/>
        </w:rPr>
        <w:t>s</w:t>
      </w:r>
      <w:r w:rsidR="00DA629B" w:rsidRPr="00175A9A">
        <w:rPr>
          <w:rFonts w:ascii="Times New Roman" w:hAnsi="Times New Roman" w:cs="Times New Roman"/>
          <w:color w:val="000000" w:themeColor="text1"/>
          <w:sz w:val="24"/>
          <w:szCs w:val="24"/>
          <w:lang w:bidi="mr-IN"/>
        </w:rPr>
        <w:t xml:space="preserve"> and the practical applicability of our approach</w:t>
      </w:r>
      <w:r w:rsidR="007014C7" w:rsidRPr="00175A9A">
        <w:rPr>
          <w:rFonts w:ascii="Times New Roman" w:hAnsi="Times New Roman" w:cs="Times New Roman"/>
          <w:color w:val="000000" w:themeColor="text1"/>
          <w:sz w:val="24"/>
          <w:szCs w:val="24"/>
          <w:lang w:bidi="mr-IN"/>
        </w:rPr>
        <w:t xml:space="preserve">. </w:t>
      </w:r>
      <w:r w:rsidR="00620E2E" w:rsidRPr="00175A9A">
        <w:rPr>
          <w:rFonts w:ascii="Times New Roman" w:eastAsia="Times New Roman" w:hAnsi="Times New Roman" w:cs="Times New Roman"/>
          <w:color w:val="000000" w:themeColor="text1"/>
          <w:sz w:val="24"/>
          <w:szCs w:val="24"/>
          <w:lang w:bidi="mr-IN"/>
        </w:rPr>
        <w:t xml:space="preserve">The study provides scientific evidence </w:t>
      </w:r>
      <w:r w:rsidR="008249E8" w:rsidRPr="00175A9A">
        <w:rPr>
          <w:rFonts w:ascii="Times New Roman" w:eastAsia="Times New Roman" w:hAnsi="Times New Roman" w:cs="Times New Roman"/>
          <w:color w:val="000000" w:themeColor="text1"/>
          <w:sz w:val="24"/>
          <w:szCs w:val="24"/>
          <w:lang w:bidi="mr-IN"/>
        </w:rPr>
        <w:t>to support</w:t>
      </w:r>
      <w:r w:rsidR="00620E2E" w:rsidRPr="00175A9A">
        <w:rPr>
          <w:rFonts w:ascii="Times New Roman" w:eastAsia="Times New Roman" w:hAnsi="Times New Roman" w:cs="Times New Roman"/>
          <w:color w:val="000000" w:themeColor="text1"/>
          <w:sz w:val="24"/>
          <w:szCs w:val="24"/>
          <w:lang w:bidi="mr-IN"/>
        </w:rPr>
        <w:t xml:space="preserve"> </w:t>
      </w:r>
      <w:r w:rsidR="00620E2E" w:rsidRPr="00175A9A">
        <w:rPr>
          <w:rFonts w:ascii="Times New Roman" w:hAnsi="Times New Roman" w:cs="Times New Roman"/>
          <w:color w:val="000000" w:themeColor="text1"/>
          <w:sz w:val="24"/>
          <w:szCs w:val="24"/>
          <w:lang w:bidi="mr-IN"/>
        </w:rPr>
        <w:t xml:space="preserve">oral </w:t>
      </w:r>
      <w:r w:rsidR="00A85EA6" w:rsidRPr="00175A9A">
        <w:rPr>
          <w:rFonts w:ascii="Times New Roman" w:hAnsi="Times New Roman" w:cs="Times New Roman"/>
          <w:color w:val="000000" w:themeColor="text1"/>
          <w:sz w:val="24"/>
          <w:szCs w:val="24"/>
          <w:lang w:bidi="mr-IN"/>
        </w:rPr>
        <w:t>B-12</w:t>
      </w:r>
      <w:r w:rsidR="00620E2E" w:rsidRPr="00175A9A">
        <w:rPr>
          <w:rFonts w:ascii="Times New Roman" w:hAnsi="Times New Roman" w:cs="Times New Roman"/>
          <w:color w:val="000000" w:themeColor="text1"/>
          <w:sz w:val="24"/>
          <w:szCs w:val="24"/>
          <w:lang w:bidi="mr-IN"/>
        </w:rPr>
        <w:t xml:space="preserve"> supplementation in </w:t>
      </w:r>
      <w:r w:rsidR="00DA629B" w:rsidRPr="00175A9A">
        <w:rPr>
          <w:rFonts w:ascii="Times New Roman" w:hAnsi="Times New Roman" w:cs="Times New Roman"/>
          <w:color w:val="000000" w:themeColor="text1"/>
          <w:sz w:val="24"/>
          <w:szCs w:val="24"/>
          <w:lang w:bidi="mr-IN"/>
        </w:rPr>
        <w:t xml:space="preserve">young </w:t>
      </w:r>
      <w:r w:rsidR="00620E2E" w:rsidRPr="00175A9A">
        <w:rPr>
          <w:rFonts w:ascii="Times New Roman" w:hAnsi="Times New Roman" w:cs="Times New Roman"/>
          <w:color w:val="000000" w:themeColor="text1"/>
          <w:sz w:val="24"/>
          <w:szCs w:val="24"/>
          <w:lang w:bidi="mr-IN"/>
        </w:rPr>
        <w:t>adolescent</w:t>
      </w:r>
      <w:r w:rsidR="003A1A46" w:rsidRPr="00175A9A">
        <w:rPr>
          <w:rFonts w:ascii="Times New Roman" w:hAnsi="Times New Roman" w:cs="Times New Roman"/>
          <w:color w:val="000000" w:themeColor="text1"/>
          <w:sz w:val="24"/>
          <w:szCs w:val="24"/>
          <w:lang w:bidi="mr-IN"/>
        </w:rPr>
        <w:t xml:space="preserve"> Indian</w:t>
      </w:r>
      <w:r w:rsidR="00DA629B" w:rsidRPr="00175A9A">
        <w:rPr>
          <w:rFonts w:ascii="Times New Roman" w:hAnsi="Times New Roman" w:cs="Times New Roman"/>
          <w:color w:val="000000" w:themeColor="text1"/>
          <w:sz w:val="24"/>
          <w:szCs w:val="24"/>
          <w:lang w:bidi="mr-IN"/>
        </w:rPr>
        <w:t>s</w:t>
      </w:r>
      <w:r w:rsidR="00620E2E" w:rsidRPr="00175A9A">
        <w:rPr>
          <w:rFonts w:ascii="Times New Roman" w:hAnsi="Times New Roman" w:cs="Times New Roman"/>
          <w:color w:val="000000" w:themeColor="text1"/>
          <w:sz w:val="24"/>
          <w:szCs w:val="24"/>
          <w:lang w:bidi="mr-IN"/>
        </w:rPr>
        <w:t xml:space="preserve"> as a public health measure</w:t>
      </w:r>
      <w:r w:rsidR="00F46DAC" w:rsidRPr="00175A9A">
        <w:rPr>
          <w:rFonts w:ascii="Times New Roman" w:hAnsi="Times New Roman" w:cs="Times New Roman"/>
          <w:color w:val="000000" w:themeColor="text1"/>
          <w:sz w:val="24"/>
          <w:szCs w:val="24"/>
          <w:lang w:bidi="mr-IN"/>
        </w:rPr>
        <w:t>.</w:t>
      </w:r>
    </w:p>
    <w:p w14:paraId="4B9C83F1" w14:textId="77777777" w:rsidR="00B97DA4" w:rsidRPr="00175A9A" w:rsidRDefault="00B97DA4" w:rsidP="00330CC2">
      <w:pPr>
        <w:spacing w:line="480" w:lineRule="auto"/>
        <w:jc w:val="both"/>
        <w:rPr>
          <w:rFonts w:ascii="Times New Roman" w:hAnsi="Times New Roman" w:cs="Times New Roman"/>
          <w:color w:val="000000" w:themeColor="text1"/>
          <w:sz w:val="24"/>
          <w:szCs w:val="24"/>
          <w:lang w:bidi="mr-IN"/>
        </w:rPr>
      </w:pPr>
    </w:p>
    <w:p w14:paraId="4E7E877F" w14:textId="32E15311" w:rsidR="00B97DA4" w:rsidRPr="00175A9A" w:rsidRDefault="00B97DA4"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b/>
          <w:bCs/>
          <w:color w:val="000000" w:themeColor="text1"/>
          <w:sz w:val="24"/>
          <w:szCs w:val="24"/>
          <w:lang w:bidi="mr-IN"/>
        </w:rPr>
        <w:t>Funding sources</w:t>
      </w:r>
      <w:r w:rsidR="00EA7C5B" w:rsidRPr="00175A9A">
        <w:rPr>
          <w:rFonts w:ascii="Times New Roman" w:hAnsi="Times New Roman" w:cs="Times New Roman"/>
          <w:b/>
          <w:bCs/>
          <w:color w:val="000000" w:themeColor="text1"/>
          <w:sz w:val="24"/>
          <w:szCs w:val="24"/>
          <w:lang w:bidi="mr-IN"/>
        </w:rPr>
        <w:t>:</w:t>
      </w:r>
      <w:r w:rsidR="00C93C9E" w:rsidRPr="00175A9A">
        <w:rPr>
          <w:rFonts w:ascii="Times New Roman" w:hAnsi="Times New Roman" w:cs="Times New Roman"/>
          <w:color w:val="000000" w:themeColor="text1"/>
          <w:sz w:val="24"/>
          <w:szCs w:val="24"/>
          <w:lang w:bidi="mr-IN"/>
        </w:rPr>
        <w:t xml:space="preserve"> </w:t>
      </w:r>
      <w:r w:rsidRPr="00175A9A">
        <w:rPr>
          <w:rFonts w:ascii="Times New Roman" w:hAnsi="Times New Roman" w:cs="Times New Roman"/>
          <w:color w:val="000000" w:themeColor="text1"/>
          <w:sz w:val="24"/>
          <w:szCs w:val="24"/>
          <w:lang w:bidi="mr-IN"/>
        </w:rPr>
        <w:t xml:space="preserve"> </w:t>
      </w:r>
    </w:p>
    <w:p w14:paraId="093C7BEF" w14:textId="6F95E3FF" w:rsidR="00934BD5" w:rsidRPr="00175A9A" w:rsidRDefault="00F56E9D" w:rsidP="00330CC2">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color w:val="000000" w:themeColor="text1"/>
          <w:sz w:val="24"/>
          <w:szCs w:val="24"/>
          <w:lang w:bidi="mr-IN"/>
        </w:rPr>
        <w:t xml:space="preserve">The </w:t>
      </w:r>
      <w:r w:rsidR="00934BD5" w:rsidRPr="00175A9A">
        <w:rPr>
          <w:rFonts w:ascii="Times New Roman" w:hAnsi="Times New Roman" w:cs="Times New Roman"/>
          <w:color w:val="000000" w:themeColor="text1"/>
          <w:sz w:val="24"/>
          <w:szCs w:val="24"/>
          <w:lang w:bidi="mr-IN"/>
        </w:rPr>
        <w:t xml:space="preserve">PRIYA trial </w:t>
      </w:r>
      <w:r w:rsidR="00BF5C75" w:rsidRPr="00175A9A">
        <w:rPr>
          <w:rFonts w:ascii="Times New Roman" w:hAnsi="Times New Roman" w:cs="Times New Roman"/>
          <w:color w:val="000000" w:themeColor="text1"/>
          <w:sz w:val="24"/>
          <w:szCs w:val="24"/>
          <w:lang w:bidi="mr-IN"/>
        </w:rPr>
        <w:t xml:space="preserve">(ISRCTN 32921044) </w:t>
      </w:r>
      <w:r w:rsidR="00934BD5" w:rsidRPr="00175A9A">
        <w:rPr>
          <w:rFonts w:ascii="Times New Roman" w:hAnsi="Times New Roman" w:cs="Times New Roman"/>
          <w:color w:val="000000" w:themeColor="text1"/>
          <w:sz w:val="24"/>
          <w:szCs w:val="24"/>
          <w:lang w:bidi="mr-IN"/>
        </w:rPr>
        <w:t xml:space="preserve">was supported by an Indo-UK collaborative programme of the Indian Council of Medical Research </w:t>
      </w:r>
      <w:r w:rsidR="00BF5C75" w:rsidRPr="00175A9A">
        <w:rPr>
          <w:rFonts w:ascii="Times New Roman" w:hAnsi="Times New Roman" w:cs="Times New Roman"/>
          <w:color w:val="000000" w:themeColor="text1"/>
          <w:sz w:val="24"/>
          <w:szCs w:val="24"/>
          <w:lang w:bidi="mr-IN"/>
        </w:rPr>
        <w:t xml:space="preserve">(No.58/1/8/ICMR-MRC/2009-NCD-II) </w:t>
      </w:r>
      <w:r w:rsidR="00934BD5" w:rsidRPr="00175A9A">
        <w:rPr>
          <w:rFonts w:ascii="Times New Roman" w:hAnsi="Times New Roman" w:cs="Times New Roman"/>
          <w:color w:val="000000" w:themeColor="text1"/>
          <w:sz w:val="24"/>
          <w:szCs w:val="24"/>
          <w:lang w:bidi="mr-IN"/>
        </w:rPr>
        <w:t>and the Medical Research Council, UK</w:t>
      </w:r>
      <w:r w:rsidR="00BF5C75" w:rsidRPr="00175A9A">
        <w:rPr>
          <w:rFonts w:ascii="Times New Roman" w:hAnsi="Times New Roman" w:cs="Times New Roman"/>
          <w:color w:val="000000" w:themeColor="text1"/>
          <w:sz w:val="24"/>
          <w:szCs w:val="24"/>
          <w:lang w:bidi="mr-IN"/>
        </w:rPr>
        <w:t xml:space="preserve"> (grant no.: MR/J000094/1) jointly with the UK Department for International development (DFID) under the MRC/DFID concordat agreement.</w:t>
      </w:r>
      <w:r w:rsidR="00447EB8">
        <w:rPr>
          <w:rFonts w:ascii="Times New Roman" w:hAnsi="Times New Roman" w:cs="Times New Roman"/>
          <w:color w:val="000000" w:themeColor="text1"/>
          <w:sz w:val="24"/>
          <w:szCs w:val="24"/>
          <w:lang w:bidi="mr-IN"/>
        </w:rPr>
        <w:t xml:space="preserve"> </w:t>
      </w:r>
      <w:r w:rsidR="00447EB8" w:rsidRPr="00B839AA">
        <w:rPr>
          <w:rFonts w:ascii="Times New Roman" w:hAnsi="Times New Roman" w:cs="Times New Roman"/>
          <w:color w:val="000000" w:themeColor="text1"/>
          <w:sz w:val="24"/>
          <w:szCs w:val="24"/>
          <w:lang w:bidi="mr-IN"/>
        </w:rPr>
        <w:t xml:space="preserve">Follow up in </w:t>
      </w:r>
      <w:r w:rsidR="00447EB8" w:rsidRPr="00B839AA">
        <w:rPr>
          <w:rFonts w:ascii="Times New Roman" w:hAnsi="Times New Roman" w:cs="Times New Roman"/>
          <w:color w:val="000000" w:themeColor="text1"/>
          <w:sz w:val="24"/>
          <w:szCs w:val="24"/>
          <w:lang w:bidi="mr-IN"/>
        </w:rPr>
        <w:lastRenderedPageBreak/>
        <w:t xml:space="preserve">PRIYA trial is supported by a DBT center of excellence grant </w:t>
      </w:r>
      <w:r w:rsidR="000A473D" w:rsidRPr="00B839AA">
        <w:rPr>
          <w:rFonts w:ascii="Times New Roman" w:hAnsi="Times New Roman" w:cs="Times New Roman"/>
          <w:color w:val="000000" w:themeColor="text1"/>
          <w:sz w:val="24"/>
          <w:szCs w:val="24"/>
          <w:lang w:bidi="mr-IN"/>
        </w:rPr>
        <w:t>(BT/01/CEIB/12/III/10 and BT/PR12629/MED/97/364/2016</w:t>
      </w:r>
      <w:r w:rsidR="00447EB8" w:rsidRPr="00B839AA">
        <w:rPr>
          <w:rFonts w:ascii="Times New Roman" w:hAnsi="Times New Roman" w:cs="Times New Roman"/>
          <w:color w:val="000000" w:themeColor="text1"/>
          <w:sz w:val="24"/>
          <w:szCs w:val="24"/>
          <w:lang w:bidi="mr-IN"/>
        </w:rPr>
        <w:t>)</w:t>
      </w:r>
    </w:p>
    <w:p w14:paraId="4EF7A0CF" w14:textId="6C2A64D1" w:rsidR="00B84DE8" w:rsidRDefault="005E0D83" w:rsidP="00B84DE8">
      <w:pPr>
        <w:spacing w:line="480" w:lineRule="auto"/>
        <w:jc w:val="both"/>
        <w:rPr>
          <w:rFonts w:ascii="Times New Roman" w:hAnsi="Times New Roman" w:cs="Times New Roman"/>
          <w:color w:val="000000" w:themeColor="text1"/>
          <w:sz w:val="24"/>
          <w:szCs w:val="24"/>
          <w:lang w:bidi="mr-IN"/>
        </w:rPr>
      </w:pPr>
      <w:r w:rsidRPr="00175A9A">
        <w:rPr>
          <w:rFonts w:ascii="Times New Roman" w:hAnsi="Times New Roman" w:cs="Times New Roman"/>
          <w:b/>
          <w:bCs/>
          <w:color w:val="000000" w:themeColor="text1"/>
          <w:sz w:val="24"/>
          <w:szCs w:val="24"/>
          <w:lang w:bidi="mr-IN"/>
        </w:rPr>
        <w:t>Acknowledgements</w:t>
      </w:r>
    </w:p>
    <w:p w14:paraId="74E32788" w14:textId="259C56D0" w:rsidR="00BF5755" w:rsidRDefault="00B84DE8" w:rsidP="00330CC2">
      <w:pPr>
        <w:spacing w:line="480" w:lineRule="auto"/>
        <w:jc w:val="both"/>
        <w:rPr>
          <w:rFonts w:ascii="Times New Roman" w:hAnsi="Times New Roman" w:cs="Times New Roman"/>
          <w:bCs/>
          <w:color w:val="000000" w:themeColor="text1"/>
          <w:sz w:val="24"/>
          <w:szCs w:val="24"/>
          <w:lang w:bidi="mr-IN"/>
        </w:rPr>
      </w:pPr>
      <w:r w:rsidRPr="002218E8">
        <w:rPr>
          <w:rFonts w:ascii="Times New Roman" w:hAnsi="Times New Roman" w:cs="Times New Roman"/>
          <w:bCs/>
          <w:color w:val="000000" w:themeColor="text1"/>
          <w:sz w:val="24"/>
          <w:szCs w:val="24"/>
          <w:lang w:bidi="mr-IN"/>
        </w:rPr>
        <w:t>We tha</w:t>
      </w:r>
      <w:r>
        <w:rPr>
          <w:rFonts w:ascii="Times New Roman" w:hAnsi="Times New Roman" w:cs="Times New Roman"/>
          <w:bCs/>
          <w:color w:val="000000" w:themeColor="text1"/>
          <w:sz w:val="24"/>
          <w:szCs w:val="24"/>
          <w:lang w:bidi="mr-IN"/>
        </w:rPr>
        <w:t>nk Suyog M Joshi</w:t>
      </w:r>
      <w:r w:rsidRPr="002218E8">
        <w:rPr>
          <w:rFonts w:ascii="Times New Roman" w:hAnsi="Times New Roman" w:cs="Times New Roman"/>
          <w:bCs/>
          <w:color w:val="000000" w:themeColor="text1"/>
          <w:sz w:val="24"/>
          <w:szCs w:val="24"/>
          <w:lang w:bidi="mr-IN"/>
        </w:rPr>
        <w:t>, Pallavi Hardikar, Himangi G Lubree for help with the conduct of the study, laboratory and data analysis and Sarah Khan for her help in formatting the manuscript.</w:t>
      </w:r>
    </w:p>
    <w:p w14:paraId="1BE6AE7F" w14:textId="3E303BD1" w:rsidR="003219B1" w:rsidRPr="00E842B5" w:rsidRDefault="00866EAE" w:rsidP="00330CC2">
      <w:pPr>
        <w:spacing w:line="480" w:lineRule="auto"/>
        <w:jc w:val="both"/>
        <w:rPr>
          <w:rFonts w:ascii="Times New Roman" w:hAnsi="Times New Roman" w:cs="Times New Roman"/>
          <w:b/>
          <w:color w:val="000000" w:themeColor="text1"/>
          <w:sz w:val="24"/>
          <w:szCs w:val="24"/>
          <w:lang w:bidi="mr-IN"/>
        </w:rPr>
      </w:pPr>
      <w:r>
        <w:rPr>
          <w:rFonts w:ascii="Times New Roman" w:hAnsi="Times New Roman" w:cs="Times New Roman"/>
          <w:b/>
          <w:color w:val="000000" w:themeColor="text1"/>
          <w:sz w:val="24"/>
          <w:szCs w:val="24"/>
          <w:lang w:bidi="mr-IN"/>
        </w:rPr>
        <w:t xml:space="preserve">Supporting </w:t>
      </w:r>
      <w:r w:rsidR="003219B1" w:rsidRPr="00E842B5">
        <w:rPr>
          <w:rFonts w:ascii="Times New Roman" w:hAnsi="Times New Roman" w:cs="Times New Roman"/>
          <w:b/>
          <w:color w:val="000000" w:themeColor="text1"/>
          <w:sz w:val="24"/>
          <w:szCs w:val="24"/>
          <w:lang w:bidi="mr-IN"/>
        </w:rPr>
        <w:t>information</w:t>
      </w:r>
      <w:r>
        <w:rPr>
          <w:rFonts w:ascii="Times New Roman" w:hAnsi="Times New Roman" w:cs="Times New Roman"/>
          <w:b/>
          <w:color w:val="000000" w:themeColor="text1"/>
          <w:sz w:val="24"/>
          <w:szCs w:val="24"/>
          <w:lang w:bidi="mr-IN"/>
        </w:rPr>
        <w:t xml:space="preserve"> data</w:t>
      </w:r>
      <w:r w:rsidR="003219B1" w:rsidRPr="00E842B5">
        <w:rPr>
          <w:rFonts w:ascii="Times New Roman" w:hAnsi="Times New Roman" w:cs="Times New Roman"/>
          <w:b/>
          <w:color w:val="000000" w:themeColor="text1"/>
          <w:sz w:val="24"/>
          <w:szCs w:val="24"/>
          <w:lang w:bidi="mr-IN"/>
        </w:rPr>
        <w:t xml:space="preserve"> file</w:t>
      </w:r>
      <w:r w:rsidR="00E842B5" w:rsidRPr="00E842B5">
        <w:rPr>
          <w:rFonts w:ascii="Times New Roman" w:hAnsi="Times New Roman" w:cs="Times New Roman"/>
          <w:b/>
          <w:color w:val="000000" w:themeColor="text1"/>
          <w:sz w:val="24"/>
          <w:szCs w:val="24"/>
          <w:lang w:bidi="mr-IN"/>
        </w:rPr>
        <w:t xml:space="preserve"> </w:t>
      </w:r>
    </w:p>
    <w:p w14:paraId="0D985646" w14:textId="77777777" w:rsidR="00672CC9" w:rsidRDefault="00B84DE8" w:rsidP="00672CC9">
      <w:pPr>
        <w:spacing w:line="480" w:lineRule="auto"/>
        <w:jc w:val="both"/>
        <w:rPr>
          <w:rFonts w:ascii="Times New Roman" w:hAnsi="Times New Roman" w:cs="Times New Roman"/>
          <w:b/>
          <w:bCs/>
          <w:color w:val="000000" w:themeColor="text1"/>
          <w:sz w:val="24"/>
          <w:szCs w:val="24"/>
          <w:lang w:bidi="mr-IN"/>
        </w:rPr>
      </w:pPr>
      <w:r>
        <w:rPr>
          <w:rFonts w:ascii="Times New Roman" w:hAnsi="Times New Roman" w:cs="Times New Roman"/>
          <w:b/>
          <w:bCs/>
          <w:color w:val="000000" w:themeColor="text1"/>
          <w:sz w:val="24"/>
          <w:szCs w:val="24"/>
          <w:lang w:bidi="mr-IN"/>
        </w:rPr>
        <w:t>References</w:t>
      </w:r>
      <w:r w:rsidR="00E939D4" w:rsidRPr="00175A9A">
        <w:rPr>
          <w:rFonts w:ascii="Times New Roman" w:hAnsi="Times New Roman" w:cs="Times New Roman"/>
          <w:b/>
          <w:bCs/>
          <w:color w:val="000000" w:themeColor="text1"/>
          <w:sz w:val="24"/>
          <w:szCs w:val="24"/>
          <w:lang w:bidi="mr-IN"/>
        </w:rPr>
        <w:t xml:space="preserve"> </w:t>
      </w:r>
    </w:p>
    <w:p w14:paraId="0D9222F1" w14:textId="77777777" w:rsidR="00672CC9" w:rsidRDefault="00672CC9" w:rsidP="00672CC9">
      <w:pPr>
        <w:spacing w:line="480" w:lineRule="auto"/>
        <w:jc w:val="both"/>
        <w:rPr>
          <w:rFonts w:ascii="Times New Roman" w:hAnsi="Times New Roman" w:cs="Times New Roman"/>
          <w:color w:val="000000" w:themeColor="text1"/>
          <w:sz w:val="24"/>
          <w:szCs w:val="24"/>
          <w:lang w:bidi="mr-IN"/>
        </w:rPr>
      </w:pPr>
    </w:p>
    <w:p w14:paraId="054BF613" w14:textId="77777777" w:rsidR="003150A3" w:rsidRPr="003150A3" w:rsidRDefault="00F61FA6" w:rsidP="003150A3">
      <w:pPr>
        <w:pStyle w:val="Bibliography"/>
        <w:rPr>
          <w:rFonts w:ascii="Times New Roman" w:hAnsi="Times New Roman"/>
          <w:sz w:val="24"/>
        </w:rPr>
      </w:pPr>
      <w:r w:rsidRPr="00175A9A">
        <w:rPr>
          <w:sz w:val="24"/>
          <w:szCs w:val="24"/>
          <w:lang w:bidi="mr-IN"/>
        </w:rPr>
        <w:fldChar w:fldCharType="begin"/>
      </w:r>
      <w:r w:rsidR="003150A3">
        <w:rPr>
          <w:sz w:val="24"/>
          <w:szCs w:val="24"/>
          <w:lang w:bidi="mr-IN"/>
        </w:rPr>
        <w:instrText xml:space="preserve"> ADDIN ZOTERO_BIBL {"uncited":[],"omitted":[],"custom":[]} CSL_BIBLIOGRAPHY </w:instrText>
      </w:r>
      <w:r w:rsidRPr="00175A9A">
        <w:rPr>
          <w:sz w:val="24"/>
          <w:szCs w:val="24"/>
          <w:lang w:bidi="mr-IN"/>
        </w:rPr>
        <w:fldChar w:fldCharType="separate"/>
      </w:r>
      <w:r w:rsidR="003150A3" w:rsidRPr="003150A3">
        <w:rPr>
          <w:rFonts w:ascii="Times New Roman" w:hAnsi="Times New Roman"/>
          <w:sz w:val="24"/>
        </w:rPr>
        <w:t xml:space="preserve">1. </w:t>
      </w:r>
      <w:r w:rsidR="003150A3" w:rsidRPr="003150A3">
        <w:rPr>
          <w:rFonts w:ascii="Times New Roman" w:hAnsi="Times New Roman"/>
          <w:sz w:val="24"/>
        </w:rPr>
        <w:tab/>
        <w:t>Stabler SP. Clinical practice. Vitamin B12 deficiency. N Engl J Med. 2013;368: 149–160. doi:10.1056/NEJMcp1113996</w:t>
      </w:r>
    </w:p>
    <w:p w14:paraId="4E2BF667"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 </w:t>
      </w:r>
      <w:r w:rsidRPr="003150A3">
        <w:rPr>
          <w:rFonts w:ascii="Times New Roman" w:hAnsi="Times New Roman"/>
          <w:sz w:val="24"/>
        </w:rPr>
        <w:tab/>
        <w:t xml:space="preserve">Green R, Allen LH, Bjørke-Monsen A-L, Brito A, Guéant J-L, Miller JW, et al. Vitamin B 12 deficiency. Nat Rev Dis Primer. 2017;3: 17040. </w:t>
      </w:r>
    </w:p>
    <w:p w14:paraId="0798B828"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3. </w:t>
      </w:r>
      <w:r w:rsidRPr="003150A3">
        <w:rPr>
          <w:rFonts w:ascii="Times New Roman" w:hAnsi="Times New Roman"/>
          <w:sz w:val="24"/>
        </w:rPr>
        <w:tab/>
        <w:t>Chan CQH, Low LL, Lee KH. Oral Vitamin B12 Replacement for the Treatment of Pernicious Anemia. Front Med. 2016;3: 38. doi:10.3389/fmed.2016.00038</w:t>
      </w:r>
    </w:p>
    <w:p w14:paraId="08DD9387"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4. </w:t>
      </w:r>
      <w:r w:rsidRPr="003150A3">
        <w:rPr>
          <w:rFonts w:ascii="Times New Roman" w:hAnsi="Times New Roman"/>
          <w:sz w:val="24"/>
        </w:rPr>
        <w:tab/>
        <w:t xml:space="preserve">Vidal-Alaball J, Butler C, Cannings-John R, Goringe A, Hood K, McCaddon A, et al. Oral vitamin B12 versus intramuscular vitamin B12 for vitamin B12 deficiency. </w:t>
      </w:r>
      <w:r w:rsidRPr="003150A3">
        <w:rPr>
          <w:rFonts w:ascii="Times New Roman" w:hAnsi="Times New Roman"/>
          <w:sz w:val="24"/>
        </w:rPr>
        <w:lastRenderedPageBreak/>
        <w:t>Cochrane Database Syst Rev. 2005; CD004655. doi:10.1002/14651858.CD004655.pub2</w:t>
      </w:r>
    </w:p>
    <w:p w14:paraId="37714FFA"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5. </w:t>
      </w:r>
      <w:r w:rsidRPr="003150A3">
        <w:rPr>
          <w:rFonts w:ascii="Times New Roman" w:hAnsi="Times New Roman"/>
          <w:sz w:val="24"/>
        </w:rPr>
        <w:tab/>
        <w:t>Sivaprasad M, Shalini T, Balakrishna N, Sudarshan M, Lopamudra P, Suryanarayana P, et al. Status of Vitamin B12 and Folate among the Urban Adult Population in South India. Ann Nutr Metab. 2016;68: 94–102. doi:10.1159/000442677</w:t>
      </w:r>
    </w:p>
    <w:p w14:paraId="1115EA90"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6. </w:t>
      </w:r>
      <w:r w:rsidRPr="003150A3">
        <w:rPr>
          <w:rFonts w:ascii="Times New Roman" w:hAnsi="Times New Roman"/>
          <w:sz w:val="24"/>
        </w:rPr>
        <w:tab/>
        <w:t>Kapil U, Sareen N. Prevalence of ferritin, folate and vitamin B12 deficiencies amongst children in 5-18 years of age in Delhi. Indian J Pediatr. 2014;81: 312. doi:10.1007/s12098-013-1091-y</w:t>
      </w:r>
    </w:p>
    <w:p w14:paraId="10D44765"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7. </w:t>
      </w:r>
      <w:r w:rsidRPr="003150A3">
        <w:rPr>
          <w:rFonts w:ascii="Times New Roman" w:hAnsi="Times New Roman"/>
          <w:sz w:val="24"/>
        </w:rPr>
        <w:tab/>
        <w:t>Sukumar N, Rafnsson SB, Kandala N-B, Bhopal R, Yajnik CS, Saravanan P. Prevalence of vitamin B-12 insufficiency during pregnancy and its effect on offspring birth weight: a systematic review and meta-analysis. Am J Clin Nutr. 2016;103: 1232–1251. doi:10.3945/ajcn.115.123083</w:t>
      </w:r>
    </w:p>
    <w:p w14:paraId="3AC3A032"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8. </w:t>
      </w:r>
      <w:r w:rsidRPr="003150A3">
        <w:rPr>
          <w:rFonts w:ascii="Times New Roman" w:hAnsi="Times New Roman"/>
          <w:sz w:val="24"/>
        </w:rPr>
        <w:tab/>
        <w:t xml:space="preserve">Yajnik CS, Deshpande SS, Lubree HG, Naik SS, Bhat DS, Uradey BS, et al. Vitamin B12 deficiency and hyperhomocysteinemia in rural and urban Indians. J Assoc Physicians India. 2006;54: 775–782. </w:t>
      </w:r>
    </w:p>
    <w:p w14:paraId="7DE561F9"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9. </w:t>
      </w:r>
      <w:r w:rsidRPr="003150A3">
        <w:rPr>
          <w:rFonts w:ascii="Times New Roman" w:hAnsi="Times New Roman"/>
          <w:sz w:val="24"/>
        </w:rPr>
        <w:tab/>
        <w:t>Rogne T, Tielemans MJ, Chong MF-F, Yajnik CS, Krishnaveni GV, Poston L, et al. Associations of Maternal Vitamin B12 Concentration in Pregnancy With the Risks of Preterm Birth and Low Birth Weight: A Systematic Review and Meta-Analysis of Individual Participant Data. Am J Epidemiol. 2017;185: 212–223. doi:10.1093/aje/kww212</w:t>
      </w:r>
    </w:p>
    <w:p w14:paraId="63EC760E"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10. </w:t>
      </w:r>
      <w:r w:rsidRPr="003150A3">
        <w:rPr>
          <w:rFonts w:ascii="Times New Roman" w:hAnsi="Times New Roman"/>
          <w:sz w:val="24"/>
        </w:rPr>
        <w:tab/>
        <w:t xml:space="preserve">Yajnik CS, Chandak GR, Joglekar C, Katre P, Bhat DS, Singh SN, et al. Maternal homocysteine in pregnancy and offspring birthweight: epidemiological associations and </w:t>
      </w:r>
      <w:r w:rsidRPr="003150A3">
        <w:rPr>
          <w:rFonts w:ascii="Times New Roman" w:hAnsi="Times New Roman"/>
          <w:sz w:val="24"/>
        </w:rPr>
        <w:lastRenderedPageBreak/>
        <w:t>Mendelian randomization analysis. Int J Epidemiol. 2014;43: 1487–1497. doi:10.1093/ije/dyu132</w:t>
      </w:r>
    </w:p>
    <w:p w14:paraId="0179E6CF"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11. </w:t>
      </w:r>
      <w:r w:rsidRPr="003150A3">
        <w:rPr>
          <w:rFonts w:ascii="Times New Roman" w:hAnsi="Times New Roman"/>
          <w:sz w:val="24"/>
        </w:rPr>
        <w:tab/>
        <w:t>Deshmukh U, Katre P, Yajnik CS. Influence of maternal vitamin B12 and folate on growth and insulin resistance in the offspring. Nestle Nutr Inst Workshop Ser. 2013;74: 145–154; discussion 154-156. doi:10.1159/000348463</w:t>
      </w:r>
    </w:p>
    <w:p w14:paraId="3C984002"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12. </w:t>
      </w:r>
      <w:r w:rsidRPr="003150A3">
        <w:rPr>
          <w:rFonts w:ascii="Times New Roman" w:hAnsi="Times New Roman"/>
          <w:sz w:val="24"/>
        </w:rPr>
        <w:tab/>
        <w:t>Yajnik CS, Deshpande SS, Jackson AA, Refsum H, Rao S, Fisher DJ, et al. Vitamin B12 and folate concentrations during pregnancy and insulin resistance in the offspring: the Pune Maternal Nutrition Study. Diabetologia. 2008;51: 29–38. doi:10.1007/s00125-007-0793-y</w:t>
      </w:r>
    </w:p>
    <w:p w14:paraId="37DC5808"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13. </w:t>
      </w:r>
      <w:r w:rsidRPr="003150A3">
        <w:rPr>
          <w:rFonts w:ascii="Times New Roman" w:hAnsi="Times New Roman"/>
          <w:sz w:val="24"/>
        </w:rPr>
        <w:tab/>
        <w:t>Bhat DS, Thuse NV, Lubree HG, Joglekar CV, Naik SS, Ramdas LV, et al. Increases in plasma holotranscobalamin can be used to assess vitamin B-12 absorption in individuals with low plasma vitamin B-12. J Nutr. 2009;139: 2119–2123. doi:10.3945/jn.109.107359</w:t>
      </w:r>
    </w:p>
    <w:p w14:paraId="1B29FEE7"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14. </w:t>
      </w:r>
      <w:r w:rsidRPr="003150A3">
        <w:rPr>
          <w:rFonts w:ascii="Times New Roman" w:hAnsi="Times New Roman"/>
          <w:sz w:val="24"/>
        </w:rPr>
        <w:tab/>
        <w:t xml:space="preserve">Yajnik CS, Lubree HG, Thuse NV, Ramdas LV, Deshpande SS, Deshpande VU, et al. Oral vitamin B12 supplementation reduces plasma total homocysteine concentration in women in India. Asia Pac J Clin Nutr. 2007;16: 103–109. </w:t>
      </w:r>
    </w:p>
    <w:p w14:paraId="3524AF26"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15. </w:t>
      </w:r>
      <w:r w:rsidRPr="003150A3">
        <w:rPr>
          <w:rFonts w:ascii="Times New Roman" w:hAnsi="Times New Roman"/>
          <w:sz w:val="24"/>
        </w:rPr>
        <w:tab/>
        <w:t>Kumaran K, Yajnik P, Lubree H, Joglekar C, Bhat D, Katre P, et al. The Pune Rural Intervention in Young Adolescents (PRIYA) study: design and methods of a randomised controlled trial. BMC Nutr. 2017;3. doi:10.1186/s40795-017-0143-5</w:t>
      </w:r>
    </w:p>
    <w:p w14:paraId="5B60065E"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16. </w:t>
      </w:r>
      <w:r w:rsidRPr="003150A3">
        <w:rPr>
          <w:rFonts w:ascii="Times New Roman" w:hAnsi="Times New Roman"/>
          <w:sz w:val="24"/>
        </w:rPr>
        <w:tab/>
        <w:t>Bhat DS, Gruca LL, Bennett CD, Katre P, Kurpad AV, Yajnik CS, et al. Evaluation of tracer labelled methionine load test in vitamin B-12 deficient adolescent women. PloS One. 2018;13: e0196970. doi:10.1371/journal.pone.0196970</w:t>
      </w:r>
    </w:p>
    <w:p w14:paraId="0DE11B85"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lastRenderedPageBreak/>
        <w:t xml:space="preserve">17. </w:t>
      </w:r>
      <w:r w:rsidRPr="003150A3">
        <w:rPr>
          <w:rFonts w:ascii="Times New Roman" w:hAnsi="Times New Roman"/>
          <w:sz w:val="24"/>
        </w:rPr>
        <w:tab/>
        <w:t xml:space="preserve">Indian Council of Medical Research. Dietary guidelines for Indians. Nat Inst Nutr Second Ed Hyderabad India. 2011; 89–117. </w:t>
      </w:r>
    </w:p>
    <w:p w14:paraId="0FE968DA"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18. </w:t>
      </w:r>
      <w:r w:rsidRPr="003150A3">
        <w:rPr>
          <w:rFonts w:ascii="Times New Roman" w:hAnsi="Times New Roman"/>
          <w:sz w:val="24"/>
        </w:rPr>
        <w:tab/>
        <w:t>Deshmukh US, Joglekar CV, Lubree HG, Ramdas LV, Bhat DS, Naik SS, et al. Effect of physiological doses of oral vitamin B12 on plasma homocysteine: a randomized, placebo-controlled, double-blind trial in India. Eur J Clin Nutr. 2010;64: 495–502. doi:10.1038/ejcn.2010.15</w:t>
      </w:r>
    </w:p>
    <w:p w14:paraId="08683B21"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19. </w:t>
      </w:r>
      <w:r w:rsidRPr="003150A3">
        <w:rPr>
          <w:rFonts w:ascii="Times New Roman" w:hAnsi="Times New Roman"/>
          <w:sz w:val="24"/>
        </w:rPr>
        <w:tab/>
        <w:t xml:space="preserve">Horne DW, Patterson D. Lactobacillus casei microbiological assay of folic acid derivatives in 96-well microtiter plates. Clin Chem. 1988;34: 2357–2359. </w:t>
      </w:r>
    </w:p>
    <w:p w14:paraId="21B122DA"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20. </w:t>
      </w:r>
      <w:r w:rsidRPr="003150A3">
        <w:rPr>
          <w:rFonts w:ascii="Times New Roman" w:hAnsi="Times New Roman"/>
          <w:sz w:val="24"/>
        </w:rPr>
        <w:tab/>
        <w:t xml:space="preserve">Tamura T, Freeberg LE, Cornwell PE. Inhibition of EDTA of growth of Lactobacillus casei in the folate microbiological assay and its reversal by added manganese or iron. Clin Chem. 1990;36: 1993. </w:t>
      </w:r>
    </w:p>
    <w:p w14:paraId="2392D213"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21. </w:t>
      </w:r>
      <w:r w:rsidRPr="003150A3">
        <w:rPr>
          <w:rFonts w:ascii="Times New Roman" w:hAnsi="Times New Roman"/>
          <w:sz w:val="24"/>
        </w:rPr>
        <w:tab/>
        <w:t xml:space="preserve">Ji AJ, Savon SR, Jacobsen DW. Determination of total serum sulfite by HPLC with fluorescence detection. Clin Chem. 1995;41: 897–903. </w:t>
      </w:r>
    </w:p>
    <w:p w14:paraId="5291E450"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22. </w:t>
      </w:r>
      <w:r w:rsidRPr="003150A3">
        <w:rPr>
          <w:rFonts w:ascii="Times New Roman" w:hAnsi="Times New Roman"/>
          <w:sz w:val="24"/>
        </w:rPr>
        <w:tab/>
        <w:t>Yajnik CS, Kantikar VV, Pande AJ, Deslypere JP. Quick and simple evaluation of sudomotor function for screening of diabetic neuropathy. ISRN Endocrinol. 2012;2012: 103714. doi:10.5402/2012/103714</w:t>
      </w:r>
    </w:p>
    <w:p w14:paraId="41F0C0DB"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23. </w:t>
      </w:r>
      <w:r w:rsidRPr="003150A3">
        <w:rPr>
          <w:rFonts w:ascii="Times New Roman" w:hAnsi="Times New Roman"/>
          <w:sz w:val="24"/>
        </w:rPr>
        <w:tab/>
        <w:t>Yajnik CS, Kantikar V, Pande A, Deslypere J-P, Dupin J, Calvet J-H, et al. Screening of cardiovascular autonomic neuropathy in patients with diabetes using non-invasive quick and simple assessment of sudomotor function. Diabetes Metab. 2013;39: 126–131. doi:10.1016/j.diabet.2012.09.004</w:t>
      </w:r>
    </w:p>
    <w:p w14:paraId="4C236BB2"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24. </w:t>
      </w:r>
      <w:r w:rsidRPr="003150A3">
        <w:rPr>
          <w:rFonts w:ascii="Times New Roman" w:hAnsi="Times New Roman"/>
          <w:sz w:val="24"/>
        </w:rPr>
        <w:tab/>
        <w:t xml:space="preserve">Bansal PG, Toteja GS, Bhatia N, Vikram NK, Siddhu A. Impact of weekly iron folic acid supplementation with and </w:t>
      </w:r>
      <w:r w:rsidRPr="003150A3">
        <w:rPr>
          <w:rFonts w:ascii="Times New Roman" w:hAnsi="Times New Roman"/>
          <w:sz w:val="24"/>
        </w:rPr>
        <w:lastRenderedPageBreak/>
        <w:t>without vitamin B12 on anaemic adolescent girls: a randomised clinical trial. Eur J Clin Nutr. 2016;70: 730–737. doi:10.1038/ejcn.2015.215</w:t>
      </w:r>
    </w:p>
    <w:p w14:paraId="05E77937"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25. </w:t>
      </w:r>
      <w:r w:rsidRPr="003150A3">
        <w:rPr>
          <w:rFonts w:ascii="Times New Roman" w:hAnsi="Times New Roman"/>
          <w:sz w:val="24"/>
        </w:rPr>
        <w:tab/>
        <w:t xml:space="preserve">Puri V, Chaudhry N, Goel S, Gulati P, Nehru R, Chowdhury D. Vitamin B12 deficiency: a clinical and electrophysiological profile. Electromyogr Clin Neurophysiol. 2005;45: 273–284. </w:t>
      </w:r>
    </w:p>
    <w:p w14:paraId="1C21D586"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26. </w:t>
      </w:r>
      <w:r w:rsidRPr="003150A3">
        <w:rPr>
          <w:rFonts w:ascii="Times New Roman" w:hAnsi="Times New Roman"/>
          <w:sz w:val="24"/>
        </w:rPr>
        <w:tab/>
        <w:t xml:space="preserve">Misra UK, Kalita J, Das A. Vitamin B12 deficiency neurological syndromes: a clinical, MRI and electrodiagnostic study. Electromyogr Clin Neurophysiol. 2003;43: 57–64. </w:t>
      </w:r>
    </w:p>
    <w:p w14:paraId="59094567"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27. </w:t>
      </w:r>
      <w:r w:rsidRPr="003150A3">
        <w:rPr>
          <w:rFonts w:ascii="Times New Roman" w:hAnsi="Times New Roman"/>
          <w:sz w:val="24"/>
        </w:rPr>
        <w:tab/>
        <w:t>Roy B, Trivedi R, Garg RK, Gupta PK, Tyagi R, Gupta RK. Assessment of functional and structural damage in brain parenchyma in patients with vitamin B12 deficiency: A longitudinal perfusion and diffusion tensor imaging study. Magn Reson Imaging. 2015;33: 537–543. doi:10.1016/j.mri.2015.02.012</w:t>
      </w:r>
    </w:p>
    <w:p w14:paraId="53B86472"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28. </w:t>
      </w:r>
      <w:r w:rsidRPr="003150A3">
        <w:rPr>
          <w:rFonts w:ascii="Times New Roman" w:hAnsi="Times New Roman"/>
          <w:sz w:val="24"/>
        </w:rPr>
        <w:tab/>
        <w:t>Puri BK. Diffusion-weighted imaging signal hyperintensity in subacute combined degeneration of the spinal cord. Neurol India. 2011;59: 331–332. doi:10.4103/0028-3886.82708</w:t>
      </w:r>
    </w:p>
    <w:p w14:paraId="63F2560F"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29. </w:t>
      </w:r>
      <w:r w:rsidRPr="003150A3">
        <w:rPr>
          <w:rFonts w:ascii="Times New Roman" w:hAnsi="Times New Roman"/>
          <w:sz w:val="24"/>
        </w:rPr>
        <w:tab/>
        <w:t>Gupta L, Gupta RK, Gupta PK, Malhotra HS, Saha I, Garg RK. Assessment of brain cognitive functions in patients with vitamin B12 deficiency using resting state functional MRI: A longitudinal study. Magn Reson Imaging. 2016;34: 191–196. doi:10.1016/j.mri.2015.10.026</w:t>
      </w:r>
    </w:p>
    <w:p w14:paraId="62DC65D3" w14:textId="77777777" w:rsidR="003150A3" w:rsidRPr="003150A3" w:rsidRDefault="003150A3" w:rsidP="003150A3">
      <w:pPr>
        <w:pStyle w:val="Bibliography"/>
        <w:rPr>
          <w:rFonts w:ascii="Times New Roman" w:hAnsi="Times New Roman"/>
          <w:sz w:val="24"/>
        </w:rPr>
      </w:pPr>
      <w:r w:rsidRPr="003150A3">
        <w:rPr>
          <w:rFonts w:ascii="Times New Roman" w:hAnsi="Times New Roman"/>
          <w:sz w:val="24"/>
        </w:rPr>
        <w:t xml:space="preserve">30. </w:t>
      </w:r>
      <w:r w:rsidRPr="003150A3">
        <w:rPr>
          <w:rFonts w:ascii="Times New Roman" w:hAnsi="Times New Roman"/>
          <w:sz w:val="24"/>
        </w:rPr>
        <w:tab/>
        <w:t>Gupta PK, Gupta RK, Garg RK, Rai Y, Roy B, Pandey CM, et al. DTI correlates of cognition in conventional MRI of normal-appearing brain in patients with clinical features of subacute combined degeneration and biochemically proven vitamin B(12) deficiency. AJNR Am J Neuroradiol. 2014;35: 872–877. doi:10.3174/ajnr.A3785</w:t>
      </w:r>
    </w:p>
    <w:p w14:paraId="51D51618" w14:textId="4EF8395A" w:rsidR="037D32E8" w:rsidRPr="00CD55C6" w:rsidRDefault="00F61FA6" w:rsidP="00DD44E8">
      <w:pPr>
        <w:spacing w:line="480" w:lineRule="auto"/>
        <w:jc w:val="both"/>
        <w:rPr>
          <w:rFonts w:ascii="Times New Roman" w:eastAsia="Times New Roman" w:hAnsi="Times New Roman" w:cs="Times New Roman"/>
          <w:color w:val="000000" w:themeColor="text1"/>
          <w:sz w:val="24"/>
          <w:szCs w:val="24"/>
          <w:lang w:bidi="mr-IN"/>
        </w:rPr>
      </w:pPr>
      <w:r w:rsidRPr="00175A9A">
        <w:rPr>
          <w:rFonts w:ascii="Times New Roman" w:eastAsia="Times New Roman" w:hAnsi="Times New Roman" w:cs="Times New Roman"/>
          <w:color w:val="000000" w:themeColor="text1"/>
          <w:sz w:val="24"/>
          <w:szCs w:val="24"/>
          <w:lang w:bidi="mr-IN"/>
        </w:rPr>
        <w:lastRenderedPageBreak/>
        <w:fldChar w:fldCharType="end"/>
      </w:r>
    </w:p>
    <w:sectPr w:rsidR="037D32E8" w:rsidRPr="00CD55C6" w:rsidSect="00330CC2">
      <w:footerReference w:type="default" r:id="rId9"/>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FD0CB" w16cid:durableId="202614AF"/>
  <w16cid:commentId w16cid:paraId="21A2B4D0" w16cid:durableId="2013E219"/>
  <w16cid:commentId w16cid:paraId="4B76F8DA" w16cid:durableId="2013E6E8"/>
  <w16cid:commentId w16cid:paraId="71384214" w16cid:durableId="202614B2"/>
  <w16cid:commentId w16cid:paraId="473D4DB2" w16cid:durableId="2013E21D"/>
  <w16cid:commentId w16cid:paraId="53ED76B5" w16cid:durableId="2013EF1D"/>
  <w16cid:commentId w16cid:paraId="6484F56E" w16cid:durableId="200E44EB"/>
  <w16cid:commentId w16cid:paraId="08240729" w16cid:durableId="202614B6"/>
  <w16cid:commentId w16cid:paraId="58F851AA" w16cid:durableId="202614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21EAC" w14:textId="77777777" w:rsidR="00CC42D0" w:rsidRDefault="00CC42D0" w:rsidP="00FD32C0">
      <w:pPr>
        <w:spacing w:after="0" w:line="240" w:lineRule="auto"/>
      </w:pPr>
      <w:r>
        <w:separator/>
      </w:r>
    </w:p>
  </w:endnote>
  <w:endnote w:type="continuationSeparator" w:id="0">
    <w:p w14:paraId="0F574B4E" w14:textId="77777777" w:rsidR="00CC42D0" w:rsidRDefault="00CC42D0" w:rsidP="00FD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793273"/>
      <w:docPartObj>
        <w:docPartGallery w:val="Page Numbers (Bottom of Page)"/>
        <w:docPartUnique/>
      </w:docPartObj>
    </w:sdtPr>
    <w:sdtEndPr>
      <w:rPr>
        <w:noProof/>
      </w:rPr>
    </w:sdtEndPr>
    <w:sdtContent>
      <w:p w14:paraId="2D122896" w14:textId="3C7B3D68" w:rsidR="00D43110" w:rsidRDefault="00D43110">
        <w:pPr>
          <w:pStyle w:val="Footer"/>
          <w:jc w:val="right"/>
        </w:pPr>
        <w:r>
          <w:fldChar w:fldCharType="begin"/>
        </w:r>
        <w:r>
          <w:instrText xml:space="preserve"> PAGE   \* MERGEFORMAT </w:instrText>
        </w:r>
        <w:r>
          <w:fldChar w:fldCharType="separate"/>
        </w:r>
        <w:r w:rsidR="00183CE8">
          <w:rPr>
            <w:noProof/>
          </w:rPr>
          <w:t>1</w:t>
        </w:r>
        <w:r>
          <w:rPr>
            <w:noProof/>
          </w:rPr>
          <w:fldChar w:fldCharType="end"/>
        </w:r>
      </w:p>
    </w:sdtContent>
  </w:sdt>
  <w:p w14:paraId="746E5401" w14:textId="77777777" w:rsidR="00D43110" w:rsidRDefault="00D431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E4A44" w14:textId="77777777" w:rsidR="00CC42D0" w:rsidRDefault="00CC42D0" w:rsidP="00FD32C0">
      <w:pPr>
        <w:spacing w:after="0" w:line="240" w:lineRule="auto"/>
      </w:pPr>
      <w:r>
        <w:separator/>
      </w:r>
    </w:p>
  </w:footnote>
  <w:footnote w:type="continuationSeparator" w:id="0">
    <w:p w14:paraId="121F0C43" w14:textId="77777777" w:rsidR="00CC42D0" w:rsidRDefault="00CC42D0" w:rsidP="00FD3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238B"/>
    <w:multiLevelType w:val="hybridMultilevel"/>
    <w:tmpl w:val="991A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E0DA2"/>
    <w:multiLevelType w:val="hybridMultilevel"/>
    <w:tmpl w:val="3F24B8E8"/>
    <w:lvl w:ilvl="0" w:tplc="ADA66356">
      <w:start w:val="8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42"/>
    <w:rsid w:val="00000D90"/>
    <w:rsid w:val="00000E00"/>
    <w:rsid w:val="0000198A"/>
    <w:rsid w:val="00006C86"/>
    <w:rsid w:val="00006D72"/>
    <w:rsid w:val="0000729D"/>
    <w:rsid w:val="00007CFA"/>
    <w:rsid w:val="00011E2B"/>
    <w:rsid w:val="00014A35"/>
    <w:rsid w:val="00015589"/>
    <w:rsid w:val="000163CE"/>
    <w:rsid w:val="00016502"/>
    <w:rsid w:val="000219A5"/>
    <w:rsid w:val="00023FC1"/>
    <w:rsid w:val="0002680E"/>
    <w:rsid w:val="000270B3"/>
    <w:rsid w:val="000270FB"/>
    <w:rsid w:val="00031557"/>
    <w:rsid w:val="00031BB1"/>
    <w:rsid w:val="00032025"/>
    <w:rsid w:val="00034042"/>
    <w:rsid w:val="00035549"/>
    <w:rsid w:val="00036858"/>
    <w:rsid w:val="00041A5F"/>
    <w:rsid w:val="00045281"/>
    <w:rsid w:val="00051761"/>
    <w:rsid w:val="00052C3C"/>
    <w:rsid w:val="000564A5"/>
    <w:rsid w:val="0005674C"/>
    <w:rsid w:val="00060101"/>
    <w:rsid w:val="000601BA"/>
    <w:rsid w:val="00061872"/>
    <w:rsid w:val="000629ED"/>
    <w:rsid w:val="0006485E"/>
    <w:rsid w:val="00064A58"/>
    <w:rsid w:val="00070B2E"/>
    <w:rsid w:val="000713F0"/>
    <w:rsid w:val="00074417"/>
    <w:rsid w:val="0007735E"/>
    <w:rsid w:val="000775C4"/>
    <w:rsid w:val="00080ACE"/>
    <w:rsid w:val="00081020"/>
    <w:rsid w:val="00081625"/>
    <w:rsid w:val="00082F5E"/>
    <w:rsid w:val="000832DB"/>
    <w:rsid w:val="0008346E"/>
    <w:rsid w:val="00083D00"/>
    <w:rsid w:val="000848B6"/>
    <w:rsid w:val="00085FF1"/>
    <w:rsid w:val="00091591"/>
    <w:rsid w:val="00092FA0"/>
    <w:rsid w:val="0009310D"/>
    <w:rsid w:val="00094538"/>
    <w:rsid w:val="00094BA4"/>
    <w:rsid w:val="0009559E"/>
    <w:rsid w:val="00095FB3"/>
    <w:rsid w:val="000A0BAE"/>
    <w:rsid w:val="000A2710"/>
    <w:rsid w:val="000A33B9"/>
    <w:rsid w:val="000A3555"/>
    <w:rsid w:val="000A3D20"/>
    <w:rsid w:val="000A473D"/>
    <w:rsid w:val="000A61D7"/>
    <w:rsid w:val="000A63D4"/>
    <w:rsid w:val="000A6FC0"/>
    <w:rsid w:val="000A72F7"/>
    <w:rsid w:val="000A768F"/>
    <w:rsid w:val="000B201E"/>
    <w:rsid w:val="000B3429"/>
    <w:rsid w:val="000B3A05"/>
    <w:rsid w:val="000B3AB9"/>
    <w:rsid w:val="000B4D1B"/>
    <w:rsid w:val="000B5035"/>
    <w:rsid w:val="000B686A"/>
    <w:rsid w:val="000C0B11"/>
    <w:rsid w:val="000C1337"/>
    <w:rsid w:val="000C26C7"/>
    <w:rsid w:val="000C3BB5"/>
    <w:rsid w:val="000C6028"/>
    <w:rsid w:val="000C6072"/>
    <w:rsid w:val="000C6679"/>
    <w:rsid w:val="000D0CDB"/>
    <w:rsid w:val="000D2DE4"/>
    <w:rsid w:val="000D30AF"/>
    <w:rsid w:val="000D5D38"/>
    <w:rsid w:val="000D73D5"/>
    <w:rsid w:val="000E357C"/>
    <w:rsid w:val="000E705C"/>
    <w:rsid w:val="000F2B99"/>
    <w:rsid w:val="000F61DD"/>
    <w:rsid w:val="000F6D19"/>
    <w:rsid w:val="000F77C3"/>
    <w:rsid w:val="000F7B5B"/>
    <w:rsid w:val="00100719"/>
    <w:rsid w:val="001019DB"/>
    <w:rsid w:val="00103169"/>
    <w:rsid w:val="0010579C"/>
    <w:rsid w:val="00105C7F"/>
    <w:rsid w:val="00107310"/>
    <w:rsid w:val="001104B4"/>
    <w:rsid w:val="00111321"/>
    <w:rsid w:val="001130AE"/>
    <w:rsid w:val="0011573F"/>
    <w:rsid w:val="00116220"/>
    <w:rsid w:val="00122E04"/>
    <w:rsid w:val="00123F09"/>
    <w:rsid w:val="0012448C"/>
    <w:rsid w:val="0012703E"/>
    <w:rsid w:val="00127840"/>
    <w:rsid w:val="00130962"/>
    <w:rsid w:val="00130E95"/>
    <w:rsid w:val="00131B2E"/>
    <w:rsid w:val="00131BB4"/>
    <w:rsid w:val="00132D3B"/>
    <w:rsid w:val="0013530D"/>
    <w:rsid w:val="00135D9D"/>
    <w:rsid w:val="00142A27"/>
    <w:rsid w:val="00142BA9"/>
    <w:rsid w:val="00142F63"/>
    <w:rsid w:val="001436D7"/>
    <w:rsid w:val="00154BB8"/>
    <w:rsid w:val="00157437"/>
    <w:rsid w:val="0015748B"/>
    <w:rsid w:val="00157C2E"/>
    <w:rsid w:val="001604DE"/>
    <w:rsid w:val="00160868"/>
    <w:rsid w:val="00160A97"/>
    <w:rsid w:val="00161A53"/>
    <w:rsid w:val="00161E62"/>
    <w:rsid w:val="00165B63"/>
    <w:rsid w:val="00175297"/>
    <w:rsid w:val="0017589F"/>
    <w:rsid w:val="00175A9A"/>
    <w:rsid w:val="0017634F"/>
    <w:rsid w:val="00183594"/>
    <w:rsid w:val="00183CE8"/>
    <w:rsid w:val="00183D7C"/>
    <w:rsid w:val="00184C3A"/>
    <w:rsid w:val="00186CF7"/>
    <w:rsid w:val="00186D27"/>
    <w:rsid w:val="00190A1A"/>
    <w:rsid w:val="0019236B"/>
    <w:rsid w:val="00192402"/>
    <w:rsid w:val="00197A1A"/>
    <w:rsid w:val="001A1226"/>
    <w:rsid w:val="001A188C"/>
    <w:rsid w:val="001A2128"/>
    <w:rsid w:val="001A24AC"/>
    <w:rsid w:val="001A30FD"/>
    <w:rsid w:val="001A3945"/>
    <w:rsid w:val="001A40ED"/>
    <w:rsid w:val="001B14DD"/>
    <w:rsid w:val="001B2910"/>
    <w:rsid w:val="001B3F17"/>
    <w:rsid w:val="001B68D8"/>
    <w:rsid w:val="001C08E1"/>
    <w:rsid w:val="001C1EF0"/>
    <w:rsid w:val="001C2633"/>
    <w:rsid w:val="001C2E4D"/>
    <w:rsid w:val="001C5649"/>
    <w:rsid w:val="001D1E72"/>
    <w:rsid w:val="001D6EA0"/>
    <w:rsid w:val="001E321B"/>
    <w:rsid w:val="001E3306"/>
    <w:rsid w:val="001E7AC9"/>
    <w:rsid w:val="001E7F52"/>
    <w:rsid w:val="001E7FCC"/>
    <w:rsid w:val="001F0D2C"/>
    <w:rsid w:val="001F10C9"/>
    <w:rsid w:val="001F13C0"/>
    <w:rsid w:val="001F3B1E"/>
    <w:rsid w:val="001F4FCC"/>
    <w:rsid w:val="001F5560"/>
    <w:rsid w:val="001F6E16"/>
    <w:rsid w:val="001F74BD"/>
    <w:rsid w:val="001F7774"/>
    <w:rsid w:val="002015B2"/>
    <w:rsid w:val="00201865"/>
    <w:rsid w:val="00202D1B"/>
    <w:rsid w:val="002036EB"/>
    <w:rsid w:val="00205017"/>
    <w:rsid w:val="00207B77"/>
    <w:rsid w:val="00210410"/>
    <w:rsid w:val="002120EB"/>
    <w:rsid w:val="00213466"/>
    <w:rsid w:val="00215149"/>
    <w:rsid w:val="00216956"/>
    <w:rsid w:val="002173AF"/>
    <w:rsid w:val="002200F4"/>
    <w:rsid w:val="00221187"/>
    <w:rsid w:val="002218E8"/>
    <w:rsid w:val="00222348"/>
    <w:rsid w:val="00222469"/>
    <w:rsid w:val="00222A39"/>
    <w:rsid w:val="0022348D"/>
    <w:rsid w:val="002308CA"/>
    <w:rsid w:val="00230A8D"/>
    <w:rsid w:val="00232121"/>
    <w:rsid w:val="00234293"/>
    <w:rsid w:val="002347F6"/>
    <w:rsid w:val="002366FC"/>
    <w:rsid w:val="00237D92"/>
    <w:rsid w:val="00240684"/>
    <w:rsid w:val="002406F0"/>
    <w:rsid w:val="00240F31"/>
    <w:rsid w:val="00242CC6"/>
    <w:rsid w:val="00243646"/>
    <w:rsid w:val="00244C27"/>
    <w:rsid w:val="00246FF6"/>
    <w:rsid w:val="0024797D"/>
    <w:rsid w:val="0025030E"/>
    <w:rsid w:val="0025287C"/>
    <w:rsid w:val="00252F8D"/>
    <w:rsid w:val="002546E4"/>
    <w:rsid w:val="002549C9"/>
    <w:rsid w:val="002614A3"/>
    <w:rsid w:val="00261BE6"/>
    <w:rsid w:val="00264935"/>
    <w:rsid w:val="00265168"/>
    <w:rsid w:val="00265978"/>
    <w:rsid w:val="00265CAC"/>
    <w:rsid w:val="00265EF4"/>
    <w:rsid w:val="00267F5C"/>
    <w:rsid w:val="002712AB"/>
    <w:rsid w:val="00272ACF"/>
    <w:rsid w:val="002742C1"/>
    <w:rsid w:val="002743D9"/>
    <w:rsid w:val="002744BD"/>
    <w:rsid w:val="00275425"/>
    <w:rsid w:val="0027567E"/>
    <w:rsid w:val="002766E0"/>
    <w:rsid w:val="00277706"/>
    <w:rsid w:val="002777C8"/>
    <w:rsid w:val="00285170"/>
    <w:rsid w:val="00285A40"/>
    <w:rsid w:val="002872F4"/>
    <w:rsid w:val="002879CB"/>
    <w:rsid w:val="00291F99"/>
    <w:rsid w:val="0029485F"/>
    <w:rsid w:val="002A17F8"/>
    <w:rsid w:val="002A36A5"/>
    <w:rsid w:val="002A56A1"/>
    <w:rsid w:val="002A5FA6"/>
    <w:rsid w:val="002B0B39"/>
    <w:rsid w:val="002B1059"/>
    <w:rsid w:val="002B2FEE"/>
    <w:rsid w:val="002B339D"/>
    <w:rsid w:val="002B3AEC"/>
    <w:rsid w:val="002B458E"/>
    <w:rsid w:val="002B5068"/>
    <w:rsid w:val="002C0232"/>
    <w:rsid w:val="002C231E"/>
    <w:rsid w:val="002C49BE"/>
    <w:rsid w:val="002C7827"/>
    <w:rsid w:val="002D4098"/>
    <w:rsid w:val="002D4401"/>
    <w:rsid w:val="002D59CC"/>
    <w:rsid w:val="002E2C4D"/>
    <w:rsid w:val="002E2C51"/>
    <w:rsid w:val="002E5971"/>
    <w:rsid w:val="002F54B9"/>
    <w:rsid w:val="002F5F56"/>
    <w:rsid w:val="002F6C7F"/>
    <w:rsid w:val="002F7A80"/>
    <w:rsid w:val="00301676"/>
    <w:rsid w:val="00302834"/>
    <w:rsid w:val="00303D9D"/>
    <w:rsid w:val="003150A3"/>
    <w:rsid w:val="00316952"/>
    <w:rsid w:val="003219B1"/>
    <w:rsid w:val="00322C8B"/>
    <w:rsid w:val="0032396E"/>
    <w:rsid w:val="00324CB8"/>
    <w:rsid w:val="00326364"/>
    <w:rsid w:val="003279FF"/>
    <w:rsid w:val="00330CC2"/>
    <w:rsid w:val="00332B24"/>
    <w:rsid w:val="00334C55"/>
    <w:rsid w:val="00336F00"/>
    <w:rsid w:val="00337FBB"/>
    <w:rsid w:val="00340223"/>
    <w:rsid w:val="00341299"/>
    <w:rsid w:val="00342AE7"/>
    <w:rsid w:val="0034434B"/>
    <w:rsid w:val="003458EE"/>
    <w:rsid w:val="00345EA2"/>
    <w:rsid w:val="003470EA"/>
    <w:rsid w:val="00347242"/>
    <w:rsid w:val="003478BF"/>
    <w:rsid w:val="00347D5E"/>
    <w:rsid w:val="00348DE1"/>
    <w:rsid w:val="00352478"/>
    <w:rsid w:val="003537ED"/>
    <w:rsid w:val="00355CF4"/>
    <w:rsid w:val="00356513"/>
    <w:rsid w:val="00360A96"/>
    <w:rsid w:val="00363F1A"/>
    <w:rsid w:val="00366FFF"/>
    <w:rsid w:val="00367C74"/>
    <w:rsid w:val="00370CED"/>
    <w:rsid w:val="00371FC8"/>
    <w:rsid w:val="003735B7"/>
    <w:rsid w:val="0037501E"/>
    <w:rsid w:val="00375458"/>
    <w:rsid w:val="00375A6F"/>
    <w:rsid w:val="00375AEA"/>
    <w:rsid w:val="00376D55"/>
    <w:rsid w:val="00377246"/>
    <w:rsid w:val="00381D96"/>
    <w:rsid w:val="00382675"/>
    <w:rsid w:val="003838DA"/>
    <w:rsid w:val="003859DD"/>
    <w:rsid w:val="00390582"/>
    <w:rsid w:val="00390E40"/>
    <w:rsid w:val="00392233"/>
    <w:rsid w:val="00392ECC"/>
    <w:rsid w:val="003938C1"/>
    <w:rsid w:val="00393E75"/>
    <w:rsid w:val="00393FBF"/>
    <w:rsid w:val="00394E1F"/>
    <w:rsid w:val="003A1A46"/>
    <w:rsid w:val="003A2922"/>
    <w:rsid w:val="003A35AC"/>
    <w:rsid w:val="003B102A"/>
    <w:rsid w:val="003B5CB5"/>
    <w:rsid w:val="003B5D6A"/>
    <w:rsid w:val="003B70C5"/>
    <w:rsid w:val="003C17E1"/>
    <w:rsid w:val="003C205E"/>
    <w:rsid w:val="003C245E"/>
    <w:rsid w:val="003C2CED"/>
    <w:rsid w:val="003C60F3"/>
    <w:rsid w:val="003C7AA1"/>
    <w:rsid w:val="003D027A"/>
    <w:rsid w:val="003D1F2E"/>
    <w:rsid w:val="003D50E7"/>
    <w:rsid w:val="003D7EFF"/>
    <w:rsid w:val="003E0542"/>
    <w:rsid w:val="003E321F"/>
    <w:rsid w:val="003E3445"/>
    <w:rsid w:val="003E41F3"/>
    <w:rsid w:val="003E4201"/>
    <w:rsid w:val="003E4CEB"/>
    <w:rsid w:val="003E5284"/>
    <w:rsid w:val="003E544C"/>
    <w:rsid w:val="003E6310"/>
    <w:rsid w:val="003E645D"/>
    <w:rsid w:val="003E69B3"/>
    <w:rsid w:val="003F24D4"/>
    <w:rsid w:val="003F2ED6"/>
    <w:rsid w:val="003F3195"/>
    <w:rsid w:val="003F3D2A"/>
    <w:rsid w:val="003F4A6E"/>
    <w:rsid w:val="003F510A"/>
    <w:rsid w:val="003F534B"/>
    <w:rsid w:val="003F608A"/>
    <w:rsid w:val="003F632A"/>
    <w:rsid w:val="00402A93"/>
    <w:rsid w:val="004060F2"/>
    <w:rsid w:val="00406D4C"/>
    <w:rsid w:val="00413867"/>
    <w:rsid w:val="00413D1D"/>
    <w:rsid w:val="00414AEE"/>
    <w:rsid w:val="00415CB8"/>
    <w:rsid w:val="00415CE3"/>
    <w:rsid w:val="00420D04"/>
    <w:rsid w:val="00421A7B"/>
    <w:rsid w:val="00421B2D"/>
    <w:rsid w:val="00421B9B"/>
    <w:rsid w:val="00422BDA"/>
    <w:rsid w:val="00424499"/>
    <w:rsid w:val="004247C6"/>
    <w:rsid w:val="0042743E"/>
    <w:rsid w:val="004325B8"/>
    <w:rsid w:val="00434703"/>
    <w:rsid w:val="00434D71"/>
    <w:rsid w:val="0043656C"/>
    <w:rsid w:val="00436D6B"/>
    <w:rsid w:val="004374CE"/>
    <w:rsid w:val="00442710"/>
    <w:rsid w:val="004460BF"/>
    <w:rsid w:val="004469DD"/>
    <w:rsid w:val="00447EB8"/>
    <w:rsid w:val="00451728"/>
    <w:rsid w:val="0045188C"/>
    <w:rsid w:val="00451953"/>
    <w:rsid w:val="004554AB"/>
    <w:rsid w:val="004568B0"/>
    <w:rsid w:val="00460A69"/>
    <w:rsid w:val="004618E0"/>
    <w:rsid w:val="00461D1C"/>
    <w:rsid w:val="00462520"/>
    <w:rsid w:val="004641DE"/>
    <w:rsid w:val="00464B0E"/>
    <w:rsid w:val="0047296E"/>
    <w:rsid w:val="00473810"/>
    <w:rsid w:val="00475351"/>
    <w:rsid w:val="0048022A"/>
    <w:rsid w:val="004815D8"/>
    <w:rsid w:val="004869E3"/>
    <w:rsid w:val="00486DCD"/>
    <w:rsid w:val="00494768"/>
    <w:rsid w:val="00495202"/>
    <w:rsid w:val="00496B9C"/>
    <w:rsid w:val="00496D6F"/>
    <w:rsid w:val="0049776E"/>
    <w:rsid w:val="004A0588"/>
    <w:rsid w:val="004A0651"/>
    <w:rsid w:val="004A0CD6"/>
    <w:rsid w:val="004A39C9"/>
    <w:rsid w:val="004A4C04"/>
    <w:rsid w:val="004A6C52"/>
    <w:rsid w:val="004B2724"/>
    <w:rsid w:val="004B6573"/>
    <w:rsid w:val="004B7013"/>
    <w:rsid w:val="004C1459"/>
    <w:rsid w:val="004C3028"/>
    <w:rsid w:val="004C35DB"/>
    <w:rsid w:val="004C383E"/>
    <w:rsid w:val="004C6602"/>
    <w:rsid w:val="004C6C8E"/>
    <w:rsid w:val="004C6F45"/>
    <w:rsid w:val="004C74B5"/>
    <w:rsid w:val="004C7657"/>
    <w:rsid w:val="004C7753"/>
    <w:rsid w:val="004D176F"/>
    <w:rsid w:val="004D21E1"/>
    <w:rsid w:val="004D2E3A"/>
    <w:rsid w:val="004D3B4F"/>
    <w:rsid w:val="004D42E5"/>
    <w:rsid w:val="004D7164"/>
    <w:rsid w:val="004D7973"/>
    <w:rsid w:val="004E033A"/>
    <w:rsid w:val="004E08E6"/>
    <w:rsid w:val="004E0F90"/>
    <w:rsid w:val="004E22B6"/>
    <w:rsid w:val="004E442B"/>
    <w:rsid w:val="004E4E36"/>
    <w:rsid w:val="004E4E3E"/>
    <w:rsid w:val="004E7163"/>
    <w:rsid w:val="004F091A"/>
    <w:rsid w:val="004F0D08"/>
    <w:rsid w:val="004F1983"/>
    <w:rsid w:val="004F2F01"/>
    <w:rsid w:val="004F35D7"/>
    <w:rsid w:val="004F5963"/>
    <w:rsid w:val="00505581"/>
    <w:rsid w:val="00511339"/>
    <w:rsid w:val="00511B39"/>
    <w:rsid w:val="0051272A"/>
    <w:rsid w:val="005129C1"/>
    <w:rsid w:val="0051303A"/>
    <w:rsid w:val="0051722B"/>
    <w:rsid w:val="00517AFD"/>
    <w:rsid w:val="00520279"/>
    <w:rsid w:val="00520FE1"/>
    <w:rsid w:val="00521041"/>
    <w:rsid w:val="00523A5E"/>
    <w:rsid w:val="005240A4"/>
    <w:rsid w:val="00526A6C"/>
    <w:rsid w:val="005318B6"/>
    <w:rsid w:val="0053217D"/>
    <w:rsid w:val="00532420"/>
    <w:rsid w:val="00532704"/>
    <w:rsid w:val="00533C7F"/>
    <w:rsid w:val="005358D6"/>
    <w:rsid w:val="0053776C"/>
    <w:rsid w:val="0054563A"/>
    <w:rsid w:val="005458A7"/>
    <w:rsid w:val="005458B4"/>
    <w:rsid w:val="0054603B"/>
    <w:rsid w:val="00546F3E"/>
    <w:rsid w:val="0054755D"/>
    <w:rsid w:val="00551908"/>
    <w:rsid w:val="005525D2"/>
    <w:rsid w:val="00552CB5"/>
    <w:rsid w:val="00552DE2"/>
    <w:rsid w:val="00553795"/>
    <w:rsid w:val="00554C0A"/>
    <w:rsid w:val="00554F4A"/>
    <w:rsid w:val="005555C4"/>
    <w:rsid w:val="00555D87"/>
    <w:rsid w:val="00557CAA"/>
    <w:rsid w:val="00557E2E"/>
    <w:rsid w:val="0056116D"/>
    <w:rsid w:val="00561DBC"/>
    <w:rsid w:val="00572B2B"/>
    <w:rsid w:val="00574274"/>
    <w:rsid w:val="00576390"/>
    <w:rsid w:val="0057749D"/>
    <w:rsid w:val="00577D15"/>
    <w:rsid w:val="005800AA"/>
    <w:rsid w:val="00581613"/>
    <w:rsid w:val="005817CB"/>
    <w:rsid w:val="00581BE6"/>
    <w:rsid w:val="00582415"/>
    <w:rsid w:val="00584504"/>
    <w:rsid w:val="00584677"/>
    <w:rsid w:val="005866D6"/>
    <w:rsid w:val="005928CF"/>
    <w:rsid w:val="00593559"/>
    <w:rsid w:val="00595358"/>
    <w:rsid w:val="005973BF"/>
    <w:rsid w:val="00597981"/>
    <w:rsid w:val="005A2A21"/>
    <w:rsid w:val="005A54A1"/>
    <w:rsid w:val="005A5E69"/>
    <w:rsid w:val="005A6BF5"/>
    <w:rsid w:val="005A77F9"/>
    <w:rsid w:val="005A7B0D"/>
    <w:rsid w:val="005A7C5D"/>
    <w:rsid w:val="005B0D44"/>
    <w:rsid w:val="005B1403"/>
    <w:rsid w:val="005B26FA"/>
    <w:rsid w:val="005B4F6B"/>
    <w:rsid w:val="005B6938"/>
    <w:rsid w:val="005B6BC7"/>
    <w:rsid w:val="005C1965"/>
    <w:rsid w:val="005C3763"/>
    <w:rsid w:val="005C3F44"/>
    <w:rsid w:val="005C48ED"/>
    <w:rsid w:val="005C4937"/>
    <w:rsid w:val="005C5DB1"/>
    <w:rsid w:val="005D28C7"/>
    <w:rsid w:val="005D36F4"/>
    <w:rsid w:val="005D4F07"/>
    <w:rsid w:val="005D6E96"/>
    <w:rsid w:val="005D7AE2"/>
    <w:rsid w:val="005E0D83"/>
    <w:rsid w:val="005E253C"/>
    <w:rsid w:val="005E2C5B"/>
    <w:rsid w:val="005E61B1"/>
    <w:rsid w:val="005E78D5"/>
    <w:rsid w:val="005F03AF"/>
    <w:rsid w:val="005F1A95"/>
    <w:rsid w:val="005F2E2F"/>
    <w:rsid w:val="005F3764"/>
    <w:rsid w:val="005F37C8"/>
    <w:rsid w:val="005F5BBC"/>
    <w:rsid w:val="006007AD"/>
    <w:rsid w:val="00601C2C"/>
    <w:rsid w:val="00603A39"/>
    <w:rsid w:val="00607AB3"/>
    <w:rsid w:val="0061157D"/>
    <w:rsid w:val="00611C47"/>
    <w:rsid w:val="00612328"/>
    <w:rsid w:val="0061293A"/>
    <w:rsid w:val="00613351"/>
    <w:rsid w:val="00614E51"/>
    <w:rsid w:val="00616D73"/>
    <w:rsid w:val="00620E2E"/>
    <w:rsid w:val="006245D7"/>
    <w:rsid w:val="00626137"/>
    <w:rsid w:val="00627153"/>
    <w:rsid w:val="0062789A"/>
    <w:rsid w:val="00627B9C"/>
    <w:rsid w:val="00630383"/>
    <w:rsid w:val="00634637"/>
    <w:rsid w:val="006369A9"/>
    <w:rsid w:val="006372D6"/>
    <w:rsid w:val="00637359"/>
    <w:rsid w:val="00637886"/>
    <w:rsid w:val="006408CB"/>
    <w:rsid w:val="00642290"/>
    <w:rsid w:val="006458D6"/>
    <w:rsid w:val="0064656F"/>
    <w:rsid w:val="006469A1"/>
    <w:rsid w:val="00651307"/>
    <w:rsid w:val="006532A4"/>
    <w:rsid w:val="00655741"/>
    <w:rsid w:val="00660DD3"/>
    <w:rsid w:val="006646E6"/>
    <w:rsid w:val="006653CF"/>
    <w:rsid w:val="0066594C"/>
    <w:rsid w:val="006666F9"/>
    <w:rsid w:val="00667AD3"/>
    <w:rsid w:val="00672CC9"/>
    <w:rsid w:val="00673AA6"/>
    <w:rsid w:val="0067649B"/>
    <w:rsid w:val="00677822"/>
    <w:rsid w:val="00680C98"/>
    <w:rsid w:val="006814AF"/>
    <w:rsid w:val="00681A06"/>
    <w:rsid w:val="006833F0"/>
    <w:rsid w:val="0068347F"/>
    <w:rsid w:val="00685776"/>
    <w:rsid w:val="006866CB"/>
    <w:rsid w:val="006879D7"/>
    <w:rsid w:val="00687B67"/>
    <w:rsid w:val="006932DB"/>
    <w:rsid w:val="00694990"/>
    <w:rsid w:val="00697D99"/>
    <w:rsid w:val="00697DF3"/>
    <w:rsid w:val="006A2C91"/>
    <w:rsid w:val="006A34B4"/>
    <w:rsid w:val="006A3C32"/>
    <w:rsid w:val="006A3F3C"/>
    <w:rsid w:val="006A5355"/>
    <w:rsid w:val="006A64BB"/>
    <w:rsid w:val="006B2561"/>
    <w:rsid w:val="006B3D85"/>
    <w:rsid w:val="006B4AC4"/>
    <w:rsid w:val="006B70B8"/>
    <w:rsid w:val="006B7487"/>
    <w:rsid w:val="006C1F28"/>
    <w:rsid w:val="006C44A6"/>
    <w:rsid w:val="006C4C58"/>
    <w:rsid w:val="006C741D"/>
    <w:rsid w:val="006D1545"/>
    <w:rsid w:val="006D1B5F"/>
    <w:rsid w:val="006D29CB"/>
    <w:rsid w:val="006D4599"/>
    <w:rsid w:val="006D4688"/>
    <w:rsid w:val="006D5694"/>
    <w:rsid w:val="006D7490"/>
    <w:rsid w:val="006E0E9F"/>
    <w:rsid w:val="006E23C4"/>
    <w:rsid w:val="006E37A6"/>
    <w:rsid w:val="006E3847"/>
    <w:rsid w:val="006E68AD"/>
    <w:rsid w:val="006E7A68"/>
    <w:rsid w:val="006F2808"/>
    <w:rsid w:val="006F3ADE"/>
    <w:rsid w:val="006F673B"/>
    <w:rsid w:val="006F7F81"/>
    <w:rsid w:val="007005BC"/>
    <w:rsid w:val="00700DF3"/>
    <w:rsid w:val="00701309"/>
    <w:rsid w:val="007014C7"/>
    <w:rsid w:val="00704F64"/>
    <w:rsid w:val="007102D9"/>
    <w:rsid w:val="00710F77"/>
    <w:rsid w:val="00711AF1"/>
    <w:rsid w:val="007129E2"/>
    <w:rsid w:val="007146EC"/>
    <w:rsid w:val="00715107"/>
    <w:rsid w:val="007154CB"/>
    <w:rsid w:val="00715F7D"/>
    <w:rsid w:val="007169A4"/>
    <w:rsid w:val="00723C4C"/>
    <w:rsid w:val="00724BA4"/>
    <w:rsid w:val="00725C18"/>
    <w:rsid w:val="00731006"/>
    <w:rsid w:val="007310C5"/>
    <w:rsid w:val="0073199B"/>
    <w:rsid w:val="00733A0C"/>
    <w:rsid w:val="00734297"/>
    <w:rsid w:val="007347FE"/>
    <w:rsid w:val="00736410"/>
    <w:rsid w:val="00740B6C"/>
    <w:rsid w:val="00741EFD"/>
    <w:rsid w:val="00742238"/>
    <w:rsid w:val="0074258B"/>
    <w:rsid w:val="00743086"/>
    <w:rsid w:val="00745969"/>
    <w:rsid w:val="00747372"/>
    <w:rsid w:val="00752DDE"/>
    <w:rsid w:val="0075319F"/>
    <w:rsid w:val="007543A6"/>
    <w:rsid w:val="00760D41"/>
    <w:rsid w:val="0077139A"/>
    <w:rsid w:val="00772574"/>
    <w:rsid w:val="007729B7"/>
    <w:rsid w:val="00772BBE"/>
    <w:rsid w:val="007802BE"/>
    <w:rsid w:val="007808C7"/>
    <w:rsid w:val="0078146D"/>
    <w:rsid w:val="00781A4C"/>
    <w:rsid w:val="00781AD8"/>
    <w:rsid w:val="00782E1C"/>
    <w:rsid w:val="00783995"/>
    <w:rsid w:val="00784884"/>
    <w:rsid w:val="0078661C"/>
    <w:rsid w:val="00791CA6"/>
    <w:rsid w:val="00791F0E"/>
    <w:rsid w:val="00793D37"/>
    <w:rsid w:val="007944A7"/>
    <w:rsid w:val="00794D6E"/>
    <w:rsid w:val="00795AA2"/>
    <w:rsid w:val="00795BE3"/>
    <w:rsid w:val="007964D0"/>
    <w:rsid w:val="007A072C"/>
    <w:rsid w:val="007A2AD3"/>
    <w:rsid w:val="007A2E39"/>
    <w:rsid w:val="007A3047"/>
    <w:rsid w:val="007A3DB8"/>
    <w:rsid w:val="007A57E9"/>
    <w:rsid w:val="007A7D4C"/>
    <w:rsid w:val="007B15A8"/>
    <w:rsid w:val="007B2724"/>
    <w:rsid w:val="007B366E"/>
    <w:rsid w:val="007B38F4"/>
    <w:rsid w:val="007B6A85"/>
    <w:rsid w:val="007B7C2B"/>
    <w:rsid w:val="007C0C7C"/>
    <w:rsid w:val="007C1370"/>
    <w:rsid w:val="007C2418"/>
    <w:rsid w:val="007C3D6B"/>
    <w:rsid w:val="007C4990"/>
    <w:rsid w:val="007C5F37"/>
    <w:rsid w:val="007C6341"/>
    <w:rsid w:val="007D0BF2"/>
    <w:rsid w:val="007D0C91"/>
    <w:rsid w:val="007D5130"/>
    <w:rsid w:val="007D67B5"/>
    <w:rsid w:val="007E07D4"/>
    <w:rsid w:val="007E3185"/>
    <w:rsid w:val="007E6D6C"/>
    <w:rsid w:val="007F01AE"/>
    <w:rsid w:val="007F24BD"/>
    <w:rsid w:val="007F5986"/>
    <w:rsid w:val="008009DA"/>
    <w:rsid w:val="00805675"/>
    <w:rsid w:val="00805DEA"/>
    <w:rsid w:val="0081041B"/>
    <w:rsid w:val="00810D30"/>
    <w:rsid w:val="008112D9"/>
    <w:rsid w:val="00822EC0"/>
    <w:rsid w:val="00823601"/>
    <w:rsid w:val="008249E8"/>
    <w:rsid w:val="00824A6F"/>
    <w:rsid w:val="00825D6A"/>
    <w:rsid w:val="0082675C"/>
    <w:rsid w:val="008301BD"/>
    <w:rsid w:val="008308DC"/>
    <w:rsid w:val="008313FB"/>
    <w:rsid w:val="0083173E"/>
    <w:rsid w:val="00835E48"/>
    <w:rsid w:val="00840838"/>
    <w:rsid w:val="00841053"/>
    <w:rsid w:val="00842705"/>
    <w:rsid w:val="00842D99"/>
    <w:rsid w:val="00844661"/>
    <w:rsid w:val="0084544C"/>
    <w:rsid w:val="008533B8"/>
    <w:rsid w:val="00853A2C"/>
    <w:rsid w:val="00856100"/>
    <w:rsid w:val="008565F0"/>
    <w:rsid w:val="00857E73"/>
    <w:rsid w:val="00860BE3"/>
    <w:rsid w:val="00862FAB"/>
    <w:rsid w:val="0086336B"/>
    <w:rsid w:val="00866EAE"/>
    <w:rsid w:val="008708F0"/>
    <w:rsid w:val="00874130"/>
    <w:rsid w:val="00875CAC"/>
    <w:rsid w:val="00875FEE"/>
    <w:rsid w:val="0087789B"/>
    <w:rsid w:val="008861CE"/>
    <w:rsid w:val="008874A8"/>
    <w:rsid w:val="00887C80"/>
    <w:rsid w:val="008903FD"/>
    <w:rsid w:val="0089282A"/>
    <w:rsid w:val="00895D32"/>
    <w:rsid w:val="0089754B"/>
    <w:rsid w:val="008A06BC"/>
    <w:rsid w:val="008A2577"/>
    <w:rsid w:val="008A45A6"/>
    <w:rsid w:val="008A5778"/>
    <w:rsid w:val="008A5926"/>
    <w:rsid w:val="008A7013"/>
    <w:rsid w:val="008B09D3"/>
    <w:rsid w:val="008B4570"/>
    <w:rsid w:val="008B47CC"/>
    <w:rsid w:val="008B6B70"/>
    <w:rsid w:val="008B796F"/>
    <w:rsid w:val="008C0745"/>
    <w:rsid w:val="008C2FE7"/>
    <w:rsid w:val="008C46B3"/>
    <w:rsid w:val="008C6AFE"/>
    <w:rsid w:val="008C7658"/>
    <w:rsid w:val="008C780E"/>
    <w:rsid w:val="008D088B"/>
    <w:rsid w:val="008D3EE7"/>
    <w:rsid w:val="008D766F"/>
    <w:rsid w:val="008D7F7E"/>
    <w:rsid w:val="008E0DC6"/>
    <w:rsid w:val="008E1B4E"/>
    <w:rsid w:val="008E1EDA"/>
    <w:rsid w:val="008E5167"/>
    <w:rsid w:val="008E5E75"/>
    <w:rsid w:val="008E6535"/>
    <w:rsid w:val="008E6CD1"/>
    <w:rsid w:val="008E79EC"/>
    <w:rsid w:val="008E7BE0"/>
    <w:rsid w:val="008F20AE"/>
    <w:rsid w:val="008F6B9A"/>
    <w:rsid w:val="00905DC5"/>
    <w:rsid w:val="00912412"/>
    <w:rsid w:val="00914CC0"/>
    <w:rsid w:val="0092081B"/>
    <w:rsid w:val="00920EA4"/>
    <w:rsid w:val="00921248"/>
    <w:rsid w:val="009253C4"/>
    <w:rsid w:val="00926CF1"/>
    <w:rsid w:val="00927072"/>
    <w:rsid w:val="00927302"/>
    <w:rsid w:val="00930123"/>
    <w:rsid w:val="00930FAE"/>
    <w:rsid w:val="0093243A"/>
    <w:rsid w:val="0093398F"/>
    <w:rsid w:val="00933D25"/>
    <w:rsid w:val="009340B2"/>
    <w:rsid w:val="00934BD5"/>
    <w:rsid w:val="00934D1A"/>
    <w:rsid w:val="00935CEA"/>
    <w:rsid w:val="009370E7"/>
    <w:rsid w:val="009434BD"/>
    <w:rsid w:val="009436AD"/>
    <w:rsid w:val="00943B42"/>
    <w:rsid w:val="00944947"/>
    <w:rsid w:val="0094690D"/>
    <w:rsid w:val="00954C7A"/>
    <w:rsid w:val="00957EAA"/>
    <w:rsid w:val="00964866"/>
    <w:rsid w:val="009665C7"/>
    <w:rsid w:val="00966695"/>
    <w:rsid w:val="00967205"/>
    <w:rsid w:val="00971760"/>
    <w:rsid w:val="00974139"/>
    <w:rsid w:val="00975DC5"/>
    <w:rsid w:val="009778C1"/>
    <w:rsid w:val="0098001A"/>
    <w:rsid w:val="00981781"/>
    <w:rsid w:val="009828B5"/>
    <w:rsid w:val="00982941"/>
    <w:rsid w:val="00982B9E"/>
    <w:rsid w:val="00983B59"/>
    <w:rsid w:val="00984890"/>
    <w:rsid w:val="00984CA4"/>
    <w:rsid w:val="009856AA"/>
    <w:rsid w:val="00985B60"/>
    <w:rsid w:val="00985EFD"/>
    <w:rsid w:val="00986459"/>
    <w:rsid w:val="009873EB"/>
    <w:rsid w:val="00992852"/>
    <w:rsid w:val="00995772"/>
    <w:rsid w:val="00996EFC"/>
    <w:rsid w:val="009A1DB9"/>
    <w:rsid w:val="009A275C"/>
    <w:rsid w:val="009A4689"/>
    <w:rsid w:val="009A47C9"/>
    <w:rsid w:val="009A4BED"/>
    <w:rsid w:val="009A7329"/>
    <w:rsid w:val="009A7B7D"/>
    <w:rsid w:val="009B22EC"/>
    <w:rsid w:val="009B2AD5"/>
    <w:rsid w:val="009B372F"/>
    <w:rsid w:val="009B3912"/>
    <w:rsid w:val="009B4178"/>
    <w:rsid w:val="009B4693"/>
    <w:rsid w:val="009B6B40"/>
    <w:rsid w:val="009B7254"/>
    <w:rsid w:val="009C211B"/>
    <w:rsid w:val="009C2DFA"/>
    <w:rsid w:val="009C37F1"/>
    <w:rsid w:val="009C4926"/>
    <w:rsid w:val="009C5DDC"/>
    <w:rsid w:val="009C686A"/>
    <w:rsid w:val="009C778E"/>
    <w:rsid w:val="009D11D1"/>
    <w:rsid w:val="009D149B"/>
    <w:rsid w:val="009D3C57"/>
    <w:rsid w:val="009D4942"/>
    <w:rsid w:val="009D4A76"/>
    <w:rsid w:val="009D5021"/>
    <w:rsid w:val="009D536A"/>
    <w:rsid w:val="009D5DB9"/>
    <w:rsid w:val="009D6F16"/>
    <w:rsid w:val="009E2454"/>
    <w:rsid w:val="009E49AA"/>
    <w:rsid w:val="009E6159"/>
    <w:rsid w:val="009E653B"/>
    <w:rsid w:val="009E7D05"/>
    <w:rsid w:val="009F124E"/>
    <w:rsid w:val="009F3EB7"/>
    <w:rsid w:val="009F52F2"/>
    <w:rsid w:val="009F6309"/>
    <w:rsid w:val="009F6C43"/>
    <w:rsid w:val="009F7C2D"/>
    <w:rsid w:val="00A02996"/>
    <w:rsid w:val="00A04433"/>
    <w:rsid w:val="00A06313"/>
    <w:rsid w:val="00A07E6C"/>
    <w:rsid w:val="00A12258"/>
    <w:rsid w:val="00A135C7"/>
    <w:rsid w:val="00A1405F"/>
    <w:rsid w:val="00A15ED7"/>
    <w:rsid w:val="00A15F61"/>
    <w:rsid w:val="00A20993"/>
    <w:rsid w:val="00A225DC"/>
    <w:rsid w:val="00A26AC1"/>
    <w:rsid w:val="00A275BE"/>
    <w:rsid w:val="00A30DAD"/>
    <w:rsid w:val="00A34425"/>
    <w:rsid w:val="00A36189"/>
    <w:rsid w:val="00A36843"/>
    <w:rsid w:val="00A4254F"/>
    <w:rsid w:val="00A42B60"/>
    <w:rsid w:val="00A43FD0"/>
    <w:rsid w:val="00A44C24"/>
    <w:rsid w:val="00A46FE5"/>
    <w:rsid w:val="00A47DF8"/>
    <w:rsid w:val="00A512A7"/>
    <w:rsid w:val="00A5412E"/>
    <w:rsid w:val="00A562D2"/>
    <w:rsid w:val="00A576F6"/>
    <w:rsid w:val="00A57F5A"/>
    <w:rsid w:val="00A60F31"/>
    <w:rsid w:val="00A610C1"/>
    <w:rsid w:val="00A61347"/>
    <w:rsid w:val="00A6774A"/>
    <w:rsid w:val="00A71CE1"/>
    <w:rsid w:val="00A72BB7"/>
    <w:rsid w:val="00A74398"/>
    <w:rsid w:val="00A7447D"/>
    <w:rsid w:val="00A74B52"/>
    <w:rsid w:val="00A83744"/>
    <w:rsid w:val="00A84132"/>
    <w:rsid w:val="00A84515"/>
    <w:rsid w:val="00A85EA6"/>
    <w:rsid w:val="00A86020"/>
    <w:rsid w:val="00A860D6"/>
    <w:rsid w:val="00A87ECA"/>
    <w:rsid w:val="00A87F74"/>
    <w:rsid w:val="00A90A98"/>
    <w:rsid w:val="00A92524"/>
    <w:rsid w:val="00A942CD"/>
    <w:rsid w:val="00A96AF0"/>
    <w:rsid w:val="00A974C5"/>
    <w:rsid w:val="00A97CAD"/>
    <w:rsid w:val="00AA1D6E"/>
    <w:rsid w:val="00AA29F1"/>
    <w:rsid w:val="00AA2EDE"/>
    <w:rsid w:val="00AA3541"/>
    <w:rsid w:val="00AA38E0"/>
    <w:rsid w:val="00AA3D41"/>
    <w:rsid w:val="00AB007C"/>
    <w:rsid w:val="00AB0A89"/>
    <w:rsid w:val="00AB7565"/>
    <w:rsid w:val="00AC03FE"/>
    <w:rsid w:val="00AC0574"/>
    <w:rsid w:val="00AC0B72"/>
    <w:rsid w:val="00AC1F15"/>
    <w:rsid w:val="00AC52E7"/>
    <w:rsid w:val="00AC6FD9"/>
    <w:rsid w:val="00AD08EF"/>
    <w:rsid w:val="00AD43C2"/>
    <w:rsid w:val="00AD4A1D"/>
    <w:rsid w:val="00AD5665"/>
    <w:rsid w:val="00AD6342"/>
    <w:rsid w:val="00AD65F6"/>
    <w:rsid w:val="00AD698C"/>
    <w:rsid w:val="00AD7164"/>
    <w:rsid w:val="00AE3331"/>
    <w:rsid w:val="00AE4471"/>
    <w:rsid w:val="00AE4A3A"/>
    <w:rsid w:val="00AF10B8"/>
    <w:rsid w:val="00AF1104"/>
    <w:rsid w:val="00AF1EFA"/>
    <w:rsid w:val="00AF217A"/>
    <w:rsid w:val="00AF23C0"/>
    <w:rsid w:val="00AF3AD0"/>
    <w:rsid w:val="00AF4647"/>
    <w:rsid w:val="00AF6D68"/>
    <w:rsid w:val="00AF7A21"/>
    <w:rsid w:val="00B03C12"/>
    <w:rsid w:val="00B0667F"/>
    <w:rsid w:val="00B07295"/>
    <w:rsid w:val="00B10C94"/>
    <w:rsid w:val="00B11989"/>
    <w:rsid w:val="00B129ED"/>
    <w:rsid w:val="00B171A2"/>
    <w:rsid w:val="00B17CFC"/>
    <w:rsid w:val="00B26376"/>
    <w:rsid w:val="00B31A01"/>
    <w:rsid w:val="00B4185A"/>
    <w:rsid w:val="00B4333C"/>
    <w:rsid w:val="00B43B05"/>
    <w:rsid w:val="00B44F4A"/>
    <w:rsid w:val="00B451FF"/>
    <w:rsid w:val="00B457D0"/>
    <w:rsid w:val="00B45C37"/>
    <w:rsid w:val="00B46AD7"/>
    <w:rsid w:val="00B47936"/>
    <w:rsid w:val="00B504A5"/>
    <w:rsid w:val="00B51DC7"/>
    <w:rsid w:val="00B53C1C"/>
    <w:rsid w:val="00B53E1C"/>
    <w:rsid w:val="00B55805"/>
    <w:rsid w:val="00B56567"/>
    <w:rsid w:val="00B57BFC"/>
    <w:rsid w:val="00B57F3D"/>
    <w:rsid w:val="00B62E4A"/>
    <w:rsid w:val="00B63301"/>
    <w:rsid w:val="00B6459B"/>
    <w:rsid w:val="00B70DB0"/>
    <w:rsid w:val="00B72E5B"/>
    <w:rsid w:val="00B74AA5"/>
    <w:rsid w:val="00B756CD"/>
    <w:rsid w:val="00B77ABE"/>
    <w:rsid w:val="00B81952"/>
    <w:rsid w:val="00B8263C"/>
    <w:rsid w:val="00B82706"/>
    <w:rsid w:val="00B839AA"/>
    <w:rsid w:val="00B84DE8"/>
    <w:rsid w:val="00B865B8"/>
    <w:rsid w:val="00B86C8D"/>
    <w:rsid w:val="00B86F3B"/>
    <w:rsid w:val="00B90D59"/>
    <w:rsid w:val="00B97B4C"/>
    <w:rsid w:val="00B97DA4"/>
    <w:rsid w:val="00BA0554"/>
    <w:rsid w:val="00BA2B8C"/>
    <w:rsid w:val="00BA33D7"/>
    <w:rsid w:val="00BA3B5C"/>
    <w:rsid w:val="00BA68BE"/>
    <w:rsid w:val="00BA7A18"/>
    <w:rsid w:val="00BB19B2"/>
    <w:rsid w:val="00BB44A0"/>
    <w:rsid w:val="00BB6733"/>
    <w:rsid w:val="00BB796F"/>
    <w:rsid w:val="00BB7A9D"/>
    <w:rsid w:val="00BC0F2D"/>
    <w:rsid w:val="00BC2677"/>
    <w:rsid w:val="00BC3A9A"/>
    <w:rsid w:val="00BC3FC5"/>
    <w:rsid w:val="00BD2343"/>
    <w:rsid w:val="00BD4533"/>
    <w:rsid w:val="00BD4B7E"/>
    <w:rsid w:val="00BD70D3"/>
    <w:rsid w:val="00BE174F"/>
    <w:rsid w:val="00BE2D1D"/>
    <w:rsid w:val="00BE6F87"/>
    <w:rsid w:val="00BE7312"/>
    <w:rsid w:val="00BF08B7"/>
    <w:rsid w:val="00BF2E8C"/>
    <w:rsid w:val="00BF300C"/>
    <w:rsid w:val="00BF45E6"/>
    <w:rsid w:val="00BF5755"/>
    <w:rsid w:val="00BF5C2C"/>
    <w:rsid w:val="00BF5C75"/>
    <w:rsid w:val="00BF6895"/>
    <w:rsid w:val="00C0105B"/>
    <w:rsid w:val="00C01C90"/>
    <w:rsid w:val="00C07C47"/>
    <w:rsid w:val="00C1057C"/>
    <w:rsid w:val="00C15305"/>
    <w:rsid w:val="00C16D5A"/>
    <w:rsid w:val="00C2098D"/>
    <w:rsid w:val="00C24427"/>
    <w:rsid w:val="00C26AF9"/>
    <w:rsid w:val="00C30F49"/>
    <w:rsid w:val="00C3369C"/>
    <w:rsid w:val="00C34D97"/>
    <w:rsid w:val="00C354DF"/>
    <w:rsid w:val="00C35D45"/>
    <w:rsid w:val="00C469E1"/>
    <w:rsid w:val="00C4723B"/>
    <w:rsid w:val="00C47624"/>
    <w:rsid w:val="00C47994"/>
    <w:rsid w:val="00C47D1B"/>
    <w:rsid w:val="00C50B0B"/>
    <w:rsid w:val="00C50C61"/>
    <w:rsid w:val="00C51130"/>
    <w:rsid w:val="00C51566"/>
    <w:rsid w:val="00C57F26"/>
    <w:rsid w:val="00C60E0E"/>
    <w:rsid w:val="00C61DB8"/>
    <w:rsid w:val="00C61E45"/>
    <w:rsid w:val="00C622F8"/>
    <w:rsid w:val="00C64B45"/>
    <w:rsid w:val="00C64D7F"/>
    <w:rsid w:val="00C668A7"/>
    <w:rsid w:val="00C727EC"/>
    <w:rsid w:val="00C72B24"/>
    <w:rsid w:val="00C77D24"/>
    <w:rsid w:val="00C83A82"/>
    <w:rsid w:val="00C84071"/>
    <w:rsid w:val="00C85A4D"/>
    <w:rsid w:val="00C85A58"/>
    <w:rsid w:val="00C90C62"/>
    <w:rsid w:val="00C93C9E"/>
    <w:rsid w:val="00CA02F1"/>
    <w:rsid w:val="00CA3349"/>
    <w:rsid w:val="00CA492C"/>
    <w:rsid w:val="00CA5D9E"/>
    <w:rsid w:val="00CA7EEE"/>
    <w:rsid w:val="00CB09E2"/>
    <w:rsid w:val="00CB0B3B"/>
    <w:rsid w:val="00CB296E"/>
    <w:rsid w:val="00CB47AA"/>
    <w:rsid w:val="00CB6D97"/>
    <w:rsid w:val="00CB7D68"/>
    <w:rsid w:val="00CC010B"/>
    <w:rsid w:val="00CC228A"/>
    <w:rsid w:val="00CC254D"/>
    <w:rsid w:val="00CC2E5B"/>
    <w:rsid w:val="00CC3A7E"/>
    <w:rsid w:val="00CC42D0"/>
    <w:rsid w:val="00CC5BD3"/>
    <w:rsid w:val="00CD0B1D"/>
    <w:rsid w:val="00CD12FA"/>
    <w:rsid w:val="00CD55C6"/>
    <w:rsid w:val="00CD6012"/>
    <w:rsid w:val="00CD6D6B"/>
    <w:rsid w:val="00CD6FBD"/>
    <w:rsid w:val="00CE016F"/>
    <w:rsid w:val="00CE0428"/>
    <w:rsid w:val="00CE21B3"/>
    <w:rsid w:val="00CE2360"/>
    <w:rsid w:val="00CE3A6F"/>
    <w:rsid w:val="00CE572C"/>
    <w:rsid w:val="00CF0844"/>
    <w:rsid w:val="00CF1B27"/>
    <w:rsid w:val="00CF38C2"/>
    <w:rsid w:val="00CF4F1A"/>
    <w:rsid w:val="00CF6372"/>
    <w:rsid w:val="00CF6C7D"/>
    <w:rsid w:val="00CF7699"/>
    <w:rsid w:val="00D003ED"/>
    <w:rsid w:val="00D0153E"/>
    <w:rsid w:val="00D01CE4"/>
    <w:rsid w:val="00D047F3"/>
    <w:rsid w:val="00D1549D"/>
    <w:rsid w:val="00D15664"/>
    <w:rsid w:val="00D171C6"/>
    <w:rsid w:val="00D2301E"/>
    <w:rsid w:val="00D233B6"/>
    <w:rsid w:val="00D305F6"/>
    <w:rsid w:val="00D30A7A"/>
    <w:rsid w:val="00D3497F"/>
    <w:rsid w:val="00D35748"/>
    <w:rsid w:val="00D365C5"/>
    <w:rsid w:val="00D3679D"/>
    <w:rsid w:val="00D372CE"/>
    <w:rsid w:val="00D37A4A"/>
    <w:rsid w:val="00D41188"/>
    <w:rsid w:val="00D4176E"/>
    <w:rsid w:val="00D42913"/>
    <w:rsid w:val="00D43110"/>
    <w:rsid w:val="00D4330C"/>
    <w:rsid w:val="00D461DD"/>
    <w:rsid w:val="00D47006"/>
    <w:rsid w:val="00D47164"/>
    <w:rsid w:val="00D52A5D"/>
    <w:rsid w:val="00D53B40"/>
    <w:rsid w:val="00D53C7D"/>
    <w:rsid w:val="00D54C77"/>
    <w:rsid w:val="00D55B34"/>
    <w:rsid w:val="00D560CA"/>
    <w:rsid w:val="00D56976"/>
    <w:rsid w:val="00D60E7B"/>
    <w:rsid w:val="00D62A93"/>
    <w:rsid w:val="00D64867"/>
    <w:rsid w:val="00D65F5C"/>
    <w:rsid w:val="00D67219"/>
    <w:rsid w:val="00D67A0B"/>
    <w:rsid w:val="00D67EA3"/>
    <w:rsid w:val="00D704E5"/>
    <w:rsid w:val="00D7120F"/>
    <w:rsid w:val="00D71D9B"/>
    <w:rsid w:val="00D736BE"/>
    <w:rsid w:val="00D743F8"/>
    <w:rsid w:val="00D80094"/>
    <w:rsid w:val="00D80FD6"/>
    <w:rsid w:val="00D853C4"/>
    <w:rsid w:val="00D85D6A"/>
    <w:rsid w:val="00D8602B"/>
    <w:rsid w:val="00D87FDA"/>
    <w:rsid w:val="00D90750"/>
    <w:rsid w:val="00D9103E"/>
    <w:rsid w:val="00D91D97"/>
    <w:rsid w:val="00D92795"/>
    <w:rsid w:val="00D93E55"/>
    <w:rsid w:val="00D94AA6"/>
    <w:rsid w:val="00D94BEF"/>
    <w:rsid w:val="00D9529A"/>
    <w:rsid w:val="00D952E7"/>
    <w:rsid w:val="00D95349"/>
    <w:rsid w:val="00D95351"/>
    <w:rsid w:val="00DA45C0"/>
    <w:rsid w:val="00DA5110"/>
    <w:rsid w:val="00DA629B"/>
    <w:rsid w:val="00DB055E"/>
    <w:rsid w:val="00DB2508"/>
    <w:rsid w:val="00DB41E6"/>
    <w:rsid w:val="00DB4948"/>
    <w:rsid w:val="00DB595B"/>
    <w:rsid w:val="00DB7012"/>
    <w:rsid w:val="00DC02EE"/>
    <w:rsid w:val="00DC3114"/>
    <w:rsid w:val="00DC5FD9"/>
    <w:rsid w:val="00DC7D61"/>
    <w:rsid w:val="00DD406D"/>
    <w:rsid w:val="00DD44E8"/>
    <w:rsid w:val="00DD49CB"/>
    <w:rsid w:val="00DE0557"/>
    <w:rsid w:val="00DE0D63"/>
    <w:rsid w:val="00DE0F04"/>
    <w:rsid w:val="00DE3F83"/>
    <w:rsid w:val="00DE5066"/>
    <w:rsid w:val="00DE6D5C"/>
    <w:rsid w:val="00DF04BB"/>
    <w:rsid w:val="00DF0E66"/>
    <w:rsid w:val="00DF20F5"/>
    <w:rsid w:val="00DF3396"/>
    <w:rsid w:val="00DF3435"/>
    <w:rsid w:val="00DF61A0"/>
    <w:rsid w:val="00DF6B30"/>
    <w:rsid w:val="00DF7999"/>
    <w:rsid w:val="00E01E93"/>
    <w:rsid w:val="00E04280"/>
    <w:rsid w:val="00E067FB"/>
    <w:rsid w:val="00E10565"/>
    <w:rsid w:val="00E10F1C"/>
    <w:rsid w:val="00E11ABB"/>
    <w:rsid w:val="00E12B3C"/>
    <w:rsid w:val="00E15215"/>
    <w:rsid w:val="00E15F88"/>
    <w:rsid w:val="00E16BAF"/>
    <w:rsid w:val="00E219EB"/>
    <w:rsid w:val="00E22F9F"/>
    <w:rsid w:val="00E3056C"/>
    <w:rsid w:val="00E31C79"/>
    <w:rsid w:val="00E35922"/>
    <w:rsid w:val="00E365AA"/>
    <w:rsid w:val="00E42107"/>
    <w:rsid w:val="00E42250"/>
    <w:rsid w:val="00E431DA"/>
    <w:rsid w:val="00E43256"/>
    <w:rsid w:val="00E44395"/>
    <w:rsid w:val="00E45380"/>
    <w:rsid w:val="00E4553D"/>
    <w:rsid w:val="00E47417"/>
    <w:rsid w:val="00E47A43"/>
    <w:rsid w:val="00E47DDA"/>
    <w:rsid w:val="00E50E97"/>
    <w:rsid w:val="00E5277E"/>
    <w:rsid w:val="00E5417B"/>
    <w:rsid w:val="00E60510"/>
    <w:rsid w:val="00E6248B"/>
    <w:rsid w:val="00E6288E"/>
    <w:rsid w:val="00E641A6"/>
    <w:rsid w:val="00E64C85"/>
    <w:rsid w:val="00E64D53"/>
    <w:rsid w:val="00E66806"/>
    <w:rsid w:val="00E70746"/>
    <w:rsid w:val="00E70A3A"/>
    <w:rsid w:val="00E72537"/>
    <w:rsid w:val="00E760BC"/>
    <w:rsid w:val="00E804E0"/>
    <w:rsid w:val="00E81F6D"/>
    <w:rsid w:val="00E835A0"/>
    <w:rsid w:val="00E842B5"/>
    <w:rsid w:val="00E8547D"/>
    <w:rsid w:val="00E85587"/>
    <w:rsid w:val="00E87D1C"/>
    <w:rsid w:val="00E92DC0"/>
    <w:rsid w:val="00E93171"/>
    <w:rsid w:val="00E93899"/>
    <w:rsid w:val="00E939D4"/>
    <w:rsid w:val="00E95024"/>
    <w:rsid w:val="00EA08B1"/>
    <w:rsid w:val="00EA24D9"/>
    <w:rsid w:val="00EA2A43"/>
    <w:rsid w:val="00EA38B2"/>
    <w:rsid w:val="00EA7997"/>
    <w:rsid w:val="00EA7C5B"/>
    <w:rsid w:val="00EB071E"/>
    <w:rsid w:val="00EB2536"/>
    <w:rsid w:val="00EB7A95"/>
    <w:rsid w:val="00EC46DE"/>
    <w:rsid w:val="00ED0A02"/>
    <w:rsid w:val="00ED0E3D"/>
    <w:rsid w:val="00ED21EF"/>
    <w:rsid w:val="00ED7939"/>
    <w:rsid w:val="00EE3221"/>
    <w:rsid w:val="00EE3AA3"/>
    <w:rsid w:val="00EE41B8"/>
    <w:rsid w:val="00EE5DBC"/>
    <w:rsid w:val="00EE7BBA"/>
    <w:rsid w:val="00EF3CE4"/>
    <w:rsid w:val="00EF56D3"/>
    <w:rsid w:val="00EF6FF3"/>
    <w:rsid w:val="00EF7719"/>
    <w:rsid w:val="00F03237"/>
    <w:rsid w:val="00F0441A"/>
    <w:rsid w:val="00F04465"/>
    <w:rsid w:val="00F04AA4"/>
    <w:rsid w:val="00F108FF"/>
    <w:rsid w:val="00F114D5"/>
    <w:rsid w:val="00F11C2D"/>
    <w:rsid w:val="00F1254E"/>
    <w:rsid w:val="00F1725F"/>
    <w:rsid w:val="00F17B88"/>
    <w:rsid w:val="00F20D01"/>
    <w:rsid w:val="00F21D17"/>
    <w:rsid w:val="00F25B2F"/>
    <w:rsid w:val="00F2695E"/>
    <w:rsid w:val="00F3130B"/>
    <w:rsid w:val="00F33E75"/>
    <w:rsid w:val="00F349E1"/>
    <w:rsid w:val="00F34E03"/>
    <w:rsid w:val="00F35897"/>
    <w:rsid w:val="00F35DF4"/>
    <w:rsid w:val="00F36E1D"/>
    <w:rsid w:val="00F428CB"/>
    <w:rsid w:val="00F44FBC"/>
    <w:rsid w:val="00F46DAC"/>
    <w:rsid w:val="00F50144"/>
    <w:rsid w:val="00F50C91"/>
    <w:rsid w:val="00F52C04"/>
    <w:rsid w:val="00F5321A"/>
    <w:rsid w:val="00F54415"/>
    <w:rsid w:val="00F56E9D"/>
    <w:rsid w:val="00F61FA6"/>
    <w:rsid w:val="00F62176"/>
    <w:rsid w:val="00F653A4"/>
    <w:rsid w:val="00F66BA9"/>
    <w:rsid w:val="00F66F34"/>
    <w:rsid w:val="00F71165"/>
    <w:rsid w:val="00F724F4"/>
    <w:rsid w:val="00F73249"/>
    <w:rsid w:val="00F7425E"/>
    <w:rsid w:val="00F76A2F"/>
    <w:rsid w:val="00F8091B"/>
    <w:rsid w:val="00F85DB6"/>
    <w:rsid w:val="00F867F6"/>
    <w:rsid w:val="00F87E01"/>
    <w:rsid w:val="00F92305"/>
    <w:rsid w:val="00F92C54"/>
    <w:rsid w:val="00F94369"/>
    <w:rsid w:val="00F95E7A"/>
    <w:rsid w:val="00F97976"/>
    <w:rsid w:val="00FA0710"/>
    <w:rsid w:val="00FA09CF"/>
    <w:rsid w:val="00FA2A5F"/>
    <w:rsid w:val="00FA314C"/>
    <w:rsid w:val="00FA4CFF"/>
    <w:rsid w:val="00FB4746"/>
    <w:rsid w:val="00FB6A14"/>
    <w:rsid w:val="00FC2535"/>
    <w:rsid w:val="00FC36A9"/>
    <w:rsid w:val="00FC6050"/>
    <w:rsid w:val="00FD2206"/>
    <w:rsid w:val="00FD32C0"/>
    <w:rsid w:val="00FD33DC"/>
    <w:rsid w:val="00FD57CE"/>
    <w:rsid w:val="00FD5A00"/>
    <w:rsid w:val="00FD647F"/>
    <w:rsid w:val="00FD755E"/>
    <w:rsid w:val="00FD76E0"/>
    <w:rsid w:val="00FE0C84"/>
    <w:rsid w:val="00FE0FEA"/>
    <w:rsid w:val="00FE19A5"/>
    <w:rsid w:val="00FE3DD5"/>
    <w:rsid w:val="00FE5560"/>
    <w:rsid w:val="00FE7F82"/>
    <w:rsid w:val="00FF0699"/>
    <w:rsid w:val="00FF09A0"/>
    <w:rsid w:val="00FF3533"/>
    <w:rsid w:val="00FF6692"/>
    <w:rsid w:val="00FF77E9"/>
    <w:rsid w:val="017564C1"/>
    <w:rsid w:val="037D32E8"/>
    <w:rsid w:val="0394D702"/>
    <w:rsid w:val="06A0670D"/>
    <w:rsid w:val="07C5DB2D"/>
    <w:rsid w:val="087A3D95"/>
    <w:rsid w:val="0886C1C4"/>
    <w:rsid w:val="09F88027"/>
    <w:rsid w:val="09FE911A"/>
    <w:rsid w:val="0B1F292C"/>
    <w:rsid w:val="0FA550F5"/>
    <w:rsid w:val="190B5F3D"/>
    <w:rsid w:val="1F5182A8"/>
    <w:rsid w:val="20E975FE"/>
    <w:rsid w:val="254D5926"/>
    <w:rsid w:val="25D4FEF3"/>
    <w:rsid w:val="25D80D98"/>
    <w:rsid w:val="26927618"/>
    <w:rsid w:val="2907CEC5"/>
    <w:rsid w:val="2C05E75B"/>
    <w:rsid w:val="2F779450"/>
    <w:rsid w:val="323F6BB0"/>
    <w:rsid w:val="339DD83D"/>
    <w:rsid w:val="3874861A"/>
    <w:rsid w:val="3B6E5C03"/>
    <w:rsid w:val="3CAE2099"/>
    <w:rsid w:val="41468D87"/>
    <w:rsid w:val="4A5E9BCF"/>
    <w:rsid w:val="5083C49A"/>
    <w:rsid w:val="5846F0E5"/>
    <w:rsid w:val="5888E395"/>
    <w:rsid w:val="5B1857E5"/>
    <w:rsid w:val="5DA1D20C"/>
    <w:rsid w:val="5E49CCA3"/>
    <w:rsid w:val="5F514B2B"/>
    <w:rsid w:val="63A8B30E"/>
    <w:rsid w:val="69C702D1"/>
    <w:rsid w:val="6B223B21"/>
    <w:rsid w:val="6BC2CE40"/>
    <w:rsid w:val="6E58F3D4"/>
    <w:rsid w:val="768E5FB8"/>
    <w:rsid w:val="76EFBB62"/>
    <w:rsid w:val="7A0B85AC"/>
    <w:rsid w:val="7AAD86A0"/>
    <w:rsid w:val="7AF04111"/>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E0B22"/>
  <w15:docId w15:val="{00E240DD-0EDD-4CC7-8506-7CB5B27C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27EC"/>
    <w:pPr>
      <w:spacing w:before="100" w:beforeAutospacing="1" w:after="100" w:afterAutospacing="1" w:line="240" w:lineRule="auto"/>
      <w:outlineLvl w:val="1"/>
    </w:pPr>
    <w:rPr>
      <w:rFonts w:ascii="Times New Roman" w:eastAsia="Times New Roman" w:hAnsi="Times New Roman" w:cs="Times New Roman"/>
      <w:b/>
      <w:bCs/>
      <w:sz w:val="36"/>
      <w:szCs w:val="36"/>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6FE5"/>
    <w:rPr>
      <w:sz w:val="16"/>
      <w:szCs w:val="16"/>
    </w:rPr>
  </w:style>
  <w:style w:type="paragraph" w:styleId="CommentText">
    <w:name w:val="annotation text"/>
    <w:basedOn w:val="Normal"/>
    <w:link w:val="CommentTextChar"/>
    <w:uiPriority w:val="99"/>
    <w:semiHidden/>
    <w:unhideWhenUsed/>
    <w:rsid w:val="00A46FE5"/>
    <w:pPr>
      <w:spacing w:line="240" w:lineRule="auto"/>
    </w:pPr>
    <w:rPr>
      <w:sz w:val="20"/>
      <w:szCs w:val="20"/>
    </w:rPr>
  </w:style>
  <w:style w:type="character" w:customStyle="1" w:styleId="CommentTextChar">
    <w:name w:val="Comment Text Char"/>
    <w:basedOn w:val="DefaultParagraphFont"/>
    <w:link w:val="CommentText"/>
    <w:uiPriority w:val="99"/>
    <w:semiHidden/>
    <w:rsid w:val="00A46FE5"/>
    <w:rPr>
      <w:sz w:val="20"/>
      <w:szCs w:val="20"/>
    </w:rPr>
  </w:style>
  <w:style w:type="paragraph" w:styleId="CommentSubject">
    <w:name w:val="annotation subject"/>
    <w:basedOn w:val="CommentText"/>
    <w:next w:val="CommentText"/>
    <w:link w:val="CommentSubjectChar"/>
    <w:uiPriority w:val="99"/>
    <w:semiHidden/>
    <w:unhideWhenUsed/>
    <w:rsid w:val="00A46FE5"/>
    <w:rPr>
      <w:b/>
      <w:bCs/>
    </w:rPr>
  </w:style>
  <w:style w:type="character" w:customStyle="1" w:styleId="CommentSubjectChar">
    <w:name w:val="Comment Subject Char"/>
    <w:basedOn w:val="CommentTextChar"/>
    <w:link w:val="CommentSubject"/>
    <w:uiPriority w:val="99"/>
    <w:semiHidden/>
    <w:rsid w:val="00A46FE5"/>
    <w:rPr>
      <w:b/>
      <w:bCs/>
      <w:sz w:val="20"/>
      <w:szCs w:val="20"/>
    </w:rPr>
  </w:style>
  <w:style w:type="paragraph" w:styleId="BalloonText">
    <w:name w:val="Balloon Text"/>
    <w:basedOn w:val="Normal"/>
    <w:link w:val="BalloonTextChar"/>
    <w:uiPriority w:val="99"/>
    <w:semiHidden/>
    <w:unhideWhenUsed/>
    <w:rsid w:val="00A46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FE5"/>
    <w:rPr>
      <w:rFonts w:ascii="Segoe UI" w:hAnsi="Segoe UI" w:cs="Segoe UI"/>
      <w:sz w:val="18"/>
      <w:szCs w:val="18"/>
    </w:rPr>
  </w:style>
  <w:style w:type="paragraph" w:styleId="ListParagraph">
    <w:name w:val="List Paragraph"/>
    <w:basedOn w:val="Normal"/>
    <w:uiPriority w:val="34"/>
    <w:qFormat/>
    <w:rsid w:val="000A3555"/>
    <w:pPr>
      <w:ind w:left="720"/>
      <w:contextualSpacing/>
    </w:pPr>
  </w:style>
  <w:style w:type="character" w:styleId="Hyperlink">
    <w:name w:val="Hyperlink"/>
    <w:basedOn w:val="DefaultParagraphFont"/>
    <w:uiPriority w:val="99"/>
    <w:unhideWhenUsed/>
    <w:rsid w:val="00421A7B"/>
    <w:rPr>
      <w:color w:val="0000FF"/>
      <w:u w:val="single"/>
    </w:rPr>
  </w:style>
  <w:style w:type="character" w:customStyle="1" w:styleId="Heading2Char">
    <w:name w:val="Heading 2 Char"/>
    <w:basedOn w:val="DefaultParagraphFont"/>
    <w:link w:val="Heading2"/>
    <w:uiPriority w:val="9"/>
    <w:rsid w:val="00C727EC"/>
    <w:rPr>
      <w:rFonts w:ascii="Times New Roman" w:eastAsia="Times New Roman" w:hAnsi="Times New Roman" w:cs="Times New Roman"/>
      <w:b/>
      <w:bCs/>
      <w:sz w:val="36"/>
      <w:szCs w:val="36"/>
      <w:lang w:bidi="mr-IN"/>
    </w:rPr>
  </w:style>
  <w:style w:type="paragraph" w:customStyle="1" w:styleId="p1">
    <w:name w:val="p1"/>
    <w:basedOn w:val="Normal"/>
    <w:rsid w:val="003E544C"/>
    <w:pPr>
      <w:spacing w:after="0" w:line="240" w:lineRule="auto"/>
    </w:pPr>
    <w:rPr>
      <w:rFonts w:ascii="Helvetica" w:hAnsi="Helvetica"/>
      <w:sz w:val="18"/>
      <w:szCs w:val="18"/>
      <w:lang w:val="en-GB" w:eastAsia="en-GB"/>
    </w:rPr>
  </w:style>
  <w:style w:type="paragraph" w:customStyle="1" w:styleId="p2">
    <w:name w:val="p2"/>
    <w:basedOn w:val="Normal"/>
    <w:rsid w:val="003E544C"/>
    <w:pPr>
      <w:spacing w:after="0" w:line="300" w:lineRule="atLeast"/>
    </w:pPr>
    <w:rPr>
      <w:rFonts w:ascii="Times New Roman" w:hAnsi="Times New Roman"/>
      <w:sz w:val="18"/>
      <w:szCs w:val="18"/>
      <w:lang w:val="en-GB" w:eastAsia="en-GB"/>
    </w:rPr>
  </w:style>
  <w:style w:type="paragraph" w:styleId="Revision">
    <w:name w:val="Revision"/>
    <w:hidden/>
    <w:uiPriority w:val="99"/>
    <w:semiHidden/>
    <w:rsid w:val="00552CB5"/>
    <w:pPr>
      <w:spacing w:after="0" w:line="240" w:lineRule="auto"/>
    </w:pPr>
  </w:style>
  <w:style w:type="character" w:customStyle="1" w:styleId="apple-converted-space">
    <w:name w:val="apple-converted-space"/>
    <w:basedOn w:val="DefaultParagraphFont"/>
    <w:rsid w:val="00DF20F5"/>
  </w:style>
  <w:style w:type="paragraph" w:styleId="Bibliography">
    <w:name w:val="Bibliography"/>
    <w:basedOn w:val="Normal"/>
    <w:next w:val="Normal"/>
    <w:uiPriority w:val="37"/>
    <w:unhideWhenUsed/>
    <w:rsid w:val="00E93899"/>
    <w:pPr>
      <w:tabs>
        <w:tab w:val="left" w:pos="380"/>
        <w:tab w:val="left" w:pos="500"/>
      </w:tabs>
      <w:spacing w:after="240" w:line="240" w:lineRule="auto"/>
      <w:ind w:left="504" w:hanging="504"/>
    </w:pPr>
  </w:style>
  <w:style w:type="character" w:styleId="LineNumber">
    <w:name w:val="line number"/>
    <w:basedOn w:val="DefaultParagraphFont"/>
    <w:uiPriority w:val="99"/>
    <w:semiHidden/>
    <w:unhideWhenUsed/>
    <w:rsid w:val="004E033A"/>
  </w:style>
  <w:style w:type="paragraph" w:styleId="Header">
    <w:name w:val="header"/>
    <w:basedOn w:val="Normal"/>
    <w:link w:val="HeaderChar"/>
    <w:uiPriority w:val="99"/>
    <w:unhideWhenUsed/>
    <w:rsid w:val="00FD3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2C0"/>
  </w:style>
  <w:style w:type="paragraph" w:styleId="Footer">
    <w:name w:val="footer"/>
    <w:basedOn w:val="Normal"/>
    <w:link w:val="FooterChar"/>
    <w:uiPriority w:val="99"/>
    <w:unhideWhenUsed/>
    <w:rsid w:val="00FD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2C0"/>
  </w:style>
  <w:style w:type="paragraph" w:styleId="NormalWeb">
    <w:name w:val="Normal (Web)"/>
    <w:basedOn w:val="Normal"/>
    <w:uiPriority w:val="99"/>
    <w:semiHidden/>
    <w:unhideWhenUsed/>
    <w:rsid w:val="001B68D8"/>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EndnoteText">
    <w:name w:val="endnote text"/>
    <w:basedOn w:val="Normal"/>
    <w:link w:val="EndnoteTextChar"/>
    <w:uiPriority w:val="99"/>
    <w:unhideWhenUsed/>
    <w:rsid w:val="00EB071E"/>
    <w:pPr>
      <w:spacing w:after="0" w:line="240" w:lineRule="auto"/>
    </w:pPr>
    <w:rPr>
      <w:sz w:val="24"/>
      <w:szCs w:val="24"/>
    </w:rPr>
  </w:style>
  <w:style w:type="character" w:customStyle="1" w:styleId="EndnoteTextChar">
    <w:name w:val="Endnote Text Char"/>
    <w:basedOn w:val="DefaultParagraphFont"/>
    <w:link w:val="EndnoteText"/>
    <w:uiPriority w:val="99"/>
    <w:rsid w:val="00EB071E"/>
    <w:rPr>
      <w:sz w:val="24"/>
      <w:szCs w:val="24"/>
    </w:rPr>
  </w:style>
  <w:style w:type="character" w:styleId="EndnoteReference">
    <w:name w:val="endnote reference"/>
    <w:basedOn w:val="DefaultParagraphFont"/>
    <w:uiPriority w:val="99"/>
    <w:unhideWhenUsed/>
    <w:rsid w:val="00EB0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13633">
      <w:bodyDiv w:val="1"/>
      <w:marLeft w:val="0"/>
      <w:marRight w:val="0"/>
      <w:marTop w:val="0"/>
      <w:marBottom w:val="0"/>
      <w:divBdr>
        <w:top w:val="none" w:sz="0" w:space="0" w:color="auto"/>
        <w:left w:val="none" w:sz="0" w:space="0" w:color="auto"/>
        <w:bottom w:val="none" w:sz="0" w:space="0" w:color="auto"/>
        <w:right w:val="none" w:sz="0" w:space="0" w:color="auto"/>
      </w:divBdr>
    </w:div>
    <w:div w:id="194272529">
      <w:bodyDiv w:val="1"/>
      <w:marLeft w:val="0"/>
      <w:marRight w:val="0"/>
      <w:marTop w:val="0"/>
      <w:marBottom w:val="0"/>
      <w:divBdr>
        <w:top w:val="none" w:sz="0" w:space="0" w:color="auto"/>
        <w:left w:val="none" w:sz="0" w:space="0" w:color="auto"/>
        <w:bottom w:val="none" w:sz="0" w:space="0" w:color="auto"/>
        <w:right w:val="none" w:sz="0" w:space="0" w:color="auto"/>
      </w:divBdr>
    </w:div>
    <w:div w:id="219051091">
      <w:bodyDiv w:val="1"/>
      <w:marLeft w:val="0"/>
      <w:marRight w:val="0"/>
      <w:marTop w:val="0"/>
      <w:marBottom w:val="0"/>
      <w:divBdr>
        <w:top w:val="none" w:sz="0" w:space="0" w:color="auto"/>
        <w:left w:val="none" w:sz="0" w:space="0" w:color="auto"/>
        <w:bottom w:val="none" w:sz="0" w:space="0" w:color="auto"/>
        <w:right w:val="none" w:sz="0" w:space="0" w:color="auto"/>
      </w:divBdr>
    </w:div>
    <w:div w:id="222569741">
      <w:bodyDiv w:val="1"/>
      <w:marLeft w:val="0"/>
      <w:marRight w:val="0"/>
      <w:marTop w:val="0"/>
      <w:marBottom w:val="0"/>
      <w:divBdr>
        <w:top w:val="none" w:sz="0" w:space="0" w:color="auto"/>
        <w:left w:val="none" w:sz="0" w:space="0" w:color="auto"/>
        <w:bottom w:val="none" w:sz="0" w:space="0" w:color="auto"/>
        <w:right w:val="none" w:sz="0" w:space="0" w:color="auto"/>
      </w:divBdr>
    </w:div>
    <w:div w:id="229468129">
      <w:bodyDiv w:val="1"/>
      <w:marLeft w:val="0"/>
      <w:marRight w:val="0"/>
      <w:marTop w:val="0"/>
      <w:marBottom w:val="0"/>
      <w:divBdr>
        <w:top w:val="none" w:sz="0" w:space="0" w:color="auto"/>
        <w:left w:val="none" w:sz="0" w:space="0" w:color="auto"/>
        <w:bottom w:val="none" w:sz="0" w:space="0" w:color="auto"/>
        <w:right w:val="none" w:sz="0" w:space="0" w:color="auto"/>
      </w:divBdr>
    </w:div>
    <w:div w:id="410658879">
      <w:bodyDiv w:val="1"/>
      <w:marLeft w:val="0"/>
      <w:marRight w:val="0"/>
      <w:marTop w:val="0"/>
      <w:marBottom w:val="0"/>
      <w:divBdr>
        <w:top w:val="none" w:sz="0" w:space="0" w:color="auto"/>
        <w:left w:val="none" w:sz="0" w:space="0" w:color="auto"/>
        <w:bottom w:val="none" w:sz="0" w:space="0" w:color="auto"/>
        <w:right w:val="none" w:sz="0" w:space="0" w:color="auto"/>
      </w:divBdr>
      <w:divsChild>
        <w:div w:id="121157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3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224">
      <w:bodyDiv w:val="1"/>
      <w:marLeft w:val="0"/>
      <w:marRight w:val="0"/>
      <w:marTop w:val="0"/>
      <w:marBottom w:val="0"/>
      <w:divBdr>
        <w:top w:val="none" w:sz="0" w:space="0" w:color="auto"/>
        <w:left w:val="none" w:sz="0" w:space="0" w:color="auto"/>
        <w:bottom w:val="none" w:sz="0" w:space="0" w:color="auto"/>
        <w:right w:val="none" w:sz="0" w:space="0" w:color="auto"/>
      </w:divBdr>
    </w:div>
    <w:div w:id="455297421">
      <w:bodyDiv w:val="1"/>
      <w:marLeft w:val="0"/>
      <w:marRight w:val="0"/>
      <w:marTop w:val="0"/>
      <w:marBottom w:val="0"/>
      <w:divBdr>
        <w:top w:val="none" w:sz="0" w:space="0" w:color="auto"/>
        <w:left w:val="none" w:sz="0" w:space="0" w:color="auto"/>
        <w:bottom w:val="none" w:sz="0" w:space="0" w:color="auto"/>
        <w:right w:val="none" w:sz="0" w:space="0" w:color="auto"/>
      </w:divBdr>
    </w:div>
    <w:div w:id="469178562">
      <w:bodyDiv w:val="1"/>
      <w:marLeft w:val="0"/>
      <w:marRight w:val="0"/>
      <w:marTop w:val="0"/>
      <w:marBottom w:val="0"/>
      <w:divBdr>
        <w:top w:val="none" w:sz="0" w:space="0" w:color="auto"/>
        <w:left w:val="none" w:sz="0" w:space="0" w:color="auto"/>
        <w:bottom w:val="none" w:sz="0" w:space="0" w:color="auto"/>
        <w:right w:val="none" w:sz="0" w:space="0" w:color="auto"/>
      </w:divBdr>
    </w:div>
    <w:div w:id="504174342">
      <w:bodyDiv w:val="1"/>
      <w:marLeft w:val="0"/>
      <w:marRight w:val="0"/>
      <w:marTop w:val="0"/>
      <w:marBottom w:val="0"/>
      <w:divBdr>
        <w:top w:val="none" w:sz="0" w:space="0" w:color="auto"/>
        <w:left w:val="none" w:sz="0" w:space="0" w:color="auto"/>
        <w:bottom w:val="none" w:sz="0" w:space="0" w:color="auto"/>
        <w:right w:val="none" w:sz="0" w:space="0" w:color="auto"/>
      </w:divBdr>
    </w:div>
    <w:div w:id="546262683">
      <w:bodyDiv w:val="1"/>
      <w:marLeft w:val="0"/>
      <w:marRight w:val="0"/>
      <w:marTop w:val="0"/>
      <w:marBottom w:val="0"/>
      <w:divBdr>
        <w:top w:val="none" w:sz="0" w:space="0" w:color="auto"/>
        <w:left w:val="none" w:sz="0" w:space="0" w:color="auto"/>
        <w:bottom w:val="none" w:sz="0" w:space="0" w:color="auto"/>
        <w:right w:val="none" w:sz="0" w:space="0" w:color="auto"/>
      </w:divBdr>
    </w:div>
    <w:div w:id="581719488">
      <w:bodyDiv w:val="1"/>
      <w:marLeft w:val="0"/>
      <w:marRight w:val="0"/>
      <w:marTop w:val="0"/>
      <w:marBottom w:val="0"/>
      <w:divBdr>
        <w:top w:val="none" w:sz="0" w:space="0" w:color="auto"/>
        <w:left w:val="none" w:sz="0" w:space="0" w:color="auto"/>
        <w:bottom w:val="none" w:sz="0" w:space="0" w:color="auto"/>
        <w:right w:val="none" w:sz="0" w:space="0" w:color="auto"/>
      </w:divBdr>
    </w:div>
    <w:div w:id="697660490">
      <w:bodyDiv w:val="1"/>
      <w:marLeft w:val="0"/>
      <w:marRight w:val="0"/>
      <w:marTop w:val="0"/>
      <w:marBottom w:val="0"/>
      <w:divBdr>
        <w:top w:val="none" w:sz="0" w:space="0" w:color="auto"/>
        <w:left w:val="none" w:sz="0" w:space="0" w:color="auto"/>
        <w:bottom w:val="none" w:sz="0" w:space="0" w:color="auto"/>
        <w:right w:val="none" w:sz="0" w:space="0" w:color="auto"/>
      </w:divBdr>
    </w:div>
    <w:div w:id="724795224">
      <w:bodyDiv w:val="1"/>
      <w:marLeft w:val="0"/>
      <w:marRight w:val="0"/>
      <w:marTop w:val="0"/>
      <w:marBottom w:val="0"/>
      <w:divBdr>
        <w:top w:val="none" w:sz="0" w:space="0" w:color="auto"/>
        <w:left w:val="none" w:sz="0" w:space="0" w:color="auto"/>
        <w:bottom w:val="none" w:sz="0" w:space="0" w:color="auto"/>
        <w:right w:val="none" w:sz="0" w:space="0" w:color="auto"/>
      </w:divBdr>
    </w:div>
    <w:div w:id="792745192">
      <w:bodyDiv w:val="1"/>
      <w:marLeft w:val="0"/>
      <w:marRight w:val="0"/>
      <w:marTop w:val="0"/>
      <w:marBottom w:val="0"/>
      <w:divBdr>
        <w:top w:val="none" w:sz="0" w:space="0" w:color="auto"/>
        <w:left w:val="none" w:sz="0" w:space="0" w:color="auto"/>
        <w:bottom w:val="none" w:sz="0" w:space="0" w:color="auto"/>
        <w:right w:val="none" w:sz="0" w:space="0" w:color="auto"/>
      </w:divBdr>
    </w:div>
    <w:div w:id="836727629">
      <w:bodyDiv w:val="1"/>
      <w:marLeft w:val="0"/>
      <w:marRight w:val="0"/>
      <w:marTop w:val="0"/>
      <w:marBottom w:val="0"/>
      <w:divBdr>
        <w:top w:val="none" w:sz="0" w:space="0" w:color="auto"/>
        <w:left w:val="none" w:sz="0" w:space="0" w:color="auto"/>
        <w:bottom w:val="none" w:sz="0" w:space="0" w:color="auto"/>
        <w:right w:val="none" w:sz="0" w:space="0" w:color="auto"/>
      </w:divBdr>
    </w:div>
    <w:div w:id="1007367664">
      <w:bodyDiv w:val="1"/>
      <w:marLeft w:val="0"/>
      <w:marRight w:val="0"/>
      <w:marTop w:val="0"/>
      <w:marBottom w:val="0"/>
      <w:divBdr>
        <w:top w:val="none" w:sz="0" w:space="0" w:color="auto"/>
        <w:left w:val="none" w:sz="0" w:space="0" w:color="auto"/>
        <w:bottom w:val="none" w:sz="0" w:space="0" w:color="auto"/>
        <w:right w:val="none" w:sz="0" w:space="0" w:color="auto"/>
      </w:divBdr>
    </w:div>
    <w:div w:id="1097562566">
      <w:bodyDiv w:val="1"/>
      <w:marLeft w:val="0"/>
      <w:marRight w:val="0"/>
      <w:marTop w:val="0"/>
      <w:marBottom w:val="0"/>
      <w:divBdr>
        <w:top w:val="none" w:sz="0" w:space="0" w:color="auto"/>
        <w:left w:val="none" w:sz="0" w:space="0" w:color="auto"/>
        <w:bottom w:val="none" w:sz="0" w:space="0" w:color="auto"/>
        <w:right w:val="none" w:sz="0" w:space="0" w:color="auto"/>
      </w:divBdr>
    </w:div>
    <w:div w:id="1103576270">
      <w:bodyDiv w:val="1"/>
      <w:marLeft w:val="0"/>
      <w:marRight w:val="0"/>
      <w:marTop w:val="0"/>
      <w:marBottom w:val="0"/>
      <w:divBdr>
        <w:top w:val="none" w:sz="0" w:space="0" w:color="auto"/>
        <w:left w:val="none" w:sz="0" w:space="0" w:color="auto"/>
        <w:bottom w:val="none" w:sz="0" w:space="0" w:color="auto"/>
        <w:right w:val="none" w:sz="0" w:space="0" w:color="auto"/>
      </w:divBdr>
    </w:div>
    <w:div w:id="1124233018">
      <w:bodyDiv w:val="1"/>
      <w:marLeft w:val="0"/>
      <w:marRight w:val="0"/>
      <w:marTop w:val="0"/>
      <w:marBottom w:val="0"/>
      <w:divBdr>
        <w:top w:val="none" w:sz="0" w:space="0" w:color="auto"/>
        <w:left w:val="none" w:sz="0" w:space="0" w:color="auto"/>
        <w:bottom w:val="none" w:sz="0" w:space="0" w:color="auto"/>
        <w:right w:val="none" w:sz="0" w:space="0" w:color="auto"/>
      </w:divBdr>
    </w:div>
    <w:div w:id="1271277264">
      <w:bodyDiv w:val="1"/>
      <w:marLeft w:val="0"/>
      <w:marRight w:val="0"/>
      <w:marTop w:val="0"/>
      <w:marBottom w:val="0"/>
      <w:divBdr>
        <w:top w:val="none" w:sz="0" w:space="0" w:color="auto"/>
        <w:left w:val="none" w:sz="0" w:space="0" w:color="auto"/>
        <w:bottom w:val="none" w:sz="0" w:space="0" w:color="auto"/>
        <w:right w:val="none" w:sz="0" w:space="0" w:color="auto"/>
      </w:divBdr>
    </w:div>
    <w:div w:id="1363482320">
      <w:bodyDiv w:val="1"/>
      <w:marLeft w:val="0"/>
      <w:marRight w:val="0"/>
      <w:marTop w:val="0"/>
      <w:marBottom w:val="0"/>
      <w:divBdr>
        <w:top w:val="none" w:sz="0" w:space="0" w:color="auto"/>
        <w:left w:val="none" w:sz="0" w:space="0" w:color="auto"/>
        <w:bottom w:val="none" w:sz="0" w:space="0" w:color="auto"/>
        <w:right w:val="none" w:sz="0" w:space="0" w:color="auto"/>
      </w:divBdr>
    </w:div>
    <w:div w:id="1422067489">
      <w:bodyDiv w:val="1"/>
      <w:marLeft w:val="0"/>
      <w:marRight w:val="0"/>
      <w:marTop w:val="0"/>
      <w:marBottom w:val="0"/>
      <w:divBdr>
        <w:top w:val="none" w:sz="0" w:space="0" w:color="auto"/>
        <w:left w:val="none" w:sz="0" w:space="0" w:color="auto"/>
        <w:bottom w:val="none" w:sz="0" w:space="0" w:color="auto"/>
        <w:right w:val="none" w:sz="0" w:space="0" w:color="auto"/>
      </w:divBdr>
    </w:div>
    <w:div w:id="1473716482">
      <w:bodyDiv w:val="1"/>
      <w:marLeft w:val="0"/>
      <w:marRight w:val="0"/>
      <w:marTop w:val="0"/>
      <w:marBottom w:val="0"/>
      <w:divBdr>
        <w:top w:val="none" w:sz="0" w:space="0" w:color="auto"/>
        <w:left w:val="none" w:sz="0" w:space="0" w:color="auto"/>
        <w:bottom w:val="none" w:sz="0" w:space="0" w:color="auto"/>
        <w:right w:val="none" w:sz="0" w:space="0" w:color="auto"/>
      </w:divBdr>
    </w:div>
    <w:div w:id="1480000641">
      <w:bodyDiv w:val="1"/>
      <w:marLeft w:val="0"/>
      <w:marRight w:val="0"/>
      <w:marTop w:val="0"/>
      <w:marBottom w:val="0"/>
      <w:divBdr>
        <w:top w:val="none" w:sz="0" w:space="0" w:color="auto"/>
        <w:left w:val="none" w:sz="0" w:space="0" w:color="auto"/>
        <w:bottom w:val="none" w:sz="0" w:space="0" w:color="auto"/>
        <w:right w:val="none" w:sz="0" w:space="0" w:color="auto"/>
      </w:divBdr>
    </w:div>
    <w:div w:id="1485900021">
      <w:bodyDiv w:val="1"/>
      <w:marLeft w:val="0"/>
      <w:marRight w:val="0"/>
      <w:marTop w:val="0"/>
      <w:marBottom w:val="0"/>
      <w:divBdr>
        <w:top w:val="none" w:sz="0" w:space="0" w:color="auto"/>
        <w:left w:val="none" w:sz="0" w:space="0" w:color="auto"/>
        <w:bottom w:val="none" w:sz="0" w:space="0" w:color="auto"/>
        <w:right w:val="none" w:sz="0" w:space="0" w:color="auto"/>
      </w:divBdr>
    </w:div>
    <w:div w:id="1693724544">
      <w:bodyDiv w:val="1"/>
      <w:marLeft w:val="0"/>
      <w:marRight w:val="0"/>
      <w:marTop w:val="0"/>
      <w:marBottom w:val="0"/>
      <w:divBdr>
        <w:top w:val="none" w:sz="0" w:space="0" w:color="auto"/>
        <w:left w:val="none" w:sz="0" w:space="0" w:color="auto"/>
        <w:bottom w:val="none" w:sz="0" w:space="0" w:color="auto"/>
        <w:right w:val="none" w:sz="0" w:space="0" w:color="auto"/>
      </w:divBdr>
    </w:div>
    <w:div w:id="1723669943">
      <w:bodyDiv w:val="1"/>
      <w:marLeft w:val="0"/>
      <w:marRight w:val="0"/>
      <w:marTop w:val="0"/>
      <w:marBottom w:val="0"/>
      <w:divBdr>
        <w:top w:val="none" w:sz="0" w:space="0" w:color="auto"/>
        <w:left w:val="none" w:sz="0" w:space="0" w:color="auto"/>
        <w:bottom w:val="none" w:sz="0" w:space="0" w:color="auto"/>
        <w:right w:val="none" w:sz="0" w:space="0" w:color="auto"/>
      </w:divBdr>
    </w:div>
    <w:div w:id="1746418934">
      <w:bodyDiv w:val="1"/>
      <w:marLeft w:val="0"/>
      <w:marRight w:val="0"/>
      <w:marTop w:val="0"/>
      <w:marBottom w:val="0"/>
      <w:divBdr>
        <w:top w:val="none" w:sz="0" w:space="0" w:color="auto"/>
        <w:left w:val="none" w:sz="0" w:space="0" w:color="auto"/>
        <w:bottom w:val="none" w:sz="0" w:space="0" w:color="auto"/>
        <w:right w:val="none" w:sz="0" w:space="0" w:color="auto"/>
      </w:divBdr>
    </w:div>
    <w:div w:id="1813213422">
      <w:bodyDiv w:val="1"/>
      <w:marLeft w:val="0"/>
      <w:marRight w:val="0"/>
      <w:marTop w:val="0"/>
      <w:marBottom w:val="0"/>
      <w:divBdr>
        <w:top w:val="none" w:sz="0" w:space="0" w:color="auto"/>
        <w:left w:val="none" w:sz="0" w:space="0" w:color="auto"/>
        <w:bottom w:val="none" w:sz="0" w:space="0" w:color="auto"/>
        <w:right w:val="none" w:sz="0" w:space="0" w:color="auto"/>
      </w:divBdr>
    </w:div>
    <w:div w:id="1891766456">
      <w:bodyDiv w:val="1"/>
      <w:marLeft w:val="0"/>
      <w:marRight w:val="0"/>
      <w:marTop w:val="0"/>
      <w:marBottom w:val="0"/>
      <w:divBdr>
        <w:top w:val="none" w:sz="0" w:space="0" w:color="auto"/>
        <w:left w:val="none" w:sz="0" w:space="0" w:color="auto"/>
        <w:bottom w:val="none" w:sz="0" w:space="0" w:color="auto"/>
        <w:right w:val="none" w:sz="0" w:space="0" w:color="auto"/>
      </w:divBdr>
    </w:div>
    <w:div w:id="1895849183">
      <w:bodyDiv w:val="1"/>
      <w:marLeft w:val="0"/>
      <w:marRight w:val="0"/>
      <w:marTop w:val="0"/>
      <w:marBottom w:val="0"/>
      <w:divBdr>
        <w:top w:val="none" w:sz="0" w:space="0" w:color="auto"/>
        <w:left w:val="none" w:sz="0" w:space="0" w:color="auto"/>
        <w:bottom w:val="none" w:sz="0" w:space="0" w:color="auto"/>
        <w:right w:val="none" w:sz="0" w:space="0" w:color="auto"/>
      </w:divBdr>
    </w:div>
    <w:div w:id="1952667541">
      <w:bodyDiv w:val="1"/>
      <w:marLeft w:val="0"/>
      <w:marRight w:val="0"/>
      <w:marTop w:val="0"/>
      <w:marBottom w:val="0"/>
      <w:divBdr>
        <w:top w:val="none" w:sz="0" w:space="0" w:color="auto"/>
        <w:left w:val="none" w:sz="0" w:space="0" w:color="auto"/>
        <w:bottom w:val="none" w:sz="0" w:space="0" w:color="auto"/>
        <w:right w:val="none" w:sz="0" w:space="0" w:color="auto"/>
      </w:divBdr>
    </w:div>
    <w:div w:id="1977833726">
      <w:bodyDiv w:val="1"/>
      <w:marLeft w:val="0"/>
      <w:marRight w:val="0"/>
      <w:marTop w:val="0"/>
      <w:marBottom w:val="0"/>
      <w:divBdr>
        <w:top w:val="none" w:sz="0" w:space="0" w:color="auto"/>
        <w:left w:val="none" w:sz="0" w:space="0" w:color="auto"/>
        <w:bottom w:val="none" w:sz="0" w:space="0" w:color="auto"/>
        <w:right w:val="none" w:sz="0" w:space="0" w:color="auto"/>
      </w:divBdr>
    </w:div>
    <w:div w:id="20342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ajni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FB1FDAE-3870-4499-8524-D9505DCF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15280</Words>
  <Characters>87101</Characters>
  <Application>Microsoft Office Word</Application>
  <DocSecurity>4</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Rishikesh Behere</dc:creator>
  <cp:lastModifiedBy>Karen Drake</cp:lastModifiedBy>
  <cp:revision>2</cp:revision>
  <cp:lastPrinted>2019-01-22T11:11:00Z</cp:lastPrinted>
  <dcterms:created xsi:type="dcterms:W3CDTF">2019-10-16T12:33:00Z</dcterms:created>
  <dcterms:modified xsi:type="dcterms:W3CDTF">2019-10-16T12:33:00Z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id="i2B92K92"/&gt;&lt;style id="http://www.zotero.org/styles/plos-one" hasBibliography="1" bibliographyStyleHasBeenSet="1"/&gt;&lt;prefs&gt;&lt;pref name="fieldType" value="Field"/&gt;&lt;pref name="automaticJournalAbbrevia</vt:lpwstr>
  </property>
  <property fmtid="{D5CDD505-2E9C-101B-9397-08002B2CF9AE}" pid="3" name="ZOTERO_PREF_2">
    <vt:lpwstr>tions" value="true"/&gt;&lt;/prefs&gt;&lt;/data&gt;</vt:lpwstr>
  </property>
</Properties>
</file>