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18AAF4" w14:textId="77777777" w:rsidR="00372805" w:rsidRPr="002233FF" w:rsidRDefault="00372805" w:rsidP="00743BFA">
      <w:pPr>
        <w:spacing w:after="0"/>
        <w:rPr>
          <w:rFonts w:asciiTheme="minorHAnsi" w:hAnsiTheme="minorHAnsi" w:cstheme="minorHAnsi"/>
          <w:b/>
          <w:lang w:val="en-US"/>
        </w:rPr>
      </w:pPr>
      <w:r w:rsidRPr="002233FF">
        <w:rPr>
          <w:rFonts w:asciiTheme="minorHAnsi" w:hAnsiTheme="minorHAnsi" w:cstheme="minorHAnsi"/>
          <w:b/>
          <w:lang w:val="en-US"/>
        </w:rPr>
        <w:t>Quality of survival assessment in European childhood brain tumo</w:t>
      </w:r>
      <w:r w:rsidR="00F95411" w:rsidRPr="002233FF">
        <w:rPr>
          <w:rFonts w:asciiTheme="minorHAnsi" w:hAnsiTheme="minorHAnsi" w:cstheme="minorHAnsi"/>
          <w:b/>
          <w:lang w:val="en-US"/>
        </w:rPr>
        <w:t>u</w:t>
      </w:r>
      <w:r w:rsidRPr="002233FF">
        <w:rPr>
          <w:rFonts w:asciiTheme="minorHAnsi" w:hAnsiTheme="minorHAnsi" w:cstheme="minorHAnsi"/>
          <w:b/>
          <w:lang w:val="en-US"/>
        </w:rPr>
        <w:t xml:space="preserve">r trials, for </w:t>
      </w:r>
      <w:bookmarkStart w:id="0" w:name="_GoBack"/>
      <w:r w:rsidRPr="002233FF">
        <w:rPr>
          <w:rFonts w:asciiTheme="minorHAnsi" w:hAnsiTheme="minorHAnsi" w:cstheme="minorHAnsi"/>
          <w:b/>
          <w:lang w:val="en-US"/>
        </w:rPr>
        <w:t xml:space="preserve">children </w:t>
      </w:r>
      <w:r w:rsidR="00E45A43">
        <w:rPr>
          <w:rFonts w:asciiTheme="minorHAnsi" w:hAnsiTheme="minorHAnsi" w:cstheme="minorHAnsi"/>
          <w:b/>
          <w:lang w:val="en-US"/>
        </w:rPr>
        <w:t>below the age of 5 years</w:t>
      </w:r>
    </w:p>
    <w:bookmarkEnd w:id="0"/>
    <w:p w14:paraId="24632178" w14:textId="77777777" w:rsidR="00372805" w:rsidRDefault="00372805" w:rsidP="00743BFA">
      <w:pPr>
        <w:spacing w:after="0"/>
        <w:rPr>
          <w:rFonts w:asciiTheme="minorHAnsi" w:hAnsiTheme="minorHAnsi" w:cstheme="minorHAnsi"/>
          <w:b/>
          <w:lang w:val="en-US"/>
        </w:rPr>
      </w:pPr>
    </w:p>
    <w:p w14:paraId="0A07BD02" w14:textId="77777777" w:rsidR="000C4E99" w:rsidRDefault="002B001C" w:rsidP="00743BFA">
      <w:pPr>
        <w:spacing w:after="0"/>
        <w:rPr>
          <w:rFonts w:asciiTheme="minorHAnsi" w:hAnsiTheme="minorHAnsi" w:cstheme="minorHAnsi"/>
          <w:b/>
          <w:lang w:val="en-US"/>
        </w:rPr>
      </w:pPr>
      <w:r>
        <w:rPr>
          <w:rFonts w:asciiTheme="minorHAnsi" w:hAnsiTheme="minorHAnsi" w:cstheme="minorHAnsi"/>
          <w:b/>
          <w:lang w:val="en-US"/>
        </w:rPr>
        <w:t>Limond J</w:t>
      </w:r>
      <w:r w:rsidR="00431E31" w:rsidRPr="003C5B84">
        <w:rPr>
          <w:rFonts w:asciiTheme="minorHAnsi" w:hAnsiTheme="minorHAnsi" w:cstheme="minorHAnsi"/>
          <w:b/>
          <w:vertAlign w:val="superscript"/>
          <w:lang w:val="en-US"/>
        </w:rPr>
        <w:t>1</w:t>
      </w:r>
      <w:r>
        <w:rPr>
          <w:rFonts w:asciiTheme="minorHAnsi" w:hAnsiTheme="minorHAnsi" w:cstheme="minorHAnsi"/>
          <w:b/>
          <w:lang w:val="en-US"/>
        </w:rPr>
        <w:t>, Thomas S</w:t>
      </w:r>
      <w:r w:rsidR="00431E31" w:rsidRPr="003C5B84">
        <w:rPr>
          <w:rFonts w:asciiTheme="minorHAnsi" w:hAnsiTheme="minorHAnsi" w:cstheme="minorHAnsi"/>
          <w:b/>
          <w:vertAlign w:val="superscript"/>
          <w:lang w:val="en-US"/>
        </w:rPr>
        <w:t>2</w:t>
      </w:r>
      <w:r w:rsidR="009F47E1">
        <w:rPr>
          <w:rFonts w:asciiTheme="minorHAnsi" w:hAnsiTheme="minorHAnsi" w:cstheme="minorHAnsi"/>
          <w:b/>
          <w:vertAlign w:val="superscript"/>
          <w:lang w:val="en-US"/>
        </w:rPr>
        <w:t>,3</w:t>
      </w:r>
      <w:r>
        <w:rPr>
          <w:rFonts w:asciiTheme="minorHAnsi" w:hAnsiTheme="minorHAnsi" w:cstheme="minorHAnsi"/>
          <w:b/>
          <w:lang w:val="en-US"/>
        </w:rPr>
        <w:t xml:space="preserve">, </w:t>
      </w:r>
      <w:r w:rsidR="00431E31">
        <w:rPr>
          <w:rFonts w:asciiTheme="minorHAnsi" w:hAnsiTheme="minorHAnsi" w:cstheme="minorHAnsi"/>
          <w:b/>
          <w:lang w:val="en-US"/>
        </w:rPr>
        <w:t>Bull KS</w:t>
      </w:r>
      <w:r w:rsidR="009F47E1">
        <w:rPr>
          <w:rFonts w:asciiTheme="minorHAnsi" w:hAnsiTheme="minorHAnsi" w:cstheme="minorHAnsi"/>
          <w:b/>
          <w:vertAlign w:val="superscript"/>
          <w:lang w:val="en-US"/>
        </w:rPr>
        <w:t>4</w:t>
      </w:r>
      <w:r w:rsidR="00431E31">
        <w:rPr>
          <w:rFonts w:asciiTheme="minorHAnsi" w:hAnsiTheme="minorHAnsi" w:cstheme="minorHAnsi"/>
          <w:b/>
          <w:lang w:val="en-US"/>
        </w:rPr>
        <w:t>, Calaminus G</w:t>
      </w:r>
      <w:r w:rsidR="009F47E1">
        <w:rPr>
          <w:rFonts w:asciiTheme="minorHAnsi" w:hAnsiTheme="minorHAnsi" w:cstheme="minorHAnsi"/>
          <w:b/>
          <w:vertAlign w:val="superscript"/>
          <w:lang w:val="en-US"/>
        </w:rPr>
        <w:t>5</w:t>
      </w:r>
      <w:r w:rsidR="00431E31">
        <w:rPr>
          <w:rFonts w:asciiTheme="minorHAnsi" w:hAnsiTheme="minorHAnsi" w:cstheme="minorHAnsi"/>
          <w:b/>
          <w:lang w:val="en-US"/>
        </w:rPr>
        <w:t xml:space="preserve">, </w:t>
      </w:r>
      <w:r>
        <w:rPr>
          <w:rFonts w:asciiTheme="minorHAnsi" w:hAnsiTheme="minorHAnsi" w:cstheme="minorHAnsi"/>
          <w:b/>
          <w:lang w:val="en-US"/>
        </w:rPr>
        <w:t>Lemiere J</w:t>
      </w:r>
      <w:r w:rsidR="009F47E1">
        <w:rPr>
          <w:rFonts w:asciiTheme="minorHAnsi" w:hAnsiTheme="minorHAnsi" w:cstheme="minorHAnsi"/>
          <w:b/>
          <w:vertAlign w:val="superscript"/>
          <w:lang w:val="en-US"/>
        </w:rPr>
        <w:t>6</w:t>
      </w:r>
      <w:r>
        <w:rPr>
          <w:rFonts w:asciiTheme="minorHAnsi" w:hAnsiTheme="minorHAnsi" w:cstheme="minorHAnsi"/>
          <w:b/>
          <w:lang w:val="en-US"/>
        </w:rPr>
        <w:t>, Traunwieser T</w:t>
      </w:r>
      <w:r w:rsidR="009F47E1">
        <w:rPr>
          <w:rFonts w:asciiTheme="minorHAnsi" w:hAnsiTheme="minorHAnsi" w:cstheme="minorHAnsi"/>
          <w:b/>
          <w:vertAlign w:val="superscript"/>
          <w:lang w:val="en-US"/>
        </w:rPr>
        <w:t>7</w:t>
      </w:r>
      <w:r>
        <w:rPr>
          <w:rFonts w:asciiTheme="minorHAnsi" w:hAnsiTheme="minorHAnsi" w:cstheme="minorHAnsi"/>
          <w:b/>
          <w:lang w:val="en-US"/>
        </w:rPr>
        <w:t xml:space="preserve">, </w:t>
      </w:r>
      <w:r w:rsidR="00431E31">
        <w:rPr>
          <w:rFonts w:asciiTheme="minorHAnsi" w:hAnsiTheme="minorHAnsi" w:cstheme="minorHAnsi"/>
          <w:b/>
          <w:lang w:val="en-US"/>
        </w:rPr>
        <w:t>van Santen HM</w:t>
      </w:r>
      <w:r w:rsidR="009F47E1">
        <w:rPr>
          <w:rFonts w:asciiTheme="minorHAnsi" w:hAnsiTheme="minorHAnsi" w:cstheme="minorHAnsi"/>
          <w:b/>
          <w:vertAlign w:val="superscript"/>
          <w:lang w:val="en-US"/>
        </w:rPr>
        <w:t>8</w:t>
      </w:r>
      <w:r w:rsidR="00431E31">
        <w:rPr>
          <w:rFonts w:asciiTheme="minorHAnsi" w:hAnsiTheme="minorHAnsi" w:cstheme="minorHAnsi"/>
          <w:b/>
          <w:lang w:val="en-US"/>
        </w:rPr>
        <w:t>,</w:t>
      </w:r>
      <w:r w:rsidR="009F47E1">
        <w:rPr>
          <w:rFonts w:asciiTheme="minorHAnsi" w:hAnsiTheme="minorHAnsi" w:cstheme="minorHAnsi"/>
          <w:b/>
          <w:lang w:val="en-US"/>
        </w:rPr>
        <w:t xml:space="preserve"> </w:t>
      </w:r>
      <w:r>
        <w:rPr>
          <w:rFonts w:asciiTheme="minorHAnsi" w:hAnsiTheme="minorHAnsi" w:cstheme="minorHAnsi"/>
          <w:b/>
          <w:lang w:val="en-US"/>
        </w:rPr>
        <w:t>Weiler L</w:t>
      </w:r>
      <w:r w:rsidR="009F47E1">
        <w:rPr>
          <w:rFonts w:asciiTheme="minorHAnsi" w:hAnsiTheme="minorHAnsi" w:cstheme="minorHAnsi"/>
          <w:b/>
          <w:vertAlign w:val="superscript"/>
          <w:lang w:val="en-US"/>
        </w:rPr>
        <w:t>9</w:t>
      </w:r>
      <w:r>
        <w:rPr>
          <w:rFonts w:asciiTheme="minorHAnsi" w:hAnsiTheme="minorHAnsi" w:cstheme="minorHAnsi"/>
          <w:b/>
          <w:lang w:val="en-US"/>
        </w:rPr>
        <w:t xml:space="preserve">, </w:t>
      </w:r>
      <w:r w:rsidR="00431E31">
        <w:rPr>
          <w:rFonts w:asciiTheme="minorHAnsi" w:hAnsiTheme="minorHAnsi" w:cstheme="minorHAnsi"/>
          <w:b/>
          <w:lang w:val="en-US"/>
        </w:rPr>
        <w:t>Spoudeas HA</w:t>
      </w:r>
      <w:r w:rsidR="009F47E1">
        <w:rPr>
          <w:rFonts w:asciiTheme="minorHAnsi" w:hAnsiTheme="minorHAnsi" w:cstheme="minorHAnsi"/>
          <w:b/>
          <w:vertAlign w:val="superscript"/>
          <w:lang w:val="en-US"/>
        </w:rPr>
        <w:t>10</w:t>
      </w:r>
      <w:r w:rsidR="00431E31">
        <w:rPr>
          <w:rFonts w:asciiTheme="minorHAnsi" w:hAnsiTheme="minorHAnsi" w:cstheme="minorHAnsi"/>
          <w:b/>
          <w:lang w:val="en-US"/>
        </w:rPr>
        <w:t xml:space="preserve">, </w:t>
      </w:r>
      <w:r>
        <w:rPr>
          <w:rFonts w:asciiTheme="minorHAnsi" w:hAnsiTheme="minorHAnsi" w:cstheme="minorHAnsi"/>
          <w:b/>
          <w:lang w:val="en-US"/>
        </w:rPr>
        <w:t>Chevignard M</w:t>
      </w:r>
      <w:r w:rsidR="00431E31">
        <w:rPr>
          <w:rFonts w:asciiTheme="minorHAnsi" w:hAnsiTheme="minorHAnsi" w:cstheme="minorHAnsi"/>
          <w:b/>
          <w:vertAlign w:val="superscript"/>
          <w:lang w:val="en-US"/>
        </w:rPr>
        <w:t>1</w:t>
      </w:r>
      <w:r w:rsidR="009F47E1">
        <w:rPr>
          <w:rFonts w:asciiTheme="minorHAnsi" w:hAnsiTheme="minorHAnsi" w:cstheme="minorHAnsi"/>
          <w:b/>
          <w:vertAlign w:val="superscript"/>
          <w:lang w:val="en-US"/>
        </w:rPr>
        <w:t>1</w:t>
      </w:r>
      <w:r w:rsidR="00431E31">
        <w:rPr>
          <w:rFonts w:asciiTheme="minorHAnsi" w:hAnsiTheme="minorHAnsi" w:cstheme="minorHAnsi"/>
          <w:b/>
          <w:vertAlign w:val="superscript"/>
          <w:lang w:val="en-US"/>
        </w:rPr>
        <w:t>,1</w:t>
      </w:r>
      <w:r w:rsidR="009F47E1">
        <w:rPr>
          <w:rFonts w:asciiTheme="minorHAnsi" w:hAnsiTheme="minorHAnsi" w:cstheme="minorHAnsi"/>
          <w:b/>
          <w:vertAlign w:val="superscript"/>
          <w:lang w:val="en-US"/>
        </w:rPr>
        <w:t>2</w:t>
      </w:r>
    </w:p>
    <w:p w14:paraId="65EAA2FB" w14:textId="77777777" w:rsidR="002B001C" w:rsidRDefault="002B001C" w:rsidP="00743BFA">
      <w:pPr>
        <w:spacing w:after="0"/>
        <w:rPr>
          <w:rFonts w:asciiTheme="minorHAnsi" w:hAnsiTheme="minorHAnsi" w:cstheme="minorHAnsi"/>
          <w:b/>
          <w:lang w:val="en-US"/>
        </w:rPr>
      </w:pPr>
    </w:p>
    <w:p w14:paraId="757B6C4B" w14:textId="77777777" w:rsidR="002B001C" w:rsidRDefault="002B001C" w:rsidP="00743BFA">
      <w:pPr>
        <w:spacing w:after="0"/>
        <w:rPr>
          <w:rFonts w:asciiTheme="minorHAnsi" w:hAnsiTheme="minorHAnsi" w:cstheme="minorHAnsi"/>
          <w:b/>
          <w:lang w:val="en-US"/>
        </w:rPr>
      </w:pPr>
      <w:r>
        <w:rPr>
          <w:rFonts w:asciiTheme="minorHAnsi" w:hAnsiTheme="minorHAnsi" w:cstheme="minorHAnsi"/>
          <w:b/>
          <w:lang w:val="en-US"/>
        </w:rPr>
        <w:t>Affiliations</w:t>
      </w:r>
    </w:p>
    <w:p w14:paraId="1AF675C8" w14:textId="77777777" w:rsidR="0015001A" w:rsidRPr="009F47E1" w:rsidRDefault="0015001A" w:rsidP="003C5B84">
      <w:pPr>
        <w:spacing w:after="0" w:line="240" w:lineRule="auto"/>
        <w:ind w:left="709" w:hanging="709"/>
        <w:rPr>
          <w:rFonts w:eastAsia="Calibri" w:cs="Arial"/>
          <w:lang w:val="en-GB" w:eastAsia="en-US"/>
        </w:rPr>
      </w:pPr>
      <w:r w:rsidRPr="009F47E1">
        <w:rPr>
          <w:rFonts w:eastAsia="Calibri" w:cs="Arial"/>
          <w:vertAlign w:val="superscript"/>
          <w:lang w:val="en-GB" w:eastAsia="en-US"/>
        </w:rPr>
        <w:t>1</w:t>
      </w:r>
      <w:r w:rsidRPr="009F47E1">
        <w:rPr>
          <w:rFonts w:eastAsia="Calibri" w:cs="Arial"/>
          <w:lang w:val="en-GB" w:eastAsia="en-US"/>
        </w:rPr>
        <w:t xml:space="preserve">Department of Psychology, University of Exeter, UK </w:t>
      </w:r>
    </w:p>
    <w:p w14:paraId="7C1128EF" w14:textId="77777777" w:rsidR="00431E31" w:rsidRPr="009F47E1" w:rsidRDefault="00431E31" w:rsidP="003C5B84">
      <w:pPr>
        <w:spacing w:after="0" w:line="240" w:lineRule="auto"/>
        <w:ind w:left="709" w:hanging="709"/>
        <w:rPr>
          <w:rFonts w:asciiTheme="minorHAnsi" w:hAnsiTheme="minorHAnsi" w:cstheme="minorHAnsi"/>
          <w:lang w:val="en-US"/>
        </w:rPr>
      </w:pPr>
      <w:r w:rsidRPr="009F47E1">
        <w:rPr>
          <w:rFonts w:asciiTheme="minorHAnsi" w:hAnsiTheme="minorHAnsi" w:cstheme="minorHAnsi"/>
          <w:vertAlign w:val="superscript"/>
          <w:lang w:val="en-US"/>
        </w:rPr>
        <w:t>2</w:t>
      </w:r>
      <w:r w:rsidRPr="009F47E1">
        <w:rPr>
          <w:rFonts w:asciiTheme="minorHAnsi" w:hAnsiTheme="minorHAnsi" w:cstheme="minorHAnsi"/>
          <w:lang w:val="en-US"/>
        </w:rPr>
        <w:t>Department of Psychology and Neuropsychology, Nottingham University Hospitals NHS Trust, UK</w:t>
      </w:r>
    </w:p>
    <w:p w14:paraId="395C4A44" w14:textId="77777777" w:rsidR="00431E31" w:rsidRPr="009F47E1" w:rsidRDefault="009F47E1" w:rsidP="003C5B84">
      <w:pPr>
        <w:spacing w:after="0" w:line="240" w:lineRule="auto"/>
        <w:ind w:left="709" w:hanging="709"/>
        <w:rPr>
          <w:rFonts w:asciiTheme="minorHAnsi" w:hAnsiTheme="minorHAnsi" w:cstheme="minorHAnsi"/>
          <w:lang w:val="en-US"/>
        </w:rPr>
      </w:pPr>
      <w:r w:rsidRPr="009F47E1">
        <w:rPr>
          <w:rFonts w:asciiTheme="minorHAnsi" w:hAnsiTheme="minorHAnsi" w:cstheme="minorHAnsi"/>
          <w:vertAlign w:val="superscript"/>
          <w:lang w:val="en-US"/>
        </w:rPr>
        <w:t>3</w:t>
      </w:r>
      <w:r w:rsidR="00431E31" w:rsidRPr="009F47E1">
        <w:rPr>
          <w:rFonts w:asciiTheme="minorHAnsi" w:hAnsiTheme="minorHAnsi" w:cstheme="minorHAnsi"/>
          <w:lang w:val="en-US"/>
        </w:rPr>
        <w:t>Children’s Brain Tumour Research Centre, University of Nottingham, UK</w:t>
      </w:r>
    </w:p>
    <w:p w14:paraId="2499ECD8" w14:textId="77777777" w:rsidR="00281E25" w:rsidRPr="009F47E1" w:rsidRDefault="009F47E1" w:rsidP="003C5B84">
      <w:pPr>
        <w:spacing w:after="0" w:line="240" w:lineRule="auto"/>
        <w:ind w:left="709" w:hanging="709"/>
        <w:rPr>
          <w:rFonts w:eastAsia="Calibri" w:cs="Arial"/>
          <w:lang w:val="en-GB" w:eastAsia="en-US"/>
        </w:rPr>
      </w:pPr>
      <w:r w:rsidRPr="009F47E1">
        <w:rPr>
          <w:rFonts w:eastAsia="Calibri" w:cs="Arial"/>
          <w:vertAlign w:val="superscript"/>
          <w:lang w:val="en-GB" w:eastAsia="en-US"/>
        </w:rPr>
        <w:t>4</w:t>
      </w:r>
      <w:r w:rsidR="000D6139" w:rsidRPr="009F47E1">
        <w:rPr>
          <w:rFonts w:eastAsia="Calibri" w:cs="Arial"/>
          <w:lang w:val="en-GB" w:eastAsia="en-US"/>
        </w:rPr>
        <w:t xml:space="preserve">Clinical and Experimental Sciences, </w:t>
      </w:r>
      <w:r w:rsidR="00281E25" w:rsidRPr="009F47E1">
        <w:rPr>
          <w:rFonts w:eastAsia="Calibri" w:cs="Arial"/>
          <w:lang w:val="en-GB" w:eastAsia="en-US"/>
        </w:rPr>
        <w:t>University of Southampton, UK</w:t>
      </w:r>
    </w:p>
    <w:p w14:paraId="401FE1A7" w14:textId="77777777" w:rsidR="005147EA" w:rsidRPr="009F47E1" w:rsidRDefault="009F47E1" w:rsidP="005147EA">
      <w:pPr>
        <w:spacing w:after="0" w:line="240" w:lineRule="auto"/>
        <w:ind w:left="709" w:hanging="709"/>
        <w:rPr>
          <w:rFonts w:eastAsia="Calibri" w:cs="Arial"/>
          <w:lang w:val="en-GB" w:eastAsia="en-US"/>
        </w:rPr>
      </w:pPr>
      <w:r w:rsidRPr="00AC05E4">
        <w:rPr>
          <w:rFonts w:eastAsia="Calibri" w:cs="Arial"/>
          <w:vertAlign w:val="superscript"/>
          <w:lang w:val="en-GB" w:eastAsia="en-US"/>
        </w:rPr>
        <w:t>5</w:t>
      </w:r>
      <w:r w:rsidR="005147EA" w:rsidRPr="00AC05E4">
        <w:rPr>
          <w:rFonts w:eastAsia="Calibri" w:cs="Arial"/>
          <w:lang w:val="en-GB" w:eastAsia="en-US"/>
        </w:rPr>
        <w:t>Pediatric Hematology and Oncology, University Childrens Hospital Bonn, German</w:t>
      </w:r>
      <w:r w:rsidR="005147EA" w:rsidRPr="009F47E1">
        <w:rPr>
          <w:rFonts w:eastAsia="Calibri" w:cs="Arial"/>
          <w:lang w:val="en-GB" w:eastAsia="en-US"/>
        </w:rPr>
        <w:t xml:space="preserve">y </w:t>
      </w:r>
    </w:p>
    <w:p w14:paraId="22208C93" w14:textId="77777777" w:rsidR="005147EA" w:rsidRPr="00AC05E4" w:rsidRDefault="005147EA" w:rsidP="003C5B84">
      <w:pPr>
        <w:spacing w:after="0" w:line="240" w:lineRule="auto"/>
        <w:ind w:left="709" w:hanging="709"/>
        <w:rPr>
          <w:rFonts w:eastAsia="Calibri" w:cs="Arial"/>
          <w:lang w:val="en-GB" w:eastAsia="en-US"/>
        </w:rPr>
      </w:pPr>
    </w:p>
    <w:p w14:paraId="55BDB320" w14:textId="77777777" w:rsidR="003360EB" w:rsidRPr="00AC05E4" w:rsidRDefault="009F47E1" w:rsidP="003C5B84">
      <w:pPr>
        <w:spacing w:after="0" w:line="240" w:lineRule="auto"/>
        <w:ind w:left="709" w:hanging="709"/>
        <w:rPr>
          <w:rFonts w:asciiTheme="minorHAnsi" w:hAnsiTheme="minorHAnsi" w:cstheme="minorHAnsi"/>
          <w:lang w:val="en-US"/>
        </w:rPr>
      </w:pPr>
      <w:r w:rsidRPr="00AC05E4">
        <w:rPr>
          <w:rFonts w:asciiTheme="minorHAnsi" w:hAnsiTheme="minorHAnsi" w:cstheme="minorHAnsi"/>
          <w:vertAlign w:val="superscript"/>
          <w:lang w:val="en-US"/>
        </w:rPr>
        <w:t>6</w:t>
      </w:r>
      <w:r w:rsidR="003360EB" w:rsidRPr="00AC05E4">
        <w:rPr>
          <w:rFonts w:asciiTheme="minorHAnsi" w:hAnsiTheme="minorHAnsi" w:cstheme="minorHAnsi"/>
          <w:lang w:val="en-US"/>
        </w:rPr>
        <w:t>Pediatric Hemato-Oncology, UZLeuven, Leuven, Belgium</w:t>
      </w:r>
    </w:p>
    <w:p w14:paraId="698DB6A7" w14:textId="77777777" w:rsidR="000C5C68" w:rsidRPr="00AC05E4" w:rsidRDefault="009F47E1" w:rsidP="003C5B84">
      <w:pPr>
        <w:spacing w:after="0" w:line="240" w:lineRule="auto"/>
        <w:ind w:left="709" w:hanging="709"/>
        <w:rPr>
          <w:rFonts w:asciiTheme="minorHAnsi" w:hAnsiTheme="minorHAnsi" w:cstheme="minorHAnsi"/>
          <w:lang w:val="en-US"/>
        </w:rPr>
      </w:pPr>
      <w:r w:rsidRPr="00AC05E4">
        <w:rPr>
          <w:rFonts w:asciiTheme="minorHAnsi" w:hAnsiTheme="minorHAnsi" w:cstheme="minorHAnsi"/>
          <w:vertAlign w:val="superscript"/>
          <w:lang w:val="en-US"/>
        </w:rPr>
        <w:t>7</w:t>
      </w:r>
      <w:r w:rsidR="00431E31" w:rsidRPr="00AC05E4">
        <w:rPr>
          <w:rFonts w:asciiTheme="minorHAnsi" w:hAnsiTheme="minorHAnsi" w:cstheme="minorHAnsi"/>
          <w:vertAlign w:val="superscript"/>
          <w:lang w:val="en-US"/>
        </w:rPr>
        <w:t xml:space="preserve"> </w:t>
      </w:r>
      <w:r w:rsidR="002575EC" w:rsidRPr="00AC05E4">
        <w:rPr>
          <w:rFonts w:asciiTheme="minorHAnsi" w:hAnsiTheme="minorHAnsi" w:cstheme="minorHAnsi"/>
          <w:lang w:val="en-US"/>
        </w:rPr>
        <w:t>Swabian Children’s Cancer Center, University Children’s Hospital, Augsburg, Germany</w:t>
      </w:r>
    </w:p>
    <w:p w14:paraId="7CA51150" w14:textId="77777777" w:rsidR="0089539B" w:rsidRPr="00AC05E4" w:rsidRDefault="009F47E1" w:rsidP="003C5B84">
      <w:pPr>
        <w:spacing w:after="0" w:line="240" w:lineRule="auto"/>
        <w:ind w:left="709" w:hanging="709"/>
        <w:rPr>
          <w:rFonts w:asciiTheme="minorHAnsi" w:hAnsiTheme="minorHAnsi" w:cstheme="minorHAnsi"/>
          <w:b/>
          <w:lang w:val="en-US"/>
        </w:rPr>
      </w:pPr>
      <w:r w:rsidRPr="00AC05E4">
        <w:rPr>
          <w:rFonts w:eastAsia="Calibri" w:cs="Arial"/>
          <w:vertAlign w:val="superscript"/>
          <w:lang w:val="en-GB" w:eastAsia="en-US"/>
        </w:rPr>
        <w:t>8</w:t>
      </w:r>
      <w:r w:rsidR="0089539B" w:rsidRPr="00AC05E4">
        <w:rPr>
          <w:rFonts w:eastAsia="Calibri" w:cs="Arial"/>
          <w:lang w:val="en-GB" w:eastAsia="en-US"/>
        </w:rPr>
        <w:t>Department of Pediatric Endocrinology, Wilhelmina Children’s Hospital, UMCU, Utrecht, the Netherlands</w:t>
      </w:r>
    </w:p>
    <w:p w14:paraId="63961270" w14:textId="77777777" w:rsidR="004449B8" w:rsidRPr="009F47E1" w:rsidRDefault="009F47E1" w:rsidP="004449B8">
      <w:pPr>
        <w:spacing w:after="0" w:line="240" w:lineRule="auto"/>
        <w:ind w:left="709" w:hanging="709"/>
        <w:rPr>
          <w:rFonts w:asciiTheme="minorHAnsi" w:hAnsiTheme="minorHAnsi" w:cstheme="minorHAnsi"/>
          <w:lang w:val="en-US"/>
        </w:rPr>
      </w:pPr>
      <w:r w:rsidRPr="00AC05E4">
        <w:rPr>
          <w:rFonts w:asciiTheme="minorHAnsi" w:hAnsiTheme="minorHAnsi" w:cstheme="minorHAnsi"/>
          <w:vertAlign w:val="superscript"/>
          <w:lang w:val="en-US"/>
        </w:rPr>
        <w:t>9</w:t>
      </w:r>
      <w:r w:rsidR="004449B8" w:rsidRPr="00AC05E4">
        <w:rPr>
          <w:rFonts w:asciiTheme="minorHAnsi" w:hAnsiTheme="minorHAnsi" w:cstheme="minorHAnsi"/>
          <w:vertAlign w:val="superscript"/>
          <w:lang w:val="en-US"/>
        </w:rPr>
        <w:t xml:space="preserve"> </w:t>
      </w:r>
      <w:r w:rsidR="004449B8" w:rsidRPr="00717345">
        <w:rPr>
          <w:rFonts w:asciiTheme="minorHAnsi" w:hAnsiTheme="minorHAnsi" w:cs="Arial"/>
          <w:lang w:val="en-GB"/>
        </w:rPr>
        <w:t>Department of Pediatrics and Adolscent Medicine, General Hospital, Medical University of Vienna, Austria</w:t>
      </w:r>
      <w:r w:rsidR="004449B8" w:rsidRPr="009F47E1" w:rsidDel="003C2A2E">
        <w:rPr>
          <w:rFonts w:asciiTheme="minorHAnsi" w:hAnsiTheme="minorHAnsi" w:cstheme="minorHAnsi"/>
          <w:lang w:val="en-US"/>
        </w:rPr>
        <w:t xml:space="preserve"> </w:t>
      </w:r>
    </w:p>
    <w:p w14:paraId="0F4E2D94" w14:textId="643B6FBC" w:rsidR="00431E31" w:rsidRPr="00AC05E4" w:rsidRDefault="009F47E1" w:rsidP="003C5B84">
      <w:pPr>
        <w:spacing w:after="0" w:line="240" w:lineRule="auto"/>
        <w:ind w:left="709" w:hanging="709"/>
        <w:rPr>
          <w:rFonts w:asciiTheme="minorHAnsi" w:hAnsiTheme="minorHAnsi" w:cstheme="minorHAnsi"/>
          <w:lang w:val="en-US"/>
        </w:rPr>
      </w:pPr>
      <w:r w:rsidRPr="00AC05E4">
        <w:rPr>
          <w:rFonts w:asciiTheme="minorHAnsi" w:hAnsiTheme="minorHAnsi" w:cstheme="minorHAnsi"/>
          <w:vertAlign w:val="superscript"/>
          <w:lang w:val="en-US"/>
        </w:rPr>
        <w:t>10</w:t>
      </w:r>
      <w:r w:rsidR="00431E31" w:rsidRPr="00AC05E4">
        <w:rPr>
          <w:rFonts w:asciiTheme="minorHAnsi" w:hAnsiTheme="minorHAnsi" w:cstheme="minorHAnsi"/>
          <w:lang w:val="en-US"/>
        </w:rPr>
        <w:t xml:space="preserve">Department of Neuroendocrinology, London Centre for Paediatric and Adolescent Endocrinology at Great Ormond Street and University College Hospitals, London UK, </w:t>
      </w:r>
    </w:p>
    <w:p w14:paraId="453746E7" w14:textId="77777777" w:rsidR="00CC4F03" w:rsidRPr="00AC05E4" w:rsidRDefault="009F47E1" w:rsidP="003C5B84">
      <w:pPr>
        <w:widowControl w:val="0"/>
        <w:spacing w:line="240" w:lineRule="auto"/>
        <w:ind w:left="709" w:hanging="709"/>
        <w:contextualSpacing/>
        <w:rPr>
          <w:iCs/>
          <w:lang w:val="en-US"/>
        </w:rPr>
      </w:pPr>
      <w:r w:rsidRPr="00AC05E4">
        <w:rPr>
          <w:rFonts w:eastAsia="SimSun"/>
          <w:iCs/>
          <w:vertAlign w:val="superscript"/>
          <w:lang w:val="en-US" w:eastAsia="en-GB"/>
        </w:rPr>
        <w:t>11</w:t>
      </w:r>
      <w:r w:rsidR="00CC4F03" w:rsidRPr="00AC05E4">
        <w:rPr>
          <w:iCs/>
          <w:lang w:val="en-US"/>
        </w:rPr>
        <w:t>Rehabilitation Department, and Outreach Team for children and adolescents with acquired brain injury, Saint-Maurice Hospitals, 14 rue du Val d'Osne, 94410 Saint-Maurice, France</w:t>
      </w:r>
    </w:p>
    <w:p w14:paraId="74A7F856" w14:textId="77777777" w:rsidR="00CC4F03" w:rsidRPr="009F47E1" w:rsidRDefault="00431E31" w:rsidP="003C5B84">
      <w:pPr>
        <w:widowControl w:val="0"/>
        <w:spacing w:line="240" w:lineRule="auto"/>
        <w:ind w:left="709" w:hanging="709"/>
        <w:contextualSpacing/>
        <w:rPr>
          <w:iCs/>
        </w:rPr>
      </w:pPr>
      <w:r w:rsidRPr="00AC05E4">
        <w:rPr>
          <w:iCs/>
          <w:vertAlign w:val="superscript"/>
        </w:rPr>
        <w:t>1</w:t>
      </w:r>
      <w:r w:rsidR="009F47E1" w:rsidRPr="00AC05E4">
        <w:rPr>
          <w:iCs/>
          <w:vertAlign w:val="superscript"/>
        </w:rPr>
        <w:t>2</w:t>
      </w:r>
      <w:r w:rsidR="00CC4F03" w:rsidRPr="00AC05E4">
        <w:rPr>
          <w:iCs/>
        </w:rPr>
        <w:t>Sorbonne Université, Laboratoire d'Imagerie Biomédicale, LIB, 75006 Paris, France</w:t>
      </w:r>
    </w:p>
    <w:p w14:paraId="6AEEF513" w14:textId="77777777" w:rsidR="00CC4F03" w:rsidRPr="003C5B84" w:rsidRDefault="00CC4F03" w:rsidP="003C5B84">
      <w:pPr>
        <w:spacing w:after="0" w:line="240" w:lineRule="auto"/>
        <w:ind w:left="709" w:hanging="709"/>
        <w:contextualSpacing/>
        <w:rPr>
          <w:rFonts w:asciiTheme="minorHAnsi" w:hAnsiTheme="minorHAnsi" w:cstheme="minorHAnsi"/>
        </w:rPr>
      </w:pPr>
    </w:p>
    <w:p w14:paraId="6C3CC13A" w14:textId="573A58D6" w:rsidR="000C4E99" w:rsidRPr="00717345" w:rsidRDefault="00961303" w:rsidP="00743BFA">
      <w:pPr>
        <w:spacing w:after="0"/>
        <w:rPr>
          <w:rFonts w:asciiTheme="minorHAnsi" w:hAnsiTheme="minorHAnsi" w:cstheme="minorHAnsi"/>
          <w:lang w:val="en-GB"/>
        </w:rPr>
      </w:pPr>
      <w:r w:rsidRPr="00717345">
        <w:rPr>
          <w:rFonts w:asciiTheme="minorHAnsi" w:hAnsiTheme="minorHAnsi" w:cstheme="minorHAnsi"/>
          <w:b/>
          <w:lang w:val="en-GB"/>
        </w:rPr>
        <w:t xml:space="preserve">Corresponding Author: </w:t>
      </w:r>
      <w:r w:rsidRPr="00717345">
        <w:rPr>
          <w:rFonts w:asciiTheme="minorHAnsi" w:hAnsiTheme="minorHAnsi" w:cstheme="minorHAnsi"/>
          <w:lang w:val="en-GB"/>
        </w:rPr>
        <w:t>Dr Jenny Limond, Department of Psychology, Washington Singer Building, University of Exeter, Perry Road, Exeter, EX4 4QG, U.K.</w:t>
      </w:r>
      <w:r w:rsidR="00295179" w:rsidRPr="00717345">
        <w:rPr>
          <w:rFonts w:asciiTheme="minorHAnsi" w:hAnsiTheme="minorHAnsi" w:cstheme="minorHAnsi"/>
          <w:lang w:val="en-GB"/>
        </w:rPr>
        <w:t xml:space="preserve"> &lt;j.limond@exeter.ac.uk&gt;</w:t>
      </w:r>
    </w:p>
    <w:p w14:paraId="71CDBA7D" w14:textId="77777777" w:rsidR="00961303" w:rsidRPr="00717345" w:rsidRDefault="00961303" w:rsidP="00743BFA">
      <w:pPr>
        <w:spacing w:after="0"/>
        <w:rPr>
          <w:rFonts w:asciiTheme="minorHAnsi" w:hAnsiTheme="minorHAnsi" w:cstheme="minorHAnsi"/>
          <w:lang w:val="en-GB"/>
        </w:rPr>
      </w:pPr>
    </w:p>
    <w:p w14:paraId="7C784751" w14:textId="77777777" w:rsidR="002B001C" w:rsidRDefault="002B001C" w:rsidP="00743BFA">
      <w:pPr>
        <w:spacing w:after="0"/>
        <w:rPr>
          <w:rFonts w:asciiTheme="minorHAnsi" w:hAnsiTheme="minorHAnsi" w:cstheme="minorHAnsi"/>
          <w:b/>
          <w:lang w:val="en-US"/>
        </w:rPr>
      </w:pPr>
    </w:p>
    <w:p w14:paraId="2D54DCA6" w14:textId="77777777" w:rsidR="00772933" w:rsidRPr="00772933" w:rsidRDefault="00772933" w:rsidP="00BE64B7">
      <w:pPr>
        <w:spacing w:after="0" w:line="480" w:lineRule="auto"/>
        <w:rPr>
          <w:rFonts w:asciiTheme="minorHAnsi" w:hAnsiTheme="minorHAnsi" w:cstheme="minorHAnsi"/>
          <w:b/>
          <w:lang w:val="en-US" w:eastAsia="en-US"/>
        </w:rPr>
      </w:pPr>
      <w:r w:rsidRPr="00772933">
        <w:rPr>
          <w:rFonts w:asciiTheme="minorHAnsi" w:hAnsiTheme="minorHAnsi" w:cstheme="minorHAnsi"/>
          <w:b/>
          <w:lang w:val="en-US" w:eastAsia="en-US"/>
        </w:rPr>
        <w:t>Abstract</w:t>
      </w:r>
    </w:p>
    <w:p w14:paraId="2BA18746" w14:textId="77777777" w:rsidR="00772933" w:rsidRPr="00772933" w:rsidRDefault="00245BF6" w:rsidP="00BE64B7">
      <w:pPr>
        <w:spacing w:after="0" w:line="480" w:lineRule="auto"/>
        <w:rPr>
          <w:rFonts w:asciiTheme="minorHAnsi" w:hAnsiTheme="minorHAnsi" w:cstheme="minorHAnsi"/>
          <w:lang w:val="en-US" w:eastAsia="en-US"/>
        </w:rPr>
      </w:pPr>
      <w:r>
        <w:rPr>
          <w:rFonts w:asciiTheme="minorHAnsi" w:hAnsiTheme="minorHAnsi" w:cstheme="minorHAnsi"/>
          <w:lang w:val="en-US" w:eastAsia="en-US"/>
        </w:rPr>
        <w:t>T</w:t>
      </w:r>
      <w:r w:rsidR="00B13E40">
        <w:rPr>
          <w:rFonts w:asciiTheme="minorHAnsi" w:hAnsiTheme="minorHAnsi" w:cstheme="minorHAnsi"/>
          <w:lang w:val="en-US" w:eastAsia="en-US"/>
        </w:rPr>
        <w:t>he highest inciden</w:t>
      </w:r>
      <w:r w:rsidR="00AD2945">
        <w:rPr>
          <w:rFonts w:asciiTheme="minorHAnsi" w:hAnsiTheme="minorHAnsi" w:cstheme="minorHAnsi"/>
          <w:lang w:val="en-US" w:eastAsia="en-US"/>
        </w:rPr>
        <w:t xml:space="preserve">ce rate of childhood brain tumours is in children </w:t>
      </w:r>
      <w:r w:rsidR="00281E25">
        <w:rPr>
          <w:rFonts w:asciiTheme="minorHAnsi" w:hAnsiTheme="minorHAnsi" w:cstheme="minorHAnsi"/>
          <w:lang w:val="en-US" w:eastAsia="en-US"/>
        </w:rPr>
        <w:t>below</w:t>
      </w:r>
      <w:r w:rsidR="00281E25" w:rsidRPr="00772933">
        <w:rPr>
          <w:rFonts w:asciiTheme="minorHAnsi" w:hAnsiTheme="minorHAnsi" w:cstheme="minorHAnsi"/>
          <w:lang w:val="en-US" w:eastAsia="en-US"/>
        </w:rPr>
        <w:t xml:space="preserve"> </w:t>
      </w:r>
      <w:r w:rsidR="00772933" w:rsidRPr="00772933">
        <w:rPr>
          <w:rFonts w:asciiTheme="minorHAnsi" w:hAnsiTheme="minorHAnsi" w:cstheme="minorHAnsi"/>
          <w:lang w:val="en-US" w:eastAsia="en-US"/>
        </w:rPr>
        <w:t xml:space="preserve">the age of </w:t>
      </w:r>
      <w:r w:rsidR="005F2FA1">
        <w:rPr>
          <w:rFonts w:asciiTheme="minorHAnsi" w:hAnsiTheme="minorHAnsi" w:cstheme="minorHAnsi"/>
          <w:lang w:val="en-US" w:eastAsia="en-US"/>
        </w:rPr>
        <w:t>five</w:t>
      </w:r>
      <w:r w:rsidR="005F2FA1" w:rsidRPr="00772933">
        <w:rPr>
          <w:rFonts w:asciiTheme="minorHAnsi" w:hAnsiTheme="minorHAnsi" w:cstheme="minorHAnsi"/>
          <w:lang w:val="en-US" w:eastAsia="en-US"/>
        </w:rPr>
        <w:t xml:space="preserve"> </w:t>
      </w:r>
      <w:r w:rsidR="00772933" w:rsidRPr="00772933">
        <w:rPr>
          <w:rFonts w:asciiTheme="minorHAnsi" w:hAnsiTheme="minorHAnsi" w:cstheme="minorHAnsi"/>
          <w:lang w:val="en-US" w:eastAsia="en-US"/>
        </w:rPr>
        <w:t>years</w:t>
      </w:r>
      <w:r>
        <w:rPr>
          <w:rFonts w:asciiTheme="minorHAnsi" w:hAnsiTheme="minorHAnsi" w:cstheme="minorHAnsi"/>
          <w:lang w:val="en-US" w:eastAsia="en-US"/>
        </w:rPr>
        <w:t>, who are</w:t>
      </w:r>
      <w:r w:rsidR="00772933" w:rsidRPr="00772933">
        <w:rPr>
          <w:rFonts w:asciiTheme="minorHAnsi" w:hAnsiTheme="minorHAnsi" w:cstheme="minorHAnsi"/>
          <w:lang w:val="en-US" w:eastAsia="en-US"/>
        </w:rPr>
        <w:t xml:space="preserve"> particularly vulnerable to the effects of treatments</w:t>
      </w:r>
      <w:r w:rsidR="009246AC">
        <w:rPr>
          <w:rFonts w:asciiTheme="minorHAnsi" w:hAnsiTheme="minorHAnsi" w:cstheme="minorHAnsi"/>
          <w:lang w:val="en-US" w:eastAsia="en-US"/>
        </w:rPr>
        <w:t>. The</w:t>
      </w:r>
      <w:r w:rsidR="00772933" w:rsidRPr="00772933">
        <w:rPr>
          <w:rFonts w:asciiTheme="minorHAnsi" w:hAnsiTheme="minorHAnsi" w:cstheme="minorHAnsi"/>
          <w:lang w:val="en-US" w:eastAsia="en-US"/>
        </w:rPr>
        <w:t xml:space="preserve"> assessment of quality of survival (QoS) in multiple domains is essential to </w:t>
      </w:r>
      <w:r w:rsidR="004F7795">
        <w:rPr>
          <w:rFonts w:asciiTheme="minorHAnsi" w:hAnsiTheme="minorHAnsi" w:cstheme="minorHAnsi"/>
          <w:lang w:val="en-US" w:eastAsia="en-US"/>
        </w:rPr>
        <w:t>compare</w:t>
      </w:r>
      <w:r w:rsidR="00772933" w:rsidRPr="00772933">
        <w:rPr>
          <w:rFonts w:asciiTheme="minorHAnsi" w:hAnsiTheme="minorHAnsi" w:cstheme="minorHAnsi"/>
          <w:lang w:val="en-US" w:eastAsia="en-US"/>
        </w:rPr>
        <w:t xml:space="preserve"> the </w:t>
      </w:r>
      <w:r w:rsidR="004F7795">
        <w:rPr>
          <w:rFonts w:asciiTheme="minorHAnsi" w:hAnsiTheme="minorHAnsi" w:cstheme="minorHAnsi"/>
          <w:lang w:val="en-US" w:eastAsia="en-US"/>
        </w:rPr>
        <w:t xml:space="preserve">outcomes for different tumour types and </w:t>
      </w:r>
      <w:r w:rsidR="00772933" w:rsidRPr="00772933">
        <w:rPr>
          <w:rFonts w:asciiTheme="minorHAnsi" w:hAnsiTheme="minorHAnsi" w:cstheme="minorHAnsi"/>
          <w:lang w:val="en-US" w:eastAsia="en-US"/>
        </w:rPr>
        <w:t>treatment regimens.</w:t>
      </w:r>
      <w:r w:rsidR="00210B35">
        <w:rPr>
          <w:rFonts w:asciiTheme="minorHAnsi" w:hAnsiTheme="minorHAnsi" w:cstheme="minorHAnsi"/>
          <w:lang w:val="en-US" w:eastAsia="en-US"/>
        </w:rPr>
        <w:t xml:space="preserve">  </w:t>
      </w:r>
    </w:p>
    <w:p w14:paraId="6ECF6065" w14:textId="77777777" w:rsidR="00772933" w:rsidRPr="00772933" w:rsidRDefault="00772933" w:rsidP="00BE64B7">
      <w:pPr>
        <w:spacing w:after="0" w:line="480" w:lineRule="auto"/>
        <w:rPr>
          <w:rFonts w:asciiTheme="minorHAnsi" w:hAnsiTheme="minorHAnsi" w:cstheme="minorHAnsi"/>
          <w:lang w:val="en-US" w:eastAsia="en-US"/>
        </w:rPr>
      </w:pPr>
      <w:r w:rsidRPr="00772933">
        <w:rPr>
          <w:rFonts w:asciiTheme="minorHAnsi" w:hAnsiTheme="minorHAnsi" w:cstheme="minorHAnsi"/>
          <w:lang w:val="en-US" w:eastAsia="en-US"/>
        </w:rPr>
        <w:t xml:space="preserve">The aim of this position statement is to </w:t>
      </w:r>
      <w:r w:rsidR="005D1BCD">
        <w:rPr>
          <w:rFonts w:asciiTheme="minorHAnsi" w:hAnsiTheme="minorHAnsi" w:cstheme="minorHAnsi"/>
          <w:lang w:val="en-US" w:eastAsia="en-US"/>
        </w:rPr>
        <w:t xml:space="preserve">present the domains of </w:t>
      </w:r>
      <w:r w:rsidR="00751B13">
        <w:rPr>
          <w:rFonts w:asciiTheme="minorHAnsi" w:hAnsiTheme="minorHAnsi" w:cstheme="minorHAnsi"/>
          <w:lang w:val="en-US" w:eastAsia="en-US"/>
        </w:rPr>
        <w:t xml:space="preserve">health and </w:t>
      </w:r>
      <w:r w:rsidR="005D1BCD">
        <w:rPr>
          <w:rFonts w:asciiTheme="minorHAnsi" w:hAnsiTheme="minorHAnsi" w:cstheme="minorHAnsi"/>
          <w:lang w:val="en-US" w:eastAsia="en-US"/>
        </w:rPr>
        <w:t xml:space="preserve">functioning </w:t>
      </w:r>
      <w:r w:rsidR="00EB36B8">
        <w:rPr>
          <w:rFonts w:asciiTheme="minorHAnsi" w:hAnsiTheme="minorHAnsi" w:cstheme="minorHAnsi"/>
          <w:lang w:val="en-US" w:eastAsia="en-US"/>
        </w:rPr>
        <w:t xml:space="preserve">to be </w:t>
      </w:r>
      <w:r w:rsidR="00EB36B8" w:rsidRPr="00772933">
        <w:rPr>
          <w:rFonts w:asciiTheme="minorHAnsi" w:hAnsiTheme="minorHAnsi" w:cstheme="minorHAnsi"/>
          <w:lang w:val="en-US" w:eastAsia="en-US"/>
        </w:rPr>
        <w:t>assess</w:t>
      </w:r>
      <w:r w:rsidR="00EB36B8">
        <w:rPr>
          <w:rFonts w:asciiTheme="minorHAnsi" w:hAnsiTheme="minorHAnsi" w:cstheme="minorHAnsi"/>
          <w:lang w:val="en-US" w:eastAsia="en-US"/>
        </w:rPr>
        <w:t>ed</w:t>
      </w:r>
      <w:r w:rsidR="00EB36B8" w:rsidRPr="00772933">
        <w:rPr>
          <w:rFonts w:asciiTheme="minorHAnsi" w:hAnsiTheme="minorHAnsi" w:cstheme="minorHAnsi"/>
          <w:lang w:val="en-US" w:eastAsia="en-US"/>
        </w:rPr>
        <w:t xml:space="preserve"> </w:t>
      </w:r>
      <w:r w:rsidR="00EB36B8">
        <w:rPr>
          <w:rFonts w:asciiTheme="minorHAnsi" w:hAnsiTheme="minorHAnsi" w:cstheme="minorHAnsi"/>
          <w:lang w:val="en-US" w:eastAsia="en-US"/>
        </w:rPr>
        <w:t xml:space="preserve">in </w:t>
      </w:r>
      <w:r w:rsidR="00EB36B8" w:rsidRPr="00772933">
        <w:rPr>
          <w:rFonts w:asciiTheme="minorHAnsi" w:hAnsiTheme="minorHAnsi" w:cstheme="minorHAnsi"/>
          <w:lang w:val="en-US" w:eastAsia="en-US"/>
        </w:rPr>
        <w:t xml:space="preserve">children from birth to </w:t>
      </w:r>
      <w:r w:rsidR="00EB36B8">
        <w:rPr>
          <w:rFonts w:asciiTheme="minorHAnsi" w:hAnsiTheme="minorHAnsi" w:cstheme="minorHAnsi"/>
          <w:lang w:val="en-US" w:eastAsia="en-US"/>
        </w:rPr>
        <w:t>five years</w:t>
      </w:r>
      <w:r w:rsidR="00245BF6">
        <w:rPr>
          <w:rFonts w:asciiTheme="minorHAnsi" w:hAnsiTheme="minorHAnsi" w:cstheme="minorHAnsi"/>
          <w:lang w:val="en-US" w:eastAsia="en-US"/>
        </w:rPr>
        <w:t>,</w:t>
      </w:r>
      <w:r w:rsidR="00EB36B8">
        <w:rPr>
          <w:rFonts w:asciiTheme="minorHAnsi" w:hAnsiTheme="minorHAnsi" w:cstheme="minorHAnsi"/>
          <w:lang w:val="en-US" w:eastAsia="en-US"/>
        </w:rPr>
        <w:t xml:space="preserve"> </w:t>
      </w:r>
      <w:r w:rsidR="00EC3BA1">
        <w:rPr>
          <w:rFonts w:asciiTheme="minorHAnsi" w:hAnsiTheme="minorHAnsi" w:cstheme="minorHAnsi"/>
          <w:lang w:val="en-US" w:eastAsia="en-US"/>
        </w:rPr>
        <w:t>to</w:t>
      </w:r>
      <w:r w:rsidR="00EC3BA1" w:rsidRPr="00772933">
        <w:rPr>
          <w:rFonts w:asciiTheme="minorHAnsi" w:hAnsiTheme="minorHAnsi" w:cstheme="minorHAnsi"/>
          <w:lang w:val="en-US" w:eastAsia="en-US"/>
        </w:rPr>
        <w:t xml:space="preserve"> </w:t>
      </w:r>
      <w:r w:rsidR="00EB36B8">
        <w:rPr>
          <w:rFonts w:asciiTheme="minorHAnsi" w:hAnsiTheme="minorHAnsi" w:cstheme="minorHAnsi"/>
          <w:lang w:val="en-US" w:eastAsia="en-US"/>
        </w:rPr>
        <w:t>advance the</w:t>
      </w:r>
      <w:r w:rsidR="00EB36B8" w:rsidRPr="00772933">
        <w:rPr>
          <w:rFonts w:asciiTheme="minorHAnsi" w:hAnsiTheme="minorHAnsi" w:cstheme="minorHAnsi"/>
          <w:lang w:val="en-US" w:eastAsia="en-US"/>
        </w:rPr>
        <w:t xml:space="preserve"> </w:t>
      </w:r>
      <w:r w:rsidRPr="00772933">
        <w:rPr>
          <w:rFonts w:asciiTheme="minorHAnsi" w:hAnsiTheme="minorHAnsi" w:cstheme="minorHAnsi"/>
          <w:lang w:val="en-US" w:eastAsia="en-US"/>
        </w:rPr>
        <w:t xml:space="preserve">collection of a common </w:t>
      </w:r>
      <w:r w:rsidR="00751B13">
        <w:rPr>
          <w:rFonts w:asciiTheme="minorHAnsi" w:hAnsiTheme="minorHAnsi" w:cstheme="minorHAnsi"/>
          <w:lang w:val="en-US" w:eastAsia="en-US"/>
        </w:rPr>
        <w:t xml:space="preserve">QoS </w:t>
      </w:r>
      <w:r w:rsidRPr="00772933">
        <w:rPr>
          <w:rFonts w:asciiTheme="minorHAnsi" w:hAnsiTheme="minorHAnsi" w:cstheme="minorHAnsi"/>
          <w:lang w:val="en-US" w:eastAsia="en-US"/>
        </w:rPr>
        <w:t xml:space="preserve">data set </w:t>
      </w:r>
      <w:r w:rsidR="00202974">
        <w:rPr>
          <w:rFonts w:asciiTheme="minorHAnsi" w:hAnsiTheme="minorHAnsi" w:cstheme="minorHAnsi"/>
          <w:lang w:val="en-US" w:eastAsia="en-US"/>
        </w:rPr>
        <w:t>in</w:t>
      </w:r>
      <w:r w:rsidR="005F2FA1">
        <w:rPr>
          <w:rFonts w:asciiTheme="minorHAnsi" w:hAnsiTheme="minorHAnsi" w:cstheme="minorHAnsi"/>
          <w:lang w:val="en-US" w:eastAsia="en-US"/>
        </w:rPr>
        <w:t xml:space="preserve"> European brain tumour trials</w:t>
      </w:r>
      <w:r w:rsidRPr="00772933">
        <w:rPr>
          <w:rFonts w:asciiTheme="minorHAnsi" w:hAnsiTheme="minorHAnsi" w:cstheme="minorHAnsi"/>
          <w:lang w:val="en-US" w:eastAsia="en-US"/>
        </w:rPr>
        <w:t xml:space="preserve">. </w:t>
      </w:r>
    </w:p>
    <w:p w14:paraId="24B1E5F9" w14:textId="77777777" w:rsidR="00772933" w:rsidRPr="00772933" w:rsidRDefault="004F7795" w:rsidP="00BE64B7">
      <w:pPr>
        <w:spacing w:after="0" w:line="480" w:lineRule="auto"/>
        <w:rPr>
          <w:rFonts w:asciiTheme="minorHAnsi" w:hAnsiTheme="minorHAnsi" w:cstheme="minorHAnsi"/>
          <w:lang w:val="en-US" w:eastAsia="en-US"/>
        </w:rPr>
      </w:pPr>
      <w:r w:rsidRPr="00D4281F">
        <w:rPr>
          <w:lang w:val="en-GB"/>
        </w:rPr>
        <w:t xml:space="preserve">The QoS group </w:t>
      </w:r>
      <w:r w:rsidR="00245BF6">
        <w:rPr>
          <w:lang w:val="en-GB"/>
        </w:rPr>
        <w:t>o</w:t>
      </w:r>
      <w:r w:rsidRPr="00D4281F">
        <w:rPr>
          <w:lang w:val="en-GB"/>
        </w:rPr>
        <w:t>f the European Society of Paediatric Oncology</w:t>
      </w:r>
      <w:r>
        <w:rPr>
          <w:lang w:val="en-GB"/>
        </w:rPr>
        <w:t xml:space="preserve"> (SIOP-E)</w:t>
      </w:r>
      <w:r w:rsidRPr="00D4281F">
        <w:rPr>
          <w:lang w:val="en-GB"/>
        </w:rPr>
        <w:t xml:space="preserve"> Brain Tumour group conducted consensus discussions over a period of six years to establish domains of QoS that should </w:t>
      </w:r>
      <w:r w:rsidR="00245BF6">
        <w:rPr>
          <w:lang w:val="en-GB"/>
        </w:rPr>
        <w:t xml:space="preserve">be </w:t>
      </w:r>
      <w:r w:rsidRPr="00D4281F">
        <w:rPr>
          <w:lang w:val="en-GB"/>
        </w:rPr>
        <w:t>prioritised in clinical trials involving children under 5 years</w:t>
      </w:r>
      <w:r w:rsidR="00D03D78">
        <w:rPr>
          <w:rFonts w:asciiTheme="minorHAnsi" w:hAnsiTheme="minorHAnsi" w:cstheme="minorHAnsi"/>
          <w:lang w:val="en-US" w:eastAsia="en-US"/>
        </w:rPr>
        <w:t xml:space="preserve">.  </w:t>
      </w:r>
    </w:p>
    <w:p w14:paraId="57D04EDB" w14:textId="77777777" w:rsidR="00772933" w:rsidRPr="00772933" w:rsidRDefault="00E577CA" w:rsidP="00BE64B7">
      <w:pPr>
        <w:spacing w:after="0" w:line="480" w:lineRule="auto"/>
        <w:rPr>
          <w:rFonts w:asciiTheme="minorHAnsi" w:hAnsiTheme="minorHAnsi" w:cstheme="minorHAnsi"/>
          <w:lang w:val="en-US" w:eastAsia="en-US"/>
        </w:rPr>
      </w:pPr>
      <w:r>
        <w:rPr>
          <w:rFonts w:asciiTheme="minorHAnsi" w:hAnsiTheme="minorHAnsi" w:cstheme="minorHAnsi"/>
          <w:lang w:val="en-US" w:eastAsia="en-US"/>
        </w:rPr>
        <w:lastRenderedPageBreak/>
        <w:t>The</w:t>
      </w:r>
      <w:r w:rsidR="00D03D78">
        <w:rPr>
          <w:rFonts w:asciiTheme="minorHAnsi" w:hAnsiTheme="minorHAnsi" w:cstheme="minorHAnsi"/>
          <w:lang w:val="en-US" w:eastAsia="en-US"/>
        </w:rPr>
        <w:t xml:space="preserve"> domains </w:t>
      </w:r>
      <w:r>
        <w:rPr>
          <w:rFonts w:asciiTheme="minorHAnsi" w:hAnsiTheme="minorHAnsi" w:cstheme="minorHAnsi"/>
          <w:lang w:val="en-US" w:eastAsia="en-US"/>
        </w:rPr>
        <w:t xml:space="preserve">of </w:t>
      </w:r>
      <w:r w:rsidR="00E71029">
        <w:rPr>
          <w:rFonts w:asciiTheme="minorHAnsi" w:hAnsiTheme="minorHAnsi" w:cstheme="minorHAnsi"/>
          <w:lang w:val="en-US" w:eastAsia="en-US"/>
        </w:rPr>
        <w:t xml:space="preserve">health and </w:t>
      </w:r>
      <w:r>
        <w:rPr>
          <w:rFonts w:asciiTheme="minorHAnsi" w:hAnsiTheme="minorHAnsi" w:cstheme="minorHAnsi"/>
          <w:lang w:val="en-US" w:eastAsia="en-US"/>
        </w:rPr>
        <w:t xml:space="preserve">functioning that </w:t>
      </w:r>
      <w:r w:rsidR="00D03D78">
        <w:rPr>
          <w:rFonts w:asciiTheme="minorHAnsi" w:hAnsiTheme="minorHAnsi" w:cstheme="minorHAnsi"/>
          <w:lang w:val="en-US" w:eastAsia="en-US"/>
        </w:rPr>
        <w:t xml:space="preserve">were agreed </w:t>
      </w:r>
      <w:r w:rsidR="00E71029">
        <w:rPr>
          <w:rFonts w:asciiTheme="minorHAnsi" w:hAnsiTheme="minorHAnsi" w:cstheme="minorHAnsi"/>
          <w:lang w:val="en-US" w:eastAsia="en-US"/>
        </w:rPr>
        <w:t xml:space="preserve">to affect QoS </w:t>
      </w:r>
      <w:r w:rsidR="00D03D78">
        <w:rPr>
          <w:rFonts w:asciiTheme="minorHAnsi" w:hAnsiTheme="minorHAnsi" w:cstheme="minorHAnsi"/>
          <w:lang w:val="en-US" w:eastAsia="en-US"/>
        </w:rPr>
        <w:t>included:</w:t>
      </w:r>
      <w:r w:rsidR="00772933" w:rsidRPr="00772933">
        <w:rPr>
          <w:rFonts w:asciiTheme="minorHAnsi" w:hAnsiTheme="minorHAnsi" w:cstheme="minorHAnsi"/>
          <w:lang w:val="en-US" w:eastAsia="en-US"/>
        </w:rPr>
        <w:t xml:space="preserve"> medical </w:t>
      </w:r>
      <w:r w:rsidR="00E71029">
        <w:rPr>
          <w:rFonts w:asciiTheme="minorHAnsi" w:hAnsiTheme="minorHAnsi" w:cstheme="minorHAnsi"/>
          <w:lang w:val="en-US" w:eastAsia="en-US"/>
        </w:rPr>
        <w:t xml:space="preserve">outcomes </w:t>
      </w:r>
      <w:r w:rsidR="00772933" w:rsidRPr="00772933">
        <w:rPr>
          <w:rFonts w:asciiTheme="minorHAnsi" w:hAnsiTheme="minorHAnsi" w:cstheme="minorHAnsi"/>
          <w:lang w:val="en-US" w:eastAsia="en-US"/>
        </w:rPr>
        <w:t>(e.g. vision, hearing, mobility, endocrine), emotion, behaviour, adaptive behaviour</w:t>
      </w:r>
      <w:r w:rsidR="005F2FA1">
        <w:rPr>
          <w:rFonts w:asciiTheme="minorHAnsi" w:hAnsiTheme="minorHAnsi" w:cstheme="minorHAnsi"/>
          <w:lang w:val="en-US" w:eastAsia="en-US"/>
        </w:rPr>
        <w:t>,</w:t>
      </w:r>
      <w:r w:rsidR="00772933" w:rsidRPr="00772933">
        <w:rPr>
          <w:rFonts w:asciiTheme="minorHAnsi" w:hAnsiTheme="minorHAnsi" w:cstheme="minorHAnsi"/>
          <w:lang w:val="en-US" w:eastAsia="en-US"/>
        </w:rPr>
        <w:t xml:space="preserve"> and cognitive functioning</w:t>
      </w:r>
      <w:r w:rsidR="00D03D78">
        <w:rPr>
          <w:rFonts w:asciiTheme="minorHAnsi" w:hAnsiTheme="minorHAnsi" w:cstheme="minorHAnsi"/>
          <w:lang w:val="en-US" w:eastAsia="en-US"/>
        </w:rPr>
        <w:t xml:space="preserve">. </w:t>
      </w:r>
      <w:r w:rsidR="005F2FA1">
        <w:rPr>
          <w:rFonts w:asciiTheme="minorHAnsi" w:hAnsiTheme="minorHAnsi" w:cstheme="minorHAnsi"/>
          <w:lang w:val="en-US" w:eastAsia="en-US"/>
        </w:rPr>
        <w:t xml:space="preserve"> </w:t>
      </w:r>
    </w:p>
    <w:p w14:paraId="6D6E19BF" w14:textId="17904B19" w:rsidR="00772933" w:rsidRDefault="00772933" w:rsidP="00BE64B7">
      <w:pPr>
        <w:spacing w:after="0" w:line="480" w:lineRule="auto"/>
        <w:rPr>
          <w:rFonts w:asciiTheme="minorHAnsi" w:hAnsiTheme="minorHAnsi" w:cstheme="minorHAnsi"/>
          <w:lang w:val="en-US" w:eastAsia="en-US"/>
        </w:rPr>
      </w:pPr>
      <w:r w:rsidRPr="00772933">
        <w:rPr>
          <w:rFonts w:asciiTheme="minorHAnsi" w:hAnsiTheme="minorHAnsi" w:cstheme="minorHAnsi"/>
          <w:lang w:val="en-US" w:eastAsia="en-US"/>
        </w:rPr>
        <w:t xml:space="preserve">As for children aged </w:t>
      </w:r>
      <w:r w:rsidR="00E577CA">
        <w:rPr>
          <w:rFonts w:asciiTheme="minorHAnsi" w:hAnsiTheme="minorHAnsi" w:cstheme="minorHAnsi"/>
          <w:lang w:val="en-US" w:eastAsia="en-US"/>
        </w:rPr>
        <w:t>five</w:t>
      </w:r>
      <w:r w:rsidR="00E577CA" w:rsidRPr="00772933">
        <w:rPr>
          <w:rFonts w:asciiTheme="minorHAnsi" w:hAnsiTheme="minorHAnsi" w:cstheme="minorHAnsi"/>
          <w:lang w:val="en-US" w:eastAsia="en-US"/>
        </w:rPr>
        <w:t xml:space="preserve"> </w:t>
      </w:r>
      <w:r w:rsidRPr="00772933">
        <w:rPr>
          <w:rFonts w:asciiTheme="minorHAnsi" w:hAnsiTheme="minorHAnsi" w:cstheme="minorHAnsi"/>
          <w:lang w:val="en-US" w:eastAsia="en-US"/>
        </w:rPr>
        <w:t xml:space="preserve">years and </w:t>
      </w:r>
      <w:r w:rsidR="00E577CA">
        <w:rPr>
          <w:rFonts w:asciiTheme="minorHAnsi" w:hAnsiTheme="minorHAnsi" w:cstheme="minorHAnsi"/>
          <w:lang w:val="en-US" w:eastAsia="en-US"/>
        </w:rPr>
        <w:t>older</w:t>
      </w:r>
      <w:r w:rsidR="004732C3">
        <w:rPr>
          <w:rFonts w:asciiTheme="minorHAnsi" w:hAnsiTheme="minorHAnsi" w:cstheme="minorHAnsi"/>
          <w:lang w:val="en-US" w:eastAsia="en-US"/>
        </w:rPr>
        <w:t>,</w:t>
      </w:r>
      <w:r w:rsidR="00E577CA" w:rsidRPr="00772933">
        <w:rPr>
          <w:rFonts w:asciiTheme="minorHAnsi" w:hAnsiTheme="minorHAnsi" w:cstheme="minorHAnsi"/>
          <w:lang w:val="en-US" w:eastAsia="en-US"/>
        </w:rPr>
        <w:t xml:space="preserve"> </w:t>
      </w:r>
      <w:r w:rsidRPr="00772933">
        <w:rPr>
          <w:rFonts w:asciiTheme="minorHAnsi" w:hAnsiTheme="minorHAnsi" w:cstheme="minorHAnsi"/>
          <w:lang w:val="en-US" w:eastAsia="en-US"/>
        </w:rPr>
        <w:t xml:space="preserve">a ‘core plus’ approach is suggested in which core assessments are recommended for all clinical trials.  The core component for children </w:t>
      </w:r>
      <w:r w:rsidR="00E577CA">
        <w:rPr>
          <w:rFonts w:asciiTheme="minorHAnsi" w:hAnsiTheme="minorHAnsi" w:cstheme="minorHAnsi"/>
          <w:lang w:val="en-US" w:eastAsia="en-US"/>
        </w:rPr>
        <w:t>from birth to three</w:t>
      </w:r>
      <w:r w:rsidR="00E577CA" w:rsidRPr="00772933">
        <w:rPr>
          <w:rFonts w:asciiTheme="minorHAnsi" w:hAnsiTheme="minorHAnsi" w:cstheme="minorHAnsi"/>
          <w:lang w:val="en-US" w:eastAsia="en-US"/>
        </w:rPr>
        <w:t xml:space="preserve"> </w:t>
      </w:r>
      <w:r w:rsidRPr="00772933">
        <w:rPr>
          <w:rFonts w:asciiTheme="minorHAnsi" w:hAnsiTheme="minorHAnsi" w:cstheme="minorHAnsi"/>
          <w:lang w:val="en-US" w:eastAsia="en-US"/>
        </w:rPr>
        <w:t xml:space="preserve">years </w:t>
      </w:r>
      <w:r w:rsidR="00E577CA" w:rsidRPr="003C5B84">
        <w:rPr>
          <w:rFonts w:asciiTheme="minorHAnsi" w:hAnsiTheme="minorHAnsi" w:cstheme="minorHAnsi"/>
          <w:lang w:val="en-US" w:eastAsia="en-US"/>
        </w:rPr>
        <w:t xml:space="preserve">includes </w:t>
      </w:r>
      <w:r w:rsidRPr="003C5B84">
        <w:rPr>
          <w:rFonts w:asciiTheme="minorHAnsi" w:hAnsiTheme="minorHAnsi" w:cstheme="minorHAnsi"/>
          <w:lang w:val="en-US" w:eastAsia="en-US"/>
        </w:rPr>
        <w:t xml:space="preserve">indirect assessment </w:t>
      </w:r>
      <w:r w:rsidR="009B46AF">
        <w:rPr>
          <w:rFonts w:asciiTheme="minorHAnsi" w:hAnsiTheme="minorHAnsi" w:cstheme="minorHAnsi"/>
          <w:lang w:val="en-US" w:eastAsia="en-US"/>
        </w:rPr>
        <w:t>which, in this age-group, requires proxy assessment by a parent,</w:t>
      </w:r>
      <w:r w:rsidR="00C209E4" w:rsidRPr="003C5B84">
        <w:rPr>
          <w:rFonts w:asciiTheme="minorHAnsi" w:hAnsiTheme="minorHAnsi" w:cstheme="minorHAnsi"/>
          <w:lang w:val="en-US" w:eastAsia="en-US"/>
        </w:rPr>
        <w:t xml:space="preserve"> of cognitive, emotional and behaviour variables and both direct and indirect endocrine measures.  For children from four years of age</w:t>
      </w:r>
      <w:r w:rsidRPr="003C5B84">
        <w:rPr>
          <w:rFonts w:asciiTheme="minorHAnsi" w:hAnsiTheme="minorHAnsi" w:cstheme="minorHAnsi"/>
          <w:lang w:val="en-US" w:eastAsia="en-US"/>
        </w:rPr>
        <w:t xml:space="preserve"> direct</w:t>
      </w:r>
      <w:r w:rsidR="00C209E4" w:rsidRPr="003C5B84">
        <w:rPr>
          <w:rFonts w:asciiTheme="minorHAnsi" w:hAnsiTheme="minorHAnsi" w:cstheme="minorHAnsi"/>
          <w:lang w:val="en-US" w:eastAsia="en-US"/>
        </w:rPr>
        <w:t xml:space="preserve"> cognitive</w:t>
      </w:r>
      <w:r w:rsidRPr="003C5B84">
        <w:rPr>
          <w:rFonts w:asciiTheme="minorHAnsi" w:hAnsiTheme="minorHAnsi" w:cstheme="minorHAnsi"/>
          <w:lang w:val="en-US" w:eastAsia="en-US"/>
        </w:rPr>
        <w:t xml:space="preserve"> assessment </w:t>
      </w:r>
      <w:r w:rsidR="00C209E4" w:rsidRPr="003C5B84">
        <w:rPr>
          <w:rFonts w:asciiTheme="minorHAnsi" w:hAnsiTheme="minorHAnsi" w:cstheme="minorHAnsi"/>
          <w:lang w:val="en-US" w:eastAsia="en-US"/>
        </w:rPr>
        <w:t>is also recommended as ‘core’</w:t>
      </w:r>
      <w:r w:rsidRPr="003C5B84">
        <w:rPr>
          <w:rFonts w:asciiTheme="minorHAnsi" w:hAnsiTheme="minorHAnsi" w:cstheme="minorHAnsi"/>
          <w:lang w:val="en-US" w:eastAsia="en-US"/>
        </w:rPr>
        <w:t>.</w:t>
      </w:r>
      <w:r w:rsidRPr="00772933">
        <w:rPr>
          <w:rFonts w:asciiTheme="minorHAnsi" w:hAnsiTheme="minorHAnsi" w:cstheme="minorHAnsi"/>
          <w:lang w:val="en-US" w:eastAsia="en-US"/>
        </w:rPr>
        <w:t xml:space="preserve">  The ‘plus’ components enable the addition of assessments which can be selected by individual countries and/or </w:t>
      </w:r>
      <w:r w:rsidR="009B3C1F">
        <w:rPr>
          <w:rFonts w:asciiTheme="minorHAnsi" w:hAnsiTheme="minorHAnsi" w:cstheme="minorHAnsi"/>
          <w:lang w:val="en-US" w:eastAsia="en-US"/>
        </w:rPr>
        <w:t>by</w:t>
      </w:r>
      <w:r w:rsidRPr="00772933">
        <w:rPr>
          <w:rFonts w:asciiTheme="minorHAnsi" w:hAnsiTheme="minorHAnsi" w:cstheme="minorHAnsi"/>
          <w:lang w:val="en-US" w:eastAsia="en-US"/>
        </w:rPr>
        <w:t xml:space="preserve">, age-, </w:t>
      </w:r>
      <w:r w:rsidR="009246AC">
        <w:rPr>
          <w:rFonts w:asciiTheme="minorHAnsi" w:hAnsiTheme="minorHAnsi" w:cstheme="minorHAnsi"/>
          <w:lang w:val="en-US" w:eastAsia="en-US"/>
        </w:rPr>
        <w:t>treatment-</w:t>
      </w:r>
      <w:r w:rsidR="004F7795">
        <w:rPr>
          <w:rFonts w:asciiTheme="minorHAnsi" w:hAnsiTheme="minorHAnsi" w:cstheme="minorHAnsi"/>
          <w:lang w:val="en-US" w:eastAsia="en-US"/>
        </w:rPr>
        <w:t>,</w:t>
      </w:r>
      <w:r w:rsidRPr="00772933">
        <w:rPr>
          <w:rFonts w:asciiTheme="minorHAnsi" w:hAnsiTheme="minorHAnsi" w:cstheme="minorHAnsi"/>
          <w:lang w:val="en-US" w:eastAsia="en-US"/>
        </w:rPr>
        <w:t xml:space="preserve"> </w:t>
      </w:r>
      <w:r w:rsidR="00CE1213">
        <w:rPr>
          <w:rFonts w:asciiTheme="minorHAnsi" w:hAnsiTheme="minorHAnsi" w:cstheme="minorHAnsi"/>
          <w:lang w:val="en-US" w:eastAsia="en-US"/>
        </w:rPr>
        <w:t>tumour</w:t>
      </w:r>
      <w:r w:rsidR="004F7795">
        <w:rPr>
          <w:rFonts w:asciiTheme="minorHAnsi" w:hAnsiTheme="minorHAnsi" w:cstheme="minorHAnsi"/>
          <w:lang w:val="en-US" w:eastAsia="en-US"/>
        </w:rPr>
        <w:t xml:space="preserve"> type- and tumour</w:t>
      </w:r>
      <w:r w:rsidR="00CE1213">
        <w:rPr>
          <w:rFonts w:asciiTheme="minorHAnsi" w:hAnsiTheme="minorHAnsi" w:cstheme="minorHAnsi"/>
          <w:lang w:val="en-US" w:eastAsia="en-US"/>
        </w:rPr>
        <w:t xml:space="preserve"> </w:t>
      </w:r>
      <w:r w:rsidRPr="00772933">
        <w:rPr>
          <w:rFonts w:asciiTheme="minorHAnsi" w:hAnsiTheme="minorHAnsi" w:cstheme="minorHAnsi"/>
          <w:lang w:val="en-US" w:eastAsia="en-US"/>
        </w:rPr>
        <w:t>location-</w:t>
      </w:r>
      <w:r w:rsidR="004F7795">
        <w:rPr>
          <w:rFonts w:asciiTheme="minorHAnsi" w:hAnsiTheme="minorHAnsi" w:cstheme="minorHAnsi"/>
          <w:lang w:val="en-US" w:eastAsia="en-US"/>
        </w:rPr>
        <w:t xml:space="preserve"> </w:t>
      </w:r>
      <w:r w:rsidRPr="00772933">
        <w:rPr>
          <w:rFonts w:asciiTheme="minorHAnsi" w:hAnsiTheme="minorHAnsi" w:cstheme="minorHAnsi"/>
          <w:lang w:val="en-US" w:eastAsia="en-US"/>
        </w:rPr>
        <w:t xml:space="preserve">specific </w:t>
      </w:r>
      <w:r w:rsidR="006F378C">
        <w:rPr>
          <w:rFonts w:asciiTheme="minorHAnsi" w:hAnsiTheme="minorHAnsi" w:cstheme="minorHAnsi"/>
          <w:lang w:val="en-US" w:eastAsia="en-US"/>
        </w:rPr>
        <w:t>trials</w:t>
      </w:r>
      <w:r w:rsidRPr="00772933">
        <w:rPr>
          <w:rFonts w:asciiTheme="minorHAnsi" w:hAnsiTheme="minorHAnsi" w:cstheme="minorHAnsi"/>
          <w:lang w:val="en-US" w:eastAsia="en-US"/>
        </w:rPr>
        <w:t xml:space="preserve">.  </w:t>
      </w:r>
    </w:p>
    <w:p w14:paraId="33DEADB2" w14:textId="77777777" w:rsidR="002A65D3" w:rsidRDefault="002A65D3" w:rsidP="00BE64B7">
      <w:pPr>
        <w:spacing w:after="0" w:line="480" w:lineRule="auto"/>
        <w:rPr>
          <w:rFonts w:asciiTheme="minorHAnsi" w:hAnsiTheme="minorHAnsi" w:cstheme="minorHAnsi"/>
          <w:lang w:val="en-US" w:eastAsia="en-US"/>
        </w:rPr>
      </w:pPr>
    </w:p>
    <w:p w14:paraId="00BA6281" w14:textId="77777777" w:rsidR="002A65D3" w:rsidRPr="002B001C" w:rsidRDefault="002A65D3" w:rsidP="002A65D3">
      <w:pPr>
        <w:spacing w:after="0"/>
        <w:rPr>
          <w:rFonts w:asciiTheme="minorHAnsi" w:hAnsiTheme="minorHAnsi" w:cstheme="minorHAnsi"/>
          <w:lang w:val="en-US"/>
        </w:rPr>
      </w:pPr>
      <w:r>
        <w:rPr>
          <w:rFonts w:asciiTheme="minorHAnsi" w:hAnsiTheme="minorHAnsi" w:cstheme="minorHAnsi"/>
          <w:b/>
          <w:lang w:val="en-US"/>
        </w:rPr>
        <w:t>Keywords:</w:t>
      </w:r>
      <w:r>
        <w:rPr>
          <w:rFonts w:asciiTheme="minorHAnsi" w:hAnsiTheme="minorHAnsi" w:cstheme="minorHAnsi"/>
          <w:lang w:val="en-US"/>
        </w:rPr>
        <w:t xml:space="preserve"> Assessment; Quality of Survival; Brain Tumor; Infants; Young children; Late effects.</w:t>
      </w:r>
    </w:p>
    <w:p w14:paraId="0961A45E" w14:textId="77777777" w:rsidR="002A65D3" w:rsidRPr="00772933" w:rsidRDefault="002A65D3" w:rsidP="00BE64B7">
      <w:pPr>
        <w:spacing w:after="0" w:line="480" w:lineRule="auto"/>
        <w:rPr>
          <w:rFonts w:asciiTheme="minorHAnsi" w:hAnsiTheme="minorHAnsi" w:cstheme="minorHAnsi"/>
          <w:lang w:val="en-US" w:eastAsia="en-US"/>
        </w:rPr>
      </w:pPr>
    </w:p>
    <w:p w14:paraId="01EB51CA" w14:textId="77777777" w:rsidR="000C4E99" w:rsidRPr="00772933" w:rsidRDefault="000C4E99" w:rsidP="00BE64B7">
      <w:pPr>
        <w:spacing w:after="0"/>
        <w:rPr>
          <w:rFonts w:asciiTheme="minorHAnsi" w:hAnsiTheme="minorHAnsi" w:cstheme="minorHAnsi"/>
          <w:b/>
          <w:lang w:val="en-US"/>
        </w:rPr>
      </w:pPr>
    </w:p>
    <w:p w14:paraId="3BAD74BB" w14:textId="77777777" w:rsidR="00372805" w:rsidRPr="002233FF" w:rsidRDefault="00372805" w:rsidP="00BE64B7">
      <w:pPr>
        <w:pStyle w:val="ListParagraph"/>
        <w:numPr>
          <w:ilvl w:val="0"/>
          <w:numId w:val="1"/>
        </w:numPr>
        <w:spacing w:after="0"/>
        <w:rPr>
          <w:rFonts w:asciiTheme="minorHAnsi" w:hAnsiTheme="minorHAnsi" w:cstheme="minorHAnsi"/>
          <w:b/>
          <w:lang w:val="en-US"/>
        </w:rPr>
      </w:pPr>
      <w:r w:rsidRPr="002233FF">
        <w:rPr>
          <w:rFonts w:asciiTheme="minorHAnsi" w:hAnsiTheme="minorHAnsi" w:cstheme="minorHAnsi"/>
          <w:b/>
          <w:lang w:val="en-US"/>
        </w:rPr>
        <w:t>Introduction</w:t>
      </w:r>
    </w:p>
    <w:p w14:paraId="086410EE" w14:textId="77777777" w:rsidR="00372805" w:rsidRPr="002233FF" w:rsidRDefault="00372805" w:rsidP="00BE64B7">
      <w:pPr>
        <w:pStyle w:val="ListParagraph"/>
        <w:numPr>
          <w:ilvl w:val="1"/>
          <w:numId w:val="2"/>
        </w:numPr>
        <w:spacing w:after="0"/>
        <w:rPr>
          <w:rFonts w:asciiTheme="minorHAnsi" w:hAnsiTheme="minorHAnsi" w:cstheme="minorHAnsi"/>
          <w:b/>
          <w:lang w:val="en-US"/>
        </w:rPr>
      </w:pPr>
      <w:r w:rsidRPr="002233FF">
        <w:rPr>
          <w:rFonts w:asciiTheme="minorHAnsi" w:hAnsiTheme="minorHAnsi" w:cstheme="minorHAnsi"/>
          <w:b/>
          <w:lang w:val="en-US"/>
        </w:rPr>
        <w:t>Survivorship after childhood brain tumor</w:t>
      </w:r>
    </w:p>
    <w:p w14:paraId="01EA24E0" w14:textId="77777777" w:rsidR="00372805" w:rsidRPr="002233FF" w:rsidRDefault="00372805" w:rsidP="00BE64B7">
      <w:pPr>
        <w:pStyle w:val="ListParagraph"/>
        <w:spacing w:after="0"/>
        <w:ind w:left="735"/>
        <w:rPr>
          <w:rFonts w:asciiTheme="minorHAnsi" w:hAnsiTheme="minorHAnsi" w:cstheme="minorHAnsi"/>
          <w:b/>
          <w:lang w:val="en-US"/>
        </w:rPr>
      </w:pPr>
    </w:p>
    <w:p w14:paraId="0E955183" w14:textId="77777777" w:rsidR="00593D46" w:rsidRDefault="00593D46" w:rsidP="008F2249">
      <w:pPr>
        <w:spacing w:after="0" w:line="360" w:lineRule="auto"/>
        <w:rPr>
          <w:rFonts w:asciiTheme="minorHAnsi" w:hAnsiTheme="minorHAnsi" w:cstheme="minorHAnsi"/>
          <w:lang w:val="en-US"/>
        </w:rPr>
      </w:pPr>
    </w:p>
    <w:p w14:paraId="1164C18C" w14:textId="03D4CFFA" w:rsidR="00372805" w:rsidRPr="002233FF" w:rsidRDefault="00593D46" w:rsidP="008F2249">
      <w:pPr>
        <w:spacing w:after="0" w:line="480" w:lineRule="auto"/>
        <w:rPr>
          <w:rFonts w:asciiTheme="minorHAnsi" w:hAnsiTheme="minorHAnsi" w:cstheme="minorHAnsi"/>
          <w:lang w:val="en-US"/>
        </w:rPr>
      </w:pPr>
      <w:r>
        <w:rPr>
          <w:rFonts w:asciiTheme="minorHAnsi" w:hAnsiTheme="minorHAnsi" w:cstheme="minorHAnsi"/>
          <w:lang w:val="en-US"/>
        </w:rPr>
        <w:t>Incidence rates of brain tumours in children in Europe and the U.</w:t>
      </w:r>
      <w:r w:rsidR="00C209E4">
        <w:rPr>
          <w:rFonts w:asciiTheme="minorHAnsi" w:hAnsiTheme="minorHAnsi" w:cstheme="minorHAnsi"/>
          <w:lang w:val="en-US"/>
        </w:rPr>
        <w:t>S</w:t>
      </w:r>
      <w:r>
        <w:rPr>
          <w:rFonts w:asciiTheme="minorHAnsi" w:hAnsiTheme="minorHAnsi" w:cstheme="minorHAnsi"/>
          <w:lang w:val="en-US"/>
        </w:rPr>
        <w:t>. range from an overall rate of 2.99 to 5.26</w:t>
      </w:r>
      <w:r w:rsidR="001444A8">
        <w:rPr>
          <w:rFonts w:asciiTheme="minorHAnsi" w:hAnsiTheme="minorHAnsi" w:cstheme="minorHAnsi"/>
          <w:lang w:val="en-US"/>
        </w:rPr>
        <w:t xml:space="preserve"> per 100,000</w:t>
      </w:r>
      <w:r w:rsidR="00C209E4">
        <w:rPr>
          <w:rFonts w:asciiTheme="minorHAnsi" w:hAnsiTheme="minorHAnsi" w:cstheme="minorHAnsi"/>
          <w:lang w:val="en-US"/>
        </w:rPr>
        <w:t>, w</w:t>
      </w:r>
      <w:r>
        <w:rPr>
          <w:rFonts w:asciiTheme="minorHAnsi" w:hAnsiTheme="minorHAnsi" w:cstheme="minorHAnsi"/>
          <w:lang w:val="en-US"/>
        </w:rPr>
        <w:t>ith the highest incidence seen in children below the age of 5 years</w:t>
      </w:r>
      <w:r w:rsidR="00E67119">
        <w:rPr>
          <w:rFonts w:asciiTheme="minorHAnsi" w:hAnsiTheme="minorHAnsi" w:cstheme="minorHAnsi"/>
          <w:b/>
          <w:vertAlign w:val="superscript"/>
          <w:lang w:val="en-US"/>
        </w:rPr>
        <w:t>1</w:t>
      </w:r>
      <w:r>
        <w:rPr>
          <w:rFonts w:asciiTheme="minorHAnsi" w:hAnsiTheme="minorHAnsi" w:cstheme="minorHAnsi"/>
          <w:lang w:val="en-US"/>
        </w:rPr>
        <w:t xml:space="preserve">. </w:t>
      </w:r>
      <w:r w:rsidR="00372805" w:rsidRPr="002233FF">
        <w:rPr>
          <w:rFonts w:asciiTheme="minorHAnsi" w:hAnsiTheme="minorHAnsi" w:cstheme="minorHAnsi"/>
          <w:color w:val="2E2E2E"/>
          <w:lang w:val="en-US"/>
        </w:rPr>
        <w:t>In Europe, survival rates</w:t>
      </w:r>
      <w:r w:rsidR="00E45A43">
        <w:rPr>
          <w:rFonts w:asciiTheme="minorHAnsi" w:hAnsiTheme="minorHAnsi" w:cstheme="minorHAnsi"/>
          <w:color w:val="2E2E2E"/>
          <w:lang w:val="en-US"/>
        </w:rPr>
        <w:t xml:space="preserve"> in children diagnosed with CNS tumours before the age of 15 years</w:t>
      </w:r>
      <w:r w:rsidR="00207162" w:rsidRPr="002233FF">
        <w:rPr>
          <w:rFonts w:asciiTheme="minorHAnsi" w:hAnsiTheme="minorHAnsi" w:cstheme="minorHAnsi"/>
          <w:color w:val="2E2E2E"/>
          <w:lang w:val="en-US"/>
        </w:rPr>
        <w:t xml:space="preserve"> </w:t>
      </w:r>
      <w:r w:rsidR="00372805" w:rsidRPr="002233FF">
        <w:rPr>
          <w:rFonts w:asciiTheme="minorHAnsi" w:hAnsiTheme="minorHAnsi" w:cstheme="minorHAnsi"/>
          <w:color w:val="2E2E2E"/>
          <w:lang w:val="en-US"/>
        </w:rPr>
        <w:t xml:space="preserve">have significantly improved since the </w:t>
      </w:r>
      <w:r w:rsidR="00372805" w:rsidRPr="00595626">
        <w:rPr>
          <w:rFonts w:asciiTheme="minorHAnsi" w:hAnsiTheme="minorHAnsi" w:cstheme="minorHAnsi"/>
          <w:color w:val="2E2E2E"/>
          <w:lang w:val="en-US"/>
        </w:rPr>
        <w:t>late 1970s</w:t>
      </w:r>
      <w:r w:rsidR="00E67119">
        <w:rPr>
          <w:rFonts w:asciiTheme="minorHAnsi" w:hAnsiTheme="minorHAnsi" w:cstheme="minorHAnsi"/>
          <w:b/>
          <w:color w:val="2E2E2E"/>
          <w:vertAlign w:val="superscript"/>
          <w:lang w:val="en-US"/>
        </w:rPr>
        <w:t>2</w:t>
      </w:r>
      <w:r w:rsidR="00E45A43" w:rsidRPr="00595626">
        <w:rPr>
          <w:rFonts w:asciiTheme="minorHAnsi" w:hAnsiTheme="minorHAnsi" w:cstheme="minorHAnsi"/>
          <w:color w:val="2E2E2E"/>
          <w:lang w:val="en-US"/>
        </w:rPr>
        <w:t xml:space="preserve">, </w:t>
      </w:r>
      <w:r w:rsidR="00E05A04">
        <w:rPr>
          <w:rFonts w:asciiTheme="minorHAnsi" w:hAnsiTheme="minorHAnsi" w:cstheme="minorHAnsi"/>
          <w:color w:val="2E2E2E"/>
          <w:lang w:val="en-US"/>
        </w:rPr>
        <w:t>recently</w:t>
      </w:r>
      <w:r w:rsidR="00E05A04" w:rsidRPr="00595626">
        <w:rPr>
          <w:rFonts w:asciiTheme="minorHAnsi" w:hAnsiTheme="minorHAnsi" w:cstheme="minorHAnsi"/>
          <w:color w:val="2E2E2E"/>
          <w:lang w:val="en-US"/>
        </w:rPr>
        <w:t xml:space="preserve"> </w:t>
      </w:r>
      <w:r w:rsidR="00E45A43" w:rsidRPr="00595626">
        <w:rPr>
          <w:rFonts w:asciiTheme="minorHAnsi" w:hAnsiTheme="minorHAnsi" w:cstheme="minorHAnsi"/>
          <w:color w:val="2E2E2E"/>
          <w:lang w:val="en-US"/>
        </w:rPr>
        <w:t>standing at 66.2% 5-year survival for all tumours combined</w:t>
      </w:r>
      <w:r w:rsidR="00E67119">
        <w:rPr>
          <w:rFonts w:asciiTheme="minorHAnsi" w:hAnsiTheme="minorHAnsi" w:cstheme="minorHAnsi"/>
          <w:b/>
          <w:color w:val="2E2E2E"/>
          <w:vertAlign w:val="superscript"/>
          <w:lang w:val="en-US"/>
        </w:rPr>
        <w:t>3</w:t>
      </w:r>
      <w:r w:rsidR="00E45A43" w:rsidRPr="00595626">
        <w:rPr>
          <w:rFonts w:asciiTheme="minorHAnsi" w:hAnsiTheme="minorHAnsi" w:cstheme="minorHAnsi"/>
          <w:color w:val="2E2E2E"/>
          <w:lang w:val="en-US"/>
        </w:rPr>
        <w:t>. This</w:t>
      </w:r>
      <w:r w:rsidR="00E45A43">
        <w:rPr>
          <w:rFonts w:asciiTheme="minorHAnsi" w:hAnsiTheme="minorHAnsi" w:cstheme="minorHAnsi"/>
          <w:color w:val="2E2E2E"/>
          <w:lang w:val="en-US"/>
        </w:rPr>
        <w:t xml:space="preserve"> has been attributed to </w:t>
      </w:r>
      <w:r w:rsidR="007264B3" w:rsidRPr="002233FF">
        <w:rPr>
          <w:rFonts w:asciiTheme="minorHAnsi" w:hAnsiTheme="minorHAnsi" w:cstheme="minorHAnsi"/>
          <w:color w:val="2E2E2E"/>
          <w:lang w:val="en-US"/>
        </w:rPr>
        <w:t xml:space="preserve">better histological and molecular diagnosis, </w:t>
      </w:r>
      <w:r w:rsidR="00372805" w:rsidRPr="002233FF">
        <w:rPr>
          <w:rFonts w:asciiTheme="minorHAnsi" w:hAnsiTheme="minorHAnsi" w:cstheme="minorHAnsi"/>
          <w:color w:val="2E2E2E"/>
          <w:lang w:val="en-US"/>
        </w:rPr>
        <w:t>the</w:t>
      </w:r>
      <w:r w:rsidR="000D0863" w:rsidRPr="002233FF">
        <w:rPr>
          <w:rFonts w:asciiTheme="minorHAnsi" w:hAnsiTheme="minorHAnsi" w:cstheme="minorHAnsi"/>
          <w:color w:val="2E2E2E"/>
          <w:lang w:val="en-US"/>
        </w:rPr>
        <w:t xml:space="preserve"> </w:t>
      </w:r>
      <w:r w:rsidR="00372805" w:rsidRPr="002233FF">
        <w:rPr>
          <w:rFonts w:asciiTheme="minorHAnsi" w:hAnsiTheme="minorHAnsi" w:cstheme="minorHAnsi"/>
          <w:color w:val="2E2E2E"/>
          <w:lang w:val="en-US"/>
        </w:rPr>
        <w:t>development of</w:t>
      </w:r>
      <w:r w:rsidR="00207162" w:rsidRPr="002233FF">
        <w:rPr>
          <w:rFonts w:asciiTheme="minorHAnsi" w:hAnsiTheme="minorHAnsi" w:cstheme="minorHAnsi"/>
          <w:color w:val="2E2E2E"/>
          <w:lang w:val="en-US"/>
        </w:rPr>
        <w:t xml:space="preserve"> </w:t>
      </w:r>
      <w:r w:rsidR="00B01E58" w:rsidRPr="002233FF">
        <w:rPr>
          <w:rFonts w:asciiTheme="minorHAnsi" w:hAnsiTheme="minorHAnsi" w:cstheme="minorHAnsi"/>
          <w:color w:val="2E2E2E"/>
          <w:lang w:val="en-US"/>
        </w:rPr>
        <w:t xml:space="preserve">collaborative European </w:t>
      </w:r>
      <w:r w:rsidR="00207162" w:rsidRPr="002233FF">
        <w:rPr>
          <w:rFonts w:asciiTheme="minorHAnsi" w:hAnsiTheme="minorHAnsi" w:cstheme="minorHAnsi"/>
          <w:color w:val="2E2E2E"/>
          <w:lang w:val="en-US"/>
        </w:rPr>
        <w:t xml:space="preserve">randomised therapeutic trials of </w:t>
      </w:r>
      <w:r w:rsidR="00393FB3" w:rsidRPr="002233FF">
        <w:rPr>
          <w:rFonts w:asciiTheme="minorHAnsi" w:hAnsiTheme="minorHAnsi" w:cstheme="minorHAnsi"/>
          <w:color w:val="2E2E2E"/>
          <w:lang w:val="en-US"/>
        </w:rPr>
        <w:t xml:space="preserve">more intense multimodal </w:t>
      </w:r>
      <w:r w:rsidR="00372805" w:rsidRPr="002233FF">
        <w:rPr>
          <w:rFonts w:asciiTheme="minorHAnsi" w:hAnsiTheme="minorHAnsi" w:cstheme="minorHAnsi"/>
          <w:color w:val="2E2E2E"/>
          <w:lang w:val="en-US"/>
        </w:rPr>
        <w:t>therapies</w:t>
      </w:r>
      <w:r w:rsidR="00865DF2" w:rsidRPr="002233FF">
        <w:rPr>
          <w:rFonts w:asciiTheme="minorHAnsi" w:hAnsiTheme="minorHAnsi" w:cstheme="minorHAnsi"/>
          <w:color w:val="2E2E2E"/>
          <w:lang w:val="en-US"/>
        </w:rPr>
        <w:t xml:space="preserve"> </w:t>
      </w:r>
      <w:r w:rsidR="00393FB3" w:rsidRPr="002233FF">
        <w:rPr>
          <w:rFonts w:asciiTheme="minorHAnsi" w:hAnsiTheme="minorHAnsi" w:cstheme="minorHAnsi"/>
          <w:color w:val="2E2E2E"/>
          <w:lang w:val="en-US"/>
        </w:rPr>
        <w:t>(c</w:t>
      </w:r>
      <w:r w:rsidR="00052B4B">
        <w:rPr>
          <w:rFonts w:asciiTheme="minorHAnsi" w:hAnsiTheme="minorHAnsi" w:cstheme="minorHAnsi"/>
          <w:color w:val="2E2E2E"/>
          <w:lang w:val="en-US"/>
        </w:rPr>
        <w:t>hemo</w:t>
      </w:r>
      <w:r w:rsidR="00393FB3" w:rsidRPr="002233FF">
        <w:rPr>
          <w:rFonts w:asciiTheme="minorHAnsi" w:hAnsiTheme="minorHAnsi" w:cstheme="minorHAnsi"/>
          <w:color w:val="2E2E2E"/>
          <w:lang w:val="en-US"/>
        </w:rPr>
        <w:t>therapy, radiotherapy</w:t>
      </w:r>
      <w:r w:rsidR="003A4F54">
        <w:rPr>
          <w:rFonts w:asciiTheme="minorHAnsi" w:hAnsiTheme="minorHAnsi" w:cstheme="minorHAnsi"/>
          <w:color w:val="2E2E2E"/>
          <w:lang w:val="en-US"/>
        </w:rPr>
        <w:t>,</w:t>
      </w:r>
      <w:r w:rsidR="00393FB3" w:rsidRPr="002233FF">
        <w:rPr>
          <w:rFonts w:asciiTheme="minorHAnsi" w:hAnsiTheme="minorHAnsi" w:cstheme="minorHAnsi"/>
          <w:color w:val="2E2E2E"/>
          <w:lang w:val="en-US"/>
        </w:rPr>
        <w:t xml:space="preserve"> and surgery</w:t>
      </w:r>
      <w:r w:rsidR="00567D36" w:rsidRPr="002233FF">
        <w:rPr>
          <w:rFonts w:asciiTheme="minorHAnsi" w:hAnsiTheme="minorHAnsi" w:cstheme="minorHAnsi"/>
          <w:color w:val="2E2E2E"/>
          <w:lang w:val="en-US"/>
        </w:rPr>
        <w:t xml:space="preserve">) </w:t>
      </w:r>
      <w:r w:rsidR="00196A8D" w:rsidRPr="002233FF">
        <w:rPr>
          <w:rFonts w:asciiTheme="minorHAnsi" w:hAnsiTheme="minorHAnsi" w:cstheme="minorHAnsi"/>
          <w:color w:val="2E2E2E"/>
          <w:lang w:val="en-US"/>
        </w:rPr>
        <w:t>as well as improved</w:t>
      </w:r>
      <w:r w:rsidR="00865DF2" w:rsidRPr="002233FF">
        <w:rPr>
          <w:rFonts w:asciiTheme="minorHAnsi" w:hAnsiTheme="minorHAnsi" w:cstheme="minorHAnsi"/>
          <w:color w:val="2E2E2E"/>
          <w:lang w:val="en-US"/>
        </w:rPr>
        <w:t xml:space="preserve"> </w:t>
      </w:r>
      <w:r w:rsidR="00E6559F" w:rsidRPr="002233FF">
        <w:rPr>
          <w:rFonts w:asciiTheme="minorHAnsi" w:hAnsiTheme="minorHAnsi" w:cstheme="minorHAnsi"/>
          <w:color w:val="2E2E2E"/>
          <w:lang w:val="en-US"/>
        </w:rPr>
        <w:t>imagin</w:t>
      </w:r>
      <w:r w:rsidR="00FC2E3A" w:rsidRPr="002233FF">
        <w:rPr>
          <w:rFonts w:asciiTheme="minorHAnsi" w:hAnsiTheme="minorHAnsi" w:cstheme="minorHAnsi"/>
          <w:color w:val="2E2E2E"/>
          <w:lang w:val="en-US"/>
        </w:rPr>
        <w:t xml:space="preserve">g </w:t>
      </w:r>
      <w:r w:rsidR="00E6559F" w:rsidRPr="002233FF">
        <w:rPr>
          <w:rFonts w:asciiTheme="minorHAnsi" w:hAnsiTheme="minorHAnsi" w:cstheme="minorHAnsi"/>
          <w:color w:val="2E2E2E"/>
          <w:lang w:val="en-US"/>
        </w:rPr>
        <w:t>methods</w:t>
      </w:r>
      <w:r w:rsidR="00372805" w:rsidRPr="002233FF">
        <w:rPr>
          <w:rFonts w:asciiTheme="minorHAnsi" w:hAnsiTheme="minorHAnsi" w:cstheme="minorHAnsi"/>
          <w:color w:val="2E2E2E"/>
          <w:lang w:val="en-US"/>
        </w:rPr>
        <w:t xml:space="preserve"> </w:t>
      </w:r>
      <w:r w:rsidR="0029509E" w:rsidRPr="002233FF">
        <w:rPr>
          <w:rFonts w:asciiTheme="minorHAnsi" w:hAnsiTheme="minorHAnsi" w:cstheme="minorHAnsi"/>
          <w:color w:val="2E2E2E"/>
          <w:lang w:val="en-US"/>
        </w:rPr>
        <w:t>and supportive care</w:t>
      </w:r>
      <w:r w:rsidR="00372805" w:rsidRPr="002233FF">
        <w:rPr>
          <w:rFonts w:asciiTheme="minorHAnsi" w:hAnsiTheme="minorHAnsi" w:cstheme="minorHAnsi"/>
          <w:color w:val="2E2E2E"/>
          <w:lang w:val="en-US"/>
        </w:rPr>
        <w:t>.</w:t>
      </w:r>
      <w:r w:rsidR="00372805" w:rsidRPr="002233FF">
        <w:rPr>
          <w:rFonts w:asciiTheme="minorHAnsi" w:hAnsiTheme="minorHAnsi" w:cstheme="minorHAnsi"/>
          <w:lang w:val="en-US"/>
        </w:rPr>
        <w:t xml:space="preserve"> </w:t>
      </w:r>
      <w:r w:rsidR="00E45A43">
        <w:rPr>
          <w:rFonts w:asciiTheme="minorHAnsi" w:hAnsiTheme="minorHAnsi" w:cstheme="minorHAnsi"/>
          <w:lang w:val="en-US"/>
        </w:rPr>
        <w:t>In particular</w:t>
      </w:r>
      <w:r w:rsidR="00684742">
        <w:rPr>
          <w:rFonts w:asciiTheme="minorHAnsi" w:hAnsiTheme="minorHAnsi" w:cstheme="minorHAnsi"/>
          <w:lang w:val="en-US"/>
        </w:rPr>
        <w:t>,</w:t>
      </w:r>
      <w:r w:rsidR="00E45A43">
        <w:rPr>
          <w:rFonts w:asciiTheme="minorHAnsi" w:hAnsiTheme="minorHAnsi" w:cstheme="minorHAnsi"/>
          <w:lang w:val="en-US"/>
        </w:rPr>
        <w:t xml:space="preserve"> the increased use of </w:t>
      </w:r>
      <w:r w:rsidR="00144A03" w:rsidRPr="002233FF">
        <w:rPr>
          <w:rFonts w:asciiTheme="minorHAnsi" w:hAnsiTheme="minorHAnsi" w:cstheme="minorHAnsi"/>
          <w:lang w:val="en-US"/>
        </w:rPr>
        <w:t>intensive high dose and toxic treatments ha</w:t>
      </w:r>
      <w:r w:rsidR="00E45A43">
        <w:rPr>
          <w:rFonts w:asciiTheme="minorHAnsi" w:hAnsiTheme="minorHAnsi" w:cstheme="minorHAnsi"/>
          <w:lang w:val="en-US"/>
        </w:rPr>
        <w:t>s</w:t>
      </w:r>
      <w:r w:rsidR="00144A03" w:rsidRPr="002233FF">
        <w:rPr>
          <w:rFonts w:asciiTheme="minorHAnsi" w:hAnsiTheme="minorHAnsi" w:cstheme="minorHAnsi"/>
          <w:lang w:val="en-US"/>
        </w:rPr>
        <w:t xml:space="preserve"> contributed to </w:t>
      </w:r>
      <w:r w:rsidR="00E45A43">
        <w:rPr>
          <w:rFonts w:asciiTheme="minorHAnsi" w:hAnsiTheme="minorHAnsi" w:cstheme="minorHAnsi"/>
          <w:lang w:val="en-US"/>
        </w:rPr>
        <w:t>higher</w:t>
      </w:r>
      <w:r w:rsidR="00144A03" w:rsidRPr="002233FF">
        <w:rPr>
          <w:rFonts w:asciiTheme="minorHAnsi" w:hAnsiTheme="minorHAnsi" w:cstheme="minorHAnsi"/>
          <w:lang w:val="en-US"/>
        </w:rPr>
        <w:t xml:space="preserve"> survival rates, especially of younger children and those with higher grade or metastatic disease, but this may in turn reduce their quality of survival</w:t>
      </w:r>
      <w:r w:rsidR="00E45A43">
        <w:rPr>
          <w:rFonts w:asciiTheme="minorHAnsi" w:hAnsiTheme="minorHAnsi" w:cstheme="minorHAnsi"/>
          <w:lang w:val="en-US"/>
        </w:rPr>
        <w:t xml:space="preserve"> (QoS)</w:t>
      </w:r>
      <w:r w:rsidR="00144A03" w:rsidRPr="002233FF">
        <w:rPr>
          <w:rFonts w:asciiTheme="minorHAnsi" w:hAnsiTheme="minorHAnsi" w:cstheme="minorHAnsi"/>
          <w:lang w:val="en-US"/>
        </w:rPr>
        <w:t xml:space="preserve">. </w:t>
      </w:r>
      <w:r w:rsidR="00372805" w:rsidRPr="002233FF">
        <w:rPr>
          <w:rFonts w:asciiTheme="minorHAnsi" w:hAnsiTheme="minorHAnsi" w:cstheme="minorHAnsi"/>
          <w:color w:val="2E2E2E"/>
          <w:lang w:val="en-US"/>
        </w:rPr>
        <w:t xml:space="preserve">This </w:t>
      </w:r>
      <w:r w:rsidR="000217DE">
        <w:rPr>
          <w:rFonts w:asciiTheme="minorHAnsi" w:hAnsiTheme="minorHAnsi" w:cstheme="minorHAnsi"/>
          <w:color w:val="2E2E2E"/>
          <w:lang w:val="en-US"/>
        </w:rPr>
        <w:t>development</w:t>
      </w:r>
      <w:r w:rsidR="00372805" w:rsidRPr="002233FF">
        <w:rPr>
          <w:rFonts w:asciiTheme="minorHAnsi" w:hAnsiTheme="minorHAnsi" w:cstheme="minorHAnsi"/>
          <w:color w:val="2E2E2E"/>
          <w:lang w:val="en-US"/>
        </w:rPr>
        <w:t xml:space="preserve"> has led to an </w:t>
      </w:r>
      <w:r w:rsidR="00372805" w:rsidRPr="002233FF">
        <w:rPr>
          <w:rFonts w:asciiTheme="minorHAnsi" w:hAnsiTheme="minorHAnsi" w:cstheme="minorHAnsi"/>
          <w:color w:val="2E2E2E"/>
          <w:lang w:val="en-US"/>
        </w:rPr>
        <w:lastRenderedPageBreak/>
        <w:t>increas</w:t>
      </w:r>
      <w:r w:rsidR="00332BD7" w:rsidRPr="002233FF">
        <w:rPr>
          <w:rFonts w:asciiTheme="minorHAnsi" w:hAnsiTheme="minorHAnsi" w:cstheme="minorHAnsi"/>
          <w:color w:val="2E2E2E"/>
          <w:lang w:val="en-US"/>
        </w:rPr>
        <w:t>ed</w:t>
      </w:r>
      <w:r w:rsidR="00FC2E3A" w:rsidRPr="002233FF">
        <w:rPr>
          <w:rFonts w:asciiTheme="minorHAnsi" w:hAnsiTheme="minorHAnsi" w:cstheme="minorHAnsi"/>
          <w:color w:val="2E2E2E"/>
          <w:lang w:val="en-US"/>
        </w:rPr>
        <w:t xml:space="preserve"> </w:t>
      </w:r>
      <w:r w:rsidR="00372805" w:rsidRPr="002233FF">
        <w:rPr>
          <w:rFonts w:asciiTheme="minorHAnsi" w:hAnsiTheme="minorHAnsi" w:cstheme="minorHAnsi"/>
          <w:color w:val="2E2E2E"/>
          <w:lang w:val="en-US"/>
        </w:rPr>
        <w:t xml:space="preserve">recognition of the need to </w:t>
      </w:r>
      <w:r w:rsidR="00877812" w:rsidRPr="002233FF">
        <w:rPr>
          <w:rFonts w:asciiTheme="minorHAnsi" w:hAnsiTheme="minorHAnsi" w:cstheme="minorHAnsi"/>
          <w:color w:val="2E2E2E"/>
          <w:lang w:val="en-US"/>
        </w:rPr>
        <w:t>quantify</w:t>
      </w:r>
      <w:r w:rsidR="00372805" w:rsidRPr="002233FF">
        <w:rPr>
          <w:rFonts w:asciiTheme="minorHAnsi" w:hAnsiTheme="minorHAnsi" w:cstheme="minorHAnsi"/>
          <w:color w:val="2E2E2E"/>
          <w:lang w:val="en-US"/>
        </w:rPr>
        <w:t xml:space="preserve"> the effects of different </w:t>
      </w:r>
      <w:r w:rsidR="00112C3B" w:rsidRPr="002233FF">
        <w:rPr>
          <w:rFonts w:asciiTheme="minorHAnsi" w:hAnsiTheme="minorHAnsi" w:cstheme="minorHAnsi"/>
          <w:color w:val="2E2E2E"/>
          <w:lang w:val="en-US"/>
        </w:rPr>
        <w:t>tumou</w:t>
      </w:r>
      <w:r w:rsidR="00C576A9" w:rsidRPr="002233FF">
        <w:rPr>
          <w:rFonts w:asciiTheme="minorHAnsi" w:hAnsiTheme="minorHAnsi" w:cstheme="minorHAnsi"/>
          <w:color w:val="2E2E2E"/>
          <w:lang w:val="en-US"/>
        </w:rPr>
        <w:t>r</w:t>
      </w:r>
      <w:r w:rsidR="00112C3B" w:rsidRPr="002233FF">
        <w:rPr>
          <w:rFonts w:asciiTheme="minorHAnsi" w:hAnsiTheme="minorHAnsi" w:cstheme="minorHAnsi"/>
          <w:color w:val="2E2E2E"/>
          <w:lang w:val="en-US"/>
        </w:rPr>
        <w:t xml:space="preserve"> locations and </w:t>
      </w:r>
      <w:r w:rsidR="00372805" w:rsidRPr="002233FF">
        <w:rPr>
          <w:rFonts w:asciiTheme="minorHAnsi" w:hAnsiTheme="minorHAnsi" w:cstheme="minorHAnsi"/>
          <w:color w:val="2E2E2E"/>
          <w:lang w:val="en-US"/>
        </w:rPr>
        <w:t>treatments on neurocognitive development and quality of life</w:t>
      </w:r>
      <w:r w:rsidR="00144A03" w:rsidRPr="002233FF">
        <w:rPr>
          <w:rFonts w:asciiTheme="minorHAnsi" w:hAnsiTheme="minorHAnsi" w:cstheme="minorHAnsi"/>
          <w:color w:val="2E2E2E"/>
          <w:lang w:val="en-US"/>
        </w:rPr>
        <w:t xml:space="preserve"> (QoL)</w:t>
      </w:r>
      <w:r w:rsidR="00372805" w:rsidRPr="002233FF">
        <w:rPr>
          <w:rFonts w:asciiTheme="minorHAnsi" w:hAnsiTheme="minorHAnsi" w:cstheme="minorHAnsi"/>
          <w:color w:val="2E2E2E"/>
          <w:lang w:val="en-US"/>
        </w:rPr>
        <w:t xml:space="preserve"> f</w:t>
      </w:r>
      <w:r w:rsidR="00FC2E3A" w:rsidRPr="002233FF">
        <w:rPr>
          <w:rFonts w:asciiTheme="minorHAnsi" w:hAnsiTheme="minorHAnsi" w:cstheme="minorHAnsi"/>
          <w:color w:val="2E2E2E"/>
          <w:lang w:val="en-US"/>
        </w:rPr>
        <w:t xml:space="preserve">or </w:t>
      </w:r>
      <w:r w:rsidR="00372805" w:rsidRPr="002233FF">
        <w:rPr>
          <w:rFonts w:asciiTheme="minorHAnsi" w:hAnsiTheme="minorHAnsi" w:cstheme="minorHAnsi"/>
          <w:color w:val="2E2E2E"/>
          <w:lang w:val="en-US"/>
        </w:rPr>
        <w:t xml:space="preserve">survivors. </w:t>
      </w:r>
      <w:r w:rsidR="00372805" w:rsidRPr="002233FF">
        <w:rPr>
          <w:rFonts w:asciiTheme="minorHAnsi" w:hAnsiTheme="minorHAnsi" w:cstheme="minorHAnsi"/>
          <w:lang w:val="en-US"/>
        </w:rPr>
        <w:t xml:space="preserve">The cognitive </w:t>
      </w:r>
      <w:r w:rsidR="00AC23F2">
        <w:rPr>
          <w:rFonts w:asciiTheme="minorHAnsi" w:hAnsiTheme="minorHAnsi" w:cstheme="minorHAnsi"/>
          <w:lang w:val="en-US"/>
        </w:rPr>
        <w:t xml:space="preserve">and endocrine </w:t>
      </w:r>
      <w:r w:rsidR="00372805" w:rsidRPr="002233FF">
        <w:rPr>
          <w:rFonts w:asciiTheme="minorHAnsi" w:hAnsiTheme="minorHAnsi" w:cstheme="minorHAnsi"/>
          <w:lang w:val="en-US"/>
        </w:rPr>
        <w:t>sequelae of the tumor and its treatments</w:t>
      </w:r>
      <w:r w:rsidR="00877812" w:rsidRPr="002233FF">
        <w:rPr>
          <w:rFonts w:asciiTheme="minorHAnsi" w:hAnsiTheme="minorHAnsi" w:cstheme="minorHAnsi"/>
          <w:lang w:val="en-US"/>
        </w:rPr>
        <w:t xml:space="preserve"> together constitute an </w:t>
      </w:r>
      <w:r w:rsidR="00800FBF" w:rsidRPr="002233FF">
        <w:rPr>
          <w:rFonts w:asciiTheme="minorHAnsi" w:hAnsiTheme="minorHAnsi" w:cstheme="minorHAnsi"/>
          <w:lang w:val="en-US"/>
        </w:rPr>
        <w:t xml:space="preserve">under-recognised </w:t>
      </w:r>
      <w:r w:rsidR="00877812" w:rsidRPr="002233FF">
        <w:rPr>
          <w:rFonts w:asciiTheme="minorHAnsi" w:hAnsiTheme="minorHAnsi" w:cstheme="minorHAnsi"/>
          <w:lang w:val="en-US"/>
        </w:rPr>
        <w:t xml:space="preserve">acquired brain injury, </w:t>
      </w:r>
      <w:r w:rsidR="00800FBF" w:rsidRPr="002233FF">
        <w:rPr>
          <w:rFonts w:asciiTheme="minorHAnsi" w:hAnsiTheme="minorHAnsi" w:cstheme="minorHAnsi"/>
          <w:lang w:val="en-US"/>
        </w:rPr>
        <w:t xml:space="preserve">which </w:t>
      </w:r>
      <w:r w:rsidR="00372805" w:rsidRPr="002233FF">
        <w:rPr>
          <w:rFonts w:asciiTheme="minorHAnsi" w:hAnsiTheme="minorHAnsi" w:cstheme="minorHAnsi"/>
          <w:lang w:val="en-US"/>
        </w:rPr>
        <w:t xml:space="preserve">can impact on </w:t>
      </w:r>
      <w:r w:rsidR="00E05A04">
        <w:rPr>
          <w:rFonts w:asciiTheme="minorHAnsi" w:hAnsiTheme="minorHAnsi" w:cstheme="minorHAnsi"/>
          <w:lang w:val="en-US"/>
        </w:rPr>
        <w:t xml:space="preserve">the cognitive </w:t>
      </w:r>
      <w:r w:rsidR="00C839F9" w:rsidRPr="002233FF">
        <w:rPr>
          <w:rFonts w:asciiTheme="minorHAnsi" w:hAnsiTheme="minorHAnsi" w:cstheme="minorHAnsi"/>
          <w:lang w:val="en-US"/>
        </w:rPr>
        <w:t>development</w:t>
      </w:r>
      <w:r w:rsidR="00E05A04">
        <w:rPr>
          <w:rFonts w:asciiTheme="minorHAnsi" w:hAnsiTheme="minorHAnsi" w:cstheme="minorHAnsi"/>
          <w:lang w:val="en-US"/>
        </w:rPr>
        <w:t xml:space="preserve"> of</w:t>
      </w:r>
      <w:r w:rsidR="00C839F9" w:rsidRPr="002233FF">
        <w:rPr>
          <w:rFonts w:asciiTheme="minorHAnsi" w:hAnsiTheme="minorHAnsi" w:cstheme="minorHAnsi"/>
          <w:lang w:val="en-US"/>
        </w:rPr>
        <w:t xml:space="preserve"> the growing child</w:t>
      </w:r>
      <w:r w:rsidR="00372805" w:rsidRPr="002233FF">
        <w:rPr>
          <w:rFonts w:asciiTheme="minorHAnsi" w:hAnsiTheme="minorHAnsi" w:cstheme="minorHAnsi"/>
          <w:lang w:val="en-US"/>
        </w:rPr>
        <w:t>, including learning,</w:t>
      </w:r>
      <w:r w:rsidR="00BC2434" w:rsidRPr="002233FF">
        <w:rPr>
          <w:rFonts w:asciiTheme="minorHAnsi" w:hAnsiTheme="minorHAnsi" w:cstheme="minorHAnsi"/>
          <w:lang w:val="en-US"/>
        </w:rPr>
        <w:t xml:space="preserve"> reasoning, </w:t>
      </w:r>
      <w:r w:rsidR="00BC2434" w:rsidRPr="00595626">
        <w:rPr>
          <w:rFonts w:asciiTheme="minorHAnsi" w:hAnsiTheme="minorHAnsi" w:cstheme="minorHAnsi"/>
          <w:lang w:val="en-US"/>
        </w:rPr>
        <w:t xml:space="preserve">visual perception, </w:t>
      </w:r>
      <w:r w:rsidR="00372805" w:rsidRPr="00595626">
        <w:rPr>
          <w:rFonts w:asciiTheme="minorHAnsi" w:hAnsiTheme="minorHAnsi" w:cstheme="minorHAnsi"/>
          <w:lang w:val="en-US"/>
        </w:rPr>
        <w:t>working memory, attention, processing speed, executive function</w:t>
      </w:r>
      <w:r w:rsidR="003A4F54">
        <w:rPr>
          <w:rFonts w:asciiTheme="minorHAnsi" w:hAnsiTheme="minorHAnsi" w:cstheme="minorHAnsi"/>
          <w:lang w:val="en-US"/>
        </w:rPr>
        <w:t>,</w:t>
      </w:r>
      <w:r w:rsidR="00372805" w:rsidRPr="00595626">
        <w:rPr>
          <w:rFonts w:asciiTheme="minorHAnsi" w:hAnsiTheme="minorHAnsi" w:cstheme="minorHAnsi"/>
          <w:lang w:val="en-US"/>
        </w:rPr>
        <w:t xml:space="preserve"> and academic attainments</w:t>
      </w:r>
      <w:r w:rsidR="007264B3" w:rsidRPr="00595626">
        <w:rPr>
          <w:rFonts w:asciiTheme="minorHAnsi" w:hAnsiTheme="minorHAnsi" w:cstheme="minorHAnsi"/>
          <w:lang w:val="en-US"/>
        </w:rPr>
        <w:t>, arguably worst in the youngest</w:t>
      </w:r>
      <w:r w:rsidR="000217DE" w:rsidRPr="00595626">
        <w:rPr>
          <w:rFonts w:asciiTheme="minorHAnsi" w:hAnsiTheme="minorHAnsi" w:cstheme="minorHAnsi"/>
          <w:lang w:val="en-US"/>
        </w:rPr>
        <w:t xml:space="preserve"> </w:t>
      </w:r>
      <w:r w:rsidR="00E67119">
        <w:rPr>
          <w:rFonts w:asciiTheme="minorHAnsi" w:hAnsiTheme="minorHAnsi" w:cstheme="minorHAnsi"/>
          <w:b/>
          <w:vertAlign w:val="superscript"/>
          <w:lang w:val="en-US"/>
        </w:rPr>
        <w:t>4,5</w:t>
      </w:r>
      <w:r w:rsidR="00B45631">
        <w:rPr>
          <w:rFonts w:asciiTheme="minorHAnsi" w:hAnsiTheme="minorHAnsi" w:cstheme="minorHAnsi"/>
          <w:b/>
          <w:vertAlign w:val="superscript"/>
          <w:lang w:val="en-US"/>
        </w:rPr>
        <w:t>, 6, 7</w:t>
      </w:r>
      <w:r w:rsidR="00372805" w:rsidRPr="00595626">
        <w:rPr>
          <w:rFonts w:asciiTheme="minorHAnsi" w:hAnsiTheme="minorHAnsi" w:cstheme="minorHAnsi"/>
          <w:lang w:val="en-US"/>
        </w:rPr>
        <w:t>. In addition, physical,</w:t>
      </w:r>
      <w:r w:rsidR="00C839F9" w:rsidRPr="00595626">
        <w:rPr>
          <w:rFonts w:asciiTheme="minorHAnsi" w:hAnsiTheme="minorHAnsi" w:cstheme="minorHAnsi"/>
          <w:lang w:val="en-US"/>
        </w:rPr>
        <w:t xml:space="preserve"> neurological</w:t>
      </w:r>
      <w:r w:rsidR="006D5747" w:rsidRPr="00595626">
        <w:rPr>
          <w:rFonts w:asciiTheme="minorHAnsi" w:hAnsiTheme="minorHAnsi" w:cstheme="minorHAnsi"/>
          <w:lang w:val="en-US"/>
        </w:rPr>
        <w:t>,</w:t>
      </w:r>
      <w:r w:rsidR="00C839F9" w:rsidRPr="00595626">
        <w:rPr>
          <w:rFonts w:asciiTheme="minorHAnsi" w:hAnsiTheme="minorHAnsi" w:cstheme="minorHAnsi"/>
          <w:lang w:val="en-US"/>
        </w:rPr>
        <w:t xml:space="preserve"> </w:t>
      </w:r>
      <w:r w:rsidR="00372805" w:rsidRPr="00595626">
        <w:rPr>
          <w:rFonts w:asciiTheme="minorHAnsi" w:hAnsiTheme="minorHAnsi" w:cstheme="minorHAnsi"/>
          <w:lang w:val="en-US"/>
        </w:rPr>
        <w:t>sensory, endocrine, emotional</w:t>
      </w:r>
      <w:r w:rsidR="00BC2434" w:rsidRPr="00595626">
        <w:rPr>
          <w:rFonts w:asciiTheme="minorHAnsi" w:hAnsiTheme="minorHAnsi" w:cstheme="minorHAnsi"/>
          <w:lang w:val="en-US"/>
        </w:rPr>
        <w:t>, social</w:t>
      </w:r>
      <w:r w:rsidR="003A4F54">
        <w:rPr>
          <w:rFonts w:asciiTheme="minorHAnsi" w:hAnsiTheme="minorHAnsi" w:cstheme="minorHAnsi"/>
          <w:lang w:val="en-US"/>
        </w:rPr>
        <w:t>,</w:t>
      </w:r>
      <w:r w:rsidR="00372805" w:rsidRPr="00595626">
        <w:rPr>
          <w:rFonts w:asciiTheme="minorHAnsi" w:hAnsiTheme="minorHAnsi" w:cstheme="minorHAnsi"/>
          <w:lang w:val="en-US"/>
        </w:rPr>
        <w:t xml:space="preserve"> and behavioural difficulties can affect all areas of </w:t>
      </w:r>
      <w:r w:rsidR="00BC2434" w:rsidRPr="00595626">
        <w:rPr>
          <w:rFonts w:asciiTheme="minorHAnsi" w:hAnsiTheme="minorHAnsi" w:cstheme="minorHAnsi"/>
          <w:lang w:val="en-US"/>
        </w:rPr>
        <w:t xml:space="preserve">adaptive </w:t>
      </w:r>
      <w:r w:rsidR="00144A03" w:rsidRPr="00595626">
        <w:rPr>
          <w:rFonts w:asciiTheme="minorHAnsi" w:hAnsiTheme="minorHAnsi" w:cstheme="minorHAnsi"/>
          <w:lang w:val="en-US"/>
        </w:rPr>
        <w:t xml:space="preserve">and day-to-day </w:t>
      </w:r>
      <w:r w:rsidR="00372805" w:rsidRPr="00595626">
        <w:rPr>
          <w:rFonts w:asciiTheme="minorHAnsi" w:hAnsiTheme="minorHAnsi" w:cstheme="minorHAnsi"/>
          <w:lang w:val="en-US"/>
        </w:rPr>
        <w:t>functioning</w:t>
      </w:r>
      <w:r w:rsidR="00217EC7" w:rsidRPr="002233FF">
        <w:rPr>
          <w:rFonts w:asciiTheme="minorHAnsi" w:hAnsiTheme="minorHAnsi" w:cstheme="minorHAnsi"/>
          <w:lang w:val="en-US"/>
        </w:rPr>
        <w:t xml:space="preserve"> </w:t>
      </w:r>
      <w:r w:rsidR="007747D7" w:rsidRPr="002233FF">
        <w:rPr>
          <w:rFonts w:asciiTheme="minorHAnsi" w:hAnsiTheme="minorHAnsi" w:cstheme="minorHAnsi"/>
          <w:lang w:val="en-US"/>
        </w:rPr>
        <w:t>and for children treated for a brain tumour the</w:t>
      </w:r>
      <w:r w:rsidR="00E05A04">
        <w:rPr>
          <w:rFonts w:asciiTheme="minorHAnsi" w:hAnsiTheme="minorHAnsi" w:cstheme="minorHAnsi"/>
          <w:lang w:val="en-US"/>
        </w:rPr>
        <w:t>se</w:t>
      </w:r>
      <w:r w:rsidR="007747D7" w:rsidRPr="002233FF">
        <w:rPr>
          <w:rFonts w:asciiTheme="minorHAnsi" w:hAnsiTheme="minorHAnsi" w:cstheme="minorHAnsi"/>
          <w:lang w:val="en-US"/>
        </w:rPr>
        <w:t xml:space="preserve"> developmental trajectories </w:t>
      </w:r>
      <w:r w:rsidR="00C209E4">
        <w:rPr>
          <w:rFonts w:asciiTheme="minorHAnsi" w:hAnsiTheme="minorHAnsi" w:cstheme="minorHAnsi"/>
          <w:lang w:val="en-US"/>
        </w:rPr>
        <w:t>may be</w:t>
      </w:r>
      <w:r w:rsidR="00C209E4" w:rsidRPr="002233FF">
        <w:rPr>
          <w:rFonts w:asciiTheme="minorHAnsi" w:hAnsiTheme="minorHAnsi" w:cstheme="minorHAnsi"/>
          <w:lang w:val="en-US"/>
        </w:rPr>
        <w:t xml:space="preserve"> </w:t>
      </w:r>
      <w:r w:rsidR="007747D7" w:rsidRPr="002233FF">
        <w:rPr>
          <w:rFonts w:asciiTheme="minorHAnsi" w:hAnsiTheme="minorHAnsi" w:cstheme="minorHAnsi"/>
          <w:lang w:val="en-US"/>
        </w:rPr>
        <w:t>altered</w:t>
      </w:r>
      <w:r w:rsidR="00E67119">
        <w:rPr>
          <w:rFonts w:asciiTheme="minorHAnsi" w:hAnsiTheme="minorHAnsi" w:cstheme="minorHAnsi"/>
          <w:b/>
          <w:vertAlign w:val="superscript"/>
          <w:lang w:val="en-US"/>
        </w:rPr>
        <w:t>8</w:t>
      </w:r>
      <w:r w:rsidR="007747D7" w:rsidRPr="002233FF">
        <w:rPr>
          <w:rFonts w:asciiTheme="minorHAnsi" w:hAnsiTheme="minorHAnsi" w:cstheme="minorHAnsi"/>
          <w:lang w:val="en-US"/>
        </w:rPr>
        <w:t xml:space="preserve">. </w:t>
      </w:r>
      <w:r w:rsidR="006D5747" w:rsidRPr="002233FF">
        <w:rPr>
          <w:rFonts w:asciiTheme="minorHAnsi" w:hAnsiTheme="minorHAnsi" w:cstheme="minorHAnsi"/>
          <w:lang w:val="en-US"/>
        </w:rPr>
        <w:t>I</w:t>
      </w:r>
      <w:r w:rsidR="00372805" w:rsidRPr="002233FF">
        <w:rPr>
          <w:rFonts w:asciiTheme="minorHAnsi" w:hAnsiTheme="minorHAnsi" w:cstheme="minorHAnsi"/>
          <w:lang w:val="en-US"/>
        </w:rPr>
        <w:t xml:space="preserve">t is therefore appropriate to consider </w:t>
      </w:r>
      <w:r w:rsidR="00723748" w:rsidRPr="002233FF">
        <w:rPr>
          <w:rFonts w:asciiTheme="minorHAnsi" w:hAnsiTheme="minorHAnsi" w:cstheme="minorHAnsi"/>
          <w:lang w:val="en-US"/>
        </w:rPr>
        <w:t>measure</w:t>
      </w:r>
      <w:r w:rsidR="007F615F" w:rsidRPr="002233FF">
        <w:rPr>
          <w:rFonts w:asciiTheme="minorHAnsi" w:hAnsiTheme="minorHAnsi" w:cstheme="minorHAnsi"/>
          <w:lang w:val="en-US"/>
        </w:rPr>
        <w:t>s</w:t>
      </w:r>
      <w:r w:rsidR="00723748" w:rsidRPr="002233FF">
        <w:rPr>
          <w:rFonts w:asciiTheme="minorHAnsi" w:hAnsiTheme="minorHAnsi" w:cstheme="minorHAnsi"/>
          <w:lang w:val="en-US"/>
        </w:rPr>
        <w:t xml:space="preserve"> of </w:t>
      </w:r>
      <w:r w:rsidR="00372805" w:rsidRPr="002233FF">
        <w:rPr>
          <w:rFonts w:asciiTheme="minorHAnsi" w:hAnsiTheme="minorHAnsi" w:cstheme="minorHAnsi"/>
          <w:lang w:val="en-US"/>
        </w:rPr>
        <w:t xml:space="preserve">overall </w:t>
      </w:r>
      <w:r w:rsidR="0066191F">
        <w:rPr>
          <w:rFonts w:asciiTheme="minorHAnsi" w:hAnsiTheme="minorHAnsi" w:cstheme="minorHAnsi"/>
          <w:lang w:val="en-US"/>
        </w:rPr>
        <w:t>QoS</w:t>
      </w:r>
      <w:r w:rsidR="00372805" w:rsidRPr="002233FF">
        <w:rPr>
          <w:rFonts w:asciiTheme="minorHAnsi" w:hAnsiTheme="minorHAnsi" w:cstheme="minorHAnsi"/>
          <w:lang w:val="en-US"/>
        </w:rPr>
        <w:t xml:space="preserve"> which incorporate these multiple concepts</w:t>
      </w:r>
      <w:r w:rsidR="00144A03" w:rsidRPr="002233FF">
        <w:rPr>
          <w:rFonts w:asciiTheme="minorHAnsi" w:hAnsiTheme="minorHAnsi" w:cstheme="minorHAnsi"/>
          <w:lang w:val="en-US"/>
        </w:rPr>
        <w:t xml:space="preserve"> over the long-term</w:t>
      </w:r>
      <w:r w:rsidR="00372805" w:rsidRPr="002233FF">
        <w:rPr>
          <w:rFonts w:asciiTheme="minorHAnsi" w:hAnsiTheme="minorHAnsi" w:cstheme="minorHAnsi"/>
          <w:lang w:val="en-US"/>
        </w:rPr>
        <w:t xml:space="preserve">. </w:t>
      </w:r>
      <w:r w:rsidR="007747D7" w:rsidRPr="002233FF">
        <w:rPr>
          <w:rFonts w:asciiTheme="minorHAnsi" w:hAnsiTheme="minorHAnsi" w:cstheme="minorHAnsi"/>
          <w:lang w:val="en-US"/>
        </w:rPr>
        <w:t xml:space="preserve">By developing this </w:t>
      </w:r>
      <w:r w:rsidR="00372805" w:rsidRPr="002233FF">
        <w:rPr>
          <w:rFonts w:asciiTheme="minorHAnsi" w:hAnsiTheme="minorHAnsi" w:cstheme="minorHAnsi"/>
          <w:lang w:val="en-US"/>
        </w:rPr>
        <w:t xml:space="preserve">evidence-base </w:t>
      </w:r>
      <w:r w:rsidR="007747D7" w:rsidRPr="002233FF">
        <w:rPr>
          <w:rFonts w:asciiTheme="minorHAnsi" w:hAnsiTheme="minorHAnsi" w:cstheme="minorHAnsi"/>
          <w:lang w:val="en-US"/>
        </w:rPr>
        <w:t>we can better</w:t>
      </w:r>
      <w:r w:rsidR="00372805" w:rsidRPr="002233FF">
        <w:rPr>
          <w:rFonts w:asciiTheme="minorHAnsi" w:hAnsiTheme="minorHAnsi" w:cstheme="minorHAnsi"/>
          <w:lang w:val="en-US"/>
        </w:rPr>
        <w:t xml:space="preserve"> inform </w:t>
      </w:r>
      <w:r w:rsidR="000F0124" w:rsidRPr="002233FF">
        <w:rPr>
          <w:rFonts w:asciiTheme="minorHAnsi" w:hAnsiTheme="minorHAnsi" w:cstheme="minorHAnsi"/>
          <w:lang w:val="en-US"/>
        </w:rPr>
        <w:t>clinical decision</w:t>
      </w:r>
      <w:r w:rsidR="00112C3B" w:rsidRPr="002233FF">
        <w:rPr>
          <w:rFonts w:asciiTheme="minorHAnsi" w:hAnsiTheme="minorHAnsi" w:cstheme="minorHAnsi"/>
          <w:lang w:val="en-US"/>
        </w:rPr>
        <w:t xml:space="preserve"> making</w:t>
      </w:r>
      <w:r w:rsidR="00657F96" w:rsidRPr="002233FF">
        <w:rPr>
          <w:rFonts w:asciiTheme="minorHAnsi" w:hAnsiTheme="minorHAnsi" w:cstheme="minorHAnsi"/>
          <w:lang w:val="en-US"/>
        </w:rPr>
        <w:t xml:space="preserve"> </w:t>
      </w:r>
      <w:r w:rsidR="009B5855" w:rsidRPr="002233FF">
        <w:rPr>
          <w:rFonts w:asciiTheme="minorHAnsi" w:hAnsiTheme="minorHAnsi" w:cstheme="minorHAnsi"/>
          <w:lang w:val="en-US"/>
        </w:rPr>
        <w:t xml:space="preserve">and </w:t>
      </w:r>
      <w:r w:rsidR="006D5747" w:rsidRPr="002233FF">
        <w:rPr>
          <w:rFonts w:asciiTheme="minorHAnsi" w:hAnsiTheme="minorHAnsi" w:cstheme="minorHAnsi"/>
          <w:lang w:val="en-US"/>
        </w:rPr>
        <w:t>support the case for</w:t>
      </w:r>
      <w:r w:rsidR="00462E9B">
        <w:rPr>
          <w:rFonts w:asciiTheme="minorHAnsi" w:hAnsiTheme="minorHAnsi" w:cstheme="minorHAnsi"/>
          <w:lang w:val="en-US"/>
        </w:rPr>
        <w:t xml:space="preserve"> endocrine replacement and </w:t>
      </w:r>
      <w:r w:rsidR="009B5855" w:rsidRPr="002233FF">
        <w:rPr>
          <w:rFonts w:asciiTheme="minorHAnsi" w:hAnsiTheme="minorHAnsi" w:cstheme="minorHAnsi"/>
          <w:lang w:val="en-US"/>
        </w:rPr>
        <w:t>neuroreha</w:t>
      </w:r>
      <w:r w:rsidR="00183847" w:rsidRPr="002233FF">
        <w:rPr>
          <w:rFonts w:asciiTheme="minorHAnsi" w:hAnsiTheme="minorHAnsi" w:cstheme="minorHAnsi"/>
          <w:lang w:val="en-US"/>
        </w:rPr>
        <w:t>bilitation</w:t>
      </w:r>
      <w:r w:rsidR="009B5855" w:rsidRPr="002233FF">
        <w:rPr>
          <w:rFonts w:asciiTheme="minorHAnsi" w:hAnsiTheme="minorHAnsi" w:cstheme="minorHAnsi"/>
          <w:lang w:val="en-US"/>
        </w:rPr>
        <w:t xml:space="preserve"> services</w:t>
      </w:r>
      <w:r w:rsidR="00183847" w:rsidRPr="002233FF">
        <w:rPr>
          <w:rFonts w:asciiTheme="minorHAnsi" w:hAnsiTheme="minorHAnsi" w:cstheme="minorHAnsi"/>
          <w:lang w:val="en-US"/>
        </w:rPr>
        <w:t xml:space="preserve"> </w:t>
      </w:r>
      <w:r w:rsidR="006D5747" w:rsidRPr="002233FF">
        <w:rPr>
          <w:rFonts w:asciiTheme="minorHAnsi" w:hAnsiTheme="minorHAnsi" w:cstheme="minorHAnsi"/>
          <w:lang w:val="en-US"/>
        </w:rPr>
        <w:t xml:space="preserve">to support these </w:t>
      </w:r>
      <w:r w:rsidR="00183847" w:rsidRPr="002233FF">
        <w:rPr>
          <w:rFonts w:asciiTheme="minorHAnsi" w:hAnsiTheme="minorHAnsi" w:cstheme="minorHAnsi"/>
          <w:lang w:val="en-US"/>
        </w:rPr>
        <w:t>children</w:t>
      </w:r>
      <w:r w:rsidR="00372805" w:rsidRPr="002233FF">
        <w:rPr>
          <w:rFonts w:asciiTheme="minorHAnsi" w:hAnsiTheme="minorHAnsi" w:cstheme="minorHAnsi"/>
          <w:lang w:val="en-US"/>
        </w:rPr>
        <w:t xml:space="preserve"> by collect</w:t>
      </w:r>
      <w:r w:rsidR="00033386" w:rsidRPr="002233FF">
        <w:rPr>
          <w:rFonts w:asciiTheme="minorHAnsi" w:hAnsiTheme="minorHAnsi" w:cstheme="minorHAnsi"/>
          <w:lang w:val="en-US"/>
        </w:rPr>
        <w:t>ing</w:t>
      </w:r>
      <w:r w:rsidR="00372805" w:rsidRPr="002233FF">
        <w:rPr>
          <w:rFonts w:asciiTheme="minorHAnsi" w:hAnsiTheme="minorHAnsi" w:cstheme="minorHAnsi"/>
          <w:lang w:val="en-US"/>
        </w:rPr>
        <w:t xml:space="preserve"> </w:t>
      </w:r>
      <w:r w:rsidR="0066191F">
        <w:rPr>
          <w:rFonts w:asciiTheme="minorHAnsi" w:hAnsiTheme="minorHAnsi" w:cstheme="minorHAnsi"/>
          <w:lang w:val="en-US"/>
        </w:rPr>
        <w:t xml:space="preserve">QoS </w:t>
      </w:r>
      <w:r w:rsidR="00372805" w:rsidRPr="002233FF">
        <w:rPr>
          <w:rFonts w:asciiTheme="minorHAnsi" w:hAnsiTheme="minorHAnsi" w:cstheme="minorHAnsi"/>
          <w:lang w:val="en-US"/>
        </w:rPr>
        <w:t xml:space="preserve">data in addition to event-free or overall survival.  </w:t>
      </w:r>
    </w:p>
    <w:p w14:paraId="6161CFC1" w14:textId="77777777" w:rsidR="00372805" w:rsidRPr="002233FF" w:rsidRDefault="00372805" w:rsidP="008F2249">
      <w:pPr>
        <w:pStyle w:val="ListParagraph"/>
        <w:spacing w:after="0" w:line="480" w:lineRule="auto"/>
        <w:ind w:left="735"/>
        <w:rPr>
          <w:rFonts w:asciiTheme="minorHAnsi" w:hAnsiTheme="minorHAnsi" w:cstheme="minorHAnsi"/>
          <w:lang w:val="en-US"/>
        </w:rPr>
      </w:pPr>
    </w:p>
    <w:p w14:paraId="006C0C4A" w14:textId="6E72FB35" w:rsidR="00372805" w:rsidRPr="002233FF" w:rsidRDefault="00372805" w:rsidP="00BE64B7">
      <w:pPr>
        <w:spacing w:line="480" w:lineRule="auto"/>
        <w:rPr>
          <w:rFonts w:asciiTheme="minorHAnsi" w:hAnsiTheme="minorHAnsi" w:cstheme="minorHAnsi"/>
          <w:lang w:val="en-US"/>
        </w:rPr>
      </w:pPr>
      <w:r w:rsidRPr="002233FF">
        <w:rPr>
          <w:rFonts w:asciiTheme="minorHAnsi" w:hAnsiTheme="minorHAnsi" w:cstheme="minorHAnsi"/>
          <w:lang w:val="en-US"/>
        </w:rPr>
        <w:t xml:space="preserve">The current </w:t>
      </w:r>
      <w:r w:rsidR="00F95411" w:rsidRPr="002233FF">
        <w:rPr>
          <w:rFonts w:asciiTheme="minorHAnsi" w:hAnsiTheme="minorHAnsi" w:cstheme="minorHAnsi"/>
          <w:lang w:val="en-US"/>
        </w:rPr>
        <w:t xml:space="preserve">position </w:t>
      </w:r>
      <w:r w:rsidRPr="002233FF">
        <w:rPr>
          <w:rFonts w:asciiTheme="minorHAnsi" w:hAnsiTheme="minorHAnsi" w:cstheme="minorHAnsi"/>
          <w:lang w:val="en-US"/>
        </w:rPr>
        <w:t xml:space="preserve">paper </w:t>
      </w:r>
      <w:r w:rsidR="0066191F">
        <w:rPr>
          <w:rFonts w:asciiTheme="minorHAnsi" w:hAnsiTheme="minorHAnsi" w:cstheme="minorHAnsi"/>
          <w:lang w:val="en-US"/>
        </w:rPr>
        <w:t xml:space="preserve">is the result of consensus discussions within the </w:t>
      </w:r>
      <w:r w:rsidR="003A4F54">
        <w:rPr>
          <w:rFonts w:asciiTheme="minorHAnsi" w:hAnsiTheme="minorHAnsi" w:cstheme="minorHAnsi"/>
          <w:lang w:val="en-US"/>
        </w:rPr>
        <w:t>European Society of Paediatric Oncology (</w:t>
      </w:r>
      <w:r w:rsidRPr="002233FF">
        <w:rPr>
          <w:rFonts w:asciiTheme="minorHAnsi" w:hAnsiTheme="minorHAnsi" w:cstheme="minorHAnsi"/>
          <w:lang w:val="en-US"/>
        </w:rPr>
        <w:t>SIOP-E</w:t>
      </w:r>
      <w:r w:rsidR="003A4F54">
        <w:rPr>
          <w:rFonts w:asciiTheme="minorHAnsi" w:hAnsiTheme="minorHAnsi" w:cstheme="minorHAnsi"/>
          <w:lang w:val="en-US"/>
        </w:rPr>
        <w:t>)</w:t>
      </w:r>
      <w:r w:rsidRPr="002233FF">
        <w:rPr>
          <w:rFonts w:asciiTheme="minorHAnsi" w:hAnsiTheme="minorHAnsi" w:cstheme="minorHAnsi"/>
          <w:lang w:val="en-US"/>
        </w:rPr>
        <w:t xml:space="preserve"> Brain Tumo</w:t>
      </w:r>
      <w:r w:rsidR="00F95411" w:rsidRPr="002233FF">
        <w:rPr>
          <w:rFonts w:asciiTheme="minorHAnsi" w:hAnsiTheme="minorHAnsi" w:cstheme="minorHAnsi"/>
          <w:lang w:val="en-US"/>
        </w:rPr>
        <w:t>u</w:t>
      </w:r>
      <w:r w:rsidRPr="002233FF">
        <w:rPr>
          <w:rFonts w:asciiTheme="minorHAnsi" w:hAnsiTheme="minorHAnsi" w:cstheme="minorHAnsi"/>
          <w:lang w:val="en-US"/>
        </w:rPr>
        <w:t xml:space="preserve">r </w:t>
      </w:r>
      <w:r w:rsidR="008E54EA">
        <w:rPr>
          <w:rFonts w:asciiTheme="minorHAnsi" w:hAnsiTheme="minorHAnsi" w:cstheme="minorHAnsi"/>
          <w:lang w:val="en-US"/>
        </w:rPr>
        <w:t>QoS</w:t>
      </w:r>
      <w:r w:rsidRPr="002233FF">
        <w:rPr>
          <w:rFonts w:asciiTheme="minorHAnsi" w:hAnsiTheme="minorHAnsi" w:cstheme="minorHAnsi"/>
          <w:lang w:val="en-US"/>
        </w:rPr>
        <w:t xml:space="preserve"> working group</w:t>
      </w:r>
      <w:r w:rsidR="008E54EA">
        <w:rPr>
          <w:rFonts w:asciiTheme="minorHAnsi" w:hAnsiTheme="minorHAnsi" w:cstheme="minorHAnsi"/>
          <w:lang w:val="en-US"/>
        </w:rPr>
        <w:t>,</w:t>
      </w:r>
      <w:r w:rsidRPr="002233FF">
        <w:rPr>
          <w:rFonts w:asciiTheme="minorHAnsi" w:hAnsiTheme="minorHAnsi" w:cstheme="minorHAnsi"/>
          <w:lang w:val="en-US"/>
        </w:rPr>
        <w:t xml:space="preserve"> </w:t>
      </w:r>
      <w:r w:rsidR="0066191F">
        <w:rPr>
          <w:rFonts w:asciiTheme="minorHAnsi" w:hAnsiTheme="minorHAnsi" w:cstheme="minorHAnsi"/>
          <w:lang w:val="en-US"/>
        </w:rPr>
        <w:t>culminating in</w:t>
      </w:r>
      <w:r w:rsidRPr="002233FF">
        <w:rPr>
          <w:rFonts w:asciiTheme="minorHAnsi" w:hAnsiTheme="minorHAnsi" w:cstheme="minorHAnsi"/>
          <w:lang w:val="en-US"/>
        </w:rPr>
        <w:t xml:space="preserve"> an agreed protocol for data collection in clinical trials for children under the age of </w:t>
      </w:r>
      <w:r w:rsidR="003A4F54">
        <w:rPr>
          <w:rFonts w:asciiTheme="minorHAnsi" w:hAnsiTheme="minorHAnsi" w:cstheme="minorHAnsi"/>
          <w:lang w:val="en-US"/>
        </w:rPr>
        <w:t>five</w:t>
      </w:r>
      <w:r w:rsidR="003A4F54" w:rsidRPr="002233FF">
        <w:rPr>
          <w:rFonts w:asciiTheme="minorHAnsi" w:hAnsiTheme="minorHAnsi" w:cstheme="minorHAnsi"/>
          <w:lang w:val="en-US"/>
        </w:rPr>
        <w:t xml:space="preserve"> </w:t>
      </w:r>
      <w:r w:rsidRPr="002233FF">
        <w:rPr>
          <w:rFonts w:asciiTheme="minorHAnsi" w:hAnsiTheme="minorHAnsi" w:cstheme="minorHAnsi"/>
          <w:lang w:val="en-US"/>
        </w:rPr>
        <w:t xml:space="preserve">years. This </w:t>
      </w:r>
      <w:r w:rsidR="0066191F">
        <w:rPr>
          <w:rFonts w:asciiTheme="minorHAnsi" w:hAnsiTheme="minorHAnsi" w:cstheme="minorHAnsi"/>
          <w:lang w:val="en-US"/>
        </w:rPr>
        <w:t>wa</w:t>
      </w:r>
      <w:r w:rsidRPr="002233FF">
        <w:rPr>
          <w:rFonts w:asciiTheme="minorHAnsi" w:hAnsiTheme="minorHAnsi" w:cstheme="minorHAnsi"/>
          <w:lang w:val="en-US"/>
        </w:rPr>
        <w:t>s undertaken with direct reference to a similar paper focusing on children aged 5-18 years</w:t>
      </w:r>
      <w:r w:rsidR="00E67119">
        <w:rPr>
          <w:rFonts w:asciiTheme="minorHAnsi" w:hAnsiTheme="minorHAnsi" w:cstheme="minorHAnsi"/>
          <w:b/>
          <w:vertAlign w:val="superscript"/>
          <w:lang w:val="en-US"/>
        </w:rPr>
        <w:t>9</w:t>
      </w:r>
      <w:r w:rsidR="001666BC" w:rsidRPr="002233FF">
        <w:rPr>
          <w:rFonts w:asciiTheme="minorHAnsi" w:hAnsiTheme="minorHAnsi" w:cstheme="minorHAnsi"/>
          <w:lang w:val="en-US"/>
        </w:rPr>
        <w:t xml:space="preserve"> to facilitate the collection of longitudinal data for children</w:t>
      </w:r>
      <w:r w:rsidR="00E13305" w:rsidRPr="002233FF">
        <w:rPr>
          <w:rFonts w:asciiTheme="minorHAnsi" w:hAnsiTheme="minorHAnsi" w:cstheme="minorHAnsi"/>
          <w:lang w:val="en-US"/>
        </w:rPr>
        <w:t xml:space="preserve"> of all ages</w:t>
      </w:r>
      <w:r w:rsidRPr="002233FF">
        <w:rPr>
          <w:rFonts w:asciiTheme="minorHAnsi" w:hAnsiTheme="minorHAnsi" w:cstheme="minorHAnsi"/>
          <w:lang w:val="en-US"/>
        </w:rPr>
        <w:t xml:space="preserve">.  As </w:t>
      </w:r>
      <w:r w:rsidR="004732C3">
        <w:rPr>
          <w:rFonts w:asciiTheme="minorHAnsi" w:hAnsiTheme="minorHAnsi" w:cstheme="minorHAnsi"/>
          <w:lang w:val="en-US"/>
        </w:rPr>
        <w:t>pointed out</w:t>
      </w:r>
      <w:r w:rsidRPr="002233FF">
        <w:rPr>
          <w:rFonts w:asciiTheme="minorHAnsi" w:hAnsiTheme="minorHAnsi" w:cstheme="minorHAnsi"/>
          <w:lang w:val="en-US"/>
        </w:rPr>
        <w:t xml:space="preserve"> by Limond et al</w:t>
      </w:r>
      <w:r w:rsidR="0066191F">
        <w:rPr>
          <w:rFonts w:asciiTheme="minorHAnsi" w:hAnsiTheme="minorHAnsi" w:cstheme="minorHAnsi"/>
          <w:lang w:val="en-US"/>
        </w:rPr>
        <w:t>.</w:t>
      </w:r>
      <w:r w:rsidR="00E67119">
        <w:rPr>
          <w:rFonts w:asciiTheme="minorHAnsi" w:hAnsiTheme="minorHAnsi" w:cstheme="minorHAnsi"/>
          <w:b/>
          <w:vertAlign w:val="superscript"/>
          <w:lang w:val="en-US"/>
        </w:rPr>
        <w:t>9</w:t>
      </w:r>
      <w:r w:rsidR="008E54EA">
        <w:rPr>
          <w:rFonts w:asciiTheme="minorHAnsi" w:hAnsiTheme="minorHAnsi" w:cstheme="minorHAnsi"/>
          <w:lang w:val="en-US"/>
        </w:rPr>
        <w:t>,</w:t>
      </w:r>
      <w:r w:rsidRPr="002233FF">
        <w:rPr>
          <w:rFonts w:asciiTheme="minorHAnsi" w:hAnsiTheme="minorHAnsi" w:cstheme="minorHAnsi"/>
          <w:lang w:val="en-US"/>
        </w:rPr>
        <w:t xml:space="preserve"> it is vital to distinguish between data collected for clinical trials versus clinical assessment. The former, outlined in this paper</w:t>
      </w:r>
      <w:r w:rsidR="0066191F">
        <w:rPr>
          <w:rFonts w:asciiTheme="minorHAnsi" w:hAnsiTheme="minorHAnsi" w:cstheme="minorHAnsi"/>
          <w:lang w:val="en-US"/>
        </w:rPr>
        <w:t>,</w:t>
      </w:r>
      <w:r w:rsidRPr="002233FF">
        <w:rPr>
          <w:rFonts w:asciiTheme="minorHAnsi" w:hAnsiTheme="minorHAnsi" w:cstheme="minorHAnsi"/>
          <w:lang w:val="en-US"/>
        </w:rPr>
        <w:t xml:space="preserve"> is intended to compare QoS outcomes between groups of patients </w:t>
      </w:r>
      <w:r w:rsidR="00B94DDC">
        <w:rPr>
          <w:rFonts w:asciiTheme="minorHAnsi" w:hAnsiTheme="minorHAnsi" w:cstheme="minorHAnsi"/>
          <w:lang w:val="en-US"/>
        </w:rPr>
        <w:t xml:space="preserve">with similar tumours and locations, </w:t>
      </w:r>
      <w:r w:rsidRPr="002233FF">
        <w:rPr>
          <w:rFonts w:asciiTheme="minorHAnsi" w:hAnsiTheme="minorHAnsi" w:cstheme="minorHAnsi"/>
          <w:lang w:val="en-US"/>
        </w:rPr>
        <w:t xml:space="preserve">receiving different treatment regimens. However, </w:t>
      </w:r>
      <w:r w:rsidR="00021D45">
        <w:rPr>
          <w:rFonts w:asciiTheme="minorHAnsi" w:hAnsiTheme="minorHAnsi" w:cstheme="minorHAnsi"/>
          <w:lang w:val="en-US"/>
        </w:rPr>
        <w:t xml:space="preserve">local </w:t>
      </w:r>
      <w:r w:rsidRPr="002233FF">
        <w:rPr>
          <w:rFonts w:asciiTheme="minorHAnsi" w:hAnsiTheme="minorHAnsi" w:cstheme="minorHAnsi"/>
          <w:lang w:val="en-US"/>
        </w:rPr>
        <w:t xml:space="preserve">clinicians </w:t>
      </w:r>
      <w:r w:rsidR="00021D45">
        <w:rPr>
          <w:rFonts w:asciiTheme="minorHAnsi" w:hAnsiTheme="minorHAnsi" w:cstheme="minorHAnsi"/>
          <w:lang w:val="en-US"/>
        </w:rPr>
        <w:t xml:space="preserve">may </w:t>
      </w:r>
      <w:r w:rsidR="0066191F">
        <w:rPr>
          <w:rFonts w:asciiTheme="minorHAnsi" w:hAnsiTheme="minorHAnsi" w:cstheme="minorHAnsi"/>
          <w:lang w:val="en-US"/>
        </w:rPr>
        <w:t>conduct</w:t>
      </w:r>
      <w:r w:rsidRPr="002233FF">
        <w:rPr>
          <w:rFonts w:asciiTheme="minorHAnsi" w:hAnsiTheme="minorHAnsi" w:cstheme="minorHAnsi"/>
          <w:lang w:val="en-US"/>
        </w:rPr>
        <w:t xml:space="preserve"> more detailed assessments to meet each child’s individual clinical needs. </w:t>
      </w:r>
    </w:p>
    <w:p w14:paraId="4C2018F2" w14:textId="77777777" w:rsidR="00372805" w:rsidRPr="002233FF" w:rsidRDefault="00372805" w:rsidP="00BE64B7">
      <w:pPr>
        <w:pStyle w:val="Body1"/>
        <w:spacing w:line="480" w:lineRule="auto"/>
        <w:rPr>
          <w:rFonts w:asciiTheme="minorHAnsi" w:hAnsiTheme="minorHAnsi" w:cstheme="minorHAnsi"/>
          <w:b/>
          <w:szCs w:val="22"/>
          <w:lang w:val="en-US"/>
        </w:rPr>
      </w:pPr>
      <w:r w:rsidRPr="002233FF">
        <w:rPr>
          <w:rFonts w:asciiTheme="minorHAnsi" w:hAnsiTheme="minorHAnsi" w:cstheme="minorHAnsi"/>
          <w:b/>
          <w:szCs w:val="22"/>
          <w:lang w:val="en-US"/>
        </w:rPr>
        <w:t>1.2 Terminology and conceptual framework</w:t>
      </w:r>
    </w:p>
    <w:p w14:paraId="0669E040" w14:textId="6EAE5352" w:rsidR="00372805" w:rsidRDefault="00372805" w:rsidP="008F2249">
      <w:pPr>
        <w:pStyle w:val="Body1"/>
        <w:spacing w:line="480" w:lineRule="auto"/>
        <w:rPr>
          <w:rFonts w:asciiTheme="minorHAnsi" w:hAnsiTheme="minorHAnsi" w:cstheme="minorHAnsi"/>
          <w:szCs w:val="22"/>
          <w:lang w:val="en-US"/>
        </w:rPr>
      </w:pPr>
      <w:r w:rsidRPr="002233FF">
        <w:rPr>
          <w:rFonts w:asciiTheme="minorHAnsi" w:hAnsiTheme="minorHAnsi" w:cstheme="minorHAnsi"/>
          <w:szCs w:val="22"/>
          <w:lang w:val="en-US"/>
        </w:rPr>
        <w:t>Discussion</w:t>
      </w:r>
      <w:r w:rsidR="007C7A8E">
        <w:rPr>
          <w:rFonts w:asciiTheme="minorHAnsi" w:hAnsiTheme="minorHAnsi" w:cstheme="minorHAnsi"/>
          <w:szCs w:val="22"/>
          <w:lang w:val="en-US"/>
        </w:rPr>
        <w:t>s</w:t>
      </w:r>
      <w:r w:rsidRPr="002233FF">
        <w:rPr>
          <w:rFonts w:asciiTheme="minorHAnsi" w:hAnsiTheme="minorHAnsi" w:cstheme="minorHAnsi"/>
          <w:szCs w:val="22"/>
          <w:lang w:val="en-US"/>
        </w:rPr>
        <w:t xml:space="preserve"> of measurement of QoS </w:t>
      </w:r>
      <w:r w:rsidR="007C7A8E">
        <w:rPr>
          <w:rFonts w:asciiTheme="minorHAnsi" w:hAnsiTheme="minorHAnsi" w:cstheme="minorHAnsi"/>
          <w:szCs w:val="22"/>
          <w:lang w:val="en-US"/>
        </w:rPr>
        <w:t>typically</w:t>
      </w:r>
      <w:r w:rsidR="007C7A8E" w:rsidRPr="002233FF">
        <w:rPr>
          <w:rFonts w:asciiTheme="minorHAnsi" w:hAnsiTheme="minorHAnsi" w:cstheme="minorHAnsi"/>
          <w:szCs w:val="22"/>
          <w:lang w:val="en-US"/>
        </w:rPr>
        <w:t xml:space="preserve"> </w:t>
      </w:r>
      <w:r w:rsidRPr="002233FF">
        <w:rPr>
          <w:rFonts w:asciiTheme="minorHAnsi" w:hAnsiTheme="minorHAnsi" w:cstheme="minorHAnsi"/>
          <w:szCs w:val="22"/>
          <w:lang w:val="en-US"/>
        </w:rPr>
        <w:t>use the International Classification of Functioning, Disability and Health: Child and Youth Version</w:t>
      </w:r>
      <w:r w:rsidR="00B45631">
        <w:rPr>
          <w:rFonts w:asciiTheme="minorHAnsi" w:hAnsiTheme="minorHAnsi" w:cstheme="minorHAnsi"/>
          <w:b/>
          <w:szCs w:val="22"/>
          <w:vertAlign w:val="superscript"/>
          <w:lang w:val="en-US"/>
        </w:rPr>
        <w:t>10</w:t>
      </w:r>
      <w:r w:rsidRPr="002233FF">
        <w:rPr>
          <w:rFonts w:asciiTheme="minorHAnsi" w:hAnsiTheme="minorHAnsi" w:cstheme="minorHAnsi"/>
          <w:b/>
          <w:bCs/>
          <w:szCs w:val="22"/>
          <w:vertAlign w:val="superscript"/>
          <w:lang w:val="en-US"/>
        </w:rPr>
        <w:t xml:space="preserve"> </w:t>
      </w:r>
      <w:r w:rsidRPr="002233FF">
        <w:rPr>
          <w:rFonts w:asciiTheme="minorHAnsi" w:hAnsiTheme="minorHAnsi" w:cstheme="minorHAnsi"/>
          <w:bCs/>
          <w:szCs w:val="22"/>
          <w:lang w:val="en-US"/>
        </w:rPr>
        <w:t xml:space="preserve">as </w:t>
      </w:r>
      <w:r w:rsidRPr="002233FF">
        <w:rPr>
          <w:rFonts w:asciiTheme="minorHAnsi" w:hAnsiTheme="minorHAnsi" w:cstheme="minorHAnsi"/>
          <w:szCs w:val="22"/>
          <w:lang w:val="en-US"/>
        </w:rPr>
        <w:t>a conceptual framework</w:t>
      </w:r>
      <w:r w:rsidR="00AC05E4">
        <w:rPr>
          <w:rFonts w:asciiTheme="minorHAnsi" w:hAnsiTheme="minorHAnsi" w:cstheme="minorHAnsi"/>
          <w:szCs w:val="22"/>
          <w:lang w:val="en-US"/>
        </w:rPr>
        <w:t>.</w:t>
      </w:r>
      <w:r w:rsidR="00173020">
        <w:rPr>
          <w:rFonts w:asciiTheme="minorHAnsi" w:hAnsiTheme="minorHAnsi" w:cstheme="minorHAnsi"/>
          <w:szCs w:val="22"/>
          <w:lang w:val="en-US"/>
        </w:rPr>
        <w:t xml:space="preserve"> </w:t>
      </w:r>
      <w:r w:rsidRPr="002233FF">
        <w:rPr>
          <w:rFonts w:asciiTheme="minorHAnsi" w:hAnsiTheme="minorHAnsi" w:cstheme="minorHAnsi"/>
          <w:szCs w:val="22"/>
          <w:lang w:val="en-US"/>
        </w:rPr>
        <w:t xml:space="preserve">The key areas of focus </w:t>
      </w:r>
      <w:r w:rsidRPr="002233FF">
        <w:rPr>
          <w:rFonts w:asciiTheme="minorHAnsi" w:hAnsiTheme="minorHAnsi" w:cstheme="minorHAnsi"/>
          <w:szCs w:val="22"/>
          <w:lang w:val="en-US"/>
        </w:rPr>
        <w:lastRenderedPageBreak/>
        <w:t xml:space="preserve">being separated into i) impairments, ii) activity, iii) participation, </w:t>
      </w:r>
      <w:r w:rsidR="007C7A8E">
        <w:rPr>
          <w:rFonts w:asciiTheme="minorHAnsi" w:hAnsiTheme="minorHAnsi" w:cstheme="minorHAnsi"/>
          <w:szCs w:val="22"/>
          <w:lang w:val="en-US"/>
        </w:rPr>
        <w:t xml:space="preserve">and </w:t>
      </w:r>
      <w:r w:rsidRPr="002233FF">
        <w:rPr>
          <w:rFonts w:asciiTheme="minorHAnsi" w:hAnsiTheme="minorHAnsi" w:cstheme="minorHAnsi"/>
          <w:szCs w:val="22"/>
          <w:lang w:val="en-US"/>
        </w:rPr>
        <w:t xml:space="preserve">iv) environmental factors. </w:t>
      </w:r>
      <w:r w:rsidR="007C7A8E">
        <w:rPr>
          <w:rFonts w:asciiTheme="minorHAnsi" w:hAnsiTheme="minorHAnsi" w:cstheme="minorHAnsi"/>
          <w:szCs w:val="22"/>
          <w:lang w:val="en-US"/>
        </w:rPr>
        <w:t xml:space="preserve">We have previously described in detail the application of this framework to </w:t>
      </w:r>
      <w:r w:rsidR="008E54EA">
        <w:rPr>
          <w:rFonts w:asciiTheme="minorHAnsi" w:hAnsiTheme="minorHAnsi" w:cstheme="minorHAnsi"/>
          <w:szCs w:val="22"/>
          <w:lang w:val="en-US"/>
        </w:rPr>
        <w:t xml:space="preserve">brain tumour </w:t>
      </w:r>
      <w:r w:rsidR="007C7A8E">
        <w:rPr>
          <w:rFonts w:asciiTheme="minorHAnsi" w:hAnsiTheme="minorHAnsi" w:cstheme="minorHAnsi"/>
          <w:szCs w:val="22"/>
          <w:lang w:val="en-US"/>
        </w:rPr>
        <w:t xml:space="preserve">clinical trials for children </w:t>
      </w:r>
      <w:r w:rsidR="00462E9B">
        <w:rPr>
          <w:rFonts w:asciiTheme="minorHAnsi" w:hAnsiTheme="minorHAnsi" w:cstheme="minorHAnsi"/>
          <w:szCs w:val="22"/>
          <w:lang w:val="en-US"/>
        </w:rPr>
        <w:t>from the age of 5 years</w:t>
      </w:r>
      <w:r w:rsidR="00E67119">
        <w:rPr>
          <w:rFonts w:asciiTheme="minorHAnsi" w:hAnsiTheme="minorHAnsi" w:cstheme="minorHAnsi"/>
          <w:b/>
          <w:szCs w:val="22"/>
          <w:vertAlign w:val="superscript"/>
          <w:lang w:val="en-US"/>
        </w:rPr>
        <w:t>9</w:t>
      </w:r>
      <w:r w:rsidR="00AC05E4">
        <w:rPr>
          <w:rFonts w:asciiTheme="minorHAnsi" w:hAnsiTheme="minorHAnsi" w:cstheme="minorHAnsi"/>
          <w:szCs w:val="22"/>
          <w:lang w:val="en-US"/>
        </w:rPr>
        <w:t>, an approach being adopted more widely in the field of paediatric neur</w:t>
      </w:r>
      <w:r w:rsidR="004732C3">
        <w:rPr>
          <w:rFonts w:asciiTheme="minorHAnsi" w:hAnsiTheme="minorHAnsi" w:cstheme="minorHAnsi"/>
          <w:szCs w:val="22"/>
          <w:lang w:val="en-US"/>
        </w:rPr>
        <w:t>o-</w:t>
      </w:r>
      <w:r w:rsidR="00AC05E4">
        <w:rPr>
          <w:rFonts w:asciiTheme="minorHAnsi" w:hAnsiTheme="minorHAnsi" w:cstheme="minorHAnsi"/>
          <w:szCs w:val="22"/>
          <w:lang w:val="en-US"/>
        </w:rPr>
        <w:t>oncology</w:t>
      </w:r>
      <w:r w:rsidR="00B45631">
        <w:rPr>
          <w:rFonts w:asciiTheme="minorHAnsi" w:hAnsiTheme="minorHAnsi" w:cstheme="minorHAnsi"/>
          <w:b/>
          <w:szCs w:val="22"/>
          <w:vertAlign w:val="superscript"/>
          <w:lang w:val="en-US"/>
        </w:rPr>
        <w:t>11</w:t>
      </w:r>
      <w:r w:rsidR="007C7A8E">
        <w:rPr>
          <w:rFonts w:asciiTheme="minorHAnsi" w:hAnsiTheme="minorHAnsi" w:cstheme="minorHAnsi"/>
          <w:szCs w:val="22"/>
          <w:lang w:val="en-US"/>
        </w:rPr>
        <w:t>.</w:t>
      </w:r>
    </w:p>
    <w:p w14:paraId="26CC9825" w14:textId="77777777" w:rsidR="001E6E32" w:rsidRDefault="001E6E32" w:rsidP="008F2249">
      <w:pPr>
        <w:pStyle w:val="Body1"/>
        <w:spacing w:line="480" w:lineRule="auto"/>
        <w:rPr>
          <w:rFonts w:asciiTheme="minorHAnsi" w:hAnsiTheme="minorHAnsi" w:cstheme="minorHAnsi"/>
          <w:szCs w:val="22"/>
          <w:lang w:val="en-US"/>
        </w:rPr>
      </w:pPr>
    </w:p>
    <w:p w14:paraId="11F59351" w14:textId="5D76B8CA" w:rsidR="001E6E32" w:rsidRDefault="001E6E32" w:rsidP="008F2249">
      <w:pPr>
        <w:pStyle w:val="Body1"/>
        <w:spacing w:line="480" w:lineRule="auto"/>
        <w:rPr>
          <w:rFonts w:asciiTheme="minorHAnsi" w:hAnsiTheme="minorHAnsi" w:cstheme="minorHAnsi"/>
          <w:szCs w:val="22"/>
          <w:lang w:val="en-US"/>
        </w:rPr>
      </w:pPr>
      <w:r>
        <w:rPr>
          <w:rFonts w:asciiTheme="minorHAnsi" w:hAnsiTheme="minorHAnsi" w:cstheme="minorHAnsi"/>
          <w:szCs w:val="22"/>
          <w:lang w:val="en-US"/>
        </w:rPr>
        <w:t xml:space="preserve">In the current paper, the term </w:t>
      </w:r>
      <w:r w:rsidR="00F12558">
        <w:rPr>
          <w:rFonts w:asciiTheme="minorHAnsi" w:hAnsiTheme="minorHAnsi" w:cstheme="minorHAnsi"/>
          <w:szCs w:val="22"/>
          <w:lang w:val="en-US"/>
        </w:rPr>
        <w:t xml:space="preserve">QoS </w:t>
      </w:r>
      <w:r w:rsidR="006F378C">
        <w:rPr>
          <w:rFonts w:asciiTheme="minorHAnsi" w:hAnsiTheme="minorHAnsi" w:cstheme="minorHAnsi"/>
          <w:szCs w:val="22"/>
          <w:lang w:val="en-US"/>
        </w:rPr>
        <w:t xml:space="preserve">is used as an umbrella term </w:t>
      </w:r>
      <w:r w:rsidR="00F12558">
        <w:rPr>
          <w:rFonts w:asciiTheme="minorHAnsi" w:hAnsiTheme="minorHAnsi" w:cstheme="minorHAnsi"/>
          <w:szCs w:val="22"/>
          <w:lang w:val="en-US"/>
        </w:rPr>
        <w:t>relat</w:t>
      </w:r>
      <w:r w:rsidR="006F378C">
        <w:rPr>
          <w:rFonts w:asciiTheme="minorHAnsi" w:hAnsiTheme="minorHAnsi" w:cstheme="minorHAnsi"/>
          <w:szCs w:val="22"/>
          <w:lang w:val="en-US"/>
        </w:rPr>
        <w:t>ing</w:t>
      </w:r>
      <w:r w:rsidR="00F12558">
        <w:rPr>
          <w:rFonts w:asciiTheme="minorHAnsi" w:hAnsiTheme="minorHAnsi" w:cstheme="minorHAnsi"/>
          <w:szCs w:val="22"/>
          <w:lang w:val="en-US"/>
        </w:rPr>
        <w:t xml:space="preserve"> to a range of medical, physical, cognitive, emotional</w:t>
      </w:r>
      <w:r w:rsidR="00D4281F">
        <w:rPr>
          <w:rFonts w:asciiTheme="minorHAnsi" w:hAnsiTheme="minorHAnsi" w:cstheme="minorHAnsi"/>
          <w:szCs w:val="22"/>
          <w:lang w:val="en-US"/>
        </w:rPr>
        <w:t>,</w:t>
      </w:r>
      <w:r w:rsidR="00F12558">
        <w:rPr>
          <w:rFonts w:asciiTheme="minorHAnsi" w:hAnsiTheme="minorHAnsi" w:cstheme="minorHAnsi"/>
          <w:szCs w:val="22"/>
          <w:lang w:val="en-US"/>
        </w:rPr>
        <w:t xml:space="preserve"> and behavioural domains that contribute to the overall outcomes (both objective and subjective) for individuals who have been treated for a brain tumour.  Quality of life</w:t>
      </w:r>
      <w:r w:rsidR="006F378C">
        <w:rPr>
          <w:rFonts w:asciiTheme="minorHAnsi" w:hAnsiTheme="minorHAnsi" w:cstheme="minorHAnsi"/>
          <w:szCs w:val="22"/>
          <w:lang w:val="en-US"/>
        </w:rPr>
        <w:t xml:space="preserve"> is </w:t>
      </w:r>
      <w:r w:rsidR="009B46AF">
        <w:rPr>
          <w:rFonts w:asciiTheme="minorHAnsi" w:hAnsiTheme="minorHAnsi" w:cstheme="minorHAnsi"/>
          <w:szCs w:val="22"/>
          <w:lang w:val="en-US"/>
        </w:rPr>
        <w:t>the</w:t>
      </w:r>
      <w:r w:rsidR="000A0F01">
        <w:rPr>
          <w:rFonts w:asciiTheme="minorHAnsi" w:hAnsiTheme="minorHAnsi" w:cstheme="minorHAnsi"/>
          <w:szCs w:val="22"/>
          <w:lang w:val="en-US"/>
        </w:rPr>
        <w:t xml:space="preserve"> </w:t>
      </w:r>
      <w:r w:rsidR="006F378C">
        <w:rPr>
          <w:rFonts w:asciiTheme="minorHAnsi" w:hAnsiTheme="minorHAnsi" w:cstheme="minorHAnsi"/>
          <w:szCs w:val="22"/>
          <w:lang w:val="en-US"/>
        </w:rPr>
        <w:t>sub-domain of QoS</w:t>
      </w:r>
      <w:r w:rsidR="00F12558">
        <w:rPr>
          <w:rFonts w:asciiTheme="minorHAnsi" w:hAnsiTheme="minorHAnsi" w:cstheme="minorHAnsi"/>
          <w:szCs w:val="22"/>
          <w:lang w:val="en-US"/>
        </w:rPr>
        <w:t xml:space="preserve"> </w:t>
      </w:r>
      <w:r w:rsidR="009B46AF">
        <w:rPr>
          <w:rFonts w:asciiTheme="minorHAnsi" w:hAnsiTheme="minorHAnsi" w:cstheme="minorHAnsi"/>
          <w:szCs w:val="22"/>
          <w:lang w:val="en-US"/>
        </w:rPr>
        <w:t>that is essentially subjective and, therefore self-reported.  In children aged less than five years, however, reliable self-report cannot be achieved and so proxy-report by parents has to be relied upon.</w:t>
      </w:r>
    </w:p>
    <w:p w14:paraId="15215608" w14:textId="77777777" w:rsidR="005576F9" w:rsidRPr="002233FF" w:rsidRDefault="005576F9">
      <w:pPr>
        <w:pStyle w:val="Body1"/>
        <w:spacing w:line="480" w:lineRule="auto"/>
        <w:rPr>
          <w:rFonts w:asciiTheme="minorHAnsi" w:hAnsiTheme="minorHAnsi" w:cstheme="minorHAnsi"/>
          <w:szCs w:val="22"/>
          <w:lang w:val="en-US"/>
        </w:rPr>
      </w:pPr>
    </w:p>
    <w:p w14:paraId="3AEE2EF3" w14:textId="042888C9" w:rsidR="00372805" w:rsidRDefault="005576F9">
      <w:pPr>
        <w:pStyle w:val="Body1"/>
        <w:tabs>
          <w:tab w:val="left" w:pos="1140"/>
        </w:tabs>
        <w:spacing w:line="480" w:lineRule="auto"/>
        <w:rPr>
          <w:rFonts w:asciiTheme="minorHAnsi" w:hAnsiTheme="minorHAnsi" w:cstheme="minorHAnsi"/>
          <w:szCs w:val="22"/>
          <w:lang w:val="en-US"/>
        </w:rPr>
      </w:pPr>
      <w:r>
        <w:rPr>
          <w:rFonts w:asciiTheme="minorHAnsi" w:hAnsiTheme="minorHAnsi" w:cstheme="minorHAnsi"/>
          <w:szCs w:val="22"/>
          <w:lang w:val="en-US"/>
        </w:rPr>
        <w:t xml:space="preserve">The terms </w:t>
      </w:r>
      <w:r w:rsidR="00E42028">
        <w:rPr>
          <w:rFonts w:asciiTheme="minorHAnsi" w:hAnsiTheme="minorHAnsi" w:cstheme="minorHAnsi"/>
          <w:szCs w:val="22"/>
          <w:lang w:val="en-US"/>
        </w:rPr>
        <w:t>‘</w:t>
      </w:r>
      <w:r>
        <w:rPr>
          <w:rFonts w:asciiTheme="minorHAnsi" w:hAnsiTheme="minorHAnsi" w:cstheme="minorHAnsi"/>
          <w:szCs w:val="22"/>
          <w:lang w:val="en-US"/>
        </w:rPr>
        <w:t>direct</w:t>
      </w:r>
      <w:r w:rsidR="00E42028">
        <w:rPr>
          <w:rFonts w:asciiTheme="minorHAnsi" w:hAnsiTheme="minorHAnsi" w:cstheme="minorHAnsi"/>
          <w:szCs w:val="22"/>
          <w:lang w:val="en-US"/>
        </w:rPr>
        <w:t>’</w:t>
      </w:r>
      <w:r>
        <w:rPr>
          <w:rFonts w:asciiTheme="minorHAnsi" w:hAnsiTheme="minorHAnsi" w:cstheme="minorHAnsi"/>
          <w:szCs w:val="22"/>
          <w:lang w:val="en-US"/>
        </w:rPr>
        <w:t xml:space="preserve"> and </w:t>
      </w:r>
      <w:r w:rsidR="00E42028">
        <w:rPr>
          <w:rFonts w:asciiTheme="minorHAnsi" w:hAnsiTheme="minorHAnsi" w:cstheme="minorHAnsi"/>
          <w:szCs w:val="22"/>
          <w:lang w:val="en-US"/>
        </w:rPr>
        <w:t>‘</w:t>
      </w:r>
      <w:r>
        <w:rPr>
          <w:rFonts w:asciiTheme="minorHAnsi" w:hAnsiTheme="minorHAnsi" w:cstheme="minorHAnsi"/>
          <w:szCs w:val="22"/>
          <w:lang w:val="en-US"/>
        </w:rPr>
        <w:t>indirect</w:t>
      </w:r>
      <w:r w:rsidR="00E42028">
        <w:rPr>
          <w:rFonts w:asciiTheme="minorHAnsi" w:hAnsiTheme="minorHAnsi" w:cstheme="minorHAnsi"/>
          <w:szCs w:val="22"/>
          <w:lang w:val="en-US"/>
        </w:rPr>
        <w:t>’</w:t>
      </w:r>
      <w:r>
        <w:rPr>
          <w:rFonts w:asciiTheme="minorHAnsi" w:hAnsiTheme="minorHAnsi" w:cstheme="minorHAnsi"/>
          <w:szCs w:val="22"/>
          <w:lang w:val="en-US"/>
        </w:rPr>
        <w:t xml:space="preserve"> assessment are used to highlight the different ways that data may be collected.  Indirect measures </w:t>
      </w:r>
      <w:r w:rsidR="00027DDD">
        <w:rPr>
          <w:rFonts w:asciiTheme="minorHAnsi" w:hAnsiTheme="minorHAnsi" w:cstheme="minorHAnsi"/>
          <w:szCs w:val="22"/>
          <w:lang w:val="en-US"/>
        </w:rPr>
        <w:t xml:space="preserve">are based on </w:t>
      </w:r>
      <w:r w:rsidR="008C79DB">
        <w:rPr>
          <w:rFonts w:asciiTheme="minorHAnsi" w:hAnsiTheme="minorHAnsi" w:cstheme="minorHAnsi"/>
          <w:szCs w:val="22"/>
          <w:lang w:val="en-US"/>
        </w:rPr>
        <w:t>information reported by</w:t>
      </w:r>
      <w:r w:rsidR="00027DDD">
        <w:rPr>
          <w:rFonts w:asciiTheme="minorHAnsi" w:hAnsiTheme="minorHAnsi" w:cstheme="minorHAnsi"/>
          <w:szCs w:val="22"/>
          <w:lang w:val="en-US"/>
        </w:rPr>
        <w:t xml:space="preserve"> others whether self-report or proxy-report</w:t>
      </w:r>
      <w:r>
        <w:rPr>
          <w:rFonts w:asciiTheme="minorHAnsi" w:hAnsiTheme="minorHAnsi" w:cstheme="minorHAnsi"/>
          <w:szCs w:val="22"/>
          <w:lang w:val="en-US"/>
        </w:rPr>
        <w:t xml:space="preserve"> (e.g. parents), while direct measures</w:t>
      </w:r>
      <w:r w:rsidR="0085726B">
        <w:rPr>
          <w:rFonts w:asciiTheme="minorHAnsi" w:hAnsiTheme="minorHAnsi" w:cstheme="minorHAnsi"/>
          <w:szCs w:val="22"/>
          <w:lang w:val="en-US"/>
        </w:rPr>
        <w:t xml:space="preserve"> </w:t>
      </w:r>
      <w:r w:rsidR="00027DDD">
        <w:rPr>
          <w:rFonts w:asciiTheme="minorHAnsi" w:hAnsiTheme="minorHAnsi" w:cstheme="minorHAnsi"/>
          <w:szCs w:val="22"/>
          <w:lang w:val="en-US"/>
        </w:rPr>
        <w:t>are assessments undertaken by an examiner</w:t>
      </w:r>
      <w:r w:rsidR="000A0F01">
        <w:rPr>
          <w:rFonts w:asciiTheme="minorHAnsi" w:hAnsiTheme="minorHAnsi" w:cstheme="minorHAnsi"/>
          <w:szCs w:val="22"/>
          <w:lang w:val="en-US"/>
        </w:rPr>
        <w:t xml:space="preserve"> </w:t>
      </w:r>
      <w:r>
        <w:rPr>
          <w:rFonts w:asciiTheme="minorHAnsi" w:hAnsiTheme="minorHAnsi" w:cstheme="minorHAnsi"/>
          <w:szCs w:val="22"/>
          <w:lang w:val="en-US"/>
        </w:rPr>
        <w:t>(e.g. completing cognitive tests, blood tests</w:t>
      </w:r>
      <w:r w:rsidR="00D4281F">
        <w:rPr>
          <w:rFonts w:asciiTheme="minorHAnsi" w:hAnsiTheme="minorHAnsi" w:cstheme="minorHAnsi"/>
          <w:szCs w:val="22"/>
          <w:lang w:val="en-US"/>
        </w:rPr>
        <w:t>,</w:t>
      </w:r>
      <w:r>
        <w:rPr>
          <w:rFonts w:asciiTheme="minorHAnsi" w:hAnsiTheme="minorHAnsi" w:cstheme="minorHAnsi"/>
          <w:szCs w:val="22"/>
          <w:lang w:val="en-US"/>
        </w:rPr>
        <w:t xml:space="preserve"> or body measurements).</w:t>
      </w:r>
    </w:p>
    <w:p w14:paraId="5E8BE309" w14:textId="77777777" w:rsidR="005576F9" w:rsidRPr="002233FF" w:rsidRDefault="005576F9">
      <w:pPr>
        <w:pStyle w:val="Body1"/>
        <w:tabs>
          <w:tab w:val="left" w:pos="1140"/>
        </w:tabs>
        <w:spacing w:line="480" w:lineRule="auto"/>
        <w:rPr>
          <w:rFonts w:asciiTheme="minorHAnsi" w:hAnsiTheme="minorHAnsi" w:cstheme="minorHAnsi"/>
          <w:szCs w:val="22"/>
          <w:lang w:val="en-US"/>
        </w:rPr>
      </w:pPr>
    </w:p>
    <w:p w14:paraId="3791CA67" w14:textId="77777777" w:rsidR="006D5747" w:rsidRPr="002233FF" w:rsidRDefault="00E13305">
      <w:pPr>
        <w:pStyle w:val="Body1"/>
        <w:spacing w:line="480" w:lineRule="auto"/>
        <w:rPr>
          <w:rFonts w:asciiTheme="minorHAnsi" w:hAnsiTheme="minorHAnsi" w:cstheme="minorHAnsi"/>
          <w:b/>
          <w:szCs w:val="22"/>
          <w:lang w:val="en-GB"/>
        </w:rPr>
      </w:pPr>
      <w:r w:rsidRPr="002233FF">
        <w:rPr>
          <w:rFonts w:asciiTheme="minorHAnsi" w:hAnsiTheme="minorHAnsi" w:cstheme="minorHAnsi"/>
          <w:b/>
          <w:szCs w:val="22"/>
          <w:lang w:val="en-GB"/>
        </w:rPr>
        <w:t xml:space="preserve">1.3 </w:t>
      </w:r>
      <w:r w:rsidR="006C2DE3">
        <w:rPr>
          <w:rFonts w:asciiTheme="minorHAnsi" w:hAnsiTheme="minorHAnsi" w:cstheme="minorHAnsi"/>
          <w:b/>
          <w:szCs w:val="22"/>
          <w:lang w:val="en-GB"/>
        </w:rPr>
        <w:t xml:space="preserve">Issues in </w:t>
      </w:r>
      <w:r w:rsidR="007A58A9">
        <w:rPr>
          <w:rFonts w:asciiTheme="minorHAnsi" w:hAnsiTheme="minorHAnsi" w:cstheme="minorHAnsi"/>
          <w:b/>
          <w:szCs w:val="22"/>
          <w:lang w:val="en-GB"/>
        </w:rPr>
        <w:t>a</w:t>
      </w:r>
      <w:r w:rsidR="008E54EA" w:rsidRPr="002233FF">
        <w:rPr>
          <w:rFonts w:asciiTheme="minorHAnsi" w:hAnsiTheme="minorHAnsi" w:cstheme="minorHAnsi"/>
          <w:b/>
          <w:szCs w:val="22"/>
          <w:lang w:val="en-GB"/>
        </w:rPr>
        <w:t xml:space="preserve">ssessment </w:t>
      </w:r>
      <w:r w:rsidR="006C2DE3">
        <w:rPr>
          <w:rFonts w:asciiTheme="minorHAnsi" w:hAnsiTheme="minorHAnsi" w:cstheme="minorHAnsi"/>
          <w:b/>
          <w:szCs w:val="22"/>
          <w:lang w:val="en-GB"/>
        </w:rPr>
        <w:t xml:space="preserve">of </w:t>
      </w:r>
      <w:r w:rsidR="000A0F01">
        <w:rPr>
          <w:rFonts w:asciiTheme="minorHAnsi" w:hAnsiTheme="minorHAnsi" w:cstheme="minorHAnsi"/>
          <w:b/>
          <w:szCs w:val="22"/>
          <w:lang w:val="en-GB"/>
        </w:rPr>
        <w:t>young children</w:t>
      </w:r>
    </w:p>
    <w:p w14:paraId="6F0EAE1A" w14:textId="1D2BAF9C" w:rsidR="00A35BD3" w:rsidRPr="002233FF" w:rsidRDefault="00372805">
      <w:pPr>
        <w:pStyle w:val="Body1"/>
        <w:spacing w:line="480" w:lineRule="auto"/>
        <w:rPr>
          <w:rFonts w:asciiTheme="minorHAnsi" w:hAnsiTheme="minorHAnsi" w:cstheme="minorHAnsi"/>
          <w:szCs w:val="22"/>
          <w:lang w:val="en-GB"/>
        </w:rPr>
      </w:pPr>
      <w:r w:rsidRPr="002233FF">
        <w:rPr>
          <w:rFonts w:asciiTheme="minorHAnsi" w:hAnsiTheme="minorHAnsi" w:cstheme="minorHAnsi"/>
          <w:szCs w:val="22"/>
          <w:lang w:val="en-GB"/>
        </w:rPr>
        <w:t>While many of the concepts described in Limond et al</w:t>
      </w:r>
      <w:r w:rsidR="0011500E">
        <w:rPr>
          <w:rFonts w:asciiTheme="minorHAnsi" w:hAnsiTheme="minorHAnsi" w:cstheme="minorHAnsi"/>
          <w:szCs w:val="22"/>
          <w:lang w:val="en-GB"/>
        </w:rPr>
        <w:t>.</w:t>
      </w:r>
      <w:r w:rsidR="00E67119">
        <w:rPr>
          <w:rFonts w:asciiTheme="minorHAnsi" w:hAnsiTheme="minorHAnsi" w:cstheme="minorHAnsi"/>
          <w:b/>
          <w:szCs w:val="22"/>
          <w:vertAlign w:val="superscript"/>
          <w:lang w:val="en-GB"/>
        </w:rPr>
        <w:t>9</w:t>
      </w:r>
      <w:r w:rsidRPr="004A2D5E">
        <w:rPr>
          <w:rFonts w:asciiTheme="minorHAnsi" w:hAnsiTheme="minorHAnsi" w:cstheme="minorHAnsi"/>
          <w:b/>
          <w:szCs w:val="22"/>
          <w:vertAlign w:val="superscript"/>
          <w:lang w:val="en-GB"/>
        </w:rPr>
        <w:t xml:space="preserve"> </w:t>
      </w:r>
      <w:r w:rsidRPr="002233FF">
        <w:rPr>
          <w:rFonts w:asciiTheme="minorHAnsi" w:hAnsiTheme="minorHAnsi" w:cstheme="minorHAnsi"/>
          <w:szCs w:val="22"/>
          <w:lang w:val="en-GB"/>
        </w:rPr>
        <w:t xml:space="preserve">also apply to </w:t>
      </w:r>
      <w:r w:rsidR="007C7A8E">
        <w:rPr>
          <w:rFonts w:asciiTheme="minorHAnsi" w:hAnsiTheme="minorHAnsi" w:cstheme="minorHAnsi"/>
          <w:szCs w:val="22"/>
          <w:lang w:val="en-GB"/>
        </w:rPr>
        <w:t>t</w:t>
      </w:r>
      <w:r w:rsidRPr="002233FF">
        <w:rPr>
          <w:rFonts w:asciiTheme="minorHAnsi" w:hAnsiTheme="minorHAnsi" w:cstheme="minorHAnsi"/>
          <w:szCs w:val="22"/>
          <w:lang w:val="en-GB"/>
        </w:rPr>
        <w:t xml:space="preserve">he </w:t>
      </w:r>
      <w:r w:rsidR="007C7A8E">
        <w:rPr>
          <w:rFonts w:asciiTheme="minorHAnsi" w:hAnsiTheme="minorHAnsi" w:cstheme="minorHAnsi"/>
          <w:szCs w:val="22"/>
          <w:lang w:val="en-GB"/>
        </w:rPr>
        <w:t>under-fives</w:t>
      </w:r>
      <w:r w:rsidRPr="002233FF">
        <w:rPr>
          <w:rFonts w:asciiTheme="minorHAnsi" w:hAnsiTheme="minorHAnsi" w:cstheme="minorHAnsi"/>
          <w:szCs w:val="22"/>
          <w:lang w:val="en-GB"/>
        </w:rPr>
        <w:t xml:space="preserve">, there are additional issues </w:t>
      </w:r>
      <w:r w:rsidR="00B13539" w:rsidRPr="002233FF">
        <w:rPr>
          <w:rFonts w:asciiTheme="minorHAnsi" w:hAnsiTheme="minorHAnsi" w:cstheme="minorHAnsi"/>
          <w:szCs w:val="22"/>
          <w:lang w:val="en-GB"/>
        </w:rPr>
        <w:t>regarding cogniti</w:t>
      </w:r>
      <w:r w:rsidR="006D5747" w:rsidRPr="002233FF">
        <w:rPr>
          <w:rFonts w:asciiTheme="minorHAnsi" w:hAnsiTheme="minorHAnsi" w:cstheme="minorHAnsi"/>
          <w:szCs w:val="22"/>
          <w:lang w:val="en-GB"/>
        </w:rPr>
        <w:t>ve</w:t>
      </w:r>
      <w:r w:rsidR="00B13539" w:rsidRPr="002233FF">
        <w:rPr>
          <w:rFonts w:asciiTheme="minorHAnsi" w:hAnsiTheme="minorHAnsi" w:cstheme="minorHAnsi"/>
          <w:szCs w:val="22"/>
          <w:lang w:val="en-GB"/>
        </w:rPr>
        <w:t xml:space="preserve"> assessments </w:t>
      </w:r>
      <w:r w:rsidRPr="002233FF">
        <w:rPr>
          <w:rFonts w:asciiTheme="minorHAnsi" w:hAnsiTheme="minorHAnsi" w:cstheme="minorHAnsi"/>
          <w:szCs w:val="22"/>
          <w:lang w:val="en-GB"/>
        </w:rPr>
        <w:t>to be considered in this younger age group</w:t>
      </w:r>
      <w:r w:rsidR="00A802A4" w:rsidRPr="002233FF">
        <w:rPr>
          <w:rFonts w:asciiTheme="minorHAnsi" w:hAnsiTheme="minorHAnsi" w:cstheme="minorHAnsi"/>
          <w:szCs w:val="22"/>
          <w:lang w:val="en-GB"/>
        </w:rPr>
        <w:t xml:space="preserve">, which were </w:t>
      </w:r>
      <w:r w:rsidR="002233FF" w:rsidRPr="002233FF">
        <w:rPr>
          <w:rFonts w:asciiTheme="minorHAnsi" w:hAnsiTheme="minorHAnsi" w:cstheme="minorHAnsi"/>
          <w:szCs w:val="22"/>
          <w:lang w:val="en-GB"/>
        </w:rPr>
        <w:t>discussed during the development of this consensus</w:t>
      </w:r>
      <w:r w:rsidRPr="002233FF">
        <w:rPr>
          <w:rFonts w:asciiTheme="minorHAnsi" w:hAnsiTheme="minorHAnsi" w:cstheme="minorHAnsi"/>
          <w:szCs w:val="22"/>
          <w:lang w:val="en-GB"/>
        </w:rPr>
        <w:t xml:space="preserve">. </w:t>
      </w:r>
    </w:p>
    <w:p w14:paraId="213A0FBC" w14:textId="77777777" w:rsidR="00133C57" w:rsidRPr="002233FF" w:rsidRDefault="00133C57">
      <w:pPr>
        <w:pStyle w:val="Body1"/>
        <w:spacing w:line="480" w:lineRule="auto"/>
        <w:rPr>
          <w:rFonts w:asciiTheme="minorHAnsi" w:hAnsiTheme="minorHAnsi" w:cstheme="minorHAnsi"/>
          <w:szCs w:val="22"/>
          <w:lang w:val="en-GB"/>
        </w:rPr>
      </w:pPr>
    </w:p>
    <w:p w14:paraId="4B7A758A" w14:textId="7DAA90E9" w:rsidR="00133C57" w:rsidRPr="002233FF" w:rsidRDefault="00133C57">
      <w:pPr>
        <w:pStyle w:val="Body1"/>
        <w:spacing w:line="480" w:lineRule="auto"/>
        <w:rPr>
          <w:rFonts w:asciiTheme="minorHAnsi" w:hAnsiTheme="minorHAnsi" w:cstheme="minorHAnsi"/>
          <w:szCs w:val="22"/>
          <w:lang w:val="en-GB"/>
        </w:rPr>
      </w:pPr>
      <w:r w:rsidRPr="002233FF">
        <w:rPr>
          <w:rFonts w:asciiTheme="minorHAnsi" w:hAnsiTheme="minorHAnsi" w:cstheme="minorHAnsi"/>
          <w:szCs w:val="22"/>
          <w:lang w:val="en-GB"/>
        </w:rPr>
        <w:t>Assessment of development in very young children may not be strongly predictive of long-term outcomes</w:t>
      </w:r>
      <w:r w:rsidR="00B45631">
        <w:rPr>
          <w:rFonts w:asciiTheme="minorHAnsi" w:hAnsiTheme="minorHAnsi" w:cstheme="minorHAnsi"/>
          <w:b/>
          <w:szCs w:val="22"/>
          <w:vertAlign w:val="superscript"/>
          <w:lang w:val="en-GB"/>
        </w:rPr>
        <w:t>12</w:t>
      </w:r>
      <w:r w:rsidRPr="002233FF">
        <w:rPr>
          <w:rFonts w:asciiTheme="minorHAnsi" w:hAnsiTheme="minorHAnsi" w:cstheme="minorHAnsi"/>
          <w:szCs w:val="22"/>
          <w:lang w:val="en-GB"/>
        </w:rPr>
        <w:t xml:space="preserve"> and this </w:t>
      </w:r>
      <w:r w:rsidR="00027DDD">
        <w:rPr>
          <w:rFonts w:asciiTheme="minorHAnsi" w:hAnsiTheme="minorHAnsi" w:cstheme="minorHAnsi"/>
          <w:szCs w:val="22"/>
          <w:lang w:val="en-GB"/>
        </w:rPr>
        <w:t>may limit the reliability of comparisons between outcomes of different treatment approaches within trials in young children, unless based on long term outcome data</w:t>
      </w:r>
      <w:r w:rsidRPr="002233FF">
        <w:rPr>
          <w:rFonts w:asciiTheme="minorHAnsi" w:hAnsiTheme="minorHAnsi" w:cstheme="minorHAnsi"/>
          <w:szCs w:val="22"/>
          <w:lang w:val="en-GB"/>
        </w:rPr>
        <w:t xml:space="preserve">.  </w:t>
      </w:r>
      <w:r w:rsidR="00BC5C9E" w:rsidRPr="002233FF">
        <w:rPr>
          <w:rFonts w:asciiTheme="minorHAnsi" w:hAnsiTheme="minorHAnsi" w:cstheme="minorHAnsi"/>
          <w:szCs w:val="22"/>
          <w:lang w:val="en-GB"/>
        </w:rPr>
        <w:t>As described by Baron</w:t>
      </w:r>
      <w:r w:rsidR="00B45631">
        <w:rPr>
          <w:rFonts w:asciiTheme="minorHAnsi" w:hAnsiTheme="minorHAnsi" w:cstheme="minorHAnsi"/>
          <w:b/>
          <w:szCs w:val="22"/>
          <w:vertAlign w:val="superscript"/>
          <w:lang w:val="en-GB"/>
        </w:rPr>
        <w:t>13</w:t>
      </w:r>
      <w:r w:rsidR="00BC5C9E" w:rsidRPr="002233FF">
        <w:rPr>
          <w:rFonts w:asciiTheme="minorHAnsi" w:hAnsiTheme="minorHAnsi" w:cstheme="minorHAnsi"/>
          <w:szCs w:val="22"/>
          <w:lang w:val="en-GB"/>
        </w:rPr>
        <w:t xml:space="preserve"> it is increasingly recognised “that procedures, interpretive rules and algorithms applied to the </w:t>
      </w:r>
      <w:r w:rsidR="00A737CD" w:rsidRPr="002233FF">
        <w:rPr>
          <w:rFonts w:asciiTheme="minorHAnsi" w:hAnsiTheme="minorHAnsi" w:cstheme="minorHAnsi"/>
          <w:szCs w:val="22"/>
          <w:lang w:val="en-GB"/>
        </w:rPr>
        <w:t>eval</w:t>
      </w:r>
      <w:r w:rsidR="00BC5C9E" w:rsidRPr="002233FF">
        <w:rPr>
          <w:rFonts w:asciiTheme="minorHAnsi" w:hAnsiTheme="minorHAnsi" w:cstheme="minorHAnsi"/>
          <w:szCs w:val="22"/>
          <w:lang w:val="en-GB"/>
        </w:rPr>
        <w:t>uation of brain function in school-aged children do not translate optimally to pre-schoolers who have an even more immature brain” (p301)</w:t>
      </w:r>
      <w:r w:rsidR="007C7A8E">
        <w:rPr>
          <w:rFonts w:asciiTheme="minorHAnsi" w:hAnsiTheme="minorHAnsi" w:cstheme="minorHAnsi"/>
          <w:szCs w:val="22"/>
          <w:lang w:val="en-GB"/>
        </w:rPr>
        <w:t>. T</w:t>
      </w:r>
      <w:r w:rsidR="007F615F" w:rsidRPr="002233FF">
        <w:rPr>
          <w:rFonts w:asciiTheme="minorHAnsi" w:hAnsiTheme="minorHAnsi" w:cstheme="minorHAnsi"/>
          <w:szCs w:val="22"/>
          <w:lang w:val="en-GB"/>
        </w:rPr>
        <w:t>his creates a number of challenges in establishing a neurodevelopmental baseline in young children</w:t>
      </w:r>
      <w:r w:rsidR="00B45631" w:rsidRPr="004A2D5E">
        <w:rPr>
          <w:rFonts w:asciiTheme="minorHAnsi" w:hAnsiTheme="minorHAnsi" w:cstheme="minorHAnsi"/>
          <w:b/>
          <w:szCs w:val="22"/>
          <w:vertAlign w:val="superscript"/>
          <w:lang w:val="en-GB"/>
        </w:rPr>
        <w:t>14</w:t>
      </w:r>
      <w:r w:rsidR="00BC5C9E" w:rsidRPr="002233FF">
        <w:rPr>
          <w:rFonts w:asciiTheme="minorHAnsi" w:hAnsiTheme="minorHAnsi" w:cstheme="minorHAnsi"/>
          <w:szCs w:val="22"/>
          <w:lang w:val="en-GB"/>
        </w:rPr>
        <w:t>.</w:t>
      </w:r>
      <w:r w:rsidR="007F615F" w:rsidRPr="002233FF">
        <w:rPr>
          <w:rFonts w:asciiTheme="minorHAnsi" w:hAnsiTheme="minorHAnsi" w:cstheme="minorHAnsi"/>
          <w:szCs w:val="22"/>
          <w:lang w:val="en-GB"/>
        </w:rPr>
        <w:t xml:space="preserve">  </w:t>
      </w:r>
      <w:r w:rsidR="006C03E6">
        <w:rPr>
          <w:rFonts w:asciiTheme="minorHAnsi" w:hAnsiTheme="minorHAnsi" w:cstheme="minorHAnsi"/>
          <w:szCs w:val="22"/>
          <w:lang w:val="en-GB"/>
        </w:rPr>
        <w:t>At</w:t>
      </w:r>
      <w:r w:rsidR="007F615F" w:rsidRPr="002233FF">
        <w:rPr>
          <w:rFonts w:asciiTheme="minorHAnsi" w:hAnsiTheme="minorHAnsi" w:cstheme="minorHAnsi"/>
          <w:szCs w:val="22"/>
          <w:lang w:val="en-GB"/>
        </w:rPr>
        <w:t xml:space="preserve"> all ages there are issues </w:t>
      </w:r>
      <w:r w:rsidR="007C7A8E">
        <w:rPr>
          <w:rFonts w:asciiTheme="minorHAnsi" w:hAnsiTheme="minorHAnsi" w:cstheme="minorHAnsi"/>
          <w:szCs w:val="22"/>
          <w:lang w:val="en-GB"/>
        </w:rPr>
        <w:t>in</w:t>
      </w:r>
      <w:r w:rsidR="006C03E6">
        <w:rPr>
          <w:rFonts w:asciiTheme="minorHAnsi" w:hAnsiTheme="minorHAnsi" w:cstheme="minorHAnsi"/>
          <w:szCs w:val="22"/>
          <w:lang w:val="en-GB"/>
        </w:rPr>
        <w:t xml:space="preserve"> optimal </w:t>
      </w:r>
      <w:r w:rsidR="007F615F" w:rsidRPr="002233FF">
        <w:rPr>
          <w:rFonts w:asciiTheme="minorHAnsi" w:hAnsiTheme="minorHAnsi" w:cstheme="minorHAnsi"/>
          <w:szCs w:val="22"/>
          <w:lang w:val="en-GB"/>
        </w:rPr>
        <w:t xml:space="preserve">timing </w:t>
      </w:r>
      <w:r w:rsidR="002233FF" w:rsidRPr="002233FF">
        <w:rPr>
          <w:rFonts w:asciiTheme="minorHAnsi" w:hAnsiTheme="minorHAnsi" w:cstheme="minorHAnsi"/>
          <w:szCs w:val="22"/>
          <w:lang w:val="en-GB"/>
        </w:rPr>
        <w:t>of</w:t>
      </w:r>
      <w:r w:rsidR="007F615F" w:rsidRPr="002233FF">
        <w:rPr>
          <w:rFonts w:asciiTheme="minorHAnsi" w:hAnsiTheme="minorHAnsi" w:cstheme="minorHAnsi"/>
          <w:szCs w:val="22"/>
          <w:lang w:val="en-GB"/>
        </w:rPr>
        <w:t xml:space="preserve"> </w:t>
      </w:r>
      <w:r w:rsidR="007C7A8E">
        <w:rPr>
          <w:rFonts w:asciiTheme="minorHAnsi" w:hAnsiTheme="minorHAnsi" w:cstheme="minorHAnsi"/>
          <w:szCs w:val="22"/>
          <w:lang w:val="en-GB"/>
        </w:rPr>
        <w:t xml:space="preserve">baseline </w:t>
      </w:r>
      <w:r w:rsidR="007F615F" w:rsidRPr="002233FF">
        <w:rPr>
          <w:rFonts w:asciiTheme="minorHAnsi" w:hAnsiTheme="minorHAnsi" w:cstheme="minorHAnsi"/>
          <w:szCs w:val="22"/>
          <w:lang w:val="en-GB"/>
        </w:rPr>
        <w:t>assessment, w</w:t>
      </w:r>
      <w:r w:rsidR="007C7A8E">
        <w:rPr>
          <w:rFonts w:asciiTheme="minorHAnsi" w:hAnsiTheme="minorHAnsi" w:cstheme="minorHAnsi"/>
          <w:szCs w:val="22"/>
          <w:lang w:val="en-GB"/>
        </w:rPr>
        <w:t>hich can potentially</w:t>
      </w:r>
      <w:r w:rsidR="00A737CD" w:rsidRPr="002233FF">
        <w:rPr>
          <w:rFonts w:asciiTheme="minorHAnsi" w:hAnsiTheme="minorHAnsi" w:cstheme="minorHAnsi"/>
          <w:szCs w:val="22"/>
          <w:lang w:val="en-GB"/>
        </w:rPr>
        <w:t xml:space="preserve"> be undertaken before diagnosis, surgery, or </w:t>
      </w:r>
      <w:r w:rsidR="007C7A8E">
        <w:rPr>
          <w:rFonts w:asciiTheme="minorHAnsi" w:hAnsiTheme="minorHAnsi" w:cstheme="minorHAnsi"/>
          <w:szCs w:val="22"/>
          <w:lang w:val="en-GB"/>
        </w:rPr>
        <w:t>radiotherapy</w:t>
      </w:r>
      <w:r w:rsidR="00CB4AA6">
        <w:rPr>
          <w:rFonts w:asciiTheme="minorHAnsi" w:hAnsiTheme="minorHAnsi" w:cstheme="minorHAnsi"/>
          <w:szCs w:val="22"/>
          <w:lang w:val="en-GB"/>
        </w:rPr>
        <w:t>,</w:t>
      </w:r>
      <w:r w:rsidR="007C7A8E" w:rsidRPr="002233FF">
        <w:rPr>
          <w:rFonts w:asciiTheme="minorHAnsi" w:hAnsiTheme="minorHAnsi" w:cstheme="minorHAnsi"/>
          <w:szCs w:val="22"/>
          <w:lang w:val="en-GB"/>
        </w:rPr>
        <w:t xml:space="preserve"> </w:t>
      </w:r>
      <w:r w:rsidR="00A737CD" w:rsidRPr="002233FF">
        <w:rPr>
          <w:rFonts w:asciiTheme="minorHAnsi" w:hAnsiTheme="minorHAnsi" w:cstheme="minorHAnsi"/>
          <w:szCs w:val="22"/>
          <w:lang w:val="en-GB"/>
        </w:rPr>
        <w:t xml:space="preserve">or even after </w:t>
      </w:r>
      <w:r w:rsidR="007C7A8E">
        <w:rPr>
          <w:rFonts w:asciiTheme="minorHAnsi" w:hAnsiTheme="minorHAnsi" w:cstheme="minorHAnsi"/>
          <w:szCs w:val="22"/>
          <w:lang w:val="en-GB"/>
        </w:rPr>
        <w:t>radiotherapy</w:t>
      </w:r>
      <w:r w:rsidR="006C03E6">
        <w:rPr>
          <w:rFonts w:asciiTheme="minorHAnsi" w:hAnsiTheme="minorHAnsi" w:cstheme="minorHAnsi"/>
          <w:szCs w:val="22"/>
          <w:lang w:val="en-GB"/>
        </w:rPr>
        <w:t>. E</w:t>
      </w:r>
      <w:r w:rsidR="00A737CD" w:rsidRPr="002233FF">
        <w:rPr>
          <w:rFonts w:asciiTheme="minorHAnsi" w:hAnsiTheme="minorHAnsi" w:cstheme="minorHAnsi"/>
          <w:szCs w:val="22"/>
          <w:lang w:val="en-GB"/>
        </w:rPr>
        <w:t xml:space="preserve">ach choice involves different underlying assumptions and difficulties in obtaining </w:t>
      </w:r>
      <w:r w:rsidR="00026E15">
        <w:rPr>
          <w:rFonts w:asciiTheme="minorHAnsi" w:hAnsiTheme="minorHAnsi" w:cstheme="minorHAnsi"/>
          <w:szCs w:val="22"/>
          <w:lang w:val="en-GB"/>
        </w:rPr>
        <w:t xml:space="preserve">both valid and </w:t>
      </w:r>
      <w:r w:rsidR="00CB4AA6">
        <w:rPr>
          <w:rFonts w:asciiTheme="minorHAnsi" w:hAnsiTheme="minorHAnsi" w:cstheme="minorHAnsi"/>
          <w:szCs w:val="22"/>
          <w:lang w:val="en-GB"/>
        </w:rPr>
        <w:t>reliable</w:t>
      </w:r>
      <w:r w:rsidR="00CB4AA6" w:rsidRPr="002233FF">
        <w:rPr>
          <w:rFonts w:asciiTheme="minorHAnsi" w:hAnsiTheme="minorHAnsi" w:cstheme="minorHAnsi"/>
          <w:szCs w:val="22"/>
          <w:lang w:val="en-GB"/>
        </w:rPr>
        <w:t xml:space="preserve"> </w:t>
      </w:r>
      <w:r w:rsidR="00A737CD" w:rsidRPr="002233FF">
        <w:rPr>
          <w:rFonts w:asciiTheme="minorHAnsi" w:hAnsiTheme="minorHAnsi" w:cstheme="minorHAnsi"/>
          <w:szCs w:val="22"/>
          <w:lang w:val="en-GB"/>
        </w:rPr>
        <w:t>data</w:t>
      </w:r>
      <w:r w:rsidR="007F615F" w:rsidRPr="002233FF">
        <w:rPr>
          <w:rFonts w:asciiTheme="minorHAnsi" w:hAnsiTheme="minorHAnsi" w:cstheme="minorHAnsi"/>
          <w:szCs w:val="22"/>
          <w:lang w:val="en-GB"/>
        </w:rPr>
        <w:t xml:space="preserve"> for </w:t>
      </w:r>
      <w:r w:rsidR="003F5E2C" w:rsidRPr="002233FF">
        <w:rPr>
          <w:rFonts w:asciiTheme="minorHAnsi" w:hAnsiTheme="minorHAnsi" w:cstheme="minorHAnsi"/>
          <w:szCs w:val="22"/>
          <w:lang w:val="en-GB"/>
        </w:rPr>
        <w:t xml:space="preserve">longitudinal research. </w:t>
      </w:r>
      <w:r w:rsidR="007F615F" w:rsidRPr="002233FF">
        <w:rPr>
          <w:rFonts w:asciiTheme="minorHAnsi" w:hAnsiTheme="minorHAnsi" w:cstheme="minorHAnsi"/>
          <w:szCs w:val="22"/>
          <w:lang w:val="en-GB"/>
        </w:rPr>
        <w:t xml:space="preserve"> </w:t>
      </w:r>
      <w:r w:rsidR="00E43FBA">
        <w:rPr>
          <w:rFonts w:asciiTheme="minorHAnsi" w:hAnsiTheme="minorHAnsi" w:cstheme="minorHAnsi"/>
          <w:szCs w:val="22"/>
          <w:lang w:val="en-GB"/>
        </w:rPr>
        <w:t xml:space="preserve">Alternatively, </w:t>
      </w:r>
      <w:r w:rsidR="003F5E2C" w:rsidRPr="002233FF">
        <w:rPr>
          <w:rFonts w:asciiTheme="minorHAnsi" w:hAnsiTheme="minorHAnsi" w:cstheme="minorHAnsi"/>
          <w:szCs w:val="22"/>
          <w:lang w:val="en-GB"/>
        </w:rPr>
        <w:t>proxy estimates (e.g. through parent education,</w:t>
      </w:r>
      <w:r w:rsidR="00622D5E" w:rsidRPr="002233FF">
        <w:rPr>
          <w:rFonts w:asciiTheme="minorHAnsi" w:hAnsiTheme="minorHAnsi" w:cstheme="minorHAnsi"/>
          <w:szCs w:val="22"/>
          <w:lang w:val="en-GB"/>
        </w:rPr>
        <w:t xml:space="preserve"> </w:t>
      </w:r>
      <w:r w:rsidR="003F5E2C" w:rsidRPr="002233FF">
        <w:rPr>
          <w:rFonts w:asciiTheme="minorHAnsi" w:hAnsiTheme="minorHAnsi" w:cstheme="minorHAnsi"/>
          <w:szCs w:val="22"/>
          <w:lang w:val="en-GB"/>
        </w:rPr>
        <w:t>occupation</w:t>
      </w:r>
      <w:r w:rsidR="00CB4AA6">
        <w:rPr>
          <w:rFonts w:asciiTheme="minorHAnsi" w:hAnsiTheme="minorHAnsi" w:cstheme="minorHAnsi"/>
          <w:szCs w:val="22"/>
          <w:lang w:val="en-GB"/>
        </w:rPr>
        <w:t>,</w:t>
      </w:r>
      <w:r w:rsidR="003F5E2C" w:rsidRPr="002233FF">
        <w:rPr>
          <w:rFonts w:asciiTheme="minorHAnsi" w:hAnsiTheme="minorHAnsi" w:cstheme="minorHAnsi"/>
          <w:szCs w:val="22"/>
          <w:lang w:val="en-GB"/>
        </w:rPr>
        <w:t xml:space="preserve"> and socioeconomic status)</w:t>
      </w:r>
      <w:r w:rsidR="007F615F" w:rsidRPr="002233FF">
        <w:rPr>
          <w:rFonts w:asciiTheme="minorHAnsi" w:hAnsiTheme="minorHAnsi" w:cstheme="minorHAnsi"/>
          <w:szCs w:val="22"/>
          <w:lang w:val="en-GB"/>
        </w:rPr>
        <w:t xml:space="preserve"> </w:t>
      </w:r>
      <w:r w:rsidR="003F5E2C" w:rsidRPr="002233FF">
        <w:rPr>
          <w:rFonts w:asciiTheme="minorHAnsi" w:hAnsiTheme="minorHAnsi" w:cstheme="minorHAnsi"/>
          <w:szCs w:val="22"/>
          <w:lang w:val="en-GB"/>
        </w:rPr>
        <w:t>can provide estimates of bas</w:t>
      </w:r>
      <w:r w:rsidR="00622D5E" w:rsidRPr="002233FF">
        <w:rPr>
          <w:rFonts w:asciiTheme="minorHAnsi" w:hAnsiTheme="minorHAnsi" w:cstheme="minorHAnsi"/>
          <w:szCs w:val="22"/>
          <w:lang w:val="en-GB"/>
        </w:rPr>
        <w:t>e</w:t>
      </w:r>
      <w:r w:rsidR="003F5E2C" w:rsidRPr="002233FF">
        <w:rPr>
          <w:rFonts w:asciiTheme="minorHAnsi" w:hAnsiTheme="minorHAnsi" w:cstheme="minorHAnsi"/>
          <w:szCs w:val="22"/>
          <w:lang w:val="en-GB"/>
        </w:rPr>
        <w:t>line functioning at a broad level, whereas ‘premorbid measures’ or ‘hold tests</w:t>
      </w:r>
      <w:r w:rsidR="00073FD0" w:rsidRPr="002233FF">
        <w:rPr>
          <w:rFonts w:asciiTheme="minorHAnsi" w:hAnsiTheme="minorHAnsi" w:cstheme="minorHAnsi"/>
          <w:szCs w:val="22"/>
          <w:lang w:val="en-GB"/>
        </w:rPr>
        <w:t>’</w:t>
      </w:r>
      <w:r w:rsidR="003F5E2C" w:rsidRPr="002233FF">
        <w:rPr>
          <w:rFonts w:asciiTheme="minorHAnsi" w:hAnsiTheme="minorHAnsi" w:cstheme="minorHAnsi"/>
          <w:szCs w:val="22"/>
          <w:lang w:val="en-GB"/>
        </w:rPr>
        <w:t xml:space="preserve"> used in older children or adults (often relating to vocabulary or word recognition) are not applicable to </w:t>
      </w:r>
      <w:r w:rsidR="00E43FBA">
        <w:rPr>
          <w:rFonts w:asciiTheme="minorHAnsi" w:hAnsiTheme="minorHAnsi" w:cstheme="minorHAnsi"/>
          <w:szCs w:val="22"/>
          <w:lang w:val="en-GB"/>
        </w:rPr>
        <w:t>the under-fives</w:t>
      </w:r>
      <w:r w:rsidR="00B45631">
        <w:rPr>
          <w:rFonts w:asciiTheme="minorHAnsi" w:hAnsiTheme="minorHAnsi" w:cstheme="minorHAnsi"/>
          <w:b/>
          <w:szCs w:val="22"/>
          <w:vertAlign w:val="superscript"/>
          <w:lang w:val="en-GB"/>
        </w:rPr>
        <w:t>14</w:t>
      </w:r>
      <w:r w:rsidR="003F5E2C" w:rsidRPr="002233FF">
        <w:rPr>
          <w:rFonts w:asciiTheme="minorHAnsi" w:hAnsiTheme="minorHAnsi" w:cstheme="minorHAnsi"/>
          <w:szCs w:val="22"/>
          <w:lang w:val="en-GB"/>
        </w:rPr>
        <w:t>.</w:t>
      </w:r>
      <w:r w:rsidR="00D976C4" w:rsidRPr="002233FF">
        <w:rPr>
          <w:rFonts w:asciiTheme="minorHAnsi" w:hAnsiTheme="minorHAnsi" w:cstheme="minorHAnsi"/>
          <w:szCs w:val="22"/>
          <w:lang w:val="en-GB"/>
        </w:rPr>
        <w:t xml:space="preserve"> Other proxy estimates can be generated through statistical modelling, ac</w:t>
      </w:r>
      <w:r w:rsidR="0027216D" w:rsidRPr="002233FF">
        <w:rPr>
          <w:rFonts w:asciiTheme="minorHAnsi" w:hAnsiTheme="minorHAnsi" w:cstheme="minorHAnsi"/>
          <w:szCs w:val="22"/>
          <w:lang w:val="en-GB"/>
        </w:rPr>
        <w:t>t</w:t>
      </w:r>
      <w:r w:rsidR="00D976C4" w:rsidRPr="002233FF">
        <w:rPr>
          <w:rFonts w:asciiTheme="minorHAnsi" w:hAnsiTheme="minorHAnsi" w:cstheme="minorHAnsi"/>
          <w:szCs w:val="22"/>
          <w:lang w:val="en-GB"/>
        </w:rPr>
        <w:t>uarial formulas</w:t>
      </w:r>
      <w:r w:rsidR="00E43FBA">
        <w:rPr>
          <w:rFonts w:asciiTheme="minorHAnsi" w:hAnsiTheme="minorHAnsi" w:cstheme="minorHAnsi"/>
          <w:szCs w:val="22"/>
          <w:lang w:val="en-GB"/>
        </w:rPr>
        <w:t>,</w:t>
      </w:r>
      <w:r w:rsidR="00D976C4" w:rsidRPr="002233FF">
        <w:rPr>
          <w:rFonts w:asciiTheme="minorHAnsi" w:hAnsiTheme="minorHAnsi" w:cstheme="minorHAnsi"/>
          <w:szCs w:val="22"/>
          <w:lang w:val="en-GB"/>
        </w:rPr>
        <w:t xml:space="preserve"> </w:t>
      </w:r>
      <w:r w:rsidR="00E803F6" w:rsidRPr="002233FF">
        <w:rPr>
          <w:rFonts w:asciiTheme="minorHAnsi" w:hAnsiTheme="minorHAnsi" w:cstheme="minorHAnsi"/>
          <w:szCs w:val="22"/>
          <w:lang w:val="en-GB"/>
        </w:rPr>
        <w:t>and</w:t>
      </w:r>
      <w:r w:rsidR="00D976C4" w:rsidRPr="002233FF">
        <w:rPr>
          <w:rFonts w:asciiTheme="minorHAnsi" w:hAnsiTheme="minorHAnsi" w:cstheme="minorHAnsi"/>
          <w:szCs w:val="22"/>
          <w:lang w:val="en-GB"/>
        </w:rPr>
        <w:t xml:space="preserve"> </w:t>
      </w:r>
      <w:r w:rsidR="003F5E2C" w:rsidRPr="002233FF">
        <w:rPr>
          <w:rFonts w:asciiTheme="minorHAnsi" w:hAnsiTheme="minorHAnsi" w:cstheme="minorHAnsi"/>
          <w:szCs w:val="22"/>
          <w:lang w:val="en-GB"/>
        </w:rPr>
        <w:t>retrospective rating on questionnaires</w:t>
      </w:r>
      <w:r w:rsidR="00E43FBA">
        <w:rPr>
          <w:rFonts w:asciiTheme="minorHAnsi" w:hAnsiTheme="minorHAnsi" w:cstheme="minorHAnsi"/>
          <w:szCs w:val="22"/>
          <w:lang w:val="en-GB"/>
        </w:rPr>
        <w:t xml:space="preserve"> or </w:t>
      </w:r>
      <w:r w:rsidR="003F5E2C" w:rsidRPr="002233FF">
        <w:rPr>
          <w:rFonts w:asciiTheme="minorHAnsi" w:hAnsiTheme="minorHAnsi" w:cstheme="minorHAnsi"/>
          <w:szCs w:val="22"/>
          <w:lang w:val="en-GB"/>
        </w:rPr>
        <w:t>interviews (e.g. Vineland Adaptive Behavior Scales) to evaluate functioning before diagnosis</w:t>
      </w:r>
      <w:r w:rsidR="00E803F6" w:rsidRPr="002233FF">
        <w:rPr>
          <w:rFonts w:asciiTheme="minorHAnsi" w:hAnsiTheme="minorHAnsi" w:cstheme="minorHAnsi"/>
          <w:szCs w:val="22"/>
          <w:lang w:val="en-GB"/>
        </w:rPr>
        <w:t>, but caution is recommended with all of these approaches</w:t>
      </w:r>
      <w:r w:rsidR="003F5E2C" w:rsidRPr="002233FF">
        <w:rPr>
          <w:rFonts w:asciiTheme="minorHAnsi" w:hAnsiTheme="minorHAnsi" w:cstheme="minorHAnsi"/>
          <w:szCs w:val="22"/>
          <w:lang w:val="en-GB"/>
        </w:rPr>
        <w:t>.</w:t>
      </w:r>
      <w:r w:rsidR="00D976C4" w:rsidRPr="002233FF">
        <w:rPr>
          <w:rFonts w:asciiTheme="minorHAnsi" w:hAnsiTheme="minorHAnsi" w:cstheme="minorHAnsi"/>
          <w:szCs w:val="22"/>
          <w:lang w:val="en-GB"/>
        </w:rPr>
        <w:t xml:space="preserve"> </w:t>
      </w:r>
      <w:r w:rsidR="00073FD0" w:rsidRPr="002233FF">
        <w:rPr>
          <w:rFonts w:asciiTheme="minorHAnsi" w:hAnsiTheme="minorHAnsi" w:cstheme="minorHAnsi"/>
          <w:szCs w:val="22"/>
          <w:lang w:val="en-GB"/>
        </w:rPr>
        <w:t>Ris et al.’s</w:t>
      </w:r>
      <w:r w:rsidR="00B45631">
        <w:rPr>
          <w:rFonts w:asciiTheme="minorHAnsi" w:hAnsiTheme="minorHAnsi" w:cstheme="minorHAnsi"/>
          <w:b/>
          <w:szCs w:val="22"/>
          <w:vertAlign w:val="superscript"/>
          <w:lang w:val="en-GB"/>
        </w:rPr>
        <w:t>14</w:t>
      </w:r>
      <w:r w:rsidR="00073FD0" w:rsidRPr="002233FF">
        <w:rPr>
          <w:rFonts w:asciiTheme="minorHAnsi" w:hAnsiTheme="minorHAnsi" w:cstheme="minorHAnsi"/>
          <w:szCs w:val="22"/>
          <w:lang w:val="en-GB"/>
        </w:rPr>
        <w:t xml:space="preserve"> review of methods used in establishing a bas</w:t>
      </w:r>
      <w:r w:rsidR="00F55C57" w:rsidRPr="002233FF">
        <w:rPr>
          <w:rFonts w:asciiTheme="minorHAnsi" w:hAnsiTheme="minorHAnsi" w:cstheme="minorHAnsi"/>
          <w:szCs w:val="22"/>
          <w:lang w:val="en-GB"/>
        </w:rPr>
        <w:t>e</w:t>
      </w:r>
      <w:r w:rsidR="00073FD0" w:rsidRPr="002233FF">
        <w:rPr>
          <w:rFonts w:asciiTheme="minorHAnsi" w:hAnsiTheme="minorHAnsi" w:cstheme="minorHAnsi"/>
          <w:szCs w:val="22"/>
          <w:lang w:val="en-GB"/>
        </w:rPr>
        <w:t>line for children treated with radiation for brain tumours highlights the importance of collecting a range of data (e.g. demographics and direct measures) as well as using proxy measures to allow triangulation of data and thereby increase the level of confidence in the estimate of baseline</w:t>
      </w:r>
      <w:r w:rsidR="007A58A9">
        <w:rPr>
          <w:rFonts w:asciiTheme="minorHAnsi" w:hAnsiTheme="minorHAnsi" w:cstheme="minorHAnsi"/>
          <w:szCs w:val="22"/>
          <w:lang w:val="en-GB"/>
        </w:rPr>
        <w:t xml:space="preserve"> functioning</w:t>
      </w:r>
      <w:r w:rsidR="00073FD0" w:rsidRPr="002233FF">
        <w:rPr>
          <w:rFonts w:asciiTheme="minorHAnsi" w:hAnsiTheme="minorHAnsi" w:cstheme="minorHAnsi"/>
          <w:szCs w:val="22"/>
          <w:lang w:val="en-GB"/>
        </w:rPr>
        <w:t>.</w:t>
      </w:r>
      <w:r w:rsidR="009624DA" w:rsidRPr="002233FF">
        <w:rPr>
          <w:rFonts w:asciiTheme="minorHAnsi" w:hAnsiTheme="minorHAnsi" w:cstheme="minorHAnsi"/>
          <w:szCs w:val="22"/>
          <w:lang w:val="en-GB"/>
        </w:rPr>
        <w:t xml:space="preserve"> In addition, careful consideration of how </w:t>
      </w:r>
      <w:r w:rsidR="00B10C86">
        <w:rPr>
          <w:rFonts w:asciiTheme="minorHAnsi" w:hAnsiTheme="minorHAnsi" w:cstheme="minorHAnsi"/>
          <w:szCs w:val="22"/>
          <w:lang w:val="en-GB"/>
        </w:rPr>
        <w:t xml:space="preserve">the </w:t>
      </w:r>
      <w:r w:rsidR="009624DA" w:rsidRPr="002233FF">
        <w:rPr>
          <w:rFonts w:asciiTheme="minorHAnsi" w:hAnsiTheme="minorHAnsi" w:cstheme="minorHAnsi"/>
          <w:szCs w:val="22"/>
          <w:lang w:val="en-GB"/>
        </w:rPr>
        <w:t>baseline is estimated and reported is highlighted as a critical issue for clinical research.</w:t>
      </w:r>
      <w:r w:rsidRPr="002233FF">
        <w:rPr>
          <w:rFonts w:asciiTheme="minorHAnsi" w:hAnsiTheme="minorHAnsi" w:cstheme="minorHAnsi"/>
          <w:szCs w:val="22"/>
          <w:lang w:val="en-GB"/>
        </w:rPr>
        <w:t xml:space="preserve"> </w:t>
      </w:r>
    </w:p>
    <w:p w14:paraId="33FC0B98" w14:textId="77777777" w:rsidR="00133C57" w:rsidRPr="002233FF" w:rsidRDefault="00133C57">
      <w:pPr>
        <w:pStyle w:val="Body1"/>
        <w:spacing w:line="480" w:lineRule="auto"/>
        <w:ind w:left="720"/>
        <w:rPr>
          <w:rFonts w:asciiTheme="minorHAnsi" w:hAnsiTheme="minorHAnsi" w:cstheme="minorHAnsi"/>
          <w:szCs w:val="22"/>
          <w:lang w:val="en-GB"/>
        </w:rPr>
      </w:pPr>
    </w:p>
    <w:p w14:paraId="6755A59A" w14:textId="138629B1" w:rsidR="00372805" w:rsidRPr="002233FF" w:rsidRDefault="00133C57">
      <w:pPr>
        <w:pStyle w:val="Body1"/>
        <w:spacing w:line="480" w:lineRule="auto"/>
        <w:rPr>
          <w:rFonts w:asciiTheme="minorHAnsi" w:hAnsiTheme="minorHAnsi" w:cstheme="minorHAnsi"/>
          <w:szCs w:val="22"/>
          <w:lang w:val="en-GB"/>
        </w:rPr>
      </w:pPr>
      <w:r w:rsidRPr="002233FF">
        <w:rPr>
          <w:rFonts w:asciiTheme="minorHAnsi" w:hAnsiTheme="minorHAnsi" w:cstheme="minorHAnsi"/>
          <w:szCs w:val="22"/>
          <w:lang w:val="en-GB"/>
        </w:rPr>
        <w:t xml:space="preserve">A number of measurement issues were highlighted during the consensus discussions.  </w:t>
      </w:r>
      <w:r w:rsidR="00E43FBA">
        <w:rPr>
          <w:rFonts w:asciiTheme="minorHAnsi" w:hAnsiTheme="minorHAnsi" w:cstheme="minorHAnsi"/>
          <w:szCs w:val="22"/>
          <w:lang w:val="en-GB"/>
        </w:rPr>
        <w:t>Assessments</w:t>
      </w:r>
      <w:r w:rsidR="00E43FBA" w:rsidRPr="002233FF">
        <w:rPr>
          <w:rFonts w:asciiTheme="minorHAnsi" w:hAnsiTheme="minorHAnsi" w:cstheme="minorHAnsi"/>
          <w:szCs w:val="22"/>
          <w:lang w:val="en-GB"/>
        </w:rPr>
        <w:t xml:space="preserve"> </w:t>
      </w:r>
      <w:r w:rsidR="00372805" w:rsidRPr="002233FF">
        <w:rPr>
          <w:rFonts w:asciiTheme="minorHAnsi" w:hAnsiTheme="minorHAnsi" w:cstheme="minorHAnsi"/>
          <w:szCs w:val="22"/>
          <w:lang w:val="en-GB"/>
        </w:rPr>
        <w:t>such as the Bayley</w:t>
      </w:r>
      <w:r w:rsidR="00E43FBA">
        <w:rPr>
          <w:rFonts w:asciiTheme="minorHAnsi" w:hAnsiTheme="minorHAnsi" w:cstheme="minorHAnsi"/>
          <w:szCs w:val="22"/>
          <w:lang w:val="en-GB"/>
        </w:rPr>
        <w:t xml:space="preserve"> Scales of Infant Development</w:t>
      </w:r>
      <w:r w:rsidRPr="002233FF">
        <w:rPr>
          <w:rFonts w:asciiTheme="minorHAnsi" w:hAnsiTheme="minorHAnsi" w:cstheme="minorHAnsi"/>
          <w:szCs w:val="22"/>
          <w:lang w:val="en-GB"/>
        </w:rPr>
        <w:t>,</w:t>
      </w:r>
      <w:r w:rsidR="00372805" w:rsidRPr="002233FF">
        <w:rPr>
          <w:rFonts w:asciiTheme="minorHAnsi" w:hAnsiTheme="minorHAnsi" w:cstheme="minorHAnsi"/>
          <w:szCs w:val="22"/>
          <w:lang w:val="en-GB"/>
        </w:rPr>
        <w:t xml:space="preserve"> one of the few measures available in multiple languages, typically overestimates ability</w:t>
      </w:r>
      <w:r w:rsidR="00B45631" w:rsidRPr="004A2D5E">
        <w:rPr>
          <w:rFonts w:asciiTheme="minorHAnsi" w:hAnsiTheme="minorHAnsi" w:cstheme="minorHAnsi"/>
          <w:b/>
          <w:color w:val="auto"/>
          <w:szCs w:val="22"/>
          <w:vertAlign w:val="superscript"/>
          <w:lang w:val="en-GB" w:eastAsia="en-GB"/>
        </w:rPr>
        <w:t>15</w:t>
      </w:r>
      <w:r w:rsidR="00372805" w:rsidRPr="002233FF">
        <w:rPr>
          <w:rFonts w:asciiTheme="minorHAnsi" w:hAnsiTheme="minorHAnsi" w:cstheme="minorHAnsi"/>
          <w:color w:val="auto"/>
          <w:szCs w:val="22"/>
          <w:lang w:val="en-GB" w:eastAsia="en-GB"/>
        </w:rPr>
        <w:t xml:space="preserve">, but </w:t>
      </w:r>
      <w:r w:rsidR="00E43FBA">
        <w:rPr>
          <w:rFonts w:asciiTheme="minorHAnsi" w:hAnsiTheme="minorHAnsi" w:cstheme="minorHAnsi"/>
          <w:color w:val="auto"/>
          <w:szCs w:val="22"/>
          <w:lang w:val="en-GB" w:eastAsia="en-GB"/>
        </w:rPr>
        <w:t>this</w:t>
      </w:r>
      <w:r w:rsidR="00B10C86">
        <w:rPr>
          <w:rFonts w:asciiTheme="minorHAnsi" w:hAnsiTheme="minorHAnsi" w:cstheme="minorHAnsi"/>
          <w:color w:val="auto"/>
          <w:szCs w:val="22"/>
          <w:lang w:val="en-GB" w:eastAsia="en-GB"/>
        </w:rPr>
        <w:t xml:space="preserve"> is</w:t>
      </w:r>
      <w:r w:rsidR="00E43FBA">
        <w:rPr>
          <w:rFonts w:asciiTheme="minorHAnsi" w:hAnsiTheme="minorHAnsi" w:cstheme="minorHAnsi"/>
          <w:color w:val="auto"/>
          <w:szCs w:val="22"/>
          <w:lang w:val="en-GB" w:eastAsia="en-GB"/>
        </w:rPr>
        <w:t xml:space="preserve"> less </w:t>
      </w:r>
      <w:r w:rsidR="00B10C86">
        <w:rPr>
          <w:rFonts w:asciiTheme="minorHAnsi" w:hAnsiTheme="minorHAnsi" w:cstheme="minorHAnsi"/>
          <w:color w:val="auto"/>
          <w:szCs w:val="22"/>
          <w:lang w:val="en-GB" w:eastAsia="en-GB"/>
        </w:rPr>
        <w:t xml:space="preserve">problematic </w:t>
      </w:r>
      <w:r w:rsidR="00E43FBA">
        <w:rPr>
          <w:rFonts w:asciiTheme="minorHAnsi" w:hAnsiTheme="minorHAnsi" w:cstheme="minorHAnsi"/>
          <w:color w:val="auto"/>
          <w:szCs w:val="22"/>
          <w:lang w:val="en-GB" w:eastAsia="en-GB"/>
        </w:rPr>
        <w:t xml:space="preserve">in </w:t>
      </w:r>
      <w:r w:rsidR="00B10C86">
        <w:rPr>
          <w:rFonts w:asciiTheme="minorHAnsi" w:hAnsiTheme="minorHAnsi" w:cstheme="minorHAnsi"/>
          <w:color w:val="auto"/>
          <w:szCs w:val="22"/>
          <w:lang w:val="en-GB" w:eastAsia="en-GB"/>
        </w:rPr>
        <w:t>randomised</w:t>
      </w:r>
      <w:r w:rsidR="00E43FBA">
        <w:rPr>
          <w:rFonts w:asciiTheme="minorHAnsi" w:hAnsiTheme="minorHAnsi" w:cstheme="minorHAnsi"/>
          <w:color w:val="auto"/>
          <w:szCs w:val="22"/>
          <w:lang w:val="en-GB" w:eastAsia="en-GB"/>
        </w:rPr>
        <w:t xml:space="preserve"> </w:t>
      </w:r>
      <w:r w:rsidR="00372805" w:rsidRPr="002233FF">
        <w:rPr>
          <w:rFonts w:asciiTheme="minorHAnsi" w:hAnsiTheme="minorHAnsi" w:cstheme="minorHAnsi"/>
          <w:color w:val="auto"/>
          <w:szCs w:val="22"/>
          <w:lang w:val="en-GB" w:eastAsia="en-GB"/>
        </w:rPr>
        <w:t xml:space="preserve">clinical trials </w:t>
      </w:r>
      <w:r w:rsidR="00B10C86">
        <w:rPr>
          <w:rFonts w:asciiTheme="minorHAnsi" w:hAnsiTheme="minorHAnsi" w:cstheme="minorHAnsi"/>
          <w:color w:val="auto"/>
          <w:szCs w:val="22"/>
          <w:lang w:val="en-GB" w:eastAsia="en-GB"/>
        </w:rPr>
        <w:t xml:space="preserve">of </w:t>
      </w:r>
      <w:r w:rsidR="00372805" w:rsidRPr="002233FF">
        <w:rPr>
          <w:rFonts w:asciiTheme="minorHAnsi" w:hAnsiTheme="minorHAnsi" w:cstheme="minorHAnsi"/>
          <w:color w:val="auto"/>
          <w:szCs w:val="22"/>
          <w:lang w:val="en-GB" w:eastAsia="en-GB"/>
        </w:rPr>
        <w:t xml:space="preserve">treatment arms </w:t>
      </w:r>
      <w:r w:rsidR="00B10C86">
        <w:rPr>
          <w:rFonts w:asciiTheme="minorHAnsi" w:hAnsiTheme="minorHAnsi" w:cstheme="minorHAnsi"/>
          <w:color w:val="auto"/>
          <w:szCs w:val="22"/>
          <w:lang w:val="en-GB" w:eastAsia="en-GB"/>
        </w:rPr>
        <w:t>where</w:t>
      </w:r>
      <w:r w:rsidR="00E43FBA">
        <w:rPr>
          <w:rFonts w:asciiTheme="minorHAnsi" w:hAnsiTheme="minorHAnsi" w:cstheme="minorHAnsi"/>
          <w:color w:val="auto"/>
          <w:szCs w:val="22"/>
          <w:lang w:val="en-GB" w:eastAsia="en-GB"/>
        </w:rPr>
        <w:t xml:space="preserve"> group differences are the focus of analysis</w:t>
      </w:r>
      <w:r w:rsidR="00E00C13" w:rsidRPr="002233FF">
        <w:rPr>
          <w:rFonts w:asciiTheme="minorHAnsi" w:hAnsiTheme="minorHAnsi" w:cstheme="minorHAnsi"/>
          <w:color w:val="auto"/>
          <w:szCs w:val="22"/>
          <w:lang w:val="en-GB" w:eastAsia="en-GB"/>
        </w:rPr>
        <w:t>.</w:t>
      </w:r>
      <w:r w:rsidRPr="002233FF">
        <w:rPr>
          <w:rFonts w:asciiTheme="minorHAnsi" w:hAnsiTheme="minorHAnsi" w:cstheme="minorHAnsi"/>
          <w:color w:val="auto"/>
          <w:szCs w:val="22"/>
          <w:lang w:val="en-GB" w:eastAsia="en-GB"/>
        </w:rPr>
        <w:t xml:space="preserve">  </w:t>
      </w:r>
      <w:r w:rsidR="009770DE">
        <w:rPr>
          <w:rFonts w:asciiTheme="minorHAnsi" w:hAnsiTheme="minorHAnsi" w:cstheme="minorHAnsi"/>
          <w:color w:val="auto"/>
          <w:szCs w:val="22"/>
          <w:lang w:val="en-GB" w:eastAsia="en-GB"/>
        </w:rPr>
        <w:t>Also, m</w:t>
      </w:r>
      <w:r w:rsidR="00372805" w:rsidRPr="002233FF">
        <w:rPr>
          <w:rFonts w:asciiTheme="minorHAnsi" w:hAnsiTheme="minorHAnsi" w:cstheme="minorHAnsi"/>
          <w:color w:val="auto"/>
          <w:szCs w:val="22"/>
          <w:lang w:val="en-GB" w:eastAsia="en-GB"/>
        </w:rPr>
        <w:t xml:space="preserve">easures are normed for very </w:t>
      </w:r>
      <w:r w:rsidR="00027DDD">
        <w:rPr>
          <w:rFonts w:asciiTheme="minorHAnsi" w:hAnsiTheme="minorHAnsi" w:cstheme="minorHAnsi"/>
          <w:color w:val="auto"/>
          <w:szCs w:val="22"/>
          <w:lang w:val="en-GB" w:eastAsia="en-GB"/>
        </w:rPr>
        <w:t>narrow</w:t>
      </w:r>
      <w:r w:rsidR="00027DDD" w:rsidRPr="002233FF">
        <w:rPr>
          <w:rFonts w:asciiTheme="minorHAnsi" w:hAnsiTheme="minorHAnsi" w:cstheme="minorHAnsi"/>
          <w:color w:val="auto"/>
          <w:szCs w:val="22"/>
          <w:lang w:val="en-GB" w:eastAsia="en-GB"/>
        </w:rPr>
        <w:t xml:space="preserve"> </w:t>
      </w:r>
      <w:r w:rsidR="00372805" w:rsidRPr="002233FF">
        <w:rPr>
          <w:rFonts w:asciiTheme="minorHAnsi" w:hAnsiTheme="minorHAnsi" w:cstheme="minorHAnsi"/>
          <w:color w:val="auto"/>
          <w:szCs w:val="22"/>
          <w:lang w:val="en-GB" w:eastAsia="en-GB"/>
        </w:rPr>
        <w:t>age ranges</w:t>
      </w:r>
      <w:r w:rsidR="00ED5E6C">
        <w:rPr>
          <w:rFonts w:asciiTheme="minorHAnsi" w:hAnsiTheme="minorHAnsi" w:cstheme="minorHAnsi"/>
          <w:color w:val="auto"/>
          <w:szCs w:val="22"/>
          <w:lang w:val="en-GB" w:eastAsia="en-GB"/>
        </w:rPr>
        <w:t>, in some cases with normative data collected for different age ranges in different countries.  This</w:t>
      </w:r>
      <w:r w:rsidR="000568F8">
        <w:rPr>
          <w:rFonts w:asciiTheme="minorHAnsi" w:hAnsiTheme="minorHAnsi" w:cstheme="minorHAnsi"/>
          <w:color w:val="auto"/>
          <w:szCs w:val="22"/>
          <w:lang w:val="en-GB" w:eastAsia="en-GB"/>
        </w:rPr>
        <w:t xml:space="preserve"> can</w:t>
      </w:r>
      <w:r w:rsidR="00ED5E6C">
        <w:rPr>
          <w:rFonts w:asciiTheme="minorHAnsi" w:hAnsiTheme="minorHAnsi" w:cstheme="minorHAnsi"/>
          <w:color w:val="auto"/>
          <w:szCs w:val="22"/>
          <w:lang w:val="en-GB" w:eastAsia="en-GB"/>
        </w:rPr>
        <w:t xml:space="preserve"> result in the use of different measures evaluating the same construct both within tests, and between tests used across the lifespan.</w:t>
      </w:r>
      <w:r w:rsidR="00995697">
        <w:rPr>
          <w:rFonts w:asciiTheme="minorHAnsi" w:hAnsiTheme="minorHAnsi" w:cstheme="minorHAnsi"/>
          <w:color w:val="auto"/>
          <w:szCs w:val="22"/>
          <w:lang w:val="en-GB" w:eastAsia="en-GB"/>
        </w:rPr>
        <w:t xml:space="preserve"> </w:t>
      </w:r>
      <w:r w:rsidRPr="002233FF">
        <w:rPr>
          <w:rFonts w:asciiTheme="minorHAnsi" w:hAnsiTheme="minorHAnsi" w:cstheme="minorHAnsi"/>
          <w:color w:val="auto"/>
          <w:szCs w:val="22"/>
          <w:lang w:val="en-GB" w:eastAsia="en-GB"/>
        </w:rPr>
        <w:t xml:space="preserve">As a result, </w:t>
      </w:r>
      <w:r w:rsidR="00ED5E6C">
        <w:rPr>
          <w:rFonts w:asciiTheme="minorHAnsi" w:hAnsiTheme="minorHAnsi" w:cstheme="minorHAnsi"/>
          <w:color w:val="auto"/>
          <w:szCs w:val="22"/>
          <w:lang w:val="en-GB" w:eastAsia="en-GB"/>
        </w:rPr>
        <w:t>the reliability and validity of measures being pooled to evaluate the same construct will need to be carefully considered in the statistical analysis of the data and clearly reported.</w:t>
      </w:r>
    </w:p>
    <w:p w14:paraId="5BBEE78D" w14:textId="77777777" w:rsidR="00133C57" w:rsidRPr="002233FF" w:rsidRDefault="00133C57">
      <w:pPr>
        <w:pStyle w:val="Body1"/>
        <w:spacing w:line="480" w:lineRule="auto"/>
        <w:rPr>
          <w:rFonts w:asciiTheme="minorHAnsi" w:hAnsiTheme="minorHAnsi" w:cstheme="minorHAnsi"/>
          <w:szCs w:val="22"/>
          <w:lang w:val="en-GB"/>
        </w:rPr>
      </w:pPr>
    </w:p>
    <w:p w14:paraId="45C5E78F" w14:textId="55436DAA" w:rsidR="00372805" w:rsidRPr="002233FF" w:rsidRDefault="00372805">
      <w:pPr>
        <w:pStyle w:val="Body1"/>
        <w:spacing w:line="480" w:lineRule="auto"/>
        <w:rPr>
          <w:rFonts w:asciiTheme="minorHAnsi" w:hAnsiTheme="minorHAnsi" w:cstheme="minorHAnsi"/>
          <w:szCs w:val="22"/>
          <w:lang w:val="en-GB"/>
        </w:rPr>
      </w:pPr>
      <w:r w:rsidRPr="002233FF">
        <w:rPr>
          <w:rFonts w:asciiTheme="minorHAnsi" w:hAnsiTheme="minorHAnsi" w:cstheme="minorHAnsi"/>
          <w:szCs w:val="22"/>
          <w:lang w:val="en-GB"/>
        </w:rPr>
        <w:t xml:space="preserve">The concept of participation is different for very young children </w:t>
      </w:r>
      <w:r w:rsidR="00D46BE4" w:rsidRPr="002233FF">
        <w:rPr>
          <w:rFonts w:asciiTheme="minorHAnsi" w:hAnsiTheme="minorHAnsi" w:cstheme="minorHAnsi"/>
          <w:szCs w:val="22"/>
          <w:lang w:val="en-GB"/>
        </w:rPr>
        <w:t xml:space="preserve">compared to older children, and parental views on participation in very young children are likely to be heavily influenced by parental socioeconomic status.  In addition, impairments in participation are potentially more likely to be </w:t>
      </w:r>
      <w:r w:rsidRPr="002233FF">
        <w:rPr>
          <w:rFonts w:asciiTheme="minorHAnsi" w:hAnsiTheme="minorHAnsi" w:cstheme="minorHAnsi"/>
          <w:szCs w:val="22"/>
          <w:lang w:val="en-GB"/>
        </w:rPr>
        <w:t xml:space="preserve">identified </w:t>
      </w:r>
      <w:r w:rsidR="00D46BE4" w:rsidRPr="002233FF">
        <w:rPr>
          <w:rFonts w:asciiTheme="minorHAnsi" w:hAnsiTheme="minorHAnsi" w:cstheme="minorHAnsi"/>
          <w:szCs w:val="22"/>
          <w:lang w:val="en-GB"/>
        </w:rPr>
        <w:t>when children are</w:t>
      </w:r>
      <w:r w:rsidRPr="002233FF">
        <w:rPr>
          <w:rFonts w:asciiTheme="minorHAnsi" w:hAnsiTheme="minorHAnsi" w:cstheme="minorHAnsi"/>
          <w:szCs w:val="22"/>
          <w:lang w:val="en-GB"/>
        </w:rPr>
        <w:t xml:space="preserve"> older</w:t>
      </w:r>
      <w:r w:rsidR="00D46BE4" w:rsidRPr="002233FF">
        <w:rPr>
          <w:rFonts w:asciiTheme="minorHAnsi" w:hAnsiTheme="minorHAnsi" w:cstheme="minorHAnsi"/>
          <w:szCs w:val="22"/>
          <w:lang w:val="en-GB"/>
        </w:rPr>
        <w:t>.</w:t>
      </w:r>
      <w:r w:rsidR="008726D3" w:rsidRPr="002233FF">
        <w:rPr>
          <w:rFonts w:asciiTheme="minorHAnsi" w:hAnsiTheme="minorHAnsi" w:cstheme="minorHAnsi"/>
          <w:szCs w:val="22"/>
          <w:lang w:val="en-GB"/>
        </w:rPr>
        <w:t xml:space="preserve"> However, </w:t>
      </w:r>
      <w:r w:rsidR="008726D3" w:rsidRPr="002740D8">
        <w:rPr>
          <w:rFonts w:asciiTheme="minorHAnsi" w:hAnsiTheme="minorHAnsi" w:cstheme="minorHAnsi"/>
          <w:szCs w:val="22"/>
          <w:lang w:val="en-GB"/>
        </w:rPr>
        <w:t xml:space="preserve">there </w:t>
      </w:r>
      <w:r w:rsidR="002740D8" w:rsidRPr="002740D8">
        <w:rPr>
          <w:rFonts w:asciiTheme="minorHAnsi" w:hAnsiTheme="minorHAnsi" w:cstheme="minorHAnsi"/>
          <w:szCs w:val="22"/>
          <w:lang w:val="en-GB"/>
        </w:rPr>
        <w:t>are</w:t>
      </w:r>
      <w:r w:rsidR="008D141B" w:rsidRPr="002740D8">
        <w:rPr>
          <w:rFonts w:asciiTheme="minorHAnsi" w:hAnsiTheme="minorHAnsi" w:cstheme="minorHAnsi"/>
          <w:szCs w:val="22"/>
          <w:lang w:val="en-GB"/>
        </w:rPr>
        <w:t xml:space="preserve"> </w:t>
      </w:r>
      <w:r w:rsidR="008726D3" w:rsidRPr="002740D8">
        <w:rPr>
          <w:rFonts w:asciiTheme="minorHAnsi" w:hAnsiTheme="minorHAnsi" w:cstheme="minorHAnsi"/>
          <w:szCs w:val="22"/>
          <w:lang w:val="en-GB"/>
        </w:rPr>
        <w:t xml:space="preserve">measures of participation </w:t>
      </w:r>
      <w:r w:rsidR="002740D8" w:rsidRPr="002740D8">
        <w:rPr>
          <w:rFonts w:asciiTheme="minorHAnsi" w:hAnsiTheme="minorHAnsi" w:cstheme="minorHAnsi"/>
          <w:szCs w:val="22"/>
          <w:lang w:val="en-GB"/>
        </w:rPr>
        <w:t>for</w:t>
      </w:r>
      <w:r w:rsidR="008726D3" w:rsidRPr="002233FF">
        <w:rPr>
          <w:rFonts w:asciiTheme="minorHAnsi" w:hAnsiTheme="minorHAnsi" w:cstheme="minorHAnsi"/>
          <w:szCs w:val="22"/>
          <w:lang w:val="en-GB"/>
        </w:rPr>
        <w:t xml:space="preserve"> children from the age of 18 months, which demonstrat</w:t>
      </w:r>
      <w:r w:rsidR="0005162B">
        <w:rPr>
          <w:rFonts w:asciiTheme="minorHAnsi" w:hAnsiTheme="minorHAnsi" w:cstheme="minorHAnsi"/>
          <w:szCs w:val="22"/>
          <w:lang w:val="en-GB"/>
        </w:rPr>
        <w:t>e</w:t>
      </w:r>
      <w:r w:rsidR="008726D3" w:rsidRPr="002233FF">
        <w:rPr>
          <w:rFonts w:asciiTheme="minorHAnsi" w:hAnsiTheme="minorHAnsi" w:cstheme="minorHAnsi"/>
          <w:szCs w:val="22"/>
          <w:lang w:val="en-GB"/>
        </w:rPr>
        <w:t xml:space="preserve"> relatively good levels of reliability and validity (</w:t>
      </w:r>
      <w:r w:rsidR="006C2DE3">
        <w:rPr>
          <w:rFonts w:asciiTheme="minorHAnsi" w:hAnsiTheme="minorHAnsi" w:cstheme="minorHAnsi"/>
          <w:szCs w:val="22"/>
          <w:lang w:val="en-GB"/>
        </w:rPr>
        <w:t>Child engagement in daily life</w:t>
      </w:r>
      <w:r w:rsidR="00B45631">
        <w:rPr>
          <w:rFonts w:asciiTheme="minorHAnsi" w:hAnsiTheme="minorHAnsi" w:cstheme="minorHAnsi"/>
          <w:b/>
          <w:szCs w:val="22"/>
          <w:vertAlign w:val="superscript"/>
          <w:lang w:val="en-GB"/>
        </w:rPr>
        <w:t>16</w:t>
      </w:r>
      <w:r w:rsidR="008726D3" w:rsidRPr="002233FF">
        <w:rPr>
          <w:rFonts w:asciiTheme="minorHAnsi" w:hAnsiTheme="minorHAnsi" w:cstheme="minorHAnsi"/>
          <w:szCs w:val="22"/>
          <w:lang w:val="en-GB"/>
        </w:rPr>
        <w:t>)</w:t>
      </w:r>
      <w:r w:rsidR="008D141B" w:rsidRPr="002233FF">
        <w:rPr>
          <w:rFonts w:asciiTheme="minorHAnsi" w:hAnsiTheme="minorHAnsi" w:cstheme="minorHAnsi"/>
          <w:szCs w:val="22"/>
          <w:lang w:val="en-GB"/>
        </w:rPr>
        <w:t xml:space="preserve"> </w:t>
      </w:r>
      <w:r w:rsidR="004732C3">
        <w:rPr>
          <w:rFonts w:asciiTheme="minorHAnsi" w:hAnsiTheme="minorHAnsi" w:cstheme="minorHAnsi"/>
          <w:szCs w:val="22"/>
          <w:lang w:val="en-GB"/>
        </w:rPr>
        <w:t xml:space="preserve">and </w:t>
      </w:r>
      <w:r w:rsidR="007C67B3">
        <w:rPr>
          <w:rFonts w:asciiTheme="minorHAnsi" w:hAnsiTheme="minorHAnsi" w:cstheme="minorHAnsi"/>
          <w:szCs w:val="22"/>
          <w:lang w:val="en-GB"/>
        </w:rPr>
        <w:t>measures of school participation</w:t>
      </w:r>
      <w:r w:rsidR="008D141B" w:rsidRPr="002233FF">
        <w:rPr>
          <w:rFonts w:asciiTheme="minorHAnsi" w:hAnsiTheme="minorHAnsi" w:cstheme="minorHAnsi"/>
          <w:szCs w:val="22"/>
          <w:lang w:val="en-GB"/>
        </w:rPr>
        <w:t xml:space="preserve"> for older children </w:t>
      </w:r>
      <w:r w:rsidR="00833306">
        <w:rPr>
          <w:rFonts w:asciiTheme="minorHAnsi" w:hAnsiTheme="minorHAnsi" w:cstheme="minorHAnsi"/>
          <w:szCs w:val="22"/>
          <w:lang w:val="en-GB"/>
        </w:rPr>
        <w:t>(</w:t>
      </w:r>
      <w:r w:rsidR="006C2DE3">
        <w:rPr>
          <w:rFonts w:asciiTheme="minorHAnsi" w:hAnsiTheme="minorHAnsi" w:cstheme="minorHAnsi"/>
          <w:szCs w:val="22"/>
          <w:lang w:val="en-GB"/>
        </w:rPr>
        <w:t>School participation scales</w:t>
      </w:r>
      <w:r w:rsidR="00030319">
        <w:rPr>
          <w:rFonts w:asciiTheme="minorHAnsi" w:hAnsiTheme="minorHAnsi" w:cstheme="minorHAnsi"/>
          <w:b/>
          <w:szCs w:val="22"/>
          <w:vertAlign w:val="superscript"/>
          <w:lang w:val="en-GB"/>
        </w:rPr>
        <w:t>17</w:t>
      </w:r>
      <w:r w:rsidR="00833306">
        <w:rPr>
          <w:rFonts w:ascii="Calibri" w:eastAsia="Times New Roman" w:hAnsi="Calibri"/>
          <w:color w:val="auto"/>
          <w:szCs w:val="22"/>
          <w:lang w:val="en-US"/>
        </w:rPr>
        <w:t>)</w:t>
      </w:r>
      <w:r w:rsidR="00F55C57" w:rsidRPr="002233FF">
        <w:rPr>
          <w:rFonts w:asciiTheme="minorHAnsi" w:hAnsiTheme="minorHAnsi" w:cstheme="minorHAnsi"/>
          <w:szCs w:val="22"/>
          <w:lang w:val="en-GB"/>
        </w:rPr>
        <w:t>.</w:t>
      </w:r>
    </w:p>
    <w:p w14:paraId="545142E6" w14:textId="77777777" w:rsidR="00372805" w:rsidRPr="002233FF" w:rsidRDefault="00372805">
      <w:pPr>
        <w:pStyle w:val="Body1"/>
        <w:spacing w:line="480" w:lineRule="auto"/>
        <w:rPr>
          <w:rFonts w:asciiTheme="minorHAnsi" w:hAnsiTheme="minorHAnsi" w:cstheme="minorHAnsi"/>
          <w:szCs w:val="22"/>
          <w:lang w:val="en-GB"/>
        </w:rPr>
      </w:pPr>
    </w:p>
    <w:p w14:paraId="4C804540" w14:textId="16D2FF1B" w:rsidR="00372805" w:rsidRPr="002233FF" w:rsidRDefault="00372805">
      <w:pPr>
        <w:pStyle w:val="Body1"/>
        <w:spacing w:line="480" w:lineRule="auto"/>
        <w:rPr>
          <w:rFonts w:asciiTheme="minorHAnsi" w:hAnsiTheme="minorHAnsi" w:cstheme="minorHAnsi"/>
          <w:szCs w:val="22"/>
          <w:lang w:val="en-GB"/>
        </w:rPr>
      </w:pPr>
      <w:r w:rsidRPr="002233FF">
        <w:rPr>
          <w:rFonts w:asciiTheme="minorHAnsi" w:hAnsiTheme="minorHAnsi" w:cstheme="minorHAnsi"/>
          <w:szCs w:val="22"/>
          <w:lang w:val="en-GB"/>
        </w:rPr>
        <w:t>An area of particular importance when assessing young children is that of adaptive functioning</w:t>
      </w:r>
      <w:r w:rsidR="00221F41">
        <w:rPr>
          <w:rFonts w:asciiTheme="minorHAnsi" w:hAnsiTheme="minorHAnsi" w:cstheme="minorHAnsi"/>
          <w:szCs w:val="22"/>
          <w:lang w:val="en-GB"/>
        </w:rPr>
        <w:t xml:space="preserve">. This </w:t>
      </w:r>
      <w:r w:rsidR="00B113EC">
        <w:rPr>
          <w:rFonts w:asciiTheme="minorHAnsi" w:hAnsiTheme="minorHAnsi" w:cstheme="minorHAnsi"/>
          <w:szCs w:val="22"/>
          <w:lang w:val="en-GB"/>
        </w:rPr>
        <w:t xml:space="preserve">is conceptually different to intelligence </w:t>
      </w:r>
      <w:r w:rsidR="008C79DB">
        <w:rPr>
          <w:rFonts w:asciiTheme="minorHAnsi" w:hAnsiTheme="minorHAnsi" w:cstheme="minorHAnsi"/>
          <w:szCs w:val="22"/>
          <w:lang w:val="en-GB"/>
        </w:rPr>
        <w:t xml:space="preserve">and </w:t>
      </w:r>
      <w:r w:rsidR="00221F41">
        <w:rPr>
          <w:rFonts w:asciiTheme="minorHAnsi" w:hAnsiTheme="minorHAnsi" w:cstheme="minorHAnsi"/>
          <w:szCs w:val="22"/>
          <w:lang w:val="en-GB"/>
        </w:rPr>
        <w:t xml:space="preserve">also relates to </w:t>
      </w:r>
      <w:r w:rsidR="008D141B" w:rsidRPr="002233FF">
        <w:rPr>
          <w:rFonts w:asciiTheme="minorHAnsi" w:hAnsiTheme="minorHAnsi" w:cstheme="minorHAnsi"/>
          <w:szCs w:val="22"/>
          <w:lang w:val="en-GB"/>
        </w:rPr>
        <w:t>participation</w:t>
      </w:r>
      <w:r w:rsidR="00221F41">
        <w:rPr>
          <w:rFonts w:asciiTheme="minorHAnsi" w:hAnsiTheme="minorHAnsi" w:cstheme="minorHAnsi"/>
          <w:szCs w:val="22"/>
          <w:lang w:val="en-GB"/>
        </w:rPr>
        <w:t xml:space="preserve">, as it </w:t>
      </w:r>
      <w:r w:rsidRPr="002233FF">
        <w:rPr>
          <w:rFonts w:asciiTheme="minorHAnsi" w:hAnsiTheme="minorHAnsi" w:cstheme="minorHAnsi"/>
          <w:szCs w:val="22"/>
          <w:lang w:val="en-GB"/>
        </w:rPr>
        <w:t>examine</w:t>
      </w:r>
      <w:r w:rsidR="00221F41">
        <w:rPr>
          <w:rFonts w:asciiTheme="minorHAnsi" w:hAnsiTheme="minorHAnsi" w:cstheme="minorHAnsi"/>
          <w:szCs w:val="22"/>
          <w:lang w:val="en-GB"/>
        </w:rPr>
        <w:t>s</w:t>
      </w:r>
      <w:r w:rsidRPr="002233FF">
        <w:rPr>
          <w:rFonts w:asciiTheme="minorHAnsi" w:hAnsiTheme="minorHAnsi" w:cstheme="minorHAnsi"/>
          <w:szCs w:val="22"/>
          <w:lang w:val="en-GB"/>
        </w:rPr>
        <w:t xml:space="preserve"> levels of functioning in everyday life, and include</w:t>
      </w:r>
      <w:r w:rsidR="008C79DB">
        <w:rPr>
          <w:rFonts w:asciiTheme="minorHAnsi" w:hAnsiTheme="minorHAnsi" w:cstheme="minorHAnsi"/>
          <w:szCs w:val="22"/>
          <w:lang w:val="en-GB"/>
        </w:rPr>
        <w:t>s</w:t>
      </w:r>
      <w:r w:rsidRPr="002233FF">
        <w:rPr>
          <w:rFonts w:asciiTheme="minorHAnsi" w:hAnsiTheme="minorHAnsi" w:cstheme="minorHAnsi"/>
          <w:szCs w:val="22"/>
          <w:lang w:val="en-GB"/>
        </w:rPr>
        <w:t xml:space="preserve"> communication skills, daily living skills, and socialisation. These areas are determined partly by cognitive abilities and partly by other factors, including the environment in which the individual</w:t>
      </w:r>
      <w:r w:rsidR="00400CAC">
        <w:rPr>
          <w:rFonts w:asciiTheme="minorHAnsi" w:hAnsiTheme="minorHAnsi" w:cstheme="minorHAnsi"/>
          <w:szCs w:val="22"/>
          <w:lang w:val="en-GB"/>
        </w:rPr>
        <w:t>’s behaviour is being described e.g. home or school</w:t>
      </w:r>
      <w:r w:rsidR="00CB7330">
        <w:rPr>
          <w:rFonts w:asciiTheme="minorHAnsi" w:hAnsiTheme="minorHAnsi" w:cstheme="minorHAnsi"/>
          <w:szCs w:val="22"/>
          <w:lang w:val="en-GB"/>
        </w:rPr>
        <w:t>, as well as family and cultural expectations</w:t>
      </w:r>
      <w:r w:rsidR="002233FF" w:rsidRPr="002233FF">
        <w:rPr>
          <w:rFonts w:asciiTheme="minorHAnsi" w:hAnsiTheme="minorHAnsi" w:cstheme="minorHAnsi"/>
          <w:szCs w:val="22"/>
          <w:lang w:val="en-GB"/>
        </w:rPr>
        <w:t xml:space="preserve">. </w:t>
      </w:r>
      <w:bookmarkStart w:id="1" w:name="_Hlk13847390"/>
      <w:r w:rsidR="002233FF" w:rsidRPr="002233FF">
        <w:rPr>
          <w:rFonts w:asciiTheme="minorHAnsi" w:hAnsiTheme="minorHAnsi" w:cstheme="minorHAnsi"/>
          <w:szCs w:val="22"/>
          <w:lang w:val="en-GB"/>
        </w:rPr>
        <w:t>I</w:t>
      </w:r>
      <w:r w:rsidR="00E803F6" w:rsidRPr="002233FF">
        <w:rPr>
          <w:rFonts w:asciiTheme="minorHAnsi" w:hAnsiTheme="minorHAnsi" w:cstheme="minorHAnsi"/>
          <w:szCs w:val="22"/>
          <w:lang w:val="en-GB"/>
        </w:rPr>
        <w:t>t is</w:t>
      </w:r>
      <w:r w:rsidR="002233FF" w:rsidRPr="002233FF">
        <w:rPr>
          <w:rFonts w:asciiTheme="minorHAnsi" w:hAnsiTheme="minorHAnsi" w:cstheme="minorHAnsi"/>
          <w:szCs w:val="22"/>
          <w:lang w:val="en-GB"/>
        </w:rPr>
        <w:t xml:space="preserve"> particularly</w:t>
      </w:r>
      <w:r w:rsidR="00E803F6" w:rsidRPr="002233FF">
        <w:rPr>
          <w:rFonts w:asciiTheme="minorHAnsi" w:hAnsiTheme="minorHAnsi" w:cstheme="minorHAnsi"/>
          <w:szCs w:val="22"/>
          <w:lang w:val="en-GB"/>
        </w:rPr>
        <w:t xml:space="preserve"> important</w:t>
      </w:r>
      <w:r w:rsidR="002233FF" w:rsidRPr="002233FF">
        <w:rPr>
          <w:rFonts w:asciiTheme="minorHAnsi" w:hAnsiTheme="minorHAnsi" w:cstheme="minorHAnsi"/>
          <w:szCs w:val="22"/>
          <w:lang w:val="en-GB"/>
        </w:rPr>
        <w:t xml:space="preserve"> </w:t>
      </w:r>
      <w:r w:rsidR="00BB3A8C" w:rsidRPr="002233FF">
        <w:rPr>
          <w:rFonts w:asciiTheme="minorHAnsi" w:hAnsiTheme="minorHAnsi" w:cstheme="minorHAnsi"/>
          <w:szCs w:val="22"/>
          <w:lang w:val="en-GB"/>
        </w:rPr>
        <w:t>to recognise that</w:t>
      </w:r>
      <w:r w:rsidR="00BB3A8C">
        <w:rPr>
          <w:rFonts w:asciiTheme="minorHAnsi" w:hAnsiTheme="minorHAnsi" w:cstheme="minorHAnsi"/>
          <w:szCs w:val="22"/>
          <w:lang w:val="en-GB"/>
        </w:rPr>
        <w:t>,</w:t>
      </w:r>
      <w:r w:rsidR="00BB3A8C" w:rsidRPr="002233FF">
        <w:rPr>
          <w:rFonts w:asciiTheme="minorHAnsi" w:hAnsiTheme="minorHAnsi" w:cstheme="minorHAnsi"/>
          <w:szCs w:val="22"/>
          <w:lang w:val="en-GB"/>
        </w:rPr>
        <w:t xml:space="preserve"> </w:t>
      </w:r>
      <w:r w:rsidR="002233FF" w:rsidRPr="002233FF">
        <w:rPr>
          <w:rFonts w:asciiTheme="minorHAnsi" w:hAnsiTheme="minorHAnsi" w:cstheme="minorHAnsi"/>
          <w:szCs w:val="22"/>
          <w:lang w:val="en-GB"/>
        </w:rPr>
        <w:t xml:space="preserve">in very young children who may be unable to undertake a direct cognitive assessment, </w:t>
      </w:r>
      <w:r w:rsidR="00E803F6" w:rsidRPr="002233FF">
        <w:rPr>
          <w:rFonts w:asciiTheme="minorHAnsi" w:hAnsiTheme="minorHAnsi" w:cstheme="minorHAnsi"/>
          <w:szCs w:val="22"/>
          <w:lang w:val="en-GB"/>
        </w:rPr>
        <w:t>adaptive functioning and intellectual abilities are only modestly correlated</w:t>
      </w:r>
      <w:r w:rsidR="00030319">
        <w:rPr>
          <w:rFonts w:asciiTheme="minorHAnsi" w:hAnsiTheme="minorHAnsi" w:cstheme="minorHAnsi"/>
          <w:b/>
          <w:szCs w:val="22"/>
          <w:vertAlign w:val="superscript"/>
          <w:lang w:val="en-GB"/>
        </w:rPr>
        <w:t>18</w:t>
      </w:r>
      <w:r w:rsidR="001D1918">
        <w:rPr>
          <w:rFonts w:asciiTheme="minorHAnsi" w:hAnsiTheme="minorHAnsi" w:cstheme="minorHAnsi"/>
          <w:szCs w:val="22"/>
          <w:lang w:val="en-GB"/>
        </w:rPr>
        <w:t xml:space="preserve"> and these two concepts should not be considered as interchangeable</w:t>
      </w:r>
      <w:r w:rsidR="004732C3">
        <w:rPr>
          <w:rFonts w:asciiTheme="minorHAnsi" w:hAnsiTheme="minorHAnsi" w:cstheme="minorHAnsi"/>
          <w:szCs w:val="22"/>
          <w:lang w:val="en-GB"/>
        </w:rPr>
        <w:t>.</w:t>
      </w:r>
      <w:r w:rsidRPr="002233FF">
        <w:rPr>
          <w:rFonts w:asciiTheme="minorHAnsi" w:hAnsiTheme="minorHAnsi" w:cstheme="minorHAnsi"/>
          <w:szCs w:val="22"/>
          <w:lang w:val="en-GB"/>
        </w:rPr>
        <w:t xml:space="preserve"> In </w:t>
      </w:r>
      <w:bookmarkEnd w:id="1"/>
      <w:r w:rsidRPr="002233FF">
        <w:rPr>
          <w:rFonts w:asciiTheme="minorHAnsi" w:hAnsiTheme="minorHAnsi" w:cstheme="minorHAnsi"/>
          <w:szCs w:val="22"/>
          <w:lang w:val="en-GB"/>
        </w:rPr>
        <w:t xml:space="preserve">young children, these </w:t>
      </w:r>
      <w:r w:rsidR="00CB7330">
        <w:rPr>
          <w:rFonts w:asciiTheme="minorHAnsi" w:hAnsiTheme="minorHAnsi" w:cstheme="minorHAnsi"/>
          <w:szCs w:val="22"/>
          <w:lang w:val="en-GB"/>
        </w:rPr>
        <w:t xml:space="preserve">adaptive functioning </w:t>
      </w:r>
      <w:r w:rsidRPr="002233FF">
        <w:rPr>
          <w:rFonts w:asciiTheme="minorHAnsi" w:hAnsiTheme="minorHAnsi" w:cstheme="minorHAnsi"/>
          <w:szCs w:val="22"/>
          <w:lang w:val="en-GB"/>
        </w:rPr>
        <w:t>measures have</w:t>
      </w:r>
      <w:r w:rsidR="00021D45">
        <w:rPr>
          <w:rFonts w:asciiTheme="minorHAnsi" w:hAnsiTheme="minorHAnsi" w:cstheme="minorHAnsi"/>
          <w:szCs w:val="22"/>
          <w:lang w:val="en-GB"/>
        </w:rPr>
        <w:t xml:space="preserve"> </w:t>
      </w:r>
      <w:r w:rsidRPr="002233FF">
        <w:rPr>
          <w:rFonts w:asciiTheme="minorHAnsi" w:hAnsiTheme="minorHAnsi" w:cstheme="minorHAnsi"/>
          <w:szCs w:val="22"/>
          <w:lang w:val="en-GB"/>
        </w:rPr>
        <w:t xml:space="preserve">pros and cons, as described above, but are one of the more reliable approaches to obtain an overview of functioning in </w:t>
      </w:r>
      <w:r w:rsidR="005402E1">
        <w:rPr>
          <w:rFonts w:asciiTheme="minorHAnsi" w:hAnsiTheme="minorHAnsi" w:cstheme="minorHAnsi"/>
          <w:szCs w:val="22"/>
          <w:lang w:val="en-GB"/>
        </w:rPr>
        <w:t>this age group</w:t>
      </w:r>
      <w:r w:rsidRPr="002233FF">
        <w:rPr>
          <w:rFonts w:asciiTheme="minorHAnsi" w:hAnsiTheme="minorHAnsi" w:cstheme="minorHAnsi"/>
          <w:szCs w:val="22"/>
          <w:lang w:val="en-GB"/>
        </w:rPr>
        <w:t>.</w:t>
      </w:r>
      <w:r w:rsidR="00853F5A" w:rsidRPr="002233FF">
        <w:rPr>
          <w:rFonts w:asciiTheme="minorHAnsi" w:hAnsiTheme="minorHAnsi" w:cstheme="minorHAnsi"/>
          <w:szCs w:val="22"/>
          <w:lang w:val="en-GB"/>
        </w:rPr>
        <w:t xml:space="preserve"> Adaptive functioning assessments are typically based on parent reports and can therefore be used with even the most physically and cognitively impaired children, including those with challenging behaviour.</w:t>
      </w:r>
    </w:p>
    <w:p w14:paraId="6FED7DF7" w14:textId="77777777" w:rsidR="00372805" w:rsidRPr="002233FF" w:rsidRDefault="00372805">
      <w:pPr>
        <w:pStyle w:val="Body1"/>
        <w:spacing w:line="480" w:lineRule="auto"/>
        <w:rPr>
          <w:rFonts w:asciiTheme="minorHAnsi" w:hAnsiTheme="minorHAnsi" w:cstheme="minorHAnsi"/>
          <w:szCs w:val="22"/>
          <w:lang w:val="en-US"/>
        </w:rPr>
      </w:pPr>
    </w:p>
    <w:p w14:paraId="05066525" w14:textId="77777777" w:rsidR="00A35BD3" w:rsidRPr="002233FF" w:rsidRDefault="002233FF">
      <w:pPr>
        <w:pStyle w:val="CommentText"/>
        <w:spacing w:line="480" w:lineRule="auto"/>
        <w:rPr>
          <w:rFonts w:asciiTheme="minorHAnsi" w:hAnsiTheme="minorHAnsi" w:cstheme="minorHAnsi"/>
          <w:b/>
          <w:sz w:val="22"/>
          <w:szCs w:val="22"/>
          <w:lang w:val="en-US"/>
        </w:rPr>
      </w:pPr>
      <w:r w:rsidRPr="002233FF">
        <w:rPr>
          <w:rFonts w:asciiTheme="minorHAnsi" w:hAnsiTheme="minorHAnsi" w:cstheme="minorHAnsi"/>
          <w:b/>
          <w:sz w:val="22"/>
          <w:szCs w:val="22"/>
          <w:lang w:val="en-US"/>
        </w:rPr>
        <w:t xml:space="preserve">1.4 Issues in </w:t>
      </w:r>
      <w:r w:rsidR="00A35BD3" w:rsidRPr="002233FF">
        <w:rPr>
          <w:rFonts w:asciiTheme="minorHAnsi" w:hAnsiTheme="minorHAnsi" w:cstheme="minorHAnsi"/>
          <w:b/>
          <w:sz w:val="22"/>
          <w:szCs w:val="22"/>
          <w:lang w:val="en-US"/>
        </w:rPr>
        <w:t>Endocrine Assessment</w:t>
      </w:r>
      <w:r w:rsidRPr="002233FF">
        <w:rPr>
          <w:rFonts w:asciiTheme="minorHAnsi" w:hAnsiTheme="minorHAnsi" w:cstheme="minorHAnsi"/>
          <w:b/>
          <w:sz w:val="22"/>
          <w:szCs w:val="22"/>
          <w:lang w:val="en-US"/>
        </w:rPr>
        <w:t xml:space="preserve"> of Young C</w:t>
      </w:r>
      <w:r w:rsidR="004D020B">
        <w:rPr>
          <w:rFonts w:asciiTheme="minorHAnsi" w:hAnsiTheme="minorHAnsi" w:cstheme="minorHAnsi"/>
          <w:b/>
          <w:sz w:val="22"/>
          <w:szCs w:val="22"/>
          <w:lang w:val="en-US"/>
        </w:rPr>
        <w:t>hildren</w:t>
      </w:r>
    </w:p>
    <w:p w14:paraId="6162EC05" w14:textId="77777777" w:rsidR="00B3008C" w:rsidRPr="002233FF" w:rsidRDefault="00401D24">
      <w:pPr>
        <w:pStyle w:val="Body1"/>
        <w:widowControl w:val="0"/>
        <w:spacing w:line="480" w:lineRule="auto"/>
        <w:rPr>
          <w:rFonts w:asciiTheme="minorHAnsi" w:hAnsiTheme="minorHAnsi" w:cstheme="minorHAnsi"/>
          <w:szCs w:val="22"/>
          <w:lang w:val="en-GB"/>
        </w:rPr>
      </w:pPr>
      <w:r>
        <w:rPr>
          <w:rFonts w:asciiTheme="minorHAnsi" w:hAnsiTheme="minorHAnsi" w:cstheme="minorHAnsi"/>
          <w:lang w:val="en-US"/>
        </w:rPr>
        <w:t xml:space="preserve"> </w:t>
      </w:r>
      <w:r w:rsidR="00B3008C" w:rsidRPr="002233FF">
        <w:rPr>
          <w:rFonts w:asciiTheme="minorHAnsi" w:hAnsiTheme="minorHAnsi" w:cstheme="minorHAnsi"/>
          <w:szCs w:val="22"/>
          <w:lang w:val="en-GB"/>
        </w:rPr>
        <w:t>Endocrine morbidities fall into two broad categories:</w:t>
      </w:r>
    </w:p>
    <w:p w14:paraId="2B0562C5" w14:textId="77777777" w:rsidR="00B3008C" w:rsidRDefault="00B3008C">
      <w:pPr>
        <w:pStyle w:val="Body1"/>
        <w:widowControl w:val="0"/>
        <w:spacing w:line="480" w:lineRule="auto"/>
        <w:rPr>
          <w:rFonts w:asciiTheme="minorHAnsi" w:hAnsiTheme="minorHAnsi" w:cstheme="minorHAnsi"/>
          <w:szCs w:val="22"/>
          <w:lang w:val="en-GB"/>
        </w:rPr>
      </w:pPr>
      <w:r>
        <w:rPr>
          <w:rFonts w:asciiTheme="minorHAnsi" w:hAnsiTheme="minorHAnsi" w:cstheme="minorHAnsi"/>
          <w:lang w:val="en-GB"/>
        </w:rPr>
        <w:t xml:space="preserve">1. </w:t>
      </w:r>
      <w:r w:rsidRPr="003504FD">
        <w:rPr>
          <w:rFonts w:asciiTheme="minorHAnsi" w:hAnsiTheme="minorHAnsi" w:cstheme="minorHAnsi"/>
          <w:lang w:val="en-GB"/>
        </w:rPr>
        <w:t xml:space="preserve">Those related to primary defects of growth (skeleton), thyroid, and gonadal glands </w:t>
      </w:r>
      <w:r w:rsidRPr="003504FD">
        <w:rPr>
          <w:rFonts w:asciiTheme="minorHAnsi" w:hAnsiTheme="minorHAnsi" w:cstheme="minorHAnsi"/>
          <w:szCs w:val="22"/>
          <w:lang w:val="en-GB"/>
        </w:rPr>
        <w:t xml:space="preserve">which result from direct neuraxial radiation </w:t>
      </w:r>
      <w:r w:rsidR="0085726B">
        <w:rPr>
          <w:rFonts w:asciiTheme="minorHAnsi" w:hAnsiTheme="minorHAnsi" w:cstheme="minorHAnsi"/>
          <w:szCs w:val="22"/>
          <w:lang w:val="en-GB"/>
        </w:rPr>
        <w:t>or</w:t>
      </w:r>
      <w:r w:rsidR="0085726B" w:rsidRPr="003504FD">
        <w:rPr>
          <w:rFonts w:asciiTheme="minorHAnsi" w:hAnsiTheme="minorHAnsi" w:cstheme="minorHAnsi"/>
          <w:szCs w:val="22"/>
          <w:lang w:val="en-GB"/>
        </w:rPr>
        <w:t xml:space="preserve"> </w:t>
      </w:r>
      <w:r w:rsidRPr="003504FD">
        <w:rPr>
          <w:rFonts w:asciiTheme="minorHAnsi" w:hAnsiTheme="minorHAnsi" w:cstheme="minorHAnsi"/>
          <w:szCs w:val="22"/>
          <w:lang w:val="en-GB"/>
        </w:rPr>
        <w:t>systemic chemotherapy</w:t>
      </w:r>
      <w:r w:rsidR="00CB7330">
        <w:rPr>
          <w:rFonts w:asciiTheme="minorHAnsi" w:hAnsiTheme="minorHAnsi" w:cstheme="minorHAnsi"/>
          <w:szCs w:val="22"/>
          <w:lang w:val="en-GB"/>
        </w:rPr>
        <w:t xml:space="preserve">. These issues </w:t>
      </w:r>
      <w:r w:rsidRPr="003504FD">
        <w:rPr>
          <w:rFonts w:asciiTheme="minorHAnsi" w:hAnsiTheme="minorHAnsi" w:cstheme="minorHAnsi"/>
          <w:szCs w:val="22"/>
          <w:lang w:val="en-GB"/>
        </w:rPr>
        <w:t>affect virtually all children treated for brain tumours regardless of its position within the brain</w:t>
      </w:r>
      <w:r w:rsidR="00030319">
        <w:rPr>
          <w:rFonts w:asciiTheme="minorHAnsi" w:hAnsiTheme="minorHAnsi" w:cstheme="minorHAnsi"/>
          <w:b/>
          <w:szCs w:val="22"/>
          <w:vertAlign w:val="superscript"/>
          <w:lang w:val="en-GB"/>
        </w:rPr>
        <w:t>19, 20, 21</w:t>
      </w:r>
    </w:p>
    <w:p w14:paraId="08AAE913" w14:textId="633470FF" w:rsidR="00B3008C" w:rsidRPr="002233FF" w:rsidRDefault="00B3008C">
      <w:pPr>
        <w:pStyle w:val="Body1"/>
        <w:widowControl w:val="0"/>
        <w:spacing w:line="480" w:lineRule="auto"/>
        <w:rPr>
          <w:rFonts w:asciiTheme="minorHAnsi" w:hAnsiTheme="minorHAnsi" w:cstheme="minorHAnsi"/>
          <w:szCs w:val="22"/>
          <w:lang w:val="en-GB"/>
        </w:rPr>
      </w:pPr>
      <w:r>
        <w:rPr>
          <w:rFonts w:asciiTheme="minorHAnsi" w:hAnsiTheme="minorHAnsi" w:cstheme="minorHAnsi"/>
          <w:szCs w:val="22"/>
          <w:lang w:val="en-GB"/>
        </w:rPr>
        <w:t xml:space="preserve">2. </w:t>
      </w:r>
      <w:r w:rsidRPr="002233FF">
        <w:rPr>
          <w:rFonts w:asciiTheme="minorHAnsi" w:hAnsiTheme="minorHAnsi" w:cstheme="minorHAnsi"/>
          <w:szCs w:val="22"/>
          <w:lang w:val="en-GB"/>
        </w:rPr>
        <w:t>Those due to disturbed</w:t>
      </w:r>
      <w:r>
        <w:rPr>
          <w:rFonts w:asciiTheme="minorHAnsi" w:hAnsiTheme="minorHAnsi" w:cstheme="minorHAnsi"/>
          <w:szCs w:val="22"/>
          <w:lang w:val="en-GB"/>
        </w:rPr>
        <w:t xml:space="preserve"> hypothalamo-pituitary</w:t>
      </w:r>
      <w:r w:rsidRPr="002233FF">
        <w:rPr>
          <w:rFonts w:asciiTheme="minorHAnsi" w:hAnsiTheme="minorHAnsi" w:cstheme="minorHAnsi"/>
          <w:szCs w:val="22"/>
          <w:lang w:val="en-GB"/>
        </w:rPr>
        <w:t xml:space="preserve"> function caused by</w:t>
      </w:r>
      <w:r>
        <w:rPr>
          <w:rFonts w:asciiTheme="minorHAnsi" w:hAnsiTheme="minorHAnsi" w:cstheme="minorHAnsi"/>
          <w:szCs w:val="22"/>
          <w:lang w:val="en-GB"/>
        </w:rPr>
        <w:t xml:space="preserve"> disease and treatment related </w:t>
      </w:r>
      <w:r w:rsidRPr="002233FF">
        <w:rPr>
          <w:rFonts w:asciiTheme="minorHAnsi" w:hAnsiTheme="minorHAnsi" w:cstheme="minorHAnsi"/>
          <w:szCs w:val="22"/>
          <w:lang w:val="en-GB"/>
        </w:rPr>
        <w:t>cumulative acquired brain injury to the diencephalon</w:t>
      </w:r>
      <w:r w:rsidR="00030319">
        <w:rPr>
          <w:rFonts w:asciiTheme="minorHAnsi" w:hAnsiTheme="minorHAnsi" w:cstheme="minorHAnsi"/>
          <w:b/>
          <w:szCs w:val="22"/>
          <w:vertAlign w:val="superscript"/>
          <w:lang w:val="en-GB"/>
        </w:rPr>
        <w:t>22</w:t>
      </w:r>
      <w:r w:rsidR="00CB7330">
        <w:rPr>
          <w:rFonts w:asciiTheme="minorHAnsi" w:hAnsiTheme="minorHAnsi" w:cstheme="minorHAnsi"/>
          <w:szCs w:val="22"/>
          <w:lang w:val="en-GB"/>
        </w:rPr>
        <w:t xml:space="preserve">.  </w:t>
      </w:r>
      <w:r w:rsidRPr="002233FF">
        <w:rPr>
          <w:rFonts w:asciiTheme="minorHAnsi" w:hAnsiTheme="minorHAnsi" w:cstheme="minorHAnsi"/>
          <w:szCs w:val="22"/>
          <w:lang w:val="en-GB"/>
        </w:rPr>
        <w:t xml:space="preserve">Excepting </w:t>
      </w:r>
      <w:r>
        <w:rPr>
          <w:rFonts w:asciiTheme="minorHAnsi" w:hAnsiTheme="minorHAnsi" w:cstheme="minorHAnsi"/>
          <w:szCs w:val="22"/>
          <w:lang w:val="en-GB"/>
        </w:rPr>
        <w:t xml:space="preserve">growth hormone </w:t>
      </w:r>
      <w:r w:rsidRPr="002233FF">
        <w:rPr>
          <w:rFonts w:asciiTheme="minorHAnsi" w:hAnsiTheme="minorHAnsi" w:cstheme="minorHAnsi"/>
          <w:szCs w:val="22"/>
          <w:lang w:val="en-GB"/>
        </w:rPr>
        <w:t xml:space="preserve"> deficiency,</w:t>
      </w:r>
      <w:r w:rsidRPr="002233FF">
        <w:rPr>
          <w:rFonts w:asciiTheme="minorHAnsi" w:hAnsiTheme="minorHAnsi" w:cstheme="minorHAnsi"/>
          <w:b/>
          <w:bCs/>
          <w:szCs w:val="22"/>
          <w:vertAlign w:val="superscript"/>
          <w:lang w:val="en-GB"/>
        </w:rPr>
        <w:t xml:space="preserve"> </w:t>
      </w:r>
      <w:r w:rsidR="00A645EA">
        <w:rPr>
          <w:rFonts w:asciiTheme="minorHAnsi" w:hAnsiTheme="minorHAnsi" w:cstheme="minorHAnsi"/>
          <w:b/>
          <w:bCs/>
          <w:szCs w:val="22"/>
          <w:vertAlign w:val="superscript"/>
          <w:lang w:val="en-GB"/>
        </w:rPr>
        <w:t xml:space="preserve"> </w:t>
      </w:r>
      <w:r w:rsidRPr="002233FF">
        <w:rPr>
          <w:rFonts w:asciiTheme="minorHAnsi" w:hAnsiTheme="minorHAnsi" w:cstheme="minorHAnsi"/>
          <w:szCs w:val="22"/>
          <w:lang w:val="en-GB"/>
        </w:rPr>
        <w:t>the latter are almost exclusively associated with tumours and/or surgery in the suprasellar midline position</w:t>
      </w:r>
      <w:r>
        <w:rPr>
          <w:rFonts w:asciiTheme="minorHAnsi" w:hAnsiTheme="minorHAnsi" w:cstheme="minorHAnsi"/>
          <w:lang w:val="en-GB"/>
        </w:rPr>
        <w:t>,</w:t>
      </w:r>
      <w:r w:rsidRPr="002233FF">
        <w:rPr>
          <w:rFonts w:asciiTheme="minorHAnsi" w:hAnsiTheme="minorHAnsi" w:cstheme="minorHAnsi"/>
          <w:lang w:val="en-US"/>
        </w:rPr>
        <w:t>occur</w:t>
      </w:r>
      <w:r>
        <w:rPr>
          <w:rFonts w:asciiTheme="minorHAnsi" w:hAnsiTheme="minorHAnsi" w:cstheme="minorHAnsi"/>
          <w:lang w:val="en-US"/>
        </w:rPr>
        <w:t>ring</w:t>
      </w:r>
      <w:r w:rsidRPr="002233FF">
        <w:rPr>
          <w:rFonts w:asciiTheme="minorHAnsi" w:hAnsiTheme="minorHAnsi" w:cstheme="minorHAnsi"/>
          <w:lang w:val="en-US"/>
        </w:rPr>
        <w:t xml:space="preserve"> more quickly and completely the greater the burden of </w:t>
      </w:r>
      <w:r>
        <w:rPr>
          <w:rFonts w:asciiTheme="minorHAnsi" w:hAnsiTheme="minorHAnsi" w:cstheme="minorHAnsi"/>
          <w:lang w:val="en-US"/>
        </w:rPr>
        <w:t xml:space="preserve">tumour and </w:t>
      </w:r>
      <w:r w:rsidRPr="002233FF">
        <w:rPr>
          <w:rFonts w:asciiTheme="minorHAnsi" w:hAnsiTheme="minorHAnsi" w:cstheme="minorHAnsi"/>
          <w:lang w:val="en-US"/>
        </w:rPr>
        <w:t xml:space="preserve">focal </w:t>
      </w:r>
      <w:r>
        <w:rPr>
          <w:rFonts w:asciiTheme="minorHAnsi" w:hAnsiTheme="minorHAnsi" w:cstheme="minorHAnsi"/>
          <w:lang w:val="en-US"/>
        </w:rPr>
        <w:t>injury to the area</w:t>
      </w:r>
      <w:r w:rsidR="00030319">
        <w:rPr>
          <w:rFonts w:asciiTheme="minorHAnsi" w:hAnsiTheme="minorHAnsi" w:cstheme="minorHAnsi"/>
          <w:b/>
          <w:vertAlign w:val="superscript"/>
          <w:lang w:val="en-US"/>
        </w:rPr>
        <w:t>22, 23, 24</w:t>
      </w:r>
      <w:r w:rsidRPr="00C727C3">
        <w:rPr>
          <w:rFonts w:asciiTheme="minorHAnsi" w:hAnsiTheme="minorHAnsi" w:cstheme="minorHAnsi"/>
          <w:lang w:val="en-US"/>
        </w:rPr>
        <w:t xml:space="preserve"> </w:t>
      </w:r>
      <w:r w:rsidRPr="00C727C3">
        <w:rPr>
          <w:rFonts w:asciiTheme="minorHAnsi" w:hAnsiTheme="minorHAnsi" w:cstheme="minorHAnsi"/>
          <w:szCs w:val="22"/>
          <w:lang w:val="en-GB"/>
        </w:rPr>
        <w:t xml:space="preserve">or very </w:t>
      </w:r>
      <w:r w:rsidRPr="00C727C3">
        <w:rPr>
          <w:rFonts w:asciiTheme="minorHAnsi" w:hAnsiTheme="minorHAnsi" w:cstheme="minorHAnsi"/>
          <w:lang w:val="en-GB"/>
        </w:rPr>
        <w:t xml:space="preserve">rarely after </w:t>
      </w:r>
      <w:r w:rsidRPr="00C727C3">
        <w:rPr>
          <w:rFonts w:asciiTheme="minorHAnsi" w:hAnsiTheme="minorHAnsi" w:cstheme="minorHAnsi"/>
          <w:szCs w:val="22"/>
          <w:lang w:val="en-GB"/>
        </w:rPr>
        <w:t xml:space="preserve">high dose &gt;54Gy </w:t>
      </w:r>
      <w:r w:rsidR="00A645EA" w:rsidRPr="00C727C3">
        <w:rPr>
          <w:rFonts w:asciiTheme="minorHAnsi" w:hAnsiTheme="minorHAnsi" w:cstheme="minorHAnsi"/>
          <w:szCs w:val="22"/>
          <w:lang w:val="en-GB"/>
        </w:rPr>
        <w:t xml:space="preserve">focal </w:t>
      </w:r>
      <w:r w:rsidRPr="00C727C3">
        <w:rPr>
          <w:rFonts w:asciiTheme="minorHAnsi" w:hAnsiTheme="minorHAnsi" w:cstheme="minorHAnsi"/>
          <w:szCs w:val="22"/>
          <w:lang w:val="en-GB"/>
        </w:rPr>
        <w:t xml:space="preserve">irradiation </w:t>
      </w:r>
      <w:r w:rsidR="00A645EA" w:rsidRPr="00C727C3">
        <w:rPr>
          <w:rFonts w:asciiTheme="minorHAnsi" w:hAnsiTheme="minorHAnsi" w:cstheme="minorHAnsi"/>
          <w:szCs w:val="22"/>
          <w:lang w:val="en-GB"/>
        </w:rPr>
        <w:t>to the area</w:t>
      </w:r>
      <w:r w:rsidR="00030319">
        <w:rPr>
          <w:rFonts w:asciiTheme="minorHAnsi" w:hAnsiTheme="minorHAnsi" w:cstheme="minorHAnsi"/>
          <w:b/>
          <w:szCs w:val="22"/>
          <w:vertAlign w:val="superscript"/>
          <w:lang w:val="en-GB"/>
        </w:rPr>
        <w:t>25, 26, 27</w:t>
      </w:r>
      <w:r w:rsidR="00CB7330">
        <w:rPr>
          <w:rFonts w:asciiTheme="minorHAnsi" w:hAnsiTheme="minorHAnsi" w:cstheme="minorHAnsi"/>
          <w:szCs w:val="22"/>
          <w:lang w:val="en-GB"/>
        </w:rPr>
        <w:t xml:space="preserve">. </w:t>
      </w:r>
      <w:r w:rsidRPr="002233FF">
        <w:rPr>
          <w:rFonts w:asciiTheme="minorHAnsi" w:hAnsiTheme="minorHAnsi" w:cstheme="minorHAnsi"/>
          <w:szCs w:val="22"/>
          <w:lang w:val="en-GB"/>
        </w:rPr>
        <w:t xml:space="preserve"> Hypothalamic damage </w:t>
      </w:r>
      <w:r w:rsidR="00535FFF">
        <w:rPr>
          <w:rFonts w:asciiTheme="minorHAnsi" w:hAnsiTheme="minorHAnsi" w:cstheme="minorHAnsi"/>
          <w:szCs w:val="22"/>
          <w:lang w:val="en-GB"/>
        </w:rPr>
        <w:t>may occur in association with a diencephalic or suprasellar tumour, especially in infancy. It is less common than deficits of thyroid or gonadal function but infants are at higher risk than older children</w:t>
      </w:r>
      <w:r w:rsidRPr="002233FF">
        <w:rPr>
          <w:rFonts w:asciiTheme="minorHAnsi" w:hAnsiTheme="minorHAnsi" w:cstheme="minorHAnsi"/>
          <w:szCs w:val="22"/>
          <w:lang w:val="en-GB"/>
        </w:rPr>
        <w:t xml:space="preserve">. </w:t>
      </w:r>
      <w:r>
        <w:rPr>
          <w:rFonts w:asciiTheme="minorHAnsi" w:hAnsiTheme="minorHAnsi" w:cstheme="minorHAnsi"/>
          <w:szCs w:val="22"/>
          <w:lang w:val="en-GB"/>
        </w:rPr>
        <w:t>I</w:t>
      </w:r>
      <w:r w:rsidRPr="002233FF">
        <w:rPr>
          <w:rFonts w:asciiTheme="minorHAnsi" w:hAnsiTheme="minorHAnsi" w:cstheme="minorHAnsi"/>
          <w:szCs w:val="22"/>
          <w:lang w:val="en-GB"/>
        </w:rPr>
        <w:t>t can cause a severe neuropsychiatric and behavioural syndrome of</w:t>
      </w:r>
      <w:r w:rsidRPr="002233FF">
        <w:rPr>
          <w:rFonts w:asciiTheme="minorHAnsi" w:hAnsiTheme="minorHAnsi" w:cstheme="minorHAnsi"/>
          <w:b/>
          <w:bCs/>
          <w:szCs w:val="22"/>
          <w:vertAlign w:val="superscript"/>
          <w:lang w:val="en-GB"/>
        </w:rPr>
        <w:t xml:space="preserve"> </w:t>
      </w:r>
      <w:r w:rsidRPr="002233FF">
        <w:rPr>
          <w:rFonts w:asciiTheme="minorHAnsi" w:hAnsiTheme="minorHAnsi" w:cstheme="minorHAnsi"/>
          <w:szCs w:val="22"/>
          <w:lang w:val="en-GB"/>
        </w:rPr>
        <w:t>disrupted sleep-wake cycles, hunger, satiety, temperature, blood pressure, growth, puberty</w:t>
      </w:r>
      <w:r>
        <w:rPr>
          <w:rFonts w:asciiTheme="minorHAnsi" w:hAnsiTheme="minorHAnsi" w:cstheme="minorHAnsi"/>
          <w:szCs w:val="22"/>
          <w:lang w:val="en-GB"/>
        </w:rPr>
        <w:t>,</w:t>
      </w:r>
      <w:r w:rsidRPr="002233FF">
        <w:rPr>
          <w:rFonts w:asciiTheme="minorHAnsi" w:hAnsiTheme="minorHAnsi" w:cstheme="minorHAnsi"/>
          <w:szCs w:val="22"/>
          <w:lang w:val="en-GB"/>
        </w:rPr>
        <w:t xml:space="preserve"> fertility (gonadotrophic releasing hormones), life-threatening </w:t>
      </w:r>
      <w:r w:rsidR="00716473">
        <w:rPr>
          <w:rFonts w:asciiTheme="minorHAnsi" w:hAnsiTheme="minorHAnsi" w:cstheme="minorHAnsi"/>
          <w:szCs w:val="22"/>
          <w:lang w:val="en-GB"/>
        </w:rPr>
        <w:t xml:space="preserve">metabolic </w:t>
      </w:r>
      <w:r w:rsidRPr="002233FF">
        <w:rPr>
          <w:rFonts w:asciiTheme="minorHAnsi" w:hAnsiTheme="minorHAnsi" w:cstheme="minorHAnsi"/>
          <w:szCs w:val="22"/>
          <w:lang w:val="en-GB"/>
        </w:rPr>
        <w:t xml:space="preserve">disturbances </w:t>
      </w:r>
      <w:r w:rsidR="00716473">
        <w:rPr>
          <w:rFonts w:asciiTheme="minorHAnsi" w:hAnsiTheme="minorHAnsi" w:cstheme="minorHAnsi"/>
          <w:szCs w:val="22"/>
          <w:lang w:val="en-GB"/>
        </w:rPr>
        <w:t xml:space="preserve">from </w:t>
      </w:r>
      <w:r w:rsidRPr="002233FF">
        <w:rPr>
          <w:rFonts w:asciiTheme="minorHAnsi" w:hAnsiTheme="minorHAnsi" w:cstheme="minorHAnsi"/>
          <w:szCs w:val="22"/>
          <w:lang w:val="en-GB"/>
        </w:rPr>
        <w:t xml:space="preserve">diabetes insipidus (deficiency of arginine-vasopressin) and </w:t>
      </w:r>
      <w:r w:rsidR="00716473">
        <w:rPr>
          <w:rFonts w:asciiTheme="minorHAnsi" w:hAnsiTheme="minorHAnsi" w:cstheme="minorHAnsi"/>
          <w:szCs w:val="22"/>
          <w:lang w:val="en-GB"/>
        </w:rPr>
        <w:t xml:space="preserve">absent </w:t>
      </w:r>
      <w:r w:rsidRPr="002233FF">
        <w:rPr>
          <w:rFonts w:asciiTheme="minorHAnsi" w:hAnsiTheme="minorHAnsi" w:cstheme="minorHAnsi"/>
          <w:szCs w:val="22"/>
          <w:lang w:val="en-GB"/>
        </w:rPr>
        <w:t>stress response</w:t>
      </w:r>
      <w:r w:rsidR="00716473">
        <w:rPr>
          <w:rFonts w:asciiTheme="minorHAnsi" w:hAnsiTheme="minorHAnsi" w:cstheme="minorHAnsi"/>
          <w:szCs w:val="22"/>
          <w:lang w:val="en-GB"/>
        </w:rPr>
        <w:t>s</w:t>
      </w:r>
      <w:r w:rsidRPr="002233FF">
        <w:rPr>
          <w:rFonts w:asciiTheme="minorHAnsi" w:hAnsiTheme="minorHAnsi" w:cstheme="minorHAnsi"/>
          <w:szCs w:val="22"/>
          <w:lang w:val="en-GB"/>
        </w:rPr>
        <w:t xml:space="preserve"> (adrenocorticotrophic hormone</w:t>
      </w:r>
      <w:r w:rsidR="00716473">
        <w:rPr>
          <w:rFonts w:asciiTheme="minorHAnsi" w:hAnsiTheme="minorHAnsi" w:cstheme="minorHAnsi"/>
          <w:szCs w:val="22"/>
          <w:lang w:val="en-GB"/>
        </w:rPr>
        <w:t xml:space="preserve"> deficiency</w:t>
      </w:r>
      <w:r w:rsidR="00030319">
        <w:rPr>
          <w:rFonts w:asciiTheme="minorHAnsi" w:hAnsiTheme="minorHAnsi" w:cstheme="minorHAnsi"/>
          <w:b/>
          <w:szCs w:val="22"/>
          <w:vertAlign w:val="superscript"/>
          <w:lang w:val="en-GB"/>
        </w:rPr>
        <w:t>24</w:t>
      </w:r>
      <w:r>
        <w:rPr>
          <w:rFonts w:asciiTheme="minorHAnsi" w:hAnsiTheme="minorHAnsi" w:cstheme="minorHAnsi"/>
          <w:szCs w:val="22"/>
          <w:lang w:val="en-GB"/>
        </w:rPr>
        <w:t>).</w:t>
      </w:r>
      <w:r w:rsidRPr="002233FF">
        <w:rPr>
          <w:rFonts w:asciiTheme="minorHAnsi" w:hAnsiTheme="minorHAnsi" w:cstheme="minorHAnsi"/>
          <w:szCs w:val="22"/>
          <w:lang w:val="en-GB"/>
        </w:rPr>
        <w:t xml:space="preserve"> </w:t>
      </w:r>
    </w:p>
    <w:p w14:paraId="1FBC38A6" w14:textId="77777777" w:rsidR="00B3008C" w:rsidRDefault="00B3008C">
      <w:pPr>
        <w:pStyle w:val="Body1"/>
        <w:spacing w:line="480" w:lineRule="auto"/>
        <w:rPr>
          <w:rFonts w:asciiTheme="minorHAnsi" w:hAnsiTheme="minorHAnsi" w:cstheme="minorHAnsi"/>
          <w:szCs w:val="22"/>
          <w:lang w:val="en-GB"/>
        </w:rPr>
      </w:pPr>
    </w:p>
    <w:p w14:paraId="12D5FB5E" w14:textId="0804381D" w:rsidR="00401D24" w:rsidRDefault="00087C68">
      <w:pPr>
        <w:pStyle w:val="Body1"/>
        <w:spacing w:line="480" w:lineRule="auto"/>
        <w:rPr>
          <w:rFonts w:asciiTheme="minorHAnsi" w:hAnsiTheme="minorHAnsi" w:cstheme="minorHAnsi"/>
          <w:szCs w:val="22"/>
          <w:lang w:val="en-GB"/>
        </w:rPr>
      </w:pPr>
      <w:r>
        <w:rPr>
          <w:rFonts w:asciiTheme="minorHAnsi" w:hAnsiTheme="minorHAnsi" w:cstheme="minorHAnsi"/>
          <w:lang w:val="en-US"/>
        </w:rPr>
        <w:t>A</w:t>
      </w:r>
      <w:r w:rsidR="00805CA3">
        <w:rPr>
          <w:rFonts w:asciiTheme="minorHAnsi" w:hAnsiTheme="minorHAnsi" w:cstheme="minorHAnsi"/>
          <w:lang w:val="en-US"/>
        </w:rPr>
        <w:t xml:space="preserve"> </w:t>
      </w:r>
      <w:r w:rsidR="00372805" w:rsidRPr="002233FF">
        <w:rPr>
          <w:rFonts w:asciiTheme="minorHAnsi" w:hAnsiTheme="minorHAnsi" w:cstheme="minorHAnsi"/>
          <w:szCs w:val="22"/>
          <w:lang w:val="en-US"/>
        </w:rPr>
        <w:t xml:space="preserve">key component of QoS following treatment for a brain tumour in childhood </w:t>
      </w:r>
      <w:r w:rsidR="00B3008C">
        <w:rPr>
          <w:rFonts w:asciiTheme="minorHAnsi" w:hAnsiTheme="minorHAnsi" w:cstheme="minorHAnsi"/>
          <w:szCs w:val="22"/>
          <w:lang w:val="en-US"/>
        </w:rPr>
        <w:t xml:space="preserve">hence </w:t>
      </w:r>
      <w:r w:rsidR="00372805" w:rsidRPr="002233FF">
        <w:rPr>
          <w:rFonts w:asciiTheme="minorHAnsi" w:hAnsiTheme="minorHAnsi" w:cstheme="minorHAnsi"/>
          <w:szCs w:val="22"/>
          <w:lang w:val="en-US"/>
        </w:rPr>
        <w:t>relates to endocrine outcome</w:t>
      </w:r>
      <w:r w:rsidR="00CE17CF">
        <w:rPr>
          <w:rFonts w:asciiTheme="minorHAnsi" w:hAnsiTheme="minorHAnsi" w:cstheme="minorHAnsi"/>
          <w:szCs w:val="22"/>
          <w:lang w:val="en-US"/>
        </w:rPr>
        <w:t>s;</w:t>
      </w:r>
      <w:r w:rsidR="00862668" w:rsidRPr="002233FF">
        <w:rPr>
          <w:rFonts w:asciiTheme="minorHAnsi" w:hAnsiTheme="minorHAnsi" w:cstheme="minorHAnsi"/>
          <w:szCs w:val="22"/>
          <w:lang w:val="en-US"/>
        </w:rPr>
        <w:t xml:space="preserve"> evaluati</w:t>
      </w:r>
      <w:r w:rsidR="00095F2F">
        <w:rPr>
          <w:rFonts w:asciiTheme="minorHAnsi" w:hAnsiTheme="minorHAnsi" w:cstheme="minorHAnsi"/>
          <w:szCs w:val="22"/>
          <w:lang w:val="en-US"/>
        </w:rPr>
        <w:t xml:space="preserve">on of which </w:t>
      </w:r>
      <w:r w:rsidR="005D7AF0">
        <w:rPr>
          <w:rFonts w:asciiTheme="minorHAnsi" w:hAnsiTheme="minorHAnsi" w:cstheme="minorHAnsi"/>
          <w:szCs w:val="22"/>
          <w:lang w:val="en-US"/>
        </w:rPr>
        <w:t>poses</w:t>
      </w:r>
      <w:r w:rsidR="00684BE9">
        <w:rPr>
          <w:rFonts w:asciiTheme="minorHAnsi" w:hAnsiTheme="minorHAnsi" w:cstheme="minorHAnsi"/>
          <w:szCs w:val="22"/>
          <w:lang w:val="en-US"/>
        </w:rPr>
        <w:t xml:space="preserve"> specific </w:t>
      </w:r>
      <w:r w:rsidR="00862668" w:rsidRPr="002233FF">
        <w:rPr>
          <w:rFonts w:asciiTheme="minorHAnsi" w:hAnsiTheme="minorHAnsi" w:cstheme="minorHAnsi"/>
          <w:szCs w:val="22"/>
          <w:lang w:val="en-US"/>
        </w:rPr>
        <w:t>c</w:t>
      </w:r>
      <w:r w:rsidR="005D7AF0">
        <w:rPr>
          <w:rFonts w:asciiTheme="minorHAnsi" w:hAnsiTheme="minorHAnsi" w:cstheme="minorHAnsi"/>
          <w:szCs w:val="22"/>
          <w:lang w:val="en-US"/>
        </w:rPr>
        <w:t>hallenges</w:t>
      </w:r>
      <w:r w:rsidR="00095F2F">
        <w:rPr>
          <w:rFonts w:asciiTheme="minorHAnsi" w:hAnsiTheme="minorHAnsi" w:cstheme="minorHAnsi"/>
          <w:szCs w:val="22"/>
          <w:lang w:val="en-US"/>
        </w:rPr>
        <w:t xml:space="preserve"> in infants</w:t>
      </w:r>
      <w:r w:rsidR="00D12580">
        <w:rPr>
          <w:rFonts w:asciiTheme="minorHAnsi" w:hAnsiTheme="minorHAnsi" w:cstheme="minorHAnsi"/>
          <w:szCs w:val="22"/>
          <w:lang w:val="en-US"/>
        </w:rPr>
        <w:t>.</w:t>
      </w:r>
      <w:r w:rsidR="005B0534">
        <w:rPr>
          <w:rFonts w:asciiTheme="minorHAnsi" w:hAnsiTheme="minorHAnsi" w:cstheme="minorHAnsi"/>
          <w:szCs w:val="22"/>
          <w:lang w:val="en-US"/>
        </w:rPr>
        <w:t xml:space="preserve"> </w:t>
      </w:r>
      <w:r w:rsidR="00DB7BE6">
        <w:rPr>
          <w:rFonts w:asciiTheme="minorHAnsi" w:hAnsiTheme="minorHAnsi" w:cstheme="minorHAnsi"/>
          <w:szCs w:val="22"/>
          <w:lang w:val="en-US"/>
        </w:rPr>
        <w:t>L</w:t>
      </w:r>
      <w:r w:rsidR="005B0534">
        <w:rPr>
          <w:rFonts w:asciiTheme="minorHAnsi" w:hAnsiTheme="minorHAnsi" w:cstheme="minorHAnsi"/>
          <w:szCs w:val="22"/>
          <w:lang w:val="en-US"/>
        </w:rPr>
        <w:t>ying</w:t>
      </w:r>
      <w:r w:rsidR="00130075">
        <w:rPr>
          <w:rFonts w:asciiTheme="minorHAnsi" w:hAnsiTheme="minorHAnsi" w:cstheme="minorHAnsi"/>
          <w:szCs w:val="22"/>
          <w:lang w:val="en-US"/>
        </w:rPr>
        <w:t xml:space="preserve"> </w:t>
      </w:r>
      <w:r w:rsidR="00B12F80">
        <w:rPr>
          <w:rFonts w:asciiTheme="minorHAnsi" w:hAnsiTheme="minorHAnsi" w:cstheme="minorHAnsi"/>
          <w:szCs w:val="22"/>
          <w:lang w:val="en-US"/>
        </w:rPr>
        <w:t>h</w:t>
      </w:r>
      <w:r w:rsidR="00CC0149" w:rsidRPr="00400CAC">
        <w:rPr>
          <w:rFonts w:asciiTheme="minorHAnsi" w:hAnsiTheme="minorHAnsi" w:cstheme="minorHAnsi"/>
          <w:szCs w:val="22"/>
          <w:lang w:val="en-GB"/>
        </w:rPr>
        <w:t xml:space="preserve">eight and </w:t>
      </w:r>
      <w:r w:rsidR="00130075" w:rsidRPr="00400CAC">
        <w:rPr>
          <w:rFonts w:asciiTheme="minorHAnsi" w:hAnsiTheme="minorHAnsi" w:cstheme="minorHAnsi"/>
          <w:szCs w:val="22"/>
          <w:lang w:val="en-GB"/>
        </w:rPr>
        <w:t>crown</w:t>
      </w:r>
      <w:r w:rsidR="00BB3A8C">
        <w:rPr>
          <w:rFonts w:asciiTheme="minorHAnsi" w:hAnsiTheme="minorHAnsi" w:cstheme="minorHAnsi"/>
          <w:szCs w:val="22"/>
          <w:lang w:val="en-GB"/>
        </w:rPr>
        <w:t>-</w:t>
      </w:r>
      <w:r w:rsidR="00130075" w:rsidRPr="00400CAC">
        <w:rPr>
          <w:rFonts w:asciiTheme="minorHAnsi" w:hAnsiTheme="minorHAnsi" w:cstheme="minorHAnsi"/>
          <w:szCs w:val="22"/>
          <w:lang w:val="en-GB"/>
        </w:rPr>
        <w:t>rump (</w:t>
      </w:r>
      <w:r w:rsidR="00CC0149" w:rsidRPr="00400CAC">
        <w:rPr>
          <w:rFonts w:asciiTheme="minorHAnsi" w:hAnsiTheme="minorHAnsi" w:cstheme="minorHAnsi"/>
          <w:szCs w:val="22"/>
          <w:lang w:val="en-GB"/>
        </w:rPr>
        <w:t>sitting height</w:t>
      </w:r>
      <w:r w:rsidR="00130075" w:rsidRPr="00400CAC">
        <w:rPr>
          <w:rFonts w:asciiTheme="minorHAnsi" w:hAnsiTheme="minorHAnsi" w:cstheme="minorHAnsi"/>
          <w:szCs w:val="22"/>
          <w:lang w:val="en-GB"/>
        </w:rPr>
        <w:t>)</w:t>
      </w:r>
      <w:r w:rsidR="00B12F80" w:rsidRPr="00400CAC">
        <w:rPr>
          <w:rFonts w:asciiTheme="minorHAnsi" w:hAnsiTheme="minorHAnsi" w:cstheme="minorHAnsi"/>
          <w:szCs w:val="22"/>
          <w:lang w:val="en-GB"/>
        </w:rPr>
        <w:t xml:space="preserve"> measurements</w:t>
      </w:r>
      <w:r w:rsidR="00FC7438" w:rsidRPr="00400CAC">
        <w:rPr>
          <w:rFonts w:asciiTheme="minorHAnsi" w:hAnsiTheme="minorHAnsi" w:cstheme="minorHAnsi"/>
          <w:szCs w:val="22"/>
          <w:lang w:val="en-GB"/>
        </w:rPr>
        <w:t xml:space="preserve"> </w:t>
      </w:r>
      <w:r w:rsidR="00B12F80" w:rsidRPr="00400CAC">
        <w:rPr>
          <w:rFonts w:asciiTheme="minorHAnsi" w:hAnsiTheme="minorHAnsi" w:cstheme="minorHAnsi"/>
          <w:szCs w:val="22"/>
          <w:lang w:val="en-GB"/>
        </w:rPr>
        <w:t xml:space="preserve">are </w:t>
      </w:r>
      <w:r w:rsidR="001A3EF7">
        <w:rPr>
          <w:rFonts w:asciiTheme="minorHAnsi" w:hAnsiTheme="minorHAnsi" w:cstheme="minorHAnsi"/>
          <w:szCs w:val="22"/>
          <w:lang w:val="en-US"/>
        </w:rPr>
        <w:t>often</w:t>
      </w:r>
      <w:r w:rsidR="00724D5C">
        <w:rPr>
          <w:rFonts w:asciiTheme="minorHAnsi" w:hAnsiTheme="minorHAnsi" w:cstheme="minorHAnsi"/>
          <w:szCs w:val="22"/>
          <w:lang w:val="en-US"/>
        </w:rPr>
        <w:t xml:space="preserve"> inaccurate or </w:t>
      </w:r>
      <w:r w:rsidR="00462E9B">
        <w:rPr>
          <w:rFonts w:asciiTheme="minorHAnsi" w:hAnsiTheme="minorHAnsi" w:cstheme="minorHAnsi"/>
          <w:szCs w:val="22"/>
          <w:lang w:val="en-US"/>
        </w:rPr>
        <w:t xml:space="preserve">are </w:t>
      </w:r>
      <w:r w:rsidR="00862668" w:rsidRPr="00400CAC">
        <w:rPr>
          <w:rFonts w:asciiTheme="minorHAnsi" w:hAnsiTheme="minorHAnsi" w:cstheme="minorHAnsi"/>
          <w:szCs w:val="22"/>
          <w:lang w:val="en-GB"/>
        </w:rPr>
        <w:t xml:space="preserve">omitted </w:t>
      </w:r>
      <w:r w:rsidR="002416D9" w:rsidRPr="00400CAC">
        <w:rPr>
          <w:rFonts w:asciiTheme="minorHAnsi" w:hAnsiTheme="minorHAnsi" w:cstheme="minorHAnsi"/>
          <w:szCs w:val="22"/>
          <w:lang w:val="en-GB"/>
        </w:rPr>
        <w:t>in</w:t>
      </w:r>
      <w:r w:rsidR="00D77BB9" w:rsidRPr="00400CAC">
        <w:rPr>
          <w:rFonts w:asciiTheme="minorHAnsi" w:hAnsiTheme="minorHAnsi" w:cstheme="minorHAnsi"/>
          <w:szCs w:val="22"/>
          <w:lang w:val="en-GB"/>
        </w:rPr>
        <w:t xml:space="preserve"> sick infants in</w:t>
      </w:r>
      <w:r w:rsidR="002D68F6" w:rsidRPr="00400CAC">
        <w:rPr>
          <w:rFonts w:asciiTheme="minorHAnsi" w:hAnsiTheme="minorHAnsi" w:cstheme="minorHAnsi"/>
          <w:szCs w:val="22"/>
          <w:lang w:val="en-GB"/>
        </w:rPr>
        <w:t xml:space="preserve"> </w:t>
      </w:r>
      <w:r w:rsidR="00D77BB9" w:rsidRPr="00400CAC">
        <w:rPr>
          <w:rFonts w:asciiTheme="minorHAnsi" w:hAnsiTheme="minorHAnsi" w:cstheme="minorHAnsi"/>
          <w:szCs w:val="22"/>
          <w:lang w:val="en-GB"/>
        </w:rPr>
        <w:t>neuro</w:t>
      </w:r>
      <w:r w:rsidR="00E46869">
        <w:rPr>
          <w:rFonts w:asciiTheme="minorHAnsi" w:hAnsiTheme="minorHAnsi" w:cstheme="minorHAnsi"/>
          <w:szCs w:val="22"/>
          <w:lang w:val="en-GB"/>
        </w:rPr>
        <w:t>-o</w:t>
      </w:r>
      <w:r w:rsidR="00D77BB9" w:rsidRPr="00400CAC">
        <w:rPr>
          <w:rFonts w:asciiTheme="minorHAnsi" w:hAnsiTheme="minorHAnsi" w:cstheme="minorHAnsi"/>
          <w:szCs w:val="22"/>
          <w:lang w:val="en-GB"/>
        </w:rPr>
        <w:t>ncology setting</w:t>
      </w:r>
      <w:r w:rsidR="00130075" w:rsidRPr="00400CAC">
        <w:rPr>
          <w:rFonts w:asciiTheme="minorHAnsi" w:hAnsiTheme="minorHAnsi" w:cstheme="minorHAnsi"/>
          <w:szCs w:val="22"/>
          <w:lang w:val="en-GB"/>
        </w:rPr>
        <w:t>s</w:t>
      </w:r>
      <w:r w:rsidR="00462E9B" w:rsidRPr="00400CAC">
        <w:rPr>
          <w:rFonts w:asciiTheme="minorHAnsi" w:hAnsiTheme="minorHAnsi" w:cstheme="minorHAnsi"/>
          <w:szCs w:val="22"/>
          <w:lang w:val="en-GB"/>
        </w:rPr>
        <w:t>. P</w:t>
      </w:r>
      <w:r w:rsidR="00730AD4" w:rsidRPr="00400CAC">
        <w:rPr>
          <w:rFonts w:asciiTheme="minorHAnsi" w:hAnsiTheme="minorHAnsi" w:cstheme="minorHAnsi"/>
          <w:szCs w:val="22"/>
          <w:lang w:val="en-GB"/>
        </w:rPr>
        <w:t xml:space="preserve">hysiological </w:t>
      </w:r>
      <w:r w:rsidR="00535FFF">
        <w:rPr>
          <w:rFonts w:asciiTheme="minorHAnsi" w:hAnsiTheme="minorHAnsi" w:cstheme="minorHAnsi"/>
          <w:szCs w:val="22"/>
          <w:lang w:val="en-GB"/>
        </w:rPr>
        <w:t>slowing or acceleration of</w:t>
      </w:r>
      <w:r w:rsidR="00730AD4" w:rsidRPr="00400CAC">
        <w:rPr>
          <w:rFonts w:asciiTheme="minorHAnsi" w:hAnsiTheme="minorHAnsi" w:cstheme="minorHAnsi"/>
          <w:szCs w:val="22"/>
          <w:lang w:val="en-GB"/>
        </w:rPr>
        <w:t xml:space="preserve"> growth in the first </w:t>
      </w:r>
      <w:r w:rsidR="00E46869">
        <w:rPr>
          <w:rFonts w:asciiTheme="minorHAnsi" w:hAnsiTheme="minorHAnsi" w:cstheme="minorHAnsi"/>
          <w:szCs w:val="22"/>
          <w:lang w:val="en-GB"/>
        </w:rPr>
        <w:t>two</w:t>
      </w:r>
      <w:r w:rsidR="00E46869" w:rsidRPr="00400CAC">
        <w:rPr>
          <w:rFonts w:asciiTheme="minorHAnsi" w:hAnsiTheme="minorHAnsi" w:cstheme="minorHAnsi"/>
          <w:szCs w:val="22"/>
          <w:lang w:val="en-GB"/>
        </w:rPr>
        <w:t xml:space="preserve"> </w:t>
      </w:r>
      <w:r w:rsidR="00730AD4" w:rsidRPr="00400CAC">
        <w:rPr>
          <w:rFonts w:asciiTheme="minorHAnsi" w:hAnsiTheme="minorHAnsi" w:cstheme="minorHAnsi"/>
          <w:szCs w:val="22"/>
          <w:lang w:val="en-GB"/>
        </w:rPr>
        <w:t xml:space="preserve">years of life </w:t>
      </w:r>
      <w:r w:rsidR="00535FFF">
        <w:rPr>
          <w:rFonts w:asciiTheme="minorHAnsi" w:hAnsiTheme="minorHAnsi" w:cstheme="minorHAnsi"/>
          <w:szCs w:val="22"/>
          <w:lang w:val="en-GB"/>
        </w:rPr>
        <w:t>may complicate interpretation of</w:t>
      </w:r>
      <w:r w:rsidR="006422F0" w:rsidRPr="00400CAC">
        <w:rPr>
          <w:rFonts w:asciiTheme="minorHAnsi" w:hAnsiTheme="minorHAnsi" w:cstheme="minorHAnsi"/>
          <w:szCs w:val="22"/>
          <w:lang w:val="en-GB"/>
        </w:rPr>
        <w:t xml:space="preserve"> </w:t>
      </w:r>
      <w:r w:rsidR="0015648C" w:rsidRPr="00400CAC">
        <w:rPr>
          <w:rFonts w:asciiTheme="minorHAnsi" w:hAnsiTheme="minorHAnsi" w:cstheme="minorHAnsi"/>
          <w:szCs w:val="22"/>
          <w:lang w:val="en-GB"/>
        </w:rPr>
        <w:t>pre</w:t>
      </w:r>
      <w:r w:rsidR="00462E9B" w:rsidRPr="00400CAC">
        <w:rPr>
          <w:rFonts w:asciiTheme="minorHAnsi" w:hAnsiTheme="minorHAnsi" w:cstheme="minorHAnsi"/>
          <w:szCs w:val="22"/>
          <w:lang w:val="en-GB"/>
        </w:rPr>
        <w:t>-</w:t>
      </w:r>
      <w:r w:rsidR="0015648C" w:rsidRPr="00400CAC">
        <w:rPr>
          <w:rFonts w:asciiTheme="minorHAnsi" w:hAnsiTheme="minorHAnsi" w:cstheme="minorHAnsi"/>
          <w:szCs w:val="22"/>
          <w:lang w:val="en-GB"/>
        </w:rPr>
        <w:t xml:space="preserve">treatment </w:t>
      </w:r>
      <w:r w:rsidR="00862668" w:rsidRPr="00400CAC">
        <w:rPr>
          <w:rFonts w:asciiTheme="minorHAnsi" w:hAnsiTheme="minorHAnsi" w:cstheme="minorHAnsi"/>
          <w:szCs w:val="22"/>
          <w:lang w:val="en-GB"/>
        </w:rPr>
        <w:t>height centi</w:t>
      </w:r>
      <w:r w:rsidR="009B5AF7" w:rsidRPr="00400CAC">
        <w:rPr>
          <w:rFonts w:asciiTheme="minorHAnsi" w:hAnsiTheme="minorHAnsi" w:cstheme="minorHAnsi"/>
          <w:szCs w:val="22"/>
          <w:lang w:val="en-GB"/>
        </w:rPr>
        <w:t>le</w:t>
      </w:r>
      <w:r w:rsidR="00862668" w:rsidRPr="00400CAC">
        <w:rPr>
          <w:rFonts w:asciiTheme="minorHAnsi" w:hAnsiTheme="minorHAnsi" w:cstheme="minorHAnsi"/>
          <w:szCs w:val="22"/>
          <w:lang w:val="en-GB"/>
        </w:rPr>
        <w:t xml:space="preserve"> trajecto</w:t>
      </w:r>
      <w:r w:rsidR="0015648C" w:rsidRPr="00400CAC">
        <w:rPr>
          <w:rFonts w:asciiTheme="minorHAnsi" w:hAnsiTheme="minorHAnsi" w:cstheme="minorHAnsi"/>
          <w:szCs w:val="22"/>
          <w:lang w:val="en-GB"/>
        </w:rPr>
        <w:t>ry</w:t>
      </w:r>
      <w:r w:rsidR="00CC5146" w:rsidRPr="00400CAC">
        <w:rPr>
          <w:rFonts w:asciiTheme="minorHAnsi" w:hAnsiTheme="minorHAnsi" w:cstheme="minorHAnsi"/>
          <w:szCs w:val="22"/>
          <w:lang w:val="en-GB"/>
        </w:rPr>
        <w:t xml:space="preserve">. </w:t>
      </w:r>
      <w:r w:rsidR="00C0757A" w:rsidRPr="00400CAC">
        <w:rPr>
          <w:rFonts w:asciiTheme="minorHAnsi" w:hAnsiTheme="minorHAnsi" w:cstheme="minorHAnsi"/>
          <w:szCs w:val="22"/>
          <w:lang w:val="en-GB"/>
        </w:rPr>
        <w:t xml:space="preserve">Infants </w:t>
      </w:r>
      <w:r w:rsidR="00862668" w:rsidRPr="00400CAC">
        <w:rPr>
          <w:rFonts w:asciiTheme="minorHAnsi" w:hAnsiTheme="minorHAnsi" w:cstheme="minorHAnsi"/>
          <w:szCs w:val="22"/>
          <w:lang w:val="en-GB"/>
        </w:rPr>
        <w:t xml:space="preserve">with suprasellar </w:t>
      </w:r>
      <w:r w:rsidR="00630E5E" w:rsidRPr="00400CAC">
        <w:rPr>
          <w:rFonts w:asciiTheme="minorHAnsi" w:hAnsiTheme="minorHAnsi" w:cstheme="minorHAnsi"/>
          <w:szCs w:val="22"/>
          <w:lang w:val="en-GB"/>
        </w:rPr>
        <w:t xml:space="preserve">gliomas </w:t>
      </w:r>
      <w:r w:rsidR="00796BC1" w:rsidRPr="00400CAC">
        <w:rPr>
          <w:rFonts w:asciiTheme="minorHAnsi" w:hAnsiTheme="minorHAnsi" w:cstheme="minorHAnsi"/>
          <w:szCs w:val="22"/>
          <w:lang w:val="en-GB"/>
        </w:rPr>
        <w:t>can</w:t>
      </w:r>
      <w:r w:rsidR="007A7EB6" w:rsidRPr="00400CAC">
        <w:rPr>
          <w:rFonts w:asciiTheme="minorHAnsi" w:hAnsiTheme="minorHAnsi" w:cstheme="minorHAnsi"/>
          <w:szCs w:val="22"/>
          <w:lang w:val="en-GB"/>
        </w:rPr>
        <w:t xml:space="preserve"> </w:t>
      </w:r>
      <w:r w:rsidR="003436BB" w:rsidRPr="00400CAC">
        <w:rPr>
          <w:rFonts w:asciiTheme="minorHAnsi" w:hAnsiTheme="minorHAnsi" w:cstheme="minorHAnsi"/>
          <w:szCs w:val="22"/>
          <w:lang w:val="en-GB"/>
        </w:rPr>
        <w:t xml:space="preserve">often </w:t>
      </w:r>
      <w:r w:rsidR="00862668" w:rsidRPr="00400CAC">
        <w:rPr>
          <w:rFonts w:asciiTheme="minorHAnsi" w:hAnsiTheme="minorHAnsi" w:cstheme="minorHAnsi"/>
          <w:szCs w:val="22"/>
          <w:lang w:val="en-GB"/>
        </w:rPr>
        <w:t>present</w:t>
      </w:r>
      <w:r w:rsidR="007A7EB6" w:rsidRPr="00400CAC">
        <w:rPr>
          <w:rFonts w:asciiTheme="minorHAnsi" w:hAnsiTheme="minorHAnsi" w:cstheme="minorHAnsi"/>
          <w:szCs w:val="22"/>
          <w:lang w:val="en-GB"/>
        </w:rPr>
        <w:t xml:space="preserve"> with diencephalic syndromes </w:t>
      </w:r>
      <w:r w:rsidR="00A7438E">
        <w:rPr>
          <w:rFonts w:asciiTheme="minorHAnsi" w:hAnsiTheme="minorHAnsi" w:cstheme="minorHAnsi"/>
          <w:szCs w:val="22"/>
          <w:lang w:val="en-GB"/>
        </w:rPr>
        <w:t>ca</w:t>
      </w:r>
      <w:r w:rsidR="00400CAC">
        <w:rPr>
          <w:rFonts w:asciiTheme="minorHAnsi" w:hAnsiTheme="minorHAnsi" w:cstheme="minorHAnsi"/>
          <w:szCs w:val="22"/>
          <w:lang w:val="en-GB"/>
        </w:rPr>
        <w:t>u</w:t>
      </w:r>
      <w:r w:rsidR="00A7438E">
        <w:rPr>
          <w:rFonts w:asciiTheme="minorHAnsi" w:hAnsiTheme="minorHAnsi" w:cstheme="minorHAnsi"/>
          <w:szCs w:val="22"/>
          <w:lang w:val="en-GB"/>
        </w:rPr>
        <w:t xml:space="preserve">sing </w:t>
      </w:r>
      <w:r w:rsidR="007A7EB6" w:rsidRPr="00400CAC">
        <w:rPr>
          <w:rFonts w:asciiTheme="minorHAnsi" w:hAnsiTheme="minorHAnsi" w:cstheme="minorHAnsi"/>
          <w:szCs w:val="22"/>
          <w:lang w:val="en-GB"/>
        </w:rPr>
        <w:t xml:space="preserve">failure to thrive </w:t>
      </w:r>
      <w:r w:rsidR="00116465" w:rsidRPr="00400CAC">
        <w:rPr>
          <w:rFonts w:asciiTheme="minorHAnsi" w:hAnsiTheme="minorHAnsi" w:cstheme="minorHAnsi"/>
          <w:szCs w:val="22"/>
          <w:lang w:val="en-GB"/>
        </w:rPr>
        <w:t xml:space="preserve">and </w:t>
      </w:r>
      <w:r w:rsidR="007A7EB6" w:rsidRPr="00400CAC">
        <w:rPr>
          <w:rFonts w:asciiTheme="minorHAnsi" w:hAnsiTheme="minorHAnsi" w:cstheme="minorHAnsi"/>
          <w:szCs w:val="22"/>
          <w:lang w:val="en-GB"/>
        </w:rPr>
        <w:t>emaciation</w:t>
      </w:r>
      <w:r w:rsidR="00D90315" w:rsidRPr="00400CAC">
        <w:rPr>
          <w:rFonts w:asciiTheme="minorHAnsi" w:hAnsiTheme="minorHAnsi" w:cstheme="minorHAnsi"/>
          <w:szCs w:val="22"/>
          <w:lang w:val="en-GB"/>
        </w:rPr>
        <w:t xml:space="preserve"> </w:t>
      </w:r>
      <w:r w:rsidR="00116465" w:rsidRPr="00400CAC">
        <w:rPr>
          <w:rFonts w:asciiTheme="minorHAnsi" w:hAnsiTheme="minorHAnsi" w:cstheme="minorHAnsi"/>
          <w:szCs w:val="22"/>
          <w:lang w:val="en-GB"/>
        </w:rPr>
        <w:t>with relative</w:t>
      </w:r>
      <w:r w:rsidR="00D90315" w:rsidRPr="00400CAC">
        <w:rPr>
          <w:rFonts w:asciiTheme="minorHAnsi" w:hAnsiTheme="minorHAnsi" w:cstheme="minorHAnsi"/>
          <w:szCs w:val="22"/>
          <w:lang w:val="en-GB"/>
        </w:rPr>
        <w:t xml:space="preserve"> </w:t>
      </w:r>
      <w:r w:rsidR="005D3197" w:rsidRPr="00400CAC">
        <w:rPr>
          <w:rFonts w:asciiTheme="minorHAnsi" w:hAnsiTheme="minorHAnsi" w:cstheme="minorHAnsi"/>
          <w:szCs w:val="22"/>
          <w:lang w:val="en-GB"/>
        </w:rPr>
        <w:t>height preservation</w:t>
      </w:r>
      <w:r w:rsidR="00030319">
        <w:rPr>
          <w:rFonts w:asciiTheme="minorHAnsi" w:hAnsiTheme="minorHAnsi" w:cstheme="minorHAnsi"/>
          <w:b/>
          <w:szCs w:val="22"/>
          <w:vertAlign w:val="superscript"/>
          <w:lang w:val="en-GB"/>
        </w:rPr>
        <w:t>28</w:t>
      </w:r>
      <w:r w:rsidR="00E77C14" w:rsidRPr="00400CAC">
        <w:rPr>
          <w:rFonts w:asciiTheme="minorHAnsi" w:hAnsiTheme="minorHAnsi" w:cstheme="minorHAnsi"/>
          <w:szCs w:val="22"/>
          <w:lang w:val="en-GB"/>
        </w:rPr>
        <w:t xml:space="preserve"> </w:t>
      </w:r>
      <w:r w:rsidR="00A7438E">
        <w:rPr>
          <w:rFonts w:asciiTheme="minorHAnsi" w:hAnsiTheme="minorHAnsi" w:cstheme="minorHAnsi"/>
          <w:szCs w:val="22"/>
          <w:lang w:val="en-GB"/>
        </w:rPr>
        <w:t xml:space="preserve">but </w:t>
      </w:r>
      <w:r w:rsidR="00E77C14" w:rsidRPr="00400CAC">
        <w:rPr>
          <w:rFonts w:asciiTheme="minorHAnsi" w:hAnsiTheme="minorHAnsi" w:cstheme="minorHAnsi"/>
          <w:szCs w:val="22"/>
          <w:lang w:val="en-GB"/>
        </w:rPr>
        <w:t xml:space="preserve">later </w:t>
      </w:r>
      <w:r w:rsidR="00535FFF">
        <w:rPr>
          <w:rFonts w:asciiTheme="minorHAnsi" w:hAnsiTheme="minorHAnsi" w:cstheme="minorHAnsi"/>
          <w:szCs w:val="22"/>
          <w:lang w:val="en-GB"/>
        </w:rPr>
        <w:t xml:space="preserve">followed by </w:t>
      </w:r>
      <w:r w:rsidR="00E77C14" w:rsidRPr="00400CAC">
        <w:rPr>
          <w:rFonts w:asciiTheme="minorHAnsi" w:hAnsiTheme="minorHAnsi" w:cstheme="minorHAnsi"/>
          <w:szCs w:val="22"/>
          <w:lang w:val="en-GB"/>
        </w:rPr>
        <w:t>obesity</w:t>
      </w:r>
      <w:r w:rsidR="00030319" w:rsidRPr="004A2D5E">
        <w:rPr>
          <w:rFonts w:asciiTheme="minorHAnsi" w:hAnsiTheme="minorHAnsi" w:cstheme="minorHAnsi"/>
          <w:b/>
          <w:szCs w:val="22"/>
          <w:vertAlign w:val="superscript"/>
          <w:lang w:val="en-GB"/>
        </w:rPr>
        <w:t>29</w:t>
      </w:r>
      <w:r w:rsidR="00E46869">
        <w:rPr>
          <w:rFonts w:asciiTheme="minorHAnsi" w:hAnsiTheme="minorHAnsi" w:cstheme="minorHAnsi"/>
          <w:szCs w:val="22"/>
          <w:lang w:val="en-GB"/>
        </w:rPr>
        <w:t>,</w:t>
      </w:r>
      <w:r w:rsidR="005D3197" w:rsidRPr="00400CAC">
        <w:rPr>
          <w:rFonts w:asciiTheme="minorHAnsi" w:hAnsiTheme="minorHAnsi" w:cstheme="minorHAnsi"/>
          <w:szCs w:val="22"/>
          <w:lang w:val="en-GB"/>
        </w:rPr>
        <w:t xml:space="preserve"> whereas </w:t>
      </w:r>
      <w:r w:rsidR="003F49A5" w:rsidRPr="00400CAC">
        <w:rPr>
          <w:rFonts w:asciiTheme="minorHAnsi" w:hAnsiTheme="minorHAnsi" w:cstheme="minorHAnsi"/>
          <w:szCs w:val="22"/>
          <w:lang w:val="en-GB"/>
        </w:rPr>
        <w:t xml:space="preserve">neurofibromatosis 1 </w:t>
      </w:r>
      <w:r w:rsidR="00AF4D3D" w:rsidRPr="00400CAC">
        <w:rPr>
          <w:rFonts w:asciiTheme="minorHAnsi" w:hAnsiTheme="minorHAnsi" w:cstheme="minorHAnsi"/>
          <w:szCs w:val="22"/>
          <w:lang w:val="en-GB"/>
        </w:rPr>
        <w:t>or</w:t>
      </w:r>
      <w:r w:rsidR="007C6D23" w:rsidRPr="00400CAC">
        <w:rPr>
          <w:rFonts w:asciiTheme="minorHAnsi" w:hAnsiTheme="minorHAnsi" w:cstheme="minorHAnsi"/>
          <w:szCs w:val="22"/>
          <w:lang w:val="en-GB"/>
        </w:rPr>
        <w:t xml:space="preserve"> raised</w:t>
      </w:r>
      <w:r w:rsidR="00D90315" w:rsidRPr="00400CAC">
        <w:rPr>
          <w:rFonts w:asciiTheme="minorHAnsi" w:hAnsiTheme="minorHAnsi" w:cstheme="minorHAnsi"/>
          <w:szCs w:val="22"/>
          <w:lang w:val="en-GB"/>
        </w:rPr>
        <w:t xml:space="preserve"> intracranial pressure</w:t>
      </w:r>
      <w:r w:rsidR="006D098F" w:rsidRPr="00400CAC">
        <w:rPr>
          <w:rFonts w:asciiTheme="minorHAnsi" w:hAnsiTheme="minorHAnsi" w:cstheme="minorHAnsi"/>
          <w:szCs w:val="22"/>
          <w:lang w:val="en-GB"/>
        </w:rPr>
        <w:t xml:space="preserve"> syndromes</w:t>
      </w:r>
      <w:r w:rsidR="00D90315" w:rsidRPr="00400CAC">
        <w:rPr>
          <w:rFonts w:asciiTheme="minorHAnsi" w:hAnsiTheme="minorHAnsi" w:cstheme="minorHAnsi"/>
          <w:szCs w:val="22"/>
          <w:lang w:val="en-GB"/>
        </w:rPr>
        <w:t xml:space="preserve"> </w:t>
      </w:r>
      <w:r w:rsidR="00862668" w:rsidRPr="00400CAC">
        <w:rPr>
          <w:rFonts w:asciiTheme="minorHAnsi" w:hAnsiTheme="minorHAnsi" w:cstheme="minorHAnsi"/>
          <w:szCs w:val="22"/>
          <w:lang w:val="en-GB"/>
        </w:rPr>
        <w:t>may</w:t>
      </w:r>
      <w:r w:rsidR="00AF4D3D" w:rsidRPr="00400CAC">
        <w:rPr>
          <w:rFonts w:asciiTheme="minorHAnsi" w:hAnsiTheme="minorHAnsi" w:cstheme="minorHAnsi"/>
          <w:szCs w:val="22"/>
          <w:lang w:val="en-GB"/>
        </w:rPr>
        <w:t xml:space="preserve"> present with</w:t>
      </w:r>
      <w:r w:rsidR="00862668" w:rsidRPr="00400CAC">
        <w:rPr>
          <w:rFonts w:asciiTheme="minorHAnsi" w:hAnsiTheme="minorHAnsi" w:cstheme="minorHAnsi"/>
          <w:szCs w:val="22"/>
          <w:lang w:val="en-GB"/>
        </w:rPr>
        <w:t xml:space="preserve"> sexual precocity</w:t>
      </w:r>
      <w:r w:rsidR="00D90315" w:rsidRPr="00400CAC">
        <w:rPr>
          <w:rFonts w:asciiTheme="minorHAnsi" w:hAnsiTheme="minorHAnsi" w:cstheme="minorHAnsi"/>
          <w:szCs w:val="22"/>
          <w:lang w:val="en-GB"/>
        </w:rPr>
        <w:t xml:space="preserve"> </w:t>
      </w:r>
      <w:r w:rsidR="005F5828" w:rsidRPr="00400CAC">
        <w:rPr>
          <w:rFonts w:asciiTheme="minorHAnsi" w:hAnsiTheme="minorHAnsi" w:cstheme="minorHAnsi"/>
          <w:szCs w:val="22"/>
          <w:lang w:val="en-GB"/>
        </w:rPr>
        <w:t>and i</w:t>
      </w:r>
      <w:r w:rsidR="00D90315" w:rsidRPr="00400CAC">
        <w:rPr>
          <w:rFonts w:asciiTheme="minorHAnsi" w:hAnsiTheme="minorHAnsi" w:cstheme="minorHAnsi"/>
          <w:szCs w:val="22"/>
          <w:lang w:val="en-GB"/>
        </w:rPr>
        <w:t>ncreased growth</w:t>
      </w:r>
      <w:r w:rsidR="005F5828" w:rsidRPr="00400CAC">
        <w:rPr>
          <w:rFonts w:asciiTheme="minorHAnsi" w:hAnsiTheme="minorHAnsi" w:cstheme="minorHAnsi"/>
          <w:szCs w:val="22"/>
          <w:lang w:val="en-GB"/>
        </w:rPr>
        <w:t xml:space="preserve"> rate</w:t>
      </w:r>
      <w:r w:rsidR="00BB5022" w:rsidRPr="00400CAC">
        <w:rPr>
          <w:rFonts w:asciiTheme="minorHAnsi" w:hAnsiTheme="minorHAnsi" w:cstheme="minorHAnsi"/>
          <w:szCs w:val="22"/>
          <w:lang w:val="en-GB"/>
        </w:rPr>
        <w:t xml:space="preserve"> with later gonadotropin deficiency</w:t>
      </w:r>
      <w:r w:rsidR="00030319">
        <w:rPr>
          <w:rFonts w:asciiTheme="minorHAnsi" w:hAnsiTheme="minorHAnsi" w:cstheme="minorHAnsi"/>
          <w:b/>
          <w:szCs w:val="22"/>
          <w:vertAlign w:val="superscript"/>
          <w:lang w:val="en-GB"/>
        </w:rPr>
        <w:t>22</w:t>
      </w:r>
      <w:r w:rsidR="007A7EB6" w:rsidRPr="00400CAC">
        <w:rPr>
          <w:rFonts w:asciiTheme="minorHAnsi" w:hAnsiTheme="minorHAnsi" w:cstheme="minorHAnsi"/>
          <w:szCs w:val="22"/>
          <w:lang w:val="en-GB"/>
        </w:rPr>
        <w:t xml:space="preserve">. </w:t>
      </w:r>
      <w:r w:rsidR="00D90315" w:rsidRPr="00400CAC">
        <w:rPr>
          <w:rFonts w:asciiTheme="minorHAnsi" w:hAnsiTheme="minorHAnsi" w:cstheme="minorHAnsi"/>
          <w:szCs w:val="22"/>
          <w:lang w:val="en-GB"/>
        </w:rPr>
        <w:t>For this reason</w:t>
      </w:r>
      <w:r w:rsidR="001318D4">
        <w:rPr>
          <w:rFonts w:asciiTheme="minorHAnsi" w:hAnsiTheme="minorHAnsi" w:cstheme="minorHAnsi"/>
          <w:szCs w:val="22"/>
          <w:lang w:val="en-GB"/>
        </w:rPr>
        <w:t>,</w:t>
      </w:r>
      <w:r w:rsidR="00D90315" w:rsidRPr="00400CAC">
        <w:rPr>
          <w:rFonts w:asciiTheme="minorHAnsi" w:hAnsiTheme="minorHAnsi" w:cstheme="minorHAnsi"/>
          <w:szCs w:val="22"/>
          <w:lang w:val="en-GB"/>
        </w:rPr>
        <w:t xml:space="preserve"> </w:t>
      </w:r>
      <w:r w:rsidR="00C34627" w:rsidRPr="00400CAC">
        <w:rPr>
          <w:rFonts w:asciiTheme="minorHAnsi" w:hAnsiTheme="minorHAnsi" w:cstheme="minorHAnsi"/>
          <w:szCs w:val="22"/>
          <w:lang w:val="en-GB"/>
        </w:rPr>
        <w:t xml:space="preserve">all infants with brain tumours require </w:t>
      </w:r>
      <w:r w:rsidR="00462E9B" w:rsidRPr="00400CAC">
        <w:rPr>
          <w:rFonts w:asciiTheme="minorHAnsi" w:hAnsiTheme="minorHAnsi" w:cstheme="minorHAnsi"/>
          <w:szCs w:val="22"/>
          <w:lang w:val="en-GB"/>
        </w:rPr>
        <w:t>e</w:t>
      </w:r>
      <w:r w:rsidR="00C34627" w:rsidRPr="00400CAC">
        <w:rPr>
          <w:rFonts w:asciiTheme="minorHAnsi" w:hAnsiTheme="minorHAnsi" w:cstheme="minorHAnsi"/>
          <w:szCs w:val="22"/>
          <w:lang w:val="en-GB"/>
        </w:rPr>
        <w:t xml:space="preserve">ndocrine review at baseline </w:t>
      </w:r>
      <w:r w:rsidR="00496815" w:rsidRPr="00400CAC">
        <w:rPr>
          <w:rFonts w:asciiTheme="minorHAnsi" w:hAnsiTheme="minorHAnsi" w:cstheme="minorHAnsi"/>
          <w:szCs w:val="22"/>
          <w:lang w:val="en-GB"/>
        </w:rPr>
        <w:t>so that</w:t>
      </w:r>
      <w:r w:rsidR="00C34627" w:rsidRPr="00400CAC">
        <w:rPr>
          <w:rFonts w:asciiTheme="minorHAnsi" w:hAnsiTheme="minorHAnsi" w:cstheme="minorHAnsi"/>
          <w:szCs w:val="22"/>
          <w:lang w:val="en-GB"/>
        </w:rPr>
        <w:t xml:space="preserve"> </w:t>
      </w:r>
      <w:r w:rsidR="00D90315" w:rsidRPr="00400CAC">
        <w:rPr>
          <w:rFonts w:asciiTheme="minorHAnsi" w:hAnsiTheme="minorHAnsi" w:cstheme="minorHAnsi"/>
          <w:szCs w:val="22"/>
          <w:lang w:val="en-GB"/>
        </w:rPr>
        <w:t xml:space="preserve">Tanner </w:t>
      </w:r>
      <w:r w:rsidR="00496815" w:rsidRPr="00400CAC">
        <w:rPr>
          <w:rFonts w:asciiTheme="minorHAnsi" w:hAnsiTheme="minorHAnsi" w:cstheme="minorHAnsi"/>
          <w:szCs w:val="22"/>
          <w:lang w:val="en-GB"/>
        </w:rPr>
        <w:t xml:space="preserve">pubertal staging </w:t>
      </w:r>
      <w:r w:rsidR="002D70B0" w:rsidRPr="00400CAC">
        <w:rPr>
          <w:rFonts w:asciiTheme="minorHAnsi" w:hAnsiTheme="minorHAnsi" w:cstheme="minorHAnsi"/>
          <w:szCs w:val="22"/>
          <w:lang w:val="en-GB"/>
        </w:rPr>
        <w:t xml:space="preserve">and </w:t>
      </w:r>
      <w:r w:rsidR="00A7438E">
        <w:rPr>
          <w:rFonts w:asciiTheme="minorHAnsi" w:hAnsiTheme="minorHAnsi" w:cstheme="minorHAnsi"/>
          <w:szCs w:val="22"/>
          <w:lang w:val="en-GB"/>
        </w:rPr>
        <w:t xml:space="preserve">careful </w:t>
      </w:r>
      <w:r w:rsidR="00E74A77" w:rsidRPr="00400CAC">
        <w:rPr>
          <w:rFonts w:asciiTheme="minorHAnsi" w:hAnsiTheme="minorHAnsi" w:cstheme="minorHAnsi"/>
          <w:szCs w:val="22"/>
          <w:lang w:val="en-GB"/>
        </w:rPr>
        <w:t>auxology</w:t>
      </w:r>
      <w:r w:rsidR="0094264C">
        <w:rPr>
          <w:rFonts w:asciiTheme="minorHAnsi" w:hAnsiTheme="minorHAnsi" w:cstheme="minorHAnsi"/>
          <w:szCs w:val="22"/>
          <w:lang w:val="en-GB"/>
        </w:rPr>
        <w:t xml:space="preserve">, including parental heights, </w:t>
      </w:r>
      <w:r w:rsidR="002D70B0" w:rsidRPr="00400CAC">
        <w:rPr>
          <w:rFonts w:asciiTheme="minorHAnsi" w:hAnsiTheme="minorHAnsi" w:cstheme="minorHAnsi"/>
          <w:szCs w:val="22"/>
          <w:lang w:val="en-GB"/>
        </w:rPr>
        <w:t xml:space="preserve">can be </w:t>
      </w:r>
      <w:r w:rsidR="003C4FAD" w:rsidRPr="00400CAC">
        <w:rPr>
          <w:rFonts w:asciiTheme="minorHAnsi" w:hAnsiTheme="minorHAnsi" w:cstheme="minorHAnsi"/>
          <w:szCs w:val="22"/>
          <w:lang w:val="en-GB"/>
        </w:rPr>
        <w:t xml:space="preserve">properly </w:t>
      </w:r>
      <w:r w:rsidR="006D098F" w:rsidRPr="00400CAC">
        <w:rPr>
          <w:rFonts w:asciiTheme="minorHAnsi" w:hAnsiTheme="minorHAnsi" w:cstheme="minorHAnsi"/>
          <w:szCs w:val="22"/>
          <w:lang w:val="en-GB"/>
        </w:rPr>
        <w:t xml:space="preserve">recorded </w:t>
      </w:r>
      <w:r w:rsidR="002D70B0" w:rsidRPr="00400CAC">
        <w:rPr>
          <w:rFonts w:asciiTheme="minorHAnsi" w:hAnsiTheme="minorHAnsi" w:cstheme="minorHAnsi"/>
          <w:szCs w:val="22"/>
          <w:lang w:val="en-GB"/>
        </w:rPr>
        <w:t>and interpret</w:t>
      </w:r>
      <w:r w:rsidR="003C4FAD" w:rsidRPr="00400CAC">
        <w:rPr>
          <w:rFonts w:asciiTheme="minorHAnsi" w:hAnsiTheme="minorHAnsi" w:cstheme="minorHAnsi"/>
          <w:szCs w:val="22"/>
          <w:lang w:val="en-GB"/>
        </w:rPr>
        <w:t>ed in relation to</w:t>
      </w:r>
      <w:r w:rsidR="00D90315" w:rsidRPr="00400CAC">
        <w:rPr>
          <w:rFonts w:asciiTheme="minorHAnsi" w:hAnsiTheme="minorHAnsi" w:cstheme="minorHAnsi"/>
          <w:szCs w:val="22"/>
          <w:lang w:val="en-GB"/>
        </w:rPr>
        <w:t xml:space="preserve"> growth velocity</w:t>
      </w:r>
      <w:r w:rsidR="00462E9B" w:rsidRPr="00400CAC">
        <w:rPr>
          <w:rFonts w:asciiTheme="minorHAnsi" w:hAnsiTheme="minorHAnsi" w:cstheme="minorHAnsi"/>
          <w:szCs w:val="22"/>
          <w:lang w:val="en-GB"/>
        </w:rPr>
        <w:t xml:space="preserve">, </w:t>
      </w:r>
      <w:r w:rsidR="003C4FAD" w:rsidRPr="00400CAC">
        <w:rPr>
          <w:rFonts w:asciiTheme="minorHAnsi" w:hAnsiTheme="minorHAnsi" w:cstheme="minorHAnsi"/>
          <w:szCs w:val="22"/>
          <w:lang w:val="en-GB"/>
        </w:rPr>
        <w:t>bone age</w:t>
      </w:r>
      <w:r w:rsidR="00E46869">
        <w:rPr>
          <w:rFonts w:asciiTheme="minorHAnsi" w:hAnsiTheme="minorHAnsi" w:cstheme="minorHAnsi"/>
          <w:szCs w:val="22"/>
          <w:lang w:val="en-GB"/>
        </w:rPr>
        <w:t>,</w:t>
      </w:r>
      <w:r w:rsidR="003C4FAD" w:rsidRPr="00400CAC">
        <w:rPr>
          <w:rFonts w:asciiTheme="minorHAnsi" w:hAnsiTheme="minorHAnsi" w:cstheme="minorHAnsi"/>
          <w:szCs w:val="22"/>
          <w:lang w:val="en-GB"/>
        </w:rPr>
        <w:t xml:space="preserve"> or </w:t>
      </w:r>
      <w:r w:rsidR="00462E9B" w:rsidRPr="00400CAC">
        <w:rPr>
          <w:rFonts w:asciiTheme="minorHAnsi" w:hAnsiTheme="minorHAnsi" w:cstheme="minorHAnsi"/>
          <w:szCs w:val="22"/>
          <w:lang w:val="en-GB"/>
        </w:rPr>
        <w:t>p</w:t>
      </w:r>
      <w:r w:rsidR="003C4FAD" w:rsidRPr="00400CAC">
        <w:rPr>
          <w:rFonts w:asciiTheme="minorHAnsi" w:hAnsiTheme="minorHAnsi" w:cstheme="minorHAnsi"/>
          <w:szCs w:val="22"/>
          <w:lang w:val="en-GB"/>
        </w:rPr>
        <w:t>ituitary chemistry</w:t>
      </w:r>
      <w:r w:rsidR="00462E9B" w:rsidRPr="00400CAC">
        <w:rPr>
          <w:rFonts w:asciiTheme="minorHAnsi" w:hAnsiTheme="minorHAnsi" w:cstheme="minorHAnsi"/>
          <w:szCs w:val="22"/>
          <w:lang w:val="en-GB"/>
        </w:rPr>
        <w:t>, as</w:t>
      </w:r>
      <w:r w:rsidR="003C4FAD" w:rsidRPr="00400CAC">
        <w:rPr>
          <w:rFonts w:asciiTheme="minorHAnsi" w:hAnsiTheme="minorHAnsi" w:cstheme="minorHAnsi"/>
          <w:szCs w:val="22"/>
          <w:lang w:val="en-GB"/>
        </w:rPr>
        <w:t xml:space="preserve"> </w:t>
      </w:r>
      <w:r w:rsidR="007763BF" w:rsidRPr="00400CAC">
        <w:rPr>
          <w:rFonts w:asciiTheme="minorHAnsi" w:hAnsiTheme="minorHAnsi" w:cstheme="minorHAnsi"/>
          <w:szCs w:val="22"/>
          <w:lang w:val="en-GB"/>
        </w:rPr>
        <w:t>required</w:t>
      </w:r>
      <w:r w:rsidR="00400CAC">
        <w:rPr>
          <w:rFonts w:asciiTheme="minorHAnsi" w:hAnsiTheme="minorHAnsi" w:cstheme="minorHAnsi"/>
          <w:szCs w:val="22"/>
          <w:lang w:val="en-GB"/>
        </w:rPr>
        <w:t>.</w:t>
      </w:r>
    </w:p>
    <w:p w14:paraId="36190E6E" w14:textId="77777777" w:rsidR="00095D83" w:rsidRPr="002233FF" w:rsidRDefault="00095D83">
      <w:pPr>
        <w:pStyle w:val="Body1"/>
        <w:spacing w:line="480" w:lineRule="auto"/>
        <w:rPr>
          <w:rFonts w:asciiTheme="minorHAnsi" w:hAnsiTheme="minorHAnsi" w:cstheme="minorHAnsi"/>
          <w:szCs w:val="22"/>
          <w:lang w:val="en-US"/>
        </w:rPr>
      </w:pPr>
    </w:p>
    <w:p w14:paraId="7A4B5E29" w14:textId="5F629B9E" w:rsidR="00615CFF" w:rsidRDefault="00535FFF">
      <w:pPr>
        <w:spacing w:line="480" w:lineRule="auto"/>
        <w:rPr>
          <w:rFonts w:asciiTheme="minorHAnsi" w:hAnsiTheme="minorHAnsi" w:cstheme="minorHAnsi"/>
          <w:lang w:val="en-US"/>
        </w:rPr>
      </w:pPr>
      <w:r>
        <w:rPr>
          <w:rFonts w:asciiTheme="minorHAnsi" w:hAnsiTheme="minorHAnsi" w:cstheme="minorHAnsi"/>
          <w:lang w:val="en-GB"/>
        </w:rPr>
        <w:t>Central midline suprasellar tumours of the optic pathway or hypothalamic pituitary area (e.g. craniopharyngioma, astrocytoma) constitute a higher proportion of all brain tumours in infants than in older children and</w:t>
      </w:r>
      <w:r w:rsidR="00BE1C6C">
        <w:rPr>
          <w:rFonts w:asciiTheme="minorHAnsi" w:hAnsiTheme="minorHAnsi" w:cstheme="minorHAnsi"/>
          <w:lang w:val="en-GB"/>
        </w:rPr>
        <w:t xml:space="preserve"> may present with endocrinopathies, visual impairment and diencephalic syndromes unrelated to treatment. </w:t>
      </w:r>
      <w:r w:rsidR="009C3D77">
        <w:rPr>
          <w:rFonts w:asciiTheme="minorHAnsi" w:hAnsiTheme="minorHAnsi" w:cstheme="minorHAnsi"/>
          <w:lang w:val="en-GB"/>
        </w:rPr>
        <w:t>Hy</w:t>
      </w:r>
      <w:r w:rsidR="00164365">
        <w:rPr>
          <w:rFonts w:asciiTheme="minorHAnsi" w:hAnsiTheme="minorHAnsi" w:cstheme="minorHAnsi"/>
          <w:lang w:val="en-GB"/>
        </w:rPr>
        <w:t>p</w:t>
      </w:r>
      <w:r w:rsidR="009C3D77">
        <w:rPr>
          <w:rFonts w:asciiTheme="minorHAnsi" w:hAnsiTheme="minorHAnsi" w:cstheme="minorHAnsi"/>
          <w:lang w:val="en-GB"/>
        </w:rPr>
        <w:t>othalamo</w:t>
      </w:r>
      <w:r w:rsidR="00164365">
        <w:rPr>
          <w:rFonts w:asciiTheme="minorHAnsi" w:hAnsiTheme="minorHAnsi" w:cstheme="minorHAnsi"/>
          <w:lang w:val="en-GB"/>
        </w:rPr>
        <w:t>-</w:t>
      </w:r>
      <w:r w:rsidR="009C3D77">
        <w:rPr>
          <w:rFonts w:asciiTheme="minorHAnsi" w:hAnsiTheme="minorHAnsi" w:cstheme="minorHAnsi"/>
          <w:lang w:val="en-GB"/>
        </w:rPr>
        <w:t xml:space="preserve">pituitary hormone </w:t>
      </w:r>
      <w:r w:rsidR="007A53E8" w:rsidRPr="00400CAC">
        <w:rPr>
          <w:rFonts w:asciiTheme="minorHAnsi" w:hAnsiTheme="minorHAnsi" w:cstheme="minorHAnsi"/>
          <w:lang w:val="en-GB"/>
        </w:rPr>
        <w:t xml:space="preserve">deficits </w:t>
      </w:r>
      <w:r w:rsidR="00BE1C6C">
        <w:rPr>
          <w:rFonts w:asciiTheme="minorHAnsi" w:hAnsiTheme="minorHAnsi" w:cstheme="minorHAnsi"/>
          <w:lang w:val="en-GB"/>
        </w:rPr>
        <w:t>evolve</w:t>
      </w:r>
      <w:r w:rsidR="009C3D77">
        <w:rPr>
          <w:rFonts w:asciiTheme="minorHAnsi" w:hAnsiTheme="minorHAnsi" w:cstheme="minorHAnsi"/>
          <w:lang w:val="en-GB"/>
        </w:rPr>
        <w:t xml:space="preserve"> in a typical order</w:t>
      </w:r>
      <w:r w:rsidR="00BE1C6C">
        <w:rPr>
          <w:rFonts w:asciiTheme="minorHAnsi" w:hAnsiTheme="minorHAnsi" w:cstheme="minorHAnsi"/>
          <w:lang w:val="en-GB"/>
        </w:rPr>
        <w:t xml:space="preserve"> with</w:t>
      </w:r>
      <w:r w:rsidR="00087C68" w:rsidRPr="002233FF">
        <w:rPr>
          <w:rFonts w:asciiTheme="minorHAnsi" w:hAnsiTheme="minorHAnsi" w:cstheme="minorHAnsi"/>
          <w:lang w:val="en-US"/>
        </w:rPr>
        <w:t xml:space="preserve"> </w:t>
      </w:r>
      <w:bookmarkStart w:id="2" w:name="_Hlk13847820"/>
      <w:r w:rsidR="00BE1C6C">
        <w:rPr>
          <w:rFonts w:asciiTheme="minorHAnsi" w:hAnsiTheme="minorHAnsi" w:cstheme="minorHAnsi"/>
          <w:lang w:val="en-US"/>
        </w:rPr>
        <w:t>e</w:t>
      </w:r>
      <w:r w:rsidR="00087C68" w:rsidRPr="002233FF">
        <w:rPr>
          <w:rFonts w:asciiTheme="minorHAnsi" w:hAnsiTheme="minorHAnsi" w:cstheme="minorHAnsi"/>
          <w:lang w:val="en-US"/>
        </w:rPr>
        <w:t xml:space="preserve">arly/precocious puberty and </w:t>
      </w:r>
      <w:r w:rsidR="00087C68">
        <w:rPr>
          <w:rFonts w:asciiTheme="minorHAnsi" w:hAnsiTheme="minorHAnsi" w:cstheme="minorHAnsi"/>
          <w:lang w:val="en-US"/>
        </w:rPr>
        <w:t>growth hormone</w:t>
      </w:r>
      <w:r w:rsidR="00087C68" w:rsidRPr="002233FF">
        <w:rPr>
          <w:rFonts w:asciiTheme="minorHAnsi" w:hAnsiTheme="minorHAnsi" w:cstheme="minorHAnsi"/>
          <w:lang w:val="en-US"/>
        </w:rPr>
        <w:t xml:space="preserve"> deficiency </w:t>
      </w:r>
      <w:r w:rsidR="0085726B">
        <w:rPr>
          <w:rFonts w:asciiTheme="minorHAnsi" w:hAnsiTheme="minorHAnsi" w:cstheme="minorHAnsi"/>
          <w:lang w:val="en-US"/>
        </w:rPr>
        <w:t xml:space="preserve">occurring </w:t>
      </w:r>
      <w:r w:rsidR="00087C68" w:rsidRPr="002233FF">
        <w:rPr>
          <w:rFonts w:asciiTheme="minorHAnsi" w:hAnsiTheme="minorHAnsi" w:cstheme="minorHAnsi"/>
          <w:lang w:val="en-US"/>
        </w:rPr>
        <w:t>first and adrenocorticotropin</w:t>
      </w:r>
      <w:r w:rsidR="00087C68">
        <w:rPr>
          <w:rFonts w:asciiTheme="minorHAnsi" w:hAnsiTheme="minorHAnsi" w:cstheme="minorHAnsi"/>
          <w:lang w:val="en-US"/>
        </w:rPr>
        <w:t xml:space="preserve"> </w:t>
      </w:r>
      <w:r w:rsidR="00087C68" w:rsidRPr="002233FF">
        <w:rPr>
          <w:rFonts w:asciiTheme="minorHAnsi" w:hAnsiTheme="minorHAnsi" w:cstheme="minorHAnsi"/>
          <w:lang w:val="en-US"/>
        </w:rPr>
        <w:t xml:space="preserve">deficiency </w:t>
      </w:r>
      <w:r w:rsidR="00087C68">
        <w:rPr>
          <w:rFonts w:asciiTheme="minorHAnsi" w:hAnsiTheme="minorHAnsi" w:cstheme="minorHAnsi"/>
          <w:lang w:val="en-US"/>
        </w:rPr>
        <w:t>last</w:t>
      </w:r>
      <w:bookmarkEnd w:id="2"/>
      <w:r w:rsidR="00087C68" w:rsidRPr="002233FF">
        <w:rPr>
          <w:rFonts w:asciiTheme="minorHAnsi" w:hAnsiTheme="minorHAnsi" w:cstheme="minorHAnsi"/>
          <w:vertAlign w:val="superscript"/>
          <w:lang w:val="en-US"/>
        </w:rPr>
        <w:t xml:space="preserve"> </w:t>
      </w:r>
      <w:r w:rsidR="00030319">
        <w:rPr>
          <w:rFonts w:asciiTheme="minorHAnsi" w:hAnsiTheme="minorHAnsi" w:cstheme="minorHAnsi"/>
          <w:b/>
          <w:vertAlign w:val="superscript"/>
          <w:lang w:val="en-US"/>
        </w:rPr>
        <w:t>22, 23, 26</w:t>
      </w:r>
      <w:r w:rsidR="00087C68">
        <w:rPr>
          <w:rFonts w:asciiTheme="minorHAnsi" w:hAnsiTheme="minorHAnsi" w:cstheme="minorHAnsi"/>
          <w:lang w:val="en-US"/>
        </w:rPr>
        <w:t>, whilst diabetes insipidus is seen only in the context of pituitary stalk disease or surgery to that area</w:t>
      </w:r>
      <w:r w:rsidR="00030319">
        <w:rPr>
          <w:rFonts w:asciiTheme="minorHAnsi" w:hAnsiTheme="minorHAnsi" w:cstheme="minorHAnsi"/>
          <w:b/>
          <w:vertAlign w:val="superscript"/>
          <w:lang w:val="en-US"/>
        </w:rPr>
        <w:t>22, 24</w:t>
      </w:r>
      <w:r w:rsidR="00087C68">
        <w:rPr>
          <w:rFonts w:asciiTheme="minorHAnsi" w:hAnsiTheme="minorHAnsi" w:cstheme="minorHAnsi"/>
          <w:lang w:val="en-US"/>
        </w:rPr>
        <w:t xml:space="preserve">. </w:t>
      </w:r>
      <w:r w:rsidR="00615CFF">
        <w:rPr>
          <w:rFonts w:asciiTheme="minorHAnsi" w:hAnsiTheme="minorHAnsi" w:cstheme="minorHAnsi"/>
          <w:lang w:val="en-US"/>
        </w:rPr>
        <w:t xml:space="preserve">In the post-operative setting, </w:t>
      </w:r>
      <w:r w:rsidR="00615CFF" w:rsidRPr="002233FF">
        <w:rPr>
          <w:rFonts w:asciiTheme="minorHAnsi" w:hAnsiTheme="minorHAnsi" w:cstheme="minorHAnsi"/>
          <w:lang w:val="en-US"/>
        </w:rPr>
        <w:t>the perioperative tri</w:t>
      </w:r>
      <w:r w:rsidR="00615CFF">
        <w:rPr>
          <w:rFonts w:asciiTheme="minorHAnsi" w:hAnsiTheme="minorHAnsi" w:cstheme="minorHAnsi"/>
          <w:lang w:val="en-US"/>
        </w:rPr>
        <w:t>p</w:t>
      </w:r>
      <w:r w:rsidR="00615CFF" w:rsidRPr="002233FF">
        <w:rPr>
          <w:rFonts w:asciiTheme="minorHAnsi" w:hAnsiTheme="minorHAnsi" w:cstheme="minorHAnsi"/>
          <w:lang w:val="en-US"/>
        </w:rPr>
        <w:t>hasic salt/water imbalance can be life threatening</w:t>
      </w:r>
      <w:r w:rsidR="00615CFF">
        <w:rPr>
          <w:rFonts w:asciiTheme="minorHAnsi" w:hAnsiTheme="minorHAnsi" w:cstheme="minorHAnsi"/>
          <w:lang w:val="en-US"/>
        </w:rPr>
        <w:t xml:space="preserve"> </w:t>
      </w:r>
      <w:r w:rsidR="00615CFF" w:rsidRPr="002233FF">
        <w:rPr>
          <w:rFonts w:asciiTheme="minorHAnsi" w:hAnsiTheme="minorHAnsi" w:cstheme="minorHAnsi"/>
          <w:lang w:val="en-US"/>
        </w:rPr>
        <w:t>and/or contribute to strokes, especially in infants</w:t>
      </w:r>
      <w:r w:rsidR="00030319">
        <w:rPr>
          <w:rFonts w:asciiTheme="minorHAnsi" w:hAnsiTheme="minorHAnsi" w:cstheme="minorHAnsi"/>
          <w:b/>
          <w:vertAlign w:val="superscript"/>
          <w:lang w:val="en-US"/>
        </w:rPr>
        <w:t>30.</w:t>
      </w:r>
    </w:p>
    <w:p w14:paraId="386840AF" w14:textId="3433ABAB" w:rsidR="00862668" w:rsidRDefault="009246AC">
      <w:pPr>
        <w:pStyle w:val="Body1"/>
        <w:spacing w:line="480" w:lineRule="auto"/>
        <w:rPr>
          <w:rFonts w:asciiTheme="minorHAnsi" w:hAnsiTheme="minorHAnsi" w:cstheme="minorHAnsi"/>
          <w:szCs w:val="22"/>
          <w:lang w:val="en-US"/>
        </w:rPr>
      </w:pPr>
      <w:r>
        <w:rPr>
          <w:rFonts w:asciiTheme="minorHAnsi" w:hAnsiTheme="minorHAnsi" w:cstheme="minorHAnsi"/>
          <w:szCs w:val="22"/>
          <w:lang w:val="en-GB"/>
        </w:rPr>
        <w:t>Children presenting with precocious puberty may eventual</w:t>
      </w:r>
      <w:r w:rsidR="00096D20">
        <w:rPr>
          <w:rFonts w:asciiTheme="minorHAnsi" w:hAnsiTheme="minorHAnsi" w:cstheme="minorHAnsi"/>
          <w:szCs w:val="22"/>
          <w:lang w:val="en-GB"/>
        </w:rPr>
        <w:t>l</w:t>
      </w:r>
      <w:r>
        <w:rPr>
          <w:rFonts w:asciiTheme="minorHAnsi" w:hAnsiTheme="minorHAnsi" w:cstheme="minorHAnsi"/>
          <w:szCs w:val="22"/>
          <w:lang w:val="en-GB"/>
        </w:rPr>
        <w:t>y develop gonadotropin deficiency resulting in late</w:t>
      </w:r>
      <w:r w:rsidR="00A7438E">
        <w:rPr>
          <w:rFonts w:asciiTheme="minorHAnsi" w:hAnsiTheme="minorHAnsi" w:cstheme="minorHAnsi"/>
          <w:szCs w:val="22"/>
          <w:lang w:val="en-GB"/>
        </w:rPr>
        <w:t xml:space="preserve"> or arrested</w:t>
      </w:r>
      <w:r>
        <w:rPr>
          <w:rFonts w:asciiTheme="minorHAnsi" w:hAnsiTheme="minorHAnsi" w:cstheme="minorHAnsi"/>
          <w:szCs w:val="22"/>
          <w:lang w:val="en-GB"/>
        </w:rPr>
        <w:t xml:space="preserve"> puberty </w:t>
      </w:r>
      <w:r w:rsidR="00A7438E">
        <w:rPr>
          <w:rFonts w:asciiTheme="minorHAnsi" w:hAnsiTheme="minorHAnsi" w:cstheme="minorHAnsi"/>
          <w:szCs w:val="22"/>
          <w:lang w:val="en-GB"/>
        </w:rPr>
        <w:t>and</w:t>
      </w:r>
      <w:r>
        <w:rPr>
          <w:rFonts w:asciiTheme="minorHAnsi" w:hAnsiTheme="minorHAnsi" w:cstheme="minorHAnsi"/>
          <w:szCs w:val="22"/>
          <w:lang w:val="en-GB"/>
        </w:rPr>
        <w:t xml:space="preserve"> hypogonadism</w:t>
      </w:r>
      <w:r w:rsidR="00030319" w:rsidRPr="004A2D5E">
        <w:rPr>
          <w:rFonts w:asciiTheme="minorHAnsi" w:hAnsiTheme="minorHAnsi" w:cstheme="minorHAnsi"/>
          <w:b/>
          <w:szCs w:val="22"/>
          <w:vertAlign w:val="superscript"/>
          <w:lang w:val="en-GB"/>
        </w:rPr>
        <w:t>22</w:t>
      </w:r>
      <w:r>
        <w:rPr>
          <w:rFonts w:asciiTheme="minorHAnsi" w:hAnsiTheme="minorHAnsi" w:cstheme="minorHAnsi"/>
          <w:szCs w:val="22"/>
          <w:lang w:val="en-GB"/>
        </w:rPr>
        <w:t xml:space="preserve">. </w:t>
      </w:r>
      <w:r w:rsidR="000371AD" w:rsidRPr="00400CAC">
        <w:rPr>
          <w:rFonts w:asciiTheme="minorHAnsi" w:hAnsiTheme="minorHAnsi" w:cstheme="minorHAnsi"/>
          <w:szCs w:val="22"/>
          <w:lang w:val="en-GB"/>
        </w:rPr>
        <w:t>Ch</w:t>
      </w:r>
      <w:r w:rsidR="00514307" w:rsidRPr="00400CAC">
        <w:rPr>
          <w:rFonts w:asciiTheme="minorHAnsi" w:hAnsiTheme="minorHAnsi" w:cstheme="minorHAnsi"/>
          <w:szCs w:val="22"/>
          <w:lang w:val="en-GB"/>
        </w:rPr>
        <w:t xml:space="preserve">ildren with cortical and cerebellar </w:t>
      </w:r>
      <w:r w:rsidR="002A74C6" w:rsidRPr="00400CAC">
        <w:rPr>
          <w:rFonts w:asciiTheme="minorHAnsi" w:hAnsiTheme="minorHAnsi" w:cstheme="minorHAnsi"/>
          <w:szCs w:val="22"/>
          <w:lang w:val="en-GB"/>
        </w:rPr>
        <w:t xml:space="preserve">tumours away from the suprasellar midline </w:t>
      </w:r>
      <w:r w:rsidR="00A4363D">
        <w:rPr>
          <w:rFonts w:asciiTheme="minorHAnsi" w:hAnsiTheme="minorHAnsi" w:cstheme="minorHAnsi"/>
          <w:szCs w:val="22"/>
          <w:lang w:val="en-GB"/>
        </w:rPr>
        <w:t xml:space="preserve">may </w:t>
      </w:r>
      <w:r w:rsidR="00FE1155" w:rsidRPr="00400CAC">
        <w:rPr>
          <w:rFonts w:asciiTheme="minorHAnsi" w:hAnsiTheme="minorHAnsi" w:cstheme="minorHAnsi"/>
          <w:szCs w:val="22"/>
          <w:lang w:val="en-GB"/>
        </w:rPr>
        <w:t xml:space="preserve">experience </w:t>
      </w:r>
      <w:r w:rsidR="00272756" w:rsidRPr="00400CAC">
        <w:rPr>
          <w:rFonts w:asciiTheme="minorHAnsi" w:hAnsiTheme="minorHAnsi" w:cstheme="minorHAnsi"/>
          <w:szCs w:val="22"/>
          <w:lang w:val="en-GB"/>
        </w:rPr>
        <w:t>central</w:t>
      </w:r>
      <w:r w:rsidR="00272756">
        <w:rPr>
          <w:rFonts w:asciiTheme="minorHAnsi" w:hAnsiTheme="minorHAnsi" w:cstheme="minorHAnsi"/>
          <w:szCs w:val="22"/>
          <w:lang w:val="en-GB"/>
        </w:rPr>
        <w:t xml:space="preserve"> growth hormone deficiency and early puberty</w:t>
      </w:r>
      <w:r w:rsidR="00753CB5">
        <w:rPr>
          <w:rFonts w:asciiTheme="minorHAnsi" w:hAnsiTheme="minorHAnsi" w:cstheme="minorHAnsi"/>
          <w:szCs w:val="22"/>
          <w:lang w:val="en-GB"/>
        </w:rPr>
        <w:t xml:space="preserve">, </w:t>
      </w:r>
      <w:bookmarkStart w:id="3" w:name="_Hlk13847967"/>
      <w:r w:rsidR="009C3D77">
        <w:rPr>
          <w:rFonts w:asciiTheme="minorHAnsi" w:hAnsiTheme="minorHAnsi" w:cstheme="minorHAnsi"/>
          <w:szCs w:val="22"/>
          <w:lang w:val="en-GB"/>
        </w:rPr>
        <w:t>additionally complicated by</w:t>
      </w:r>
      <w:r w:rsidR="004B2880" w:rsidRPr="0089113C">
        <w:rPr>
          <w:rFonts w:asciiTheme="minorHAnsi" w:hAnsiTheme="minorHAnsi" w:cstheme="minorHAnsi"/>
          <w:szCs w:val="22"/>
          <w:lang w:val="en-GB"/>
        </w:rPr>
        <w:t xml:space="preserve"> </w:t>
      </w:r>
      <w:r w:rsidR="009C3D77">
        <w:rPr>
          <w:rFonts w:asciiTheme="minorHAnsi" w:hAnsiTheme="minorHAnsi" w:cstheme="minorHAnsi"/>
          <w:szCs w:val="22"/>
          <w:lang w:val="en-GB"/>
        </w:rPr>
        <w:t xml:space="preserve">peripheral glandular </w:t>
      </w:r>
      <w:r w:rsidR="00406BBD" w:rsidRPr="0089113C">
        <w:rPr>
          <w:rFonts w:asciiTheme="minorHAnsi" w:hAnsiTheme="minorHAnsi" w:cstheme="minorHAnsi"/>
          <w:szCs w:val="22"/>
          <w:lang w:val="en-GB"/>
        </w:rPr>
        <w:t>impairment of</w:t>
      </w:r>
      <w:r w:rsidR="00406BBD">
        <w:rPr>
          <w:rFonts w:asciiTheme="minorHAnsi" w:hAnsiTheme="minorHAnsi" w:cstheme="minorHAnsi"/>
          <w:szCs w:val="22"/>
          <w:lang w:val="en-GB"/>
        </w:rPr>
        <w:t xml:space="preserve"> </w:t>
      </w:r>
      <w:r w:rsidR="00753CB5" w:rsidRPr="008F1543">
        <w:rPr>
          <w:rFonts w:asciiTheme="minorHAnsi" w:hAnsiTheme="minorHAnsi" w:cstheme="minorHAnsi"/>
          <w:szCs w:val="22"/>
          <w:lang w:val="en-GB"/>
        </w:rPr>
        <w:t xml:space="preserve"> gonad</w:t>
      </w:r>
      <w:r w:rsidR="00406BBD">
        <w:rPr>
          <w:rFonts w:asciiTheme="minorHAnsi" w:hAnsiTheme="minorHAnsi" w:cstheme="minorHAnsi"/>
          <w:szCs w:val="22"/>
          <w:lang w:val="en-GB"/>
        </w:rPr>
        <w:t xml:space="preserve">al or thyroidal hormone secretion by </w:t>
      </w:r>
      <w:r w:rsidR="00753CB5" w:rsidRPr="008F1543">
        <w:rPr>
          <w:rFonts w:asciiTheme="minorHAnsi" w:hAnsiTheme="minorHAnsi" w:cstheme="minorHAnsi"/>
          <w:szCs w:val="22"/>
          <w:lang w:val="en-GB"/>
        </w:rPr>
        <w:t>chemotherapy</w:t>
      </w:r>
      <w:r w:rsidR="00753CB5">
        <w:rPr>
          <w:rFonts w:asciiTheme="minorHAnsi" w:hAnsiTheme="minorHAnsi" w:cstheme="minorHAnsi"/>
          <w:szCs w:val="22"/>
          <w:lang w:val="en-GB"/>
        </w:rPr>
        <w:t xml:space="preserve"> or spinal irradiation</w:t>
      </w:r>
      <w:bookmarkEnd w:id="3"/>
      <w:r w:rsidR="00030319">
        <w:rPr>
          <w:rFonts w:asciiTheme="minorHAnsi" w:hAnsiTheme="minorHAnsi" w:cstheme="minorHAnsi"/>
          <w:b/>
          <w:szCs w:val="22"/>
          <w:vertAlign w:val="superscript"/>
          <w:lang w:val="en-GB"/>
        </w:rPr>
        <w:t>19, 20, 21</w:t>
      </w:r>
      <w:r w:rsidR="00B3008C">
        <w:rPr>
          <w:rFonts w:asciiTheme="minorHAnsi" w:hAnsiTheme="minorHAnsi" w:cstheme="minorHAnsi"/>
          <w:szCs w:val="22"/>
          <w:lang w:val="en-GB"/>
        </w:rPr>
        <w:t>.</w:t>
      </w:r>
      <w:r w:rsidR="00A4363D">
        <w:rPr>
          <w:rFonts w:asciiTheme="minorHAnsi" w:hAnsiTheme="minorHAnsi" w:cstheme="minorHAnsi"/>
          <w:szCs w:val="22"/>
          <w:lang w:val="en-GB"/>
        </w:rPr>
        <w:t xml:space="preserve"> </w:t>
      </w:r>
      <w:r w:rsidR="00B3008C" w:rsidRPr="002233FF">
        <w:rPr>
          <w:rFonts w:asciiTheme="minorHAnsi" w:hAnsiTheme="minorHAnsi" w:cstheme="minorHAnsi"/>
          <w:szCs w:val="22"/>
          <w:lang w:val="en-US"/>
        </w:rPr>
        <w:t xml:space="preserve">Unrecognised or untreated </w:t>
      </w:r>
      <w:r w:rsidR="00B3008C">
        <w:rPr>
          <w:rFonts w:asciiTheme="minorHAnsi" w:hAnsiTheme="minorHAnsi" w:cstheme="minorHAnsi"/>
          <w:szCs w:val="22"/>
          <w:lang w:val="en-US"/>
        </w:rPr>
        <w:t xml:space="preserve">primary or </w:t>
      </w:r>
      <w:r w:rsidR="00B3008C" w:rsidRPr="002233FF">
        <w:rPr>
          <w:rFonts w:asciiTheme="minorHAnsi" w:hAnsiTheme="minorHAnsi" w:cstheme="minorHAnsi"/>
          <w:szCs w:val="22"/>
          <w:lang w:val="en-US"/>
        </w:rPr>
        <w:t xml:space="preserve">compensated hypothyroidism may exacerbate the risk of thyroid </w:t>
      </w:r>
      <w:r w:rsidR="00B3008C">
        <w:rPr>
          <w:rFonts w:asciiTheme="minorHAnsi" w:hAnsiTheme="minorHAnsi" w:cstheme="minorHAnsi"/>
          <w:szCs w:val="22"/>
          <w:lang w:val="en-US"/>
        </w:rPr>
        <w:t>nodules after radiation exposure</w:t>
      </w:r>
      <w:r w:rsidR="00030319" w:rsidRPr="004A2D5E">
        <w:rPr>
          <w:rFonts w:asciiTheme="minorHAnsi" w:hAnsiTheme="minorHAnsi" w:cstheme="minorHAnsi"/>
          <w:b/>
          <w:szCs w:val="22"/>
          <w:vertAlign w:val="superscript"/>
          <w:lang w:val="en-US"/>
        </w:rPr>
        <w:t>19</w:t>
      </w:r>
      <w:r w:rsidR="00B3008C">
        <w:rPr>
          <w:rFonts w:asciiTheme="minorHAnsi" w:hAnsiTheme="minorHAnsi" w:cstheme="minorHAnsi"/>
          <w:szCs w:val="22"/>
          <w:lang w:val="en-US"/>
        </w:rPr>
        <w:t xml:space="preserve"> and may theoretically </w:t>
      </w:r>
      <w:r w:rsidR="00406BBD">
        <w:rPr>
          <w:rFonts w:asciiTheme="minorHAnsi" w:hAnsiTheme="minorHAnsi" w:cstheme="minorHAnsi"/>
          <w:szCs w:val="22"/>
          <w:lang w:val="en-US"/>
        </w:rPr>
        <w:t xml:space="preserve">add to </w:t>
      </w:r>
      <w:r w:rsidR="00B3008C">
        <w:rPr>
          <w:rFonts w:asciiTheme="minorHAnsi" w:hAnsiTheme="minorHAnsi" w:cstheme="minorHAnsi"/>
          <w:szCs w:val="22"/>
          <w:lang w:val="en-US"/>
        </w:rPr>
        <w:t>the recognised risk of thyroid cancer after spinal radiation</w:t>
      </w:r>
      <w:r w:rsidR="00030319">
        <w:rPr>
          <w:rFonts w:asciiTheme="minorHAnsi" w:hAnsiTheme="minorHAnsi" w:cstheme="minorHAnsi"/>
          <w:b/>
          <w:szCs w:val="22"/>
          <w:vertAlign w:val="superscript"/>
          <w:lang w:val="en-US"/>
        </w:rPr>
        <w:t>31</w:t>
      </w:r>
      <w:r w:rsidR="00B3008C">
        <w:rPr>
          <w:rFonts w:asciiTheme="minorHAnsi" w:hAnsiTheme="minorHAnsi" w:cstheme="minorHAnsi"/>
          <w:szCs w:val="22"/>
          <w:lang w:val="en-US"/>
        </w:rPr>
        <w:t xml:space="preserve">. </w:t>
      </w:r>
      <w:r w:rsidR="00406BBD">
        <w:rPr>
          <w:rFonts w:asciiTheme="minorHAnsi" w:hAnsiTheme="minorHAnsi" w:cstheme="minorHAnsi"/>
          <w:szCs w:val="22"/>
          <w:lang w:val="en-US"/>
        </w:rPr>
        <w:t>Reduction in growth is only partially reversible by GH replacement</w:t>
      </w:r>
      <w:r w:rsidR="00406BBD" w:rsidRPr="0089113C">
        <w:rPr>
          <w:rFonts w:asciiTheme="minorHAnsi" w:hAnsiTheme="minorHAnsi" w:cstheme="minorHAnsi"/>
          <w:szCs w:val="22"/>
          <w:vertAlign w:val="superscript"/>
          <w:lang w:val="en-US"/>
        </w:rPr>
        <w:t>32, 33</w:t>
      </w:r>
      <w:r w:rsidR="00406BBD">
        <w:rPr>
          <w:rFonts w:asciiTheme="minorHAnsi" w:hAnsiTheme="minorHAnsi" w:cstheme="minorHAnsi"/>
          <w:szCs w:val="22"/>
          <w:lang w:val="en-US"/>
        </w:rPr>
        <w:t xml:space="preserve"> because of additional spinal shortening following radiotherapy with or without chemotherapy</w:t>
      </w:r>
      <w:r w:rsidR="00406BBD" w:rsidRPr="0089113C">
        <w:rPr>
          <w:rFonts w:asciiTheme="minorHAnsi" w:hAnsiTheme="minorHAnsi" w:cstheme="minorHAnsi"/>
          <w:szCs w:val="22"/>
          <w:vertAlign w:val="superscript"/>
          <w:lang w:val="en-US"/>
        </w:rPr>
        <w:t>20</w:t>
      </w:r>
      <w:r w:rsidR="00B3008C">
        <w:rPr>
          <w:rFonts w:asciiTheme="minorHAnsi" w:hAnsiTheme="minorHAnsi" w:cstheme="minorHAnsi"/>
          <w:szCs w:val="22"/>
          <w:lang w:val="en-US"/>
        </w:rPr>
        <w:t xml:space="preserve">. </w:t>
      </w:r>
      <w:r w:rsidR="00A4363D">
        <w:rPr>
          <w:rFonts w:asciiTheme="minorHAnsi" w:hAnsiTheme="minorHAnsi" w:cstheme="minorHAnsi"/>
          <w:szCs w:val="22"/>
          <w:lang w:val="en-GB"/>
        </w:rPr>
        <w:t xml:space="preserve">In all </w:t>
      </w:r>
      <w:r w:rsidR="00272756">
        <w:rPr>
          <w:rFonts w:asciiTheme="minorHAnsi" w:hAnsiTheme="minorHAnsi" w:cstheme="minorHAnsi"/>
          <w:szCs w:val="22"/>
          <w:lang w:val="en-GB"/>
        </w:rPr>
        <w:t>cases</w:t>
      </w:r>
      <w:r w:rsidR="00A4363D">
        <w:rPr>
          <w:rFonts w:asciiTheme="minorHAnsi" w:hAnsiTheme="minorHAnsi" w:cstheme="minorHAnsi"/>
          <w:szCs w:val="22"/>
          <w:lang w:val="en-GB"/>
        </w:rPr>
        <w:t xml:space="preserve">, </w:t>
      </w:r>
      <w:r w:rsidR="00753CB5">
        <w:rPr>
          <w:rFonts w:asciiTheme="minorHAnsi" w:hAnsiTheme="minorHAnsi" w:cstheme="minorHAnsi"/>
          <w:szCs w:val="22"/>
          <w:lang w:val="en-GB"/>
        </w:rPr>
        <w:t xml:space="preserve">growth and </w:t>
      </w:r>
      <w:r w:rsidR="00A4363D">
        <w:rPr>
          <w:rFonts w:asciiTheme="minorHAnsi" w:hAnsiTheme="minorHAnsi" w:cstheme="minorHAnsi"/>
          <w:szCs w:val="22"/>
          <w:lang w:val="en-GB"/>
        </w:rPr>
        <w:t>pubertal development should be monitored</w:t>
      </w:r>
      <w:r w:rsidR="00B064D9">
        <w:rPr>
          <w:rFonts w:asciiTheme="minorHAnsi" w:hAnsiTheme="minorHAnsi" w:cstheme="minorHAnsi"/>
          <w:szCs w:val="22"/>
          <w:lang w:val="en-GB"/>
        </w:rPr>
        <w:t xml:space="preserve"> from diagnosis</w:t>
      </w:r>
      <w:r w:rsidR="00805CA3">
        <w:rPr>
          <w:rFonts w:asciiTheme="minorHAnsi" w:hAnsiTheme="minorHAnsi" w:cstheme="minorHAnsi"/>
          <w:szCs w:val="22"/>
          <w:lang w:val="en-GB"/>
        </w:rPr>
        <w:t xml:space="preserve"> </w:t>
      </w:r>
      <w:r w:rsidR="00B064D9">
        <w:rPr>
          <w:rFonts w:asciiTheme="minorHAnsi" w:hAnsiTheme="minorHAnsi" w:cstheme="minorHAnsi"/>
          <w:szCs w:val="22"/>
          <w:lang w:val="en-GB"/>
        </w:rPr>
        <w:t xml:space="preserve">and </w:t>
      </w:r>
      <w:r w:rsidR="00A4363D">
        <w:rPr>
          <w:rFonts w:asciiTheme="minorHAnsi" w:hAnsiTheme="minorHAnsi" w:cstheme="minorHAnsi"/>
          <w:szCs w:val="22"/>
          <w:lang w:val="en-GB"/>
        </w:rPr>
        <w:t>after treatment</w:t>
      </w:r>
      <w:r w:rsidR="00723EB2" w:rsidRPr="00400CAC">
        <w:rPr>
          <w:rFonts w:asciiTheme="minorHAnsi" w:hAnsiTheme="minorHAnsi" w:cstheme="minorHAnsi"/>
          <w:szCs w:val="22"/>
          <w:lang w:val="en-GB"/>
        </w:rPr>
        <w:t>.</w:t>
      </w:r>
      <w:r w:rsidR="00E46869">
        <w:rPr>
          <w:rFonts w:asciiTheme="minorHAnsi" w:hAnsiTheme="minorHAnsi" w:cstheme="minorHAnsi"/>
          <w:szCs w:val="22"/>
          <w:lang w:val="en-GB"/>
        </w:rPr>
        <w:t xml:space="preserve"> </w:t>
      </w:r>
      <w:r w:rsidR="00A4363D">
        <w:rPr>
          <w:rFonts w:asciiTheme="minorHAnsi" w:hAnsiTheme="minorHAnsi" w:cstheme="minorHAnsi"/>
          <w:szCs w:val="22"/>
          <w:lang w:val="en-GB"/>
        </w:rPr>
        <w:t>Growth hormone, t</w:t>
      </w:r>
      <w:r w:rsidR="001E2CB6" w:rsidRPr="00400CAC">
        <w:rPr>
          <w:rFonts w:asciiTheme="minorHAnsi" w:hAnsiTheme="minorHAnsi" w:cstheme="minorHAnsi"/>
          <w:szCs w:val="22"/>
          <w:lang w:val="en-GB"/>
        </w:rPr>
        <w:t>h</w:t>
      </w:r>
      <w:r w:rsidR="0031421F" w:rsidRPr="00400CAC">
        <w:rPr>
          <w:rFonts w:asciiTheme="minorHAnsi" w:hAnsiTheme="minorHAnsi" w:cstheme="minorHAnsi"/>
          <w:szCs w:val="22"/>
          <w:lang w:val="en-GB"/>
        </w:rPr>
        <w:t>yroid hormone</w:t>
      </w:r>
      <w:r w:rsidR="00A4363D">
        <w:rPr>
          <w:rFonts w:asciiTheme="minorHAnsi" w:hAnsiTheme="minorHAnsi" w:cstheme="minorHAnsi"/>
          <w:szCs w:val="22"/>
          <w:lang w:val="en-GB"/>
        </w:rPr>
        <w:t>s</w:t>
      </w:r>
      <w:r w:rsidR="0031421F" w:rsidRPr="00400CAC">
        <w:rPr>
          <w:rFonts w:asciiTheme="minorHAnsi" w:hAnsiTheme="minorHAnsi" w:cstheme="minorHAnsi"/>
          <w:szCs w:val="22"/>
          <w:lang w:val="en-GB"/>
        </w:rPr>
        <w:t xml:space="preserve"> </w:t>
      </w:r>
      <w:r w:rsidR="00942D82" w:rsidRPr="00400CAC">
        <w:rPr>
          <w:rFonts w:asciiTheme="minorHAnsi" w:hAnsiTheme="minorHAnsi" w:cstheme="minorHAnsi"/>
          <w:szCs w:val="22"/>
          <w:lang w:val="en-GB"/>
        </w:rPr>
        <w:t xml:space="preserve">and sex steroids are </w:t>
      </w:r>
      <w:r w:rsidR="00A4363D">
        <w:rPr>
          <w:rFonts w:asciiTheme="minorHAnsi" w:hAnsiTheme="minorHAnsi" w:cstheme="minorHAnsi"/>
          <w:szCs w:val="22"/>
          <w:lang w:val="en-GB"/>
        </w:rPr>
        <w:t>all</w:t>
      </w:r>
      <w:r w:rsidR="00A4363D" w:rsidRPr="00400CAC">
        <w:rPr>
          <w:rFonts w:asciiTheme="minorHAnsi" w:hAnsiTheme="minorHAnsi" w:cstheme="minorHAnsi"/>
          <w:szCs w:val="22"/>
          <w:lang w:val="en-GB"/>
        </w:rPr>
        <w:t xml:space="preserve"> </w:t>
      </w:r>
      <w:r w:rsidR="0031421F" w:rsidRPr="00400CAC">
        <w:rPr>
          <w:rFonts w:asciiTheme="minorHAnsi" w:hAnsiTheme="minorHAnsi" w:cstheme="minorHAnsi"/>
          <w:szCs w:val="22"/>
          <w:lang w:val="en-GB"/>
        </w:rPr>
        <w:t>essential for normal growth</w:t>
      </w:r>
      <w:r w:rsidR="00E81BFC" w:rsidRPr="00400CAC">
        <w:rPr>
          <w:rFonts w:asciiTheme="minorHAnsi" w:hAnsiTheme="minorHAnsi" w:cstheme="minorHAnsi"/>
          <w:szCs w:val="22"/>
          <w:lang w:val="en-GB"/>
        </w:rPr>
        <w:t xml:space="preserve">, </w:t>
      </w:r>
      <w:r w:rsidR="0031421F" w:rsidRPr="00400CAC">
        <w:rPr>
          <w:rFonts w:asciiTheme="minorHAnsi" w:hAnsiTheme="minorHAnsi" w:cstheme="minorHAnsi"/>
          <w:szCs w:val="22"/>
          <w:lang w:val="en-GB"/>
        </w:rPr>
        <w:t>d</w:t>
      </w:r>
      <w:r w:rsidR="00E81BFC" w:rsidRPr="00400CAC">
        <w:rPr>
          <w:rFonts w:asciiTheme="minorHAnsi" w:hAnsiTheme="minorHAnsi" w:cstheme="minorHAnsi"/>
          <w:szCs w:val="22"/>
          <w:lang w:val="en-GB"/>
        </w:rPr>
        <w:t>e</w:t>
      </w:r>
      <w:r w:rsidR="001C239E" w:rsidRPr="00400CAC">
        <w:rPr>
          <w:rFonts w:asciiTheme="minorHAnsi" w:hAnsiTheme="minorHAnsi" w:cstheme="minorHAnsi"/>
          <w:szCs w:val="22"/>
          <w:lang w:val="en-GB"/>
        </w:rPr>
        <w:t>velopment</w:t>
      </w:r>
      <w:r w:rsidR="00241636" w:rsidRPr="00400CAC">
        <w:rPr>
          <w:rFonts w:asciiTheme="minorHAnsi" w:hAnsiTheme="minorHAnsi" w:cstheme="minorHAnsi"/>
          <w:szCs w:val="22"/>
          <w:lang w:val="en-GB"/>
        </w:rPr>
        <w:t>,</w:t>
      </w:r>
      <w:r w:rsidR="00E81BFC" w:rsidRPr="00400CAC">
        <w:rPr>
          <w:rFonts w:asciiTheme="minorHAnsi" w:hAnsiTheme="minorHAnsi" w:cstheme="minorHAnsi"/>
          <w:szCs w:val="22"/>
          <w:lang w:val="en-GB"/>
        </w:rPr>
        <w:t xml:space="preserve"> and well-being, </w:t>
      </w:r>
      <w:r w:rsidR="00406BBD">
        <w:rPr>
          <w:rFonts w:asciiTheme="minorHAnsi" w:hAnsiTheme="minorHAnsi" w:cstheme="minorHAnsi"/>
          <w:szCs w:val="22"/>
          <w:lang w:val="en-GB"/>
        </w:rPr>
        <w:t>and</w:t>
      </w:r>
      <w:r w:rsidR="00406BBD" w:rsidRPr="00400CAC">
        <w:rPr>
          <w:rFonts w:asciiTheme="minorHAnsi" w:hAnsiTheme="minorHAnsi" w:cstheme="minorHAnsi"/>
          <w:szCs w:val="22"/>
          <w:lang w:val="en-GB"/>
        </w:rPr>
        <w:t xml:space="preserve"> </w:t>
      </w:r>
      <w:r w:rsidR="001C239E" w:rsidRPr="00400CAC">
        <w:rPr>
          <w:rFonts w:asciiTheme="minorHAnsi" w:hAnsiTheme="minorHAnsi" w:cstheme="minorHAnsi"/>
          <w:szCs w:val="22"/>
          <w:lang w:val="en-GB"/>
        </w:rPr>
        <w:t>th</w:t>
      </w:r>
      <w:r w:rsidR="00DD2D87" w:rsidRPr="00400CAC">
        <w:rPr>
          <w:rFonts w:asciiTheme="minorHAnsi" w:hAnsiTheme="minorHAnsi" w:cstheme="minorHAnsi"/>
          <w:szCs w:val="22"/>
          <w:lang w:val="en-GB"/>
        </w:rPr>
        <w:t xml:space="preserve">ey </w:t>
      </w:r>
      <w:r w:rsidR="00DD08F7" w:rsidRPr="00400CAC">
        <w:rPr>
          <w:rFonts w:asciiTheme="minorHAnsi" w:hAnsiTheme="minorHAnsi" w:cstheme="minorHAnsi"/>
          <w:szCs w:val="22"/>
          <w:lang w:val="en-GB"/>
        </w:rPr>
        <w:t xml:space="preserve">also have an important </w:t>
      </w:r>
      <w:r w:rsidR="003E17F3" w:rsidRPr="00400CAC">
        <w:rPr>
          <w:rFonts w:asciiTheme="minorHAnsi" w:hAnsiTheme="minorHAnsi" w:cstheme="minorHAnsi"/>
          <w:szCs w:val="22"/>
          <w:lang w:val="en-GB"/>
        </w:rPr>
        <w:t xml:space="preserve">respective </w:t>
      </w:r>
      <w:r w:rsidR="001342E2" w:rsidRPr="00400CAC">
        <w:rPr>
          <w:rFonts w:asciiTheme="minorHAnsi" w:hAnsiTheme="minorHAnsi" w:cstheme="minorHAnsi"/>
          <w:szCs w:val="22"/>
          <w:lang w:val="en-GB"/>
        </w:rPr>
        <w:t>role</w:t>
      </w:r>
      <w:r w:rsidR="003F3AD1" w:rsidRPr="00400CAC">
        <w:rPr>
          <w:rFonts w:asciiTheme="minorHAnsi" w:hAnsiTheme="minorHAnsi" w:cstheme="minorHAnsi"/>
          <w:szCs w:val="22"/>
          <w:lang w:val="en-GB"/>
        </w:rPr>
        <w:t xml:space="preserve"> </w:t>
      </w:r>
      <w:r w:rsidR="001342E2" w:rsidRPr="00400CAC">
        <w:rPr>
          <w:rFonts w:asciiTheme="minorHAnsi" w:hAnsiTheme="minorHAnsi" w:cstheme="minorHAnsi"/>
          <w:szCs w:val="22"/>
          <w:lang w:val="en-GB"/>
        </w:rPr>
        <w:t>in</w:t>
      </w:r>
      <w:r w:rsidR="001C239E" w:rsidRPr="00400CAC">
        <w:rPr>
          <w:rFonts w:asciiTheme="minorHAnsi" w:hAnsiTheme="minorHAnsi" w:cstheme="minorHAnsi"/>
          <w:szCs w:val="22"/>
          <w:lang w:val="en-GB"/>
        </w:rPr>
        <w:t xml:space="preserve"> brain maturation </w:t>
      </w:r>
      <w:r w:rsidR="00E81BFC" w:rsidRPr="00400CAC">
        <w:rPr>
          <w:rFonts w:asciiTheme="minorHAnsi" w:hAnsiTheme="minorHAnsi" w:cstheme="minorHAnsi"/>
          <w:szCs w:val="22"/>
          <w:lang w:val="en-GB"/>
        </w:rPr>
        <w:t xml:space="preserve">and cognition </w:t>
      </w:r>
      <w:r w:rsidR="00030319" w:rsidRPr="004A2D5E">
        <w:rPr>
          <w:rFonts w:asciiTheme="minorHAnsi" w:hAnsiTheme="minorHAnsi" w:cstheme="minorHAnsi"/>
          <w:b/>
          <w:szCs w:val="22"/>
          <w:vertAlign w:val="superscript"/>
          <w:lang w:val="en-GB"/>
        </w:rPr>
        <w:t>34</w:t>
      </w:r>
      <w:r w:rsidR="00E46869" w:rsidRPr="00214B9A">
        <w:rPr>
          <w:rFonts w:asciiTheme="minorHAnsi" w:hAnsiTheme="minorHAnsi" w:cstheme="minorHAnsi"/>
          <w:szCs w:val="22"/>
          <w:lang w:val="en-GB"/>
        </w:rPr>
        <w:t>.</w:t>
      </w:r>
      <w:r w:rsidR="000C4F01" w:rsidRPr="00214B9A">
        <w:rPr>
          <w:rFonts w:asciiTheme="minorHAnsi" w:hAnsiTheme="minorHAnsi" w:cstheme="minorHAnsi"/>
          <w:szCs w:val="22"/>
          <w:lang w:val="en-GB"/>
        </w:rPr>
        <w:t xml:space="preserve"> </w:t>
      </w:r>
      <w:r w:rsidR="009B27D5" w:rsidRPr="00214B9A">
        <w:rPr>
          <w:rFonts w:asciiTheme="minorHAnsi" w:hAnsiTheme="minorHAnsi" w:cstheme="minorHAnsi"/>
          <w:szCs w:val="22"/>
          <w:lang w:val="en-US"/>
        </w:rPr>
        <w:t xml:space="preserve"> If endocrine deficits </w:t>
      </w:r>
      <w:r w:rsidR="00E46869" w:rsidRPr="00214B9A">
        <w:rPr>
          <w:rFonts w:asciiTheme="minorHAnsi" w:hAnsiTheme="minorHAnsi" w:cstheme="minorHAnsi"/>
          <w:szCs w:val="22"/>
          <w:lang w:val="en-US"/>
        </w:rPr>
        <w:t xml:space="preserve">go </w:t>
      </w:r>
      <w:r w:rsidR="009B27D5" w:rsidRPr="00214B9A">
        <w:rPr>
          <w:rFonts w:asciiTheme="minorHAnsi" w:hAnsiTheme="minorHAnsi" w:cstheme="minorHAnsi"/>
          <w:szCs w:val="22"/>
          <w:lang w:val="en-US"/>
        </w:rPr>
        <w:t xml:space="preserve">unrecognized and </w:t>
      </w:r>
      <w:r w:rsidR="00E46869" w:rsidRPr="00214B9A">
        <w:rPr>
          <w:rFonts w:asciiTheme="minorHAnsi" w:hAnsiTheme="minorHAnsi" w:cstheme="minorHAnsi"/>
          <w:szCs w:val="22"/>
          <w:lang w:val="en-US"/>
        </w:rPr>
        <w:t xml:space="preserve">are </w:t>
      </w:r>
      <w:r w:rsidR="009B27D5" w:rsidRPr="00214B9A">
        <w:rPr>
          <w:rFonts w:asciiTheme="minorHAnsi" w:hAnsiTheme="minorHAnsi" w:cstheme="minorHAnsi"/>
          <w:szCs w:val="22"/>
          <w:lang w:val="en-US"/>
        </w:rPr>
        <w:t>not substituted</w:t>
      </w:r>
      <w:r w:rsidR="00A645EA" w:rsidRPr="00214B9A">
        <w:rPr>
          <w:rFonts w:asciiTheme="minorHAnsi" w:hAnsiTheme="minorHAnsi" w:cstheme="minorHAnsi"/>
          <w:szCs w:val="22"/>
          <w:lang w:val="en-US"/>
        </w:rPr>
        <w:t xml:space="preserve"> promptly</w:t>
      </w:r>
      <w:r w:rsidR="009B27D5" w:rsidRPr="00214B9A">
        <w:rPr>
          <w:rFonts w:asciiTheme="minorHAnsi" w:hAnsiTheme="minorHAnsi" w:cstheme="minorHAnsi"/>
          <w:szCs w:val="22"/>
          <w:lang w:val="en-US"/>
        </w:rPr>
        <w:t>, an adverse impact on participation in daily life, learning</w:t>
      </w:r>
      <w:r w:rsidR="00E46869" w:rsidRPr="00214B9A">
        <w:rPr>
          <w:rFonts w:asciiTheme="minorHAnsi" w:hAnsiTheme="minorHAnsi" w:cstheme="minorHAnsi"/>
          <w:szCs w:val="22"/>
          <w:lang w:val="en-US"/>
        </w:rPr>
        <w:t>,</w:t>
      </w:r>
      <w:r w:rsidR="009B27D5" w:rsidRPr="00214B9A">
        <w:rPr>
          <w:rFonts w:asciiTheme="minorHAnsi" w:hAnsiTheme="minorHAnsi" w:cstheme="minorHAnsi"/>
          <w:szCs w:val="22"/>
          <w:lang w:val="en-US"/>
        </w:rPr>
        <w:t xml:space="preserve"> and behaviour might be expected, resulting in diminished </w:t>
      </w:r>
      <w:r w:rsidR="00272756" w:rsidRPr="00214B9A">
        <w:rPr>
          <w:rFonts w:asciiTheme="minorHAnsi" w:hAnsiTheme="minorHAnsi" w:cstheme="minorHAnsi"/>
          <w:szCs w:val="22"/>
          <w:lang w:val="en-US"/>
        </w:rPr>
        <w:t>QoS</w:t>
      </w:r>
      <w:r w:rsidR="00805CA3" w:rsidRPr="00214B9A">
        <w:rPr>
          <w:rFonts w:asciiTheme="minorHAnsi" w:hAnsiTheme="minorHAnsi" w:cstheme="minorHAnsi"/>
          <w:szCs w:val="22"/>
          <w:lang w:val="en-US"/>
        </w:rPr>
        <w:t>.</w:t>
      </w:r>
    </w:p>
    <w:p w14:paraId="128641BC" w14:textId="77777777" w:rsidR="00030319" w:rsidRPr="00214B9A" w:rsidRDefault="00030319">
      <w:pPr>
        <w:pStyle w:val="Body1"/>
        <w:spacing w:line="480" w:lineRule="auto"/>
        <w:rPr>
          <w:rFonts w:asciiTheme="minorHAnsi" w:hAnsiTheme="minorHAnsi" w:cstheme="minorHAnsi"/>
          <w:szCs w:val="22"/>
          <w:lang w:val="en-US"/>
        </w:rPr>
      </w:pPr>
    </w:p>
    <w:p w14:paraId="439479B3" w14:textId="009C405D" w:rsidR="00372805" w:rsidRDefault="00FD62F9" w:rsidP="008F2249">
      <w:pPr>
        <w:pStyle w:val="Body1"/>
        <w:spacing w:line="480" w:lineRule="auto"/>
        <w:rPr>
          <w:rFonts w:asciiTheme="minorHAnsi" w:hAnsiTheme="minorHAnsi" w:cstheme="minorHAnsi"/>
          <w:szCs w:val="22"/>
          <w:lang w:val="en-US"/>
        </w:rPr>
      </w:pPr>
      <w:r w:rsidRPr="00214B9A">
        <w:rPr>
          <w:rFonts w:asciiTheme="minorHAnsi" w:hAnsiTheme="minorHAnsi" w:cstheme="minorHAnsi"/>
          <w:szCs w:val="22"/>
          <w:lang w:val="en-US"/>
        </w:rPr>
        <w:t>I</w:t>
      </w:r>
      <w:r w:rsidR="00163EB1" w:rsidRPr="00214B9A">
        <w:rPr>
          <w:rFonts w:asciiTheme="minorHAnsi" w:hAnsiTheme="minorHAnsi" w:cstheme="minorHAnsi"/>
          <w:szCs w:val="22"/>
          <w:lang w:val="en-US"/>
        </w:rPr>
        <w:t>nfants</w:t>
      </w:r>
      <w:r w:rsidRPr="00214B9A">
        <w:rPr>
          <w:rFonts w:asciiTheme="minorHAnsi" w:hAnsiTheme="minorHAnsi" w:cstheme="minorHAnsi"/>
          <w:szCs w:val="22"/>
          <w:lang w:val="en-US"/>
        </w:rPr>
        <w:t xml:space="preserve">, more than older children, </w:t>
      </w:r>
      <w:r w:rsidR="00163EB1" w:rsidRPr="00214B9A">
        <w:rPr>
          <w:rFonts w:asciiTheme="minorHAnsi" w:hAnsiTheme="minorHAnsi" w:cstheme="minorHAnsi"/>
          <w:szCs w:val="22"/>
          <w:lang w:val="en-US"/>
        </w:rPr>
        <w:t xml:space="preserve">have </w:t>
      </w:r>
      <w:r w:rsidR="0089113C">
        <w:rPr>
          <w:rFonts w:asciiTheme="minorHAnsi" w:hAnsiTheme="minorHAnsi" w:cstheme="minorHAnsi"/>
          <w:szCs w:val="22"/>
          <w:lang w:val="en-US"/>
        </w:rPr>
        <w:t>low-grade</w:t>
      </w:r>
      <w:r w:rsidRPr="00214B9A">
        <w:rPr>
          <w:rFonts w:asciiTheme="minorHAnsi" w:hAnsiTheme="minorHAnsi" w:cstheme="minorHAnsi"/>
          <w:szCs w:val="22"/>
          <w:lang w:val="en-US"/>
        </w:rPr>
        <w:t xml:space="preserve"> suprasellar disease and hence are at risk of an evolving central and potentially life threatening panhypopituitarism and diabetes insipidus </w:t>
      </w:r>
      <w:r w:rsidR="000B457D" w:rsidRPr="00214B9A">
        <w:rPr>
          <w:rFonts w:asciiTheme="minorHAnsi" w:hAnsiTheme="minorHAnsi" w:cstheme="minorHAnsi"/>
          <w:szCs w:val="22"/>
          <w:lang w:val="en-US"/>
        </w:rPr>
        <w:t xml:space="preserve">by virtue of </w:t>
      </w:r>
      <w:r w:rsidRPr="00214B9A">
        <w:rPr>
          <w:rFonts w:asciiTheme="minorHAnsi" w:hAnsiTheme="minorHAnsi" w:cstheme="minorHAnsi"/>
          <w:szCs w:val="22"/>
          <w:lang w:val="en-US"/>
        </w:rPr>
        <w:t>the tumour’s proximity to the hypothalamo-pituitary axis</w:t>
      </w:r>
      <w:r w:rsidR="007C67B3">
        <w:rPr>
          <w:rFonts w:asciiTheme="minorHAnsi" w:hAnsiTheme="minorHAnsi" w:cstheme="minorHAnsi"/>
          <w:szCs w:val="22"/>
          <w:lang w:val="en-US"/>
        </w:rPr>
        <w:t>. T</w:t>
      </w:r>
      <w:r w:rsidRPr="00214B9A">
        <w:rPr>
          <w:rFonts w:asciiTheme="minorHAnsi" w:hAnsiTheme="minorHAnsi" w:cstheme="minorHAnsi"/>
          <w:szCs w:val="22"/>
          <w:lang w:val="en-US"/>
        </w:rPr>
        <w:t xml:space="preserve">he assumption that neurocognitive and endocrine toxicities are predominantly late effects of </w:t>
      </w:r>
      <w:r w:rsidR="000B457D" w:rsidRPr="00214B9A">
        <w:rPr>
          <w:rFonts w:asciiTheme="minorHAnsi" w:hAnsiTheme="minorHAnsi" w:cstheme="minorHAnsi"/>
          <w:szCs w:val="22"/>
          <w:lang w:val="en-US"/>
        </w:rPr>
        <w:t xml:space="preserve">cranial </w:t>
      </w:r>
      <w:r w:rsidRPr="00214B9A">
        <w:rPr>
          <w:rFonts w:asciiTheme="minorHAnsi" w:hAnsiTheme="minorHAnsi" w:cstheme="minorHAnsi"/>
          <w:szCs w:val="22"/>
          <w:lang w:val="en-US"/>
        </w:rPr>
        <w:t>irradiation</w:t>
      </w:r>
      <w:r w:rsidR="00095F2F">
        <w:rPr>
          <w:rFonts w:asciiTheme="minorHAnsi" w:hAnsiTheme="minorHAnsi" w:cstheme="minorHAnsi"/>
          <w:szCs w:val="22"/>
          <w:lang w:val="en-US"/>
        </w:rPr>
        <w:t xml:space="preserve"> -</w:t>
      </w:r>
      <w:r w:rsidRPr="00214B9A">
        <w:rPr>
          <w:rFonts w:asciiTheme="minorHAnsi" w:hAnsiTheme="minorHAnsi" w:cstheme="minorHAnsi"/>
          <w:szCs w:val="22"/>
          <w:lang w:val="en-US"/>
        </w:rPr>
        <w:t xml:space="preserve"> now avoided in the youngest childre</w:t>
      </w:r>
      <w:r w:rsidR="000B457D" w:rsidRPr="00214B9A">
        <w:rPr>
          <w:rFonts w:asciiTheme="minorHAnsi" w:hAnsiTheme="minorHAnsi" w:cstheme="minorHAnsi"/>
          <w:szCs w:val="22"/>
          <w:lang w:val="en-US"/>
        </w:rPr>
        <w:t xml:space="preserve">n </w:t>
      </w:r>
      <w:r w:rsidR="007C67B3">
        <w:rPr>
          <w:rFonts w:asciiTheme="minorHAnsi" w:hAnsiTheme="minorHAnsi" w:cstheme="minorHAnsi"/>
          <w:szCs w:val="22"/>
          <w:lang w:val="en-US"/>
        </w:rPr>
        <w:t>–</w:t>
      </w:r>
      <w:r w:rsidR="000B457D" w:rsidRPr="00214B9A">
        <w:rPr>
          <w:rFonts w:asciiTheme="minorHAnsi" w:hAnsiTheme="minorHAnsi" w:cstheme="minorHAnsi"/>
          <w:szCs w:val="22"/>
          <w:lang w:val="en-US"/>
        </w:rPr>
        <w:t xml:space="preserve"> </w:t>
      </w:r>
      <w:r w:rsidR="007C67B3">
        <w:rPr>
          <w:rFonts w:asciiTheme="minorHAnsi" w:hAnsiTheme="minorHAnsi" w:cstheme="minorHAnsi"/>
          <w:szCs w:val="22"/>
          <w:lang w:val="en-US"/>
        </w:rPr>
        <w:t xml:space="preserve">rather than </w:t>
      </w:r>
      <w:r w:rsidRPr="00214B9A">
        <w:rPr>
          <w:rFonts w:asciiTheme="minorHAnsi" w:hAnsiTheme="minorHAnsi" w:cstheme="minorHAnsi"/>
          <w:szCs w:val="22"/>
          <w:lang w:val="en-US"/>
        </w:rPr>
        <w:t>evolving early effects from tu</w:t>
      </w:r>
      <w:r w:rsidR="000B457D" w:rsidRPr="00214B9A">
        <w:rPr>
          <w:rFonts w:asciiTheme="minorHAnsi" w:hAnsiTheme="minorHAnsi" w:cstheme="minorHAnsi"/>
          <w:szCs w:val="22"/>
          <w:lang w:val="en-US"/>
        </w:rPr>
        <w:t xml:space="preserve">mour-related harm at diagnosis </w:t>
      </w:r>
      <w:r w:rsidRPr="00214B9A">
        <w:rPr>
          <w:rFonts w:asciiTheme="minorHAnsi" w:hAnsiTheme="minorHAnsi" w:cstheme="minorHAnsi"/>
          <w:szCs w:val="22"/>
          <w:lang w:val="en-US"/>
        </w:rPr>
        <w:t xml:space="preserve">aggravated by </w:t>
      </w:r>
      <w:r w:rsidR="00B304C7">
        <w:rPr>
          <w:rFonts w:asciiTheme="minorHAnsi" w:hAnsiTheme="minorHAnsi" w:cstheme="minorHAnsi"/>
          <w:szCs w:val="22"/>
          <w:lang w:val="en-US"/>
        </w:rPr>
        <w:t xml:space="preserve">neurosurgical intervention and </w:t>
      </w:r>
      <w:r w:rsidRPr="00214B9A">
        <w:rPr>
          <w:rFonts w:asciiTheme="minorHAnsi" w:hAnsiTheme="minorHAnsi" w:cstheme="minorHAnsi"/>
          <w:szCs w:val="22"/>
          <w:lang w:val="en-US"/>
        </w:rPr>
        <w:t xml:space="preserve">recurrence </w:t>
      </w:r>
      <w:r w:rsidR="00030319">
        <w:rPr>
          <w:rFonts w:asciiTheme="minorHAnsi" w:hAnsiTheme="minorHAnsi" w:cstheme="minorHAnsi"/>
          <w:b/>
          <w:szCs w:val="22"/>
          <w:vertAlign w:val="superscript"/>
          <w:lang w:val="en-US"/>
        </w:rPr>
        <w:t>22, 24, 27</w:t>
      </w:r>
      <w:r w:rsidR="007C67B3">
        <w:rPr>
          <w:rFonts w:asciiTheme="minorHAnsi" w:hAnsiTheme="minorHAnsi" w:cstheme="minorHAnsi"/>
          <w:szCs w:val="22"/>
          <w:lang w:val="en-US"/>
        </w:rPr>
        <w:t>,</w:t>
      </w:r>
      <w:r w:rsidRPr="00214B9A">
        <w:rPr>
          <w:rFonts w:asciiTheme="minorHAnsi" w:hAnsiTheme="minorHAnsi" w:cstheme="minorHAnsi"/>
          <w:szCs w:val="22"/>
          <w:lang w:val="en-US"/>
        </w:rPr>
        <w:t xml:space="preserve"> </w:t>
      </w:r>
      <w:r w:rsidR="000B457D" w:rsidRPr="00214B9A">
        <w:rPr>
          <w:rFonts w:asciiTheme="minorHAnsi" w:hAnsiTheme="minorHAnsi" w:cstheme="minorHAnsi"/>
          <w:szCs w:val="22"/>
          <w:lang w:val="en-US"/>
        </w:rPr>
        <w:t xml:space="preserve"> </w:t>
      </w:r>
      <w:r w:rsidRPr="00214B9A">
        <w:rPr>
          <w:rFonts w:asciiTheme="minorHAnsi" w:hAnsiTheme="minorHAnsi" w:cstheme="minorHAnsi"/>
          <w:szCs w:val="22"/>
          <w:lang w:val="en-US"/>
        </w:rPr>
        <w:t>has paradoxically meant that these children</w:t>
      </w:r>
      <w:r w:rsidR="001E23EE" w:rsidRPr="00214B9A">
        <w:rPr>
          <w:rFonts w:asciiTheme="minorHAnsi" w:hAnsiTheme="minorHAnsi" w:cstheme="minorHAnsi"/>
          <w:szCs w:val="22"/>
          <w:lang w:val="en-US"/>
        </w:rPr>
        <w:t xml:space="preserve"> </w:t>
      </w:r>
      <w:r w:rsidR="00B304C7">
        <w:rPr>
          <w:rFonts w:asciiTheme="minorHAnsi" w:hAnsiTheme="minorHAnsi" w:cstheme="minorHAnsi"/>
          <w:szCs w:val="22"/>
          <w:lang w:val="en-US"/>
        </w:rPr>
        <w:t>may not undergo</w:t>
      </w:r>
      <w:r w:rsidRPr="00214B9A">
        <w:rPr>
          <w:rFonts w:asciiTheme="minorHAnsi" w:hAnsiTheme="minorHAnsi" w:cstheme="minorHAnsi"/>
          <w:szCs w:val="22"/>
          <w:lang w:val="en-US"/>
        </w:rPr>
        <w:t xml:space="preserve"> </w:t>
      </w:r>
      <w:r w:rsidR="000B457D" w:rsidRPr="00214B9A">
        <w:rPr>
          <w:rFonts w:asciiTheme="minorHAnsi" w:hAnsiTheme="minorHAnsi" w:cstheme="minorHAnsi"/>
          <w:szCs w:val="22"/>
          <w:lang w:val="en-US"/>
        </w:rPr>
        <w:t xml:space="preserve">routine endocrine </w:t>
      </w:r>
      <w:r w:rsidRPr="00214B9A">
        <w:rPr>
          <w:rFonts w:asciiTheme="minorHAnsi" w:hAnsiTheme="minorHAnsi" w:cstheme="minorHAnsi"/>
          <w:szCs w:val="22"/>
          <w:lang w:val="en-US"/>
        </w:rPr>
        <w:t>assessment at diagnosis</w:t>
      </w:r>
      <w:r w:rsidR="00324DB1" w:rsidRPr="00214B9A">
        <w:rPr>
          <w:rFonts w:asciiTheme="minorHAnsi" w:hAnsiTheme="minorHAnsi" w:cstheme="minorHAnsi"/>
          <w:szCs w:val="22"/>
          <w:lang w:val="en-US"/>
        </w:rPr>
        <w:t>.</w:t>
      </w:r>
      <w:r w:rsidR="00E02A73" w:rsidRPr="00214B9A">
        <w:rPr>
          <w:rFonts w:asciiTheme="minorHAnsi" w:hAnsiTheme="minorHAnsi" w:cstheme="minorHAnsi"/>
          <w:szCs w:val="22"/>
          <w:lang w:val="en-US"/>
        </w:rPr>
        <w:t xml:space="preserve"> </w:t>
      </w:r>
      <w:r w:rsidR="00B304C7">
        <w:rPr>
          <w:rFonts w:asciiTheme="minorHAnsi" w:hAnsiTheme="minorHAnsi" w:cstheme="minorHAnsi"/>
          <w:szCs w:val="22"/>
          <w:lang w:val="en-US"/>
        </w:rPr>
        <w:t>Infants with suprasellar disease are at risk of m</w:t>
      </w:r>
      <w:r w:rsidR="006E46D2" w:rsidRPr="00214B9A">
        <w:rPr>
          <w:rFonts w:asciiTheme="minorHAnsi" w:hAnsiTheme="minorHAnsi" w:cstheme="minorHAnsi"/>
          <w:szCs w:val="22"/>
          <w:lang w:val="en-US"/>
        </w:rPr>
        <w:t xml:space="preserve">orbid </w:t>
      </w:r>
      <w:r w:rsidR="00F314B6" w:rsidRPr="00214B9A">
        <w:rPr>
          <w:rFonts w:asciiTheme="minorHAnsi" w:hAnsiTheme="minorHAnsi" w:cstheme="minorHAnsi"/>
          <w:szCs w:val="22"/>
          <w:lang w:val="en-US"/>
        </w:rPr>
        <w:t>hypothalamic obesity</w:t>
      </w:r>
      <w:r w:rsidR="00F20C13" w:rsidRPr="00214B9A">
        <w:rPr>
          <w:rFonts w:asciiTheme="minorHAnsi" w:hAnsiTheme="minorHAnsi" w:cstheme="minorHAnsi"/>
          <w:szCs w:val="22"/>
          <w:lang w:val="en-US"/>
        </w:rPr>
        <w:t>,</w:t>
      </w:r>
      <w:r w:rsidR="00652F52" w:rsidRPr="00214B9A">
        <w:rPr>
          <w:rFonts w:asciiTheme="minorHAnsi" w:hAnsiTheme="minorHAnsi" w:cstheme="minorHAnsi"/>
          <w:szCs w:val="22"/>
          <w:lang w:val="en-US"/>
        </w:rPr>
        <w:t xml:space="preserve"> </w:t>
      </w:r>
      <w:r w:rsidR="000B457D" w:rsidRPr="00214B9A">
        <w:rPr>
          <w:rFonts w:asciiTheme="minorHAnsi" w:hAnsiTheme="minorHAnsi" w:cstheme="minorHAnsi"/>
          <w:szCs w:val="22"/>
          <w:lang w:val="en-US"/>
        </w:rPr>
        <w:t xml:space="preserve">hypodipsia, </w:t>
      </w:r>
      <w:r w:rsidR="00A32DB7" w:rsidRPr="00214B9A">
        <w:rPr>
          <w:rFonts w:asciiTheme="minorHAnsi" w:hAnsiTheme="minorHAnsi" w:cstheme="minorHAnsi"/>
          <w:szCs w:val="22"/>
          <w:lang w:val="en-US"/>
        </w:rPr>
        <w:t>sleep</w:t>
      </w:r>
      <w:r w:rsidR="002F25D7" w:rsidRPr="00214B9A">
        <w:rPr>
          <w:rFonts w:asciiTheme="minorHAnsi" w:hAnsiTheme="minorHAnsi" w:cstheme="minorHAnsi"/>
          <w:szCs w:val="22"/>
          <w:lang w:val="en-US"/>
        </w:rPr>
        <w:t>, temperature</w:t>
      </w:r>
      <w:r w:rsidR="003D4D15" w:rsidRPr="00214B9A">
        <w:rPr>
          <w:rFonts w:asciiTheme="minorHAnsi" w:hAnsiTheme="minorHAnsi" w:cstheme="minorHAnsi"/>
          <w:szCs w:val="22"/>
          <w:lang w:val="en-US"/>
        </w:rPr>
        <w:t>, visual</w:t>
      </w:r>
      <w:r w:rsidR="00EC5CE6" w:rsidRPr="00214B9A">
        <w:rPr>
          <w:rFonts w:asciiTheme="minorHAnsi" w:hAnsiTheme="minorHAnsi" w:cstheme="minorHAnsi"/>
          <w:szCs w:val="22"/>
          <w:lang w:val="en-US"/>
        </w:rPr>
        <w:t>,</w:t>
      </w:r>
      <w:r w:rsidR="003D4D15" w:rsidRPr="00214B9A">
        <w:rPr>
          <w:rFonts w:asciiTheme="minorHAnsi" w:hAnsiTheme="minorHAnsi" w:cstheme="minorHAnsi"/>
          <w:szCs w:val="22"/>
          <w:lang w:val="en-US"/>
        </w:rPr>
        <w:t xml:space="preserve"> </w:t>
      </w:r>
      <w:r w:rsidR="006E46D2" w:rsidRPr="00214B9A">
        <w:rPr>
          <w:rFonts w:asciiTheme="minorHAnsi" w:hAnsiTheme="minorHAnsi" w:cstheme="minorHAnsi"/>
          <w:szCs w:val="22"/>
          <w:lang w:val="en-US"/>
        </w:rPr>
        <w:t xml:space="preserve">and behaviour </w:t>
      </w:r>
      <w:r w:rsidR="000615F0" w:rsidRPr="00214B9A">
        <w:rPr>
          <w:rFonts w:asciiTheme="minorHAnsi" w:hAnsiTheme="minorHAnsi" w:cstheme="minorHAnsi"/>
          <w:szCs w:val="22"/>
          <w:lang w:val="en-US"/>
        </w:rPr>
        <w:t>disorder</w:t>
      </w:r>
      <w:r w:rsidR="001A0451" w:rsidRPr="00214B9A">
        <w:rPr>
          <w:rFonts w:asciiTheme="minorHAnsi" w:hAnsiTheme="minorHAnsi" w:cstheme="minorHAnsi"/>
          <w:szCs w:val="22"/>
          <w:lang w:val="en-US"/>
        </w:rPr>
        <w:t>s</w:t>
      </w:r>
      <w:r w:rsidR="00B304C7">
        <w:rPr>
          <w:rFonts w:asciiTheme="minorHAnsi" w:hAnsiTheme="minorHAnsi" w:cstheme="minorHAnsi"/>
          <w:szCs w:val="22"/>
          <w:lang w:val="en-US"/>
        </w:rPr>
        <w:t>. These may shorten life or severely affect its quality during survival which may be prolonged</w:t>
      </w:r>
      <w:r w:rsidR="002233FF" w:rsidRPr="00214B9A">
        <w:rPr>
          <w:rFonts w:asciiTheme="minorHAnsi" w:hAnsiTheme="minorHAnsi" w:cstheme="minorHAnsi"/>
          <w:szCs w:val="22"/>
          <w:lang w:val="en-US"/>
        </w:rPr>
        <w:t xml:space="preserve"> </w:t>
      </w:r>
      <w:r w:rsidR="00030319">
        <w:rPr>
          <w:rFonts w:asciiTheme="minorHAnsi" w:hAnsiTheme="minorHAnsi" w:cstheme="minorHAnsi"/>
          <w:b/>
          <w:szCs w:val="22"/>
          <w:vertAlign w:val="superscript"/>
          <w:lang w:val="en-US"/>
        </w:rPr>
        <w:t>22, 23, 24</w:t>
      </w:r>
      <w:r w:rsidR="002233FF" w:rsidRPr="00214B9A">
        <w:rPr>
          <w:rFonts w:asciiTheme="minorHAnsi" w:hAnsiTheme="minorHAnsi" w:cstheme="minorHAnsi"/>
          <w:szCs w:val="22"/>
          <w:lang w:val="en-US"/>
        </w:rPr>
        <w:t>.</w:t>
      </w:r>
      <w:r w:rsidR="001D101B" w:rsidRPr="00214B9A">
        <w:rPr>
          <w:rFonts w:asciiTheme="minorHAnsi" w:hAnsiTheme="minorHAnsi" w:cstheme="minorHAnsi"/>
          <w:szCs w:val="22"/>
          <w:lang w:val="en-US"/>
        </w:rPr>
        <w:t xml:space="preserve"> It is </w:t>
      </w:r>
      <w:r w:rsidR="00B304C7">
        <w:rPr>
          <w:rFonts w:asciiTheme="minorHAnsi" w:hAnsiTheme="minorHAnsi" w:cstheme="minorHAnsi"/>
          <w:szCs w:val="22"/>
          <w:lang w:val="en-US"/>
        </w:rPr>
        <w:t>tumours in these</w:t>
      </w:r>
      <w:r w:rsidR="00B304C7" w:rsidRPr="00214B9A">
        <w:rPr>
          <w:rFonts w:asciiTheme="minorHAnsi" w:hAnsiTheme="minorHAnsi" w:cstheme="minorHAnsi"/>
          <w:szCs w:val="22"/>
          <w:lang w:val="en-US"/>
        </w:rPr>
        <w:t xml:space="preserve"> </w:t>
      </w:r>
      <w:r w:rsidR="001D101B" w:rsidRPr="00214B9A">
        <w:rPr>
          <w:rFonts w:asciiTheme="minorHAnsi" w:hAnsiTheme="minorHAnsi" w:cstheme="minorHAnsi"/>
          <w:szCs w:val="22"/>
          <w:lang w:val="en-US"/>
        </w:rPr>
        <w:t>anatomical locat</w:t>
      </w:r>
      <w:r w:rsidR="00B304C7">
        <w:rPr>
          <w:rFonts w:asciiTheme="minorHAnsi" w:hAnsiTheme="minorHAnsi" w:cstheme="minorHAnsi"/>
          <w:szCs w:val="22"/>
          <w:lang w:val="en-US"/>
        </w:rPr>
        <w:t>ions</w:t>
      </w:r>
      <w:r w:rsidR="001D101B" w:rsidRPr="00214B9A">
        <w:rPr>
          <w:rFonts w:asciiTheme="minorHAnsi" w:hAnsiTheme="minorHAnsi" w:cstheme="minorHAnsi"/>
          <w:szCs w:val="22"/>
          <w:lang w:val="en-US"/>
        </w:rPr>
        <w:t xml:space="preserve"> that particularly require </w:t>
      </w:r>
      <w:r w:rsidR="000B457D" w:rsidRPr="00214B9A">
        <w:rPr>
          <w:rFonts w:asciiTheme="minorHAnsi" w:hAnsiTheme="minorHAnsi" w:cstheme="minorHAnsi"/>
          <w:szCs w:val="22"/>
          <w:lang w:val="en-US"/>
        </w:rPr>
        <w:t xml:space="preserve">routine early </w:t>
      </w:r>
      <w:r w:rsidR="001D101B" w:rsidRPr="00214B9A">
        <w:rPr>
          <w:rFonts w:asciiTheme="minorHAnsi" w:hAnsiTheme="minorHAnsi" w:cstheme="minorHAnsi"/>
          <w:szCs w:val="22"/>
          <w:lang w:val="en-US"/>
        </w:rPr>
        <w:t xml:space="preserve">endocrine </w:t>
      </w:r>
      <w:r w:rsidR="000B457D" w:rsidRPr="00214B9A">
        <w:rPr>
          <w:rFonts w:asciiTheme="minorHAnsi" w:hAnsiTheme="minorHAnsi" w:cstheme="minorHAnsi"/>
          <w:szCs w:val="22"/>
          <w:lang w:val="en-US"/>
        </w:rPr>
        <w:t xml:space="preserve">referral and calculation of </w:t>
      </w:r>
      <w:r w:rsidR="001D101B" w:rsidRPr="00214B9A">
        <w:rPr>
          <w:rFonts w:asciiTheme="minorHAnsi" w:hAnsiTheme="minorHAnsi" w:cstheme="minorHAnsi"/>
          <w:szCs w:val="22"/>
          <w:lang w:val="en-US"/>
        </w:rPr>
        <w:t>endocrine morbidity scores in the ‘plus’ component of specific trials</w:t>
      </w:r>
      <w:r w:rsidR="00030319" w:rsidRPr="004A2D5E">
        <w:rPr>
          <w:rFonts w:asciiTheme="minorHAnsi" w:hAnsiTheme="minorHAnsi" w:cstheme="minorHAnsi"/>
          <w:b/>
          <w:szCs w:val="22"/>
          <w:vertAlign w:val="superscript"/>
          <w:lang w:val="en-US"/>
        </w:rPr>
        <w:t>22</w:t>
      </w:r>
      <w:r w:rsidR="00030319">
        <w:rPr>
          <w:rFonts w:asciiTheme="minorHAnsi" w:hAnsiTheme="minorHAnsi" w:cstheme="minorHAnsi"/>
          <w:szCs w:val="22"/>
          <w:lang w:val="en-US"/>
        </w:rPr>
        <w:t>.</w:t>
      </w:r>
      <w:r w:rsidR="000B457D">
        <w:rPr>
          <w:rFonts w:asciiTheme="minorHAnsi" w:hAnsiTheme="minorHAnsi" w:cstheme="minorHAnsi"/>
          <w:szCs w:val="22"/>
          <w:lang w:val="en-US"/>
        </w:rPr>
        <w:t xml:space="preserve"> </w:t>
      </w:r>
    </w:p>
    <w:p w14:paraId="517D4DAF" w14:textId="77777777" w:rsidR="00095F2F" w:rsidRDefault="00095F2F" w:rsidP="008F2249">
      <w:pPr>
        <w:pStyle w:val="Body1"/>
        <w:spacing w:line="480" w:lineRule="auto"/>
        <w:rPr>
          <w:rFonts w:asciiTheme="minorHAnsi" w:hAnsiTheme="minorHAnsi" w:cstheme="minorHAnsi"/>
          <w:szCs w:val="22"/>
          <w:lang w:val="en-GB"/>
        </w:rPr>
      </w:pPr>
    </w:p>
    <w:p w14:paraId="320DAEE8" w14:textId="6D846D39" w:rsidR="00401D24" w:rsidRDefault="00095F2F" w:rsidP="008F2249">
      <w:pPr>
        <w:pStyle w:val="Body1"/>
        <w:spacing w:line="480" w:lineRule="auto"/>
        <w:rPr>
          <w:rFonts w:asciiTheme="minorHAnsi" w:hAnsiTheme="minorHAnsi" w:cstheme="minorHAnsi"/>
          <w:bCs/>
          <w:szCs w:val="22"/>
          <w:lang w:val="en-GB"/>
        </w:rPr>
      </w:pPr>
      <w:r w:rsidRPr="002233FF">
        <w:rPr>
          <w:rFonts w:asciiTheme="minorHAnsi" w:hAnsiTheme="minorHAnsi" w:cstheme="minorHAnsi"/>
          <w:szCs w:val="22"/>
          <w:lang w:val="en-GB"/>
        </w:rPr>
        <w:t>Growth and pubertal data obtained can be</w:t>
      </w:r>
      <w:r w:rsidRPr="002233FF">
        <w:rPr>
          <w:rFonts w:asciiTheme="minorHAnsi" w:hAnsiTheme="minorHAnsi" w:cstheme="minorHAnsi"/>
          <w:bCs/>
          <w:szCs w:val="22"/>
          <w:lang w:val="en-GB"/>
        </w:rPr>
        <w:t xml:space="preserve"> age</w:t>
      </w:r>
      <w:r>
        <w:rPr>
          <w:rFonts w:asciiTheme="minorHAnsi" w:hAnsiTheme="minorHAnsi" w:cstheme="minorHAnsi"/>
          <w:bCs/>
          <w:szCs w:val="22"/>
          <w:lang w:val="en-GB"/>
        </w:rPr>
        <w:t>-</w:t>
      </w:r>
      <w:r w:rsidRPr="002233FF">
        <w:rPr>
          <w:rFonts w:asciiTheme="minorHAnsi" w:hAnsiTheme="minorHAnsi" w:cstheme="minorHAnsi"/>
          <w:bCs/>
          <w:szCs w:val="22"/>
          <w:lang w:val="en-GB"/>
        </w:rPr>
        <w:t xml:space="preserve"> and sex-standardized against each country’s own growth reference values to allow inter- and intra-group comparisons at varying ages and time points for all European data sets</w:t>
      </w:r>
      <w:r>
        <w:rPr>
          <w:rFonts w:asciiTheme="minorHAnsi" w:hAnsiTheme="minorHAnsi" w:cstheme="minorHAnsi"/>
          <w:b/>
          <w:bCs/>
          <w:szCs w:val="22"/>
          <w:vertAlign w:val="superscript"/>
          <w:lang w:val="en-GB"/>
        </w:rPr>
        <w:t>36</w:t>
      </w:r>
      <w:r w:rsidRPr="002233FF">
        <w:rPr>
          <w:rFonts w:asciiTheme="minorHAnsi" w:hAnsiTheme="minorHAnsi" w:cstheme="minorHAnsi"/>
          <w:bCs/>
          <w:szCs w:val="22"/>
          <w:lang w:val="en-GB"/>
        </w:rPr>
        <w:t xml:space="preserve">. </w:t>
      </w:r>
      <w:r>
        <w:rPr>
          <w:rFonts w:asciiTheme="minorHAnsi" w:hAnsiTheme="minorHAnsi" w:cstheme="minorHAnsi"/>
          <w:bCs/>
          <w:szCs w:val="22"/>
          <w:lang w:val="en-GB"/>
        </w:rPr>
        <w:t>A novel way to distinguish central pituitary from peripheral target gland dysfunction using time to hormone replacement therapy and basal biochemistry (TSH and FSH) has been described in Gan et al</w:t>
      </w:r>
      <w:r w:rsidRPr="004A2D5E">
        <w:rPr>
          <w:rFonts w:asciiTheme="minorHAnsi" w:hAnsiTheme="minorHAnsi" w:cstheme="minorHAnsi"/>
          <w:b/>
          <w:bCs/>
          <w:szCs w:val="22"/>
          <w:vertAlign w:val="superscript"/>
          <w:lang w:val="en-GB"/>
        </w:rPr>
        <w:t>22</w:t>
      </w:r>
      <w:r>
        <w:rPr>
          <w:rFonts w:asciiTheme="minorHAnsi" w:hAnsiTheme="minorHAnsi" w:cstheme="minorHAnsi"/>
          <w:bCs/>
          <w:szCs w:val="22"/>
          <w:lang w:val="en-GB"/>
        </w:rPr>
        <w:t xml:space="preserve"> using </w:t>
      </w:r>
      <w:r w:rsidRPr="002233FF">
        <w:rPr>
          <w:rFonts w:asciiTheme="minorHAnsi" w:hAnsiTheme="minorHAnsi" w:cstheme="minorHAnsi"/>
          <w:szCs w:val="22"/>
          <w:lang w:val="en-GB"/>
        </w:rPr>
        <w:t xml:space="preserve">Endocrinopathy Event-Free Survival for each </w:t>
      </w:r>
      <w:r>
        <w:rPr>
          <w:rFonts w:asciiTheme="minorHAnsi" w:hAnsiTheme="minorHAnsi" w:cstheme="minorHAnsi"/>
          <w:szCs w:val="22"/>
          <w:lang w:val="en-GB"/>
        </w:rPr>
        <w:t xml:space="preserve">pituitary </w:t>
      </w:r>
      <w:r w:rsidRPr="002233FF">
        <w:rPr>
          <w:rFonts w:asciiTheme="minorHAnsi" w:hAnsiTheme="minorHAnsi" w:cstheme="minorHAnsi"/>
          <w:szCs w:val="22"/>
          <w:lang w:val="en-GB"/>
        </w:rPr>
        <w:t xml:space="preserve">hormone </w:t>
      </w:r>
      <w:r>
        <w:rPr>
          <w:rFonts w:asciiTheme="minorHAnsi" w:hAnsiTheme="minorHAnsi" w:cstheme="minorHAnsi"/>
          <w:szCs w:val="22"/>
          <w:lang w:val="en-GB"/>
        </w:rPr>
        <w:t xml:space="preserve">deficit </w:t>
      </w:r>
      <w:r w:rsidRPr="002233FF">
        <w:rPr>
          <w:rFonts w:asciiTheme="minorHAnsi" w:hAnsiTheme="minorHAnsi" w:cstheme="minorHAnsi"/>
          <w:szCs w:val="22"/>
          <w:lang w:val="en-GB"/>
        </w:rPr>
        <w:t>(EEFS</w:t>
      </w:r>
      <w:r>
        <w:rPr>
          <w:rFonts w:asciiTheme="minorHAnsi" w:hAnsiTheme="minorHAnsi" w:cstheme="minorHAnsi"/>
          <w:szCs w:val="22"/>
          <w:lang w:val="en-GB"/>
        </w:rPr>
        <w:t xml:space="preserve">), and </w:t>
      </w:r>
      <w:r w:rsidRPr="002233FF">
        <w:rPr>
          <w:rFonts w:asciiTheme="minorHAnsi" w:hAnsiTheme="minorHAnsi" w:cstheme="minorHAnsi"/>
          <w:szCs w:val="22"/>
          <w:lang w:val="en-GB"/>
        </w:rPr>
        <w:t xml:space="preserve">Endocrine </w:t>
      </w:r>
      <w:r>
        <w:rPr>
          <w:rFonts w:asciiTheme="minorHAnsi" w:hAnsiTheme="minorHAnsi" w:cstheme="minorHAnsi"/>
          <w:szCs w:val="22"/>
          <w:lang w:val="en-GB"/>
        </w:rPr>
        <w:t>M</w:t>
      </w:r>
      <w:r w:rsidRPr="002233FF">
        <w:rPr>
          <w:rFonts w:asciiTheme="minorHAnsi" w:hAnsiTheme="minorHAnsi" w:cstheme="minorHAnsi"/>
          <w:szCs w:val="22"/>
          <w:lang w:val="en-GB"/>
        </w:rPr>
        <w:t xml:space="preserve">orbidity </w:t>
      </w:r>
      <w:r>
        <w:rPr>
          <w:rFonts w:asciiTheme="minorHAnsi" w:hAnsiTheme="minorHAnsi" w:cstheme="minorHAnsi"/>
          <w:szCs w:val="22"/>
          <w:lang w:val="en-GB"/>
        </w:rPr>
        <w:t>S</w:t>
      </w:r>
      <w:r w:rsidRPr="002233FF">
        <w:rPr>
          <w:rFonts w:asciiTheme="minorHAnsi" w:hAnsiTheme="minorHAnsi" w:cstheme="minorHAnsi"/>
          <w:szCs w:val="22"/>
          <w:lang w:val="en-GB"/>
        </w:rPr>
        <w:t xml:space="preserve">core </w:t>
      </w:r>
      <w:r>
        <w:rPr>
          <w:rFonts w:asciiTheme="minorHAnsi" w:hAnsiTheme="minorHAnsi" w:cstheme="minorHAnsi"/>
          <w:szCs w:val="22"/>
          <w:lang w:val="en-GB"/>
        </w:rPr>
        <w:t>(</w:t>
      </w:r>
      <w:r w:rsidRPr="002233FF">
        <w:rPr>
          <w:rFonts w:asciiTheme="minorHAnsi" w:hAnsiTheme="minorHAnsi" w:cstheme="minorHAnsi"/>
          <w:szCs w:val="22"/>
          <w:lang w:val="en-GB"/>
        </w:rPr>
        <w:t>EMS</w:t>
      </w:r>
      <w:r w:rsidRPr="004A2D5E">
        <w:rPr>
          <w:rFonts w:asciiTheme="minorHAnsi" w:hAnsiTheme="minorHAnsi" w:cstheme="minorHAnsi"/>
          <w:b/>
          <w:szCs w:val="22"/>
          <w:vertAlign w:val="superscript"/>
          <w:lang w:val="en-GB"/>
        </w:rPr>
        <w:t>22</w:t>
      </w:r>
      <w:r w:rsidRPr="002233FF">
        <w:rPr>
          <w:rFonts w:asciiTheme="minorHAnsi" w:hAnsiTheme="minorHAnsi" w:cstheme="minorHAnsi"/>
          <w:szCs w:val="22"/>
          <w:lang w:val="en-GB"/>
        </w:rPr>
        <w:t>)</w:t>
      </w:r>
      <w:r>
        <w:rPr>
          <w:rFonts w:asciiTheme="minorHAnsi" w:hAnsiTheme="minorHAnsi" w:cstheme="minorHAnsi"/>
          <w:bCs/>
          <w:szCs w:val="22"/>
          <w:lang w:val="en-GB"/>
        </w:rPr>
        <w:t xml:space="preserve"> that can be recorded on specifically designed Case Report Forms (CRFs).</w:t>
      </w:r>
    </w:p>
    <w:p w14:paraId="1A94A35B" w14:textId="77777777" w:rsidR="00095F2F" w:rsidRPr="002233FF" w:rsidRDefault="00095F2F" w:rsidP="008F2249">
      <w:pPr>
        <w:pStyle w:val="Body1"/>
        <w:spacing w:line="480" w:lineRule="auto"/>
        <w:rPr>
          <w:rFonts w:asciiTheme="minorHAnsi" w:hAnsiTheme="minorHAnsi" w:cstheme="minorHAnsi"/>
          <w:szCs w:val="22"/>
          <w:lang w:val="en-US"/>
        </w:rPr>
      </w:pPr>
    </w:p>
    <w:p w14:paraId="51FBBCD1" w14:textId="77777777" w:rsidR="00372805" w:rsidRPr="002233FF" w:rsidRDefault="00372805" w:rsidP="008F2249">
      <w:pPr>
        <w:pStyle w:val="ListParagraph"/>
        <w:numPr>
          <w:ilvl w:val="0"/>
          <w:numId w:val="1"/>
        </w:numPr>
        <w:spacing w:after="0"/>
        <w:rPr>
          <w:rFonts w:asciiTheme="minorHAnsi" w:hAnsiTheme="minorHAnsi" w:cstheme="minorHAnsi"/>
          <w:b/>
          <w:lang w:val="en-US"/>
        </w:rPr>
      </w:pPr>
      <w:r w:rsidRPr="002233FF">
        <w:rPr>
          <w:rFonts w:asciiTheme="minorHAnsi" w:hAnsiTheme="minorHAnsi" w:cstheme="minorHAnsi"/>
          <w:b/>
          <w:lang w:val="en-US"/>
        </w:rPr>
        <w:t>Developing an agreed protocol</w:t>
      </w:r>
    </w:p>
    <w:p w14:paraId="41878327" w14:textId="77777777" w:rsidR="00372805" w:rsidRPr="002233FF" w:rsidRDefault="00372805" w:rsidP="008F2249">
      <w:pPr>
        <w:spacing w:after="0" w:line="360" w:lineRule="auto"/>
        <w:rPr>
          <w:rFonts w:asciiTheme="minorHAnsi" w:hAnsiTheme="minorHAnsi" w:cstheme="minorHAnsi"/>
          <w:lang w:val="en-US"/>
        </w:rPr>
      </w:pPr>
    </w:p>
    <w:p w14:paraId="06BF5839" w14:textId="0520E08C" w:rsidR="007C01BE" w:rsidRPr="002233FF" w:rsidRDefault="00372805" w:rsidP="00BE64B7">
      <w:pPr>
        <w:pStyle w:val="Body1"/>
        <w:spacing w:line="480" w:lineRule="auto"/>
        <w:rPr>
          <w:rFonts w:asciiTheme="minorHAnsi" w:hAnsiTheme="minorHAnsi" w:cstheme="minorHAnsi"/>
          <w:szCs w:val="22"/>
          <w:lang w:val="en-US"/>
        </w:rPr>
      </w:pPr>
      <w:r w:rsidRPr="002233FF">
        <w:rPr>
          <w:rFonts w:asciiTheme="minorHAnsi" w:hAnsiTheme="minorHAnsi" w:cstheme="minorHAnsi"/>
          <w:szCs w:val="22"/>
          <w:lang w:val="en-US"/>
        </w:rPr>
        <w:t>In Europe, differences in national practice, availability of different</w:t>
      </w:r>
      <w:r w:rsidR="00093288" w:rsidRPr="002233FF">
        <w:rPr>
          <w:rFonts w:asciiTheme="minorHAnsi" w:hAnsiTheme="minorHAnsi" w:cstheme="minorHAnsi"/>
          <w:szCs w:val="22"/>
          <w:lang w:val="en-US"/>
        </w:rPr>
        <w:t xml:space="preserve"> cognitive </w:t>
      </w:r>
      <w:r w:rsidRPr="002233FF">
        <w:rPr>
          <w:rFonts w:asciiTheme="minorHAnsi" w:hAnsiTheme="minorHAnsi" w:cstheme="minorHAnsi"/>
          <w:szCs w:val="22"/>
          <w:lang w:val="en-US"/>
        </w:rPr>
        <w:t>assessment tools</w:t>
      </w:r>
      <w:r w:rsidR="00EC5CE6">
        <w:rPr>
          <w:rFonts w:asciiTheme="minorHAnsi" w:hAnsiTheme="minorHAnsi" w:cstheme="minorHAnsi"/>
          <w:szCs w:val="22"/>
          <w:lang w:val="en-US"/>
        </w:rPr>
        <w:t>,</w:t>
      </w:r>
      <w:r w:rsidRPr="002233FF">
        <w:rPr>
          <w:rFonts w:asciiTheme="minorHAnsi" w:hAnsiTheme="minorHAnsi" w:cstheme="minorHAnsi"/>
          <w:szCs w:val="22"/>
          <w:lang w:val="en-US"/>
        </w:rPr>
        <w:t xml:space="preserve"> and </w:t>
      </w:r>
      <w:r w:rsidR="00B22A36">
        <w:rPr>
          <w:rFonts w:asciiTheme="minorHAnsi" w:hAnsiTheme="minorHAnsi" w:cstheme="minorHAnsi"/>
          <w:szCs w:val="22"/>
          <w:lang w:val="en-US"/>
        </w:rPr>
        <w:t>the</w:t>
      </w:r>
      <w:r w:rsidR="001F02B6">
        <w:rPr>
          <w:rFonts w:asciiTheme="minorHAnsi" w:hAnsiTheme="minorHAnsi" w:cstheme="minorHAnsi"/>
          <w:szCs w:val="22"/>
          <w:lang w:val="en-US"/>
        </w:rPr>
        <w:t xml:space="preserve"> </w:t>
      </w:r>
      <w:r w:rsidR="00C83205">
        <w:rPr>
          <w:rFonts w:asciiTheme="minorHAnsi" w:hAnsiTheme="minorHAnsi" w:cstheme="minorHAnsi"/>
          <w:szCs w:val="22"/>
          <w:lang w:val="en-US"/>
        </w:rPr>
        <w:t xml:space="preserve">multiple native </w:t>
      </w:r>
      <w:r w:rsidR="001F02B6">
        <w:rPr>
          <w:rFonts w:asciiTheme="minorHAnsi" w:hAnsiTheme="minorHAnsi" w:cstheme="minorHAnsi"/>
          <w:szCs w:val="22"/>
          <w:lang w:val="en-US"/>
        </w:rPr>
        <w:t>languages</w:t>
      </w:r>
      <w:r w:rsidRPr="002233FF">
        <w:rPr>
          <w:rFonts w:asciiTheme="minorHAnsi" w:hAnsiTheme="minorHAnsi" w:cstheme="minorHAnsi"/>
          <w:szCs w:val="22"/>
          <w:lang w:val="en-US"/>
        </w:rPr>
        <w:t>, adds a degree of complexity to developing a protocol that is comparable across countries. However</w:t>
      </w:r>
      <w:r w:rsidR="00EC5CE6">
        <w:rPr>
          <w:rFonts w:asciiTheme="minorHAnsi" w:hAnsiTheme="minorHAnsi" w:cstheme="minorHAnsi"/>
          <w:szCs w:val="22"/>
          <w:lang w:val="en-US"/>
        </w:rPr>
        <w:t>,</w:t>
      </w:r>
      <w:r w:rsidRPr="002233FF">
        <w:rPr>
          <w:rFonts w:asciiTheme="minorHAnsi" w:hAnsiTheme="minorHAnsi" w:cstheme="minorHAnsi"/>
          <w:szCs w:val="22"/>
          <w:lang w:val="en-US"/>
        </w:rPr>
        <w:t xml:space="preserve"> as identified in Limond et al</w:t>
      </w:r>
      <w:r w:rsidR="001F02B6">
        <w:rPr>
          <w:rFonts w:asciiTheme="minorHAnsi" w:hAnsiTheme="minorHAnsi" w:cstheme="minorHAnsi"/>
          <w:szCs w:val="22"/>
          <w:lang w:val="en-US"/>
        </w:rPr>
        <w:t>.</w:t>
      </w:r>
      <w:r w:rsidR="00E67119">
        <w:rPr>
          <w:rFonts w:asciiTheme="minorHAnsi" w:hAnsiTheme="minorHAnsi" w:cstheme="minorHAnsi"/>
          <w:b/>
          <w:szCs w:val="22"/>
          <w:vertAlign w:val="superscript"/>
          <w:lang w:val="en-US"/>
        </w:rPr>
        <w:t>9</w:t>
      </w:r>
      <w:r w:rsidR="00EC5CE6">
        <w:rPr>
          <w:rFonts w:asciiTheme="minorHAnsi" w:hAnsiTheme="minorHAnsi" w:cstheme="minorHAnsi"/>
          <w:szCs w:val="22"/>
          <w:lang w:val="en-US"/>
        </w:rPr>
        <w:t>,</w:t>
      </w:r>
      <w:r w:rsidRPr="002233FF">
        <w:rPr>
          <w:rFonts w:asciiTheme="minorHAnsi" w:hAnsiTheme="minorHAnsi" w:cstheme="minorHAnsi"/>
          <w:szCs w:val="22"/>
          <w:lang w:val="en-US"/>
        </w:rPr>
        <w:t xml:space="preserve"> the SIOP-E Brain Tumour QoS working</w:t>
      </w:r>
      <w:r w:rsidR="002233FF" w:rsidRPr="002233FF">
        <w:rPr>
          <w:rFonts w:asciiTheme="minorHAnsi" w:hAnsiTheme="minorHAnsi" w:cstheme="minorHAnsi"/>
          <w:szCs w:val="22"/>
          <w:lang w:val="en-US"/>
        </w:rPr>
        <w:t xml:space="preserve"> group</w:t>
      </w:r>
      <w:r w:rsidRPr="002233FF">
        <w:rPr>
          <w:rFonts w:asciiTheme="minorHAnsi" w:hAnsiTheme="minorHAnsi" w:cstheme="minorHAnsi"/>
          <w:szCs w:val="22"/>
          <w:lang w:val="en-US"/>
        </w:rPr>
        <w:t xml:space="preserve"> has hosted international meeting</w:t>
      </w:r>
      <w:r w:rsidR="000615F0" w:rsidRPr="002233FF">
        <w:rPr>
          <w:rFonts w:asciiTheme="minorHAnsi" w:hAnsiTheme="minorHAnsi" w:cstheme="minorHAnsi"/>
          <w:szCs w:val="22"/>
          <w:lang w:val="en-US"/>
        </w:rPr>
        <w:t>s</w:t>
      </w:r>
      <w:r w:rsidRPr="002233FF">
        <w:rPr>
          <w:rFonts w:asciiTheme="minorHAnsi" w:hAnsiTheme="minorHAnsi" w:cstheme="minorHAnsi"/>
          <w:szCs w:val="22"/>
          <w:lang w:val="en-US"/>
        </w:rPr>
        <w:t xml:space="preserve"> where a consensus view has been developed</w:t>
      </w:r>
      <w:r w:rsidR="00EC5CE6">
        <w:rPr>
          <w:rFonts w:asciiTheme="minorHAnsi" w:hAnsiTheme="minorHAnsi" w:cstheme="minorHAnsi"/>
          <w:szCs w:val="22"/>
          <w:lang w:val="en-US"/>
        </w:rPr>
        <w:t>,</w:t>
      </w:r>
      <w:r w:rsidR="00292324" w:rsidRPr="002233FF">
        <w:rPr>
          <w:rFonts w:asciiTheme="minorHAnsi" w:hAnsiTheme="minorHAnsi" w:cstheme="minorHAnsi"/>
          <w:szCs w:val="22"/>
          <w:lang w:val="en-US"/>
        </w:rPr>
        <w:t xml:space="preserve"> again </w:t>
      </w:r>
      <w:r w:rsidR="00B1433D" w:rsidRPr="002233FF">
        <w:rPr>
          <w:rFonts w:asciiTheme="minorHAnsi" w:hAnsiTheme="minorHAnsi" w:cstheme="minorHAnsi"/>
          <w:szCs w:val="22"/>
          <w:lang w:val="en-US"/>
        </w:rPr>
        <w:t xml:space="preserve">recommending </w:t>
      </w:r>
      <w:r w:rsidRPr="002233FF">
        <w:rPr>
          <w:rFonts w:asciiTheme="minorHAnsi" w:hAnsiTheme="minorHAnsi" w:cstheme="minorHAnsi"/>
          <w:szCs w:val="22"/>
          <w:lang w:val="en-US"/>
        </w:rPr>
        <w:t xml:space="preserve">a ‘core plus’ approach, </w:t>
      </w:r>
      <w:r w:rsidR="00CB7071" w:rsidRPr="002233FF">
        <w:rPr>
          <w:rFonts w:asciiTheme="minorHAnsi" w:hAnsiTheme="minorHAnsi" w:cstheme="minorHAnsi"/>
          <w:szCs w:val="22"/>
          <w:lang w:val="en-US"/>
        </w:rPr>
        <w:t xml:space="preserve">with </w:t>
      </w:r>
      <w:r w:rsidRPr="002233FF">
        <w:rPr>
          <w:rFonts w:asciiTheme="minorHAnsi" w:hAnsiTheme="minorHAnsi" w:cstheme="minorHAnsi"/>
          <w:szCs w:val="22"/>
          <w:lang w:val="en-US"/>
        </w:rPr>
        <w:t xml:space="preserve">core </w:t>
      </w:r>
      <w:r w:rsidR="0025202E">
        <w:rPr>
          <w:rFonts w:asciiTheme="minorHAnsi" w:hAnsiTheme="minorHAnsi" w:cstheme="minorHAnsi"/>
          <w:szCs w:val="22"/>
          <w:lang w:val="en-US"/>
        </w:rPr>
        <w:t xml:space="preserve">measures for </w:t>
      </w:r>
      <w:r w:rsidRPr="002233FF">
        <w:rPr>
          <w:rFonts w:asciiTheme="minorHAnsi" w:hAnsiTheme="minorHAnsi" w:cstheme="minorHAnsi"/>
          <w:szCs w:val="22"/>
          <w:lang w:val="en-US"/>
        </w:rPr>
        <w:t>both direct and indirect assessments</w:t>
      </w:r>
      <w:r w:rsidR="00CB7071" w:rsidRPr="002233FF">
        <w:rPr>
          <w:rFonts w:asciiTheme="minorHAnsi" w:hAnsiTheme="minorHAnsi" w:cstheme="minorHAnsi"/>
          <w:szCs w:val="22"/>
          <w:lang w:val="en-US"/>
        </w:rPr>
        <w:t xml:space="preserve">, </w:t>
      </w:r>
      <w:r w:rsidRPr="002233FF">
        <w:rPr>
          <w:rFonts w:asciiTheme="minorHAnsi" w:hAnsiTheme="minorHAnsi" w:cstheme="minorHAnsi"/>
          <w:szCs w:val="22"/>
          <w:lang w:val="en-US"/>
        </w:rPr>
        <w:t xml:space="preserve">for all clinical trials. </w:t>
      </w:r>
      <w:r w:rsidR="00095F2F">
        <w:rPr>
          <w:rFonts w:asciiTheme="minorHAnsi" w:hAnsiTheme="minorHAnsi" w:cstheme="minorHAnsi"/>
          <w:szCs w:val="22"/>
          <w:lang w:val="en-US"/>
        </w:rPr>
        <w:t>For</w:t>
      </w:r>
      <w:r w:rsidR="00547D37">
        <w:rPr>
          <w:rFonts w:asciiTheme="minorHAnsi" w:hAnsiTheme="minorHAnsi" w:cstheme="minorHAnsi"/>
          <w:szCs w:val="22"/>
          <w:lang w:val="en-US"/>
        </w:rPr>
        <w:t xml:space="preserve"> cognition, t</w:t>
      </w:r>
      <w:r w:rsidRPr="002233FF">
        <w:rPr>
          <w:rFonts w:asciiTheme="minorHAnsi" w:hAnsiTheme="minorHAnsi" w:cstheme="minorHAnsi"/>
          <w:szCs w:val="22"/>
          <w:lang w:val="en-US"/>
        </w:rPr>
        <w:t xml:space="preserve">he core component is relatively brief, and in children less than </w:t>
      </w:r>
      <w:r w:rsidR="00EC5CE6">
        <w:rPr>
          <w:rFonts w:asciiTheme="minorHAnsi" w:hAnsiTheme="minorHAnsi" w:cstheme="minorHAnsi"/>
          <w:szCs w:val="22"/>
          <w:lang w:val="en-US"/>
        </w:rPr>
        <w:t>four</w:t>
      </w:r>
      <w:r w:rsidR="00EC5CE6" w:rsidRPr="002233FF">
        <w:rPr>
          <w:rFonts w:asciiTheme="minorHAnsi" w:hAnsiTheme="minorHAnsi" w:cstheme="minorHAnsi"/>
          <w:szCs w:val="22"/>
          <w:lang w:val="en-US"/>
        </w:rPr>
        <w:t xml:space="preserve"> </w:t>
      </w:r>
      <w:r w:rsidR="002233FF" w:rsidRPr="002233FF">
        <w:rPr>
          <w:rFonts w:asciiTheme="minorHAnsi" w:hAnsiTheme="minorHAnsi" w:cstheme="minorHAnsi"/>
          <w:szCs w:val="22"/>
          <w:lang w:val="en-US"/>
        </w:rPr>
        <w:t>years</w:t>
      </w:r>
      <w:r w:rsidR="00EC5CE6">
        <w:rPr>
          <w:rFonts w:asciiTheme="minorHAnsi" w:hAnsiTheme="minorHAnsi" w:cstheme="minorHAnsi"/>
          <w:szCs w:val="22"/>
          <w:lang w:val="en-US"/>
        </w:rPr>
        <w:t xml:space="preserve"> old</w:t>
      </w:r>
      <w:r w:rsidRPr="002233FF">
        <w:rPr>
          <w:rFonts w:asciiTheme="minorHAnsi" w:hAnsiTheme="minorHAnsi" w:cstheme="minorHAnsi"/>
          <w:szCs w:val="22"/>
          <w:lang w:val="en-US"/>
        </w:rPr>
        <w:t xml:space="preserve">, involves only indirect measures.  </w:t>
      </w:r>
      <w:r w:rsidR="00A83989" w:rsidRPr="002233FF">
        <w:rPr>
          <w:rFonts w:asciiTheme="minorHAnsi" w:hAnsiTheme="minorHAnsi" w:cstheme="minorHAnsi"/>
          <w:szCs w:val="22"/>
          <w:lang w:val="en-US"/>
        </w:rPr>
        <w:t>As</w:t>
      </w:r>
      <w:r w:rsidR="009E56DB" w:rsidRPr="002233FF">
        <w:rPr>
          <w:rFonts w:asciiTheme="minorHAnsi" w:hAnsiTheme="minorHAnsi" w:cstheme="minorHAnsi"/>
          <w:szCs w:val="22"/>
          <w:lang w:val="en-US"/>
        </w:rPr>
        <w:t xml:space="preserve"> </w:t>
      </w:r>
      <w:r w:rsidR="0034546F" w:rsidRPr="002233FF">
        <w:rPr>
          <w:rFonts w:asciiTheme="minorHAnsi" w:hAnsiTheme="minorHAnsi" w:cstheme="minorHAnsi"/>
          <w:szCs w:val="22"/>
          <w:lang w:val="en-US"/>
        </w:rPr>
        <w:t>before</w:t>
      </w:r>
      <w:r w:rsidR="00EC5CE6">
        <w:rPr>
          <w:rFonts w:asciiTheme="minorHAnsi" w:hAnsiTheme="minorHAnsi" w:cstheme="minorHAnsi"/>
          <w:szCs w:val="22"/>
          <w:lang w:val="en-US"/>
        </w:rPr>
        <w:t>,</w:t>
      </w:r>
      <w:r w:rsidR="0034546F" w:rsidRPr="002233FF">
        <w:rPr>
          <w:rFonts w:asciiTheme="minorHAnsi" w:hAnsiTheme="minorHAnsi" w:cstheme="minorHAnsi"/>
          <w:szCs w:val="22"/>
          <w:lang w:val="en-US"/>
        </w:rPr>
        <w:t xml:space="preserve"> </w:t>
      </w:r>
      <w:r w:rsidR="008D3D08">
        <w:rPr>
          <w:rFonts w:asciiTheme="minorHAnsi" w:hAnsiTheme="minorHAnsi" w:cstheme="minorHAnsi"/>
          <w:szCs w:val="22"/>
          <w:lang w:val="en-US"/>
        </w:rPr>
        <w:t>c</w:t>
      </w:r>
      <w:r w:rsidR="008D3D08" w:rsidRPr="002233FF">
        <w:rPr>
          <w:rFonts w:asciiTheme="minorHAnsi" w:hAnsiTheme="minorHAnsi" w:cstheme="minorHAnsi"/>
          <w:szCs w:val="22"/>
          <w:lang w:val="en-US"/>
        </w:rPr>
        <w:t xml:space="preserve">onsensus agreement of the protocol </w:t>
      </w:r>
      <w:r w:rsidR="008D3D08">
        <w:rPr>
          <w:rFonts w:asciiTheme="minorHAnsi" w:hAnsiTheme="minorHAnsi" w:cstheme="minorHAnsi"/>
          <w:szCs w:val="22"/>
          <w:lang w:val="en-US"/>
        </w:rPr>
        <w:t xml:space="preserve">in relation to cognitive function </w:t>
      </w:r>
      <w:r w:rsidR="008D3D08" w:rsidRPr="002233FF">
        <w:rPr>
          <w:rFonts w:asciiTheme="minorHAnsi" w:hAnsiTheme="minorHAnsi" w:cstheme="minorHAnsi"/>
          <w:szCs w:val="22"/>
          <w:lang w:val="en-US"/>
        </w:rPr>
        <w:t xml:space="preserve">was </w:t>
      </w:r>
      <w:r w:rsidR="008D3D08">
        <w:rPr>
          <w:rFonts w:asciiTheme="minorHAnsi" w:hAnsiTheme="minorHAnsi" w:cstheme="minorHAnsi"/>
          <w:szCs w:val="22"/>
          <w:lang w:val="en-US"/>
        </w:rPr>
        <w:t>related</w:t>
      </w:r>
      <w:r w:rsidR="008D3D08" w:rsidRPr="002233FF">
        <w:rPr>
          <w:rFonts w:asciiTheme="minorHAnsi" w:hAnsiTheme="minorHAnsi" w:cstheme="minorHAnsi"/>
          <w:szCs w:val="22"/>
          <w:lang w:val="en-US"/>
        </w:rPr>
        <w:t xml:space="preserve"> to domains of</w:t>
      </w:r>
      <w:r w:rsidR="008D3D08">
        <w:rPr>
          <w:rFonts w:asciiTheme="minorHAnsi" w:hAnsiTheme="minorHAnsi" w:cstheme="minorHAnsi"/>
          <w:szCs w:val="22"/>
          <w:lang w:val="en-US"/>
        </w:rPr>
        <w:t xml:space="preserve"> </w:t>
      </w:r>
      <w:r w:rsidR="008D3D08" w:rsidRPr="002233FF">
        <w:rPr>
          <w:rFonts w:asciiTheme="minorHAnsi" w:hAnsiTheme="minorHAnsi" w:cstheme="minorHAnsi"/>
          <w:szCs w:val="22"/>
          <w:lang w:val="en-US"/>
        </w:rPr>
        <w:t>functioning rather than assessment tools per se due to a lack of universal availability of specific tests</w:t>
      </w:r>
      <w:r w:rsidR="008D3D08">
        <w:rPr>
          <w:rFonts w:asciiTheme="minorHAnsi" w:hAnsiTheme="minorHAnsi" w:cstheme="minorHAnsi"/>
          <w:szCs w:val="22"/>
          <w:lang w:val="en-US"/>
        </w:rPr>
        <w:t xml:space="preserve"> and the possibility of new measures being published in coming years</w:t>
      </w:r>
      <w:r w:rsidR="008D3D08" w:rsidRPr="002233FF">
        <w:rPr>
          <w:rFonts w:asciiTheme="minorHAnsi" w:hAnsiTheme="minorHAnsi" w:cstheme="minorHAnsi"/>
          <w:szCs w:val="22"/>
          <w:lang w:val="en-US"/>
        </w:rPr>
        <w:t>.</w:t>
      </w:r>
      <w:r w:rsidR="008D3D08">
        <w:rPr>
          <w:rFonts w:asciiTheme="minorHAnsi" w:hAnsiTheme="minorHAnsi" w:cstheme="minorHAnsi"/>
          <w:szCs w:val="22"/>
          <w:lang w:val="en-US"/>
        </w:rPr>
        <w:t xml:space="preserve"> W</w:t>
      </w:r>
      <w:r w:rsidRPr="002233FF">
        <w:rPr>
          <w:rFonts w:asciiTheme="minorHAnsi" w:hAnsiTheme="minorHAnsi" w:cstheme="minorHAnsi"/>
          <w:szCs w:val="22"/>
          <w:lang w:val="en-US"/>
        </w:rPr>
        <w:t>e suggest</w:t>
      </w:r>
      <w:r w:rsidR="00EC5CE6">
        <w:rPr>
          <w:rFonts w:asciiTheme="minorHAnsi" w:hAnsiTheme="minorHAnsi" w:cstheme="minorHAnsi"/>
          <w:szCs w:val="22"/>
          <w:lang w:val="en-US"/>
        </w:rPr>
        <w:t xml:space="preserve"> that</w:t>
      </w:r>
      <w:r w:rsidRPr="002233FF">
        <w:rPr>
          <w:rFonts w:asciiTheme="minorHAnsi" w:hAnsiTheme="minorHAnsi" w:cstheme="minorHAnsi"/>
          <w:szCs w:val="22"/>
          <w:lang w:val="en-US"/>
        </w:rPr>
        <w:t xml:space="preserve"> the issue of different test availability in different countries </w:t>
      </w:r>
      <w:r w:rsidR="00EC5CE6">
        <w:rPr>
          <w:rFonts w:asciiTheme="minorHAnsi" w:hAnsiTheme="minorHAnsi" w:cstheme="minorHAnsi"/>
          <w:szCs w:val="22"/>
          <w:lang w:val="en-US"/>
        </w:rPr>
        <w:t>be</w:t>
      </w:r>
      <w:r w:rsidR="00EC5CE6" w:rsidRPr="002233FF">
        <w:rPr>
          <w:rFonts w:asciiTheme="minorHAnsi" w:hAnsiTheme="minorHAnsi" w:cstheme="minorHAnsi"/>
          <w:szCs w:val="22"/>
          <w:lang w:val="en-US"/>
        </w:rPr>
        <w:t xml:space="preserve"> </w:t>
      </w:r>
      <w:r w:rsidRPr="002233FF">
        <w:rPr>
          <w:rFonts w:asciiTheme="minorHAnsi" w:hAnsiTheme="minorHAnsi" w:cstheme="minorHAnsi"/>
          <w:szCs w:val="22"/>
          <w:lang w:val="en-US"/>
        </w:rPr>
        <w:t>manage</w:t>
      </w:r>
      <w:r w:rsidR="00BA0959" w:rsidRPr="002233FF">
        <w:rPr>
          <w:rFonts w:asciiTheme="minorHAnsi" w:hAnsiTheme="minorHAnsi" w:cstheme="minorHAnsi"/>
          <w:szCs w:val="22"/>
          <w:lang w:val="en-US"/>
        </w:rPr>
        <w:t>d by</w:t>
      </w:r>
      <w:r w:rsidRPr="002233FF">
        <w:rPr>
          <w:rFonts w:asciiTheme="minorHAnsi" w:hAnsiTheme="minorHAnsi" w:cstheme="minorHAnsi"/>
          <w:szCs w:val="22"/>
          <w:lang w:val="en-US"/>
        </w:rPr>
        <w:t xml:space="preserve"> z-score comparison </w:t>
      </w:r>
      <w:r w:rsidR="0094629B" w:rsidRPr="002233FF">
        <w:rPr>
          <w:rFonts w:asciiTheme="minorHAnsi" w:hAnsiTheme="minorHAnsi" w:cstheme="minorHAnsi"/>
          <w:szCs w:val="22"/>
          <w:lang w:val="en-US"/>
        </w:rPr>
        <w:t xml:space="preserve">and </w:t>
      </w:r>
      <w:r w:rsidRPr="002233FF">
        <w:rPr>
          <w:rFonts w:asciiTheme="minorHAnsi" w:hAnsiTheme="minorHAnsi" w:cstheme="minorHAnsi"/>
          <w:szCs w:val="22"/>
          <w:lang w:val="en-US"/>
        </w:rPr>
        <w:t>data from tests measu</w:t>
      </w:r>
      <w:r w:rsidR="001169DD" w:rsidRPr="002233FF">
        <w:rPr>
          <w:rFonts w:asciiTheme="minorHAnsi" w:hAnsiTheme="minorHAnsi" w:cstheme="minorHAnsi"/>
          <w:szCs w:val="22"/>
          <w:lang w:val="en-US"/>
        </w:rPr>
        <w:t>ring</w:t>
      </w:r>
      <w:r w:rsidR="002233FF">
        <w:rPr>
          <w:rFonts w:asciiTheme="minorHAnsi" w:hAnsiTheme="minorHAnsi" w:cstheme="minorHAnsi"/>
          <w:szCs w:val="22"/>
          <w:lang w:val="en-US"/>
        </w:rPr>
        <w:t xml:space="preserve"> the</w:t>
      </w:r>
      <w:r w:rsidRPr="002233FF">
        <w:rPr>
          <w:rFonts w:asciiTheme="minorHAnsi" w:hAnsiTheme="minorHAnsi" w:cstheme="minorHAnsi"/>
          <w:szCs w:val="22"/>
          <w:lang w:val="en-US"/>
        </w:rPr>
        <w:t xml:space="preserve"> same domains and constructs </w:t>
      </w:r>
      <w:r w:rsidR="001169DD" w:rsidRPr="002233FF">
        <w:rPr>
          <w:rFonts w:asciiTheme="minorHAnsi" w:hAnsiTheme="minorHAnsi" w:cstheme="minorHAnsi"/>
          <w:szCs w:val="22"/>
          <w:lang w:val="en-US"/>
        </w:rPr>
        <w:t>is</w:t>
      </w:r>
      <w:r w:rsidRPr="002233FF">
        <w:rPr>
          <w:rFonts w:asciiTheme="minorHAnsi" w:hAnsiTheme="minorHAnsi" w:cstheme="minorHAnsi"/>
          <w:szCs w:val="22"/>
          <w:lang w:val="en-US"/>
        </w:rPr>
        <w:t xml:space="preserve"> pooled using analysis of z-scores.</w:t>
      </w:r>
      <w:r w:rsidR="002233FF">
        <w:rPr>
          <w:rFonts w:asciiTheme="minorHAnsi" w:hAnsiTheme="minorHAnsi" w:cstheme="minorHAnsi"/>
          <w:szCs w:val="22"/>
          <w:lang w:val="en-US"/>
        </w:rPr>
        <w:t xml:space="preserve"> </w:t>
      </w:r>
    </w:p>
    <w:p w14:paraId="75A82924" w14:textId="77777777" w:rsidR="007C01BE" w:rsidRPr="002233FF" w:rsidRDefault="007C01BE">
      <w:pPr>
        <w:pStyle w:val="Body1"/>
        <w:spacing w:line="480" w:lineRule="auto"/>
        <w:rPr>
          <w:rFonts w:asciiTheme="minorHAnsi" w:hAnsiTheme="minorHAnsi" w:cstheme="minorHAnsi"/>
          <w:szCs w:val="22"/>
          <w:lang w:val="en-US"/>
        </w:rPr>
      </w:pPr>
    </w:p>
    <w:p w14:paraId="4F3F5140" w14:textId="4E73C09A" w:rsidR="00372805" w:rsidRPr="00717345" w:rsidRDefault="00FA359C" w:rsidP="007D1FB6">
      <w:pPr>
        <w:pStyle w:val="Body1"/>
        <w:spacing w:line="480" w:lineRule="auto"/>
        <w:rPr>
          <w:rFonts w:asciiTheme="minorHAnsi" w:hAnsiTheme="minorHAnsi" w:cstheme="minorHAnsi"/>
          <w:szCs w:val="22"/>
          <w:lang w:val="en-GB"/>
        </w:rPr>
      </w:pPr>
      <w:bookmarkStart w:id="4" w:name="_Hlk14503922"/>
      <w:r w:rsidRPr="00214B9A">
        <w:rPr>
          <w:rFonts w:asciiTheme="minorHAnsi" w:hAnsiTheme="minorHAnsi" w:cstheme="minorHAnsi"/>
          <w:szCs w:val="22"/>
          <w:lang w:val="en-US"/>
        </w:rPr>
        <w:t>In a</w:t>
      </w:r>
      <w:r w:rsidR="007700F7" w:rsidRPr="00214B9A">
        <w:rPr>
          <w:rFonts w:asciiTheme="minorHAnsi" w:hAnsiTheme="minorHAnsi" w:cstheme="minorHAnsi"/>
          <w:szCs w:val="22"/>
          <w:lang w:val="en-US"/>
        </w:rPr>
        <w:t>ddition</w:t>
      </w:r>
      <w:r w:rsidR="00250DF5" w:rsidRPr="00214B9A">
        <w:rPr>
          <w:rFonts w:asciiTheme="minorHAnsi" w:hAnsiTheme="minorHAnsi" w:cstheme="minorHAnsi"/>
          <w:szCs w:val="22"/>
          <w:lang w:val="en-US"/>
        </w:rPr>
        <w:t>,</w:t>
      </w:r>
      <w:r w:rsidR="007700F7" w:rsidRPr="00214B9A">
        <w:rPr>
          <w:rFonts w:asciiTheme="minorHAnsi" w:hAnsiTheme="minorHAnsi" w:cstheme="minorHAnsi"/>
          <w:szCs w:val="22"/>
          <w:lang w:val="en-US"/>
        </w:rPr>
        <w:t xml:space="preserve"> </w:t>
      </w:r>
      <w:r w:rsidRPr="00214B9A">
        <w:rPr>
          <w:rFonts w:asciiTheme="minorHAnsi" w:hAnsiTheme="minorHAnsi" w:cstheme="minorHAnsi"/>
          <w:szCs w:val="22"/>
          <w:lang w:val="en-US"/>
        </w:rPr>
        <w:t>e</w:t>
      </w:r>
      <w:r w:rsidR="00372805" w:rsidRPr="00214B9A">
        <w:rPr>
          <w:rFonts w:asciiTheme="minorHAnsi" w:hAnsiTheme="minorHAnsi" w:cstheme="minorHAnsi"/>
          <w:szCs w:val="22"/>
          <w:lang w:val="en-GB"/>
        </w:rPr>
        <w:t>ndocrine and other medical data</w:t>
      </w:r>
      <w:r w:rsidR="0000449C" w:rsidRPr="00214B9A">
        <w:rPr>
          <w:rFonts w:asciiTheme="minorHAnsi" w:hAnsiTheme="minorHAnsi" w:cstheme="minorHAnsi"/>
          <w:szCs w:val="22"/>
          <w:lang w:val="en-GB"/>
        </w:rPr>
        <w:t xml:space="preserve"> (e.g. </w:t>
      </w:r>
      <w:r w:rsidR="003A7540" w:rsidRPr="00214B9A">
        <w:rPr>
          <w:rFonts w:asciiTheme="minorHAnsi" w:hAnsiTheme="minorHAnsi" w:cstheme="minorHAnsi"/>
          <w:szCs w:val="22"/>
          <w:lang w:val="en-GB"/>
        </w:rPr>
        <w:t xml:space="preserve">height, weight, </w:t>
      </w:r>
      <w:r w:rsidR="00A91693" w:rsidRPr="00214B9A">
        <w:rPr>
          <w:rFonts w:asciiTheme="minorHAnsi" w:hAnsiTheme="minorHAnsi" w:cstheme="minorHAnsi"/>
          <w:szCs w:val="22"/>
          <w:lang w:val="en-GB"/>
        </w:rPr>
        <w:t xml:space="preserve">Tanner stage, </w:t>
      </w:r>
      <w:r w:rsidR="0000449C" w:rsidRPr="00214B9A">
        <w:rPr>
          <w:rFonts w:asciiTheme="minorHAnsi" w:hAnsiTheme="minorHAnsi" w:cstheme="minorHAnsi"/>
          <w:szCs w:val="22"/>
          <w:lang w:val="en-GB"/>
        </w:rPr>
        <w:t xml:space="preserve">hydrocephalus, epilepsy, </w:t>
      </w:r>
      <w:r w:rsidR="002F3906" w:rsidRPr="00214B9A">
        <w:rPr>
          <w:rFonts w:asciiTheme="minorHAnsi" w:hAnsiTheme="minorHAnsi" w:cstheme="minorHAnsi"/>
          <w:szCs w:val="22"/>
          <w:lang w:val="en-GB"/>
        </w:rPr>
        <w:t>peri-operative complications</w:t>
      </w:r>
      <w:r w:rsidR="007B273C" w:rsidRPr="00214B9A">
        <w:rPr>
          <w:rFonts w:asciiTheme="minorHAnsi" w:hAnsiTheme="minorHAnsi" w:cstheme="minorHAnsi"/>
          <w:szCs w:val="22"/>
          <w:lang w:val="en-GB"/>
        </w:rPr>
        <w:t xml:space="preserve"> including stroke and triphasic responses</w:t>
      </w:r>
      <w:r w:rsidR="002F3906" w:rsidRPr="00214B9A">
        <w:rPr>
          <w:rFonts w:asciiTheme="minorHAnsi" w:hAnsiTheme="minorHAnsi" w:cstheme="minorHAnsi"/>
          <w:szCs w:val="22"/>
          <w:lang w:val="en-GB"/>
        </w:rPr>
        <w:t xml:space="preserve">, </w:t>
      </w:r>
      <w:r w:rsidR="0000449C" w:rsidRPr="00214B9A">
        <w:rPr>
          <w:rFonts w:asciiTheme="minorHAnsi" w:hAnsiTheme="minorHAnsi" w:cstheme="minorHAnsi"/>
          <w:szCs w:val="22"/>
          <w:lang w:val="en-GB"/>
        </w:rPr>
        <w:t>auditory</w:t>
      </w:r>
      <w:r w:rsidR="00EC5CE6">
        <w:rPr>
          <w:rFonts w:asciiTheme="minorHAnsi" w:hAnsiTheme="minorHAnsi" w:cstheme="minorHAnsi"/>
          <w:szCs w:val="22"/>
          <w:lang w:val="en-GB"/>
        </w:rPr>
        <w:t>,</w:t>
      </w:r>
      <w:r w:rsidR="0000449C">
        <w:rPr>
          <w:rFonts w:asciiTheme="minorHAnsi" w:hAnsiTheme="minorHAnsi" w:cstheme="minorHAnsi"/>
          <w:szCs w:val="22"/>
          <w:lang w:val="en-GB"/>
        </w:rPr>
        <w:t xml:space="preserve"> and visual impairments)</w:t>
      </w:r>
      <w:r w:rsidR="00372805" w:rsidRPr="002233FF">
        <w:rPr>
          <w:rFonts w:asciiTheme="minorHAnsi" w:hAnsiTheme="minorHAnsi" w:cstheme="minorHAnsi"/>
          <w:szCs w:val="22"/>
          <w:lang w:val="en-GB"/>
        </w:rPr>
        <w:t xml:space="preserve"> </w:t>
      </w:r>
      <w:r w:rsidR="003A7540">
        <w:rPr>
          <w:rFonts w:asciiTheme="minorHAnsi" w:hAnsiTheme="minorHAnsi" w:cstheme="minorHAnsi"/>
          <w:szCs w:val="22"/>
          <w:lang w:val="en-GB"/>
        </w:rPr>
        <w:t xml:space="preserve">may require direct assessment and </w:t>
      </w:r>
      <w:r w:rsidR="0000449C">
        <w:rPr>
          <w:rFonts w:asciiTheme="minorHAnsi" w:hAnsiTheme="minorHAnsi" w:cstheme="minorHAnsi"/>
          <w:szCs w:val="22"/>
          <w:lang w:val="en-GB"/>
        </w:rPr>
        <w:t>should</w:t>
      </w:r>
      <w:r w:rsidRPr="002233FF">
        <w:rPr>
          <w:rFonts w:asciiTheme="minorHAnsi" w:hAnsiTheme="minorHAnsi" w:cstheme="minorHAnsi"/>
          <w:szCs w:val="22"/>
          <w:lang w:val="en-GB"/>
        </w:rPr>
        <w:t xml:space="preserve"> </w:t>
      </w:r>
      <w:r w:rsidR="00BA7EC1">
        <w:rPr>
          <w:rFonts w:asciiTheme="minorHAnsi" w:hAnsiTheme="minorHAnsi" w:cstheme="minorHAnsi"/>
          <w:szCs w:val="22"/>
          <w:lang w:val="en-GB"/>
        </w:rPr>
        <w:t xml:space="preserve">also </w:t>
      </w:r>
      <w:r w:rsidRPr="002233FF">
        <w:rPr>
          <w:rFonts w:asciiTheme="minorHAnsi" w:hAnsiTheme="minorHAnsi" w:cstheme="minorHAnsi"/>
          <w:szCs w:val="22"/>
          <w:lang w:val="en-GB"/>
        </w:rPr>
        <w:t xml:space="preserve">be </w:t>
      </w:r>
      <w:r w:rsidR="002D28A5">
        <w:rPr>
          <w:rFonts w:asciiTheme="minorHAnsi" w:hAnsiTheme="minorHAnsi" w:cstheme="minorHAnsi"/>
          <w:szCs w:val="22"/>
          <w:lang w:val="en-GB"/>
        </w:rPr>
        <w:t>documented</w:t>
      </w:r>
      <w:r w:rsidR="002D28A5" w:rsidRPr="002233FF">
        <w:rPr>
          <w:rFonts w:asciiTheme="minorHAnsi" w:hAnsiTheme="minorHAnsi" w:cstheme="minorHAnsi"/>
          <w:szCs w:val="22"/>
          <w:lang w:val="en-GB"/>
        </w:rPr>
        <w:t xml:space="preserve"> </w:t>
      </w:r>
      <w:r w:rsidR="00372805" w:rsidRPr="002233FF">
        <w:rPr>
          <w:rFonts w:asciiTheme="minorHAnsi" w:hAnsiTheme="minorHAnsi" w:cstheme="minorHAnsi"/>
          <w:szCs w:val="22"/>
          <w:lang w:val="en-GB"/>
        </w:rPr>
        <w:t xml:space="preserve">on </w:t>
      </w:r>
      <w:r w:rsidR="001F02B6">
        <w:rPr>
          <w:rFonts w:asciiTheme="minorHAnsi" w:hAnsiTheme="minorHAnsi" w:cstheme="minorHAnsi"/>
          <w:szCs w:val="22"/>
          <w:lang w:val="en-GB"/>
        </w:rPr>
        <w:t>CRFs</w:t>
      </w:r>
      <w:r w:rsidR="00372805" w:rsidRPr="002233FF">
        <w:rPr>
          <w:rFonts w:asciiTheme="minorHAnsi" w:hAnsiTheme="minorHAnsi" w:cstheme="minorHAnsi"/>
          <w:szCs w:val="22"/>
          <w:lang w:val="en-GB"/>
        </w:rPr>
        <w:t xml:space="preserve"> </w:t>
      </w:r>
      <w:r w:rsidRPr="002233FF">
        <w:rPr>
          <w:rFonts w:asciiTheme="minorHAnsi" w:hAnsiTheme="minorHAnsi" w:cstheme="minorHAnsi"/>
          <w:szCs w:val="22"/>
          <w:lang w:val="en-GB"/>
        </w:rPr>
        <w:t xml:space="preserve">and </w:t>
      </w:r>
      <w:r w:rsidR="002D28A5">
        <w:rPr>
          <w:rFonts w:asciiTheme="minorHAnsi" w:hAnsiTheme="minorHAnsi" w:cstheme="minorHAnsi"/>
          <w:szCs w:val="22"/>
          <w:lang w:val="en-GB"/>
        </w:rPr>
        <w:t>via</w:t>
      </w:r>
      <w:r w:rsidR="002D28A5" w:rsidRPr="002233FF">
        <w:rPr>
          <w:rFonts w:asciiTheme="minorHAnsi" w:hAnsiTheme="minorHAnsi" w:cstheme="minorHAnsi"/>
          <w:szCs w:val="22"/>
          <w:lang w:val="en-GB"/>
        </w:rPr>
        <w:t xml:space="preserve"> </w:t>
      </w:r>
      <w:r w:rsidRPr="002233FF">
        <w:rPr>
          <w:rFonts w:asciiTheme="minorHAnsi" w:hAnsiTheme="minorHAnsi" w:cstheme="minorHAnsi"/>
          <w:szCs w:val="22"/>
          <w:lang w:val="en-GB"/>
        </w:rPr>
        <w:t xml:space="preserve">the </w:t>
      </w:r>
      <w:r w:rsidR="0038593C">
        <w:rPr>
          <w:rFonts w:asciiTheme="minorHAnsi" w:hAnsiTheme="minorHAnsi" w:cstheme="minorHAnsi"/>
          <w:szCs w:val="22"/>
          <w:lang w:val="en-GB"/>
        </w:rPr>
        <w:t xml:space="preserve">self-reported </w:t>
      </w:r>
      <w:r w:rsidR="008E1280" w:rsidRPr="002233FF">
        <w:rPr>
          <w:rFonts w:asciiTheme="minorHAnsi" w:hAnsiTheme="minorHAnsi" w:cstheme="minorHAnsi"/>
          <w:szCs w:val="22"/>
          <w:lang w:val="en-GB"/>
        </w:rPr>
        <w:t xml:space="preserve">Medical </w:t>
      </w:r>
      <w:r w:rsidR="00A4797D" w:rsidRPr="002233FF">
        <w:rPr>
          <w:rFonts w:asciiTheme="minorHAnsi" w:hAnsiTheme="minorHAnsi" w:cstheme="minorHAnsi"/>
          <w:szCs w:val="22"/>
          <w:lang w:val="en-GB"/>
        </w:rPr>
        <w:t>E</w:t>
      </w:r>
      <w:r w:rsidR="008E1280" w:rsidRPr="002233FF">
        <w:rPr>
          <w:rFonts w:asciiTheme="minorHAnsi" w:hAnsiTheme="minorHAnsi" w:cstheme="minorHAnsi"/>
          <w:szCs w:val="22"/>
          <w:lang w:val="en-GB"/>
        </w:rPr>
        <w:t xml:space="preserve">ducational </w:t>
      </w:r>
      <w:r w:rsidR="00A4797D" w:rsidRPr="002233FF">
        <w:rPr>
          <w:rFonts w:asciiTheme="minorHAnsi" w:hAnsiTheme="minorHAnsi" w:cstheme="minorHAnsi"/>
          <w:szCs w:val="22"/>
          <w:lang w:val="en-GB"/>
        </w:rPr>
        <w:t>E</w:t>
      </w:r>
      <w:r w:rsidR="008E1280" w:rsidRPr="002233FF">
        <w:rPr>
          <w:rFonts w:asciiTheme="minorHAnsi" w:hAnsiTheme="minorHAnsi" w:cstheme="minorHAnsi"/>
          <w:szCs w:val="22"/>
          <w:lang w:val="en-GB"/>
        </w:rPr>
        <w:t xml:space="preserve">mployment and </w:t>
      </w:r>
      <w:r w:rsidR="00A4797D" w:rsidRPr="002233FF">
        <w:rPr>
          <w:rFonts w:asciiTheme="minorHAnsi" w:hAnsiTheme="minorHAnsi" w:cstheme="minorHAnsi"/>
          <w:szCs w:val="22"/>
          <w:lang w:val="en-GB"/>
        </w:rPr>
        <w:t>S</w:t>
      </w:r>
      <w:r w:rsidR="008E1280" w:rsidRPr="002233FF">
        <w:rPr>
          <w:rFonts w:asciiTheme="minorHAnsi" w:hAnsiTheme="minorHAnsi" w:cstheme="minorHAnsi"/>
          <w:szCs w:val="22"/>
          <w:lang w:val="en-GB"/>
        </w:rPr>
        <w:t>ocial questionnaire (</w:t>
      </w:r>
      <w:r w:rsidRPr="002233FF">
        <w:rPr>
          <w:rFonts w:asciiTheme="minorHAnsi" w:hAnsiTheme="minorHAnsi" w:cstheme="minorHAnsi"/>
          <w:szCs w:val="22"/>
          <w:lang w:val="en-GB"/>
        </w:rPr>
        <w:t>MEES</w:t>
      </w:r>
      <w:r w:rsidR="00030319" w:rsidRPr="004A2D5E">
        <w:rPr>
          <w:rFonts w:asciiTheme="minorHAnsi" w:hAnsiTheme="minorHAnsi" w:cstheme="minorHAnsi"/>
          <w:b/>
          <w:szCs w:val="22"/>
          <w:vertAlign w:val="superscript"/>
          <w:lang w:val="en-GB"/>
        </w:rPr>
        <w:t>35</w:t>
      </w:r>
      <w:r w:rsidR="003A7540">
        <w:rPr>
          <w:rFonts w:asciiTheme="minorHAnsi" w:hAnsiTheme="minorHAnsi" w:cstheme="minorHAnsi"/>
          <w:szCs w:val="22"/>
          <w:lang w:val="en-GB"/>
        </w:rPr>
        <w:t>)</w:t>
      </w:r>
      <w:r w:rsidR="002C5FFD">
        <w:rPr>
          <w:rFonts w:asciiTheme="minorHAnsi" w:hAnsiTheme="minorHAnsi" w:cstheme="minorHAnsi"/>
          <w:szCs w:val="22"/>
          <w:lang w:val="en-GB"/>
        </w:rPr>
        <w:t xml:space="preserve"> which </w:t>
      </w:r>
      <w:r w:rsidR="009F7CDC" w:rsidRPr="009F7CDC">
        <w:rPr>
          <w:rFonts w:asciiTheme="minorHAnsi" w:hAnsiTheme="minorHAnsi" w:cstheme="minorHAnsi"/>
          <w:szCs w:val="22"/>
          <w:lang w:val="en-GB"/>
        </w:rPr>
        <w:t>provide</w:t>
      </w:r>
      <w:r w:rsidR="00103EBD">
        <w:rPr>
          <w:rFonts w:asciiTheme="minorHAnsi" w:hAnsiTheme="minorHAnsi" w:cstheme="minorHAnsi"/>
          <w:szCs w:val="22"/>
          <w:lang w:val="en-GB"/>
        </w:rPr>
        <w:t>s</w:t>
      </w:r>
      <w:r w:rsidR="009F7CDC" w:rsidRPr="009F7CDC">
        <w:rPr>
          <w:rFonts w:asciiTheme="minorHAnsi" w:hAnsiTheme="minorHAnsi" w:cstheme="minorHAnsi"/>
          <w:szCs w:val="22"/>
          <w:lang w:val="en-GB"/>
        </w:rPr>
        <w:t xml:space="preserve"> a basic framework for the </w:t>
      </w:r>
      <w:r w:rsidR="007D1FB6">
        <w:rPr>
          <w:rFonts w:asciiTheme="minorHAnsi" w:hAnsiTheme="minorHAnsi" w:cstheme="minorHAnsi"/>
          <w:szCs w:val="22"/>
          <w:lang w:val="en-GB"/>
        </w:rPr>
        <w:t>q</w:t>
      </w:r>
      <w:r w:rsidR="007D1FB6" w:rsidRPr="007D1FB6">
        <w:rPr>
          <w:rFonts w:asciiTheme="minorHAnsi" w:hAnsiTheme="minorHAnsi" w:cstheme="minorHAnsi"/>
          <w:szCs w:val="22"/>
          <w:lang w:val="en-GB"/>
        </w:rPr>
        <w:t xml:space="preserve">uantitative assessment </w:t>
      </w:r>
      <w:r w:rsidR="0038593C">
        <w:rPr>
          <w:rFonts w:asciiTheme="minorHAnsi" w:hAnsiTheme="minorHAnsi" w:cstheme="minorHAnsi"/>
          <w:szCs w:val="22"/>
          <w:lang w:val="en-GB"/>
        </w:rPr>
        <w:t xml:space="preserve">of endocrine as well as neurological </w:t>
      </w:r>
      <w:r w:rsidR="0038593C" w:rsidRPr="00AC7272">
        <w:rPr>
          <w:rFonts w:asciiTheme="minorHAnsi" w:hAnsiTheme="minorHAnsi" w:cstheme="minorHAnsi"/>
          <w:szCs w:val="22"/>
          <w:lang w:val="en-GB"/>
        </w:rPr>
        <w:t xml:space="preserve">function, </w:t>
      </w:r>
      <w:r w:rsidR="0038593C">
        <w:rPr>
          <w:rFonts w:asciiTheme="minorHAnsi" w:hAnsiTheme="minorHAnsi" w:cstheme="minorHAnsi"/>
          <w:szCs w:val="22"/>
          <w:lang w:val="en-GB"/>
        </w:rPr>
        <w:t xml:space="preserve">use of </w:t>
      </w:r>
      <w:r w:rsidR="002D2DEC">
        <w:rPr>
          <w:rFonts w:asciiTheme="minorHAnsi" w:hAnsiTheme="minorHAnsi" w:cstheme="minorHAnsi"/>
          <w:szCs w:val="22"/>
          <w:lang w:val="en-GB"/>
        </w:rPr>
        <w:t xml:space="preserve">therapeutic and educational </w:t>
      </w:r>
      <w:r w:rsidR="0038593C">
        <w:rPr>
          <w:rFonts w:asciiTheme="minorHAnsi" w:hAnsiTheme="minorHAnsi" w:cstheme="minorHAnsi"/>
          <w:szCs w:val="22"/>
          <w:lang w:val="en-GB"/>
        </w:rPr>
        <w:t>services, and r</w:t>
      </w:r>
      <w:r w:rsidR="0038593C" w:rsidRPr="00AC7272">
        <w:rPr>
          <w:rFonts w:asciiTheme="minorHAnsi" w:hAnsiTheme="minorHAnsi" w:cstheme="minorHAnsi"/>
          <w:szCs w:val="22"/>
          <w:lang w:val="en-GB"/>
        </w:rPr>
        <w:t xml:space="preserve">e-integration into society </w:t>
      </w:r>
      <w:r w:rsidR="0038593C">
        <w:rPr>
          <w:rFonts w:asciiTheme="minorHAnsi" w:hAnsiTheme="minorHAnsi" w:cstheme="minorHAnsi"/>
          <w:szCs w:val="22"/>
          <w:lang w:val="en-GB"/>
        </w:rPr>
        <w:t xml:space="preserve">and </w:t>
      </w:r>
      <w:r w:rsidR="0038593C" w:rsidRPr="00AC7272">
        <w:rPr>
          <w:rFonts w:asciiTheme="minorHAnsi" w:hAnsiTheme="minorHAnsi" w:cstheme="minorHAnsi"/>
          <w:szCs w:val="22"/>
          <w:lang w:val="en-GB"/>
        </w:rPr>
        <w:t>independence</w:t>
      </w:r>
      <w:r w:rsidR="002D2DEC">
        <w:rPr>
          <w:rFonts w:asciiTheme="minorHAnsi" w:hAnsiTheme="minorHAnsi" w:cstheme="minorHAnsi"/>
          <w:szCs w:val="22"/>
          <w:lang w:val="en-GB"/>
        </w:rPr>
        <w:t xml:space="preserve"> following treatment for a brain tumor</w:t>
      </w:r>
      <w:r w:rsidR="007D1FB6">
        <w:rPr>
          <w:rFonts w:asciiTheme="minorHAnsi" w:hAnsiTheme="minorHAnsi" w:cstheme="minorHAnsi"/>
          <w:szCs w:val="22"/>
          <w:lang w:val="en-GB"/>
        </w:rPr>
        <w:t>.</w:t>
      </w:r>
      <w:r w:rsidR="00063ADB" w:rsidRPr="00717345">
        <w:rPr>
          <w:lang w:val="en-GB"/>
        </w:rPr>
        <w:t xml:space="preserve"> </w:t>
      </w:r>
      <w:r w:rsidR="00063ADB" w:rsidRPr="00717345">
        <w:rPr>
          <w:rFonts w:asciiTheme="minorHAnsi" w:hAnsiTheme="minorHAnsi" w:cstheme="minorHAnsi"/>
          <w:lang w:val="en-GB"/>
        </w:rPr>
        <w:t>The MEES</w:t>
      </w:r>
      <w:r w:rsidR="00063ADB">
        <w:rPr>
          <w:lang w:val="en-GB"/>
        </w:rPr>
        <w:t xml:space="preserve"> </w:t>
      </w:r>
      <w:r w:rsidR="00063ADB">
        <w:rPr>
          <w:rFonts w:asciiTheme="minorHAnsi" w:hAnsiTheme="minorHAnsi" w:cstheme="minorHAnsi"/>
          <w:lang w:val="en-GB"/>
        </w:rPr>
        <w:t xml:space="preserve">distinguished between treatment groups in terms of </w:t>
      </w:r>
      <w:r w:rsidR="00063ADB" w:rsidRPr="00063ADB">
        <w:rPr>
          <w:rFonts w:asciiTheme="minorHAnsi" w:hAnsiTheme="minorHAnsi" w:cstheme="minorHAnsi"/>
          <w:szCs w:val="22"/>
          <w:lang w:val="en-GB"/>
        </w:rPr>
        <w:t>physical restrict</w:t>
      </w:r>
      <w:r w:rsidR="00063ADB">
        <w:rPr>
          <w:rFonts w:asciiTheme="minorHAnsi" w:hAnsiTheme="minorHAnsi" w:cstheme="minorHAnsi"/>
          <w:szCs w:val="22"/>
          <w:lang w:val="en-GB"/>
        </w:rPr>
        <w:t xml:space="preserve">ion </w:t>
      </w:r>
      <w:r w:rsidR="00063ADB" w:rsidRPr="00063ADB">
        <w:rPr>
          <w:rFonts w:asciiTheme="minorHAnsi" w:hAnsiTheme="minorHAnsi" w:cstheme="minorHAnsi"/>
          <w:szCs w:val="22"/>
          <w:lang w:val="en-GB"/>
        </w:rPr>
        <w:t>and need</w:t>
      </w:r>
      <w:r w:rsidR="00063ADB">
        <w:rPr>
          <w:rFonts w:asciiTheme="minorHAnsi" w:hAnsiTheme="minorHAnsi" w:cstheme="minorHAnsi"/>
          <w:szCs w:val="22"/>
          <w:lang w:val="en-GB"/>
        </w:rPr>
        <w:t xml:space="preserve"> for</w:t>
      </w:r>
      <w:r w:rsidR="00063ADB" w:rsidRPr="00063ADB">
        <w:rPr>
          <w:rFonts w:asciiTheme="minorHAnsi" w:hAnsiTheme="minorHAnsi" w:cstheme="minorHAnsi"/>
          <w:szCs w:val="22"/>
          <w:lang w:val="en-GB"/>
        </w:rPr>
        <w:t xml:space="preserve"> therapeutic and educational support</w:t>
      </w:r>
      <w:r w:rsidR="00E202A6">
        <w:rPr>
          <w:rFonts w:asciiTheme="minorHAnsi" w:hAnsiTheme="minorHAnsi" w:cstheme="minorHAnsi"/>
          <w:szCs w:val="22"/>
          <w:lang w:val="en-GB"/>
        </w:rPr>
        <w:t xml:space="preserve"> in PNET3 survivors</w:t>
      </w:r>
      <w:r w:rsidR="00063ADB">
        <w:rPr>
          <w:rFonts w:asciiTheme="minorHAnsi" w:hAnsiTheme="minorHAnsi" w:cstheme="minorHAnsi"/>
          <w:szCs w:val="22"/>
          <w:vertAlign w:val="superscript"/>
          <w:lang w:val="en-GB"/>
        </w:rPr>
        <w:t>32</w:t>
      </w:r>
      <w:r w:rsidR="00E202A6">
        <w:rPr>
          <w:rFonts w:asciiTheme="minorHAnsi" w:hAnsiTheme="minorHAnsi" w:cstheme="minorHAnsi"/>
          <w:szCs w:val="22"/>
          <w:lang w:val="en-GB"/>
        </w:rPr>
        <w:t xml:space="preserve"> and identified treatment related decrement in height in PNET4 survivors</w:t>
      </w:r>
      <w:r w:rsidR="008D40F5">
        <w:rPr>
          <w:rFonts w:asciiTheme="minorHAnsi" w:hAnsiTheme="minorHAnsi" w:cstheme="minorHAnsi"/>
          <w:szCs w:val="22"/>
          <w:vertAlign w:val="superscript"/>
          <w:lang w:val="en-GB"/>
        </w:rPr>
        <w:t>33</w:t>
      </w:r>
      <w:r w:rsidR="00063ADB">
        <w:rPr>
          <w:rFonts w:asciiTheme="minorHAnsi" w:hAnsiTheme="minorHAnsi" w:cstheme="minorHAnsi"/>
          <w:szCs w:val="22"/>
          <w:lang w:val="en-GB"/>
        </w:rPr>
        <w:t xml:space="preserve">. </w:t>
      </w:r>
      <w:r w:rsidR="0038593C">
        <w:rPr>
          <w:rFonts w:asciiTheme="minorHAnsi" w:hAnsiTheme="minorHAnsi" w:cstheme="minorHAnsi"/>
          <w:szCs w:val="22"/>
          <w:lang w:val="en-GB"/>
        </w:rPr>
        <w:t xml:space="preserve"> </w:t>
      </w:r>
    </w:p>
    <w:bookmarkEnd w:id="4"/>
    <w:p w14:paraId="4B1CD1CD" w14:textId="77777777" w:rsidR="00372805" w:rsidRPr="002233FF" w:rsidRDefault="00372805">
      <w:pPr>
        <w:pStyle w:val="Body1"/>
        <w:spacing w:line="480" w:lineRule="auto"/>
        <w:rPr>
          <w:rFonts w:asciiTheme="minorHAnsi" w:hAnsiTheme="minorHAnsi" w:cstheme="minorHAnsi"/>
          <w:szCs w:val="22"/>
          <w:lang w:val="en-US"/>
        </w:rPr>
      </w:pPr>
    </w:p>
    <w:p w14:paraId="2BA97F3D" w14:textId="77777777" w:rsidR="00372805" w:rsidRPr="002233FF" w:rsidRDefault="00372805">
      <w:pPr>
        <w:pStyle w:val="Body1"/>
        <w:spacing w:line="480" w:lineRule="auto"/>
        <w:rPr>
          <w:rFonts w:asciiTheme="minorHAnsi" w:hAnsiTheme="minorHAnsi" w:cstheme="minorHAnsi"/>
          <w:szCs w:val="22"/>
          <w:lang w:val="en-US"/>
        </w:rPr>
      </w:pPr>
      <w:r w:rsidRPr="002233FF">
        <w:rPr>
          <w:rFonts w:asciiTheme="minorHAnsi" w:hAnsiTheme="minorHAnsi" w:cstheme="minorHAnsi"/>
          <w:szCs w:val="22"/>
          <w:lang w:val="en-US"/>
        </w:rPr>
        <w:t xml:space="preserve">This position statement is largely confined to core domains of function and to relatively brief assessments </w:t>
      </w:r>
      <w:r w:rsidR="008E1280" w:rsidRPr="002233FF">
        <w:rPr>
          <w:rFonts w:asciiTheme="minorHAnsi" w:hAnsiTheme="minorHAnsi" w:cstheme="minorHAnsi"/>
          <w:szCs w:val="22"/>
          <w:lang w:val="en-US"/>
        </w:rPr>
        <w:t>for the purpose of clinical trial data coll</w:t>
      </w:r>
      <w:r w:rsidR="00BB7206" w:rsidRPr="002233FF">
        <w:rPr>
          <w:rFonts w:asciiTheme="minorHAnsi" w:hAnsiTheme="minorHAnsi" w:cstheme="minorHAnsi"/>
          <w:szCs w:val="22"/>
          <w:lang w:val="en-US"/>
        </w:rPr>
        <w:t>e</w:t>
      </w:r>
      <w:r w:rsidR="008E1280" w:rsidRPr="002233FF">
        <w:rPr>
          <w:rFonts w:asciiTheme="minorHAnsi" w:hAnsiTheme="minorHAnsi" w:cstheme="minorHAnsi"/>
          <w:szCs w:val="22"/>
          <w:lang w:val="en-US"/>
        </w:rPr>
        <w:t>ction.  M</w:t>
      </w:r>
      <w:r w:rsidRPr="002233FF">
        <w:rPr>
          <w:rFonts w:asciiTheme="minorHAnsi" w:hAnsiTheme="minorHAnsi" w:cstheme="minorHAnsi"/>
          <w:szCs w:val="22"/>
          <w:lang w:val="en-US"/>
        </w:rPr>
        <w:t>ore detailed assessments</w:t>
      </w:r>
      <w:r w:rsidR="008E1280" w:rsidRPr="002233FF">
        <w:rPr>
          <w:rFonts w:asciiTheme="minorHAnsi" w:hAnsiTheme="minorHAnsi" w:cstheme="minorHAnsi"/>
          <w:szCs w:val="22"/>
          <w:lang w:val="en-US"/>
        </w:rPr>
        <w:t xml:space="preserve"> for clinical purposes</w:t>
      </w:r>
      <w:r w:rsidRPr="002233FF">
        <w:rPr>
          <w:rFonts w:asciiTheme="minorHAnsi" w:hAnsiTheme="minorHAnsi" w:cstheme="minorHAnsi"/>
          <w:szCs w:val="22"/>
          <w:lang w:val="en-US"/>
        </w:rPr>
        <w:t xml:space="preserve"> are beyond the scope of this paper. </w:t>
      </w:r>
    </w:p>
    <w:p w14:paraId="208311DE" w14:textId="77777777" w:rsidR="00372805" w:rsidRPr="002233FF" w:rsidRDefault="00372805" w:rsidP="00214B9A">
      <w:pPr>
        <w:spacing w:after="0" w:line="360" w:lineRule="auto"/>
        <w:ind w:left="709" w:firstLine="360"/>
        <w:rPr>
          <w:rFonts w:asciiTheme="minorHAnsi" w:hAnsiTheme="minorHAnsi" w:cstheme="minorHAnsi"/>
          <w:lang w:val="en-US"/>
        </w:rPr>
      </w:pPr>
    </w:p>
    <w:p w14:paraId="5F5128CB" w14:textId="77777777" w:rsidR="00372805" w:rsidRPr="002233FF" w:rsidRDefault="00372805" w:rsidP="00BE64B7">
      <w:pPr>
        <w:spacing w:after="0"/>
        <w:rPr>
          <w:rFonts w:asciiTheme="minorHAnsi" w:hAnsiTheme="minorHAnsi" w:cstheme="minorHAnsi"/>
          <w:b/>
          <w:lang w:val="en-US"/>
        </w:rPr>
      </w:pPr>
      <w:r w:rsidRPr="002233FF">
        <w:rPr>
          <w:rFonts w:asciiTheme="minorHAnsi" w:hAnsiTheme="minorHAnsi" w:cstheme="minorHAnsi"/>
          <w:b/>
          <w:lang w:val="en-US"/>
        </w:rPr>
        <w:t>2.1. Consensus methodology</w:t>
      </w:r>
    </w:p>
    <w:p w14:paraId="4796E7F6" w14:textId="77777777" w:rsidR="00372805" w:rsidRPr="002233FF" w:rsidRDefault="00372805">
      <w:pPr>
        <w:pStyle w:val="ListParagraph"/>
        <w:spacing w:after="0"/>
        <w:ind w:left="735"/>
        <w:rPr>
          <w:rFonts w:asciiTheme="minorHAnsi" w:hAnsiTheme="minorHAnsi" w:cstheme="minorHAnsi"/>
          <w:b/>
          <w:lang w:val="en-US"/>
        </w:rPr>
      </w:pPr>
    </w:p>
    <w:p w14:paraId="104CB6E9" w14:textId="7D588CE5" w:rsidR="00372805" w:rsidRPr="002233FF" w:rsidRDefault="00372805" w:rsidP="008D3D08">
      <w:pPr>
        <w:spacing w:after="0" w:line="480" w:lineRule="auto"/>
        <w:rPr>
          <w:rFonts w:asciiTheme="minorHAnsi" w:hAnsiTheme="minorHAnsi" w:cstheme="minorHAnsi"/>
          <w:lang w:val="en-US"/>
        </w:rPr>
      </w:pPr>
      <w:r w:rsidRPr="002233FF">
        <w:rPr>
          <w:rFonts w:asciiTheme="minorHAnsi" w:hAnsiTheme="minorHAnsi" w:cstheme="minorHAnsi"/>
          <w:lang w:val="en-US"/>
        </w:rPr>
        <w:t>In keeping with the proceedings of the SIOP-E Brain Tumour working groups</w:t>
      </w:r>
      <w:r w:rsidR="00141999" w:rsidRPr="002233FF">
        <w:rPr>
          <w:rFonts w:asciiTheme="minorHAnsi" w:hAnsiTheme="minorHAnsi" w:cstheme="minorHAnsi"/>
          <w:lang w:val="en-US"/>
        </w:rPr>
        <w:t xml:space="preserve"> and the previous position paper</w:t>
      </w:r>
      <w:r w:rsidR="00E67119">
        <w:rPr>
          <w:rFonts w:asciiTheme="minorHAnsi" w:hAnsiTheme="minorHAnsi" w:cstheme="minorHAnsi"/>
          <w:b/>
          <w:vertAlign w:val="superscript"/>
          <w:lang w:val="en-US"/>
        </w:rPr>
        <w:t>9</w:t>
      </w:r>
      <w:r w:rsidRPr="002233FF">
        <w:rPr>
          <w:rFonts w:asciiTheme="minorHAnsi" w:hAnsiTheme="minorHAnsi" w:cstheme="minorHAnsi"/>
          <w:lang w:val="en-US"/>
        </w:rPr>
        <w:t xml:space="preserve">, formal consensus methodology was not </w:t>
      </w:r>
      <w:r w:rsidR="00141999" w:rsidRPr="002233FF">
        <w:rPr>
          <w:rFonts w:asciiTheme="minorHAnsi" w:hAnsiTheme="minorHAnsi" w:cstheme="minorHAnsi"/>
          <w:lang w:val="en-US"/>
        </w:rPr>
        <w:t>applied, although</w:t>
      </w:r>
      <w:r w:rsidRPr="002233FF">
        <w:rPr>
          <w:rFonts w:asciiTheme="minorHAnsi" w:hAnsiTheme="minorHAnsi" w:cstheme="minorHAnsi"/>
          <w:lang w:val="en-US"/>
        </w:rPr>
        <w:t xml:space="preserve"> elements of Delphi and RAND consensus methods</w:t>
      </w:r>
      <w:r w:rsidR="00250679">
        <w:rPr>
          <w:rFonts w:asciiTheme="minorHAnsi" w:hAnsiTheme="minorHAnsi" w:cstheme="minorHAnsi"/>
          <w:b/>
          <w:vertAlign w:val="superscript"/>
          <w:lang w:val="en-US"/>
        </w:rPr>
        <w:t>37, 38</w:t>
      </w:r>
      <w:r w:rsidRPr="002233FF">
        <w:rPr>
          <w:rFonts w:asciiTheme="minorHAnsi" w:hAnsiTheme="minorHAnsi" w:cstheme="minorHAnsi"/>
          <w:b/>
          <w:vertAlign w:val="superscript"/>
          <w:lang w:val="en-US"/>
        </w:rPr>
        <w:t xml:space="preserve"> </w:t>
      </w:r>
      <w:r w:rsidRPr="002233FF">
        <w:rPr>
          <w:rFonts w:asciiTheme="minorHAnsi" w:hAnsiTheme="minorHAnsi" w:cstheme="minorHAnsi"/>
          <w:lang w:val="en-US"/>
        </w:rPr>
        <w:t xml:space="preserve">were </w:t>
      </w:r>
      <w:r w:rsidR="00141999" w:rsidRPr="002233FF">
        <w:rPr>
          <w:rFonts w:asciiTheme="minorHAnsi" w:hAnsiTheme="minorHAnsi" w:cstheme="minorHAnsi"/>
          <w:lang w:val="en-US"/>
        </w:rPr>
        <w:t>used</w:t>
      </w:r>
      <w:r w:rsidR="001D2D77">
        <w:rPr>
          <w:rFonts w:asciiTheme="minorHAnsi" w:hAnsiTheme="minorHAnsi" w:cstheme="minorHAnsi"/>
          <w:lang w:val="en-US"/>
        </w:rPr>
        <w:t xml:space="preserve"> where possible</w:t>
      </w:r>
      <w:r w:rsidRPr="002233FF">
        <w:rPr>
          <w:rFonts w:asciiTheme="minorHAnsi" w:hAnsiTheme="minorHAnsi" w:cstheme="minorHAnsi"/>
          <w:lang w:val="en-US"/>
        </w:rPr>
        <w:t>. At the time of the final consensus agreement of this position paper</w:t>
      </w:r>
      <w:r w:rsidR="00141999" w:rsidRPr="002233FF">
        <w:rPr>
          <w:rFonts w:asciiTheme="minorHAnsi" w:hAnsiTheme="minorHAnsi" w:cstheme="minorHAnsi"/>
          <w:lang w:val="en-US"/>
        </w:rPr>
        <w:t xml:space="preserve"> relating to children under the age of 5 years</w:t>
      </w:r>
      <w:r w:rsidRPr="002233FF">
        <w:rPr>
          <w:rFonts w:asciiTheme="minorHAnsi" w:hAnsiTheme="minorHAnsi" w:cstheme="minorHAnsi"/>
          <w:lang w:val="en-US"/>
        </w:rPr>
        <w:t xml:space="preserve">, the </w:t>
      </w:r>
      <w:r w:rsidR="00D159B5">
        <w:rPr>
          <w:rFonts w:asciiTheme="minorHAnsi" w:hAnsiTheme="minorHAnsi" w:cstheme="minorHAnsi"/>
          <w:lang w:val="en-US"/>
        </w:rPr>
        <w:t>QoS</w:t>
      </w:r>
      <w:r w:rsidRPr="002233FF">
        <w:rPr>
          <w:rFonts w:asciiTheme="minorHAnsi" w:hAnsiTheme="minorHAnsi" w:cstheme="minorHAnsi"/>
          <w:lang w:val="en-US"/>
        </w:rPr>
        <w:t xml:space="preserve"> Group had </w:t>
      </w:r>
      <w:r w:rsidR="001F02B6">
        <w:rPr>
          <w:rFonts w:asciiTheme="minorHAnsi" w:hAnsiTheme="minorHAnsi" w:cstheme="minorHAnsi"/>
          <w:lang w:val="en-US"/>
        </w:rPr>
        <w:t>58</w:t>
      </w:r>
      <w:r w:rsidRPr="002233FF">
        <w:rPr>
          <w:rFonts w:asciiTheme="minorHAnsi" w:hAnsiTheme="minorHAnsi" w:cstheme="minorHAnsi"/>
          <w:lang w:val="en-US"/>
        </w:rPr>
        <w:t xml:space="preserve"> registered members, representing 1</w:t>
      </w:r>
      <w:r w:rsidR="001F02B6">
        <w:rPr>
          <w:rFonts w:asciiTheme="minorHAnsi" w:hAnsiTheme="minorHAnsi" w:cstheme="minorHAnsi"/>
          <w:lang w:val="en-US"/>
        </w:rPr>
        <w:t>6</w:t>
      </w:r>
      <w:r w:rsidRPr="002233FF">
        <w:rPr>
          <w:rFonts w:asciiTheme="minorHAnsi" w:hAnsiTheme="minorHAnsi" w:cstheme="minorHAnsi"/>
          <w:lang w:val="en-US"/>
        </w:rPr>
        <w:t xml:space="preserve"> European </w:t>
      </w:r>
      <w:r w:rsidRPr="00214B9A">
        <w:rPr>
          <w:rFonts w:asciiTheme="minorHAnsi" w:hAnsiTheme="minorHAnsi" w:cstheme="minorHAnsi"/>
          <w:lang w:val="en-US"/>
        </w:rPr>
        <w:t>countries</w:t>
      </w:r>
      <w:r w:rsidR="007B273C" w:rsidRPr="00214B9A">
        <w:rPr>
          <w:rFonts w:asciiTheme="minorHAnsi" w:hAnsiTheme="minorHAnsi" w:cstheme="minorHAnsi"/>
          <w:lang w:val="en-US"/>
        </w:rPr>
        <w:t xml:space="preserve"> and </w:t>
      </w:r>
      <w:r w:rsidR="00214B9A" w:rsidRPr="00214B9A">
        <w:rPr>
          <w:rFonts w:asciiTheme="minorHAnsi" w:hAnsiTheme="minorHAnsi" w:cstheme="minorHAnsi"/>
          <w:lang w:val="en-US"/>
        </w:rPr>
        <w:t>multiple</w:t>
      </w:r>
      <w:r w:rsidR="007B273C" w:rsidRPr="00214B9A">
        <w:rPr>
          <w:rFonts w:asciiTheme="minorHAnsi" w:hAnsiTheme="minorHAnsi" w:cstheme="minorHAnsi"/>
          <w:lang w:val="en-US"/>
        </w:rPr>
        <w:t xml:space="preserve"> specialities</w:t>
      </w:r>
      <w:r w:rsidRPr="00214B9A">
        <w:rPr>
          <w:rFonts w:asciiTheme="minorHAnsi" w:hAnsiTheme="minorHAnsi" w:cstheme="minorHAnsi"/>
          <w:lang w:val="en-US"/>
        </w:rPr>
        <w:t>.</w:t>
      </w:r>
      <w:r w:rsidRPr="002233FF">
        <w:rPr>
          <w:rFonts w:asciiTheme="minorHAnsi" w:hAnsiTheme="minorHAnsi" w:cstheme="minorHAnsi"/>
          <w:lang w:val="en-US"/>
        </w:rPr>
        <w:t xml:space="preserve">  Face</w:t>
      </w:r>
      <w:r w:rsidR="00D159B5">
        <w:rPr>
          <w:rFonts w:asciiTheme="minorHAnsi" w:hAnsiTheme="minorHAnsi" w:cstheme="minorHAnsi"/>
          <w:lang w:val="en-US"/>
        </w:rPr>
        <w:t>-</w:t>
      </w:r>
      <w:r w:rsidRPr="002233FF">
        <w:rPr>
          <w:rFonts w:asciiTheme="minorHAnsi" w:hAnsiTheme="minorHAnsi" w:cstheme="minorHAnsi"/>
          <w:lang w:val="en-US"/>
        </w:rPr>
        <w:t>to</w:t>
      </w:r>
      <w:r w:rsidR="00D159B5">
        <w:rPr>
          <w:rFonts w:asciiTheme="minorHAnsi" w:hAnsiTheme="minorHAnsi" w:cstheme="minorHAnsi"/>
          <w:lang w:val="en-US"/>
        </w:rPr>
        <w:t>-</w:t>
      </w:r>
      <w:r w:rsidRPr="002233FF">
        <w:rPr>
          <w:rFonts w:asciiTheme="minorHAnsi" w:hAnsiTheme="minorHAnsi" w:cstheme="minorHAnsi"/>
          <w:lang w:val="en-US"/>
        </w:rPr>
        <w:t xml:space="preserve">face discussions between members of the SIOP-E Brain Tumour </w:t>
      </w:r>
      <w:r w:rsidR="001F02B6">
        <w:rPr>
          <w:rFonts w:asciiTheme="minorHAnsi" w:hAnsiTheme="minorHAnsi" w:cstheme="minorHAnsi"/>
          <w:lang w:val="en-US"/>
        </w:rPr>
        <w:t>QoS</w:t>
      </w:r>
      <w:r w:rsidRPr="002233FF">
        <w:rPr>
          <w:rFonts w:asciiTheme="minorHAnsi" w:hAnsiTheme="minorHAnsi" w:cstheme="minorHAnsi"/>
          <w:lang w:val="en-US"/>
        </w:rPr>
        <w:t xml:space="preserve"> group, were held on </w:t>
      </w:r>
      <w:r w:rsidR="00D159B5">
        <w:rPr>
          <w:rFonts w:asciiTheme="minorHAnsi" w:hAnsiTheme="minorHAnsi" w:cstheme="minorHAnsi"/>
          <w:lang w:val="en-US"/>
        </w:rPr>
        <w:t>six</w:t>
      </w:r>
      <w:r w:rsidR="00D159B5" w:rsidRPr="002233FF">
        <w:rPr>
          <w:rFonts w:asciiTheme="minorHAnsi" w:hAnsiTheme="minorHAnsi" w:cstheme="minorHAnsi"/>
          <w:lang w:val="en-US"/>
        </w:rPr>
        <w:t xml:space="preserve"> </w:t>
      </w:r>
      <w:r w:rsidRPr="002233FF">
        <w:rPr>
          <w:rFonts w:asciiTheme="minorHAnsi" w:hAnsiTheme="minorHAnsi" w:cstheme="minorHAnsi"/>
          <w:lang w:val="en-US"/>
        </w:rPr>
        <w:t>occasions at meetings across</w:t>
      </w:r>
      <w:r w:rsidR="008E1280" w:rsidRPr="002233FF">
        <w:rPr>
          <w:rFonts w:asciiTheme="minorHAnsi" w:hAnsiTheme="minorHAnsi" w:cstheme="minorHAnsi"/>
          <w:lang w:val="en-US"/>
        </w:rPr>
        <w:t xml:space="preserve"> the world</w:t>
      </w:r>
      <w:r w:rsidRPr="002233FF">
        <w:rPr>
          <w:rFonts w:asciiTheme="minorHAnsi" w:hAnsiTheme="minorHAnsi" w:cstheme="minorHAnsi"/>
          <w:lang w:val="en-US"/>
        </w:rPr>
        <w:t xml:space="preserve"> between 20</w:t>
      </w:r>
      <w:r w:rsidR="008E1280" w:rsidRPr="002233FF">
        <w:rPr>
          <w:rFonts w:asciiTheme="minorHAnsi" w:hAnsiTheme="minorHAnsi" w:cstheme="minorHAnsi"/>
          <w:lang w:val="en-US"/>
        </w:rPr>
        <w:t>12</w:t>
      </w:r>
      <w:r w:rsidRPr="002233FF">
        <w:rPr>
          <w:rFonts w:asciiTheme="minorHAnsi" w:hAnsiTheme="minorHAnsi" w:cstheme="minorHAnsi"/>
          <w:lang w:val="en-US"/>
        </w:rPr>
        <w:t xml:space="preserve"> and 201</w:t>
      </w:r>
      <w:r w:rsidR="002233FF">
        <w:rPr>
          <w:rFonts w:asciiTheme="minorHAnsi" w:hAnsiTheme="minorHAnsi" w:cstheme="minorHAnsi"/>
          <w:lang w:val="en-US"/>
        </w:rPr>
        <w:t>8</w:t>
      </w:r>
      <w:r w:rsidRPr="002233FF">
        <w:rPr>
          <w:rFonts w:asciiTheme="minorHAnsi" w:hAnsiTheme="minorHAnsi" w:cstheme="minorHAnsi"/>
          <w:lang w:val="en-US"/>
        </w:rPr>
        <w:t>.  At these meetings</w:t>
      </w:r>
      <w:r w:rsidR="00D159B5">
        <w:rPr>
          <w:rFonts w:asciiTheme="minorHAnsi" w:hAnsiTheme="minorHAnsi" w:cstheme="minorHAnsi"/>
          <w:lang w:val="en-US"/>
        </w:rPr>
        <w:t>,</w:t>
      </w:r>
      <w:r w:rsidRPr="002233FF">
        <w:rPr>
          <w:rFonts w:asciiTheme="minorHAnsi" w:hAnsiTheme="minorHAnsi" w:cstheme="minorHAnsi"/>
          <w:lang w:val="en-US"/>
        </w:rPr>
        <w:t xml:space="preserve"> research papers and other information were shared and followed up with e-mail discussions and telephone conferences. These discussions were minuted, and all the information was collated and distributed to all members of the QoS Group for comment. Each country had at least one clinical neuropsychology representative or a clinical psychologist with expertise in neuropsychology. In addition, experts in neurology, endocrinology, oncology, and rehabilitation medicine were represented and all agreed upon the final proposed protocols.</w:t>
      </w:r>
      <w:r w:rsidR="001E6E32">
        <w:rPr>
          <w:rFonts w:asciiTheme="minorHAnsi" w:hAnsiTheme="minorHAnsi" w:cstheme="minorHAnsi"/>
          <w:lang w:val="en-US"/>
        </w:rPr>
        <w:t xml:space="preserve"> In all areas, including cognitive, emotional, behavioural and medical, t</w:t>
      </w:r>
      <w:r w:rsidRPr="002233FF">
        <w:rPr>
          <w:rFonts w:asciiTheme="minorHAnsi" w:hAnsiTheme="minorHAnsi" w:cstheme="minorHAnsi"/>
          <w:lang w:val="en-US"/>
        </w:rPr>
        <w:t>he final protocol includes only those elements on which there was complete consensus.</w:t>
      </w:r>
    </w:p>
    <w:p w14:paraId="6A11B90C" w14:textId="77777777" w:rsidR="00372805" w:rsidRPr="002233FF" w:rsidRDefault="00372805">
      <w:pPr>
        <w:pStyle w:val="ListParagraph"/>
        <w:spacing w:after="0"/>
        <w:ind w:left="735"/>
        <w:rPr>
          <w:rFonts w:asciiTheme="minorHAnsi" w:hAnsiTheme="minorHAnsi" w:cstheme="minorHAnsi"/>
          <w:lang w:val="en-US"/>
        </w:rPr>
      </w:pPr>
    </w:p>
    <w:p w14:paraId="44F4E83C" w14:textId="77777777" w:rsidR="00372805" w:rsidRPr="002233FF" w:rsidRDefault="00372805">
      <w:pPr>
        <w:pStyle w:val="ListParagraph"/>
        <w:spacing w:after="0"/>
        <w:ind w:left="735"/>
        <w:rPr>
          <w:rFonts w:asciiTheme="minorHAnsi" w:hAnsiTheme="minorHAnsi" w:cstheme="minorHAnsi"/>
          <w:lang w:val="en-US"/>
        </w:rPr>
      </w:pPr>
    </w:p>
    <w:p w14:paraId="027E2EB3" w14:textId="77777777" w:rsidR="00372805" w:rsidRPr="002233FF" w:rsidRDefault="00F867C1">
      <w:pPr>
        <w:pStyle w:val="ListParagraph"/>
        <w:numPr>
          <w:ilvl w:val="0"/>
          <w:numId w:val="1"/>
        </w:numPr>
        <w:spacing w:after="0"/>
        <w:rPr>
          <w:rFonts w:asciiTheme="minorHAnsi" w:hAnsiTheme="minorHAnsi" w:cstheme="minorHAnsi"/>
          <w:b/>
          <w:lang w:val="en-US"/>
        </w:rPr>
      </w:pPr>
      <w:r>
        <w:rPr>
          <w:rFonts w:asciiTheme="minorHAnsi" w:hAnsiTheme="minorHAnsi" w:cstheme="minorHAnsi"/>
          <w:b/>
          <w:lang w:val="en-US"/>
        </w:rPr>
        <w:t>Quality of Survival Outcomes</w:t>
      </w:r>
    </w:p>
    <w:p w14:paraId="3DD247E5" w14:textId="77777777" w:rsidR="00A4316D" w:rsidRPr="002233FF" w:rsidRDefault="00A4316D">
      <w:pPr>
        <w:spacing w:after="0"/>
        <w:ind w:left="360"/>
        <w:rPr>
          <w:rFonts w:asciiTheme="minorHAnsi" w:hAnsiTheme="minorHAnsi" w:cstheme="minorHAnsi"/>
          <w:b/>
          <w:lang w:val="en-US"/>
        </w:rPr>
      </w:pPr>
    </w:p>
    <w:p w14:paraId="471CDEE1" w14:textId="77777777" w:rsidR="00A4316D" w:rsidRPr="002233FF" w:rsidRDefault="00A4316D">
      <w:pPr>
        <w:spacing w:after="0"/>
        <w:ind w:left="360"/>
        <w:rPr>
          <w:rFonts w:asciiTheme="minorHAnsi" w:hAnsiTheme="minorHAnsi" w:cstheme="minorHAnsi"/>
          <w:b/>
          <w:lang w:val="en-US"/>
        </w:rPr>
      </w:pPr>
    </w:p>
    <w:p w14:paraId="399F418B" w14:textId="77777777" w:rsidR="00A3107D" w:rsidRPr="002233FF" w:rsidRDefault="00A3107D">
      <w:pPr>
        <w:spacing w:line="480" w:lineRule="auto"/>
        <w:rPr>
          <w:rFonts w:asciiTheme="minorHAnsi" w:hAnsiTheme="minorHAnsi" w:cstheme="minorHAnsi"/>
          <w:b/>
          <w:lang w:val="en-US"/>
        </w:rPr>
      </w:pPr>
      <w:r w:rsidRPr="002233FF">
        <w:rPr>
          <w:rFonts w:asciiTheme="minorHAnsi" w:hAnsiTheme="minorHAnsi" w:cstheme="minorHAnsi"/>
          <w:b/>
          <w:lang w:val="en-US"/>
        </w:rPr>
        <w:t>3.1. Indirect assessment</w:t>
      </w:r>
    </w:p>
    <w:p w14:paraId="2DA2493D" w14:textId="77777777" w:rsidR="00EB10E1" w:rsidRPr="00EB10E1" w:rsidRDefault="00BD0169">
      <w:pPr>
        <w:pStyle w:val="Body1"/>
        <w:spacing w:line="480" w:lineRule="auto"/>
        <w:rPr>
          <w:rFonts w:asciiTheme="minorHAnsi" w:hAnsiTheme="minorHAnsi" w:cstheme="minorHAnsi"/>
          <w:b/>
          <w:i/>
          <w:szCs w:val="22"/>
          <w:lang w:val="en-US"/>
        </w:rPr>
      </w:pPr>
      <w:r>
        <w:rPr>
          <w:rFonts w:asciiTheme="minorHAnsi" w:hAnsiTheme="minorHAnsi" w:cstheme="minorHAnsi"/>
          <w:b/>
          <w:i/>
          <w:szCs w:val="22"/>
          <w:lang w:val="en-US"/>
        </w:rPr>
        <w:t xml:space="preserve">3.1.1 </w:t>
      </w:r>
      <w:r w:rsidR="00EB10E1" w:rsidRPr="00EB10E1">
        <w:rPr>
          <w:rFonts w:asciiTheme="minorHAnsi" w:hAnsiTheme="minorHAnsi" w:cstheme="minorHAnsi"/>
          <w:b/>
          <w:i/>
          <w:szCs w:val="22"/>
          <w:lang w:val="en-US"/>
        </w:rPr>
        <w:t>Indirect ‘core’ measures</w:t>
      </w:r>
    </w:p>
    <w:p w14:paraId="45E07789" w14:textId="77777777" w:rsidR="00A3107D" w:rsidRPr="002233FF" w:rsidRDefault="0057299F">
      <w:pPr>
        <w:pStyle w:val="Body1"/>
        <w:spacing w:line="480" w:lineRule="auto"/>
        <w:rPr>
          <w:rFonts w:asciiTheme="minorHAnsi" w:hAnsiTheme="minorHAnsi" w:cstheme="minorHAnsi"/>
          <w:szCs w:val="22"/>
          <w:lang w:val="en-US"/>
        </w:rPr>
      </w:pPr>
      <w:r>
        <w:rPr>
          <w:rFonts w:asciiTheme="minorHAnsi" w:hAnsiTheme="minorHAnsi" w:cstheme="minorHAnsi"/>
          <w:szCs w:val="22"/>
          <w:lang w:val="en-US"/>
        </w:rPr>
        <w:t>These measures relate to multiple aspects of functioning including cognitive, emotional, behaviour</w:t>
      </w:r>
      <w:r w:rsidR="00F867C1">
        <w:rPr>
          <w:rFonts w:asciiTheme="minorHAnsi" w:hAnsiTheme="minorHAnsi" w:cstheme="minorHAnsi"/>
          <w:szCs w:val="22"/>
          <w:lang w:val="en-US"/>
        </w:rPr>
        <w:t xml:space="preserve">al, endocrine </w:t>
      </w:r>
      <w:r>
        <w:rPr>
          <w:rFonts w:asciiTheme="minorHAnsi" w:hAnsiTheme="minorHAnsi" w:cstheme="minorHAnsi"/>
          <w:szCs w:val="22"/>
          <w:lang w:val="en-US"/>
        </w:rPr>
        <w:t xml:space="preserve">and </w:t>
      </w:r>
      <w:r w:rsidR="001D2D77">
        <w:rPr>
          <w:rFonts w:asciiTheme="minorHAnsi" w:hAnsiTheme="minorHAnsi" w:cstheme="minorHAnsi"/>
          <w:szCs w:val="22"/>
          <w:lang w:val="en-US"/>
        </w:rPr>
        <w:t xml:space="preserve">other </w:t>
      </w:r>
      <w:r>
        <w:rPr>
          <w:rFonts w:asciiTheme="minorHAnsi" w:hAnsiTheme="minorHAnsi" w:cstheme="minorHAnsi"/>
          <w:szCs w:val="22"/>
          <w:lang w:val="en-US"/>
        </w:rPr>
        <w:t>medical</w:t>
      </w:r>
      <w:r w:rsidR="00F867C1">
        <w:rPr>
          <w:rFonts w:asciiTheme="minorHAnsi" w:hAnsiTheme="minorHAnsi" w:cstheme="minorHAnsi"/>
          <w:szCs w:val="22"/>
          <w:lang w:val="en-US"/>
        </w:rPr>
        <w:t xml:space="preserve"> (e.g. vision, hearing and physical morbidity)</w:t>
      </w:r>
      <w:r>
        <w:rPr>
          <w:rFonts w:asciiTheme="minorHAnsi" w:hAnsiTheme="minorHAnsi" w:cstheme="minorHAnsi"/>
          <w:szCs w:val="22"/>
          <w:lang w:val="en-US"/>
        </w:rPr>
        <w:t xml:space="preserve">.  </w:t>
      </w:r>
      <w:r w:rsidR="00A3107D" w:rsidRPr="002233FF">
        <w:rPr>
          <w:rFonts w:asciiTheme="minorHAnsi" w:hAnsiTheme="minorHAnsi" w:cstheme="minorHAnsi"/>
          <w:szCs w:val="22"/>
          <w:lang w:val="en-US"/>
        </w:rPr>
        <w:t>An agreement was reached that direct</w:t>
      </w:r>
      <w:r w:rsidR="00F12558">
        <w:rPr>
          <w:rFonts w:asciiTheme="minorHAnsi" w:hAnsiTheme="minorHAnsi" w:cstheme="minorHAnsi"/>
          <w:szCs w:val="22"/>
          <w:lang w:val="en-US"/>
        </w:rPr>
        <w:t xml:space="preserve"> cognitive</w:t>
      </w:r>
      <w:r w:rsidR="00A3107D" w:rsidRPr="002233FF">
        <w:rPr>
          <w:rFonts w:asciiTheme="minorHAnsi" w:hAnsiTheme="minorHAnsi" w:cstheme="minorHAnsi"/>
          <w:szCs w:val="22"/>
          <w:lang w:val="en-US"/>
        </w:rPr>
        <w:t xml:space="preserve"> assessment of children </w:t>
      </w:r>
      <w:r w:rsidR="00D159B5">
        <w:rPr>
          <w:rFonts w:asciiTheme="minorHAnsi" w:hAnsiTheme="minorHAnsi" w:cstheme="minorHAnsi"/>
          <w:szCs w:val="22"/>
          <w:lang w:val="en-US"/>
        </w:rPr>
        <w:t>below</w:t>
      </w:r>
      <w:r w:rsidR="00D159B5" w:rsidRPr="002233FF">
        <w:rPr>
          <w:rFonts w:asciiTheme="minorHAnsi" w:hAnsiTheme="minorHAnsi" w:cstheme="minorHAnsi"/>
          <w:szCs w:val="22"/>
          <w:lang w:val="en-US"/>
        </w:rPr>
        <w:t xml:space="preserve"> </w:t>
      </w:r>
      <w:r w:rsidR="00A3107D" w:rsidRPr="002233FF">
        <w:rPr>
          <w:rFonts w:asciiTheme="minorHAnsi" w:hAnsiTheme="minorHAnsi" w:cstheme="minorHAnsi"/>
          <w:szCs w:val="22"/>
          <w:lang w:val="en-US"/>
        </w:rPr>
        <w:t xml:space="preserve">the age of </w:t>
      </w:r>
      <w:r w:rsidR="00D159B5">
        <w:rPr>
          <w:rFonts w:asciiTheme="minorHAnsi" w:hAnsiTheme="minorHAnsi" w:cstheme="minorHAnsi"/>
          <w:szCs w:val="22"/>
          <w:lang w:val="en-US"/>
        </w:rPr>
        <w:t>four</w:t>
      </w:r>
      <w:r w:rsidR="00D159B5" w:rsidRPr="002233FF">
        <w:rPr>
          <w:rFonts w:asciiTheme="minorHAnsi" w:hAnsiTheme="minorHAnsi" w:cstheme="minorHAnsi"/>
          <w:szCs w:val="22"/>
          <w:lang w:val="en-US"/>
        </w:rPr>
        <w:t xml:space="preserve"> </w:t>
      </w:r>
      <w:r w:rsidR="00A3107D" w:rsidRPr="002233FF">
        <w:rPr>
          <w:rFonts w:asciiTheme="minorHAnsi" w:hAnsiTheme="minorHAnsi" w:cstheme="minorHAnsi"/>
          <w:szCs w:val="22"/>
          <w:lang w:val="en-US"/>
        </w:rPr>
        <w:t>years is particularly difficult and not always reliable or valid.</w:t>
      </w:r>
      <w:r w:rsidR="00345399" w:rsidRPr="002233FF">
        <w:rPr>
          <w:rFonts w:asciiTheme="minorHAnsi" w:hAnsiTheme="minorHAnsi" w:cstheme="minorHAnsi"/>
          <w:szCs w:val="22"/>
          <w:lang w:val="en-US"/>
        </w:rPr>
        <w:t xml:space="preserve"> </w:t>
      </w:r>
      <w:r w:rsidR="00501DA8">
        <w:rPr>
          <w:rFonts w:asciiTheme="minorHAnsi" w:hAnsiTheme="minorHAnsi" w:cstheme="minorHAnsi"/>
          <w:szCs w:val="22"/>
          <w:lang w:val="en-US"/>
        </w:rPr>
        <w:t>T</w:t>
      </w:r>
      <w:r w:rsidR="00345399" w:rsidRPr="002233FF">
        <w:rPr>
          <w:rFonts w:asciiTheme="minorHAnsi" w:hAnsiTheme="minorHAnsi" w:cstheme="minorHAnsi"/>
          <w:szCs w:val="22"/>
          <w:lang w:val="en-US"/>
        </w:rPr>
        <w:t>he following</w:t>
      </w:r>
      <w:r w:rsidR="00387B84" w:rsidRPr="002233FF">
        <w:rPr>
          <w:rFonts w:asciiTheme="minorHAnsi" w:hAnsiTheme="minorHAnsi" w:cstheme="minorHAnsi"/>
          <w:szCs w:val="22"/>
          <w:lang w:val="en-US"/>
        </w:rPr>
        <w:t xml:space="preserve"> parent-report </w:t>
      </w:r>
      <w:r w:rsidR="00D02C06">
        <w:rPr>
          <w:rFonts w:asciiTheme="minorHAnsi" w:hAnsiTheme="minorHAnsi" w:cstheme="minorHAnsi"/>
          <w:szCs w:val="22"/>
          <w:lang w:val="en-US"/>
        </w:rPr>
        <w:t xml:space="preserve">core measures </w:t>
      </w:r>
      <w:r w:rsidR="00387B84" w:rsidRPr="002233FF">
        <w:rPr>
          <w:rFonts w:asciiTheme="minorHAnsi" w:hAnsiTheme="minorHAnsi" w:cstheme="minorHAnsi"/>
          <w:szCs w:val="22"/>
          <w:lang w:val="en-US"/>
        </w:rPr>
        <w:t>are</w:t>
      </w:r>
      <w:r w:rsidR="00501DA8">
        <w:rPr>
          <w:rFonts w:asciiTheme="minorHAnsi" w:hAnsiTheme="minorHAnsi" w:cstheme="minorHAnsi"/>
          <w:szCs w:val="22"/>
          <w:lang w:val="en-US"/>
        </w:rPr>
        <w:t xml:space="preserve"> </w:t>
      </w:r>
      <w:r w:rsidR="00A3107D" w:rsidRPr="002233FF">
        <w:rPr>
          <w:rFonts w:asciiTheme="minorHAnsi" w:hAnsiTheme="minorHAnsi" w:cstheme="minorHAnsi"/>
          <w:szCs w:val="22"/>
          <w:lang w:val="en-US"/>
        </w:rPr>
        <w:t xml:space="preserve">recommended </w:t>
      </w:r>
      <w:r w:rsidR="00D02C06">
        <w:rPr>
          <w:rFonts w:asciiTheme="minorHAnsi" w:hAnsiTheme="minorHAnsi" w:cstheme="minorHAnsi"/>
          <w:szCs w:val="22"/>
          <w:lang w:val="en-US"/>
        </w:rPr>
        <w:t xml:space="preserve">for all under-fives in all trials but for children </w:t>
      </w:r>
      <w:r w:rsidR="00C7747F">
        <w:rPr>
          <w:rFonts w:asciiTheme="minorHAnsi" w:hAnsiTheme="minorHAnsi" w:cstheme="minorHAnsi"/>
          <w:szCs w:val="22"/>
          <w:lang w:val="en-US"/>
        </w:rPr>
        <w:t xml:space="preserve">before their fourth birthday </w:t>
      </w:r>
      <w:r w:rsidR="00D02C06">
        <w:rPr>
          <w:rFonts w:asciiTheme="minorHAnsi" w:hAnsiTheme="minorHAnsi" w:cstheme="minorHAnsi"/>
          <w:szCs w:val="22"/>
          <w:lang w:val="en-US"/>
        </w:rPr>
        <w:t>these will be</w:t>
      </w:r>
      <w:r w:rsidR="00A3107D" w:rsidRPr="002233FF">
        <w:rPr>
          <w:rFonts w:asciiTheme="minorHAnsi" w:hAnsiTheme="minorHAnsi" w:cstheme="minorHAnsi"/>
          <w:szCs w:val="22"/>
          <w:lang w:val="en-US"/>
        </w:rPr>
        <w:t xml:space="preserve"> the primary outcome measures </w:t>
      </w:r>
      <w:r w:rsidR="00D02C06">
        <w:rPr>
          <w:rFonts w:asciiTheme="minorHAnsi" w:hAnsiTheme="minorHAnsi" w:cstheme="minorHAnsi"/>
          <w:szCs w:val="22"/>
          <w:lang w:val="en-US"/>
        </w:rPr>
        <w:t>in the absence of direct cognitive assessments</w:t>
      </w:r>
      <w:r w:rsidR="00A3107D" w:rsidRPr="002233FF">
        <w:rPr>
          <w:rFonts w:asciiTheme="minorHAnsi" w:hAnsiTheme="minorHAnsi" w:cstheme="minorHAnsi"/>
          <w:szCs w:val="22"/>
          <w:lang w:val="en-US"/>
        </w:rPr>
        <w:t>:</w:t>
      </w:r>
    </w:p>
    <w:p w14:paraId="4F569C75" w14:textId="77777777" w:rsidR="00A3107D" w:rsidRPr="002233FF" w:rsidRDefault="00A3107D">
      <w:pPr>
        <w:pStyle w:val="Body1"/>
        <w:spacing w:line="480" w:lineRule="auto"/>
        <w:rPr>
          <w:rFonts w:asciiTheme="minorHAnsi" w:hAnsiTheme="minorHAnsi" w:cstheme="minorHAnsi"/>
          <w:szCs w:val="22"/>
          <w:highlight w:val="yellow"/>
          <w:lang w:val="en-GB"/>
        </w:rPr>
      </w:pPr>
    </w:p>
    <w:p w14:paraId="48BD1E9A" w14:textId="77777777" w:rsidR="00141999" w:rsidRPr="002233FF" w:rsidRDefault="00141999">
      <w:pPr>
        <w:pStyle w:val="ListParagraph"/>
        <w:numPr>
          <w:ilvl w:val="0"/>
          <w:numId w:val="3"/>
        </w:numPr>
        <w:spacing w:line="480" w:lineRule="auto"/>
        <w:rPr>
          <w:rFonts w:asciiTheme="minorHAnsi" w:hAnsiTheme="minorHAnsi" w:cstheme="minorHAnsi"/>
          <w:lang w:val="en-US"/>
        </w:rPr>
      </w:pPr>
      <w:r w:rsidRPr="002233FF">
        <w:rPr>
          <w:rFonts w:asciiTheme="minorHAnsi" w:hAnsiTheme="minorHAnsi" w:cstheme="minorHAnsi"/>
          <w:lang w:val="en-US"/>
        </w:rPr>
        <w:t>Demographic, Endocrine</w:t>
      </w:r>
      <w:r w:rsidR="00D02C06">
        <w:rPr>
          <w:rFonts w:asciiTheme="minorHAnsi" w:hAnsiTheme="minorHAnsi" w:cstheme="minorHAnsi"/>
          <w:lang w:val="en-US"/>
        </w:rPr>
        <w:t>,</w:t>
      </w:r>
      <w:r w:rsidRPr="002233FF">
        <w:rPr>
          <w:rFonts w:asciiTheme="minorHAnsi" w:hAnsiTheme="minorHAnsi" w:cstheme="minorHAnsi"/>
          <w:lang w:val="en-US"/>
        </w:rPr>
        <w:t xml:space="preserve"> and other Medical information (all ages):</w:t>
      </w:r>
    </w:p>
    <w:p w14:paraId="1A4BDB94" w14:textId="77777777" w:rsidR="00141999" w:rsidRPr="002233FF" w:rsidRDefault="00141999">
      <w:pPr>
        <w:pStyle w:val="ListParagraph"/>
        <w:numPr>
          <w:ilvl w:val="1"/>
          <w:numId w:val="3"/>
        </w:numPr>
        <w:spacing w:line="480" w:lineRule="auto"/>
        <w:rPr>
          <w:rFonts w:asciiTheme="minorHAnsi" w:hAnsiTheme="minorHAnsi" w:cstheme="minorHAnsi"/>
          <w:b/>
          <w:lang w:val="en-US"/>
        </w:rPr>
      </w:pPr>
      <w:r w:rsidRPr="002233FF">
        <w:rPr>
          <w:rFonts w:asciiTheme="minorHAnsi" w:hAnsiTheme="minorHAnsi" w:cstheme="minorHAnsi"/>
          <w:lang w:val="en-US"/>
        </w:rPr>
        <w:t>Medical, Educational, Employment</w:t>
      </w:r>
      <w:r w:rsidR="00D02C06">
        <w:rPr>
          <w:rFonts w:asciiTheme="minorHAnsi" w:hAnsiTheme="minorHAnsi" w:cstheme="minorHAnsi"/>
          <w:lang w:val="en-US"/>
        </w:rPr>
        <w:t>,</w:t>
      </w:r>
      <w:r w:rsidRPr="002233FF">
        <w:rPr>
          <w:rFonts w:asciiTheme="minorHAnsi" w:hAnsiTheme="minorHAnsi" w:cstheme="minorHAnsi"/>
          <w:lang w:val="en-US"/>
        </w:rPr>
        <w:t xml:space="preserve"> and Social Questionnaire (MEES</w:t>
      </w:r>
      <w:r w:rsidR="003A7540">
        <w:rPr>
          <w:rFonts w:asciiTheme="minorHAnsi" w:hAnsiTheme="minorHAnsi" w:cstheme="minorHAnsi"/>
          <w:lang w:val="en-US"/>
        </w:rPr>
        <w:t xml:space="preserve">, </w:t>
      </w:r>
      <w:r w:rsidRPr="002233FF">
        <w:rPr>
          <w:rFonts w:asciiTheme="minorHAnsi" w:hAnsiTheme="minorHAnsi" w:cstheme="minorHAnsi"/>
          <w:lang w:val="en-US"/>
        </w:rPr>
        <w:t>adapted</w:t>
      </w:r>
      <w:r w:rsidR="00250679" w:rsidRPr="004A2D5E">
        <w:rPr>
          <w:rFonts w:asciiTheme="minorHAnsi" w:hAnsiTheme="minorHAnsi" w:cstheme="minorHAnsi"/>
          <w:b/>
          <w:vertAlign w:val="superscript"/>
          <w:lang w:val="en-US"/>
        </w:rPr>
        <w:t>35</w:t>
      </w:r>
      <w:r w:rsidRPr="002233FF">
        <w:rPr>
          <w:rFonts w:asciiTheme="minorHAnsi" w:hAnsiTheme="minorHAnsi" w:cstheme="minorHAnsi"/>
          <w:lang w:val="en-US"/>
        </w:rPr>
        <w:t>)</w:t>
      </w:r>
    </w:p>
    <w:p w14:paraId="6B338A3D" w14:textId="77777777" w:rsidR="00A3107D" w:rsidRPr="002233FF" w:rsidRDefault="00A3107D">
      <w:pPr>
        <w:pStyle w:val="ListParagraph"/>
        <w:numPr>
          <w:ilvl w:val="0"/>
          <w:numId w:val="3"/>
        </w:numPr>
        <w:spacing w:line="480" w:lineRule="auto"/>
        <w:rPr>
          <w:rFonts w:asciiTheme="minorHAnsi" w:hAnsiTheme="minorHAnsi" w:cstheme="minorHAnsi"/>
        </w:rPr>
      </w:pPr>
      <w:r w:rsidRPr="002233FF">
        <w:rPr>
          <w:rFonts w:asciiTheme="minorHAnsi" w:hAnsiTheme="minorHAnsi" w:cstheme="minorHAnsi"/>
        </w:rPr>
        <w:t>Adaptive functioning (0-90 years):</w:t>
      </w:r>
    </w:p>
    <w:p w14:paraId="334B3F52" w14:textId="77777777" w:rsidR="00A3107D" w:rsidRPr="00F12558" w:rsidRDefault="00A3107D">
      <w:pPr>
        <w:pStyle w:val="ListParagraph"/>
        <w:numPr>
          <w:ilvl w:val="1"/>
          <w:numId w:val="3"/>
        </w:numPr>
        <w:spacing w:line="360" w:lineRule="auto"/>
        <w:rPr>
          <w:rFonts w:asciiTheme="minorHAnsi" w:hAnsiTheme="minorHAnsi" w:cstheme="minorHAnsi"/>
          <w:lang w:val="en-GB"/>
        </w:rPr>
      </w:pPr>
      <w:r w:rsidRPr="00F12558">
        <w:rPr>
          <w:rFonts w:asciiTheme="minorHAnsi" w:hAnsiTheme="minorHAnsi" w:cstheme="minorHAnsi"/>
          <w:lang w:val="en-GB"/>
        </w:rPr>
        <w:t>Vineland III parent</w:t>
      </w:r>
      <w:r w:rsidR="00501DA8" w:rsidRPr="00F12558">
        <w:rPr>
          <w:rFonts w:asciiTheme="minorHAnsi" w:hAnsiTheme="minorHAnsi" w:cstheme="minorHAnsi"/>
          <w:lang w:val="en-GB"/>
        </w:rPr>
        <w:t>/caregive</w:t>
      </w:r>
      <w:r w:rsidR="00671008" w:rsidRPr="00F12558">
        <w:rPr>
          <w:rFonts w:asciiTheme="minorHAnsi" w:hAnsiTheme="minorHAnsi" w:cstheme="minorHAnsi"/>
          <w:lang w:val="en-GB"/>
        </w:rPr>
        <w:t>r</w:t>
      </w:r>
      <w:r w:rsidR="00501DA8" w:rsidRPr="00F12558">
        <w:rPr>
          <w:rFonts w:asciiTheme="minorHAnsi" w:hAnsiTheme="minorHAnsi" w:cstheme="minorHAnsi"/>
          <w:lang w:val="en-GB"/>
        </w:rPr>
        <w:t xml:space="preserve"> rating form</w:t>
      </w:r>
      <w:r w:rsidR="00250679" w:rsidRPr="004A2D5E">
        <w:rPr>
          <w:rFonts w:asciiTheme="minorHAnsi" w:hAnsiTheme="minorHAnsi" w:cstheme="minorHAnsi"/>
          <w:b/>
          <w:vertAlign w:val="superscript"/>
          <w:lang w:val="en-GB"/>
        </w:rPr>
        <w:t>39</w:t>
      </w:r>
      <w:r w:rsidR="00E01431" w:rsidRPr="004A2D5E">
        <w:rPr>
          <w:rFonts w:asciiTheme="minorHAnsi" w:hAnsiTheme="minorHAnsi" w:cstheme="minorHAnsi"/>
          <w:b/>
          <w:vertAlign w:val="superscript"/>
          <w:lang w:val="en-GB"/>
        </w:rPr>
        <w:t xml:space="preserve"> </w:t>
      </w:r>
    </w:p>
    <w:p w14:paraId="68C8FBB0" w14:textId="77777777" w:rsidR="00A3107D" w:rsidRPr="002233FF" w:rsidRDefault="00A3107D">
      <w:pPr>
        <w:pStyle w:val="ListParagraph"/>
        <w:numPr>
          <w:ilvl w:val="0"/>
          <w:numId w:val="3"/>
        </w:numPr>
        <w:spacing w:line="360" w:lineRule="auto"/>
        <w:rPr>
          <w:rFonts w:asciiTheme="minorHAnsi" w:hAnsiTheme="minorHAnsi" w:cstheme="minorHAnsi"/>
          <w:lang w:val="en-US"/>
        </w:rPr>
      </w:pPr>
      <w:r w:rsidRPr="002233FF">
        <w:rPr>
          <w:rFonts w:asciiTheme="minorHAnsi" w:hAnsiTheme="minorHAnsi" w:cstheme="minorHAnsi"/>
          <w:lang w:val="en-US"/>
        </w:rPr>
        <w:t>Q</w:t>
      </w:r>
      <w:r w:rsidR="00D02C06">
        <w:rPr>
          <w:rFonts w:asciiTheme="minorHAnsi" w:hAnsiTheme="minorHAnsi" w:cstheme="minorHAnsi"/>
          <w:lang w:val="en-US"/>
        </w:rPr>
        <w:t>oL</w:t>
      </w:r>
      <w:r w:rsidRPr="002233FF">
        <w:rPr>
          <w:rFonts w:asciiTheme="minorHAnsi" w:hAnsiTheme="minorHAnsi" w:cstheme="minorHAnsi"/>
          <w:lang w:val="en-US"/>
        </w:rPr>
        <w:t xml:space="preserve"> (1 month-18 years)</w:t>
      </w:r>
    </w:p>
    <w:p w14:paraId="016C730C" w14:textId="77777777" w:rsidR="00A3107D" w:rsidRPr="004A2D5E" w:rsidRDefault="00A3107D">
      <w:pPr>
        <w:pStyle w:val="ListParagraph"/>
        <w:numPr>
          <w:ilvl w:val="1"/>
          <w:numId w:val="3"/>
        </w:numPr>
        <w:spacing w:line="360" w:lineRule="auto"/>
        <w:rPr>
          <w:rFonts w:asciiTheme="minorHAnsi" w:hAnsiTheme="minorHAnsi" w:cstheme="minorHAnsi"/>
          <w:b/>
          <w:vertAlign w:val="superscript"/>
        </w:rPr>
      </w:pPr>
      <w:r w:rsidRPr="00D159B5">
        <w:rPr>
          <w:rFonts w:asciiTheme="minorHAnsi" w:hAnsiTheme="minorHAnsi" w:cstheme="minorHAnsi"/>
        </w:rPr>
        <w:t xml:space="preserve">PedsQL – </w:t>
      </w:r>
      <w:r w:rsidR="00D159B5" w:rsidRPr="00D159B5">
        <w:rPr>
          <w:rFonts w:asciiTheme="minorHAnsi" w:hAnsiTheme="minorHAnsi" w:cstheme="minorHAnsi"/>
        </w:rPr>
        <w:t>Ge</w:t>
      </w:r>
      <w:r w:rsidR="00D159B5" w:rsidRPr="00F12558">
        <w:rPr>
          <w:rFonts w:asciiTheme="minorHAnsi" w:hAnsiTheme="minorHAnsi" w:cstheme="minorHAnsi"/>
        </w:rPr>
        <w:t xml:space="preserve">neric </w:t>
      </w:r>
      <w:r w:rsidR="00D159B5" w:rsidRPr="00D159B5">
        <w:rPr>
          <w:rFonts w:asciiTheme="minorHAnsi" w:hAnsiTheme="minorHAnsi" w:cstheme="minorHAnsi"/>
        </w:rPr>
        <w:t>C</w:t>
      </w:r>
      <w:r w:rsidRPr="00D159B5">
        <w:rPr>
          <w:rFonts w:asciiTheme="minorHAnsi" w:hAnsiTheme="minorHAnsi" w:cstheme="minorHAnsi"/>
        </w:rPr>
        <w:t xml:space="preserve">ore and </w:t>
      </w:r>
      <w:r w:rsidR="00D159B5">
        <w:rPr>
          <w:rFonts w:asciiTheme="minorHAnsi" w:hAnsiTheme="minorHAnsi" w:cstheme="minorHAnsi"/>
        </w:rPr>
        <w:t>M</w:t>
      </w:r>
      <w:r w:rsidR="00D159B5" w:rsidRPr="00D159B5">
        <w:rPr>
          <w:rFonts w:asciiTheme="minorHAnsi" w:hAnsiTheme="minorHAnsi" w:cstheme="minorHAnsi"/>
        </w:rPr>
        <w:t xml:space="preserve">ultidimensional </w:t>
      </w:r>
      <w:r w:rsidR="00D159B5">
        <w:rPr>
          <w:rFonts w:asciiTheme="minorHAnsi" w:hAnsiTheme="minorHAnsi" w:cstheme="minorHAnsi"/>
        </w:rPr>
        <w:t>F</w:t>
      </w:r>
      <w:r w:rsidR="00D159B5" w:rsidRPr="00D159B5">
        <w:rPr>
          <w:rFonts w:asciiTheme="minorHAnsi" w:hAnsiTheme="minorHAnsi" w:cstheme="minorHAnsi"/>
        </w:rPr>
        <w:t xml:space="preserve">atigue </w:t>
      </w:r>
      <w:r w:rsidR="00D159B5">
        <w:rPr>
          <w:rFonts w:asciiTheme="minorHAnsi" w:hAnsiTheme="minorHAnsi" w:cstheme="minorHAnsi"/>
        </w:rPr>
        <w:t>S</w:t>
      </w:r>
      <w:r w:rsidR="00671008" w:rsidRPr="00D159B5">
        <w:rPr>
          <w:rFonts w:asciiTheme="minorHAnsi" w:hAnsiTheme="minorHAnsi" w:cstheme="minorHAnsi"/>
        </w:rPr>
        <w:t>cales</w:t>
      </w:r>
      <w:r w:rsidR="00250679">
        <w:rPr>
          <w:rFonts w:asciiTheme="minorHAnsi" w:hAnsiTheme="minorHAnsi" w:cstheme="minorHAnsi"/>
          <w:b/>
          <w:vertAlign w:val="superscript"/>
        </w:rPr>
        <w:t>40</w:t>
      </w:r>
    </w:p>
    <w:p w14:paraId="38863A3F" w14:textId="77777777" w:rsidR="00A3107D" w:rsidRPr="00281E25" w:rsidRDefault="00250DF5">
      <w:pPr>
        <w:pStyle w:val="ListParagraph"/>
        <w:numPr>
          <w:ilvl w:val="0"/>
          <w:numId w:val="3"/>
        </w:numPr>
        <w:spacing w:line="360" w:lineRule="auto"/>
        <w:rPr>
          <w:rFonts w:asciiTheme="minorHAnsi" w:hAnsiTheme="minorHAnsi" w:cstheme="minorHAnsi"/>
          <w:lang w:val="en-GB"/>
        </w:rPr>
      </w:pPr>
      <w:r w:rsidRPr="00281E25">
        <w:rPr>
          <w:rFonts w:asciiTheme="minorHAnsi" w:hAnsiTheme="minorHAnsi" w:cstheme="minorHAnsi"/>
          <w:lang w:val="en-GB"/>
        </w:rPr>
        <w:t>Mental Health, Social Interactions</w:t>
      </w:r>
      <w:r w:rsidR="00E01431" w:rsidRPr="00281E25">
        <w:rPr>
          <w:rFonts w:asciiTheme="minorHAnsi" w:hAnsiTheme="minorHAnsi" w:cstheme="minorHAnsi"/>
          <w:lang w:val="en-GB"/>
        </w:rPr>
        <w:t>,</w:t>
      </w:r>
      <w:r w:rsidRPr="00281E25">
        <w:rPr>
          <w:rFonts w:asciiTheme="minorHAnsi" w:hAnsiTheme="minorHAnsi" w:cstheme="minorHAnsi"/>
          <w:lang w:val="en-GB"/>
        </w:rPr>
        <w:t xml:space="preserve"> and </w:t>
      </w:r>
      <w:r w:rsidR="00A3107D" w:rsidRPr="00281E25">
        <w:rPr>
          <w:rFonts w:asciiTheme="minorHAnsi" w:hAnsiTheme="minorHAnsi" w:cstheme="minorHAnsi"/>
          <w:lang w:val="en-GB"/>
        </w:rPr>
        <w:t>Behavioral difficulties (from 2 years):</w:t>
      </w:r>
    </w:p>
    <w:p w14:paraId="10756725" w14:textId="77777777" w:rsidR="00A3107D" w:rsidRPr="00F12558" w:rsidRDefault="00A3107D">
      <w:pPr>
        <w:pStyle w:val="ListParagraph"/>
        <w:numPr>
          <w:ilvl w:val="1"/>
          <w:numId w:val="3"/>
        </w:numPr>
        <w:spacing w:line="360" w:lineRule="auto"/>
        <w:rPr>
          <w:rFonts w:asciiTheme="minorHAnsi" w:hAnsiTheme="minorHAnsi" w:cstheme="minorHAnsi"/>
          <w:lang w:val="en-GB"/>
        </w:rPr>
      </w:pPr>
      <w:r w:rsidRPr="00F12558">
        <w:rPr>
          <w:rFonts w:asciiTheme="minorHAnsi" w:hAnsiTheme="minorHAnsi" w:cstheme="minorHAnsi"/>
          <w:lang w:val="en-GB"/>
        </w:rPr>
        <w:t>The Strengths and Difficulties Questionnaire (SDQ</w:t>
      </w:r>
      <w:r w:rsidR="00250679" w:rsidRPr="004A2D5E">
        <w:rPr>
          <w:rFonts w:asciiTheme="minorHAnsi" w:hAnsiTheme="minorHAnsi" w:cstheme="minorHAnsi"/>
          <w:b/>
          <w:vertAlign w:val="superscript"/>
          <w:lang w:val="en-GB"/>
        </w:rPr>
        <w:t>41</w:t>
      </w:r>
      <w:r w:rsidR="00141999" w:rsidRPr="00F12558">
        <w:rPr>
          <w:rFonts w:asciiTheme="minorHAnsi" w:hAnsiTheme="minorHAnsi" w:cstheme="minorHAnsi"/>
          <w:lang w:val="en-GB"/>
        </w:rPr>
        <w:t>)</w:t>
      </w:r>
    </w:p>
    <w:p w14:paraId="0302B6BC" w14:textId="77777777" w:rsidR="00A3107D" w:rsidRPr="002233FF" w:rsidRDefault="00A3107D">
      <w:pPr>
        <w:pStyle w:val="ListParagraph"/>
        <w:numPr>
          <w:ilvl w:val="0"/>
          <w:numId w:val="3"/>
        </w:numPr>
        <w:spacing w:line="360" w:lineRule="auto"/>
        <w:rPr>
          <w:rFonts w:asciiTheme="minorHAnsi" w:hAnsiTheme="minorHAnsi" w:cstheme="minorHAnsi"/>
          <w:lang w:val="en-US"/>
        </w:rPr>
      </w:pPr>
      <w:r w:rsidRPr="002233FF">
        <w:rPr>
          <w:rFonts w:asciiTheme="minorHAnsi" w:hAnsiTheme="minorHAnsi" w:cstheme="minorHAnsi"/>
          <w:lang w:val="en-US"/>
        </w:rPr>
        <w:t>Executive Function</w:t>
      </w:r>
      <w:r w:rsidR="00250DF5" w:rsidRPr="002233FF">
        <w:rPr>
          <w:rFonts w:asciiTheme="minorHAnsi" w:hAnsiTheme="minorHAnsi" w:cstheme="minorHAnsi"/>
          <w:lang w:val="en-US"/>
        </w:rPr>
        <w:t>ing</w:t>
      </w:r>
      <w:r w:rsidRPr="002233FF">
        <w:rPr>
          <w:rFonts w:asciiTheme="minorHAnsi" w:hAnsiTheme="minorHAnsi" w:cstheme="minorHAnsi"/>
          <w:lang w:val="en-US"/>
        </w:rPr>
        <w:t xml:space="preserve"> (from 2 years)</w:t>
      </w:r>
    </w:p>
    <w:p w14:paraId="1A28F7EE" w14:textId="77777777" w:rsidR="00A3107D" w:rsidRPr="004A2D5E" w:rsidRDefault="00A3107D">
      <w:pPr>
        <w:pStyle w:val="ListParagraph"/>
        <w:numPr>
          <w:ilvl w:val="1"/>
          <w:numId w:val="3"/>
        </w:numPr>
        <w:spacing w:line="360" w:lineRule="auto"/>
        <w:rPr>
          <w:rFonts w:asciiTheme="minorHAnsi" w:hAnsiTheme="minorHAnsi" w:cstheme="minorHAnsi"/>
          <w:b/>
          <w:vertAlign w:val="superscript"/>
          <w:lang w:val="en-US"/>
        </w:rPr>
      </w:pPr>
      <w:r w:rsidRPr="002233FF">
        <w:rPr>
          <w:rFonts w:asciiTheme="minorHAnsi" w:hAnsiTheme="minorHAnsi" w:cstheme="minorHAnsi"/>
          <w:lang w:val="en-US"/>
        </w:rPr>
        <w:t>The Behaviour Rating Inventory of Executive Function -</w:t>
      </w:r>
      <w:r w:rsidR="00E01431">
        <w:rPr>
          <w:rFonts w:asciiTheme="minorHAnsi" w:hAnsiTheme="minorHAnsi" w:cstheme="minorHAnsi"/>
          <w:lang w:val="en-US"/>
        </w:rPr>
        <w:t xml:space="preserve"> </w:t>
      </w:r>
      <w:r w:rsidRPr="002233FF">
        <w:rPr>
          <w:rFonts w:asciiTheme="minorHAnsi" w:hAnsiTheme="minorHAnsi" w:cstheme="minorHAnsi"/>
          <w:lang w:val="en-US"/>
        </w:rPr>
        <w:t>Preschool</w:t>
      </w:r>
      <w:r w:rsidR="00250679">
        <w:rPr>
          <w:rFonts w:asciiTheme="minorHAnsi" w:hAnsiTheme="minorHAnsi" w:cstheme="minorHAnsi"/>
          <w:b/>
          <w:vertAlign w:val="superscript"/>
          <w:lang w:val="en-US"/>
        </w:rPr>
        <w:t>42</w:t>
      </w:r>
    </w:p>
    <w:p w14:paraId="30BC30B1" w14:textId="77777777" w:rsidR="00A3107D" w:rsidRPr="002233FF" w:rsidRDefault="00A3107D">
      <w:pPr>
        <w:pStyle w:val="ListParagraph"/>
        <w:ind w:left="735"/>
        <w:rPr>
          <w:rFonts w:asciiTheme="minorHAnsi" w:hAnsiTheme="minorHAnsi" w:cstheme="minorHAnsi"/>
          <w:lang w:val="en-US"/>
        </w:rPr>
      </w:pPr>
    </w:p>
    <w:p w14:paraId="53A0E8F3" w14:textId="139E5881" w:rsidR="00EB10E1" w:rsidRDefault="00A3107D">
      <w:pPr>
        <w:pStyle w:val="Body1"/>
        <w:spacing w:line="480" w:lineRule="auto"/>
        <w:rPr>
          <w:rFonts w:asciiTheme="minorHAnsi" w:hAnsiTheme="minorHAnsi" w:cstheme="minorHAnsi"/>
          <w:szCs w:val="22"/>
          <w:lang w:val="en-GB"/>
        </w:rPr>
      </w:pPr>
      <w:r w:rsidRPr="002233FF">
        <w:rPr>
          <w:rFonts w:asciiTheme="minorHAnsi" w:hAnsiTheme="minorHAnsi" w:cstheme="minorHAnsi"/>
          <w:szCs w:val="22"/>
          <w:lang w:val="en-GB"/>
        </w:rPr>
        <w:t xml:space="preserve">There was considerable debate within the group </w:t>
      </w:r>
      <w:r w:rsidR="00501DA8">
        <w:rPr>
          <w:rFonts w:asciiTheme="minorHAnsi" w:hAnsiTheme="minorHAnsi" w:cstheme="minorHAnsi"/>
          <w:szCs w:val="22"/>
          <w:lang w:val="en-GB"/>
        </w:rPr>
        <w:t>with regard to establishing a developmental</w:t>
      </w:r>
      <w:r w:rsidR="00CE77CA">
        <w:rPr>
          <w:rFonts w:asciiTheme="minorHAnsi" w:hAnsiTheme="minorHAnsi" w:cstheme="minorHAnsi"/>
          <w:szCs w:val="22"/>
          <w:lang w:val="en-GB"/>
        </w:rPr>
        <w:t xml:space="preserve"> level in this young population, particularly whether a direct measure such as the </w:t>
      </w:r>
      <w:r w:rsidRPr="002233FF">
        <w:rPr>
          <w:rFonts w:asciiTheme="minorHAnsi" w:hAnsiTheme="minorHAnsi" w:cstheme="minorHAnsi"/>
          <w:szCs w:val="22"/>
          <w:lang w:val="en-GB"/>
        </w:rPr>
        <w:t>Bayley Scales of Infant Development</w:t>
      </w:r>
      <w:r w:rsidR="00501DA8">
        <w:rPr>
          <w:rFonts w:asciiTheme="minorHAnsi" w:hAnsiTheme="minorHAnsi" w:cstheme="minorHAnsi"/>
          <w:szCs w:val="22"/>
          <w:lang w:val="en-GB"/>
        </w:rPr>
        <w:t xml:space="preserve"> (3</w:t>
      </w:r>
      <w:r w:rsidR="00501DA8" w:rsidRPr="00501DA8">
        <w:rPr>
          <w:rFonts w:asciiTheme="minorHAnsi" w:hAnsiTheme="minorHAnsi" w:cstheme="minorHAnsi"/>
          <w:szCs w:val="22"/>
          <w:vertAlign w:val="superscript"/>
          <w:lang w:val="en-GB"/>
        </w:rPr>
        <w:t>rd</w:t>
      </w:r>
      <w:r w:rsidR="00501DA8">
        <w:rPr>
          <w:rFonts w:asciiTheme="minorHAnsi" w:hAnsiTheme="minorHAnsi" w:cstheme="minorHAnsi"/>
          <w:szCs w:val="22"/>
          <w:lang w:val="en-GB"/>
        </w:rPr>
        <w:t xml:space="preserve"> edition)</w:t>
      </w:r>
      <w:r w:rsidR="003A6AB3">
        <w:rPr>
          <w:rFonts w:asciiTheme="minorHAnsi" w:hAnsiTheme="minorHAnsi" w:cstheme="minorHAnsi"/>
          <w:szCs w:val="22"/>
          <w:lang w:val="en-GB"/>
        </w:rPr>
        <w:t xml:space="preserve"> should be </w:t>
      </w:r>
      <w:r w:rsidR="00CD140E">
        <w:rPr>
          <w:rFonts w:asciiTheme="minorHAnsi" w:hAnsiTheme="minorHAnsi" w:cstheme="minorHAnsi"/>
          <w:szCs w:val="22"/>
          <w:lang w:val="en-GB"/>
        </w:rPr>
        <w:t xml:space="preserve">used.  It was also acknowledged that the </w:t>
      </w:r>
      <w:r w:rsidR="00501DA8">
        <w:rPr>
          <w:rFonts w:asciiTheme="minorHAnsi" w:hAnsiTheme="minorHAnsi" w:cstheme="minorHAnsi"/>
          <w:szCs w:val="22"/>
          <w:lang w:val="en-GB"/>
        </w:rPr>
        <w:t xml:space="preserve">indirect measure of </w:t>
      </w:r>
      <w:r w:rsidR="00CD140E">
        <w:rPr>
          <w:rFonts w:asciiTheme="minorHAnsi" w:hAnsiTheme="minorHAnsi" w:cstheme="minorHAnsi"/>
          <w:szCs w:val="22"/>
          <w:lang w:val="en-GB"/>
        </w:rPr>
        <w:t xml:space="preserve">adaptive functioning, </w:t>
      </w:r>
      <w:r w:rsidRPr="002233FF">
        <w:rPr>
          <w:rFonts w:asciiTheme="minorHAnsi" w:hAnsiTheme="minorHAnsi" w:cstheme="minorHAnsi"/>
          <w:szCs w:val="22"/>
          <w:lang w:val="en-GB"/>
        </w:rPr>
        <w:t>the Vineland Adaptive Behavior Scales</w:t>
      </w:r>
      <w:r w:rsidR="00501DA8">
        <w:rPr>
          <w:rFonts w:asciiTheme="minorHAnsi" w:hAnsiTheme="minorHAnsi" w:cstheme="minorHAnsi"/>
          <w:szCs w:val="22"/>
          <w:lang w:val="en-GB"/>
        </w:rPr>
        <w:t xml:space="preserve"> (</w:t>
      </w:r>
      <w:r w:rsidR="00214B9A">
        <w:rPr>
          <w:rFonts w:asciiTheme="minorHAnsi" w:hAnsiTheme="minorHAnsi" w:cstheme="minorHAnsi"/>
          <w:szCs w:val="22"/>
          <w:lang w:val="en-GB"/>
        </w:rPr>
        <w:t>3</w:t>
      </w:r>
      <w:r w:rsidR="00214B9A" w:rsidRPr="00214B9A">
        <w:rPr>
          <w:rFonts w:asciiTheme="minorHAnsi" w:hAnsiTheme="minorHAnsi" w:cstheme="minorHAnsi"/>
          <w:szCs w:val="22"/>
          <w:vertAlign w:val="superscript"/>
          <w:lang w:val="en-GB"/>
        </w:rPr>
        <w:t>rd</w:t>
      </w:r>
      <w:r w:rsidR="00214B9A">
        <w:rPr>
          <w:rFonts w:asciiTheme="minorHAnsi" w:hAnsiTheme="minorHAnsi" w:cstheme="minorHAnsi"/>
          <w:szCs w:val="22"/>
          <w:lang w:val="en-GB"/>
        </w:rPr>
        <w:t xml:space="preserve"> </w:t>
      </w:r>
      <w:r w:rsidR="00501DA8">
        <w:rPr>
          <w:rFonts w:asciiTheme="minorHAnsi" w:hAnsiTheme="minorHAnsi" w:cstheme="minorHAnsi"/>
          <w:szCs w:val="22"/>
          <w:lang w:val="en-GB"/>
        </w:rPr>
        <w:t xml:space="preserve">edition) </w:t>
      </w:r>
      <w:r w:rsidR="00CD140E">
        <w:rPr>
          <w:rFonts w:asciiTheme="minorHAnsi" w:hAnsiTheme="minorHAnsi" w:cstheme="minorHAnsi"/>
          <w:szCs w:val="22"/>
          <w:lang w:val="en-GB"/>
        </w:rPr>
        <w:t>provides an</w:t>
      </w:r>
      <w:r w:rsidRPr="002233FF">
        <w:rPr>
          <w:rFonts w:asciiTheme="minorHAnsi" w:hAnsiTheme="minorHAnsi" w:cstheme="minorHAnsi"/>
          <w:szCs w:val="22"/>
          <w:lang w:val="en-GB"/>
        </w:rPr>
        <w:t xml:space="preserve"> indication of developmental level.</w:t>
      </w:r>
      <w:r w:rsidR="00C74FF6">
        <w:rPr>
          <w:rFonts w:asciiTheme="minorHAnsi" w:hAnsiTheme="minorHAnsi" w:cstheme="minorHAnsi"/>
          <w:szCs w:val="22"/>
          <w:lang w:val="en-GB"/>
        </w:rPr>
        <w:t xml:space="preserve"> </w:t>
      </w:r>
      <w:r w:rsidR="00321E8A">
        <w:rPr>
          <w:rFonts w:asciiTheme="minorHAnsi" w:hAnsiTheme="minorHAnsi" w:cstheme="minorHAnsi"/>
          <w:szCs w:val="22"/>
          <w:lang w:val="en-GB"/>
        </w:rPr>
        <w:t>When two tests consistently differ in terms of their standardised scores within individuals it is recognised that they may be assessing different constructs</w:t>
      </w:r>
      <w:r w:rsidR="008D3D08">
        <w:rPr>
          <w:rFonts w:asciiTheme="minorHAnsi" w:hAnsiTheme="minorHAnsi" w:cstheme="minorHAnsi"/>
          <w:szCs w:val="22"/>
          <w:lang w:val="en-GB"/>
        </w:rPr>
        <w:t>. For example,</w:t>
      </w:r>
      <w:r w:rsidR="00321E8A">
        <w:rPr>
          <w:rFonts w:asciiTheme="minorHAnsi" w:hAnsiTheme="minorHAnsi" w:cstheme="minorHAnsi"/>
          <w:szCs w:val="22"/>
          <w:lang w:val="en-GB"/>
        </w:rPr>
        <w:t xml:space="preserve"> the </w:t>
      </w:r>
      <w:r w:rsidRPr="00501DA8">
        <w:rPr>
          <w:rFonts w:asciiTheme="minorHAnsi" w:hAnsiTheme="minorHAnsi" w:cstheme="minorHAnsi"/>
          <w:szCs w:val="22"/>
          <w:lang w:val="en-GB"/>
        </w:rPr>
        <w:t xml:space="preserve">Vineland-II communication and motor scores </w:t>
      </w:r>
      <w:r w:rsidR="00321E8A">
        <w:rPr>
          <w:rFonts w:asciiTheme="minorHAnsi" w:hAnsiTheme="minorHAnsi" w:cstheme="minorHAnsi"/>
          <w:szCs w:val="22"/>
          <w:lang w:val="en-GB"/>
        </w:rPr>
        <w:t xml:space="preserve">consistently </w:t>
      </w:r>
      <w:r w:rsidRPr="00501DA8">
        <w:rPr>
          <w:rFonts w:asciiTheme="minorHAnsi" w:hAnsiTheme="minorHAnsi" w:cstheme="minorHAnsi"/>
          <w:szCs w:val="22"/>
          <w:lang w:val="en-GB"/>
        </w:rPr>
        <w:t xml:space="preserve">reported as significantly higher than corresponding scores </w:t>
      </w:r>
      <w:r w:rsidR="003C1009">
        <w:rPr>
          <w:rFonts w:asciiTheme="minorHAnsi" w:hAnsiTheme="minorHAnsi" w:cstheme="minorHAnsi"/>
          <w:szCs w:val="22"/>
          <w:lang w:val="en-GB"/>
        </w:rPr>
        <w:t xml:space="preserve">for communication and motor skills </w:t>
      </w:r>
      <w:r w:rsidRPr="00501DA8">
        <w:rPr>
          <w:rFonts w:asciiTheme="minorHAnsi" w:hAnsiTheme="minorHAnsi" w:cstheme="minorHAnsi"/>
          <w:szCs w:val="22"/>
          <w:lang w:val="en-GB"/>
        </w:rPr>
        <w:t>from the Bayley-III direct assessment</w:t>
      </w:r>
      <w:r w:rsidR="00321E8A" w:rsidRPr="00717345">
        <w:rPr>
          <w:rFonts w:asciiTheme="minorHAnsi" w:hAnsiTheme="minorHAnsi" w:cstheme="minorHAnsi"/>
          <w:szCs w:val="22"/>
          <w:vertAlign w:val="superscript"/>
          <w:lang w:val="en-GB"/>
        </w:rPr>
        <w:t>43</w:t>
      </w:r>
      <w:r w:rsidR="00321E8A">
        <w:rPr>
          <w:rFonts w:asciiTheme="minorHAnsi" w:hAnsiTheme="minorHAnsi" w:cstheme="minorHAnsi"/>
          <w:szCs w:val="22"/>
          <w:vertAlign w:val="superscript"/>
          <w:lang w:val="en-GB"/>
        </w:rPr>
        <w:t>.</w:t>
      </w:r>
      <w:r w:rsidR="00552BF3">
        <w:rPr>
          <w:rFonts w:asciiTheme="minorHAnsi" w:hAnsiTheme="minorHAnsi" w:cstheme="minorHAnsi"/>
          <w:szCs w:val="22"/>
          <w:lang w:val="en-GB"/>
        </w:rPr>
        <w:t>.</w:t>
      </w:r>
      <w:r w:rsidR="00C74FF6">
        <w:rPr>
          <w:rFonts w:asciiTheme="minorHAnsi" w:hAnsiTheme="minorHAnsi" w:cstheme="minorHAnsi"/>
          <w:szCs w:val="22"/>
          <w:lang w:val="en-GB"/>
        </w:rPr>
        <w:t xml:space="preserve"> </w:t>
      </w:r>
      <w:r w:rsidR="00321E8A">
        <w:rPr>
          <w:rFonts w:asciiTheme="minorHAnsi" w:hAnsiTheme="minorHAnsi" w:cstheme="minorHAnsi"/>
          <w:szCs w:val="22"/>
          <w:lang w:val="en-GB"/>
        </w:rPr>
        <w:t>However,</w:t>
      </w:r>
      <w:r w:rsidR="004F051C">
        <w:rPr>
          <w:rFonts w:asciiTheme="minorHAnsi" w:hAnsiTheme="minorHAnsi" w:cstheme="minorHAnsi"/>
          <w:szCs w:val="22"/>
          <w:lang w:val="en-GB"/>
        </w:rPr>
        <w:t xml:space="preserve"> </w:t>
      </w:r>
      <w:r w:rsidRPr="00501DA8">
        <w:rPr>
          <w:rFonts w:asciiTheme="minorHAnsi" w:hAnsiTheme="minorHAnsi" w:cstheme="minorHAnsi"/>
          <w:szCs w:val="22"/>
          <w:lang w:val="en-GB"/>
        </w:rPr>
        <w:t xml:space="preserve">it is also </w:t>
      </w:r>
      <w:r w:rsidR="00321E8A">
        <w:rPr>
          <w:rFonts w:asciiTheme="minorHAnsi" w:hAnsiTheme="minorHAnsi" w:cstheme="minorHAnsi"/>
          <w:szCs w:val="22"/>
          <w:lang w:val="en-GB"/>
        </w:rPr>
        <w:t xml:space="preserve">reported </w:t>
      </w:r>
      <w:r w:rsidRPr="00501DA8">
        <w:rPr>
          <w:rFonts w:asciiTheme="minorHAnsi" w:hAnsiTheme="minorHAnsi" w:cstheme="minorHAnsi"/>
          <w:szCs w:val="22"/>
          <w:lang w:val="en-GB"/>
        </w:rPr>
        <w:t xml:space="preserve">that Vineland-II and Bayley-III domain and subdomain scores </w:t>
      </w:r>
      <w:r w:rsidR="00321E8A">
        <w:rPr>
          <w:rFonts w:asciiTheme="minorHAnsi" w:hAnsiTheme="minorHAnsi" w:cstheme="minorHAnsi"/>
          <w:szCs w:val="22"/>
          <w:lang w:val="en-GB"/>
        </w:rPr>
        <w:t>are</w:t>
      </w:r>
      <w:r w:rsidRPr="00501DA8">
        <w:rPr>
          <w:rFonts w:asciiTheme="minorHAnsi" w:hAnsiTheme="minorHAnsi" w:cstheme="minorHAnsi"/>
          <w:szCs w:val="22"/>
          <w:lang w:val="en-GB"/>
        </w:rPr>
        <w:t xml:space="preserve"> highly correlated</w:t>
      </w:r>
      <w:r w:rsidR="00250679">
        <w:rPr>
          <w:rFonts w:asciiTheme="minorHAnsi" w:hAnsiTheme="minorHAnsi" w:cstheme="minorHAnsi"/>
          <w:b/>
          <w:szCs w:val="22"/>
          <w:vertAlign w:val="superscript"/>
          <w:lang w:val="en-GB"/>
        </w:rPr>
        <w:t>43, 44</w:t>
      </w:r>
      <w:r w:rsidRPr="00501DA8">
        <w:rPr>
          <w:rFonts w:asciiTheme="minorHAnsi" w:hAnsiTheme="minorHAnsi" w:cstheme="minorHAnsi"/>
          <w:szCs w:val="22"/>
          <w:lang w:val="en-GB"/>
        </w:rPr>
        <w:t>.  It was agreed that the Vineland-II</w:t>
      </w:r>
      <w:r w:rsidR="005802D1">
        <w:rPr>
          <w:rFonts w:asciiTheme="minorHAnsi" w:hAnsiTheme="minorHAnsi" w:cstheme="minorHAnsi"/>
          <w:szCs w:val="22"/>
          <w:lang w:val="en-GB"/>
        </w:rPr>
        <w:t>I</w:t>
      </w:r>
      <w:r w:rsidRPr="00501DA8">
        <w:rPr>
          <w:rFonts w:asciiTheme="minorHAnsi" w:hAnsiTheme="minorHAnsi" w:cstheme="minorHAnsi"/>
          <w:szCs w:val="22"/>
          <w:lang w:val="en-GB"/>
        </w:rPr>
        <w:t xml:space="preserve"> parent</w:t>
      </w:r>
      <w:r w:rsidR="00501DA8" w:rsidRPr="00501DA8">
        <w:rPr>
          <w:rFonts w:asciiTheme="minorHAnsi" w:hAnsiTheme="minorHAnsi" w:cstheme="minorHAnsi"/>
          <w:szCs w:val="22"/>
          <w:lang w:val="en-GB"/>
        </w:rPr>
        <w:t>/caregiver rating form</w:t>
      </w:r>
      <w:r w:rsidRPr="00501DA8">
        <w:rPr>
          <w:rFonts w:asciiTheme="minorHAnsi" w:hAnsiTheme="minorHAnsi" w:cstheme="minorHAnsi"/>
          <w:szCs w:val="22"/>
          <w:lang w:val="en-GB"/>
        </w:rPr>
        <w:t xml:space="preserve"> would be the recommended measure for adaptive functioning and developmental level,</w:t>
      </w:r>
      <w:r w:rsidR="00E01431">
        <w:rPr>
          <w:rFonts w:asciiTheme="minorHAnsi" w:hAnsiTheme="minorHAnsi" w:cstheme="minorHAnsi"/>
          <w:szCs w:val="22"/>
          <w:lang w:val="en-GB"/>
        </w:rPr>
        <w:t xml:space="preserve"> and </w:t>
      </w:r>
      <w:r w:rsidR="006C3D20">
        <w:rPr>
          <w:rFonts w:asciiTheme="minorHAnsi" w:hAnsiTheme="minorHAnsi" w:cstheme="minorHAnsi"/>
          <w:szCs w:val="22"/>
          <w:lang w:val="en-GB"/>
        </w:rPr>
        <w:t>if both measures are used within a trial, or for comparison between trials, the data should be examined carefully before being considered as measuring the same construct</w:t>
      </w:r>
      <w:r w:rsidR="00321E8A">
        <w:rPr>
          <w:rFonts w:asciiTheme="minorHAnsi" w:hAnsiTheme="minorHAnsi" w:cstheme="minorHAnsi"/>
          <w:szCs w:val="22"/>
          <w:lang w:val="en-GB"/>
        </w:rPr>
        <w:t>.  The most likely issue being that the Vineland could indicate higher levels of functioning</w:t>
      </w:r>
      <w:r w:rsidR="003C1009">
        <w:rPr>
          <w:rFonts w:asciiTheme="minorHAnsi" w:hAnsiTheme="minorHAnsi" w:cstheme="minorHAnsi"/>
          <w:szCs w:val="22"/>
          <w:lang w:val="en-GB"/>
        </w:rPr>
        <w:t>, perhaps due to collecting reports of what is typically done by the child as measured by the Vineland, rather than how they perform within a single direct assessment as measured by the Bayley’s</w:t>
      </w:r>
      <w:r w:rsidR="006C3D20">
        <w:rPr>
          <w:rFonts w:asciiTheme="minorHAnsi" w:hAnsiTheme="minorHAnsi" w:cstheme="minorHAnsi"/>
          <w:szCs w:val="22"/>
          <w:lang w:val="en-GB"/>
        </w:rPr>
        <w:t>.</w:t>
      </w:r>
    </w:p>
    <w:p w14:paraId="5F1584FF" w14:textId="77777777" w:rsidR="0057299F" w:rsidRDefault="0057299F">
      <w:pPr>
        <w:pStyle w:val="Body1"/>
        <w:spacing w:line="480" w:lineRule="auto"/>
        <w:rPr>
          <w:rFonts w:asciiTheme="minorHAnsi" w:hAnsiTheme="minorHAnsi" w:cstheme="minorHAnsi"/>
          <w:szCs w:val="22"/>
          <w:lang w:val="en-GB"/>
        </w:rPr>
      </w:pPr>
    </w:p>
    <w:p w14:paraId="579C18DB" w14:textId="77777777" w:rsidR="00EB10E1" w:rsidRPr="00EB10E1" w:rsidRDefault="00BD0169">
      <w:pPr>
        <w:pStyle w:val="Body1"/>
        <w:spacing w:line="480" w:lineRule="auto"/>
        <w:rPr>
          <w:rFonts w:asciiTheme="minorHAnsi" w:hAnsiTheme="minorHAnsi" w:cstheme="minorHAnsi"/>
          <w:b/>
          <w:i/>
          <w:szCs w:val="22"/>
          <w:lang w:val="en-GB"/>
        </w:rPr>
      </w:pPr>
      <w:r>
        <w:rPr>
          <w:rFonts w:asciiTheme="minorHAnsi" w:hAnsiTheme="minorHAnsi" w:cstheme="minorHAnsi"/>
          <w:b/>
          <w:i/>
          <w:szCs w:val="22"/>
          <w:lang w:val="en-GB"/>
        </w:rPr>
        <w:t xml:space="preserve">3.1.2 </w:t>
      </w:r>
      <w:r w:rsidR="00EB10E1" w:rsidRPr="00EB10E1">
        <w:rPr>
          <w:rFonts w:asciiTheme="minorHAnsi" w:hAnsiTheme="minorHAnsi" w:cstheme="minorHAnsi"/>
          <w:b/>
          <w:i/>
          <w:szCs w:val="22"/>
          <w:lang w:val="en-GB"/>
        </w:rPr>
        <w:t>Indirect ‘plus’ measures</w:t>
      </w:r>
    </w:p>
    <w:p w14:paraId="1A726AD1" w14:textId="77777777" w:rsidR="00A3107D" w:rsidRDefault="00EB10E1">
      <w:pPr>
        <w:pStyle w:val="Body1"/>
        <w:spacing w:line="480" w:lineRule="auto"/>
        <w:rPr>
          <w:rFonts w:asciiTheme="minorHAnsi" w:hAnsiTheme="minorHAnsi" w:cstheme="minorHAnsi"/>
          <w:szCs w:val="22"/>
          <w:lang w:val="en-GB"/>
        </w:rPr>
      </w:pPr>
      <w:r>
        <w:rPr>
          <w:rFonts w:asciiTheme="minorHAnsi" w:hAnsiTheme="minorHAnsi" w:cstheme="minorHAnsi"/>
          <w:szCs w:val="22"/>
          <w:lang w:val="en-GB"/>
        </w:rPr>
        <w:t xml:space="preserve">Measuring developmental level (rather than adaptive functioning) using an indirect measure is recommended as a ‘plus’ measure for trials and/or countries where </w:t>
      </w:r>
      <w:r w:rsidR="009A59B6">
        <w:rPr>
          <w:rFonts w:asciiTheme="minorHAnsi" w:hAnsiTheme="minorHAnsi" w:cstheme="minorHAnsi"/>
          <w:szCs w:val="22"/>
          <w:lang w:val="en-GB"/>
        </w:rPr>
        <w:t xml:space="preserve">measures are </w:t>
      </w:r>
      <w:r>
        <w:rPr>
          <w:rFonts w:asciiTheme="minorHAnsi" w:hAnsiTheme="minorHAnsi" w:cstheme="minorHAnsi"/>
          <w:szCs w:val="22"/>
          <w:lang w:val="en-GB"/>
        </w:rPr>
        <w:t>available.  For example, the Ages and Stages Questionnaire</w:t>
      </w:r>
      <w:r w:rsidR="00250679">
        <w:rPr>
          <w:rFonts w:asciiTheme="minorHAnsi" w:hAnsiTheme="minorHAnsi" w:cstheme="minorHAnsi"/>
          <w:b/>
          <w:szCs w:val="22"/>
          <w:vertAlign w:val="superscript"/>
          <w:lang w:val="en-GB"/>
        </w:rPr>
        <w:t>45</w:t>
      </w:r>
      <w:r>
        <w:rPr>
          <w:rFonts w:asciiTheme="minorHAnsi" w:hAnsiTheme="minorHAnsi" w:cstheme="minorHAnsi"/>
          <w:szCs w:val="22"/>
          <w:lang w:val="en-GB"/>
        </w:rPr>
        <w:t xml:space="preserve"> and the</w:t>
      </w:r>
      <w:r w:rsidR="00215822">
        <w:rPr>
          <w:rFonts w:asciiTheme="minorHAnsi" w:hAnsiTheme="minorHAnsi" w:cstheme="minorHAnsi"/>
          <w:szCs w:val="22"/>
          <w:lang w:val="en-GB"/>
        </w:rPr>
        <w:t xml:space="preserve"> Child Development Inventory (CDI, translated into French; IDE</w:t>
      </w:r>
      <w:r w:rsidR="00250679">
        <w:rPr>
          <w:rFonts w:asciiTheme="minorHAnsi" w:hAnsiTheme="minorHAnsi" w:cstheme="minorHAnsi"/>
          <w:b/>
          <w:szCs w:val="22"/>
          <w:vertAlign w:val="superscript"/>
          <w:lang w:val="en-GB"/>
        </w:rPr>
        <w:t>46</w:t>
      </w:r>
      <w:r w:rsidR="007F4188">
        <w:rPr>
          <w:rFonts w:asciiTheme="minorHAnsi" w:hAnsiTheme="minorHAnsi" w:cstheme="minorHAnsi"/>
          <w:szCs w:val="22"/>
          <w:lang w:val="en-GB"/>
        </w:rPr>
        <w:t>)</w:t>
      </w:r>
      <w:r w:rsidR="009A59B6">
        <w:rPr>
          <w:rFonts w:asciiTheme="minorHAnsi" w:hAnsiTheme="minorHAnsi" w:cstheme="minorHAnsi"/>
          <w:szCs w:val="22"/>
          <w:lang w:val="en-GB"/>
        </w:rPr>
        <w:t xml:space="preserve"> can be utilised</w:t>
      </w:r>
      <w:r>
        <w:rPr>
          <w:rFonts w:asciiTheme="minorHAnsi" w:hAnsiTheme="minorHAnsi" w:cstheme="minorHAnsi"/>
          <w:szCs w:val="22"/>
          <w:lang w:val="en-GB"/>
        </w:rPr>
        <w:t>.  Such s</w:t>
      </w:r>
      <w:r w:rsidR="007309CC">
        <w:rPr>
          <w:rFonts w:asciiTheme="minorHAnsi" w:hAnsiTheme="minorHAnsi" w:cstheme="minorHAnsi"/>
          <w:szCs w:val="22"/>
          <w:lang w:val="en-GB"/>
        </w:rPr>
        <w:t xml:space="preserve">cales </w:t>
      </w:r>
      <w:r>
        <w:rPr>
          <w:rFonts w:asciiTheme="minorHAnsi" w:hAnsiTheme="minorHAnsi" w:cstheme="minorHAnsi"/>
          <w:szCs w:val="22"/>
          <w:lang w:val="en-GB"/>
        </w:rPr>
        <w:t>are available in some languages and are being validated in others</w:t>
      </w:r>
      <w:r w:rsidR="00CB0473">
        <w:rPr>
          <w:rFonts w:asciiTheme="minorHAnsi" w:hAnsiTheme="minorHAnsi" w:cstheme="minorHAnsi"/>
          <w:szCs w:val="22"/>
          <w:lang w:val="en-GB"/>
        </w:rPr>
        <w:t>.</w:t>
      </w:r>
      <w:r>
        <w:rPr>
          <w:rFonts w:asciiTheme="minorHAnsi" w:hAnsiTheme="minorHAnsi" w:cstheme="minorHAnsi"/>
          <w:szCs w:val="22"/>
          <w:lang w:val="en-GB"/>
        </w:rPr>
        <w:t xml:space="preserve"> </w:t>
      </w:r>
      <w:r w:rsidR="00CB0473">
        <w:rPr>
          <w:rFonts w:asciiTheme="minorHAnsi" w:hAnsiTheme="minorHAnsi" w:cstheme="minorHAnsi"/>
          <w:szCs w:val="22"/>
          <w:lang w:val="en-GB"/>
        </w:rPr>
        <w:t>T</w:t>
      </w:r>
      <w:r>
        <w:rPr>
          <w:rFonts w:asciiTheme="minorHAnsi" w:hAnsiTheme="minorHAnsi" w:cstheme="minorHAnsi"/>
          <w:szCs w:val="22"/>
          <w:lang w:val="en-GB"/>
        </w:rPr>
        <w:t>hose developing clinical trials protocols should consider the potential use of these measures as they become available.</w:t>
      </w:r>
    </w:p>
    <w:p w14:paraId="3278A4ED" w14:textId="77777777" w:rsidR="00EB10E1" w:rsidRDefault="00EB10E1">
      <w:pPr>
        <w:pStyle w:val="Body1"/>
        <w:spacing w:line="480" w:lineRule="auto"/>
        <w:rPr>
          <w:rFonts w:asciiTheme="minorHAnsi" w:hAnsiTheme="minorHAnsi" w:cstheme="minorHAnsi"/>
          <w:i/>
          <w:szCs w:val="22"/>
          <w:lang w:val="en-US"/>
        </w:rPr>
      </w:pPr>
    </w:p>
    <w:p w14:paraId="595BD922" w14:textId="5E7C287D" w:rsidR="00EB10E1" w:rsidRPr="00EB10E1" w:rsidRDefault="00187965">
      <w:pPr>
        <w:pStyle w:val="Body1"/>
        <w:spacing w:line="480" w:lineRule="auto"/>
        <w:rPr>
          <w:rFonts w:asciiTheme="minorHAnsi" w:hAnsiTheme="minorHAnsi" w:cstheme="minorHAnsi"/>
          <w:szCs w:val="22"/>
          <w:lang w:val="en-US"/>
        </w:rPr>
      </w:pPr>
      <w:r>
        <w:rPr>
          <w:rFonts w:asciiTheme="minorHAnsi" w:hAnsiTheme="minorHAnsi" w:cstheme="minorHAnsi"/>
          <w:szCs w:val="22"/>
          <w:lang w:val="en-US"/>
        </w:rPr>
        <w:t>Measuring p</w:t>
      </w:r>
      <w:r w:rsidR="00EB10E1">
        <w:rPr>
          <w:rFonts w:asciiTheme="minorHAnsi" w:hAnsiTheme="minorHAnsi" w:cstheme="minorHAnsi"/>
          <w:szCs w:val="22"/>
          <w:lang w:val="en-US"/>
        </w:rPr>
        <w:t>articipation</w:t>
      </w:r>
      <w:r>
        <w:rPr>
          <w:rFonts w:asciiTheme="minorHAnsi" w:hAnsiTheme="minorHAnsi" w:cstheme="minorHAnsi"/>
          <w:szCs w:val="22"/>
          <w:lang w:val="en-US"/>
        </w:rPr>
        <w:t xml:space="preserve">, as discussed above, is a field of enquiry that is developing rapidly and an appropriate questionnaire would be recommended as a ‘plus’ measure where available. Current potential measures include the Child Engagement in Daily </w:t>
      </w:r>
      <w:r w:rsidR="00CB0473">
        <w:rPr>
          <w:rFonts w:asciiTheme="minorHAnsi" w:hAnsiTheme="minorHAnsi" w:cstheme="minorHAnsi"/>
          <w:szCs w:val="22"/>
          <w:lang w:val="en-US"/>
        </w:rPr>
        <w:t xml:space="preserve">Life </w:t>
      </w:r>
      <w:r>
        <w:rPr>
          <w:rFonts w:asciiTheme="minorHAnsi" w:hAnsiTheme="minorHAnsi" w:cstheme="minorHAnsi"/>
          <w:szCs w:val="22"/>
          <w:lang w:val="en-US"/>
        </w:rPr>
        <w:t>questionnaire</w:t>
      </w:r>
      <w:r w:rsidR="00250679" w:rsidRPr="004A2D5E">
        <w:rPr>
          <w:rFonts w:asciiTheme="minorHAnsi" w:hAnsiTheme="minorHAnsi" w:cstheme="minorHAnsi"/>
          <w:b/>
          <w:szCs w:val="22"/>
          <w:vertAlign w:val="superscript"/>
          <w:lang w:val="en-US"/>
        </w:rPr>
        <w:t>16</w:t>
      </w:r>
      <w:r>
        <w:rPr>
          <w:rFonts w:asciiTheme="minorHAnsi" w:hAnsiTheme="minorHAnsi" w:cstheme="minorHAnsi"/>
          <w:szCs w:val="22"/>
          <w:lang w:val="en-US"/>
        </w:rPr>
        <w:t>,</w:t>
      </w:r>
      <w:r w:rsidR="00B5762A">
        <w:rPr>
          <w:rFonts w:asciiTheme="minorHAnsi" w:hAnsiTheme="minorHAnsi" w:cstheme="minorHAnsi"/>
          <w:szCs w:val="22"/>
          <w:lang w:val="en-US"/>
        </w:rPr>
        <w:t xml:space="preserve"> </w:t>
      </w:r>
      <w:r>
        <w:rPr>
          <w:rFonts w:asciiTheme="minorHAnsi" w:hAnsiTheme="minorHAnsi" w:cstheme="minorHAnsi"/>
          <w:szCs w:val="22"/>
          <w:lang w:val="en-US"/>
        </w:rPr>
        <w:t>the Child and Adolescent Scale of Participation</w:t>
      </w:r>
      <w:r w:rsidR="00250679">
        <w:rPr>
          <w:rFonts w:asciiTheme="minorHAnsi" w:hAnsiTheme="minorHAnsi" w:cstheme="minorHAnsi"/>
          <w:b/>
          <w:szCs w:val="22"/>
          <w:vertAlign w:val="superscript"/>
          <w:lang w:val="en-US"/>
        </w:rPr>
        <w:t>47</w:t>
      </w:r>
      <w:r w:rsidR="00B5762A">
        <w:rPr>
          <w:rFonts w:asciiTheme="minorHAnsi" w:hAnsiTheme="minorHAnsi" w:cstheme="minorHAnsi"/>
          <w:szCs w:val="22"/>
          <w:lang w:val="en-US"/>
        </w:rPr>
        <w:t xml:space="preserve">, and the Life </w:t>
      </w:r>
      <w:r w:rsidR="00CB0473">
        <w:rPr>
          <w:rFonts w:asciiTheme="minorHAnsi" w:hAnsiTheme="minorHAnsi" w:cstheme="minorHAnsi"/>
          <w:szCs w:val="22"/>
          <w:lang w:val="en-US"/>
        </w:rPr>
        <w:t xml:space="preserve">Habits </w:t>
      </w:r>
      <w:r w:rsidR="00B5762A">
        <w:rPr>
          <w:rFonts w:asciiTheme="minorHAnsi" w:hAnsiTheme="minorHAnsi" w:cstheme="minorHAnsi"/>
          <w:szCs w:val="22"/>
          <w:lang w:val="en-US"/>
        </w:rPr>
        <w:t>Questionnaire</w:t>
      </w:r>
      <w:r w:rsidR="00250679">
        <w:rPr>
          <w:rFonts w:asciiTheme="minorHAnsi" w:hAnsiTheme="minorHAnsi" w:cstheme="minorHAnsi"/>
          <w:b/>
          <w:szCs w:val="22"/>
          <w:vertAlign w:val="superscript"/>
          <w:lang w:val="en-US"/>
        </w:rPr>
        <w:t>48</w:t>
      </w:r>
      <w:r>
        <w:rPr>
          <w:rFonts w:asciiTheme="minorHAnsi" w:hAnsiTheme="minorHAnsi" w:cstheme="minorHAnsi"/>
          <w:szCs w:val="22"/>
          <w:lang w:val="en-US"/>
        </w:rPr>
        <w:t xml:space="preserve">. It is also important to note that while </w:t>
      </w:r>
      <w:r w:rsidR="00B5762A">
        <w:rPr>
          <w:rFonts w:asciiTheme="minorHAnsi" w:hAnsiTheme="minorHAnsi" w:cstheme="minorHAnsi"/>
          <w:szCs w:val="22"/>
          <w:lang w:val="en-US"/>
        </w:rPr>
        <w:t xml:space="preserve">participation measures were </w:t>
      </w:r>
      <w:r>
        <w:rPr>
          <w:rFonts w:asciiTheme="minorHAnsi" w:hAnsiTheme="minorHAnsi" w:cstheme="minorHAnsi"/>
          <w:szCs w:val="22"/>
          <w:lang w:val="en-US"/>
        </w:rPr>
        <w:t xml:space="preserve">not </w:t>
      </w:r>
      <w:r w:rsidR="00B5762A">
        <w:rPr>
          <w:rFonts w:asciiTheme="minorHAnsi" w:hAnsiTheme="minorHAnsi" w:cstheme="minorHAnsi"/>
          <w:szCs w:val="22"/>
          <w:lang w:val="en-US"/>
        </w:rPr>
        <w:t>indicat</w:t>
      </w:r>
      <w:r>
        <w:rPr>
          <w:rFonts w:asciiTheme="minorHAnsi" w:hAnsiTheme="minorHAnsi" w:cstheme="minorHAnsi"/>
          <w:szCs w:val="22"/>
          <w:lang w:val="en-US"/>
        </w:rPr>
        <w:t xml:space="preserve">ed in the position paper for children aged </w:t>
      </w:r>
      <w:r w:rsidR="00CB0473">
        <w:rPr>
          <w:rFonts w:asciiTheme="minorHAnsi" w:hAnsiTheme="minorHAnsi" w:cstheme="minorHAnsi"/>
          <w:szCs w:val="22"/>
          <w:lang w:val="en-US"/>
        </w:rPr>
        <w:t xml:space="preserve">five </w:t>
      </w:r>
      <w:r>
        <w:rPr>
          <w:rFonts w:asciiTheme="minorHAnsi" w:hAnsiTheme="minorHAnsi" w:cstheme="minorHAnsi"/>
          <w:szCs w:val="22"/>
          <w:lang w:val="en-US"/>
        </w:rPr>
        <w:t>years and over</w:t>
      </w:r>
      <w:r w:rsidR="00E67119">
        <w:rPr>
          <w:rFonts w:asciiTheme="minorHAnsi" w:hAnsiTheme="minorHAnsi" w:cstheme="minorHAnsi"/>
          <w:b/>
          <w:szCs w:val="22"/>
          <w:vertAlign w:val="superscript"/>
          <w:lang w:val="en-US"/>
        </w:rPr>
        <w:t>9</w:t>
      </w:r>
      <w:r>
        <w:rPr>
          <w:rFonts w:asciiTheme="minorHAnsi" w:hAnsiTheme="minorHAnsi" w:cstheme="minorHAnsi"/>
          <w:szCs w:val="22"/>
          <w:lang w:val="en-US"/>
        </w:rPr>
        <w:t xml:space="preserve"> </w:t>
      </w:r>
      <w:r w:rsidR="00B5762A">
        <w:rPr>
          <w:rFonts w:asciiTheme="minorHAnsi" w:hAnsiTheme="minorHAnsi" w:cstheme="minorHAnsi"/>
          <w:szCs w:val="22"/>
          <w:lang w:val="en-US"/>
        </w:rPr>
        <w:t>this</w:t>
      </w:r>
      <w:r>
        <w:rPr>
          <w:rFonts w:asciiTheme="minorHAnsi" w:hAnsiTheme="minorHAnsi" w:cstheme="minorHAnsi"/>
          <w:szCs w:val="22"/>
          <w:lang w:val="en-US"/>
        </w:rPr>
        <w:t xml:space="preserve"> would now be recommended as a ‘plus’ measure as described here for infants.</w:t>
      </w:r>
    </w:p>
    <w:p w14:paraId="33A5E0AB" w14:textId="77777777" w:rsidR="00FD483F" w:rsidRPr="002233FF" w:rsidRDefault="00FD483F" w:rsidP="00FD483F">
      <w:pPr>
        <w:pStyle w:val="Body1"/>
        <w:rPr>
          <w:rFonts w:asciiTheme="minorHAnsi" w:hAnsiTheme="minorHAnsi" w:cstheme="minorHAnsi"/>
          <w:b/>
          <w:bCs/>
          <w:szCs w:val="22"/>
          <w:lang w:val="en-GB"/>
        </w:rPr>
      </w:pPr>
      <w:r w:rsidRPr="002233FF">
        <w:rPr>
          <w:rFonts w:asciiTheme="minorHAnsi" w:hAnsiTheme="minorHAnsi" w:cstheme="minorHAnsi"/>
          <w:b/>
          <w:bCs/>
          <w:szCs w:val="22"/>
          <w:lang w:val="en-GB"/>
        </w:rPr>
        <w:t xml:space="preserve">Table </w:t>
      </w:r>
      <w:r>
        <w:rPr>
          <w:rFonts w:asciiTheme="minorHAnsi" w:hAnsiTheme="minorHAnsi" w:cstheme="minorHAnsi"/>
          <w:b/>
          <w:bCs/>
          <w:szCs w:val="22"/>
          <w:lang w:val="en-GB"/>
        </w:rPr>
        <w:t>1</w:t>
      </w:r>
      <w:r w:rsidRPr="002233FF">
        <w:rPr>
          <w:rFonts w:asciiTheme="minorHAnsi" w:hAnsiTheme="minorHAnsi" w:cstheme="minorHAnsi"/>
          <w:b/>
          <w:bCs/>
          <w:szCs w:val="22"/>
          <w:lang w:val="en-GB"/>
        </w:rPr>
        <w:t xml:space="preserve"> - Core and Supplementary </w:t>
      </w:r>
      <w:r>
        <w:rPr>
          <w:rFonts w:asciiTheme="minorHAnsi" w:hAnsiTheme="minorHAnsi" w:cstheme="minorHAnsi"/>
          <w:b/>
          <w:bCs/>
          <w:szCs w:val="22"/>
          <w:lang w:val="en-GB"/>
        </w:rPr>
        <w:t>Indirect Measures</w:t>
      </w:r>
      <w:r w:rsidRPr="002233FF">
        <w:rPr>
          <w:rFonts w:asciiTheme="minorHAnsi" w:hAnsiTheme="minorHAnsi" w:cstheme="minorHAnsi"/>
          <w:b/>
          <w:bCs/>
          <w:szCs w:val="22"/>
          <w:lang w:val="en-GB"/>
        </w:rPr>
        <w:t xml:space="preserve"> and Order of Administration</w:t>
      </w:r>
    </w:p>
    <w:p w14:paraId="7DA8C880" w14:textId="77777777" w:rsidR="00A3107D" w:rsidRPr="002233FF" w:rsidRDefault="00A3107D">
      <w:pPr>
        <w:spacing w:after="0"/>
        <w:rPr>
          <w:rFonts w:asciiTheme="minorHAnsi" w:hAnsiTheme="minorHAnsi" w:cstheme="minorHAnsi"/>
          <w:b/>
          <w:lang w:val="en-US"/>
        </w:rPr>
      </w:pPr>
    </w:p>
    <w:tbl>
      <w:tblPr>
        <w:tblStyle w:val="TableGrid"/>
        <w:tblW w:w="9175" w:type="dxa"/>
        <w:tblLook w:val="04A0" w:firstRow="1" w:lastRow="0" w:firstColumn="1" w:lastColumn="0" w:noHBand="0" w:noVBand="1"/>
      </w:tblPr>
      <w:tblGrid>
        <w:gridCol w:w="2965"/>
        <w:gridCol w:w="4140"/>
        <w:gridCol w:w="2070"/>
      </w:tblGrid>
      <w:tr w:rsidR="00F566C4" w14:paraId="56829F73" w14:textId="77777777" w:rsidTr="00501E7D">
        <w:tc>
          <w:tcPr>
            <w:tcW w:w="2965" w:type="dxa"/>
          </w:tcPr>
          <w:p w14:paraId="4F20C22C" w14:textId="77777777" w:rsidR="00FD483F" w:rsidRDefault="00FD483F">
            <w:pPr>
              <w:spacing w:after="0"/>
              <w:rPr>
                <w:rFonts w:asciiTheme="minorHAnsi" w:hAnsiTheme="minorHAnsi" w:cstheme="minorHAnsi"/>
                <w:b/>
                <w:lang w:val="en-US"/>
              </w:rPr>
            </w:pPr>
            <w:r>
              <w:rPr>
                <w:rFonts w:asciiTheme="minorHAnsi" w:hAnsiTheme="minorHAnsi" w:cstheme="minorHAnsi"/>
                <w:b/>
                <w:lang w:val="en-US"/>
              </w:rPr>
              <w:t xml:space="preserve">Domain </w:t>
            </w:r>
          </w:p>
        </w:tc>
        <w:tc>
          <w:tcPr>
            <w:tcW w:w="4140" w:type="dxa"/>
          </w:tcPr>
          <w:p w14:paraId="36C5EC93" w14:textId="77777777" w:rsidR="00FD483F" w:rsidRDefault="00FD483F">
            <w:pPr>
              <w:spacing w:after="0"/>
              <w:rPr>
                <w:rFonts w:asciiTheme="minorHAnsi" w:hAnsiTheme="minorHAnsi" w:cstheme="minorHAnsi"/>
                <w:b/>
                <w:lang w:val="en-US"/>
              </w:rPr>
            </w:pPr>
            <w:r>
              <w:rPr>
                <w:rFonts w:asciiTheme="minorHAnsi" w:hAnsiTheme="minorHAnsi" w:cstheme="minorHAnsi"/>
                <w:b/>
                <w:lang w:val="en-US"/>
              </w:rPr>
              <w:t>Measure</w:t>
            </w:r>
          </w:p>
        </w:tc>
        <w:tc>
          <w:tcPr>
            <w:tcW w:w="2070" w:type="dxa"/>
          </w:tcPr>
          <w:p w14:paraId="62118E07" w14:textId="77777777" w:rsidR="00FD483F" w:rsidRDefault="00FD483F">
            <w:pPr>
              <w:spacing w:after="0"/>
              <w:rPr>
                <w:rFonts w:asciiTheme="minorHAnsi" w:hAnsiTheme="minorHAnsi" w:cstheme="minorHAnsi"/>
                <w:b/>
                <w:lang w:val="en-US"/>
              </w:rPr>
            </w:pPr>
            <w:r>
              <w:rPr>
                <w:rFonts w:asciiTheme="minorHAnsi" w:hAnsiTheme="minorHAnsi" w:cstheme="minorHAnsi"/>
                <w:b/>
                <w:lang w:val="en-US"/>
              </w:rPr>
              <w:t>Starting age</w:t>
            </w:r>
          </w:p>
        </w:tc>
      </w:tr>
      <w:tr w:rsidR="00501E7D" w14:paraId="4C33E144" w14:textId="77777777" w:rsidTr="00501E7D">
        <w:trPr>
          <w:trHeight w:val="323"/>
        </w:trPr>
        <w:tc>
          <w:tcPr>
            <w:tcW w:w="2965" w:type="dxa"/>
          </w:tcPr>
          <w:p w14:paraId="6C2BD0BF" w14:textId="77777777" w:rsidR="00FD483F" w:rsidRDefault="00FD483F">
            <w:pPr>
              <w:spacing w:after="0"/>
              <w:rPr>
                <w:rFonts w:asciiTheme="minorHAnsi" w:hAnsiTheme="minorHAnsi" w:cstheme="minorHAnsi"/>
                <w:b/>
                <w:lang w:val="en-US"/>
              </w:rPr>
            </w:pPr>
            <w:r>
              <w:rPr>
                <w:rFonts w:asciiTheme="minorHAnsi" w:hAnsiTheme="minorHAnsi" w:cstheme="minorHAnsi"/>
                <w:b/>
                <w:lang w:val="en-US"/>
              </w:rPr>
              <w:t>Core</w:t>
            </w:r>
            <w:r w:rsidR="00C77D4E">
              <w:rPr>
                <w:rFonts w:asciiTheme="minorHAnsi" w:hAnsiTheme="minorHAnsi" w:cstheme="minorHAnsi"/>
                <w:b/>
                <w:lang w:val="en-US"/>
              </w:rPr>
              <w:t xml:space="preserve"> Measures</w:t>
            </w:r>
          </w:p>
        </w:tc>
        <w:tc>
          <w:tcPr>
            <w:tcW w:w="4140" w:type="dxa"/>
          </w:tcPr>
          <w:p w14:paraId="67F424A6" w14:textId="77777777" w:rsidR="00FD483F" w:rsidRDefault="00FD483F">
            <w:pPr>
              <w:spacing w:after="0"/>
              <w:rPr>
                <w:rFonts w:asciiTheme="minorHAnsi" w:hAnsiTheme="minorHAnsi" w:cstheme="minorHAnsi"/>
                <w:b/>
                <w:lang w:val="en-US"/>
              </w:rPr>
            </w:pPr>
          </w:p>
        </w:tc>
        <w:tc>
          <w:tcPr>
            <w:tcW w:w="2070" w:type="dxa"/>
          </w:tcPr>
          <w:p w14:paraId="1C2ED87C" w14:textId="77777777" w:rsidR="00FD483F" w:rsidRDefault="00FD483F">
            <w:pPr>
              <w:spacing w:after="0"/>
              <w:rPr>
                <w:rFonts w:asciiTheme="minorHAnsi" w:hAnsiTheme="minorHAnsi" w:cstheme="minorHAnsi"/>
                <w:b/>
                <w:lang w:val="en-US"/>
              </w:rPr>
            </w:pPr>
          </w:p>
        </w:tc>
      </w:tr>
      <w:tr w:rsidR="00501E7D" w14:paraId="3ED8A2F5" w14:textId="77777777" w:rsidTr="00501E7D">
        <w:tc>
          <w:tcPr>
            <w:tcW w:w="2965" w:type="dxa"/>
          </w:tcPr>
          <w:p w14:paraId="7D55CDD5" w14:textId="77777777" w:rsidR="00FD483F" w:rsidRDefault="00FD483F">
            <w:pPr>
              <w:spacing w:after="0"/>
              <w:rPr>
                <w:rFonts w:asciiTheme="minorHAnsi" w:hAnsiTheme="minorHAnsi" w:cstheme="minorHAnsi"/>
                <w:b/>
                <w:lang w:val="en-US"/>
              </w:rPr>
            </w:pPr>
            <w:r w:rsidRPr="002233FF">
              <w:rPr>
                <w:rFonts w:asciiTheme="minorHAnsi" w:hAnsiTheme="minorHAnsi" w:cstheme="minorHAnsi"/>
                <w:lang w:val="en-US"/>
              </w:rPr>
              <w:t>Demographic, Endocrine</w:t>
            </w:r>
            <w:r>
              <w:rPr>
                <w:rFonts w:asciiTheme="minorHAnsi" w:hAnsiTheme="minorHAnsi" w:cstheme="minorHAnsi"/>
                <w:lang w:val="en-US"/>
              </w:rPr>
              <w:t>,</w:t>
            </w:r>
            <w:r w:rsidRPr="002233FF">
              <w:rPr>
                <w:rFonts w:asciiTheme="minorHAnsi" w:hAnsiTheme="minorHAnsi" w:cstheme="minorHAnsi"/>
                <w:lang w:val="en-US"/>
              </w:rPr>
              <w:t xml:space="preserve"> and other Medical information</w:t>
            </w:r>
          </w:p>
        </w:tc>
        <w:tc>
          <w:tcPr>
            <w:tcW w:w="4140" w:type="dxa"/>
          </w:tcPr>
          <w:p w14:paraId="5FC6664E" w14:textId="77777777" w:rsidR="00FD483F" w:rsidRPr="00FD483F" w:rsidRDefault="00FD483F" w:rsidP="00FD483F">
            <w:pPr>
              <w:spacing w:line="240" w:lineRule="auto"/>
              <w:rPr>
                <w:rFonts w:asciiTheme="minorHAnsi" w:hAnsiTheme="minorHAnsi" w:cstheme="minorHAnsi"/>
                <w:b/>
                <w:lang w:val="en-US"/>
              </w:rPr>
            </w:pPr>
            <w:r w:rsidRPr="00FD483F">
              <w:rPr>
                <w:rFonts w:asciiTheme="minorHAnsi" w:hAnsiTheme="minorHAnsi" w:cstheme="minorHAnsi"/>
                <w:lang w:val="en-US"/>
              </w:rPr>
              <w:t>Medical, Educational, Employment, and Social Questionnaire (MEES, adapted</w:t>
            </w:r>
            <w:r w:rsidRPr="00FD483F">
              <w:rPr>
                <w:rFonts w:asciiTheme="minorHAnsi" w:hAnsiTheme="minorHAnsi" w:cstheme="minorHAnsi"/>
                <w:b/>
                <w:vertAlign w:val="superscript"/>
                <w:lang w:val="en-US"/>
              </w:rPr>
              <w:t>35</w:t>
            </w:r>
            <w:r w:rsidRPr="00FD483F">
              <w:rPr>
                <w:rFonts w:asciiTheme="minorHAnsi" w:hAnsiTheme="minorHAnsi" w:cstheme="minorHAnsi"/>
                <w:lang w:val="en-US"/>
              </w:rPr>
              <w:t>)</w:t>
            </w:r>
          </w:p>
          <w:p w14:paraId="594F96FA" w14:textId="77777777" w:rsidR="00FD483F" w:rsidRDefault="00FD483F">
            <w:pPr>
              <w:spacing w:after="0"/>
              <w:rPr>
                <w:rFonts w:asciiTheme="minorHAnsi" w:hAnsiTheme="minorHAnsi" w:cstheme="minorHAnsi"/>
                <w:b/>
                <w:lang w:val="en-US"/>
              </w:rPr>
            </w:pPr>
          </w:p>
        </w:tc>
        <w:tc>
          <w:tcPr>
            <w:tcW w:w="2070" w:type="dxa"/>
          </w:tcPr>
          <w:p w14:paraId="5D5FCA16" w14:textId="77777777" w:rsidR="00FD483F" w:rsidRPr="00FD483F" w:rsidRDefault="00FD483F">
            <w:pPr>
              <w:spacing w:after="0"/>
              <w:rPr>
                <w:rFonts w:asciiTheme="minorHAnsi" w:hAnsiTheme="minorHAnsi" w:cstheme="minorHAnsi"/>
                <w:lang w:val="en-US"/>
              </w:rPr>
            </w:pPr>
            <w:r>
              <w:rPr>
                <w:rFonts w:asciiTheme="minorHAnsi" w:hAnsiTheme="minorHAnsi" w:cstheme="minorHAnsi"/>
                <w:lang w:val="en-US"/>
              </w:rPr>
              <w:t>Birth</w:t>
            </w:r>
          </w:p>
        </w:tc>
      </w:tr>
      <w:tr w:rsidR="00501E7D" w14:paraId="4A527251" w14:textId="77777777" w:rsidTr="00501E7D">
        <w:tc>
          <w:tcPr>
            <w:tcW w:w="2965" w:type="dxa"/>
          </w:tcPr>
          <w:p w14:paraId="17F0593D" w14:textId="77777777" w:rsidR="00FD483F" w:rsidRDefault="00FD483F">
            <w:pPr>
              <w:spacing w:after="0"/>
              <w:rPr>
                <w:rFonts w:asciiTheme="minorHAnsi" w:hAnsiTheme="minorHAnsi" w:cstheme="minorHAnsi"/>
                <w:b/>
                <w:lang w:val="en-US"/>
              </w:rPr>
            </w:pPr>
            <w:r w:rsidRPr="002233FF">
              <w:rPr>
                <w:rFonts w:asciiTheme="minorHAnsi" w:hAnsiTheme="minorHAnsi" w:cstheme="minorHAnsi"/>
              </w:rPr>
              <w:t xml:space="preserve">Adaptive </w:t>
            </w:r>
            <w:r>
              <w:rPr>
                <w:rFonts w:asciiTheme="minorHAnsi" w:hAnsiTheme="minorHAnsi" w:cstheme="minorHAnsi"/>
              </w:rPr>
              <w:t>Function</w:t>
            </w:r>
          </w:p>
        </w:tc>
        <w:tc>
          <w:tcPr>
            <w:tcW w:w="4140" w:type="dxa"/>
          </w:tcPr>
          <w:p w14:paraId="7A9C3087" w14:textId="77777777" w:rsidR="00FD483F" w:rsidRDefault="00FD483F">
            <w:pPr>
              <w:spacing w:after="0"/>
              <w:rPr>
                <w:rFonts w:asciiTheme="minorHAnsi" w:hAnsiTheme="minorHAnsi" w:cstheme="minorHAnsi"/>
                <w:b/>
                <w:lang w:val="en-US"/>
              </w:rPr>
            </w:pPr>
            <w:r w:rsidRPr="00F12558">
              <w:rPr>
                <w:rFonts w:asciiTheme="minorHAnsi" w:hAnsiTheme="minorHAnsi" w:cstheme="minorHAnsi"/>
                <w:lang w:val="en-GB"/>
              </w:rPr>
              <w:t>Vineland III parent/caregiver rating form</w:t>
            </w:r>
          </w:p>
        </w:tc>
        <w:tc>
          <w:tcPr>
            <w:tcW w:w="2070" w:type="dxa"/>
          </w:tcPr>
          <w:p w14:paraId="54FEB429" w14:textId="77777777" w:rsidR="00FD483F" w:rsidRPr="00FD483F" w:rsidRDefault="00FD483F">
            <w:pPr>
              <w:spacing w:after="0"/>
              <w:rPr>
                <w:rFonts w:asciiTheme="minorHAnsi" w:hAnsiTheme="minorHAnsi" w:cstheme="minorHAnsi"/>
                <w:lang w:val="en-US"/>
              </w:rPr>
            </w:pPr>
            <w:r w:rsidRPr="00FD483F">
              <w:rPr>
                <w:rFonts w:asciiTheme="minorHAnsi" w:hAnsiTheme="minorHAnsi" w:cstheme="minorHAnsi"/>
                <w:lang w:val="en-US"/>
              </w:rPr>
              <w:t xml:space="preserve">Birth </w:t>
            </w:r>
          </w:p>
        </w:tc>
      </w:tr>
      <w:tr w:rsidR="00501E7D" w14:paraId="5701C997" w14:textId="77777777" w:rsidTr="00501E7D">
        <w:trPr>
          <w:trHeight w:val="242"/>
        </w:trPr>
        <w:tc>
          <w:tcPr>
            <w:tcW w:w="2965" w:type="dxa"/>
          </w:tcPr>
          <w:p w14:paraId="57F87D11" w14:textId="77777777" w:rsidR="00FD483F" w:rsidRPr="00FD483F" w:rsidRDefault="00FD483F">
            <w:pPr>
              <w:spacing w:after="0"/>
              <w:rPr>
                <w:rFonts w:asciiTheme="minorHAnsi" w:hAnsiTheme="minorHAnsi" w:cstheme="minorHAnsi"/>
                <w:lang w:val="en-US"/>
              </w:rPr>
            </w:pPr>
            <w:r w:rsidRPr="00FD483F">
              <w:rPr>
                <w:rFonts w:asciiTheme="minorHAnsi" w:hAnsiTheme="minorHAnsi" w:cstheme="minorHAnsi"/>
                <w:lang w:val="en-US"/>
              </w:rPr>
              <w:t>Quality of Life</w:t>
            </w:r>
          </w:p>
        </w:tc>
        <w:tc>
          <w:tcPr>
            <w:tcW w:w="4140" w:type="dxa"/>
          </w:tcPr>
          <w:p w14:paraId="72E2E7BD" w14:textId="77777777" w:rsidR="00FD483F" w:rsidRPr="004A2D5E" w:rsidRDefault="00FD483F" w:rsidP="00FD483F">
            <w:pPr>
              <w:spacing w:after="0"/>
              <w:rPr>
                <w:rFonts w:asciiTheme="minorHAnsi" w:hAnsiTheme="minorHAnsi" w:cstheme="minorHAnsi"/>
                <w:b/>
                <w:vertAlign w:val="superscript"/>
              </w:rPr>
            </w:pPr>
            <w:r w:rsidRPr="00D159B5">
              <w:rPr>
                <w:rFonts w:asciiTheme="minorHAnsi" w:hAnsiTheme="minorHAnsi" w:cstheme="minorHAnsi"/>
              </w:rPr>
              <w:t>PedsQL – Ge</w:t>
            </w:r>
            <w:r w:rsidRPr="00F12558">
              <w:rPr>
                <w:rFonts w:asciiTheme="minorHAnsi" w:hAnsiTheme="minorHAnsi" w:cstheme="minorHAnsi"/>
              </w:rPr>
              <w:t xml:space="preserve">neric </w:t>
            </w:r>
            <w:r w:rsidRPr="00D159B5">
              <w:rPr>
                <w:rFonts w:asciiTheme="minorHAnsi" w:hAnsiTheme="minorHAnsi" w:cstheme="minorHAnsi"/>
              </w:rPr>
              <w:t xml:space="preserve">Core and </w:t>
            </w:r>
            <w:r>
              <w:rPr>
                <w:rFonts w:asciiTheme="minorHAnsi" w:hAnsiTheme="minorHAnsi" w:cstheme="minorHAnsi"/>
              </w:rPr>
              <w:t>M</w:t>
            </w:r>
            <w:r w:rsidRPr="00D159B5">
              <w:rPr>
                <w:rFonts w:asciiTheme="minorHAnsi" w:hAnsiTheme="minorHAnsi" w:cstheme="minorHAnsi"/>
              </w:rPr>
              <w:t xml:space="preserve">ultidimensional </w:t>
            </w:r>
            <w:r>
              <w:rPr>
                <w:rFonts w:asciiTheme="minorHAnsi" w:hAnsiTheme="minorHAnsi" w:cstheme="minorHAnsi"/>
              </w:rPr>
              <w:t>F</w:t>
            </w:r>
            <w:r w:rsidRPr="00D159B5">
              <w:rPr>
                <w:rFonts w:asciiTheme="minorHAnsi" w:hAnsiTheme="minorHAnsi" w:cstheme="minorHAnsi"/>
              </w:rPr>
              <w:t xml:space="preserve">atigue </w:t>
            </w:r>
            <w:r>
              <w:rPr>
                <w:rFonts w:asciiTheme="minorHAnsi" w:hAnsiTheme="minorHAnsi" w:cstheme="minorHAnsi"/>
              </w:rPr>
              <w:t>S</w:t>
            </w:r>
            <w:r w:rsidRPr="00D159B5">
              <w:rPr>
                <w:rFonts w:asciiTheme="minorHAnsi" w:hAnsiTheme="minorHAnsi" w:cstheme="minorHAnsi"/>
              </w:rPr>
              <w:t>cales</w:t>
            </w:r>
            <w:r>
              <w:rPr>
                <w:rFonts w:asciiTheme="minorHAnsi" w:hAnsiTheme="minorHAnsi" w:cstheme="minorHAnsi"/>
                <w:b/>
                <w:vertAlign w:val="superscript"/>
              </w:rPr>
              <w:t>40</w:t>
            </w:r>
          </w:p>
          <w:p w14:paraId="05E13374" w14:textId="77777777" w:rsidR="00FD483F" w:rsidRDefault="00FD483F">
            <w:pPr>
              <w:spacing w:after="0"/>
              <w:rPr>
                <w:rFonts w:asciiTheme="minorHAnsi" w:hAnsiTheme="minorHAnsi" w:cstheme="minorHAnsi"/>
                <w:b/>
                <w:lang w:val="en-US"/>
              </w:rPr>
            </w:pPr>
          </w:p>
        </w:tc>
        <w:tc>
          <w:tcPr>
            <w:tcW w:w="2070" w:type="dxa"/>
          </w:tcPr>
          <w:p w14:paraId="2B7F8AEF" w14:textId="77777777" w:rsidR="00FD483F" w:rsidRPr="00FD483F" w:rsidRDefault="00FD483F">
            <w:pPr>
              <w:spacing w:after="0"/>
              <w:rPr>
                <w:rFonts w:asciiTheme="minorHAnsi" w:hAnsiTheme="minorHAnsi" w:cstheme="minorHAnsi"/>
                <w:lang w:val="en-US"/>
              </w:rPr>
            </w:pPr>
            <w:r w:rsidRPr="00FD483F">
              <w:rPr>
                <w:rFonts w:asciiTheme="minorHAnsi" w:hAnsiTheme="minorHAnsi" w:cstheme="minorHAnsi"/>
                <w:lang w:val="en-US"/>
              </w:rPr>
              <w:t xml:space="preserve">1 month </w:t>
            </w:r>
          </w:p>
        </w:tc>
      </w:tr>
      <w:tr w:rsidR="00501E7D" w14:paraId="2CA24D5C" w14:textId="77777777" w:rsidTr="00501E7D">
        <w:trPr>
          <w:trHeight w:val="242"/>
        </w:trPr>
        <w:tc>
          <w:tcPr>
            <w:tcW w:w="2965" w:type="dxa"/>
          </w:tcPr>
          <w:p w14:paraId="7A9F8CBB" w14:textId="77777777" w:rsidR="00FD483F" w:rsidRPr="00FD483F" w:rsidRDefault="00FD483F">
            <w:pPr>
              <w:spacing w:after="0"/>
              <w:rPr>
                <w:rFonts w:asciiTheme="minorHAnsi" w:hAnsiTheme="minorHAnsi" w:cstheme="minorHAnsi"/>
                <w:lang w:val="en-US"/>
              </w:rPr>
            </w:pPr>
            <w:r w:rsidRPr="00281E25">
              <w:rPr>
                <w:rFonts w:asciiTheme="minorHAnsi" w:hAnsiTheme="minorHAnsi" w:cstheme="minorHAnsi"/>
                <w:lang w:val="en-GB"/>
              </w:rPr>
              <w:t xml:space="preserve">Mental Health, Social Interactions, and </w:t>
            </w:r>
            <w:r w:rsidR="0096360C" w:rsidRPr="00281E25">
              <w:rPr>
                <w:rFonts w:asciiTheme="minorHAnsi" w:hAnsiTheme="minorHAnsi" w:cstheme="minorHAnsi"/>
                <w:lang w:val="en-GB"/>
              </w:rPr>
              <w:t>Behavioural</w:t>
            </w:r>
            <w:r w:rsidRPr="00281E25">
              <w:rPr>
                <w:rFonts w:asciiTheme="minorHAnsi" w:hAnsiTheme="minorHAnsi" w:cstheme="minorHAnsi"/>
                <w:lang w:val="en-GB"/>
              </w:rPr>
              <w:t xml:space="preserve"> difficulties </w:t>
            </w:r>
          </w:p>
        </w:tc>
        <w:tc>
          <w:tcPr>
            <w:tcW w:w="4140" w:type="dxa"/>
          </w:tcPr>
          <w:p w14:paraId="55E6CAD5" w14:textId="77777777" w:rsidR="00FD483F" w:rsidRPr="00717345" w:rsidRDefault="00FD483F" w:rsidP="00FD483F">
            <w:pPr>
              <w:spacing w:after="0"/>
              <w:rPr>
                <w:rFonts w:asciiTheme="minorHAnsi" w:hAnsiTheme="minorHAnsi" w:cstheme="minorHAnsi"/>
                <w:lang w:val="en-GB"/>
              </w:rPr>
            </w:pPr>
            <w:r w:rsidRPr="00F12558">
              <w:rPr>
                <w:rFonts w:asciiTheme="minorHAnsi" w:hAnsiTheme="minorHAnsi" w:cstheme="minorHAnsi"/>
                <w:lang w:val="en-GB"/>
              </w:rPr>
              <w:t>The Strengths and Difficulties Questionnaire (SDQ</w:t>
            </w:r>
            <w:r w:rsidRPr="004A2D5E">
              <w:rPr>
                <w:rFonts w:asciiTheme="minorHAnsi" w:hAnsiTheme="minorHAnsi" w:cstheme="minorHAnsi"/>
                <w:b/>
                <w:vertAlign w:val="superscript"/>
                <w:lang w:val="en-GB"/>
              </w:rPr>
              <w:t>41</w:t>
            </w:r>
            <w:r w:rsidRPr="0096360C">
              <w:rPr>
                <w:rFonts w:asciiTheme="minorHAnsi" w:hAnsiTheme="minorHAnsi" w:cstheme="minorHAnsi"/>
                <w:b/>
                <w:lang w:val="en-GB"/>
              </w:rPr>
              <w:t>)</w:t>
            </w:r>
          </w:p>
        </w:tc>
        <w:tc>
          <w:tcPr>
            <w:tcW w:w="2070" w:type="dxa"/>
          </w:tcPr>
          <w:p w14:paraId="1200329C" w14:textId="77777777" w:rsidR="00FD483F" w:rsidRPr="0096360C" w:rsidRDefault="00FD483F">
            <w:pPr>
              <w:spacing w:after="0"/>
              <w:rPr>
                <w:rFonts w:asciiTheme="minorHAnsi" w:hAnsiTheme="minorHAnsi" w:cstheme="minorHAnsi"/>
                <w:lang w:val="en-US"/>
              </w:rPr>
            </w:pPr>
            <w:r w:rsidRPr="0096360C">
              <w:rPr>
                <w:rFonts w:asciiTheme="minorHAnsi" w:hAnsiTheme="minorHAnsi" w:cstheme="minorHAnsi"/>
                <w:lang w:val="en-US"/>
              </w:rPr>
              <w:t>2 years</w:t>
            </w:r>
          </w:p>
        </w:tc>
      </w:tr>
      <w:tr w:rsidR="00501E7D" w14:paraId="221E7432" w14:textId="77777777" w:rsidTr="00501E7D">
        <w:trPr>
          <w:trHeight w:val="242"/>
        </w:trPr>
        <w:tc>
          <w:tcPr>
            <w:tcW w:w="2965" w:type="dxa"/>
          </w:tcPr>
          <w:p w14:paraId="697E8F39" w14:textId="77777777" w:rsidR="00FD483F" w:rsidRPr="00FD483F" w:rsidRDefault="0096360C">
            <w:pPr>
              <w:spacing w:after="0"/>
              <w:rPr>
                <w:rFonts w:asciiTheme="minorHAnsi" w:hAnsiTheme="minorHAnsi" w:cstheme="minorHAnsi"/>
                <w:lang w:val="en-US"/>
              </w:rPr>
            </w:pPr>
            <w:r>
              <w:rPr>
                <w:rFonts w:asciiTheme="minorHAnsi" w:hAnsiTheme="minorHAnsi" w:cstheme="minorHAnsi"/>
                <w:lang w:val="en-US"/>
              </w:rPr>
              <w:t xml:space="preserve">Executive Function </w:t>
            </w:r>
          </w:p>
        </w:tc>
        <w:tc>
          <w:tcPr>
            <w:tcW w:w="4140" w:type="dxa"/>
          </w:tcPr>
          <w:p w14:paraId="37495E84" w14:textId="77777777" w:rsidR="0096360C" w:rsidRPr="0096360C" w:rsidRDefault="0096360C" w:rsidP="0096360C">
            <w:pPr>
              <w:spacing w:line="360" w:lineRule="auto"/>
              <w:rPr>
                <w:rFonts w:asciiTheme="minorHAnsi" w:hAnsiTheme="minorHAnsi" w:cstheme="minorHAnsi"/>
                <w:b/>
                <w:vertAlign w:val="superscript"/>
                <w:lang w:val="en-US"/>
              </w:rPr>
            </w:pPr>
            <w:r w:rsidRPr="0096360C">
              <w:rPr>
                <w:rFonts w:asciiTheme="minorHAnsi" w:hAnsiTheme="minorHAnsi" w:cstheme="minorHAnsi"/>
                <w:lang w:val="en-US"/>
              </w:rPr>
              <w:t xml:space="preserve">The </w:t>
            </w:r>
            <w:r w:rsidRPr="00C77D4E">
              <w:rPr>
                <w:rFonts w:asciiTheme="minorHAnsi" w:hAnsiTheme="minorHAnsi" w:cstheme="minorHAnsi"/>
                <w:noProof/>
                <w:lang w:val="en-GB"/>
              </w:rPr>
              <w:t>Behaviour</w:t>
            </w:r>
            <w:r w:rsidRPr="0096360C">
              <w:rPr>
                <w:rFonts w:asciiTheme="minorHAnsi" w:hAnsiTheme="minorHAnsi" w:cstheme="minorHAnsi"/>
                <w:lang w:val="en-US"/>
              </w:rPr>
              <w:t xml:space="preserve"> Rating Inventory of Executive Function - Preschool</w:t>
            </w:r>
            <w:r w:rsidRPr="0096360C">
              <w:rPr>
                <w:rFonts w:asciiTheme="minorHAnsi" w:hAnsiTheme="minorHAnsi" w:cstheme="minorHAnsi"/>
                <w:b/>
                <w:vertAlign w:val="superscript"/>
                <w:lang w:val="en-US"/>
              </w:rPr>
              <w:t>42</w:t>
            </w:r>
          </w:p>
          <w:p w14:paraId="14BBBB82" w14:textId="77777777" w:rsidR="00FD483F" w:rsidRPr="00717345" w:rsidRDefault="00FD483F" w:rsidP="00FD483F">
            <w:pPr>
              <w:spacing w:after="0"/>
              <w:rPr>
                <w:rFonts w:asciiTheme="minorHAnsi" w:hAnsiTheme="minorHAnsi" w:cstheme="minorHAnsi"/>
                <w:lang w:val="en-GB"/>
              </w:rPr>
            </w:pPr>
          </w:p>
        </w:tc>
        <w:tc>
          <w:tcPr>
            <w:tcW w:w="2070" w:type="dxa"/>
          </w:tcPr>
          <w:p w14:paraId="01151DA2" w14:textId="77777777" w:rsidR="00FD483F" w:rsidRPr="0096360C" w:rsidRDefault="0096360C">
            <w:pPr>
              <w:spacing w:after="0"/>
              <w:rPr>
                <w:rFonts w:asciiTheme="minorHAnsi" w:hAnsiTheme="minorHAnsi" w:cstheme="minorHAnsi"/>
                <w:lang w:val="en-US"/>
              </w:rPr>
            </w:pPr>
            <w:r w:rsidRPr="0096360C">
              <w:rPr>
                <w:rFonts w:asciiTheme="minorHAnsi" w:hAnsiTheme="minorHAnsi" w:cstheme="minorHAnsi"/>
                <w:lang w:val="en-US"/>
              </w:rPr>
              <w:t>2 years</w:t>
            </w:r>
          </w:p>
        </w:tc>
      </w:tr>
      <w:tr w:rsidR="00501E7D" w14:paraId="1AE2DFEC" w14:textId="77777777" w:rsidTr="00501E7D">
        <w:trPr>
          <w:trHeight w:val="323"/>
        </w:trPr>
        <w:tc>
          <w:tcPr>
            <w:tcW w:w="2965" w:type="dxa"/>
          </w:tcPr>
          <w:p w14:paraId="055C5951" w14:textId="77777777" w:rsidR="00FD483F" w:rsidRPr="00C77D4E" w:rsidRDefault="00C77D4E">
            <w:pPr>
              <w:spacing w:after="0"/>
              <w:rPr>
                <w:rFonts w:asciiTheme="minorHAnsi" w:hAnsiTheme="minorHAnsi" w:cstheme="minorHAnsi"/>
                <w:b/>
                <w:lang w:val="en-US"/>
              </w:rPr>
            </w:pPr>
            <w:r w:rsidRPr="00C77D4E">
              <w:rPr>
                <w:rFonts w:asciiTheme="minorHAnsi" w:hAnsiTheme="minorHAnsi" w:cstheme="minorHAnsi"/>
                <w:b/>
                <w:lang w:val="en-US"/>
              </w:rPr>
              <w:t>Plus Measures</w:t>
            </w:r>
          </w:p>
        </w:tc>
        <w:tc>
          <w:tcPr>
            <w:tcW w:w="4140" w:type="dxa"/>
          </w:tcPr>
          <w:p w14:paraId="42DB2B6A" w14:textId="77777777" w:rsidR="00FD483F" w:rsidRPr="00D159B5" w:rsidRDefault="00FD483F" w:rsidP="00FD483F">
            <w:pPr>
              <w:spacing w:after="0"/>
              <w:rPr>
                <w:rFonts w:asciiTheme="minorHAnsi" w:hAnsiTheme="minorHAnsi" w:cstheme="minorHAnsi"/>
              </w:rPr>
            </w:pPr>
          </w:p>
        </w:tc>
        <w:tc>
          <w:tcPr>
            <w:tcW w:w="2070" w:type="dxa"/>
          </w:tcPr>
          <w:p w14:paraId="6D1D5F6E" w14:textId="77777777" w:rsidR="00FD483F" w:rsidRDefault="00FD483F">
            <w:pPr>
              <w:spacing w:after="0"/>
              <w:rPr>
                <w:rFonts w:asciiTheme="minorHAnsi" w:hAnsiTheme="minorHAnsi" w:cstheme="minorHAnsi"/>
                <w:b/>
                <w:lang w:val="en-US"/>
              </w:rPr>
            </w:pPr>
          </w:p>
        </w:tc>
      </w:tr>
      <w:tr w:rsidR="00501E7D" w:rsidRPr="009F7CDC" w14:paraId="2C1FB9A4" w14:textId="77777777" w:rsidTr="00501E7D">
        <w:trPr>
          <w:trHeight w:val="233"/>
        </w:trPr>
        <w:tc>
          <w:tcPr>
            <w:tcW w:w="2965" w:type="dxa"/>
          </w:tcPr>
          <w:p w14:paraId="0CB51603" w14:textId="77777777" w:rsidR="00C77D4E" w:rsidRDefault="000C18FE">
            <w:pPr>
              <w:spacing w:after="0"/>
              <w:rPr>
                <w:rFonts w:asciiTheme="minorHAnsi" w:hAnsiTheme="minorHAnsi" w:cstheme="minorHAnsi"/>
                <w:lang w:val="en-US"/>
              </w:rPr>
            </w:pPr>
            <w:r>
              <w:rPr>
                <w:rFonts w:asciiTheme="minorHAnsi" w:hAnsiTheme="minorHAnsi" w:cstheme="minorHAnsi"/>
                <w:lang w:val="en-US"/>
              </w:rPr>
              <w:t>Developmental Level</w:t>
            </w:r>
          </w:p>
        </w:tc>
        <w:tc>
          <w:tcPr>
            <w:tcW w:w="4140" w:type="dxa"/>
          </w:tcPr>
          <w:p w14:paraId="1A1A2A30" w14:textId="77777777" w:rsidR="00C77D4E" w:rsidRPr="00717345" w:rsidRDefault="000C18FE" w:rsidP="000C18FE">
            <w:pPr>
              <w:spacing w:after="0"/>
              <w:rPr>
                <w:rFonts w:asciiTheme="minorHAnsi" w:hAnsiTheme="minorHAnsi" w:cstheme="minorHAnsi"/>
                <w:lang w:val="en-GB"/>
              </w:rPr>
            </w:pPr>
            <w:r>
              <w:rPr>
                <w:rFonts w:asciiTheme="minorHAnsi" w:hAnsiTheme="minorHAnsi" w:cstheme="minorHAnsi"/>
                <w:szCs w:val="22"/>
                <w:lang w:val="en-GB"/>
              </w:rPr>
              <w:t>E.g. Ages and Stages Questionnaire</w:t>
            </w:r>
            <w:r>
              <w:rPr>
                <w:rFonts w:asciiTheme="minorHAnsi" w:hAnsiTheme="minorHAnsi" w:cstheme="minorHAnsi"/>
                <w:b/>
                <w:szCs w:val="22"/>
                <w:vertAlign w:val="superscript"/>
                <w:lang w:val="en-GB"/>
              </w:rPr>
              <w:t>45</w:t>
            </w:r>
            <w:r>
              <w:rPr>
                <w:rFonts w:asciiTheme="minorHAnsi" w:hAnsiTheme="minorHAnsi" w:cstheme="minorHAnsi"/>
                <w:szCs w:val="22"/>
                <w:lang w:val="en-GB"/>
              </w:rPr>
              <w:t xml:space="preserve"> or Child Development Inventory (CDI, translated into French; IDE</w:t>
            </w:r>
            <w:r>
              <w:rPr>
                <w:rFonts w:asciiTheme="minorHAnsi" w:hAnsiTheme="minorHAnsi" w:cstheme="minorHAnsi"/>
                <w:b/>
                <w:szCs w:val="22"/>
                <w:vertAlign w:val="superscript"/>
                <w:lang w:val="en-GB"/>
              </w:rPr>
              <w:t>46</w:t>
            </w:r>
            <w:r>
              <w:rPr>
                <w:rFonts w:asciiTheme="minorHAnsi" w:hAnsiTheme="minorHAnsi" w:cstheme="minorHAnsi"/>
                <w:szCs w:val="22"/>
                <w:lang w:val="en-GB"/>
              </w:rPr>
              <w:t>) or local equivalent.</w:t>
            </w:r>
          </w:p>
        </w:tc>
        <w:tc>
          <w:tcPr>
            <w:tcW w:w="2070" w:type="dxa"/>
          </w:tcPr>
          <w:p w14:paraId="78D136A5" w14:textId="77777777" w:rsidR="00F566C4" w:rsidRDefault="00F566C4">
            <w:pPr>
              <w:spacing w:after="0"/>
              <w:rPr>
                <w:rFonts w:asciiTheme="minorHAnsi" w:hAnsiTheme="minorHAnsi" w:cstheme="minorHAnsi"/>
                <w:lang w:val="en-US"/>
              </w:rPr>
            </w:pPr>
            <w:r>
              <w:rPr>
                <w:rFonts w:asciiTheme="minorHAnsi" w:hAnsiTheme="minorHAnsi" w:cstheme="minorHAnsi"/>
                <w:lang w:val="en-US"/>
              </w:rPr>
              <w:t>Ages &amp; Stages -1 month</w:t>
            </w:r>
          </w:p>
          <w:p w14:paraId="0D2A5586" w14:textId="77777777" w:rsidR="00C77D4E" w:rsidRDefault="00F566C4">
            <w:pPr>
              <w:spacing w:after="0"/>
              <w:rPr>
                <w:rFonts w:asciiTheme="minorHAnsi" w:hAnsiTheme="minorHAnsi" w:cstheme="minorHAnsi"/>
                <w:b/>
                <w:lang w:val="en-US"/>
              </w:rPr>
            </w:pPr>
            <w:r>
              <w:rPr>
                <w:rFonts w:asciiTheme="minorHAnsi" w:hAnsiTheme="minorHAnsi" w:cstheme="minorHAnsi"/>
                <w:lang w:val="en-US"/>
              </w:rPr>
              <w:t>CDI -15 months</w:t>
            </w:r>
          </w:p>
        </w:tc>
      </w:tr>
      <w:tr w:rsidR="00501E7D" w14:paraId="0E759589" w14:textId="77777777" w:rsidTr="00501E7D">
        <w:trPr>
          <w:trHeight w:val="233"/>
        </w:trPr>
        <w:tc>
          <w:tcPr>
            <w:tcW w:w="2965" w:type="dxa"/>
          </w:tcPr>
          <w:p w14:paraId="582198C0" w14:textId="77777777" w:rsidR="00C77D4E" w:rsidRDefault="000C18FE">
            <w:pPr>
              <w:spacing w:after="0"/>
              <w:rPr>
                <w:rFonts w:asciiTheme="minorHAnsi" w:hAnsiTheme="minorHAnsi" w:cstheme="minorHAnsi"/>
                <w:lang w:val="en-US"/>
              </w:rPr>
            </w:pPr>
            <w:r>
              <w:rPr>
                <w:rFonts w:asciiTheme="minorHAnsi" w:hAnsiTheme="minorHAnsi" w:cstheme="minorHAnsi"/>
                <w:lang w:val="en-US"/>
              </w:rPr>
              <w:t>Participation</w:t>
            </w:r>
          </w:p>
        </w:tc>
        <w:tc>
          <w:tcPr>
            <w:tcW w:w="4140" w:type="dxa"/>
          </w:tcPr>
          <w:p w14:paraId="1BEDE53A" w14:textId="77777777" w:rsidR="00C77D4E" w:rsidRPr="00717345" w:rsidRDefault="000C18FE" w:rsidP="000C18FE">
            <w:pPr>
              <w:spacing w:after="0"/>
              <w:rPr>
                <w:rFonts w:asciiTheme="minorHAnsi" w:hAnsiTheme="minorHAnsi" w:cstheme="minorHAnsi"/>
                <w:lang w:val="en-GB"/>
              </w:rPr>
            </w:pPr>
            <w:r>
              <w:rPr>
                <w:rFonts w:asciiTheme="minorHAnsi" w:hAnsiTheme="minorHAnsi" w:cstheme="minorHAnsi"/>
                <w:szCs w:val="22"/>
                <w:lang w:val="en-US"/>
              </w:rPr>
              <w:t>E.g. Child Engagement in Daily Life questionnaire</w:t>
            </w:r>
            <w:r w:rsidRPr="004A2D5E">
              <w:rPr>
                <w:rFonts w:asciiTheme="minorHAnsi" w:hAnsiTheme="minorHAnsi" w:cstheme="minorHAnsi"/>
                <w:b/>
                <w:szCs w:val="22"/>
                <w:vertAlign w:val="superscript"/>
                <w:lang w:val="en-US"/>
              </w:rPr>
              <w:t>16</w:t>
            </w:r>
            <w:r>
              <w:rPr>
                <w:rFonts w:asciiTheme="minorHAnsi" w:hAnsiTheme="minorHAnsi" w:cstheme="minorHAnsi"/>
                <w:szCs w:val="22"/>
                <w:lang w:val="en-US"/>
              </w:rPr>
              <w:t xml:space="preserve"> or Child and Adolescent Scale of Participation</w:t>
            </w:r>
            <w:r>
              <w:rPr>
                <w:rFonts w:asciiTheme="minorHAnsi" w:hAnsiTheme="minorHAnsi" w:cstheme="minorHAnsi"/>
                <w:b/>
                <w:szCs w:val="22"/>
                <w:vertAlign w:val="superscript"/>
                <w:lang w:val="en-US"/>
              </w:rPr>
              <w:t xml:space="preserve">47 </w:t>
            </w:r>
            <w:r>
              <w:rPr>
                <w:rFonts w:asciiTheme="minorHAnsi" w:hAnsiTheme="minorHAnsi" w:cstheme="minorHAnsi"/>
                <w:szCs w:val="22"/>
                <w:lang w:val="en-US"/>
              </w:rPr>
              <w:t>or Life Habits Questionnaire</w:t>
            </w:r>
            <w:r>
              <w:rPr>
                <w:rFonts w:asciiTheme="minorHAnsi" w:hAnsiTheme="minorHAnsi" w:cstheme="minorHAnsi"/>
                <w:b/>
                <w:szCs w:val="22"/>
                <w:vertAlign w:val="superscript"/>
                <w:lang w:val="en-US"/>
              </w:rPr>
              <w:t>48</w:t>
            </w:r>
          </w:p>
        </w:tc>
        <w:tc>
          <w:tcPr>
            <w:tcW w:w="2070" w:type="dxa"/>
          </w:tcPr>
          <w:p w14:paraId="107FB5FE" w14:textId="77777777" w:rsidR="00C77D4E" w:rsidRPr="000C18FE" w:rsidRDefault="00501E7D">
            <w:pPr>
              <w:spacing w:after="0"/>
              <w:rPr>
                <w:rFonts w:asciiTheme="minorHAnsi" w:hAnsiTheme="minorHAnsi" w:cstheme="minorHAnsi"/>
                <w:lang w:val="en-US"/>
              </w:rPr>
            </w:pPr>
            <w:r>
              <w:rPr>
                <w:rFonts w:asciiTheme="minorHAnsi" w:hAnsiTheme="minorHAnsi" w:cstheme="minorHAnsi"/>
                <w:lang w:val="en-US"/>
              </w:rPr>
              <w:t>As per specific measure</w:t>
            </w:r>
          </w:p>
        </w:tc>
      </w:tr>
    </w:tbl>
    <w:p w14:paraId="4FF66E74" w14:textId="77777777" w:rsidR="00A3107D" w:rsidRPr="002233FF" w:rsidRDefault="00A3107D">
      <w:pPr>
        <w:spacing w:after="0"/>
        <w:rPr>
          <w:rFonts w:asciiTheme="minorHAnsi" w:hAnsiTheme="minorHAnsi" w:cstheme="minorHAnsi"/>
          <w:b/>
          <w:lang w:val="en-US"/>
        </w:rPr>
      </w:pPr>
    </w:p>
    <w:p w14:paraId="3BF82F22" w14:textId="77777777" w:rsidR="00372805" w:rsidRPr="002233FF" w:rsidRDefault="00372805">
      <w:pPr>
        <w:spacing w:after="0"/>
        <w:rPr>
          <w:rFonts w:asciiTheme="minorHAnsi" w:hAnsiTheme="minorHAnsi" w:cstheme="minorHAnsi"/>
          <w:b/>
          <w:lang w:val="en-US"/>
        </w:rPr>
      </w:pPr>
      <w:r w:rsidRPr="002233FF">
        <w:rPr>
          <w:rFonts w:asciiTheme="minorHAnsi" w:hAnsiTheme="minorHAnsi" w:cstheme="minorHAnsi"/>
          <w:b/>
          <w:lang w:val="en-US"/>
        </w:rPr>
        <w:t>3.</w:t>
      </w:r>
      <w:r w:rsidR="00A3107D" w:rsidRPr="002233FF">
        <w:rPr>
          <w:rFonts w:asciiTheme="minorHAnsi" w:hAnsiTheme="minorHAnsi" w:cstheme="minorHAnsi"/>
          <w:b/>
          <w:lang w:val="en-US"/>
        </w:rPr>
        <w:t>2</w:t>
      </w:r>
      <w:r w:rsidRPr="002233FF">
        <w:rPr>
          <w:rFonts w:asciiTheme="minorHAnsi" w:hAnsiTheme="minorHAnsi" w:cstheme="minorHAnsi"/>
          <w:b/>
          <w:lang w:val="en-US"/>
        </w:rPr>
        <w:t xml:space="preserve">. Direct </w:t>
      </w:r>
      <w:r w:rsidR="0057299F">
        <w:rPr>
          <w:rFonts w:asciiTheme="minorHAnsi" w:hAnsiTheme="minorHAnsi" w:cstheme="minorHAnsi"/>
          <w:b/>
          <w:lang w:val="en-US"/>
        </w:rPr>
        <w:t xml:space="preserve">cognitive </w:t>
      </w:r>
      <w:r w:rsidRPr="002233FF">
        <w:rPr>
          <w:rFonts w:asciiTheme="minorHAnsi" w:hAnsiTheme="minorHAnsi" w:cstheme="minorHAnsi"/>
          <w:b/>
          <w:lang w:val="en-US"/>
        </w:rPr>
        <w:t>assessment</w:t>
      </w:r>
      <w:r w:rsidR="0057299F">
        <w:rPr>
          <w:rFonts w:asciiTheme="minorHAnsi" w:hAnsiTheme="minorHAnsi" w:cstheme="minorHAnsi"/>
          <w:b/>
          <w:lang w:val="en-US"/>
        </w:rPr>
        <w:t xml:space="preserve"> </w:t>
      </w:r>
    </w:p>
    <w:p w14:paraId="3B3500C5" w14:textId="77777777" w:rsidR="00A3107D" w:rsidRPr="002233FF" w:rsidRDefault="00A3107D">
      <w:pPr>
        <w:pStyle w:val="Body1"/>
        <w:spacing w:line="480" w:lineRule="auto"/>
        <w:rPr>
          <w:rFonts w:asciiTheme="minorHAnsi" w:hAnsiTheme="minorHAnsi" w:cstheme="minorHAnsi"/>
          <w:szCs w:val="22"/>
          <w:lang w:val="en-US"/>
        </w:rPr>
      </w:pPr>
    </w:p>
    <w:p w14:paraId="7B6B6219" w14:textId="050648A8" w:rsidR="00B24CE1" w:rsidRPr="002233FF" w:rsidRDefault="00E01431">
      <w:pPr>
        <w:pStyle w:val="Body1"/>
        <w:spacing w:line="480" w:lineRule="auto"/>
        <w:rPr>
          <w:rFonts w:asciiTheme="minorHAnsi" w:hAnsiTheme="minorHAnsi" w:cstheme="minorHAnsi"/>
          <w:szCs w:val="22"/>
          <w:lang w:val="en-US"/>
        </w:rPr>
      </w:pPr>
      <w:r>
        <w:rPr>
          <w:rFonts w:asciiTheme="minorHAnsi" w:hAnsiTheme="minorHAnsi" w:cstheme="minorHAnsi"/>
          <w:szCs w:val="22"/>
          <w:lang w:val="en-US"/>
        </w:rPr>
        <w:t xml:space="preserve">Following discussions of current national approaches across Europe a </w:t>
      </w:r>
      <w:r w:rsidR="00A3107D" w:rsidRPr="002233FF">
        <w:rPr>
          <w:rFonts w:asciiTheme="minorHAnsi" w:hAnsiTheme="minorHAnsi" w:cstheme="minorHAnsi"/>
          <w:szCs w:val="22"/>
          <w:lang w:val="en-US"/>
        </w:rPr>
        <w:t xml:space="preserve">small core battery of direct cognitive assessments is recommended for children </w:t>
      </w:r>
      <w:r w:rsidR="00465BDE">
        <w:rPr>
          <w:rFonts w:asciiTheme="minorHAnsi" w:hAnsiTheme="minorHAnsi" w:cstheme="minorHAnsi"/>
          <w:szCs w:val="22"/>
          <w:lang w:val="en-US"/>
        </w:rPr>
        <w:t>between their fourth and fifth birthdays</w:t>
      </w:r>
      <w:r w:rsidR="00A3107D" w:rsidRPr="002233FF">
        <w:rPr>
          <w:rFonts w:asciiTheme="minorHAnsi" w:hAnsiTheme="minorHAnsi" w:cstheme="minorHAnsi"/>
          <w:szCs w:val="22"/>
          <w:lang w:val="en-US"/>
        </w:rPr>
        <w:t>.</w:t>
      </w:r>
      <w:r w:rsidR="00501DA8">
        <w:rPr>
          <w:rFonts w:asciiTheme="minorHAnsi" w:hAnsiTheme="minorHAnsi" w:cstheme="minorHAnsi"/>
          <w:szCs w:val="22"/>
          <w:lang w:val="en-US"/>
        </w:rPr>
        <w:t xml:space="preserve"> </w:t>
      </w:r>
      <w:r w:rsidR="00465BDE">
        <w:rPr>
          <w:rFonts w:asciiTheme="minorHAnsi" w:hAnsiTheme="minorHAnsi" w:cstheme="minorHAnsi"/>
          <w:szCs w:val="22"/>
          <w:lang w:val="en-US"/>
        </w:rPr>
        <w:t xml:space="preserve"> </w:t>
      </w:r>
      <w:r>
        <w:rPr>
          <w:rFonts w:asciiTheme="minorHAnsi" w:hAnsiTheme="minorHAnsi" w:cstheme="minorHAnsi"/>
          <w:szCs w:val="22"/>
          <w:lang w:val="en-US"/>
        </w:rPr>
        <w:t>D</w:t>
      </w:r>
      <w:r w:rsidR="00372805" w:rsidRPr="002233FF">
        <w:rPr>
          <w:rFonts w:asciiTheme="minorHAnsi" w:hAnsiTheme="minorHAnsi" w:cstheme="minorHAnsi"/>
          <w:szCs w:val="22"/>
          <w:lang w:val="en-US"/>
        </w:rPr>
        <w:t xml:space="preserve">omains and constructs of direct </w:t>
      </w:r>
      <w:r w:rsidR="003C0477">
        <w:rPr>
          <w:rFonts w:asciiTheme="minorHAnsi" w:hAnsiTheme="minorHAnsi" w:cstheme="minorHAnsi"/>
          <w:szCs w:val="22"/>
          <w:lang w:val="en-US"/>
        </w:rPr>
        <w:t xml:space="preserve">cognitive </w:t>
      </w:r>
      <w:r w:rsidR="00372805" w:rsidRPr="002233FF">
        <w:rPr>
          <w:rFonts w:asciiTheme="minorHAnsi" w:hAnsiTheme="minorHAnsi" w:cstheme="minorHAnsi"/>
          <w:szCs w:val="22"/>
          <w:lang w:val="en-US"/>
        </w:rPr>
        <w:t>assessment</w:t>
      </w:r>
      <w:r w:rsidR="00501DA8">
        <w:rPr>
          <w:rFonts w:asciiTheme="minorHAnsi" w:hAnsiTheme="minorHAnsi" w:cstheme="minorHAnsi"/>
          <w:szCs w:val="22"/>
          <w:lang w:val="en-US"/>
        </w:rPr>
        <w:t xml:space="preserve"> were again considered as for older children, u</w:t>
      </w:r>
      <w:r>
        <w:rPr>
          <w:rFonts w:asciiTheme="minorHAnsi" w:hAnsiTheme="minorHAnsi" w:cstheme="minorHAnsi"/>
          <w:szCs w:val="22"/>
          <w:lang w:val="en-US"/>
        </w:rPr>
        <w:t>s</w:t>
      </w:r>
      <w:r w:rsidR="00501DA8">
        <w:rPr>
          <w:rFonts w:asciiTheme="minorHAnsi" w:hAnsiTheme="minorHAnsi" w:cstheme="minorHAnsi"/>
          <w:szCs w:val="22"/>
          <w:lang w:val="en-US"/>
        </w:rPr>
        <w:t xml:space="preserve">ing </w:t>
      </w:r>
      <w:r w:rsidR="00372805" w:rsidRPr="002233FF">
        <w:rPr>
          <w:rFonts w:asciiTheme="minorHAnsi" w:hAnsiTheme="minorHAnsi" w:cstheme="minorHAnsi"/>
          <w:szCs w:val="22"/>
          <w:lang w:val="en-US"/>
        </w:rPr>
        <w:t>the Cattell-Horn-Carroll integrated model of Cognitive abilities</w:t>
      </w:r>
      <w:r w:rsidR="00250679">
        <w:rPr>
          <w:rFonts w:asciiTheme="minorHAnsi" w:hAnsiTheme="minorHAnsi" w:cstheme="minorHAnsi"/>
          <w:b/>
          <w:szCs w:val="22"/>
          <w:vertAlign w:val="superscript"/>
          <w:lang w:val="en-US"/>
        </w:rPr>
        <w:t>49</w:t>
      </w:r>
      <w:r w:rsidR="00372805" w:rsidRPr="002233FF">
        <w:rPr>
          <w:rFonts w:asciiTheme="minorHAnsi" w:hAnsiTheme="minorHAnsi" w:cstheme="minorHAnsi"/>
          <w:szCs w:val="22"/>
          <w:lang w:val="en-US"/>
        </w:rPr>
        <w:t xml:space="preserve"> </w:t>
      </w:r>
      <w:r w:rsidR="00A51277" w:rsidRPr="002233FF">
        <w:rPr>
          <w:rFonts w:asciiTheme="minorHAnsi" w:hAnsiTheme="minorHAnsi" w:cstheme="minorHAnsi"/>
          <w:szCs w:val="22"/>
          <w:lang w:val="en-US"/>
        </w:rPr>
        <w:t xml:space="preserve">and the cross-battery </w:t>
      </w:r>
      <w:bookmarkStart w:id="5" w:name="_Hlk13848584"/>
      <w:r w:rsidR="00A51277" w:rsidRPr="002233FF">
        <w:rPr>
          <w:rFonts w:asciiTheme="minorHAnsi" w:hAnsiTheme="minorHAnsi" w:cstheme="minorHAnsi"/>
          <w:szCs w:val="22"/>
          <w:lang w:val="en-US"/>
        </w:rPr>
        <w:t>approach</w:t>
      </w:r>
      <w:r w:rsidR="00250679" w:rsidRPr="004A2D5E">
        <w:rPr>
          <w:rFonts w:asciiTheme="minorHAnsi" w:hAnsiTheme="minorHAnsi" w:cstheme="minorHAnsi"/>
          <w:b/>
          <w:szCs w:val="22"/>
          <w:vertAlign w:val="superscript"/>
          <w:lang w:val="en-US"/>
        </w:rPr>
        <w:t>50</w:t>
      </w:r>
      <w:r w:rsidR="00AA6C09">
        <w:rPr>
          <w:rFonts w:asciiTheme="minorHAnsi" w:hAnsiTheme="minorHAnsi" w:cstheme="minorHAnsi"/>
          <w:szCs w:val="22"/>
          <w:lang w:val="en-US"/>
        </w:rPr>
        <w:t xml:space="preserve"> which uses information from multiple assessment batteries</w:t>
      </w:r>
      <w:bookmarkEnd w:id="5"/>
      <w:r w:rsidR="006917C8">
        <w:rPr>
          <w:rFonts w:asciiTheme="minorHAnsi" w:hAnsiTheme="minorHAnsi" w:cstheme="minorHAnsi"/>
          <w:szCs w:val="22"/>
          <w:lang w:val="en-US"/>
        </w:rPr>
        <w:t>.</w:t>
      </w:r>
      <w:r w:rsidR="00A51277" w:rsidRPr="002233FF">
        <w:rPr>
          <w:rFonts w:asciiTheme="minorHAnsi" w:hAnsiTheme="minorHAnsi" w:cstheme="minorHAnsi"/>
          <w:szCs w:val="22"/>
          <w:lang w:val="en-US"/>
        </w:rPr>
        <w:t xml:space="preserve"> </w:t>
      </w:r>
      <w:r w:rsidR="00372805" w:rsidRPr="002233FF">
        <w:rPr>
          <w:rFonts w:asciiTheme="minorHAnsi" w:hAnsiTheme="minorHAnsi" w:cstheme="minorHAnsi"/>
          <w:szCs w:val="22"/>
          <w:lang w:val="en-US"/>
        </w:rPr>
        <w:t>The proposed constructs for brain tumour trials</w:t>
      </w:r>
      <w:r w:rsidR="006917C8">
        <w:rPr>
          <w:rFonts w:asciiTheme="minorHAnsi" w:hAnsiTheme="minorHAnsi" w:cstheme="minorHAnsi"/>
          <w:b/>
          <w:szCs w:val="22"/>
          <w:vertAlign w:val="superscript"/>
          <w:lang w:val="en-US"/>
        </w:rPr>
        <w:t>9</w:t>
      </w:r>
      <w:r w:rsidR="00372805" w:rsidRPr="00ED54AB">
        <w:rPr>
          <w:rFonts w:asciiTheme="minorHAnsi" w:hAnsiTheme="minorHAnsi" w:cstheme="minorHAnsi"/>
          <w:szCs w:val="22"/>
          <w:lang w:val="en-US"/>
        </w:rPr>
        <w:t xml:space="preserve"> </w:t>
      </w:r>
      <w:r w:rsidR="00501DA8" w:rsidRPr="00ED54AB">
        <w:rPr>
          <w:rFonts w:asciiTheme="minorHAnsi" w:hAnsiTheme="minorHAnsi" w:cstheme="minorHAnsi"/>
          <w:szCs w:val="22"/>
          <w:lang w:val="en-US"/>
        </w:rPr>
        <w:t>were considered appropriate for this younger age group</w:t>
      </w:r>
      <w:r w:rsidR="00372805" w:rsidRPr="00ED54AB">
        <w:rPr>
          <w:rFonts w:asciiTheme="minorHAnsi" w:hAnsiTheme="minorHAnsi" w:cstheme="minorHAnsi"/>
          <w:szCs w:val="22"/>
          <w:lang w:val="en-US"/>
        </w:rPr>
        <w:t>.</w:t>
      </w:r>
      <w:r w:rsidR="00372805" w:rsidRPr="002233FF">
        <w:rPr>
          <w:rFonts w:asciiTheme="minorHAnsi" w:hAnsiTheme="minorHAnsi" w:cstheme="minorHAnsi"/>
          <w:szCs w:val="22"/>
          <w:lang w:val="en-US"/>
        </w:rPr>
        <w:t xml:space="preserve"> The domains identified for </w:t>
      </w:r>
      <w:r w:rsidR="00465BDE">
        <w:rPr>
          <w:rFonts w:asciiTheme="minorHAnsi" w:hAnsiTheme="minorHAnsi" w:cstheme="minorHAnsi"/>
          <w:szCs w:val="22"/>
          <w:lang w:val="en-US"/>
        </w:rPr>
        <w:t xml:space="preserve">cognitive </w:t>
      </w:r>
      <w:r w:rsidR="00372805" w:rsidRPr="002233FF">
        <w:rPr>
          <w:rFonts w:asciiTheme="minorHAnsi" w:hAnsiTheme="minorHAnsi" w:cstheme="minorHAnsi"/>
          <w:szCs w:val="22"/>
          <w:lang w:val="en-US"/>
        </w:rPr>
        <w:t xml:space="preserve">assessment are frequently reported to be impaired </w:t>
      </w:r>
      <w:r w:rsidR="009D6064">
        <w:rPr>
          <w:rFonts w:asciiTheme="minorHAnsi" w:hAnsiTheme="minorHAnsi" w:cstheme="minorHAnsi"/>
          <w:szCs w:val="22"/>
          <w:lang w:val="en-US"/>
        </w:rPr>
        <w:t>in</w:t>
      </w:r>
      <w:r w:rsidR="009D6064" w:rsidRPr="002233FF">
        <w:rPr>
          <w:rFonts w:asciiTheme="minorHAnsi" w:hAnsiTheme="minorHAnsi" w:cstheme="minorHAnsi"/>
          <w:szCs w:val="22"/>
          <w:lang w:val="en-US"/>
        </w:rPr>
        <w:t xml:space="preserve"> </w:t>
      </w:r>
      <w:r w:rsidR="00372805" w:rsidRPr="002233FF">
        <w:rPr>
          <w:rFonts w:asciiTheme="minorHAnsi" w:hAnsiTheme="minorHAnsi" w:cstheme="minorHAnsi"/>
          <w:szCs w:val="22"/>
          <w:lang w:val="en-US"/>
        </w:rPr>
        <w:t>children trea</w:t>
      </w:r>
      <w:r w:rsidR="00BF1F30" w:rsidRPr="002233FF">
        <w:rPr>
          <w:rFonts w:asciiTheme="minorHAnsi" w:hAnsiTheme="minorHAnsi" w:cstheme="minorHAnsi"/>
          <w:szCs w:val="22"/>
          <w:lang w:val="en-US"/>
        </w:rPr>
        <w:t>ted</w:t>
      </w:r>
      <w:r w:rsidR="00372805" w:rsidRPr="002233FF">
        <w:rPr>
          <w:rFonts w:asciiTheme="minorHAnsi" w:hAnsiTheme="minorHAnsi" w:cstheme="minorHAnsi"/>
          <w:szCs w:val="22"/>
          <w:lang w:val="en-US"/>
        </w:rPr>
        <w:t xml:space="preserve"> for a brain tumour </w:t>
      </w:r>
      <w:r w:rsidR="00501DA8">
        <w:rPr>
          <w:rFonts w:asciiTheme="minorHAnsi" w:hAnsiTheme="minorHAnsi" w:cstheme="minorHAnsi"/>
          <w:szCs w:val="22"/>
          <w:lang w:val="en-US"/>
        </w:rPr>
        <w:t xml:space="preserve">at any age </w:t>
      </w:r>
      <w:r w:rsidR="00372805" w:rsidRPr="002233FF">
        <w:rPr>
          <w:rFonts w:asciiTheme="minorHAnsi" w:hAnsiTheme="minorHAnsi" w:cstheme="minorHAnsi"/>
          <w:szCs w:val="22"/>
          <w:lang w:val="en-US"/>
        </w:rPr>
        <w:t xml:space="preserve">and facilitate comparison between domains measured </w:t>
      </w:r>
      <w:r w:rsidR="009D6064">
        <w:rPr>
          <w:rFonts w:asciiTheme="minorHAnsi" w:hAnsiTheme="minorHAnsi" w:cstheme="minorHAnsi"/>
          <w:szCs w:val="22"/>
          <w:lang w:val="en-US"/>
        </w:rPr>
        <w:t>in the under-fives</w:t>
      </w:r>
      <w:r w:rsidR="00372805" w:rsidRPr="002233FF">
        <w:rPr>
          <w:rFonts w:asciiTheme="minorHAnsi" w:hAnsiTheme="minorHAnsi" w:cstheme="minorHAnsi"/>
          <w:szCs w:val="22"/>
          <w:lang w:val="en-US"/>
        </w:rPr>
        <w:t xml:space="preserve">. Domains for a core battery of assessments, supplementary </w:t>
      </w:r>
      <w:r w:rsidR="00AB070D">
        <w:rPr>
          <w:rFonts w:asciiTheme="minorHAnsi" w:hAnsiTheme="minorHAnsi" w:cstheme="minorHAnsi"/>
          <w:szCs w:val="22"/>
          <w:lang w:val="en-US"/>
        </w:rPr>
        <w:t xml:space="preserve">‘plus’ </w:t>
      </w:r>
      <w:r w:rsidR="00372805" w:rsidRPr="002233FF">
        <w:rPr>
          <w:rFonts w:asciiTheme="minorHAnsi" w:hAnsiTheme="minorHAnsi" w:cstheme="minorHAnsi"/>
          <w:szCs w:val="22"/>
          <w:lang w:val="en-US"/>
        </w:rPr>
        <w:t xml:space="preserve">domains, and examples of tests for abilities in those domains are provided in Table </w:t>
      </w:r>
      <w:r w:rsidR="002F0472">
        <w:rPr>
          <w:rFonts w:asciiTheme="minorHAnsi" w:hAnsiTheme="minorHAnsi" w:cstheme="minorHAnsi"/>
          <w:szCs w:val="22"/>
          <w:lang w:val="en-US"/>
        </w:rPr>
        <w:t>2</w:t>
      </w:r>
      <w:r w:rsidR="00372805" w:rsidRPr="002233FF">
        <w:rPr>
          <w:rFonts w:asciiTheme="minorHAnsi" w:hAnsiTheme="minorHAnsi" w:cstheme="minorHAnsi"/>
          <w:szCs w:val="22"/>
          <w:lang w:val="en-US"/>
        </w:rPr>
        <w:t xml:space="preserve">. </w:t>
      </w:r>
      <w:r w:rsidR="00ED54AB">
        <w:rPr>
          <w:rFonts w:asciiTheme="minorHAnsi" w:hAnsiTheme="minorHAnsi" w:cstheme="minorHAnsi"/>
          <w:szCs w:val="22"/>
          <w:lang w:val="en-US"/>
        </w:rPr>
        <w:t xml:space="preserve">For children </w:t>
      </w:r>
      <w:r w:rsidR="00C55CDF">
        <w:rPr>
          <w:rFonts w:asciiTheme="minorHAnsi" w:hAnsiTheme="minorHAnsi" w:cstheme="minorHAnsi"/>
          <w:szCs w:val="22"/>
          <w:lang w:val="en-US"/>
        </w:rPr>
        <w:t>before their fourth birthday</w:t>
      </w:r>
      <w:r w:rsidR="003357BF">
        <w:rPr>
          <w:rFonts w:asciiTheme="minorHAnsi" w:hAnsiTheme="minorHAnsi" w:cstheme="minorHAnsi"/>
          <w:szCs w:val="22"/>
          <w:lang w:val="en-US"/>
        </w:rPr>
        <w:t>,</w:t>
      </w:r>
      <w:r w:rsidR="00ED54AB">
        <w:rPr>
          <w:rFonts w:asciiTheme="minorHAnsi" w:hAnsiTheme="minorHAnsi" w:cstheme="minorHAnsi"/>
          <w:szCs w:val="22"/>
          <w:lang w:val="en-US"/>
        </w:rPr>
        <w:t xml:space="preserve"> direct assessment of developmental level is included as a ‘plus’ measure</w:t>
      </w:r>
      <w:r w:rsidR="007760B5">
        <w:rPr>
          <w:rFonts w:asciiTheme="minorHAnsi" w:hAnsiTheme="minorHAnsi" w:cstheme="minorHAnsi"/>
          <w:szCs w:val="22"/>
          <w:lang w:val="en-US"/>
        </w:rPr>
        <w:t>.</w:t>
      </w:r>
    </w:p>
    <w:p w14:paraId="619F65CC" w14:textId="77777777" w:rsidR="00B24CE1" w:rsidRPr="002233FF" w:rsidRDefault="00B24CE1">
      <w:pPr>
        <w:pStyle w:val="Body1"/>
        <w:spacing w:line="480" w:lineRule="auto"/>
        <w:rPr>
          <w:rFonts w:asciiTheme="minorHAnsi" w:hAnsiTheme="minorHAnsi" w:cstheme="minorHAnsi"/>
          <w:szCs w:val="22"/>
          <w:lang w:val="en-US"/>
        </w:rPr>
      </w:pPr>
    </w:p>
    <w:p w14:paraId="3B1121BF" w14:textId="2CCC27D6" w:rsidR="007760B5" w:rsidRDefault="003478DE" w:rsidP="007760B5">
      <w:pPr>
        <w:pStyle w:val="Body1"/>
        <w:spacing w:line="480" w:lineRule="auto"/>
        <w:rPr>
          <w:rFonts w:asciiTheme="minorHAnsi" w:hAnsiTheme="minorHAnsi" w:cstheme="minorHAnsi"/>
          <w:szCs w:val="22"/>
          <w:lang w:val="en-US"/>
        </w:rPr>
      </w:pPr>
      <w:r>
        <w:rPr>
          <w:rFonts w:asciiTheme="minorHAnsi" w:hAnsiTheme="minorHAnsi" w:cstheme="minorHAnsi"/>
          <w:szCs w:val="22"/>
          <w:lang w:val="en-US"/>
        </w:rPr>
        <w:t xml:space="preserve">The consensus discussions relating to children under the age of 5 years highlighted </w:t>
      </w:r>
      <w:r w:rsidR="00B24CE1" w:rsidRPr="002233FF">
        <w:rPr>
          <w:rFonts w:asciiTheme="minorHAnsi" w:hAnsiTheme="minorHAnsi" w:cstheme="minorHAnsi"/>
          <w:szCs w:val="22"/>
          <w:lang w:val="en-US"/>
        </w:rPr>
        <w:t xml:space="preserve">the risk of </w:t>
      </w:r>
      <w:r w:rsidR="003B3AE1" w:rsidRPr="002233FF">
        <w:rPr>
          <w:rFonts w:asciiTheme="minorHAnsi" w:hAnsiTheme="minorHAnsi" w:cstheme="minorHAnsi"/>
          <w:szCs w:val="22"/>
          <w:lang w:val="en-US"/>
        </w:rPr>
        <w:t xml:space="preserve">incomplete </w:t>
      </w:r>
      <w:r w:rsidR="00B24CE1" w:rsidRPr="002233FF">
        <w:rPr>
          <w:rFonts w:asciiTheme="minorHAnsi" w:hAnsiTheme="minorHAnsi" w:cstheme="minorHAnsi"/>
          <w:szCs w:val="22"/>
          <w:lang w:val="en-US"/>
        </w:rPr>
        <w:t xml:space="preserve">data collection </w:t>
      </w:r>
      <w:r w:rsidR="007760B5">
        <w:rPr>
          <w:rFonts w:asciiTheme="minorHAnsi" w:hAnsiTheme="minorHAnsi" w:cstheme="minorHAnsi"/>
          <w:szCs w:val="22"/>
          <w:lang w:val="en-US"/>
        </w:rPr>
        <w:t xml:space="preserve">as a consequence of </w:t>
      </w:r>
      <w:r w:rsidR="00B24CE1" w:rsidRPr="002233FF">
        <w:rPr>
          <w:rFonts w:asciiTheme="minorHAnsi" w:hAnsiTheme="minorHAnsi" w:cstheme="minorHAnsi"/>
          <w:szCs w:val="22"/>
          <w:lang w:val="en-US"/>
        </w:rPr>
        <w:t>young age and limit</w:t>
      </w:r>
      <w:r w:rsidR="00CB1208" w:rsidRPr="002233FF">
        <w:rPr>
          <w:rFonts w:asciiTheme="minorHAnsi" w:hAnsiTheme="minorHAnsi" w:cstheme="minorHAnsi"/>
          <w:szCs w:val="22"/>
          <w:lang w:val="en-US"/>
        </w:rPr>
        <w:t>ed</w:t>
      </w:r>
      <w:r w:rsidR="00B24CE1" w:rsidRPr="002233FF">
        <w:rPr>
          <w:rFonts w:asciiTheme="minorHAnsi" w:hAnsiTheme="minorHAnsi" w:cstheme="minorHAnsi"/>
          <w:szCs w:val="22"/>
          <w:lang w:val="en-US"/>
        </w:rPr>
        <w:t xml:space="preserve"> participat</w:t>
      </w:r>
      <w:r w:rsidR="00310B8A" w:rsidRPr="002233FF">
        <w:rPr>
          <w:rFonts w:asciiTheme="minorHAnsi" w:hAnsiTheme="minorHAnsi" w:cstheme="minorHAnsi"/>
          <w:szCs w:val="22"/>
          <w:lang w:val="en-US"/>
        </w:rPr>
        <w:t>ion</w:t>
      </w:r>
      <w:r>
        <w:rPr>
          <w:rFonts w:asciiTheme="minorHAnsi" w:hAnsiTheme="minorHAnsi" w:cstheme="minorHAnsi"/>
          <w:szCs w:val="22"/>
          <w:lang w:val="en-US"/>
        </w:rPr>
        <w:t>.  As a result</w:t>
      </w:r>
      <w:r w:rsidR="00B24CE1" w:rsidRPr="002233FF">
        <w:rPr>
          <w:rFonts w:asciiTheme="minorHAnsi" w:hAnsiTheme="minorHAnsi" w:cstheme="minorHAnsi"/>
          <w:szCs w:val="22"/>
          <w:lang w:val="en-US"/>
        </w:rPr>
        <w:t xml:space="preserve">, a test </w:t>
      </w:r>
      <w:r w:rsidR="007760B5">
        <w:rPr>
          <w:rFonts w:asciiTheme="minorHAnsi" w:hAnsiTheme="minorHAnsi" w:cstheme="minorHAnsi"/>
          <w:szCs w:val="22"/>
          <w:lang w:val="en-US"/>
        </w:rPr>
        <w:t xml:space="preserve">administration </w:t>
      </w:r>
      <w:r w:rsidR="00B24CE1" w:rsidRPr="002233FF">
        <w:rPr>
          <w:rFonts w:asciiTheme="minorHAnsi" w:hAnsiTheme="minorHAnsi" w:cstheme="minorHAnsi"/>
          <w:szCs w:val="22"/>
          <w:lang w:val="en-US"/>
        </w:rPr>
        <w:t xml:space="preserve">order </w:t>
      </w:r>
      <w:r>
        <w:rPr>
          <w:rFonts w:asciiTheme="minorHAnsi" w:hAnsiTheme="minorHAnsi" w:cstheme="minorHAnsi"/>
          <w:szCs w:val="22"/>
          <w:lang w:val="en-US"/>
        </w:rPr>
        <w:t>was</w:t>
      </w:r>
      <w:r w:rsidR="00B24CE1" w:rsidRPr="002233FF">
        <w:rPr>
          <w:rFonts w:asciiTheme="minorHAnsi" w:hAnsiTheme="minorHAnsi" w:cstheme="minorHAnsi"/>
          <w:szCs w:val="22"/>
          <w:lang w:val="en-US"/>
        </w:rPr>
        <w:t xml:space="preserve"> agreed to ensu</w:t>
      </w:r>
      <w:r w:rsidR="00310B8A" w:rsidRPr="002233FF">
        <w:rPr>
          <w:rFonts w:asciiTheme="minorHAnsi" w:hAnsiTheme="minorHAnsi" w:cstheme="minorHAnsi"/>
          <w:szCs w:val="22"/>
          <w:lang w:val="en-US"/>
        </w:rPr>
        <w:t>re</w:t>
      </w:r>
      <w:r w:rsidR="00B24CE1" w:rsidRPr="002233FF">
        <w:rPr>
          <w:rFonts w:asciiTheme="minorHAnsi" w:hAnsiTheme="minorHAnsi" w:cstheme="minorHAnsi"/>
          <w:szCs w:val="22"/>
          <w:lang w:val="en-US"/>
        </w:rPr>
        <w:t xml:space="preserve"> the same tests are completed in the same sequence to maximise data sets for </w:t>
      </w:r>
      <w:r w:rsidR="00E0689C" w:rsidRPr="002233FF">
        <w:rPr>
          <w:rFonts w:asciiTheme="minorHAnsi" w:hAnsiTheme="minorHAnsi" w:cstheme="minorHAnsi"/>
          <w:szCs w:val="22"/>
          <w:lang w:val="en-US"/>
        </w:rPr>
        <w:t>cross</w:t>
      </w:r>
      <w:r w:rsidR="00387B84" w:rsidRPr="002233FF">
        <w:rPr>
          <w:rFonts w:asciiTheme="minorHAnsi" w:hAnsiTheme="minorHAnsi" w:cstheme="minorHAnsi"/>
          <w:szCs w:val="22"/>
          <w:lang w:val="en-US"/>
        </w:rPr>
        <w:t>-</w:t>
      </w:r>
      <w:r w:rsidR="00E0689C" w:rsidRPr="002233FF">
        <w:rPr>
          <w:rFonts w:asciiTheme="minorHAnsi" w:hAnsiTheme="minorHAnsi" w:cstheme="minorHAnsi"/>
          <w:szCs w:val="22"/>
          <w:lang w:val="en-US"/>
        </w:rPr>
        <w:t>centre and cross</w:t>
      </w:r>
      <w:r w:rsidR="00387B84" w:rsidRPr="002233FF">
        <w:rPr>
          <w:rFonts w:asciiTheme="minorHAnsi" w:hAnsiTheme="minorHAnsi" w:cstheme="minorHAnsi"/>
          <w:szCs w:val="22"/>
          <w:lang w:val="en-US"/>
        </w:rPr>
        <w:t>-</w:t>
      </w:r>
      <w:r w:rsidR="00E0689C" w:rsidRPr="002233FF">
        <w:rPr>
          <w:rFonts w:asciiTheme="minorHAnsi" w:hAnsiTheme="minorHAnsi" w:cstheme="minorHAnsi"/>
          <w:szCs w:val="22"/>
          <w:lang w:val="en-US"/>
        </w:rPr>
        <w:t xml:space="preserve">country </w:t>
      </w:r>
      <w:r w:rsidR="00B24CE1" w:rsidRPr="002233FF">
        <w:rPr>
          <w:rFonts w:asciiTheme="minorHAnsi" w:hAnsiTheme="minorHAnsi" w:cstheme="minorHAnsi"/>
          <w:szCs w:val="22"/>
          <w:lang w:val="en-US"/>
        </w:rPr>
        <w:t>comparison</w:t>
      </w:r>
      <w:r w:rsidR="00387B84" w:rsidRPr="002233FF">
        <w:rPr>
          <w:rFonts w:asciiTheme="minorHAnsi" w:hAnsiTheme="minorHAnsi" w:cstheme="minorHAnsi"/>
          <w:szCs w:val="22"/>
          <w:lang w:val="en-US"/>
        </w:rPr>
        <w:t>.</w:t>
      </w:r>
      <w:r w:rsidR="00B24CE1" w:rsidRPr="002233FF">
        <w:rPr>
          <w:rFonts w:asciiTheme="minorHAnsi" w:hAnsiTheme="minorHAnsi" w:cstheme="minorHAnsi"/>
          <w:szCs w:val="22"/>
          <w:lang w:val="en-US"/>
        </w:rPr>
        <w:t xml:space="preserve"> </w:t>
      </w:r>
      <w:r w:rsidR="00387B84" w:rsidRPr="002233FF">
        <w:rPr>
          <w:rFonts w:asciiTheme="minorHAnsi" w:hAnsiTheme="minorHAnsi" w:cstheme="minorHAnsi"/>
          <w:szCs w:val="22"/>
          <w:lang w:val="en-US"/>
        </w:rPr>
        <w:t>It is recommended that the CRF for all protocols requ</w:t>
      </w:r>
      <w:r w:rsidR="00465BDE">
        <w:rPr>
          <w:rFonts w:asciiTheme="minorHAnsi" w:hAnsiTheme="minorHAnsi" w:cstheme="minorHAnsi"/>
          <w:szCs w:val="22"/>
          <w:lang w:val="en-US"/>
        </w:rPr>
        <w:t>ests</w:t>
      </w:r>
      <w:r w:rsidR="00387B84" w:rsidRPr="002233FF">
        <w:rPr>
          <w:rFonts w:asciiTheme="minorHAnsi" w:hAnsiTheme="minorHAnsi" w:cstheme="minorHAnsi"/>
          <w:szCs w:val="22"/>
          <w:lang w:val="en-US"/>
        </w:rPr>
        <w:t xml:space="preserve"> information regarding </w:t>
      </w:r>
      <w:r w:rsidR="00372C1D">
        <w:rPr>
          <w:rFonts w:asciiTheme="minorHAnsi" w:hAnsiTheme="minorHAnsi" w:cstheme="minorHAnsi"/>
          <w:szCs w:val="22"/>
          <w:lang w:val="en-US"/>
        </w:rPr>
        <w:t xml:space="preserve">the reason </w:t>
      </w:r>
      <w:r w:rsidR="00387B84" w:rsidRPr="002233FF">
        <w:rPr>
          <w:rFonts w:asciiTheme="minorHAnsi" w:hAnsiTheme="minorHAnsi" w:cstheme="minorHAnsi"/>
          <w:szCs w:val="22"/>
          <w:lang w:val="en-US"/>
        </w:rPr>
        <w:t>why some or all tests could not be administered</w:t>
      </w:r>
      <w:r w:rsidR="00372C1D">
        <w:rPr>
          <w:rFonts w:asciiTheme="minorHAnsi" w:hAnsiTheme="minorHAnsi" w:cstheme="minorHAnsi"/>
          <w:szCs w:val="22"/>
          <w:lang w:val="en-US"/>
        </w:rPr>
        <w:t>,</w:t>
      </w:r>
      <w:r w:rsidR="00387B84" w:rsidRPr="002233FF">
        <w:rPr>
          <w:rFonts w:asciiTheme="minorHAnsi" w:hAnsiTheme="minorHAnsi" w:cstheme="minorHAnsi"/>
          <w:szCs w:val="22"/>
          <w:lang w:val="en-US"/>
        </w:rPr>
        <w:t xml:space="preserve"> including sensory impairments, fatigue, challenging behaviour</w:t>
      </w:r>
      <w:r w:rsidR="009D6064">
        <w:rPr>
          <w:rFonts w:asciiTheme="minorHAnsi" w:hAnsiTheme="minorHAnsi" w:cstheme="minorHAnsi"/>
          <w:szCs w:val="22"/>
          <w:lang w:val="en-US"/>
        </w:rPr>
        <w:t>,</w:t>
      </w:r>
      <w:r w:rsidR="00387B84" w:rsidRPr="002233FF">
        <w:rPr>
          <w:rFonts w:asciiTheme="minorHAnsi" w:hAnsiTheme="minorHAnsi" w:cstheme="minorHAnsi"/>
          <w:szCs w:val="22"/>
          <w:lang w:val="en-US"/>
        </w:rPr>
        <w:t xml:space="preserve"> and anxiety.</w:t>
      </w:r>
      <w:r w:rsidR="0000449C">
        <w:rPr>
          <w:rFonts w:asciiTheme="minorHAnsi" w:hAnsiTheme="minorHAnsi" w:cstheme="minorHAnsi"/>
          <w:szCs w:val="22"/>
          <w:lang w:val="en-US"/>
        </w:rPr>
        <w:t xml:space="preserve"> </w:t>
      </w:r>
      <w:r w:rsidR="007760B5">
        <w:rPr>
          <w:rFonts w:asciiTheme="minorHAnsi" w:hAnsiTheme="minorHAnsi" w:cstheme="minorHAnsi"/>
          <w:szCs w:val="22"/>
          <w:lang w:val="en-US"/>
        </w:rPr>
        <w:t xml:space="preserve">This </w:t>
      </w:r>
      <w:r>
        <w:rPr>
          <w:rFonts w:asciiTheme="minorHAnsi" w:hAnsiTheme="minorHAnsi" w:cstheme="minorHAnsi"/>
          <w:szCs w:val="22"/>
          <w:lang w:val="en-US"/>
        </w:rPr>
        <w:t xml:space="preserve">is intended to </w:t>
      </w:r>
      <w:r w:rsidR="007760B5">
        <w:rPr>
          <w:rFonts w:asciiTheme="minorHAnsi" w:hAnsiTheme="minorHAnsi" w:cstheme="minorHAnsi"/>
          <w:szCs w:val="22"/>
          <w:lang w:val="en-US"/>
        </w:rPr>
        <w:t>facilitate data interpretation</w:t>
      </w:r>
      <w:r w:rsidR="00C77D4E">
        <w:rPr>
          <w:rFonts w:asciiTheme="minorHAnsi" w:hAnsiTheme="minorHAnsi" w:cstheme="minorHAnsi"/>
          <w:szCs w:val="22"/>
          <w:lang w:val="en-US"/>
        </w:rPr>
        <w:t xml:space="preserve"> </w:t>
      </w:r>
      <w:r w:rsidR="007760B5">
        <w:rPr>
          <w:rFonts w:asciiTheme="minorHAnsi" w:hAnsiTheme="minorHAnsi" w:cstheme="minorHAnsi"/>
          <w:szCs w:val="22"/>
          <w:lang w:val="en-US"/>
        </w:rPr>
        <w:t xml:space="preserve">and inform future trial design. </w:t>
      </w:r>
    </w:p>
    <w:p w14:paraId="2F20FA42" w14:textId="77777777" w:rsidR="006917C8" w:rsidRDefault="006917C8" w:rsidP="007760B5">
      <w:pPr>
        <w:pStyle w:val="Body1"/>
        <w:spacing w:line="480" w:lineRule="auto"/>
        <w:rPr>
          <w:rFonts w:asciiTheme="minorHAnsi" w:hAnsiTheme="minorHAnsi" w:cstheme="minorHAnsi"/>
          <w:szCs w:val="22"/>
          <w:lang w:val="en-US"/>
        </w:rPr>
      </w:pPr>
    </w:p>
    <w:p w14:paraId="1B485FAD" w14:textId="32ADEE31" w:rsidR="007760B5" w:rsidRDefault="00E42E8A" w:rsidP="007760B5">
      <w:pPr>
        <w:pStyle w:val="Body1"/>
        <w:spacing w:line="480" w:lineRule="auto"/>
        <w:rPr>
          <w:rFonts w:asciiTheme="minorHAnsi" w:hAnsiTheme="minorHAnsi" w:cstheme="minorHAnsi"/>
          <w:szCs w:val="22"/>
          <w:lang w:val="en-US"/>
        </w:rPr>
      </w:pPr>
      <w:r>
        <w:rPr>
          <w:rFonts w:asciiTheme="minorHAnsi" w:hAnsiTheme="minorHAnsi" w:cstheme="minorHAnsi"/>
          <w:szCs w:val="22"/>
          <w:lang w:val="en-US"/>
        </w:rPr>
        <w:t>Given the importance of environmental factors on overall activity and participation, and the major role played by socio-economic (SES) and environmental factors in predicting or at least moderating outcomes following early brain injury in general, and childhood brain tumours in particular</w:t>
      </w:r>
      <w:r w:rsidR="006917C8">
        <w:rPr>
          <w:rFonts w:asciiTheme="minorHAnsi" w:hAnsiTheme="minorHAnsi" w:cstheme="minorHAnsi"/>
          <w:b/>
          <w:szCs w:val="22"/>
          <w:vertAlign w:val="superscript"/>
          <w:lang w:val="en-US"/>
        </w:rPr>
        <w:t>4</w:t>
      </w:r>
      <w:r>
        <w:rPr>
          <w:rFonts w:asciiTheme="minorHAnsi" w:hAnsiTheme="minorHAnsi" w:cstheme="minorHAnsi"/>
          <w:szCs w:val="22"/>
          <w:lang w:val="en-US"/>
        </w:rPr>
        <w:t xml:space="preserve">, proxies for measuring </w:t>
      </w:r>
      <w:r w:rsidR="003478DE">
        <w:rPr>
          <w:rFonts w:asciiTheme="minorHAnsi" w:hAnsiTheme="minorHAnsi" w:cstheme="minorHAnsi"/>
          <w:szCs w:val="22"/>
          <w:lang w:val="en-US"/>
        </w:rPr>
        <w:t xml:space="preserve">these factors </w:t>
      </w:r>
      <w:r>
        <w:rPr>
          <w:rFonts w:asciiTheme="minorHAnsi" w:hAnsiTheme="minorHAnsi" w:cstheme="minorHAnsi"/>
          <w:szCs w:val="22"/>
          <w:lang w:val="en-US"/>
        </w:rPr>
        <w:t xml:space="preserve">should be collected, such as parental education level, as recorded in the MEES. </w:t>
      </w:r>
      <w:r w:rsidR="007760B5">
        <w:rPr>
          <w:rFonts w:asciiTheme="minorHAnsi" w:hAnsiTheme="minorHAnsi" w:cstheme="minorHAnsi"/>
          <w:szCs w:val="22"/>
          <w:lang w:val="en-US"/>
        </w:rPr>
        <w:t>In addition, the CRF should record the child and family’s first language (to inform interpretation and analysis)</w:t>
      </w:r>
      <w:r w:rsidR="003478DE">
        <w:rPr>
          <w:rFonts w:asciiTheme="minorHAnsi" w:hAnsiTheme="minorHAnsi" w:cstheme="minorHAnsi"/>
          <w:szCs w:val="22"/>
          <w:lang w:val="en-US"/>
        </w:rPr>
        <w:t>.</w:t>
      </w:r>
    </w:p>
    <w:p w14:paraId="428B27AB" w14:textId="77777777" w:rsidR="00E42E8A" w:rsidRPr="002233FF" w:rsidRDefault="00E42E8A">
      <w:pPr>
        <w:pStyle w:val="Body1"/>
        <w:spacing w:line="480" w:lineRule="auto"/>
        <w:rPr>
          <w:rFonts w:asciiTheme="minorHAnsi" w:hAnsiTheme="minorHAnsi" w:cstheme="minorHAnsi"/>
          <w:szCs w:val="22"/>
          <w:lang w:val="en-US"/>
        </w:rPr>
      </w:pPr>
    </w:p>
    <w:p w14:paraId="6F7DB152" w14:textId="77777777" w:rsidR="00372805" w:rsidRPr="002233FF" w:rsidRDefault="00372805">
      <w:pPr>
        <w:rPr>
          <w:rFonts w:asciiTheme="minorHAnsi" w:hAnsiTheme="minorHAnsi" w:cstheme="minorHAnsi"/>
          <w:lang w:val="en-US"/>
        </w:rPr>
      </w:pPr>
    </w:p>
    <w:p w14:paraId="44088DB3" w14:textId="77777777" w:rsidR="00372805" w:rsidRPr="002233FF" w:rsidRDefault="00372805" w:rsidP="008F38F1">
      <w:pPr>
        <w:pStyle w:val="Body1"/>
        <w:rPr>
          <w:rFonts w:asciiTheme="minorHAnsi" w:hAnsiTheme="minorHAnsi" w:cstheme="minorHAnsi"/>
          <w:b/>
          <w:bCs/>
          <w:szCs w:val="22"/>
          <w:lang w:val="en-GB"/>
        </w:rPr>
        <w:sectPr w:rsidR="00372805" w:rsidRPr="002233FF" w:rsidSect="00133C57">
          <w:footerReference w:type="default" r:id="rId8"/>
          <w:pgSz w:w="11906" w:h="16838"/>
          <w:pgMar w:top="1440" w:right="1440" w:bottom="1440" w:left="1440" w:header="708" w:footer="708" w:gutter="0"/>
          <w:cols w:space="708"/>
          <w:docGrid w:linePitch="360"/>
        </w:sectPr>
      </w:pPr>
    </w:p>
    <w:p w14:paraId="1730F00F" w14:textId="1B6CE37D" w:rsidR="00372805" w:rsidRPr="002233FF" w:rsidRDefault="00372805" w:rsidP="008F38F1">
      <w:pPr>
        <w:pStyle w:val="Body1"/>
        <w:rPr>
          <w:rFonts w:asciiTheme="minorHAnsi" w:hAnsiTheme="minorHAnsi" w:cstheme="minorHAnsi"/>
          <w:b/>
          <w:bCs/>
          <w:szCs w:val="22"/>
          <w:lang w:val="en-GB"/>
        </w:rPr>
      </w:pPr>
      <w:r w:rsidRPr="002233FF">
        <w:rPr>
          <w:rFonts w:asciiTheme="minorHAnsi" w:hAnsiTheme="minorHAnsi" w:cstheme="minorHAnsi"/>
          <w:b/>
          <w:bCs/>
          <w:szCs w:val="22"/>
          <w:lang w:val="en-GB"/>
        </w:rPr>
        <w:t xml:space="preserve">Table </w:t>
      </w:r>
      <w:r w:rsidR="00FD483F">
        <w:rPr>
          <w:rFonts w:asciiTheme="minorHAnsi" w:hAnsiTheme="minorHAnsi" w:cstheme="minorHAnsi"/>
          <w:b/>
          <w:bCs/>
          <w:szCs w:val="22"/>
          <w:lang w:val="en-GB"/>
        </w:rPr>
        <w:t>2</w:t>
      </w:r>
      <w:r w:rsidRPr="002233FF">
        <w:rPr>
          <w:rFonts w:asciiTheme="minorHAnsi" w:hAnsiTheme="minorHAnsi" w:cstheme="minorHAnsi"/>
          <w:b/>
          <w:bCs/>
          <w:szCs w:val="22"/>
          <w:lang w:val="en-GB"/>
        </w:rPr>
        <w:t xml:space="preserve"> - Core and Supplementary (‘Plus’</w:t>
      </w:r>
      <w:r w:rsidRPr="00805CA3">
        <w:rPr>
          <w:rFonts w:asciiTheme="minorHAnsi" w:hAnsiTheme="minorHAnsi" w:cstheme="minorHAnsi"/>
          <w:b/>
          <w:bCs/>
          <w:szCs w:val="22"/>
          <w:lang w:val="en-GB"/>
        </w:rPr>
        <w:t xml:space="preserve">) </w:t>
      </w:r>
      <w:r w:rsidR="00465BDE" w:rsidRPr="00BE64B7">
        <w:rPr>
          <w:rFonts w:asciiTheme="minorHAnsi" w:hAnsiTheme="minorHAnsi" w:cstheme="minorHAnsi"/>
          <w:b/>
          <w:bCs/>
          <w:szCs w:val="22"/>
          <w:lang w:val="en-GB"/>
        </w:rPr>
        <w:t>Cognitive</w:t>
      </w:r>
      <w:r w:rsidR="00465BDE" w:rsidRPr="00805CA3">
        <w:rPr>
          <w:rFonts w:asciiTheme="minorHAnsi" w:hAnsiTheme="minorHAnsi" w:cstheme="minorHAnsi"/>
          <w:b/>
          <w:bCs/>
          <w:szCs w:val="22"/>
          <w:lang w:val="en-GB"/>
        </w:rPr>
        <w:t xml:space="preserve"> </w:t>
      </w:r>
      <w:r w:rsidRPr="00805CA3">
        <w:rPr>
          <w:rFonts w:asciiTheme="minorHAnsi" w:hAnsiTheme="minorHAnsi" w:cstheme="minorHAnsi"/>
          <w:b/>
          <w:bCs/>
          <w:szCs w:val="22"/>
          <w:lang w:val="en-GB"/>
        </w:rPr>
        <w:t>Domains</w:t>
      </w:r>
      <w:r w:rsidRPr="002233FF">
        <w:rPr>
          <w:rFonts w:asciiTheme="minorHAnsi" w:hAnsiTheme="minorHAnsi" w:cstheme="minorHAnsi"/>
          <w:b/>
          <w:bCs/>
          <w:szCs w:val="22"/>
          <w:lang w:val="en-GB"/>
        </w:rPr>
        <w:t xml:space="preserve"> for Direct Assessment</w:t>
      </w:r>
      <w:r w:rsidR="009B3355" w:rsidRPr="002233FF">
        <w:rPr>
          <w:rFonts w:asciiTheme="minorHAnsi" w:hAnsiTheme="minorHAnsi" w:cstheme="minorHAnsi"/>
          <w:b/>
          <w:bCs/>
          <w:szCs w:val="22"/>
          <w:lang w:val="en-GB"/>
        </w:rPr>
        <w:t>, and Order of Administration</w:t>
      </w:r>
    </w:p>
    <w:tbl>
      <w:tblPr>
        <w:tblW w:w="1469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0"/>
        <w:gridCol w:w="2008"/>
        <w:gridCol w:w="750"/>
        <w:gridCol w:w="3563"/>
        <w:gridCol w:w="7406"/>
      </w:tblGrid>
      <w:tr w:rsidR="00A33B0E" w:rsidRPr="002233FF" w14:paraId="10F82F50" w14:textId="77777777" w:rsidTr="009246AC">
        <w:tc>
          <w:tcPr>
            <w:tcW w:w="14697" w:type="dxa"/>
            <w:gridSpan w:val="5"/>
            <w:shd w:val="clear" w:color="auto" w:fill="BFBFBF"/>
          </w:tcPr>
          <w:p w14:paraId="4B7635BB" w14:textId="77777777" w:rsidR="00A33B0E" w:rsidRPr="002233FF" w:rsidRDefault="00A33B0E" w:rsidP="001D5BF2">
            <w:pPr>
              <w:pStyle w:val="Body1"/>
              <w:rPr>
                <w:rFonts w:asciiTheme="minorHAnsi" w:hAnsiTheme="minorHAnsi" w:cstheme="minorHAnsi"/>
                <w:szCs w:val="22"/>
                <w:lang w:val="en-GB"/>
              </w:rPr>
            </w:pPr>
            <w:r w:rsidRPr="002233FF">
              <w:rPr>
                <w:rFonts w:asciiTheme="minorHAnsi" w:hAnsiTheme="minorHAnsi" w:cstheme="minorHAnsi"/>
                <w:szCs w:val="22"/>
                <w:lang w:val="en-GB"/>
              </w:rPr>
              <w:t>Domain</w:t>
            </w:r>
          </w:p>
        </w:tc>
      </w:tr>
      <w:tr w:rsidR="00A33B0E" w:rsidRPr="009F7CDC" w14:paraId="61B9EFEE" w14:textId="77777777" w:rsidTr="00A33B0E">
        <w:tc>
          <w:tcPr>
            <w:tcW w:w="2978" w:type="dxa"/>
            <w:gridSpan w:val="2"/>
            <w:shd w:val="clear" w:color="auto" w:fill="auto"/>
          </w:tcPr>
          <w:p w14:paraId="1C3BC484" w14:textId="77777777" w:rsidR="00A33B0E" w:rsidRPr="00805CA3" w:rsidRDefault="00A33B0E" w:rsidP="001D5BF2">
            <w:pPr>
              <w:pStyle w:val="Body1"/>
              <w:rPr>
                <w:rFonts w:asciiTheme="minorHAnsi" w:hAnsiTheme="minorHAnsi" w:cstheme="minorHAnsi"/>
                <w:b/>
                <w:szCs w:val="22"/>
                <w:lang w:val="en-GB"/>
              </w:rPr>
            </w:pPr>
            <w:r w:rsidRPr="00805CA3">
              <w:rPr>
                <w:rFonts w:asciiTheme="minorHAnsi" w:hAnsiTheme="minorHAnsi" w:cstheme="minorHAnsi"/>
                <w:b/>
                <w:szCs w:val="22"/>
                <w:lang w:val="en-GB"/>
              </w:rPr>
              <w:t xml:space="preserve">Core Measures </w:t>
            </w:r>
          </w:p>
        </w:tc>
        <w:tc>
          <w:tcPr>
            <w:tcW w:w="4313" w:type="dxa"/>
            <w:gridSpan w:val="2"/>
          </w:tcPr>
          <w:p w14:paraId="3BEEB520" w14:textId="77777777" w:rsidR="00A33B0E" w:rsidRPr="00805CA3" w:rsidRDefault="00A33B0E" w:rsidP="001D5BF2">
            <w:pPr>
              <w:pStyle w:val="Body1"/>
              <w:rPr>
                <w:rFonts w:asciiTheme="minorHAnsi" w:hAnsiTheme="minorHAnsi" w:cstheme="minorHAnsi"/>
                <w:b/>
                <w:szCs w:val="22"/>
                <w:lang w:val="en-GB"/>
              </w:rPr>
            </w:pPr>
            <w:r w:rsidRPr="00805CA3">
              <w:rPr>
                <w:rFonts w:asciiTheme="minorHAnsi" w:hAnsiTheme="minorHAnsi" w:cstheme="minorHAnsi"/>
                <w:b/>
                <w:szCs w:val="22"/>
                <w:lang w:val="en-GB"/>
              </w:rPr>
              <w:t>Supplementary/ ‘Plus’ Measures</w:t>
            </w:r>
          </w:p>
        </w:tc>
        <w:tc>
          <w:tcPr>
            <w:tcW w:w="7406" w:type="dxa"/>
          </w:tcPr>
          <w:p w14:paraId="4FA756CE" w14:textId="77777777" w:rsidR="00A33B0E" w:rsidRPr="00805CA3" w:rsidRDefault="00A33B0E" w:rsidP="001D5BF2">
            <w:pPr>
              <w:pStyle w:val="Body1"/>
              <w:rPr>
                <w:rFonts w:asciiTheme="minorHAnsi" w:hAnsiTheme="minorHAnsi" w:cstheme="minorHAnsi"/>
                <w:b/>
                <w:szCs w:val="22"/>
                <w:lang w:val="en-GB"/>
              </w:rPr>
            </w:pPr>
            <w:r w:rsidRPr="00805CA3">
              <w:rPr>
                <w:rFonts w:asciiTheme="minorHAnsi" w:hAnsiTheme="minorHAnsi" w:cstheme="minorHAnsi"/>
                <w:b/>
                <w:szCs w:val="22"/>
                <w:lang w:val="en-GB"/>
              </w:rPr>
              <w:t>Examples of specific measures available in Europe</w:t>
            </w:r>
          </w:p>
        </w:tc>
      </w:tr>
      <w:tr w:rsidR="00A33B0E" w:rsidRPr="002233FF" w14:paraId="1170998A" w14:textId="77777777" w:rsidTr="00A33B0E">
        <w:tc>
          <w:tcPr>
            <w:tcW w:w="970" w:type="dxa"/>
            <w:shd w:val="clear" w:color="auto" w:fill="auto"/>
          </w:tcPr>
          <w:p w14:paraId="35366829" w14:textId="77777777" w:rsidR="00A33B0E" w:rsidRPr="00805CA3" w:rsidRDefault="00A33B0E" w:rsidP="001D5BF2">
            <w:pPr>
              <w:pStyle w:val="Body1"/>
              <w:rPr>
                <w:rFonts w:asciiTheme="minorHAnsi" w:hAnsiTheme="minorHAnsi" w:cstheme="minorHAnsi"/>
                <w:b/>
                <w:szCs w:val="22"/>
                <w:lang w:val="en-GB"/>
              </w:rPr>
            </w:pPr>
            <w:r w:rsidRPr="00805CA3">
              <w:rPr>
                <w:rFonts w:asciiTheme="minorHAnsi" w:hAnsiTheme="minorHAnsi" w:cstheme="minorHAnsi"/>
                <w:b/>
                <w:szCs w:val="22"/>
                <w:lang w:val="en-GB"/>
              </w:rPr>
              <w:t>Order</w:t>
            </w:r>
          </w:p>
        </w:tc>
        <w:tc>
          <w:tcPr>
            <w:tcW w:w="2008" w:type="dxa"/>
          </w:tcPr>
          <w:p w14:paraId="0346B98D" w14:textId="77777777" w:rsidR="00A33B0E" w:rsidRPr="00805CA3" w:rsidRDefault="00A33B0E" w:rsidP="001D5BF2">
            <w:pPr>
              <w:pStyle w:val="Body1"/>
              <w:rPr>
                <w:rFonts w:asciiTheme="minorHAnsi" w:hAnsiTheme="minorHAnsi" w:cstheme="minorHAnsi"/>
                <w:b/>
                <w:szCs w:val="22"/>
                <w:lang w:val="en-GB"/>
              </w:rPr>
            </w:pPr>
          </w:p>
        </w:tc>
        <w:tc>
          <w:tcPr>
            <w:tcW w:w="750" w:type="dxa"/>
          </w:tcPr>
          <w:p w14:paraId="4B4902BB" w14:textId="77777777" w:rsidR="00A33B0E" w:rsidRPr="00805CA3" w:rsidRDefault="00A33B0E" w:rsidP="001D5BF2">
            <w:pPr>
              <w:pStyle w:val="Body1"/>
              <w:rPr>
                <w:rFonts w:asciiTheme="minorHAnsi" w:hAnsiTheme="minorHAnsi" w:cstheme="minorHAnsi"/>
                <w:b/>
                <w:szCs w:val="22"/>
                <w:lang w:val="en-GB"/>
              </w:rPr>
            </w:pPr>
            <w:r w:rsidRPr="00805CA3">
              <w:rPr>
                <w:rFonts w:asciiTheme="minorHAnsi" w:hAnsiTheme="minorHAnsi" w:cstheme="minorHAnsi"/>
                <w:b/>
                <w:szCs w:val="22"/>
                <w:lang w:val="en-GB"/>
              </w:rPr>
              <w:t>Order</w:t>
            </w:r>
          </w:p>
        </w:tc>
        <w:tc>
          <w:tcPr>
            <w:tcW w:w="3563" w:type="dxa"/>
          </w:tcPr>
          <w:p w14:paraId="4AFA95BA" w14:textId="77777777" w:rsidR="00A33B0E" w:rsidRPr="00805CA3" w:rsidRDefault="00A33B0E" w:rsidP="001D5BF2">
            <w:pPr>
              <w:pStyle w:val="Body1"/>
              <w:rPr>
                <w:rFonts w:asciiTheme="minorHAnsi" w:hAnsiTheme="minorHAnsi" w:cstheme="minorHAnsi"/>
                <w:b/>
                <w:szCs w:val="22"/>
                <w:lang w:val="en-GB"/>
              </w:rPr>
            </w:pPr>
          </w:p>
        </w:tc>
        <w:tc>
          <w:tcPr>
            <w:tcW w:w="7406" w:type="dxa"/>
          </w:tcPr>
          <w:p w14:paraId="0A4EF097" w14:textId="77777777" w:rsidR="00A33B0E" w:rsidRPr="00805CA3" w:rsidRDefault="00A33B0E" w:rsidP="001D5BF2">
            <w:pPr>
              <w:pStyle w:val="Body1"/>
              <w:rPr>
                <w:rFonts w:asciiTheme="minorHAnsi" w:hAnsiTheme="minorHAnsi" w:cstheme="minorHAnsi"/>
                <w:b/>
                <w:szCs w:val="22"/>
                <w:lang w:val="en-GB"/>
              </w:rPr>
            </w:pPr>
          </w:p>
        </w:tc>
      </w:tr>
      <w:tr w:rsidR="00A33B0E" w:rsidRPr="009F7CDC" w14:paraId="652143AB" w14:textId="77777777" w:rsidTr="009246AC">
        <w:tc>
          <w:tcPr>
            <w:tcW w:w="14697" w:type="dxa"/>
            <w:gridSpan w:val="5"/>
            <w:shd w:val="clear" w:color="auto" w:fill="BFBFBF"/>
          </w:tcPr>
          <w:p w14:paraId="27BEFDF4" w14:textId="77777777" w:rsidR="00A33B0E" w:rsidRPr="002233FF" w:rsidRDefault="00A33B0E" w:rsidP="0035520D">
            <w:pPr>
              <w:pStyle w:val="Body1"/>
              <w:rPr>
                <w:rFonts w:asciiTheme="minorHAnsi" w:hAnsiTheme="minorHAnsi" w:cstheme="minorHAnsi"/>
                <w:szCs w:val="22"/>
                <w:lang w:val="en-GB"/>
              </w:rPr>
            </w:pPr>
            <w:r w:rsidRPr="002233FF">
              <w:rPr>
                <w:rFonts w:asciiTheme="minorHAnsi" w:hAnsiTheme="minorHAnsi" w:cstheme="minorHAnsi"/>
                <w:szCs w:val="22"/>
                <w:lang w:val="en-GB"/>
              </w:rPr>
              <w:t>Development</w:t>
            </w:r>
            <w:r>
              <w:rPr>
                <w:rFonts w:asciiTheme="minorHAnsi" w:hAnsiTheme="minorHAnsi" w:cstheme="minorHAnsi"/>
                <w:szCs w:val="22"/>
                <w:lang w:val="en-GB"/>
              </w:rPr>
              <w:t xml:space="preserve">al Level for children </w:t>
            </w:r>
            <w:r w:rsidR="0035520D">
              <w:rPr>
                <w:rFonts w:asciiTheme="minorHAnsi" w:hAnsiTheme="minorHAnsi" w:cstheme="minorHAnsi"/>
                <w:szCs w:val="22"/>
                <w:lang w:val="en-GB"/>
              </w:rPr>
              <w:t>before 4</w:t>
            </w:r>
            <w:r w:rsidR="0035520D" w:rsidRPr="00805CA3">
              <w:rPr>
                <w:rFonts w:asciiTheme="minorHAnsi" w:hAnsiTheme="minorHAnsi" w:cstheme="minorHAnsi"/>
                <w:szCs w:val="22"/>
                <w:vertAlign w:val="superscript"/>
                <w:lang w:val="en-GB"/>
              </w:rPr>
              <w:t>th</w:t>
            </w:r>
            <w:r w:rsidR="0035520D">
              <w:rPr>
                <w:rFonts w:asciiTheme="minorHAnsi" w:hAnsiTheme="minorHAnsi" w:cstheme="minorHAnsi"/>
                <w:szCs w:val="22"/>
                <w:lang w:val="en-GB"/>
              </w:rPr>
              <w:t xml:space="preserve"> birthday </w:t>
            </w:r>
          </w:p>
        </w:tc>
      </w:tr>
      <w:tr w:rsidR="00A33B0E" w:rsidRPr="002233FF" w14:paraId="3386DA38" w14:textId="77777777" w:rsidTr="009246AC">
        <w:tc>
          <w:tcPr>
            <w:tcW w:w="7291" w:type="dxa"/>
            <w:gridSpan w:val="4"/>
          </w:tcPr>
          <w:p w14:paraId="482DE2A5" w14:textId="77777777" w:rsidR="00A33B0E" w:rsidRPr="002233FF" w:rsidRDefault="00A33B0E" w:rsidP="001D5BF2">
            <w:pPr>
              <w:pStyle w:val="Body1"/>
              <w:rPr>
                <w:rFonts w:asciiTheme="minorHAnsi" w:hAnsiTheme="minorHAnsi" w:cstheme="minorHAnsi"/>
                <w:szCs w:val="22"/>
                <w:lang w:val="en-GB"/>
              </w:rPr>
            </w:pPr>
            <w:r w:rsidRPr="002233FF">
              <w:rPr>
                <w:rFonts w:asciiTheme="minorHAnsi" w:hAnsiTheme="minorHAnsi" w:cstheme="minorHAnsi"/>
                <w:szCs w:val="22"/>
                <w:lang w:val="en-GB"/>
              </w:rPr>
              <w:t>Developmental quotient</w:t>
            </w:r>
          </w:p>
        </w:tc>
        <w:tc>
          <w:tcPr>
            <w:tcW w:w="7406" w:type="dxa"/>
          </w:tcPr>
          <w:p w14:paraId="235CA085" w14:textId="77777777" w:rsidR="00A33B0E" w:rsidRPr="002233FF" w:rsidRDefault="00A33B0E" w:rsidP="001D5BF2">
            <w:pPr>
              <w:pStyle w:val="Body1"/>
              <w:rPr>
                <w:rFonts w:asciiTheme="minorHAnsi" w:hAnsiTheme="minorHAnsi" w:cstheme="minorHAnsi"/>
                <w:szCs w:val="22"/>
                <w:lang w:val="en-GB"/>
              </w:rPr>
            </w:pPr>
            <w:r w:rsidRPr="002233FF">
              <w:rPr>
                <w:rFonts w:asciiTheme="minorHAnsi" w:hAnsiTheme="minorHAnsi" w:cstheme="minorHAnsi"/>
                <w:szCs w:val="22"/>
                <w:lang w:val="en-GB"/>
              </w:rPr>
              <w:t>Bayley-III; Griffiths, Brunet-Lezine R</w:t>
            </w:r>
            <w:r>
              <w:rPr>
                <w:rFonts w:asciiTheme="minorHAnsi" w:hAnsiTheme="minorHAnsi" w:cstheme="minorHAnsi"/>
                <w:szCs w:val="22"/>
                <w:lang w:val="en-GB"/>
              </w:rPr>
              <w:t>’</w:t>
            </w:r>
          </w:p>
        </w:tc>
      </w:tr>
      <w:tr w:rsidR="00ED54AB" w:rsidRPr="009F7CDC" w14:paraId="42D56C9E" w14:textId="77777777" w:rsidTr="001D5BF2">
        <w:tc>
          <w:tcPr>
            <w:tcW w:w="14697" w:type="dxa"/>
            <w:gridSpan w:val="5"/>
            <w:shd w:val="pct25" w:color="auto" w:fill="auto"/>
          </w:tcPr>
          <w:p w14:paraId="576E7042" w14:textId="77777777" w:rsidR="00ED54AB" w:rsidRPr="002233FF" w:rsidRDefault="00ED54AB" w:rsidP="0035520D">
            <w:pPr>
              <w:pStyle w:val="Body1"/>
              <w:rPr>
                <w:rFonts w:asciiTheme="minorHAnsi" w:hAnsiTheme="minorHAnsi" w:cstheme="minorHAnsi"/>
                <w:szCs w:val="22"/>
                <w:lang w:val="en-GB"/>
              </w:rPr>
            </w:pPr>
            <w:r>
              <w:rPr>
                <w:rFonts w:asciiTheme="minorHAnsi" w:hAnsiTheme="minorHAnsi" w:cstheme="minorHAnsi"/>
                <w:szCs w:val="22"/>
                <w:lang w:val="en-GB"/>
              </w:rPr>
              <w:t xml:space="preserve">Direct Assessment for children </w:t>
            </w:r>
            <w:r w:rsidR="0035520D">
              <w:rPr>
                <w:rFonts w:asciiTheme="minorHAnsi" w:hAnsiTheme="minorHAnsi" w:cstheme="minorHAnsi"/>
                <w:szCs w:val="22"/>
                <w:lang w:val="en-GB"/>
              </w:rPr>
              <w:t>between their 4</w:t>
            </w:r>
            <w:r w:rsidR="0035520D" w:rsidRPr="00805CA3">
              <w:rPr>
                <w:rFonts w:asciiTheme="minorHAnsi" w:hAnsiTheme="minorHAnsi" w:cstheme="minorHAnsi"/>
                <w:szCs w:val="22"/>
                <w:vertAlign w:val="superscript"/>
                <w:lang w:val="en-GB"/>
              </w:rPr>
              <w:t>th</w:t>
            </w:r>
            <w:r w:rsidR="0035520D">
              <w:rPr>
                <w:rFonts w:asciiTheme="minorHAnsi" w:hAnsiTheme="minorHAnsi" w:cstheme="minorHAnsi"/>
                <w:szCs w:val="22"/>
                <w:lang w:val="en-GB"/>
              </w:rPr>
              <w:t xml:space="preserve"> and 5</w:t>
            </w:r>
            <w:r w:rsidR="0035520D" w:rsidRPr="00805CA3">
              <w:rPr>
                <w:rFonts w:asciiTheme="minorHAnsi" w:hAnsiTheme="minorHAnsi" w:cstheme="minorHAnsi"/>
                <w:szCs w:val="22"/>
                <w:vertAlign w:val="superscript"/>
                <w:lang w:val="en-GB"/>
              </w:rPr>
              <w:t>th</w:t>
            </w:r>
            <w:r w:rsidR="0035520D">
              <w:rPr>
                <w:rFonts w:asciiTheme="minorHAnsi" w:hAnsiTheme="minorHAnsi" w:cstheme="minorHAnsi"/>
                <w:szCs w:val="22"/>
                <w:lang w:val="en-GB"/>
              </w:rPr>
              <w:t xml:space="preserve"> birthdays </w:t>
            </w:r>
          </w:p>
        </w:tc>
      </w:tr>
      <w:tr w:rsidR="00372805" w:rsidRPr="002233FF" w14:paraId="010374BA" w14:textId="77777777" w:rsidTr="001D5BF2">
        <w:tc>
          <w:tcPr>
            <w:tcW w:w="14697" w:type="dxa"/>
            <w:gridSpan w:val="5"/>
            <w:shd w:val="pct25" w:color="auto" w:fill="auto"/>
          </w:tcPr>
          <w:p w14:paraId="10B4BEAC" w14:textId="77777777" w:rsidR="00372805" w:rsidRPr="002233FF" w:rsidRDefault="009B3355" w:rsidP="001D5BF2">
            <w:pPr>
              <w:pStyle w:val="Body1"/>
              <w:rPr>
                <w:rFonts w:asciiTheme="minorHAnsi" w:hAnsiTheme="minorHAnsi" w:cstheme="minorHAnsi"/>
                <w:szCs w:val="22"/>
                <w:lang w:val="en-GB"/>
              </w:rPr>
            </w:pPr>
            <w:r w:rsidRPr="002233FF">
              <w:rPr>
                <w:rFonts w:asciiTheme="minorHAnsi" w:hAnsiTheme="minorHAnsi" w:cstheme="minorHAnsi"/>
                <w:szCs w:val="22"/>
                <w:lang w:val="en-GB"/>
              </w:rPr>
              <w:t>Language</w:t>
            </w:r>
            <w:r w:rsidR="00ED54AB">
              <w:rPr>
                <w:rFonts w:asciiTheme="minorHAnsi" w:hAnsiTheme="minorHAnsi" w:cstheme="minorHAnsi"/>
                <w:szCs w:val="22"/>
                <w:lang w:val="en-GB"/>
              </w:rPr>
              <w:t xml:space="preserve"> </w:t>
            </w:r>
          </w:p>
        </w:tc>
      </w:tr>
      <w:tr w:rsidR="00C429BA" w:rsidRPr="002233FF" w14:paraId="05EB1B25" w14:textId="77777777" w:rsidTr="009246AC">
        <w:tc>
          <w:tcPr>
            <w:tcW w:w="970" w:type="dxa"/>
          </w:tcPr>
          <w:p w14:paraId="7CA1A56F" w14:textId="77777777" w:rsidR="00C429BA" w:rsidRPr="002233FF" w:rsidRDefault="00C429BA" w:rsidP="001D5BF2">
            <w:pPr>
              <w:pStyle w:val="Body1"/>
              <w:rPr>
                <w:rFonts w:asciiTheme="minorHAnsi" w:hAnsiTheme="minorHAnsi" w:cstheme="minorHAnsi"/>
                <w:szCs w:val="22"/>
                <w:lang w:val="en-GB"/>
              </w:rPr>
            </w:pPr>
            <w:r w:rsidRPr="002233FF">
              <w:rPr>
                <w:rFonts w:asciiTheme="minorHAnsi" w:hAnsiTheme="minorHAnsi" w:cstheme="minorHAnsi"/>
                <w:szCs w:val="22"/>
                <w:lang w:val="en-GB"/>
              </w:rPr>
              <w:t>1.</w:t>
            </w:r>
          </w:p>
        </w:tc>
        <w:tc>
          <w:tcPr>
            <w:tcW w:w="6321" w:type="dxa"/>
            <w:gridSpan w:val="3"/>
          </w:tcPr>
          <w:p w14:paraId="6054976C" w14:textId="77777777" w:rsidR="00C429BA" w:rsidRPr="002233FF" w:rsidRDefault="00C429BA" w:rsidP="001D5BF2">
            <w:pPr>
              <w:pStyle w:val="Body1"/>
              <w:rPr>
                <w:rFonts w:asciiTheme="minorHAnsi" w:hAnsiTheme="minorHAnsi" w:cstheme="minorHAnsi"/>
                <w:szCs w:val="22"/>
                <w:lang w:val="en-GB"/>
              </w:rPr>
            </w:pPr>
            <w:r w:rsidRPr="002233FF">
              <w:rPr>
                <w:rFonts w:asciiTheme="minorHAnsi" w:hAnsiTheme="minorHAnsi" w:cstheme="minorHAnsi"/>
                <w:szCs w:val="22"/>
                <w:lang w:val="en-GB"/>
              </w:rPr>
              <w:t xml:space="preserve">Receptive </w:t>
            </w:r>
          </w:p>
        </w:tc>
        <w:tc>
          <w:tcPr>
            <w:tcW w:w="7406" w:type="dxa"/>
          </w:tcPr>
          <w:p w14:paraId="2841F89B" w14:textId="77777777" w:rsidR="00C429BA" w:rsidRPr="002233FF" w:rsidRDefault="00C429BA" w:rsidP="001D5BF2">
            <w:pPr>
              <w:pStyle w:val="Body1"/>
              <w:rPr>
                <w:rFonts w:asciiTheme="minorHAnsi" w:hAnsiTheme="minorHAnsi" w:cstheme="minorHAnsi"/>
                <w:szCs w:val="22"/>
                <w:lang w:val="en-GB"/>
              </w:rPr>
            </w:pPr>
            <w:r w:rsidRPr="002233FF">
              <w:rPr>
                <w:rFonts w:asciiTheme="minorHAnsi" w:hAnsiTheme="minorHAnsi" w:cstheme="minorHAnsi"/>
                <w:szCs w:val="22"/>
                <w:lang w:val="en-GB"/>
              </w:rPr>
              <w:t>Wechsler Receptive Vocabulary</w:t>
            </w:r>
          </w:p>
        </w:tc>
      </w:tr>
      <w:tr w:rsidR="00C429BA" w:rsidRPr="002233FF" w14:paraId="5B37AAF6" w14:textId="77777777" w:rsidTr="009246AC">
        <w:tc>
          <w:tcPr>
            <w:tcW w:w="970" w:type="dxa"/>
          </w:tcPr>
          <w:p w14:paraId="277CFCD6" w14:textId="77777777" w:rsidR="00C429BA" w:rsidRPr="002233FF" w:rsidRDefault="00C429BA" w:rsidP="001D5BF2">
            <w:pPr>
              <w:pStyle w:val="Body1"/>
              <w:rPr>
                <w:rFonts w:asciiTheme="minorHAnsi" w:hAnsiTheme="minorHAnsi" w:cstheme="minorHAnsi"/>
                <w:szCs w:val="22"/>
                <w:lang w:val="en-GB"/>
              </w:rPr>
            </w:pPr>
            <w:r w:rsidRPr="002233FF">
              <w:rPr>
                <w:rFonts w:asciiTheme="minorHAnsi" w:hAnsiTheme="minorHAnsi" w:cstheme="minorHAnsi"/>
                <w:szCs w:val="22"/>
                <w:lang w:val="en-GB"/>
              </w:rPr>
              <w:t>2.</w:t>
            </w:r>
          </w:p>
        </w:tc>
        <w:tc>
          <w:tcPr>
            <w:tcW w:w="6321" w:type="dxa"/>
            <w:gridSpan w:val="3"/>
          </w:tcPr>
          <w:p w14:paraId="00FC5F89" w14:textId="77777777" w:rsidR="00C429BA" w:rsidRPr="002233FF" w:rsidRDefault="00C429BA" w:rsidP="001D5BF2">
            <w:pPr>
              <w:pStyle w:val="Body1"/>
              <w:rPr>
                <w:rFonts w:asciiTheme="minorHAnsi" w:hAnsiTheme="minorHAnsi" w:cstheme="minorHAnsi"/>
                <w:szCs w:val="22"/>
                <w:lang w:val="en-GB"/>
              </w:rPr>
            </w:pPr>
            <w:r w:rsidRPr="002233FF">
              <w:rPr>
                <w:rFonts w:asciiTheme="minorHAnsi" w:hAnsiTheme="minorHAnsi" w:cstheme="minorHAnsi"/>
                <w:szCs w:val="22"/>
                <w:lang w:val="en-GB"/>
              </w:rPr>
              <w:t>Expressive</w:t>
            </w:r>
          </w:p>
        </w:tc>
        <w:tc>
          <w:tcPr>
            <w:tcW w:w="7406" w:type="dxa"/>
          </w:tcPr>
          <w:p w14:paraId="6CE9AA50" w14:textId="77777777" w:rsidR="00C429BA" w:rsidRPr="002233FF" w:rsidRDefault="00C429BA" w:rsidP="001D5BF2">
            <w:pPr>
              <w:pStyle w:val="Body1"/>
              <w:rPr>
                <w:rFonts w:asciiTheme="minorHAnsi" w:hAnsiTheme="minorHAnsi" w:cstheme="minorHAnsi"/>
                <w:szCs w:val="22"/>
                <w:lang w:val="en-GB"/>
              </w:rPr>
            </w:pPr>
            <w:r w:rsidRPr="002233FF">
              <w:rPr>
                <w:rFonts w:asciiTheme="minorHAnsi" w:hAnsiTheme="minorHAnsi" w:cstheme="minorHAnsi"/>
                <w:szCs w:val="22"/>
                <w:lang w:val="en-GB"/>
              </w:rPr>
              <w:t>Wechsler Picture Naming</w:t>
            </w:r>
          </w:p>
        </w:tc>
      </w:tr>
      <w:tr w:rsidR="00A33B0E" w:rsidRPr="002233FF" w14:paraId="69BB80FA" w14:textId="77777777" w:rsidTr="009246AC">
        <w:tc>
          <w:tcPr>
            <w:tcW w:w="14697" w:type="dxa"/>
            <w:gridSpan w:val="5"/>
            <w:shd w:val="clear" w:color="auto" w:fill="BFBFBF"/>
          </w:tcPr>
          <w:p w14:paraId="01A673F7" w14:textId="77777777" w:rsidR="00A33B0E" w:rsidRPr="002233FF" w:rsidRDefault="00A33B0E" w:rsidP="001D5BF2">
            <w:pPr>
              <w:pStyle w:val="Body1"/>
              <w:rPr>
                <w:rFonts w:asciiTheme="minorHAnsi" w:hAnsiTheme="minorHAnsi" w:cstheme="minorHAnsi"/>
                <w:szCs w:val="22"/>
                <w:lang w:val="en-GB"/>
              </w:rPr>
            </w:pPr>
            <w:r w:rsidRPr="002233FF">
              <w:rPr>
                <w:rFonts w:asciiTheme="minorHAnsi" w:hAnsiTheme="minorHAnsi" w:cstheme="minorHAnsi"/>
                <w:szCs w:val="22"/>
                <w:lang w:val="en-GB"/>
              </w:rPr>
              <w:t>Perceptual/Fluid Reasoning</w:t>
            </w:r>
            <w:r>
              <w:rPr>
                <w:rFonts w:asciiTheme="minorHAnsi" w:hAnsiTheme="minorHAnsi" w:cstheme="minorHAnsi"/>
                <w:szCs w:val="22"/>
                <w:lang w:val="en-GB"/>
              </w:rPr>
              <w:t xml:space="preserve"> </w:t>
            </w:r>
          </w:p>
        </w:tc>
      </w:tr>
      <w:tr w:rsidR="00C429BA" w:rsidRPr="009F7CDC" w14:paraId="18A214E5" w14:textId="77777777" w:rsidTr="009246AC">
        <w:tc>
          <w:tcPr>
            <w:tcW w:w="970" w:type="dxa"/>
          </w:tcPr>
          <w:p w14:paraId="594FE424" w14:textId="77777777" w:rsidR="00C429BA" w:rsidRPr="002233FF" w:rsidRDefault="00C429BA" w:rsidP="009B3355">
            <w:pPr>
              <w:pStyle w:val="Body1"/>
              <w:rPr>
                <w:rFonts w:asciiTheme="minorHAnsi" w:hAnsiTheme="minorHAnsi" w:cstheme="minorHAnsi"/>
                <w:szCs w:val="22"/>
                <w:lang w:val="en-GB"/>
              </w:rPr>
            </w:pPr>
            <w:r w:rsidRPr="002233FF">
              <w:rPr>
                <w:rFonts w:asciiTheme="minorHAnsi" w:hAnsiTheme="minorHAnsi" w:cstheme="minorHAnsi"/>
                <w:szCs w:val="22"/>
                <w:lang w:val="en-GB"/>
              </w:rPr>
              <w:t>3.</w:t>
            </w:r>
          </w:p>
        </w:tc>
        <w:tc>
          <w:tcPr>
            <w:tcW w:w="6321" w:type="dxa"/>
            <w:gridSpan w:val="3"/>
          </w:tcPr>
          <w:p w14:paraId="68F01EE7" w14:textId="77777777" w:rsidR="00C429BA" w:rsidRPr="002233FF" w:rsidRDefault="00C429BA" w:rsidP="009B3355">
            <w:pPr>
              <w:pStyle w:val="Body1"/>
              <w:rPr>
                <w:rFonts w:asciiTheme="minorHAnsi" w:hAnsiTheme="minorHAnsi" w:cstheme="minorHAnsi"/>
                <w:szCs w:val="22"/>
                <w:lang w:val="en-GB"/>
              </w:rPr>
            </w:pPr>
            <w:r w:rsidRPr="002233FF">
              <w:rPr>
                <w:rFonts w:asciiTheme="minorHAnsi" w:hAnsiTheme="minorHAnsi" w:cstheme="minorHAnsi"/>
                <w:szCs w:val="22"/>
                <w:lang w:val="en-GB"/>
              </w:rPr>
              <w:t>Matrices</w:t>
            </w:r>
          </w:p>
        </w:tc>
        <w:tc>
          <w:tcPr>
            <w:tcW w:w="7406" w:type="dxa"/>
          </w:tcPr>
          <w:p w14:paraId="5EDE7E59" w14:textId="77777777" w:rsidR="00C429BA" w:rsidRPr="002233FF" w:rsidRDefault="00C429BA" w:rsidP="009B3355">
            <w:pPr>
              <w:pStyle w:val="Body1"/>
              <w:rPr>
                <w:rFonts w:asciiTheme="minorHAnsi" w:hAnsiTheme="minorHAnsi" w:cstheme="minorHAnsi"/>
                <w:szCs w:val="22"/>
                <w:lang w:val="en-GB"/>
              </w:rPr>
            </w:pPr>
            <w:r w:rsidRPr="002233FF">
              <w:rPr>
                <w:rFonts w:asciiTheme="minorHAnsi" w:hAnsiTheme="minorHAnsi" w:cstheme="minorHAnsi"/>
                <w:szCs w:val="22"/>
                <w:lang w:val="en-GB"/>
              </w:rPr>
              <w:t xml:space="preserve">Wechsler Matrix Reasoning </w:t>
            </w:r>
            <w:r w:rsidRPr="002233FF">
              <w:rPr>
                <w:rFonts w:asciiTheme="minorHAnsi" w:hAnsiTheme="minorHAnsi" w:cstheme="minorHAnsi"/>
                <w:i/>
                <w:szCs w:val="22"/>
                <w:lang w:val="en-GB"/>
              </w:rPr>
              <w:t xml:space="preserve">or </w:t>
            </w:r>
            <w:r w:rsidRPr="002233FF">
              <w:rPr>
                <w:rFonts w:asciiTheme="minorHAnsi" w:hAnsiTheme="minorHAnsi" w:cstheme="minorHAnsi"/>
                <w:szCs w:val="22"/>
                <w:lang w:val="en-GB"/>
              </w:rPr>
              <w:t>Raven’s CPM</w:t>
            </w:r>
          </w:p>
        </w:tc>
      </w:tr>
      <w:tr w:rsidR="00A33B0E" w:rsidRPr="002233FF" w14:paraId="0DC45362" w14:textId="77777777" w:rsidTr="009246AC">
        <w:tc>
          <w:tcPr>
            <w:tcW w:w="2978" w:type="dxa"/>
            <w:gridSpan w:val="2"/>
          </w:tcPr>
          <w:p w14:paraId="1D0852A3" w14:textId="77777777" w:rsidR="00A33B0E" w:rsidRPr="002233FF" w:rsidRDefault="00A33B0E" w:rsidP="009B3355">
            <w:pPr>
              <w:pStyle w:val="Body1"/>
              <w:rPr>
                <w:rFonts w:asciiTheme="minorHAnsi" w:hAnsiTheme="minorHAnsi" w:cstheme="minorHAnsi"/>
                <w:szCs w:val="22"/>
                <w:lang w:val="en-GB"/>
              </w:rPr>
            </w:pPr>
          </w:p>
        </w:tc>
        <w:tc>
          <w:tcPr>
            <w:tcW w:w="750" w:type="dxa"/>
          </w:tcPr>
          <w:p w14:paraId="6356E897" w14:textId="77777777" w:rsidR="00A33B0E" w:rsidRPr="002233FF" w:rsidRDefault="00A33B0E" w:rsidP="009B3355">
            <w:pPr>
              <w:pStyle w:val="Body1"/>
              <w:rPr>
                <w:rFonts w:asciiTheme="minorHAnsi" w:hAnsiTheme="minorHAnsi" w:cstheme="minorHAnsi"/>
                <w:szCs w:val="22"/>
                <w:lang w:val="en-GB"/>
              </w:rPr>
            </w:pPr>
            <w:r w:rsidRPr="002233FF">
              <w:rPr>
                <w:rFonts w:asciiTheme="minorHAnsi" w:hAnsiTheme="minorHAnsi" w:cstheme="minorHAnsi"/>
                <w:szCs w:val="22"/>
                <w:lang w:val="en-GB"/>
              </w:rPr>
              <w:t>9.</w:t>
            </w:r>
          </w:p>
        </w:tc>
        <w:tc>
          <w:tcPr>
            <w:tcW w:w="3563" w:type="dxa"/>
          </w:tcPr>
          <w:p w14:paraId="1825DD99" w14:textId="77777777" w:rsidR="00A33B0E" w:rsidRPr="002233FF" w:rsidRDefault="00A33B0E" w:rsidP="009B3355">
            <w:pPr>
              <w:pStyle w:val="Body1"/>
              <w:rPr>
                <w:rFonts w:asciiTheme="minorHAnsi" w:hAnsiTheme="minorHAnsi" w:cstheme="minorHAnsi"/>
                <w:szCs w:val="22"/>
                <w:lang w:val="en-GB"/>
              </w:rPr>
            </w:pPr>
            <w:r w:rsidRPr="002233FF">
              <w:rPr>
                <w:rFonts w:asciiTheme="minorHAnsi" w:hAnsiTheme="minorHAnsi" w:cstheme="minorHAnsi"/>
                <w:szCs w:val="22"/>
                <w:lang w:val="en-GB"/>
              </w:rPr>
              <w:t>Visual motor reasoning</w:t>
            </w:r>
          </w:p>
        </w:tc>
        <w:tc>
          <w:tcPr>
            <w:tcW w:w="7406" w:type="dxa"/>
          </w:tcPr>
          <w:p w14:paraId="7FB2E9E8" w14:textId="77777777" w:rsidR="00A33B0E" w:rsidRPr="002233FF" w:rsidRDefault="00A33B0E" w:rsidP="009B3355">
            <w:pPr>
              <w:pStyle w:val="Body1"/>
              <w:rPr>
                <w:rFonts w:asciiTheme="minorHAnsi" w:hAnsiTheme="minorHAnsi" w:cstheme="minorHAnsi"/>
                <w:szCs w:val="22"/>
                <w:lang w:val="en-GB"/>
              </w:rPr>
            </w:pPr>
            <w:r w:rsidRPr="002233FF">
              <w:rPr>
                <w:rFonts w:asciiTheme="minorHAnsi" w:hAnsiTheme="minorHAnsi" w:cstheme="minorHAnsi"/>
                <w:szCs w:val="22"/>
                <w:lang w:val="en-GB"/>
              </w:rPr>
              <w:t>Wechsler Block Design</w:t>
            </w:r>
          </w:p>
        </w:tc>
      </w:tr>
      <w:tr w:rsidR="009B3355" w:rsidRPr="002233FF" w14:paraId="334BE57D" w14:textId="77777777" w:rsidTr="000372FA">
        <w:tc>
          <w:tcPr>
            <w:tcW w:w="14697" w:type="dxa"/>
            <w:gridSpan w:val="5"/>
            <w:shd w:val="clear" w:color="auto" w:fill="BFBFBF" w:themeFill="background1" w:themeFillShade="BF"/>
          </w:tcPr>
          <w:p w14:paraId="3FBF91DF" w14:textId="77777777" w:rsidR="009B3355" w:rsidRPr="002233FF" w:rsidRDefault="009B3355" w:rsidP="009B3355">
            <w:pPr>
              <w:pStyle w:val="Body1"/>
              <w:rPr>
                <w:rFonts w:asciiTheme="minorHAnsi" w:hAnsiTheme="minorHAnsi" w:cstheme="minorHAnsi"/>
                <w:szCs w:val="22"/>
                <w:lang w:val="en-GB"/>
              </w:rPr>
            </w:pPr>
            <w:r w:rsidRPr="002233FF">
              <w:rPr>
                <w:rFonts w:asciiTheme="minorHAnsi" w:hAnsiTheme="minorHAnsi" w:cstheme="minorHAnsi"/>
                <w:szCs w:val="22"/>
                <w:lang w:val="en-GB"/>
              </w:rPr>
              <w:t>Processing Speed</w:t>
            </w:r>
          </w:p>
        </w:tc>
      </w:tr>
      <w:tr w:rsidR="00C429BA" w:rsidRPr="009F7CDC" w14:paraId="6238BECB" w14:textId="77777777" w:rsidTr="009246AC">
        <w:trPr>
          <w:trHeight w:val="260"/>
        </w:trPr>
        <w:tc>
          <w:tcPr>
            <w:tcW w:w="970" w:type="dxa"/>
          </w:tcPr>
          <w:p w14:paraId="01AFBF36" w14:textId="77777777" w:rsidR="00C429BA" w:rsidRPr="002233FF" w:rsidRDefault="00C429BA" w:rsidP="009B3355">
            <w:pPr>
              <w:pStyle w:val="Body1"/>
              <w:rPr>
                <w:rFonts w:asciiTheme="minorHAnsi" w:hAnsiTheme="minorHAnsi" w:cstheme="minorHAnsi"/>
                <w:szCs w:val="22"/>
                <w:lang w:val="en-GB"/>
              </w:rPr>
            </w:pPr>
            <w:r w:rsidRPr="002233FF">
              <w:rPr>
                <w:rFonts w:asciiTheme="minorHAnsi" w:hAnsiTheme="minorHAnsi" w:cstheme="minorHAnsi"/>
                <w:szCs w:val="22"/>
                <w:lang w:val="en-GB"/>
              </w:rPr>
              <w:t>4.</w:t>
            </w:r>
          </w:p>
        </w:tc>
        <w:tc>
          <w:tcPr>
            <w:tcW w:w="6321" w:type="dxa"/>
            <w:gridSpan w:val="3"/>
          </w:tcPr>
          <w:p w14:paraId="4E472314" w14:textId="77777777" w:rsidR="00C429BA" w:rsidRPr="002233FF" w:rsidRDefault="00C429BA" w:rsidP="009B3355">
            <w:pPr>
              <w:pStyle w:val="Body1"/>
              <w:rPr>
                <w:rFonts w:asciiTheme="minorHAnsi" w:hAnsiTheme="minorHAnsi" w:cstheme="minorHAnsi"/>
                <w:szCs w:val="22"/>
                <w:lang w:val="en-GB"/>
              </w:rPr>
            </w:pPr>
            <w:r w:rsidRPr="002233FF">
              <w:rPr>
                <w:rFonts w:asciiTheme="minorHAnsi" w:hAnsiTheme="minorHAnsi" w:cstheme="minorHAnsi"/>
                <w:szCs w:val="22"/>
                <w:lang w:val="en-GB"/>
              </w:rPr>
              <w:t>Processing Speed</w:t>
            </w:r>
          </w:p>
        </w:tc>
        <w:tc>
          <w:tcPr>
            <w:tcW w:w="7406" w:type="dxa"/>
          </w:tcPr>
          <w:p w14:paraId="1A199368" w14:textId="77777777" w:rsidR="00C429BA" w:rsidRPr="002233FF" w:rsidRDefault="00C429BA" w:rsidP="009B3355">
            <w:pPr>
              <w:pStyle w:val="Body1"/>
              <w:rPr>
                <w:rFonts w:asciiTheme="minorHAnsi" w:hAnsiTheme="minorHAnsi" w:cstheme="minorHAnsi"/>
                <w:szCs w:val="22"/>
                <w:lang w:val="en-GB"/>
              </w:rPr>
            </w:pPr>
            <w:r w:rsidRPr="002233FF">
              <w:rPr>
                <w:rFonts w:asciiTheme="minorHAnsi" w:hAnsiTheme="minorHAnsi" w:cstheme="minorHAnsi"/>
                <w:szCs w:val="22"/>
                <w:lang w:val="en-GB"/>
              </w:rPr>
              <w:t>Wechsler – Bug Search or Symbol Search</w:t>
            </w:r>
          </w:p>
        </w:tc>
      </w:tr>
      <w:tr w:rsidR="00C429BA" w:rsidRPr="009F7CDC" w14:paraId="7EA9F82A" w14:textId="77777777" w:rsidTr="009246AC">
        <w:tc>
          <w:tcPr>
            <w:tcW w:w="970" w:type="dxa"/>
          </w:tcPr>
          <w:p w14:paraId="35FC4C8F" w14:textId="77777777" w:rsidR="00C429BA" w:rsidRPr="002233FF" w:rsidRDefault="00C429BA" w:rsidP="009B3355">
            <w:pPr>
              <w:pStyle w:val="Body1"/>
              <w:rPr>
                <w:rFonts w:asciiTheme="minorHAnsi" w:hAnsiTheme="minorHAnsi" w:cstheme="minorHAnsi"/>
                <w:szCs w:val="22"/>
                <w:lang w:val="en-GB"/>
              </w:rPr>
            </w:pPr>
            <w:r w:rsidRPr="002233FF">
              <w:rPr>
                <w:rFonts w:asciiTheme="minorHAnsi" w:hAnsiTheme="minorHAnsi" w:cstheme="minorHAnsi"/>
                <w:szCs w:val="22"/>
                <w:lang w:val="en-GB"/>
              </w:rPr>
              <w:t>6.</w:t>
            </w:r>
          </w:p>
        </w:tc>
        <w:tc>
          <w:tcPr>
            <w:tcW w:w="6321" w:type="dxa"/>
            <w:gridSpan w:val="3"/>
          </w:tcPr>
          <w:p w14:paraId="2B11E97C" w14:textId="77777777" w:rsidR="00C429BA" w:rsidRPr="002233FF" w:rsidRDefault="00C429BA" w:rsidP="009B3355">
            <w:pPr>
              <w:pStyle w:val="Body1"/>
              <w:rPr>
                <w:rFonts w:asciiTheme="minorHAnsi" w:hAnsiTheme="minorHAnsi" w:cstheme="minorHAnsi"/>
                <w:szCs w:val="22"/>
                <w:lang w:val="en-GB"/>
              </w:rPr>
            </w:pPr>
            <w:r w:rsidRPr="002233FF">
              <w:rPr>
                <w:rFonts w:asciiTheme="minorHAnsi" w:hAnsiTheme="minorHAnsi" w:cstheme="minorHAnsi"/>
                <w:szCs w:val="22"/>
                <w:lang w:val="en-GB"/>
              </w:rPr>
              <w:t>Processing Speed</w:t>
            </w:r>
          </w:p>
        </w:tc>
        <w:tc>
          <w:tcPr>
            <w:tcW w:w="7406" w:type="dxa"/>
          </w:tcPr>
          <w:p w14:paraId="69370439" w14:textId="77777777" w:rsidR="00C429BA" w:rsidRPr="002233FF" w:rsidRDefault="00C429BA" w:rsidP="009B3355">
            <w:pPr>
              <w:pStyle w:val="Body1"/>
              <w:rPr>
                <w:rFonts w:asciiTheme="minorHAnsi" w:hAnsiTheme="minorHAnsi" w:cstheme="minorHAnsi"/>
                <w:szCs w:val="22"/>
                <w:lang w:val="en-GB"/>
              </w:rPr>
            </w:pPr>
            <w:r w:rsidRPr="002233FF">
              <w:rPr>
                <w:rFonts w:asciiTheme="minorHAnsi" w:hAnsiTheme="minorHAnsi" w:cstheme="minorHAnsi"/>
                <w:szCs w:val="22"/>
                <w:lang w:val="en-GB"/>
              </w:rPr>
              <w:t>Wechsler - Animal Coding or Coding</w:t>
            </w:r>
          </w:p>
        </w:tc>
      </w:tr>
      <w:tr w:rsidR="00A33B0E" w:rsidRPr="002233FF" w14:paraId="42957CA8" w14:textId="77777777" w:rsidTr="009246AC">
        <w:tc>
          <w:tcPr>
            <w:tcW w:w="14697" w:type="dxa"/>
            <w:gridSpan w:val="5"/>
            <w:shd w:val="clear" w:color="auto" w:fill="BFBFBF"/>
          </w:tcPr>
          <w:p w14:paraId="59A24DF4" w14:textId="77777777" w:rsidR="00A33B0E" w:rsidRPr="002233FF" w:rsidRDefault="00A33B0E" w:rsidP="009B3355">
            <w:pPr>
              <w:pStyle w:val="Body1"/>
              <w:rPr>
                <w:rFonts w:asciiTheme="minorHAnsi" w:hAnsiTheme="minorHAnsi" w:cstheme="minorHAnsi"/>
                <w:szCs w:val="22"/>
                <w:lang w:val="en-GB"/>
              </w:rPr>
            </w:pPr>
            <w:r w:rsidRPr="002233FF">
              <w:rPr>
                <w:rFonts w:asciiTheme="minorHAnsi" w:hAnsiTheme="minorHAnsi" w:cstheme="minorHAnsi"/>
                <w:szCs w:val="22"/>
                <w:lang w:val="en-GB"/>
              </w:rPr>
              <w:t>Short Term / Working Memory</w:t>
            </w:r>
          </w:p>
        </w:tc>
      </w:tr>
      <w:tr w:rsidR="00C429BA" w:rsidRPr="009F7CDC" w14:paraId="7F4E8EF7" w14:textId="77777777" w:rsidTr="009246AC">
        <w:tc>
          <w:tcPr>
            <w:tcW w:w="970" w:type="dxa"/>
          </w:tcPr>
          <w:p w14:paraId="7BDC0BE6" w14:textId="77777777" w:rsidR="00C429BA" w:rsidRPr="002233FF" w:rsidRDefault="00C429BA" w:rsidP="009B3355">
            <w:pPr>
              <w:pStyle w:val="Body1"/>
              <w:rPr>
                <w:rFonts w:asciiTheme="minorHAnsi" w:hAnsiTheme="minorHAnsi" w:cstheme="minorHAnsi"/>
                <w:szCs w:val="22"/>
                <w:lang w:val="en-GB"/>
              </w:rPr>
            </w:pPr>
            <w:r w:rsidRPr="002233FF">
              <w:rPr>
                <w:rFonts w:asciiTheme="minorHAnsi" w:hAnsiTheme="minorHAnsi" w:cstheme="minorHAnsi"/>
                <w:szCs w:val="22"/>
                <w:lang w:val="en-GB"/>
              </w:rPr>
              <w:t>5.</w:t>
            </w:r>
          </w:p>
        </w:tc>
        <w:tc>
          <w:tcPr>
            <w:tcW w:w="6321" w:type="dxa"/>
            <w:gridSpan w:val="3"/>
          </w:tcPr>
          <w:p w14:paraId="43C172B6" w14:textId="77777777" w:rsidR="00C429BA" w:rsidRPr="002233FF" w:rsidRDefault="00C429BA" w:rsidP="009B3355">
            <w:pPr>
              <w:pStyle w:val="Body1"/>
              <w:rPr>
                <w:rFonts w:asciiTheme="minorHAnsi" w:hAnsiTheme="minorHAnsi" w:cstheme="minorHAnsi"/>
                <w:szCs w:val="22"/>
                <w:lang w:val="en-GB"/>
              </w:rPr>
            </w:pPr>
            <w:r w:rsidRPr="002233FF">
              <w:rPr>
                <w:rFonts w:asciiTheme="minorHAnsi" w:hAnsiTheme="minorHAnsi" w:cstheme="minorHAnsi"/>
                <w:szCs w:val="22"/>
                <w:lang w:val="en-GB"/>
              </w:rPr>
              <w:t>Number Recall</w:t>
            </w:r>
          </w:p>
        </w:tc>
        <w:tc>
          <w:tcPr>
            <w:tcW w:w="7406" w:type="dxa"/>
          </w:tcPr>
          <w:p w14:paraId="6F5A8934" w14:textId="77777777" w:rsidR="00C429BA" w:rsidRPr="002233FF" w:rsidRDefault="00C429BA" w:rsidP="009B3355">
            <w:pPr>
              <w:pStyle w:val="Body1"/>
              <w:rPr>
                <w:rFonts w:asciiTheme="minorHAnsi" w:hAnsiTheme="minorHAnsi" w:cstheme="minorHAnsi"/>
                <w:szCs w:val="22"/>
                <w:lang w:val="en-GB"/>
              </w:rPr>
            </w:pPr>
            <w:r w:rsidRPr="002233FF">
              <w:rPr>
                <w:rFonts w:asciiTheme="minorHAnsi" w:hAnsiTheme="minorHAnsi" w:cstheme="minorHAnsi"/>
                <w:szCs w:val="22"/>
                <w:lang w:val="en-GB"/>
              </w:rPr>
              <w:t>K-ABC – Digit Span Forwards</w:t>
            </w:r>
          </w:p>
        </w:tc>
      </w:tr>
      <w:tr w:rsidR="00A33B0E" w:rsidRPr="002233FF" w14:paraId="38875FD5" w14:textId="77777777" w:rsidTr="009246AC">
        <w:tc>
          <w:tcPr>
            <w:tcW w:w="2978" w:type="dxa"/>
            <w:gridSpan w:val="2"/>
          </w:tcPr>
          <w:p w14:paraId="03CF9C56" w14:textId="77777777" w:rsidR="00A33B0E" w:rsidRPr="002233FF" w:rsidRDefault="00A33B0E" w:rsidP="009B3355">
            <w:pPr>
              <w:pStyle w:val="Body1"/>
              <w:ind w:left="375"/>
              <w:rPr>
                <w:rFonts w:asciiTheme="minorHAnsi" w:hAnsiTheme="minorHAnsi" w:cstheme="minorHAnsi"/>
                <w:szCs w:val="22"/>
                <w:highlight w:val="yellow"/>
                <w:lang w:val="en-GB"/>
              </w:rPr>
            </w:pPr>
          </w:p>
        </w:tc>
        <w:tc>
          <w:tcPr>
            <w:tcW w:w="750" w:type="dxa"/>
          </w:tcPr>
          <w:p w14:paraId="4EAD336F" w14:textId="77777777" w:rsidR="00A33B0E" w:rsidRPr="002233FF" w:rsidRDefault="00A33B0E" w:rsidP="009B3355">
            <w:pPr>
              <w:pStyle w:val="Body1"/>
              <w:rPr>
                <w:rFonts w:asciiTheme="minorHAnsi" w:hAnsiTheme="minorHAnsi" w:cstheme="minorHAnsi"/>
                <w:szCs w:val="22"/>
                <w:lang w:val="en-GB"/>
              </w:rPr>
            </w:pPr>
            <w:r w:rsidRPr="002233FF">
              <w:rPr>
                <w:rFonts w:asciiTheme="minorHAnsi" w:hAnsiTheme="minorHAnsi" w:cstheme="minorHAnsi"/>
                <w:szCs w:val="22"/>
                <w:lang w:val="en-GB"/>
              </w:rPr>
              <w:t>10.</w:t>
            </w:r>
          </w:p>
        </w:tc>
        <w:tc>
          <w:tcPr>
            <w:tcW w:w="3563" w:type="dxa"/>
          </w:tcPr>
          <w:p w14:paraId="659AF8E5" w14:textId="77777777" w:rsidR="00A33B0E" w:rsidRPr="002233FF" w:rsidRDefault="00A33B0E" w:rsidP="009B3355">
            <w:pPr>
              <w:pStyle w:val="Body1"/>
              <w:rPr>
                <w:rFonts w:asciiTheme="minorHAnsi" w:hAnsiTheme="minorHAnsi" w:cstheme="minorHAnsi"/>
                <w:szCs w:val="22"/>
                <w:lang w:val="en-GB"/>
              </w:rPr>
            </w:pPr>
            <w:r w:rsidRPr="002233FF">
              <w:rPr>
                <w:rFonts w:asciiTheme="minorHAnsi" w:hAnsiTheme="minorHAnsi" w:cstheme="minorHAnsi"/>
                <w:szCs w:val="22"/>
                <w:lang w:val="en-GB"/>
              </w:rPr>
              <w:t>Locations recall</w:t>
            </w:r>
          </w:p>
        </w:tc>
        <w:tc>
          <w:tcPr>
            <w:tcW w:w="7406" w:type="dxa"/>
          </w:tcPr>
          <w:p w14:paraId="054B65A7" w14:textId="77777777" w:rsidR="00A33B0E" w:rsidRPr="002233FF" w:rsidRDefault="00A33B0E" w:rsidP="009B3355">
            <w:pPr>
              <w:pStyle w:val="Body1"/>
              <w:rPr>
                <w:rFonts w:asciiTheme="minorHAnsi" w:hAnsiTheme="minorHAnsi" w:cstheme="minorHAnsi"/>
                <w:szCs w:val="22"/>
                <w:lang w:val="en-GB"/>
              </w:rPr>
            </w:pPr>
            <w:r w:rsidRPr="002233FF">
              <w:rPr>
                <w:rFonts w:asciiTheme="minorHAnsi" w:hAnsiTheme="minorHAnsi" w:cstheme="minorHAnsi"/>
                <w:szCs w:val="22"/>
                <w:lang w:val="en-GB"/>
              </w:rPr>
              <w:t>Wechsler – Picture memory</w:t>
            </w:r>
          </w:p>
        </w:tc>
      </w:tr>
      <w:tr w:rsidR="00A33B0E" w:rsidRPr="002233FF" w14:paraId="5054886F" w14:textId="77777777" w:rsidTr="009246AC">
        <w:tc>
          <w:tcPr>
            <w:tcW w:w="14697" w:type="dxa"/>
            <w:gridSpan w:val="5"/>
            <w:shd w:val="clear" w:color="auto" w:fill="BFBFBF"/>
          </w:tcPr>
          <w:p w14:paraId="3C742FA4" w14:textId="77777777" w:rsidR="00A33B0E" w:rsidRPr="002233FF" w:rsidRDefault="00A33B0E" w:rsidP="009B3355">
            <w:pPr>
              <w:pStyle w:val="Body1"/>
              <w:rPr>
                <w:rFonts w:asciiTheme="minorHAnsi" w:hAnsiTheme="minorHAnsi" w:cstheme="minorHAnsi"/>
                <w:szCs w:val="22"/>
                <w:lang w:val="en-GB"/>
              </w:rPr>
            </w:pPr>
            <w:r w:rsidRPr="002233FF">
              <w:rPr>
                <w:rFonts w:asciiTheme="minorHAnsi" w:hAnsiTheme="minorHAnsi" w:cstheme="minorHAnsi"/>
                <w:szCs w:val="22"/>
                <w:lang w:val="en-GB"/>
              </w:rPr>
              <w:t>Fine Motor Skills</w:t>
            </w:r>
          </w:p>
        </w:tc>
      </w:tr>
      <w:tr w:rsidR="00A33B0E" w:rsidRPr="002233FF" w14:paraId="005D630E" w14:textId="77777777" w:rsidTr="009246AC">
        <w:tc>
          <w:tcPr>
            <w:tcW w:w="2978" w:type="dxa"/>
            <w:gridSpan w:val="2"/>
          </w:tcPr>
          <w:p w14:paraId="5602ECB4" w14:textId="77777777" w:rsidR="00A33B0E" w:rsidRPr="002233FF" w:rsidRDefault="00A33B0E" w:rsidP="009B3355">
            <w:pPr>
              <w:pStyle w:val="Body1"/>
              <w:rPr>
                <w:rFonts w:asciiTheme="minorHAnsi" w:hAnsiTheme="minorHAnsi" w:cstheme="minorHAnsi"/>
                <w:szCs w:val="22"/>
                <w:lang w:val="en-GB"/>
              </w:rPr>
            </w:pPr>
          </w:p>
        </w:tc>
        <w:tc>
          <w:tcPr>
            <w:tcW w:w="750" w:type="dxa"/>
          </w:tcPr>
          <w:p w14:paraId="493FA230" w14:textId="77777777" w:rsidR="00A33B0E" w:rsidRPr="002233FF" w:rsidRDefault="00A33B0E" w:rsidP="009B3355">
            <w:pPr>
              <w:pStyle w:val="Body1"/>
              <w:rPr>
                <w:rFonts w:asciiTheme="minorHAnsi" w:hAnsiTheme="minorHAnsi" w:cstheme="minorHAnsi"/>
                <w:szCs w:val="22"/>
                <w:lang w:val="en-GB"/>
              </w:rPr>
            </w:pPr>
            <w:r w:rsidRPr="002233FF">
              <w:rPr>
                <w:rFonts w:asciiTheme="minorHAnsi" w:hAnsiTheme="minorHAnsi" w:cstheme="minorHAnsi"/>
                <w:szCs w:val="22"/>
                <w:lang w:val="en-GB"/>
              </w:rPr>
              <w:t>7.</w:t>
            </w:r>
          </w:p>
        </w:tc>
        <w:tc>
          <w:tcPr>
            <w:tcW w:w="3563" w:type="dxa"/>
          </w:tcPr>
          <w:p w14:paraId="293DDB63" w14:textId="77777777" w:rsidR="00A33B0E" w:rsidRPr="002233FF" w:rsidRDefault="00A33B0E" w:rsidP="009B3355">
            <w:pPr>
              <w:pStyle w:val="Body1"/>
              <w:rPr>
                <w:rFonts w:asciiTheme="minorHAnsi" w:hAnsiTheme="minorHAnsi" w:cstheme="minorHAnsi"/>
                <w:szCs w:val="22"/>
                <w:lang w:val="en-GB"/>
              </w:rPr>
            </w:pPr>
            <w:r w:rsidRPr="002233FF">
              <w:rPr>
                <w:rFonts w:asciiTheme="minorHAnsi" w:hAnsiTheme="minorHAnsi" w:cstheme="minorHAnsi"/>
                <w:szCs w:val="22"/>
                <w:lang w:val="en-GB"/>
              </w:rPr>
              <w:t>Pegboard</w:t>
            </w:r>
          </w:p>
        </w:tc>
        <w:tc>
          <w:tcPr>
            <w:tcW w:w="7406" w:type="dxa"/>
          </w:tcPr>
          <w:p w14:paraId="45163789" w14:textId="77777777" w:rsidR="00A33B0E" w:rsidRPr="002233FF" w:rsidRDefault="00A33B0E">
            <w:pPr>
              <w:pStyle w:val="Body1"/>
              <w:rPr>
                <w:rFonts w:asciiTheme="minorHAnsi" w:hAnsiTheme="minorHAnsi" w:cstheme="minorHAnsi"/>
                <w:szCs w:val="22"/>
                <w:lang w:val="en-GB"/>
              </w:rPr>
            </w:pPr>
            <w:r w:rsidRPr="002233FF">
              <w:rPr>
                <w:rFonts w:asciiTheme="minorHAnsi" w:hAnsiTheme="minorHAnsi" w:cstheme="minorHAnsi"/>
                <w:szCs w:val="22"/>
                <w:lang w:val="en-GB"/>
              </w:rPr>
              <w:t>Purdue Pegboard; WRAVMA Pegboard</w:t>
            </w:r>
          </w:p>
        </w:tc>
      </w:tr>
      <w:tr w:rsidR="00A33B0E" w:rsidRPr="002233FF" w14:paraId="3C8D01F5" w14:textId="77777777" w:rsidTr="009246AC">
        <w:tc>
          <w:tcPr>
            <w:tcW w:w="14697" w:type="dxa"/>
            <w:gridSpan w:val="5"/>
            <w:shd w:val="clear" w:color="auto" w:fill="BFBFBF"/>
          </w:tcPr>
          <w:p w14:paraId="19ADD339" w14:textId="77777777" w:rsidR="00A33B0E" w:rsidRPr="002233FF" w:rsidRDefault="00A33B0E" w:rsidP="009B3355">
            <w:pPr>
              <w:pStyle w:val="Body1"/>
              <w:rPr>
                <w:rFonts w:asciiTheme="minorHAnsi" w:hAnsiTheme="minorHAnsi" w:cstheme="minorHAnsi"/>
                <w:szCs w:val="22"/>
                <w:lang w:val="en-GB"/>
              </w:rPr>
            </w:pPr>
            <w:r w:rsidRPr="002233FF">
              <w:rPr>
                <w:rFonts w:asciiTheme="minorHAnsi" w:hAnsiTheme="minorHAnsi" w:cstheme="minorHAnsi"/>
                <w:szCs w:val="22"/>
                <w:lang w:val="en-GB"/>
              </w:rPr>
              <w:t>Visual Motor Skills</w:t>
            </w:r>
          </w:p>
        </w:tc>
      </w:tr>
      <w:tr w:rsidR="00A33B0E" w:rsidRPr="009F7CDC" w14:paraId="0A3D66A6" w14:textId="77777777" w:rsidTr="009246AC">
        <w:tc>
          <w:tcPr>
            <w:tcW w:w="2978" w:type="dxa"/>
            <w:gridSpan w:val="2"/>
          </w:tcPr>
          <w:p w14:paraId="0890EA75" w14:textId="77777777" w:rsidR="00A33B0E" w:rsidRPr="002233FF" w:rsidRDefault="00A33B0E" w:rsidP="009B3355">
            <w:pPr>
              <w:pStyle w:val="Body1"/>
              <w:jc w:val="both"/>
              <w:rPr>
                <w:rFonts w:asciiTheme="minorHAnsi" w:hAnsiTheme="minorHAnsi" w:cstheme="minorHAnsi"/>
                <w:szCs w:val="22"/>
                <w:lang w:val="en-GB"/>
              </w:rPr>
            </w:pPr>
          </w:p>
        </w:tc>
        <w:tc>
          <w:tcPr>
            <w:tcW w:w="750" w:type="dxa"/>
          </w:tcPr>
          <w:p w14:paraId="3A7F3703" w14:textId="77777777" w:rsidR="00A33B0E" w:rsidRPr="002233FF" w:rsidRDefault="00A33B0E" w:rsidP="009B3355">
            <w:pPr>
              <w:pStyle w:val="Body1"/>
              <w:rPr>
                <w:rFonts w:asciiTheme="minorHAnsi" w:hAnsiTheme="minorHAnsi" w:cstheme="minorHAnsi"/>
                <w:szCs w:val="22"/>
                <w:lang w:val="en-GB"/>
              </w:rPr>
            </w:pPr>
            <w:r w:rsidRPr="002233FF">
              <w:rPr>
                <w:rFonts w:asciiTheme="minorHAnsi" w:hAnsiTheme="minorHAnsi" w:cstheme="minorHAnsi"/>
                <w:szCs w:val="22"/>
                <w:lang w:val="en-GB"/>
              </w:rPr>
              <w:t>8.</w:t>
            </w:r>
          </w:p>
        </w:tc>
        <w:tc>
          <w:tcPr>
            <w:tcW w:w="3563" w:type="dxa"/>
          </w:tcPr>
          <w:p w14:paraId="3D6E43E2" w14:textId="77777777" w:rsidR="00A33B0E" w:rsidRPr="002233FF" w:rsidRDefault="00A33B0E" w:rsidP="009B3355">
            <w:pPr>
              <w:pStyle w:val="Body1"/>
              <w:rPr>
                <w:rFonts w:asciiTheme="minorHAnsi" w:hAnsiTheme="minorHAnsi" w:cstheme="minorHAnsi"/>
                <w:szCs w:val="22"/>
                <w:lang w:val="en-GB"/>
              </w:rPr>
            </w:pPr>
            <w:r w:rsidRPr="002233FF">
              <w:rPr>
                <w:rFonts w:asciiTheme="minorHAnsi" w:hAnsiTheme="minorHAnsi" w:cstheme="minorHAnsi"/>
                <w:szCs w:val="22"/>
                <w:lang w:val="en-GB"/>
              </w:rPr>
              <w:t>Visual motor integration</w:t>
            </w:r>
          </w:p>
        </w:tc>
        <w:tc>
          <w:tcPr>
            <w:tcW w:w="7406" w:type="dxa"/>
          </w:tcPr>
          <w:p w14:paraId="4A2F0E1E" w14:textId="77777777" w:rsidR="00A33B0E" w:rsidRPr="002233FF" w:rsidRDefault="00A33B0E" w:rsidP="009B3355">
            <w:pPr>
              <w:pStyle w:val="Body1"/>
              <w:rPr>
                <w:rFonts w:asciiTheme="minorHAnsi" w:hAnsiTheme="minorHAnsi" w:cstheme="minorHAnsi"/>
                <w:i/>
                <w:szCs w:val="22"/>
                <w:lang w:val="en-GB"/>
              </w:rPr>
            </w:pPr>
            <w:r w:rsidRPr="002233FF">
              <w:rPr>
                <w:rFonts w:asciiTheme="minorHAnsi" w:hAnsiTheme="minorHAnsi" w:cstheme="minorHAnsi"/>
                <w:szCs w:val="22"/>
                <w:lang w:val="en-GB"/>
              </w:rPr>
              <w:t xml:space="preserve">Beery VMI </w:t>
            </w:r>
            <w:r w:rsidRPr="002233FF">
              <w:rPr>
                <w:rFonts w:asciiTheme="minorHAnsi" w:hAnsiTheme="minorHAnsi" w:cstheme="minorHAnsi"/>
                <w:i/>
                <w:szCs w:val="22"/>
                <w:lang w:val="en-GB"/>
              </w:rPr>
              <w:t>or</w:t>
            </w:r>
            <w:r w:rsidRPr="002233FF">
              <w:rPr>
                <w:rFonts w:asciiTheme="minorHAnsi" w:hAnsiTheme="minorHAnsi" w:cstheme="minorHAnsi"/>
                <w:szCs w:val="22"/>
                <w:lang w:val="en-GB"/>
              </w:rPr>
              <w:t xml:space="preserve"> WRAVMA Drawing Test </w:t>
            </w:r>
            <w:r w:rsidRPr="002233FF">
              <w:rPr>
                <w:rFonts w:asciiTheme="minorHAnsi" w:hAnsiTheme="minorHAnsi" w:cstheme="minorHAnsi"/>
                <w:i/>
                <w:szCs w:val="22"/>
                <w:lang w:val="en-GB"/>
              </w:rPr>
              <w:t>or</w:t>
            </w:r>
            <w:r w:rsidRPr="002233FF">
              <w:rPr>
                <w:rFonts w:asciiTheme="minorHAnsi" w:hAnsiTheme="minorHAnsi" w:cstheme="minorHAnsi"/>
                <w:szCs w:val="22"/>
                <w:lang w:val="en-GB"/>
              </w:rPr>
              <w:t xml:space="preserve"> NEPSY Design Copy</w:t>
            </w:r>
          </w:p>
        </w:tc>
      </w:tr>
      <w:tr w:rsidR="00A33B0E" w:rsidRPr="002233FF" w14:paraId="05205C15" w14:textId="77777777" w:rsidTr="009246AC">
        <w:tc>
          <w:tcPr>
            <w:tcW w:w="14697" w:type="dxa"/>
            <w:gridSpan w:val="5"/>
            <w:shd w:val="clear" w:color="auto" w:fill="BFBFBF"/>
          </w:tcPr>
          <w:p w14:paraId="7097A84C" w14:textId="77777777" w:rsidR="00A33B0E" w:rsidRPr="002233FF" w:rsidRDefault="00A33B0E" w:rsidP="009B3355">
            <w:pPr>
              <w:pStyle w:val="Body1"/>
              <w:rPr>
                <w:rFonts w:asciiTheme="minorHAnsi" w:hAnsiTheme="minorHAnsi" w:cstheme="minorHAnsi"/>
                <w:szCs w:val="22"/>
                <w:lang w:val="en-GB"/>
              </w:rPr>
            </w:pPr>
            <w:r w:rsidRPr="002233FF">
              <w:rPr>
                <w:rFonts w:asciiTheme="minorHAnsi" w:hAnsiTheme="minorHAnsi" w:cstheme="minorHAnsi"/>
                <w:szCs w:val="22"/>
                <w:lang w:val="en-GB"/>
              </w:rPr>
              <w:t>Semantic Memory/Knowledge</w:t>
            </w:r>
          </w:p>
        </w:tc>
      </w:tr>
      <w:tr w:rsidR="00A33B0E" w:rsidRPr="009F7CDC" w14:paraId="67171BC5" w14:textId="77777777" w:rsidTr="009246AC">
        <w:tc>
          <w:tcPr>
            <w:tcW w:w="2978" w:type="dxa"/>
            <w:gridSpan w:val="2"/>
          </w:tcPr>
          <w:p w14:paraId="45793778" w14:textId="77777777" w:rsidR="00A33B0E" w:rsidRPr="002233FF" w:rsidRDefault="00A33B0E" w:rsidP="009B3355">
            <w:pPr>
              <w:pStyle w:val="Body1"/>
              <w:rPr>
                <w:rFonts w:asciiTheme="minorHAnsi" w:hAnsiTheme="minorHAnsi" w:cstheme="minorHAnsi"/>
                <w:szCs w:val="22"/>
                <w:lang w:val="en-GB"/>
              </w:rPr>
            </w:pPr>
          </w:p>
        </w:tc>
        <w:tc>
          <w:tcPr>
            <w:tcW w:w="750" w:type="dxa"/>
          </w:tcPr>
          <w:p w14:paraId="5651C604" w14:textId="77777777" w:rsidR="00A33B0E" w:rsidRPr="002233FF" w:rsidRDefault="00A33B0E" w:rsidP="009B3355">
            <w:pPr>
              <w:pStyle w:val="Body1"/>
              <w:rPr>
                <w:rFonts w:asciiTheme="minorHAnsi" w:hAnsiTheme="minorHAnsi" w:cstheme="minorHAnsi"/>
                <w:szCs w:val="22"/>
                <w:lang w:val="en-GB"/>
              </w:rPr>
            </w:pPr>
            <w:r w:rsidRPr="002233FF">
              <w:rPr>
                <w:rFonts w:asciiTheme="minorHAnsi" w:hAnsiTheme="minorHAnsi" w:cstheme="minorHAnsi"/>
                <w:szCs w:val="22"/>
                <w:lang w:val="en-GB"/>
              </w:rPr>
              <w:t>11.</w:t>
            </w:r>
          </w:p>
        </w:tc>
        <w:tc>
          <w:tcPr>
            <w:tcW w:w="3563" w:type="dxa"/>
          </w:tcPr>
          <w:p w14:paraId="1A2675FA" w14:textId="77777777" w:rsidR="00A33B0E" w:rsidRPr="002233FF" w:rsidRDefault="00A33B0E" w:rsidP="009B3355">
            <w:pPr>
              <w:pStyle w:val="Body1"/>
              <w:rPr>
                <w:rFonts w:asciiTheme="minorHAnsi" w:hAnsiTheme="minorHAnsi" w:cstheme="minorHAnsi"/>
                <w:szCs w:val="22"/>
                <w:lang w:val="en-GB"/>
              </w:rPr>
            </w:pPr>
            <w:r w:rsidRPr="002233FF">
              <w:rPr>
                <w:rFonts w:asciiTheme="minorHAnsi" w:hAnsiTheme="minorHAnsi" w:cstheme="minorHAnsi"/>
                <w:szCs w:val="22"/>
                <w:lang w:val="en-GB"/>
              </w:rPr>
              <w:t>Verbal semantic memory</w:t>
            </w:r>
          </w:p>
        </w:tc>
        <w:tc>
          <w:tcPr>
            <w:tcW w:w="7406" w:type="dxa"/>
          </w:tcPr>
          <w:p w14:paraId="5088A839" w14:textId="77777777" w:rsidR="00A33B0E" w:rsidRPr="002233FF" w:rsidRDefault="00A33B0E" w:rsidP="009B3355">
            <w:pPr>
              <w:pStyle w:val="Body1"/>
              <w:rPr>
                <w:rFonts w:asciiTheme="minorHAnsi" w:hAnsiTheme="minorHAnsi" w:cstheme="minorHAnsi"/>
                <w:szCs w:val="22"/>
                <w:lang w:val="en-GB"/>
              </w:rPr>
            </w:pPr>
            <w:r w:rsidRPr="002233FF">
              <w:rPr>
                <w:rFonts w:asciiTheme="minorHAnsi" w:hAnsiTheme="minorHAnsi" w:cstheme="minorHAnsi"/>
                <w:szCs w:val="22"/>
                <w:lang w:val="en-GB"/>
              </w:rPr>
              <w:t>Wechsler - Information</w:t>
            </w:r>
          </w:p>
          <w:p w14:paraId="25AA7996" w14:textId="77777777" w:rsidR="00A33B0E" w:rsidRPr="002233FF" w:rsidRDefault="00A33B0E" w:rsidP="009B3355">
            <w:pPr>
              <w:pStyle w:val="Body1"/>
              <w:rPr>
                <w:rFonts w:asciiTheme="minorHAnsi" w:hAnsiTheme="minorHAnsi" w:cstheme="minorHAnsi"/>
                <w:szCs w:val="22"/>
                <w:lang w:val="en-GB"/>
              </w:rPr>
            </w:pPr>
            <w:r w:rsidRPr="002233FF">
              <w:rPr>
                <w:rFonts w:asciiTheme="minorHAnsi" w:hAnsiTheme="minorHAnsi" w:cstheme="minorHAnsi"/>
                <w:szCs w:val="22"/>
                <w:lang w:val="en-GB"/>
              </w:rPr>
              <w:t>Kaufman ABC - Riddles</w:t>
            </w:r>
          </w:p>
          <w:p w14:paraId="18073208" w14:textId="77777777" w:rsidR="00A33B0E" w:rsidRPr="002233FF" w:rsidRDefault="00A33B0E" w:rsidP="009B3355">
            <w:pPr>
              <w:pStyle w:val="Body1"/>
              <w:rPr>
                <w:rFonts w:asciiTheme="minorHAnsi" w:hAnsiTheme="minorHAnsi" w:cstheme="minorHAnsi"/>
                <w:szCs w:val="22"/>
                <w:lang w:val="en-GB"/>
              </w:rPr>
            </w:pPr>
            <w:r w:rsidRPr="002233FF">
              <w:rPr>
                <w:rFonts w:asciiTheme="minorHAnsi" w:hAnsiTheme="minorHAnsi" w:cstheme="minorHAnsi"/>
                <w:szCs w:val="22"/>
                <w:lang w:val="en-GB"/>
              </w:rPr>
              <w:t xml:space="preserve">Wechsler - Vocabulary </w:t>
            </w:r>
          </w:p>
        </w:tc>
      </w:tr>
      <w:tr w:rsidR="00A33B0E" w:rsidRPr="002233FF" w14:paraId="6AF5A333" w14:textId="77777777" w:rsidTr="009246AC">
        <w:tc>
          <w:tcPr>
            <w:tcW w:w="14697" w:type="dxa"/>
            <w:gridSpan w:val="5"/>
            <w:shd w:val="clear" w:color="auto" w:fill="BFBFBF"/>
          </w:tcPr>
          <w:p w14:paraId="7C913D9D" w14:textId="77777777" w:rsidR="00A33B0E" w:rsidRPr="002233FF" w:rsidRDefault="00A33B0E" w:rsidP="009B3355">
            <w:pPr>
              <w:pStyle w:val="Body1"/>
              <w:rPr>
                <w:rFonts w:asciiTheme="minorHAnsi" w:hAnsiTheme="minorHAnsi" w:cstheme="minorHAnsi"/>
                <w:szCs w:val="22"/>
                <w:lang w:val="en-GB"/>
              </w:rPr>
            </w:pPr>
            <w:r w:rsidRPr="002233FF">
              <w:rPr>
                <w:rFonts w:asciiTheme="minorHAnsi" w:hAnsiTheme="minorHAnsi" w:cstheme="minorHAnsi"/>
                <w:szCs w:val="22"/>
                <w:lang w:val="en-GB"/>
              </w:rPr>
              <w:t>Long-term Memory</w:t>
            </w:r>
          </w:p>
        </w:tc>
      </w:tr>
      <w:tr w:rsidR="00A33B0E" w:rsidRPr="009F7CDC" w14:paraId="013307B3" w14:textId="77777777" w:rsidTr="009246AC">
        <w:tc>
          <w:tcPr>
            <w:tcW w:w="2978" w:type="dxa"/>
            <w:gridSpan w:val="2"/>
          </w:tcPr>
          <w:p w14:paraId="6C82BC68" w14:textId="77777777" w:rsidR="00A33B0E" w:rsidRPr="002233FF" w:rsidRDefault="00A33B0E" w:rsidP="009B3355">
            <w:pPr>
              <w:pStyle w:val="Body1"/>
              <w:rPr>
                <w:rFonts w:asciiTheme="minorHAnsi" w:hAnsiTheme="minorHAnsi" w:cstheme="minorHAnsi"/>
                <w:szCs w:val="22"/>
                <w:lang w:val="en-GB"/>
              </w:rPr>
            </w:pPr>
          </w:p>
        </w:tc>
        <w:tc>
          <w:tcPr>
            <w:tcW w:w="750" w:type="dxa"/>
          </w:tcPr>
          <w:p w14:paraId="6E82DCBC" w14:textId="77777777" w:rsidR="00A33B0E" w:rsidRPr="002233FF" w:rsidRDefault="00A33B0E" w:rsidP="009B3355">
            <w:pPr>
              <w:pStyle w:val="Body1"/>
              <w:rPr>
                <w:rFonts w:asciiTheme="minorHAnsi" w:hAnsiTheme="minorHAnsi" w:cstheme="minorHAnsi"/>
                <w:szCs w:val="22"/>
                <w:lang w:val="en-GB"/>
              </w:rPr>
            </w:pPr>
            <w:r w:rsidRPr="002233FF">
              <w:rPr>
                <w:rFonts w:asciiTheme="minorHAnsi" w:hAnsiTheme="minorHAnsi" w:cstheme="minorHAnsi"/>
                <w:szCs w:val="22"/>
                <w:lang w:val="en-GB"/>
              </w:rPr>
              <w:t>12.</w:t>
            </w:r>
          </w:p>
        </w:tc>
        <w:tc>
          <w:tcPr>
            <w:tcW w:w="3563" w:type="dxa"/>
          </w:tcPr>
          <w:p w14:paraId="2D5B1B59" w14:textId="77777777" w:rsidR="00A33B0E" w:rsidRPr="002233FF" w:rsidRDefault="00A33B0E" w:rsidP="009B3355">
            <w:pPr>
              <w:pStyle w:val="Body1"/>
              <w:rPr>
                <w:rFonts w:asciiTheme="minorHAnsi" w:hAnsiTheme="minorHAnsi" w:cstheme="minorHAnsi"/>
                <w:szCs w:val="22"/>
                <w:lang w:val="en-GB"/>
              </w:rPr>
            </w:pPr>
            <w:r w:rsidRPr="002233FF">
              <w:rPr>
                <w:rFonts w:asciiTheme="minorHAnsi" w:hAnsiTheme="minorHAnsi" w:cstheme="minorHAnsi"/>
                <w:szCs w:val="22"/>
                <w:lang w:val="en-GB"/>
              </w:rPr>
              <w:t>Verbal episodic memory</w:t>
            </w:r>
          </w:p>
        </w:tc>
        <w:tc>
          <w:tcPr>
            <w:tcW w:w="7406" w:type="dxa"/>
          </w:tcPr>
          <w:p w14:paraId="1B34F356" w14:textId="77777777" w:rsidR="00A33B0E" w:rsidRPr="00833306" w:rsidRDefault="00A33B0E" w:rsidP="009B3355">
            <w:pPr>
              <w:pStyle w:val="Body1"/>
              <w:rPr>
                <w:rFonts w:asciiTheme="minorHAnsi" w:hAnsiTheme="minorHAnsi" w:cstheme="minorHAnsi"/>
                <w:szCs w:val="22"/>
                <w:lang w:val="en-US"/>
              </w:rPr>
            </w:pPr>
            <w:r w:rsidRPr="00833306">
              <w:rPr>
                <w:rFonts w:asciiTheme="minorHAnsi" w:hAnsiTheme="minorHAnsi" w:cstheme="minorHAnsi"/>
                <w:szCs w:val="22"/>
                <w:lang w:val="en-US"/>
              </w:rPr>
              <w:t xml:space="preserve">NEPSY-II Narrative Memory </w:t>
            </w:r>
          </w:p>
          <w:p w14:paraId="5967E117" w14:textId="77777777" w:rsidR="00A33B0E" w:rsidRPr="002233FF" w:rsidRDefault="00A33B0E" w:rsidP="009B3355">
            <w:pPr>
              <w:pStyle w:val="Body1"/>
              <w:rPr>
                <w:rFonts w:asciiTheme="minorHAnsi" w:hAnsiTheme="minorHAnsi" w:cstheme="minorHAnsi"/>
                <w:szCs w:val="22"/>
                <w:lang w:val="en-GB"/>
              </w:rPr>
            </w:pPr>
            <w:r w:rsidRPr="00833306">
              <w:rPr>
                <w:rFonts w:asciiTheme="minorHAnsi" w:hAnsiTheme="minorHAnsi" w:cstheme="minorHAnsi"/>
                <w:szCs w:val="22"/>
                <w:lang w:val="en-US"/>
              </w:rPr>
              <w:t xml:space="preserve">Kaufmann ABC - Atlantis </w:t>
            </w:r>
          </w:p>
        </w:tc>
      </w:tr>
    </w:tbl>
    <w:p w14:paraId="1DBB176D" w14:textId="77777777" w:rsidR="00372805" w:rsidRPr="002233FF" w:rsidRDefault="00372805" w:rsidP="008F38F1">
      <w:pPr>
        <w:pStyle w:val="Body1"/>
        <w:rPr>
          <w:rFonts w:asciiTheme="minorHAnsi" w:hAnsiTheme="minorHAnsi" w:cstheme="minorHAnsi"/>
          <w:i/>
          <w:szCs w:val="22"/>
          <w:lang w:val="en-GB"/>
        </w:rPr>
      </w:pPr>
      <w:r w:rsidRPr="002233FF">
        <w:rPr>
          <w:rFonts w:asciiTheme="minorHAnsi" w:hAnsiTheme="minorHAnsi" w:cstheme="minorHAnsi"/>
          <w:szCs w:val="22"/>
          <w:lang w:val="en-GB"/>
        </w:rPr>
        <w:t xml:space="preserve"> </w:t>
      </w:r>
      <w:r w:rsidRPr="002233FF">
        <w:rPr>
          <w:rFonts w:asciiTheme="minorHAnsi" w:hAnsiTheme="minorHAnsi" w:cstheme="minorHAnsi"/>
          <w:i/>
          <w:szCs w:val="22"/>
          <w:lang w:val="en-GB"/>
        </w:rPr>
        <w:t>NOTE: Wechsler tests are based on the WPPSI-IV which may not be available in all countries and therefore details may need to be adapted accordingly</w:t>
      </w:r>
    </w:p>
    <w:p w14:paraId="2D7E6952" w14:textId="77777777" w:rsidR="00372805" w:rsidRPr="002233FF" w:rsidRDefault="00372805" w:rsidP="008F38F1">
      <w:pPr>
        <w:pStyle w:val="Body1"/>
        <w:rPr>
          <w:rFonts w:asciiTheme="minorHAnsi" w:hAnsiTheme="minorHAnsi" w:cstheme="minorHAnsi"/>
          <w:i/>
          <w:szCs w:val="22"/>
          <w:lang w:val="en-GB"/>
        </w:rPr>
        <w:sectPr w:rsidR="00372805" w:rsidRPr="002233FF" w:rsidSect="008F38F1">
          <w:pgSz w:w="16838" w:h="11906" w:orient="landscape"/>
          <w:pgMar w:top="1417" w:right="1417" w:bottom="1417" w:left="1417" w:header="708" w:footer="708" w:gutter="0"/>
          <w:cols w:space="708"/>
          <w:docGrid w:linePitch="360"/>
        </w:sectPr>
      </w:pPr>
    </w:p>
    <w:p w14:paraId="659B4105" w14:textId="77777777" w:rsidR="00372805" w:rsidRPr="002233FF" w:rsidRDefault="00372805" w:rsidP="005B61D6">
      <w:pPr>
        <w:pStyle w:val="ListParagraph"/>
        <w:ind w:left="735"/>
        <w:rPr>
          <w:rFonts w:asciiTheme="minorHAnsi" w:hAnsiTheme="minorHAnsi" w:cstheme="minorHAnsi"/>
          <w:lang w:val="en-US"/>
        </w:rPr>
      </w:pPr>
    </w:p>
    <w:p w14:paraId="101A574A" w14:textId="77777777" w:rsidR="00372805" w:rsidRPr="002233FF" w:rsidRDefault="00372805" w:rsidP="00743BFA">
      <w:pPr>
        <w:pStyle w:val="Body1"/>
        <w:spacing w:line="480" w:lineRule="auto"/>
        <w:rPr>
          <w:rFonts w:asciiTheme="minorHAnsi" w:hAnsiTheme="minorHAnsi" w:cstheme="minorHAnsi"/>
          <w:b/>
          <w:i/>
          <w:szCs w:val="22"/>
          <w:lang w:val="en-US"/>
        </w:rPr>
      </w:pPr>
      <w:r w:rsidRPr="002233FF">
        <w:rPr>
          <w:rFonts w:asciiTheme="minorHAnsi" w:hAnsiTheme="minorHAnsi" w:cstheme="minorHAnsi"/>
          <w:b/>
          <w:szCs w:val="22"/>
          <w:lang w:val="en-US"/>
        </w:rPr>
        <w:t xml:space="preserve">3.3. </w:t>
      </w:r>
      <w:r w:rsidR="00AB070D">
        <w:rPr>
          <w:rFonts w:asciiTheme="minorHAnsi" w:hAnsiTheme="minorHAnsi" w:cstheme="minorHAnsi"/>
          <w:b/>
          <w:szCs w:val="22"/>
          <w:lang w:val="en-US"/>
        </w:rPr>
        <w:t>Direct Endocrine Assessment</w:t>
      </w:r>
      <w:r w:rsidR="00053DD6" w:rsidRPr="002233FF">
        <w:rPr>
          <w:rFonts w:asciiTheme="minorHAnsi" w:hAnsiTheme="minorHAnsi" w:cstheme="minorHAnsi"/>
          <w:b/>
          <w:szCs w:val="22"/>
          <w:lang w:val="en-US"/>
        </w:rPr>
        <w:t xml:space="preserve"> </w:t>
      </w:r>
    </w:p>
    <w:p w14:paraId="5D93746B" w14:textId="77777777" w:rsidR="00372805" w:rsidRPr="002233FF" w:rsidRDefault="00372805" w:rsidP="008F38F1">
      <w:pPr>
        <w:pStyle w:val="Body1"/>
        <w:spacing w:line="480" w:lineRule="auto"/>
        <w:rPr>
          <w:rFonts w:asciiTheme="minorHAnsi" w:hAnsiTheme="minorHAnsi" w:cstheme="minorHAnsi"/>
          <w:szCs w:val="22"/>
          <w:lang w:val="en-US"/>
        </w:rPr>
      </w:pPr>
    </w:p>
    <w:p w14:paraId="7CE61219" w14:textId="77777777" w:rsidR="00372805" w:rsidRPr="002233FF" w:rsidRDefault="00B63798" w:rsidP="008F38F1">
      <w:pPr>
        <w:pStyle w:val="Body1"/>
        <w:spacing w:line="480" w:lineRule="auto"/>
        <w:rPr>
          <w:rFonts w:asciiTheme="minorHAnsi" w:hAnsiTheme="minorHAnsi" w:cstheme="minorHAnsi"/>
          <w:szCs w:val="22"/>
          <w:lang w:val="en-US"/>
        </w:rPr>
      </w:pPr>
      <w:r>
        <w:rPr>
          <w:rFonts w:asciiTheme="minorHAnsi" w:hAnsiTheme="minorHAnsi" w:cstheme="minorHAnsi"/>
          <w:szCs w:val="22"/>
          <w:lang w:val="en-US"/>
        </w:rPr>
        <w:t xml:space="preserve">Core </w:t>
      </w:r>
      <w:r w:rsidR="00372805" w:rsidRPr="002233FF">
        <w:rPr>
          <w:rFonts w:asciiTheme="minorHAnsi" w:hAnsiTheme="minorHAnsi" w:cstheme="minorHAnsi"/>
          <w:szCs w:val="22"/>
          <w:lang w:val="en-US"/>
        </w:rPr>
        <w:t xml:space="preserve">endocrine assessments </w:t>
      </w:r>
      <w:r w:rsidR="00EC6C36">
        <w:rPr>
          <w:rFonts w:asciiTheme="minorHAnsi" w:hAnsiTheme="minorHAnsi" w:cstheme="minorHAnsi"/>
          <w:szCs w:val="22"/>
          <w:lang w:val="en-US"/>
        </w:rPr>
        <w:t xml:space="preserve">for all children with CNS tumours </w:t>
      </w:r>
      <w:r w:rsidR="00372805" w:rsidRPr="002233FF">
        <w:rPr>
          <w:rFonts w:asciiTheme="minorHAnsi" w:hAnsiTheme="minorHAnsi" w:cstheme="minorHAnsi"/>
          <w:szCs w:val="22"/>
          <w:lang w:val="en-US"/>
        </w:rPr>
        <w:t>should include birth demographics</w:t>
      </w:r>
      <w:r w:rsidR="007760B5">
        <w:rPr>
          <w:rFonts w:asciiTheme="minorHAnsi" w:hAnsiTheme="minorHAnsi" w:cstheme="minorHAnsi"/>
          <w:szCs w:val="22"/>
          <w:lang w:val="en-US"/>
        </w:rPr>
        <w:t xml:space="preserve"> and</w:t>
      </w:r>
      <w:r>
        <w:rPr>
          <w:rFonts w:asciiTheme="minorHAnsi" w:hAnsiTheme="minorHAnsi" w:cstheme="minorHAnsi"/>
          <w:szCs w:val="22"/>
          <w:lang w:val="en-US"/>
        </w:rPr>
        <w:t xml:space="preserve"> parental heights,</w:t>
      </w:r>
      <w:r w:rsidR="00372805" w:rsidRPr="002233FF">
        <w:rPr>
          <w:rFonts w:asciiTheme="minorHAnsi" w:hAnsiTheme="minorHAnsi" w:cstheme="minorHAnsi"/>
          <w:szCs w:val="22"/>
          <w:lang w:val="en-US"/>
        </w:rPr>
        <w:t xml:space="preserve"> together with </w:t>
      </w:r>
      <w:r w:rsidR="00847C69">
        <w:rPr>
          <w:rFonts w:asciiTheme="minorHAnsi" w:hAnsiTheme="minorHAnsi" w:cstheme="minorHAnsi"/>
          <w:szCs w:val="22"/>
          <w:lang w:val="en-US"/>
        </w:rPr>
        <w:t>accurate</w:t>
      </w:r>
      <w:r>
        <w:rPr>
          <w:rFonts w:asciiTheme="minorHAnsi" w:hAnsiTheme="minorHAnsi" w:cstheme="minorHAnsi"/>
          <w:szCs w:val="22"/>
          <w:lang w:val="en-US"/>
        </w:rPr>
        <w:t xml:space="preserve"> </w:t>
      </w:r>
      <w:r w:rsidR="00372805" w:rsidRPr="002233FF">
        <w:rPr>
          <w:rFonts w:asciiTheme="minorHAnsi" w:hAnsiTheme="minorHAnsi" w:cstheme="minorHAnsi"/>
          <w:szCs w:val="22"/>
          <w:lang w:val="en-US"/>
        </w:rPr>
        <w:t>longitudinal</w:t>
      </w:r>
      <w:r w:rsidR="00D729A1">
        <w:rPr>
          <w:rFonts w:asciiTheme="minorHAnsi" w:hAnsiTheme="minorHAnsi" w:cstheme="minorHAnsi"/>
          <w:szCs w:val="22"/>
          <w:lang w:val="en-US"/>
        </w:rPr>
        <w:t xml:space="preserve"> </w:t>
      </w:r>
      <w:r w:rsidR="0063061C" w:rsidRPr="003C0477">
        <w:rPr>
          <w:rFonts w:asciiTheme="minorHAnsi" w:hAnsiTheme="minorHAnsi" w:cstheme="minorHAnsi"/>
          <w:b/>
          <w:szCs w:val="22"/>
          <w:lang w:val="en-US"/>
        </w:rPr>
        <w:t xml:space="preserve">annual </w:t>
      </w:r>
      <w:r w:rsidR="00372805" w:rsidRPr="002233FF">
        <w:rPr>
          <w:rFonts w:asciiTheme="minorHAnsi" w:hAnsiTheme="minorHAnsi" w:cstheme="minorHAnsi"/>
          <w:szCs w:val="22"/>
          <w:lang w:val="en-US"/>
        </w:rPr>
        <w:t>growth</w:t>
      </w:r>
      <w:r w:rsidR="00EC6C36">
        <w:rPr>
          <w:rFonts w:asciiTheme="minorHAnsi" w:hAnsiTheme="minorHAnsi" w:cstheme="minorHAnsi"/>
          <w:szCs w:val="22"/>
          <w:lang w:val="en-US"/>
        </w:rPr>
        <w:t>,</w:t>
      </w:r>
      <w:r w:rsidR="00372805" w:rsidRPr="002233FF">
        <w:rPr>
          <w:rFonts w:asciiTheme="minorHAnsi" w:hAnsiTheme="minorHAnsi" w:cstheme="minorHAnsi"/>
          <w:szCs w:val="22"/>
          <w:lang w:val="en-US"/>
        </w:rPr>
        <w:t xml:space="preserve"> puberty</w:t>
      </w:r>
      <w:r w:rsidR="00426777">
        <w:rPr>
          <w:rFonts w:asciiTheme="minorHAnsi" w:hAnsiTheme="minorHAnsi" w:cstheme="minorHAnsi"/>
          <w:szCs w:val="22"/>
          <w:lang w:val="en-US"/>
        </w:rPr>
        <w:t xml:space="preserve"> data</w:t>
      </w:r>
      <w:r w:rsidR="00372805" w:rsidRPr="002233FF">
        <w:rPr>
          <w:rFonts w:asciiTheme="minorHAnsi" w:hAnsiTheme="minorHAnsi" w:cstheme="minorHAnsi"/>
          <w:szCs w:val="22"/>
          <w:lang w:val="en-US"/>
        </w:rPr>
        <w:t>, thyroid</w:t>
      </w:r>
      <w:r w:rsidR="00EC6C36">
        <w:rPr>
          <w:rFonts w:asciiTheme="minorHAnsi" w:hAnsiTheme="minorHAnsi" w:cstheme="minorHAnsi"/>
          <w:szCs w:val="22"/>
          <w:lang w:val="en-US"/>
        </w:rPr>
        <w:t>,</w:t>
      </w:r>
      <w:r w:rsidR="00372805" w:rsidRPr="002233FF">
        <w:rPr>
          <w:rFonts w:asciiTheme="minorHAnsi" w:hAnsiTheme="minorHAnsi" w:cstheme="minorHAnsi"/>
          <w:szCs w:val="22"/>
          <w:lang w:val="en-US"/>
        </w:rPr>
        <w:t xml:space="preserve"> </w:t>
      </w:r>
      <w:r w:rsidR="0063061C">
        <w:rPr>
          <w:rFonts w:asciiTheme="minorHAnsi" w:hAnsiTheme="minorHAnsi" w:cstheme="minorHAnsi"/>
          <w:szCs w:val="22"/>
          <w:lang w:val="en-US"/>
        </w:rPr>
        <w:t xml:space="preserve">and gonadal </w:t>
      </w:r>
      <w:r w:rsidR="00372805" w:rsidRPr="002233FF">
        <w:rPr>
          <w:rFonts w:asciiTheme="minorHAnsi" w:hAnsiTheme="minorHAnsi" w:cstheme="minorHAnsi"/>
          <w:szCs w:val="22"/>
          <w:lang w:val="en-US"/>
        </w:rPr>
        <w:t xml:space="preserve">function </w:t>
      </w:r>
      <w:r w:rsidR="00372805" w:rsidRPr="00750C77">
        <w:rPr>
          <w:rFonts w:asciiTheme="minorHAnsi" w:hAnsiTheme="minorHAnsi" w:cstheme="minorHAnsi"/>
          <w:szCs w:val="22"/>
          <w:lang w:val="en-US"/>
        </w:rPr>
        <w:t>assessments</w:t>
      </w:r>
      <w:r w:rsidR="00F05508" w:rsidRPr="00750C77">
        <w:rPr>
          <w:rFonts w:asciiTheme="minorHAnsi" w:hAnsiTheme="minorHAnsi" w:cstheme="minorHAnsi"/>
          <w:szCs w:val="22"/>
          <w:lang w:val="en-US"/>
        </w:rPr>
        <w:t xml:space="preserve"> </w:t>
      </w:r>
      <w:r w:rsidR="00F05508" w:rsidRPr="00BE64B7">
        <w:rPr>
          <w:rFonts w:asciiTheme="minorHAnsi" w:hAnsiTheme="minorHAnsi" w:cstheme="minorHAnsi"/>
          <w:szCs w:val="22"/>
          <w:lang w:val="en-US"/>
        </w:rPr>
        <w:t xml:space="preserve">from </w:t>
      </w:r>
      <w:r w:rsidR="00750C77" w:rsidRPr="00BE64B7">
        <w:rPr>
          <w:rFonts w:asciiTheme="minorHAnsi" w:hAnsiTheme="minorHAnsi" w:cstheme="minorHAnsi"/>
          <w:szCs w:val="22"/>
          <w:lang w:val="en-US"/>
        </w:rPr>
        <w:t>baseline</w:t>
      </w:r>
      <w:r w:rsidR="00EC6C36" w:rsidRPr="00750C77">
        <w:rPr>
          <w:rFonts w:asciiTheme="minorHAnsi" w:hAnsiTheme="minorHAnsi" w:cstheme="minorHAnsi"/>
          <w:szCs w:val="22"/>
          <w:lang w:val="en-US"/>
        </w:rPr>
        <w:t>,</w:t>
      </w:r>
      <w:r w:rsidR="00372805" w:rsidRPr="00750C77">
        <w:rPr>
          <w:rFonts w:asciiTheme="minorHAnsi" w:hAnsiTheme="minorHAnsi" w:cstheme="minorHAnsi"/>
          <w:szCs w:val="22"/>
          <w:lang w:val="en-US"/>
        </w:rPr>
        <w:t xml:space="preserve"> a</w:t>
      </w:r>
      <w:r w:rsidR="00EC6C36" w:rsidRPr="00750C77">
        <w:rPr>
          <w:rFonts w:asciiTheme="minorHAnsi" w:hAnsiTheme="minorHAnsi" w:cstheme="minorHAnsi"/>
          <w:szCs w:val="22"/>
          <w:lang w:val="en-US"/>
        </w:rPr>
        <w:t xml:space="preserve">s well as </w:t>
      </w:r>
      <w:r w:rsidR="00372805" w:rsidRPr="00750C77">
        <w:rPr>
          <w:rFonts w:asciiTheme="minorHAnsi" w:hAnsiTheme="minorHAnsi" w:cstheme="minorHAnsi"/>
          <w:szCs w:val="22"/>
          <w:lang w:val="en-US"/>
        </w:rPr>
        <w:t>the interval</w:t>
      </w:r>
      <w:r w:rsidR="00372805" w:rsidRPr="002233FF">
        <w:rPr>
          <w:rFonts w:asciiTheme="minorHAnsi" w:hAnsiTheme="minorHAnsi" w:cstheme="minorHAnsi"/>
          <w:szCs w:val="22"/>
          <w:lang w:val="en-US"/>
        </w:rPr>
        <w:t xml:space="preserve"> to </w:t>
      </w:r>
      <w:r w:rsidR="00716473">
        <w:rPr>
          <w:rFonts w:asciiTheme="minorHAnsi" w:hAnsiTheme="minorHAnsi" w:cstheme="minorHAnsi"/>
          <w:szCs w:val="22"/>
          <w:lang w:val="en-US"/>
        </w:rPr>
        <w:t xml:space="preserve">and time on </w:t>
      </w:r>
      <w:r w:rsidR="00372805" w:rsidRPr="002233FF">
        <w:rPr>
          <w:rFonts w:asciiTheme="minorHAnsi" w:hAnsiTheme="minorHAnsi" w:cstheme="minorHAnsi"/>
          <w:szCs w:val="22"/>
          <w:lang w:val="en-US"/>
        </w:rPr>
        <w:t>any hormone replacement therapy</w:t>
      </w:r>
      <w:r w:rsidR="00EC6C36">
        <w:rPr>
          <w:rFonts w:asciiTheme="minorHAnsi" w:hAnsiTheme="minorHAnsi" w:cstheme="minorHAnsi"/>
          <w:szCs w:val="22"/>
          <w:lang w:val="en-US"/>
        </w:rPr>
        <w:t>.</w:t>
      </w:r>
    </w:p>
    <w:p w14:paraId="21513222" w14:textId="77777777" w:rsidR="00372805" w:rsidRPr="002233FF" w:rsidRDefault="00372805" w:rsidP="008F38F1">
      <w:pPr>
        <w:pStyle w:val="Body1"/>
        <w:spacing w:line="480" w:lineRule="auto"/>
        <w:rPr>
          <w:rFonts w:asciiTheme="minorHAnsi" w:hAnsiTheme="minorHAnsi" w:cstheme="minorHAnsi"/>
          <w:szCs w:val="22"/>
          <w:lang w:val="en-US"/>
        </w:rPr>
      </w:pPr>
    </w:p>
    <w:p w14:paraId="42FD0F4E" w14:textId="77777777" w:rsidR="00372805" w:rsidRPr="002233FF" w:rsidRDefault="00372805" w:rsidP="008F38F1">
      <w:pPr>
        <w:pStyle w:val="Body1"/>
        <w:spacing w:line="480" w:lineRule="auto"/>
        <w:rPr>
          <w:rFonts w:asciiTheme="minorHAnsi" w:hAnsiTheme="minorHAnsi" w:cstheme="minorHAnsi"/>
          <w:szCs w:val="22"/>
          <w:lang w:val="en-US"/>
        </w:rPr>
      </w:pPr>
      <w:r w:rsidRPr="002233FF">
        <w:rPr>
          <w:rFonts w:asciiTheme="minorHAnsi" w:hAnsiTheme="minorHAnsi" w:cstheme="minorHAnsi"/>
          <w:szCs w:val="22"/>
          <w:lang w:val="en-US"/>
        </w:rPr>
        <w:t xml:space="preserve">Core measures </w:t>
      </w:r>
      <w:r w:rsidR="00DA5494">
        <w:rPr>
          <w:rFonts w:asciiTheme="minorHAnsi" w:hAnsiTheme="minorHAnsi" w:cstheme="minorHAnsi"/>
          <w:szCs w:val="22"/>
          <w:lang w:val="en-US"/>
        </w:rPr>
        <w:t xml:space="preserve">from </w:t>
      </w:r>
      <w:r w:rsidR="00750C77">
        <w:rPr>
          <w:rFonts w:asciiTheme="minorHAnsi" w:hAnsiTheme="minorHAnsi" w:cstheme="minorHAnsi"/>
          <w:szCs w:val="22"/>
          <w:lang w:val="en-US"/>
        </w:rPr>
        <w:t>baseline</w:t>
      </w:r>
      <w:r w:rsidR="00DA5494">
        <w:rPr>
          <w:rFonts w:asciiTheme="minorHAnsi" w:hAnsiTheme="minorHAnsi" w:cstheme="minorHAnsi"/>
          <w:szCs w:val="22"/>
          <w:lang w:val="en-US"/>
        </w:rPr>
        <w:t xml:space="preserve"> </w:t>
      </w:r>
      <w:r w:rsidRPr="002233FF">
        <w:rPr>
          <w:rFonts w:asciiTheme="minorHAnsi" w:hAnsiTheme="minorHAnsi" w:cstheme="minorHAnsi"/>
          <w:szCs w:val="22"/>
          <w:lang w:val="en-US"/>
        </w:rPr>
        <w:t xml:space="preserve">required for inclusion in European clinical trials must therefore include: </w:t>
      </w:r>
    </w:p>
    <w:p w14:paraId="0140EBB9" w14:textId="77777777" w:rsidR="00372805" w:rsidRPr="002233FF" w:rsidRDefault="00372805" w:rsidP="008F38F1">
      <w:pPr>
        <w:pStyle w:val="Body1"/>
        <w:numPr>
          <w:ilvl w:val="0"/>
          <w:numId w:val="6"/>
        </w:numPr>
        <w:spacing w:line="480" w:lineRule="auto"/>
        <w:rPr>
          <w:rFonts w:asciiTheme="minorHAnsi" w:hAnsiTheme="minorHAnsi" w:cstheme="minorHAnsi"/>
          <w:szCs w:val="22"/>
          <w:lang w:val="en-US"/>
        </w:rPr>
      </w:pPr>
      <w:r w:rsidRPr="002233FF">
        <w:rPr>
          <w:rFonts w:asciiTheme="minorHAnsi" w:hAnsiTheme="minorHAnsi" w:cstheme="minorHAnsi"/>
          <w:szCs w:val="22"/>
          <w:lang w:val="en-US"/>
        </w:rPr>
        <w:t>Birth weight (kg)</w:t>
      </w:r>
    </w:p>
    <w:p w14:paraId="329FB727" w14:textId="77777777" w:rsidR="00372805" w:rsidRPr="002233FF" w:rsidRDefault="00372805" w:rsidP="008F38F1">
      <w:pPr>
        <w:pStyle w:val="Body1"/>
        <w:numPr>
          <w:ilvl w:val="0"/>
          <w:numId w:val="6"/>
        </w:numPr>
        <w:spacing w:line="480" w:lineRule="auto"/>
        <w:rPr>
          <w:rFonts w:asciiTheme="minorHAnsi" w:hAnsiTheme="minorHAnsi" w:cstheme="minorHAnsi"/>
          <w:szCs w:val="22"/>
          <w:lang w:val="en-US"/>
        </w:rPr>
      </w:pPr>
      <w:r w:rsidRPr="002233FF">
        <w:rPr>
          <w:rFonts w:asciiTheme="minorHAnsi" w:hAnsiTheme="minorHAnsi" w:cstheme="minorHAnsi"/>
          <w:szCs w:val="22"/>
          <w:lang w:val="en-US"/>
        </w:rPr>
        <w:t>Gestation (weeks)</w:t>
      </w:r>
    </w:p>
    <w:p w14:paraId="34422DAF" w14:textId="77777777" w:rsidR="00372805" w:rsidRPr="002233FF" w:rsidRDefault="00372805" w:rsidP="008F38F1">
      <w:pPr>
        <w:pStyle w:val="Body1"/>
        <w:numPr>
          <w:ilvl w:val="0"/>
          <w:numId w:val="6"/>
        </w:numPr>
        <w:spacing w:line="480" w:lineRule="auto"/>
        <w:rPr>
          <w:rFonts w:asciiTheme="minorHAnsi" w:hAnsiTheme="minorHAnsi" w:cstheme="minorHAnsi"/>
          <w:szCs w:val="22"/>
          <w:lang w:val="en-US"/>
        </w:rPr>
      </w:pPr>
      <w:r w:rsidRPr="002233FF">
        <w:rPr>
          <w:rFonts w:asciiTheme="minorHAnsi" w:hAnsiTheme="minorHAnsi" w:cstheme="minorHAnsi"/>
          <w:szCs w:val="22"/>
          <w:lang w:val="en-US"/>
        </w:rPr>
        <w:t>Parental heights (cm) from which mid-parental target height can be calculated</w:t>
      </w:r>
    </w:p>
    <w:p w14:paraId="69DF61BC" w14:textId="77777777" w:rsidR="00372805" w:rsidRPr="002233FF" w:rsidRDefault="00372805" w:rsidP="008F38F1">
      <w:pPr>
        <w:pStyle w:val="Body1"/>
        <w:numPr>
          <w:ilvl w:val="0"/>
          <w:numId w:val="6"/>
        </w:numPr>
        <w:spacing w:line="480" w:lineRule="auto"/>
        <w:rPr>
          <w:rFonts w:asciiTheme="minorHAnsi" w:hAnsiTheme="minorHAnsi" w:cstheme="minorHAnsi"/>
          <w:szCs w:val="22"/>
          <w:lang w:val="en-US"/>
        </w:rPr>
      </w:pPr>
      <w:r w:rsidRPr="002233FF">
        <w:rPr>
          <w:rFonts w:asciiTheme="minorHAnsi" w:hAnsiTheme="minorHAnsi" w:cstheme="minorHAnsi"/>
          <w:szCs w:val="22"/>
          <w:lang w:val="en-US"/>
        </w:rPr>
        <w:t>Standing height (cm</w:t>
      </w:r>
      <w:r w:rsidR="00220282">
        <w:rPr>
          <w:rFonts w:asciiTheme="minorHAnsi" w:hAnsiTheme="minorHAnsi" w:cstheme="minorHAnsi"/>
          <w:szCs w:val="22"/>
          <w:lang w:val="en-US"/>
        </w:rPr>
        <w:t>)</w:t>
      </w:r>
      <w:r w:rsidR="003E4583" w:rsidRPr="002233FF">
        <w:rPr>
          <w:rFonts w:asciiTheme="minorHAnsi" w:hAnsiTheme="minorHAnsi" w:cstheme="minorHAnsi"/>
          <w:szCs w:val="22"/>
          <w:lang w:val="en-US"/>
        </w:rPr>
        <w:t xml:space="preserve"> or lying heights (if less tha</w:t>
      </w:r>
      <w:r w:rsidR="00B63798">
        <w:rPr>
          <w:rFonts w:asciiTheme="minorHAnsi" w:hAnsiTheme="minorHAnsi" w:cstheme="minorHAnsi"/>
          <w:szCs w:val="22"/>
          <w:lang w:val="en-US"/>
        </w:rPr>
        <w:t>n</w:t>
      </w:r>
      <w:r w:rsidR="003E4583" w:rsidRPr="002233FF">
        <w:rPr>
          <w:rFonts w:asciiTheme="minorHAnsi" w:hAnsiTheme="minorHAnsi" w:cstheme="minorHAnsi"/>
          <w:szCs w:val="22"/>
          <w:lang w:val="en-US"/>
        </w:rPr>
        <w:t xml:space="preserve"> 2-3</w:t>
      </w:r>
      <w:r w:rsidR="00D742E9" w:rsidRPr="002233FF">
        <w:rPr>
          <w:rFonts w:asciiTheme="minorHAnsi" w:hAnsiTheme="minorHAnsi" w:cstheme="minorHAnsi"/>
          <w:szCs w:val="22"/>
          <w:lang w:val="en-US"/>
        </w:rPr>
        <w:t xml:space="preserve"> </w:t>
      </w:r>
      <w:r w:rsidR="003E4583" w:rsidRPr="002233FF">
        <w:rPr>
          <w:rFonts w:asciiTheme="minorHAnsi" w:hAnsiTheme="minorHAnsi" w:cstheme="minorHAnsi"/>
          <w:szCs w:val="22"/>
          <w:lang w:val="en-US"/>
        </w:rPr>
        <w:t>ye</w:t>
      </w:r>
      <w:r w:rsidR="00D742E9" w:rsidRPr="002233FF">
        <w:rPr>
          <w:rFonts w:asciiTheme="minorHAnsi" w:hAnsiTheme="minorHAnsi" w:cstheme="minorHAnsi"/>
          <w:szCs w:val="22"/>
          <w:lang w:val="en-US"/>
        </w:rPr>
        <w:t>ar</w:t>
      </w:r>
      <w:r w:rsidR="003E4583" w:rsidRPr="002233FF">
        <w:rPr>
          <w:rFonts w:asciiTheme="minorHAnsi" w:hAnsiTheme="minorHAnsi" w:cstheme="minorHAnsi"/>
          <w:szCs w:val="22"/>
          <w:lang w:val="en-US"/>
        </w:rPr>
        <w:t xml:space="preserve">s) </w:t>
      </w:r>
    </w:p>
    <w:p w14:paraId="39B5529C" w14:textId="77777777" w:rsidR="00372805" w:rsidRPr="002233FF" w:rsidRDefault="00372805" w:rsidP="008F38F1">
      <w:pPr>
        <w:pStyle w:val="Body1"/>
        <w:numPr>
          <w:ilvl w:val="0"/>
          <w:numId w:val="6"/>
        </w:numPr>
        <w:spacing w:line="480" w:lineRule="auto"/>
        <w:rPr>
          <w:rFonts w:asciiTheme="minorHAnsi" w:hAnsiTheme="minorHAnsi" w:cstheme="minorHAnsi"/>
          <w:szCs w:val="22"/>
          <w:lang w:val="en-US"/>
        </w:rPr>
      </w:pPr>
      <w:r w:rsidRPr="002233FF">
        <w:rPr>
          <w:rFonts w:asciiTheme="minorHAnsi" w:hAnsiTheme="minorHAnsi" w:cstheme="minorHAnsi"/>
          <w:szCs w:val="22"/>
          <w:lang w:val="en-US"/>
        </w:rPr>
        <w:t>Sitting height (cm) from which to calculate relative body proportions and spinal deficit</w:t>
      </w:r>
      <w:r w:rsidR="003E4583" w:rsidRPr="002233FF">
        <w:rPr>
          <w:rFonts w:asciiTheme="minorHAnsi" w:hAnsiTheme="minorHAnsi" w:cstheme="minorHAnsi"/>
          <w:szCs w:val="22"/>
          <w:lang w:val="en-US"/>
        </w:rPr>
        <w:t xml:space="preserve"> or crown rump measurements</w:t>
      </w:r>
      <w:r w:rsidR="00B63798">
        <w:rPr>
          <w:rFonts w:asciiTheme="minorHAnsi" w:hAnsiTheme="minorHAnsi" w:cstheme="minorHAnsi"/>
          <w:szCs w:val="22"/>
          <w:lang w:val="en-US"/>
        </w:rPr>
        <w:t>, t</w:t>
      </w:r>
      <w:r w:rsidR="003E4583" w:rsidRPr="002233FF">
        <w:rPr>
          <w:rFonts w:asciiTheme="minorHAnsi" w:hAnsiTheme="minorHAnsi" w:cstheme="minorHAnsi"/>
          <w:szCs w:val="22"/>
          <w:lang w:val="en-US"/>
        </w:rPr>
        <w:t xml:space="preserve">aken lying </w:t>
      </w:r>
      <w:r w:rsidR="00E113B4">
        <w:rPr>
          <w:rFonts w:asciiTheme="minorHAnsi" w:hAnsiTheme="minorHAnsi" w:cstheme="minorHAnsi"/>
          <w:szCs w:val="22"/>
          <w:lang w:val="en-US"/>
        </w:rPr>
        <w:t xml:space="preserve">(if less than 3 years) </w:t>
      </w:r>
    </w:p>
    <w:p w14:paraId="7C2EFCA4" w14:textId="77777777" w:rsidR="00372805" w:rsidRPr="002233FF" w:rsidRDefault="00372805" w:rsidP="008F38F1">
      <w:pPr>
        <w:pStyle w:val="Body1"/>
        <w:numPr>
          <w:ilvl w:val="0"/>
          <w:numId w:val="6"/>
        </w:numPr>
        <w:spacing w:line="480" w:lineRule="auto"/>
        <w:rPr>
          <w:rFonts w:asciiTheme="minorHAnsi" w:hAnsiTheme="minorHAnsi" w:cstheme="minorHAnsi"/>
          <w:szCs w:val="22"/>
          <w:lang w:val="en-US"/>
        </w:rPr>
      </w:pPr>
      <w:r w:rsidRPr="002233FF">
        <w:rPr>
          <w:rFonts w:asciiTheme="minorHAnsi" w:hAnsiTheme="minorHAnsi" w:cstheme="minorHAnsi"/>
          <w:szCs w:val="22"/>
          <w:lang w:val="en-US"/>
        </w:rPr>
        <w:t>Weight (kg) for body mass index calculation</w:t>
      </w:r>
    </w:p>
    <w:p w14:paraId="319F14D8" w14:textId="77777777" w:rsidR="00372805" w:rsidRPr="002233FF" w:rsidRDefault="00372805" w:rsidP="008F38F1">
      <w:pPr>
        <w:pStyle w:val="Body1"/>
        <w:numPr>
          <w:ilvl w:val="0"/>
          <w:numId w:val="6"/>
        </w:numPr>
        <w:spacing w:line="480" w:lineRule="auto"/>
        <w:rPr>
          <w:rFonts w:asciiTheme="minorHAnsi" w:hAnsiTheme="minorHAnsi" w:cstheme="minorHAnsi"/>
          <w:szCs w:val="22"/>
          <w:lang w:val="en-US"/>
        </w:rPr>
      </w:pPr>
      <w:bookmarkStart w:id="6" w:name="_Hlk527965327"/>
      <w:r w:rsidRPr="002233FF">
        <w:rPr>
          <w:rFonts w:asciiTheme="minorHAnsi" w:hAnsiTheme="minorHAnsi" w:cstheme="minorHAnsi"/>
          <w:szCs w:val="22"/>
          <w:lang w:val="en-US"/>
        </w:rPr>
        <w:t>Tanner Pubertal Staging (and age at menarche in girls</w:t>
      </w:r>
      <w:r w:rsidR="009C4D85" w:rsidRPr="002233FF">
        <w:rPr>
          <w:rFonts w:asciiTheme="minorHAnsi" w:hAnsiTheme="minorHAnsi" w:cstheme="minorHAnsi"/>
          <w:szCs w:val="22"/>
          <w:lang w:val="en-US"/>
        </w:rPr>
        <w:t>), history on menstrual cycle</w:t>
      </w:r>
    </w:p>
    <w:p w14:paraId="3EEF6049" w14:textId="77777777" w:rsidR="00372805" w:rsidRPr="002233FF" w:rsidRDefault="00B63798" w:rsidP="008F38F1">
      <w:pPr>
        <w:pStyle w:val="Body1"/>
        <w:numPr>
          <w:ilvl w:val="0"/>
          <w:numId w:val="6"/>
        </w:numPr>
        <w:spacing w:line="480" w:lineRule="auto"/>
        <w:rPr>
          <w:rFonts w:asciiTheme="minorHAnsi" w:hAnsiTheme="minorHAnsi" w:cstheme="minorHAnsi"/>
          <w:szCs w:val="22"/>
          <w:lang w:val="en-US"/>
        </w:rPr>
      </w:pPr>
      <w:r>
        <w:rPr>
          <w:rFonts w:asciiTheme="minorHAnsi" w:hAnsiTheme="minorHAnsi" w:cstheme="minorHAnsi"/>
          <w:szCs w:val="22"/>
          <w:lang w:val="en-US"/>
        </w:rPr>
        <w:t xml:space="preserve">Concentration of </w:t>
      </w:r>
      <w:r w:rsidR="009C4D85" w:rsidRPr="002233FF">
        <w:rPr>
          <w:rFonts w:asciiTheme="minorHAnsi" w:hAnsiTheme="minorHAnsi" w:cstheme="minorHAnsi"/>
          <w:szCs w:val="22"/>
          <w:lang w:val="en-US"/>
        </w:rPr>
        <w:t xml:space="preserve">FT4 and </w:t>
      </w:r>
      <w:r w:rsidR="00372805" w:rsidRPr="002233FF">
        <w:rPr>
          <w:rFonts w:asciiTheme="minorHAnsi" w:hAnsiTheme="minorHAnsi" w:cstheme="minorHAnsi"/>
          <w:szCs w:val="22"/>
          <w:lang w:val="en-US"/>
        </w:rPr>
        <w:t>thyroid stimulating hormone (TSH)</w:t>
      </w:r>
    </w:p>
    <w:p w14:paraId="004DA4BE" w14:textId="77777777" w:rsidR="00C403F0" w:rsidRPr="003478DE" w:rsidRDefault="00C403F0" w:rsidP="008F38F1">
      <w:pPr>
        <w:pStyle w:val="Body1"/>
        <w:numPr>
          <w:ilvl w:val="0"/>
          <w:numId w:val="6"/>
        </w:numPr>
        <w:spacing w:line="480" w:lineRule="auto"/>
        <w:rPr>
          <w:rFonts w:asciiTheme="minorHAnsi" w:hAnsiTheme="minorHAnsi" w:cstheme="minorHAnsi"/>
          <w:szCs w:val="22"/>
          <w:lang w:val="en-US"/>
        </w:rPr>
      </w:pPr>
      <w:r w:rsidRPr="003478DE">
        <w:rPr>
          <w:rFonts w:asciiTheme="minorHAnsi" w:hAnsiTheme="minorHAnsi" w:cstheme="minorHAnsi"/>
          <w:szCs w:val="22"/>
          <w:lang w:val="en-US"/>
        </w:rPr>
        <w:t>FSH</w:t>
      </w:r>
      <w:r w:rsidR="00B63798" w:rsidRPr="003478DE">
        <w:rPr>
          <w:rFonts w:asciiTheme="minorHAnsi" w:hAnsiTheme="minorHAnsi" w:cstheme="minorHAnsi"/>
          <w:szCs w:val="22"/>
          <w:lang w:val="en-US"/>
        </w:rPr>
        <w:t xml:space="preserve"> in girls and boys</w:t>
      </w:r>
      <w:r w:rsidR="00750C77" w:rsidRPr="003478DE">
        <w:rPr>
          <w:rStyle w:val="FootnoteReference"/>
          <w:rFonts w:asciiTheme="minorHAnsi" w:hAnsiTheme="minorHAnsi" w:cstheme="minorHAnsi"/>
          <w:szCs w:val="22"/>
          <w:lang w:val="en-US"/>
        </w:rPr>
        <w:footnoteReference w:id="1"/>
      </w:r>
      <w:r w:rsidR="00B63798" w:rsidRPr="003478DE">
        <w:rPr>
          <w:rFonts w:asciiTheme="minorHAnsi" w:hAnsiTheme="minorHAnsi" w:cstheme="minorHAnsi"/>
          <w:szCs w:val="22"/>
          <w:lang w:val="en-US"/>
        </w:rPr>
        <w:t xml:space="preserve"> </w:t>
      </w:r>
    </w:p>
    <w:bookmarkEnd w:id="6"/>
    <w:p w14:paraId="3DB5C6CB" w14:textId="77777777" w:rsidR="00372805" w:rsidRPr="003478DE" w:rsidRDefault="00372805" w:rsidP="008F38F1">
      <w:pPr>
        <w:pStyle w:val="Body1"/>
        <w:numPr>
          <w:ilvl w:val="0"/>
          <w:numId w:val="6"/>
        </w:numPr>
        <w:spacing w:line="480" w:lineRule="auto"/>
        <w:rPr>
          <w:rFonts w:asciiTheme="minorHAnsi" w:hAnsiTheme="minorHAnsi" w:cstheme="minorHAnsi"/>
          <w:szCs w:val="22"/>
          <w:lang w:val="en-US"/>
        </w:rPr>
      </w:pPr>
      <w:r w:rsidRPr="003478DE">
        <w:rPr>
          <w:rFonts w:asciiTheme="minorHAnsi" w:hAnsiTheme="minorHAnsi" w:cstheme="minorHAnsi"/>
          <w:szCs w:val="22"/>
          <w:lang w:val="en-US"/>
        </w:rPr>
        <w:t xml:space="preserve">Start and end dates of any hormone replacement therapy </w:t>
      </w:r>
    </w:p>
    <w:p w14:paraId="01983550" w14:textId="77777777" w:rsidR="00372805" w:rsidRPr="002233FF" w:rsidRDefault="00372805" w:rsidP="008F38F1">
      <w:pPr>
        <w:pStyle w:val="Body1"/>
        <w:spacing w:line="480" w:lineRule="auto"/>
        <w:rPr>
          <w:rFonts w:asciiTheme="minorHAnsi" w:hAnsiTheme="minorHAnsi" w:cstheme="minorHAnsi"/>
          <w:szCs w:val="22"/>
          <w:lang w:val="en-US"/>
        </w:rPr>
      </w:pPr>
      <w:r w:rsidRPr="003478DE">
        <w:rPr>
          <w:rFonts w:asciiTheme="minorHAnsi" w:hAnsiTheme="minorHAnsi" w:cstheme="minorHAnsi"/>
          <w:szCs w:val="22"/>
          <w:lang w:val="en-US"/>
        </w:rPr>
        <w:t xml:space="preserve">These core measures should be collected at baseline </w:t>
      </w:r>
      <w:r w:rsidR="00DA5494" w:rsidRPr="003478DE">
        <w:rPr>
          <w:rFonts w:asciiTheme="minorHAnsi" w:hAnsiTheme="minorHAnsi" w:cstheme="minorHAnsi"/>
          <w:szCs w:val="22"/>
          <w:lang w:val="en-US"/>
        </w:rPr>
        <w:t xml:space="preserve">(diagnosis) </w:t>
      </w:r>
      <w:r w:rsidRPr="003478DE">
        <w:rPr>
          <w:rFonts w:asciiTheme="minorHAnsi" w:hAnsiTheme="minorHAnsi" w:cstheme="minorHAnsi"/>
          <w:szCs w:val="22"/>
          <w:lang w:val="en-US"/>
        </w:rPr>
        <w:t xml:space="preserve">via the </w:t>
      </w:r>
      <w:r w:rsidR="001C40F5" w:rsidRPr="003478DE">
        <w:rPr>
          <w:rFonts w:asciiTheme="minorHAnsi" w:hAnsiTheme="minorHAnsi" w:cstheme="minorHAnsi"/>
          <w:szCs w:val="22"/>
          <w:lang w:val="en-US"/>
        </w:rPr>
        <w:t>CRF</w:t>
      </w:r>
      <w:r w:rsidRPr="003478DE">
        <w:rPr>
          <w:rFonts w:asciiTheme="minorHAnsi" w:hAnsiTheme="minorHAnsi" w:cstheme="minorHAnsi"/>
          <w:szCs w:val="22"/>
          <w:lang w:val="en-US"/>
        </w:rPr>
        <w:t xml:space="preserve">. Items 1 and 3 are also gathered using the MEES (see indirect measures above). Items 4-9 should be repeated at annual intervals or </w:t>
      </w:r>
      <w:r w:rsidR="00C422F1" w:rsidRPr="003478DE">
        <w:rPr>
          <w:rFonts w:asciiTheme="minorHAnsi" w:hAnsiTheme="minorHAnsi" w:cstheme="minorHAnsi"/>
          <w:szCs w:val="22"/>
          <w:lang w:val="en-US"/>
        </w:rPr>
        <w:t xml:space="preserve">at </w:t>
      </w:r>
      <w:r w:rsidRPr="003478DE">
        <w:rPr>
          <w:rFonts w:asciiTheme="minorHAnsi" w:hAnsiTheme="minorHAnsi" w:cstheme="minorHAnsi"/>
          <w:szCs w:val="22"/>
          <w:lang w:val="en-US"/>
        </w:rPr>
        <w:t>pre-specified cross-sectional assessment intervals thereafter</w:t>
      </w:r>
      <w:r w:rsidR="00B5365E" w:rsidRPr="003478DE">
        <w:rPr>
          <w:rFonts w:asciiTheme="minorHAnsi" w:hAnsiTheme="minorHAnsi" w:cstheme="minorHAnsi"/>
          <w:szCs w:val="22"/>
          <w:lang w:val="en-US"/>
        </w:rPr>
        <w:t>, dependent on the trial</w:t>
      </w:r>
      <w:r w:rsidRPr="003478DE">
        <w:rPr>
          <w:rFonts w:asciiTheme="minorHAnsi" w:hAnsiTheme="minorHAnsi" w:cstheme="minorHAnsi"/>
          <w:szCs w:val="22"/>
          <w:lang w:val="en-US"/>
        </w:rPr>
        <w:t>.</w:t>
      </w:r>
      <w:r w:rsidRPr="002233FF">
        <w:rPr>
          <w:rFonts w:asciiTheme="minorHAnsi" w:hAnsiTheme="minorHAnsi" w:cstheme="minorHAnsi"/>
          <w:szCs w:val="22"/>
          <w:lang w:val="en-US"/>
        </w:rPr>
        <w:t xml:space="preserve"> </w:t>
      </w:r>
    </w:p>
    <w:p w14:paraId="4741FE93" w14:textId="77777777" w:rsidR="00372805" w:rsidRPr="002233FF" w:rsidRDefault="00372805" w:rsidP="008F38F1">
      <w:pPr>
        <w:pStyle w:val="Body1"/>
        <w:spacing w:line="480" w:lineRule="auto"/>
        <w:rPr>
          <w:rFonts w:asciiTheme="minorHAnsi" w:hAnsiTheme="minorHAnsi" w:cstheme="minorHAnsi"/>
          <w:szCs w:val="22"/>
          <w:lang w:val="en-US"/>
        </w:rPr>
      </w:pPr>
    </w:p>
    <w:p w14:paraId="49D0364E" w14:textId="77777777" w:rsidR="00372805" w:rsidRPr="002233FF" w:rsidRDefault="00372805" w:rsidP="008F38F1">
      <w:pPr>
        <w:pStyle w:val="Body1"/>
        <w:spacing w:line="480" w:lineRule="auto"/>
        <w:rPr>
          <w:rFonts w:asciiTheme="minorHAnsi" w:hAnsiTheme="minorHAnsi" w:cstheme="minorHAnsi"/>
          <w:szCs w:val="22"/>
          <w:lang w:val="en-US"/>
        </w:rPr>
      </w:pPr>
      <w:r w:rsidRPr="002233FF">
        <w:rPr>
          <w:rFonts w:asciiTheme="minorHAnsi" w:hAnsiTheme="minorHAnsi" w:cstheme="minorHAnsi"/>
          <w:szCs w:val="22"/>
          <w:lang w:val="en-US"/>
        </w:rPr>
        <w:t xml:space="preserve">Additional " plus" assessments of </w:t>
      </w:r>
      <w:r w:rsidR="003D338E">
        <w:rPr>
          <w:rFonts w:asciiTheme="minorHAnsi" w:hAnsiTheme="minorHAnsi" w:cstheme="minorHAnsi"/>
          <w:szCs w:val="22"/>
          <w:lang w:val="en-US"/>
        </w:rPr>
        <w:t>a</w:t>
      </w:r>
      <w:r w:rsidR="003D338E" w:rsidRPr="003478DE">
        <w:rPr>
          <w:rFonts w:asciiTheme="minorHAnsi" w:hAnsiTheme="minorHAnsi" w:cstheme="minorHAnsi"/>
          <w:szCs w:val="22"/>
          <w:lang w:val="en-US"/>
        </w:rPr>
        <w:t>) tri</w:t>
      </w:r>
      <w:r w:rsidR="00CB5F5E" w:rsidRPr="003478DE">
        <w:rPr>
          <w:rFonts w:asciiTheme="minorHAnsi" w:hAnsiTheme="minorHAnsi" w:cstheme="minorHAnsi"/>
          <w:szCs w:val="22"/>
          <w:lang w:val="en-US"/>
        </w:rPr>
        <w:t>phasic salt and water imbalance perioperatively (plasma sodium &lt;130 or &gt;150</w:t>
      </w:r>
      <w:r w:rsidR="003D338E" w:rsidRPr="003478DE">
        <w:rPr>
          <w:rFonts w:asciiTheme="minorHAnsi" w:hAnsiTheme="minorHAnsi" w:cstheme="minorHAnsi"/>
          <w:szCs w:val="22"/>
          <w:lang w:val="en-US"/>
        </w:rPr>
        <w:t xml:space="preserve"> mmol/l</w:t>
      </w:r>
      <w:r w:rsidR="00CB5F5E" w:rsidRPr="003478DE">
        <w:rPr>
          <w:rFonts w:asciiTheme="minorHAnsi" w:hAnsiTheme="minorHAnsi" w:cstheme="minorHAnsi"/>
          <w:szCs w:val="22"/>
          <w:lang w:val="en-US"/>
        </w:rPr>
        <w:t>) and b) d</w:t>
      </w:r>
      <w:r w:rsidR="003D338E" w:rsidRPr="003478DE">
        <w:rPr>
          <w:rFonts w:asciiTheme="minorHAnsi" w:hAnsiTheme="minorHAnsi" w:cstheme="minorHAnsi"/>
          <w:szCs w:val="22"/>
          <w:lang w:val="en-US"/>
        </w:rPr>
        <w:t xml:space="preserve">etailed assessment of </w:t>
      </w:r>
      <w:r w:rsidR="00B50AE9" w:rsidRPr="003478DE">
        <w:rPr>
          <w:rFonts w:asciiTheme="minorHAnsi" w:hAnsiTheme="minorHAnsi" w:cstheme="minorHAnsi"/>
          <w:szCs w:val="22"/>
          <w:lang w:val="en-US"/>
        </w:rPr>
        <w:t>hypothalamo</w:t>
      </w:r>
      <w:r w:rsidR="00A35912" w:rsidRPr="003478DE">
        <w:rPr>
          <w:rFonts w:asciiTheme="minorHAnsi" w:hAnsiTheme="minorHAnsi" w:cstheme="minorHAnsi"/>
          <w:szCs w:val="22"/>
          <w:lang w:val="en-US"/>
        </w:rPr>
        <w:t>-</w:t>
      </w:r>
      <w:r w:rsidR="00B50AE9" w:rsidRPr="003478DE">
        <w:rPr>
          <w:rFonts w:asciiTheme="minorHAnsi" w:hAnsiTheme="minorHAnsi" w:cstheme="minorHAnsi"/>
          <w:szCs w:val="22"/>
          <w:lang w:val="en-US"/>
        </w:rPr>
        <w:t xml:space="preserve">pituitary </w:t>
      </w:r>
      <w:r w:rsidR="00AB070D" w:rsidRPr="003478DE">
        <w:rPr>
          <w:rFonts w:asciiTheme="minorHAnsi" w:hAnsiTheme="minorHAnsi" w:cstheme="minorHAnsi"/>
          <w:szCs w:val="22"/>
          <w:lang w:val="en-US"/>
        </w:rPr>
        <w:t>h</w:t>
      </w:r>
      <w:r w:rsidRPr="003478DE">
        <w:rPr>
          <w:rFonts w:asciiTheme="minorHAnsi" w:hAnsiTheme="minorHAnsi" w:cstheme="minorHAnsi"/>
          <w:szCs w:val="22"/>
          <w:lang w:val="en-US"/>
        </w:rPr>
        <w:t>ormone function</w:t>
      </w:r>
      <w:r w:rsidR="00CB5F5E" w:rsidRPr="003478DE">
        <w:rPr>
          <w:rFonts w:asciiTheme="minorHAnsi" w:hAnsiTheme="minorHAnsi" w:cstheme="minorHAnsi"/>
          <w:szCs w:val="22"/>
          <w:lang w:val="en-US"/>
        </w:rPr>
        <w:t xml:space="preserve"> to inform EEFS and EMS </w:t>
      </w:r>
      <w:r w:rsidRPr="003478DE">
        <w:rPr>
          <w:rFonts w:asciiTheme="minorHAnsi" w:hAnsiTheme="minorHAnsi" w:cstheme="minorHAnsi"/>
          <w:szCs w:val="22"/>
          <w:lang w:val="en-US"/>
        </w:rPr>
        <w:t xml:space="preserve">are likely to be specific to central, suprasellar tumours irrespective of their histology and may include dynamic </w:t>
      </w:r>
      <w:r w:rsidR="003D338E" w:rsidRPr="003478DE">
        <w:rPr>
          <w:rFonts w:asciiTheme="minorHAnsi" w:hAnsiTheme="minorHAnsi" w:cstheme="minorHAnsi"/>
          <w:szCs w:val="22"/>
          <w:lang w:val="en-US"/>
        </w:rPr>
        <w:t xml:space="preserve">pituitary provocation testing </w:t>
      </w:r>
      <w:r w:rsidRPr="003478DE">
        <w:rPr>
          <w:rFonts w:asciiTheme="minorHAnsi" w:hAnsiTheme="minorHAnsi" w:cstheme="minorHAnsi"/>
          <w:szCs w:val="22"/>
          <w:lang w:val="en-US"/>
        </w:rPr>
        <w:t>or hormonal profiling performed longitudinally from baseline and at pre-specified intervals thereafter.</w:t>
      </w:r>
      <w:r w:rsidRPr="002233FF">
        <w:rPr>
          <w:rFonts w:asciiTheme="minorHAnsi" w:hAnsiTheme="minorHAnsi" w:cstheme="minorHAnsi"/>
          <w:szCs w:val="22"/>
          <w:lang w:val="en-US"/>
        </w:rPr>
        <w:t xml:space="preserve"> </w:t>
      </w:r>
    </w:p>
    <w:p w14:paraId="53C018AA" w14:textId="77777777" w:rsidR="00372805" w:rsidRPr="002233FF" w:rsidRDefault="00372805" w:rsidP="008F38F1">
      <w:pPr>
        <w:pStyle w:val="Body1"/>
        <w:spacing w:line="480" w:lineRule="auto"/>
        <w:rPr>
          <w:rFonts w:asciiTheme="minorHAnsi" w:hAnsiTheme="minorHAnsi" w:cstheme="minorHAnsi"/>
          <w:szCs w:val="22"/>
          <w:lang w:val="en-US"/>
        </w:rPr>
      </w:pPr>
    </w:p>
    <w:p w14:paraId="0B7F12CB" w14:textId="77777777" w:rsidR="00372805" w:rsidRPr="007C67B3" w:rsidRDefault="00372805" w:rsidP="008F38F1">
      <w:pPr>
        <w:pStyle w:val="Body1"/>
        <w:numPr>
          <w:ilvl w:val="0"/>
          <w:numId w:val="1"/>
        </w:numPr>
        <w:spacing w:line="480" w:lineRule="auto"/>
        <w:rPr>
          <w:rFonts w:asciiTheme="minorHAnsi" w:hAnsiTheme="minorHAnsi" w:cstheme="minorHAnsi"/>
          <w:b/>
          <w:szCs w:val="22"/>
          <w:lang w:val="en-US"/>
        </w:rPr>
      </w:pPr>
      <w:r w:rsidRPr="007C67B3">
        <w:rPr>
          <w:rFonts w:asciiTheme="minorHAnsi" w:hAnsiTheme="minorHAnsi" w:cstheme="minorHAnsi"/>
          <w:b/>
          <w:szCs w:val="22"/>
          <w:lang w:val="en-US"/>
        </w:rPr>
        <w:t>Individuals with Sensory Impairments</w:t>
      </w:r>
    </w:p>
    <w:p w14:paraId="2500B1D7" w14:textId="12DA7E51" w:rsidR="00372805" w:rsidRPr="007C67B3" w:rsidRDefault="00372805" w:rsidP="002A0F21">
      <w:pPr>
        <w:pStyle w:val="Body1"/>
        <w:spacing w:line="480" w:lineRule="auto"/>
        <w:rPr>
          <w:rFonts w:asciiTheme="minorHAnsi" w:hAnsiTheme="minorHAnsi" w:cstheme="minorHAnsi"/>
          <w:szCs w:val="22"/>
          <w:lang w:val="en-US"/>
        </w:rPr>
      </w:pPr>
      <w:r w:rsidRPr="007C67B3">
        <w:rPr>
          <w:rFonts w:asciiTheme="minorHAnsi" w:hAnsiTheme="minorHAnsi" w:cstheme="minorHAnsi"/>
          <w:szCs w:val="22"/>
          <w:lang w:val="en-US"/>
        </w:rPr>
        <w:t>As discussed in Limond et al</w:t>
      </w:r>
      <w:r w:rsidR="008B50B7" w:rsidRPr="007C67B3">
        <w:rPr>
          <w:rFonts w:asciiTheme="minorHAnsi" w:hAnsiTheme="minorHAnsi" w:cstheme="minorHAnsi"/>
          <w:szCs w:val="22"/>
          <w:lang w:val="en-US"/>
        </w:rPr>
        <w:t>.</w:t>
      </w:r>
      <w:r w:rsidR="006917C8">
        <w:rPr>
          <w:rFonts w:asciiTheme="minorHAnsi" w:hAnsiTheme="minorHAnsi" w:cstheme="minorHAnsi"/>
          <w:b/>
          <w:szCs w:val="22"/>
          <w:vertAlign w:val="superscript"/>
          <w:lang w:val="en-US"/>
        </w:rPr>
        <w:t>9</w:t>
      </w:r>
      <w:r w:rsidRPr="007C67B3">
        <w:rPr>
          <w:rFonts w:asciiTheme="minorHAnsi" w:hAnsiTheme="minorHAnsi" w:cstheme="minorHAnsi"/>
          <w:szCs w:val="22"/>
          <w:lang w:val="en-US"/>
        </w:rPr>
        <w:t xml:space="preserve"> children receiving treatment for a brain tumour may experience motor, visual, and auditory impairments that may limit the use of direct assessment </w:t>
      </w:r>
      <w:r w:rsidR="007760B5" w:rsidRPr="007C67B3">
        <w:rPr>
          <w:rFonts w:asciiTheme="minorHAnsi" w:hAnsiTheme="minorHAnsi" w:cstheme="minorHAnsi"/>
          <w:szCs w:val="22"/>
          <w:lang w:val="en-US"/>
        </w:rPr>
        <w:t>and affect</w:t>
      </w:r>
      <w:r w:rsidR="001B2CC3" w:rsidRPr="007C67B3">
        <w:rPr>
          <w:rFonts w:asciiTheme="minorHAnsi" w:hAnsiTheme="minorHAnsi" w:cstheme="minorHAnsi"/>
          <w:szCs w:val="22"/>
          <w:lang w:val="en-US"/>
        </w:rPr>
        <w:t xml:space="preserve"> </w:t>
      </w:r>
      <w:r w:rsidR="007760B5" w:rsidRPr="007C67B3">
        <w:rPr>
          <w:rFonts w:asciiTheme="minorHAnsi" w:hAnsiTheme="minorHAnsi" w:cstheme="minorHAnsi"/>
          <w:szCs w:val="22"/>
          <w:lang w:val="en-US"/>
        </w:rPr>
        <w:t xml:space="preserve">interpretation of both direct and </w:t>
      </w:r>
      <w:r w:rsidRPr="007C67B3">
        <w:rPr>
          <w:rFonts w:asciiTheme="minorHAnsi" w:hAnsiTheme="minorHAnsi" w:cstheme="minorHAnsi"/>
          <w:szCs w:val="22"/>
          <w:lang w:val="en-US"/>
        </w:rPr>
        <w:t>indirect assessment</w:t>
      </w:r>
      <w:r w:rsidR="007760B5" w:rsidRPr="007C67B3">
        <w:rPr>
          <w:rFonts w:asciiTheme="minorHAnsi" w:hAnsiTheme="minorHAnsi" w:cstheme="minorHAnsi"/>
          <w:szCs w:val="22"/>
          <w:lang w:val="en-US"/>
        </w:rPr>
        <w:t xml:space="preserve"> results</w:t>
      </w:r>
      <w:r w:rsidRPr="007C67B3">
        <w:rPr>
          <w:rFonts w:asciiTheme="minorHAnsi" w:hAnsiTheme="minorHAnsi" w:cstheme="minorHAnsi"/>
          <w:szCs w:val="22"/>
          <w:lang w:val="en-US"/>
        </w:rPr>
        <w:t xml:space="preserve">. </w:t>
      </w:r>
      <w:r w:rsidR="00021D45" w:rsidRPr="007C67B3">
        <w:rPr>
          <w:rFonts w:asciiTheme="minorHAnsi" w:hAnsiTheme="minorHAnsi" w:cstheme="minorHAnsi"/>
          <w:szCs w:val="22"/>
          <w:lang w:val="en-US"/>
        </w:rPr>
        <w:t xml:space="preserve">The presence of sensory impairments should be recorded on the eCRF so this can be taken into account at interpretation and analysis. </w:t>
      </w:r>
      <w:r w:rsidR="000F6699" w:rsidRPr="007C67B3">
        <w:rPr>
          <w:rFonts w:asciiTheme="minorHAnsi" w:hAnsiTheme="minorHAnsi" w:cstheme="minorHAnsi"/>
          <w:szCs w:val="22"/>
          <w:lang w:val="en-US"/>
        </w:rPr>
        <w:t>A</w:t>
      </w:r>
      <w:r w:rsidRPr="007C67B3">
        <w:rPr>
          <w:rFonts w:asciiTheme="minorHAnsi" w:hAnsiTheme="minorHAnsi" w:cstheme="minorHAnsi"/>
          <w:szCs w:val="22"/>
          <w:lang w:val="en-US"/>
        </w:rPr>
        <w:t>daptations to standardised measures may be required (e.g. using enlarged copies of visual stimuli). In these cases</w:t>
      </w:r>
      <w:r w:rsidR="006917C8">
        <w:rPr>
          <w:rFonts w:asciiTheme="minorHAnsi" w:hAnsiTheme="minorHAnsi" w:cstheme="minorHAnsi"/>
          <w:szCs w:val="22"/>
          <w:lang w:val="en-US"/>
        </w:rPr>
        <w:t>,</w:t>
      </w:r>
      <w:r w:rsidRPr="007C67B3">
        <w:rPr>
          <w:rFonts w:asciiTheme="minorHAnsi" w:hAnsiTheme="minorHAnsi" w:cstheme="minorHAnsi"/>
          <w:szCs w:val="22"/>
          <w:lang w:val="en-US"/>
        </w:rPr>
        <w:t xml:space="preserve"> clinicians may choose to take a non-standardised approach to facilitate clinical care</w:t>
      </w:r>
      <w:r w:rsidR="008D5EEA" w:rsidRPr="007C67B3">
        <w:rPr>
          <w:rFonts w:asciiTheme="minorHAnsi" w:hAnsiTheme="minorHAnsi" w:cstheme="minorHAnsi"/>
          <w:szCs w:val="22"/>
          <w:lang w:val="en-US"/>
        </w:rPr>
        <w:t xml:space="preserve"> and should report this. F</w:t>
      </w:r>
      <w:r w:rsidRPr="007C67B3">
        <w:rPr>
          <w:rFonts w:asciiTheme="minorHAnsi" w:hAnsiTheme="minorHAnsi" w:cstheme="minorHAnsi"/>
          <w:szCs w:val="22"/>
          <w:lang w:val="en-US"/>
        </w:rPr>
        <w:t>or the purposes of the clinical trial</w:t>
      </w:r>
      <w:r w:rsidR="008D5EEA" w:rsidRPr="007C67B3">
        <w:rPr>
          <w:rFonts w:asciiTheme="minorHAnsi" w:hAnsiTheme="minorHAnsi" w:cstheme="minorHAnsi"/>
          <w:szCs w:val="22"/>
          <w:lang w:val="en-US"/>
        </w:rPr>
        <w:t>,</w:t>
      </w:r>
      <w:r w:rsidR="000F6699" w:rsidRPr="007C67B3">
        <w:rPr>
          <w:rFonts w:asciiTheme="minorHAnsi" w:hAnsiTheme="minorHAnsi" w:cstheme="minorHAnsi"/>
          <w:szCs w:val="22"/>
          <w:lang w:val="en-US"/>
        </w:rPr>
        <w:t xml:space="preserve"> researchers</w:t>
      </w:r>
      <w:r w:rsidRPr="007C67B3">
        <w:rPr>
          <w:rFonts w:asciiTheme="minorHAnsi" w:hAnsiTheme="minorHAnsi" w:cstheme="minorHAnsi"/>
          <w:szCs w:val="22"/>
          <w:lang w:val="en-US"/>
        </w:rPr>
        <w:t xml:space="preserve"> will need to make a judgement as to whether</w:t>
      </w:r>
      <w:r w:rsidRPr="007C67B3">
        <w:rPr>
          <w:rFonts w:asciiTheme="minorHAnsi" w:hAnsiTheme="minorHAnsi" w:cstheme="minorHAnsi"/>
          <w:szCs w:val="22"/>
          <w:lang w:val="en-GB"/>
        </w:rPr>
        <w:t xml:space="preserve"> standardised</w:t>
      </w:r>
      <w:r w:rsidRPr="007C67B3">
        <w:rPr>
          <w:rFonts w:asciiTheme="minorHAnsi" w:hAnsiTheme="minorHAnsi" w:cstheme="minorHAnsi"/>
          <w:szCs w:val="22"/>
          <w:lang w:val="en-US"/>
        </w:rPr>
        <w:t xml:space="preserve"> administration of the task has been achieved in these patients. Data collection sheets for the ‘core plus’ battery will need to include the option to state when adaptations have been made to compensate for sensory impairments</w:t>
      </w:r>
      <w:r w:rsidR="00962A3E" w:rsidRPr="007C67B3">
        <w:rPr>
          <w:rFonts w:asciiTheme="minorHAnsi" w:hAnsiTheme="minorHAnsi" w:cstheme="minorHAnsi"/>
          <w:szCs w:val="22"/>
          <w:lang w:val="en-US"/>
        </w:rPr>
        <w:t xml:space="preserve">, or whether impairments were of such severity that assessment could not be conducted </w:t>
      </w:r>
      <w:r w:rsidR="00AB070D" w:rsidRPr="007C67B3">
        <w:rPr>
          <w:rFonts w:asciiTheme="minorHAnsi" w:hAnsiTheme="minorHAnsi" w:cstheme="minorHAnsi"/>
          <w:szCs w:val="22"/>
          <w:lang w:val="en-US"/>
        </w:rPr>
        <w:t>(</w:t>
      </w:r>
      <w:r w:rsidR="00962A3E" w:rsidRPr="007C67B3">
        <w:rPr>
          <w:rFonts w:asciiTheme="minorHAnsi" w:hAnsiTheme="minorHAnsi" w:cstheme="minorHAnsi"/>
          <w:szCs w:val="22"/>
          <w:lang w:val="en-US"/>
        </w:rPr>
        <w:t>as discussed in 3.2</w:t>
      </w:r>
      <w:r w:rsidR="00AB070D" w:rsidRPr="007C67B3">
        <w:rPr>
          <w:rFonts w:asciiTheme="minorHAnsi" w:hAnsiTheme="minorHAnsi" w:cstheme="minorHAnsi"/>
          <w:szCs w:val="22"/>
          <w:lang w:val="en-US"/>
        </w:rPr>
        <w:t>)</w:t>
      </w:r>
      <w:r w:rsidR="00962A3E" w:rsidRPr="007C67B3">
        <w:rPr>
          <w:rFonts w:asciiTheme="minorHAnsi" w:hAnsiTheme="minorHAnsi" w:cstheme="minorHAnsi"/>
          <w:szCs w:val="22"/>
          <w:lang w:val="en-US"/>
        </w:rPr>
        <w:t xml:space="preserve">. </w:t>
      </w:r>
    </w:p>
    <w:p w14:paraId="26B35282" w14:textId="77777777" w:rsidR="00250DF5" w:rsidRPr="007C67B3" w:rsidRDefault="00250DF5" w:rsidP="002A0F21">
      <w:pPr>
        <w:pStyle w:val="Body1"/>
        <w:spacing w:line="480" w:lineRule="auto"/>
        <w:rPr>
          <w:rFonts w:asciiTheme="minorHAnsi" w:hAnsiTheme="minorHAnsi" w:cstheme="minorHAnsi"/>
          <w:szCs w:val="22"/>
          <w:lang w:val="en-US"/>
        </w:rPr>
      </w:pPr>
    </w:p>
    <w:p w14:paraId="4871110E" w14:textId="77777777" w:rsidR="00372805" w:rsidRPr="007C67B3" w:rsidRDefault="0082305E" w:rsidP="0082305E">
      <w:pPr>
        <w:pStyle w:val="Body1"/>
        <w:numPr>
          <w:ilvl w:val="0"/>
          <w:numId w:val="1"/>
        </w:numPr>
        <w:spacing w:line="480" w:lineRule="auto"/>
        <w:rPr>
          <w:rFonts w:asciiTheme="minorHAnsi" w:hAnsiTheme="minorHAnsi" w:cstheme="minorHAnsi"/>
          <w:b/>
          <w:i/>
          <w:szCs w:val="22"/>
          <w:lang w:val="en-US"/>
        </w:rPr>
      </w:pPr>
      <w:r w:rsidRPr="007C67B3">
        <w:rPr>
          <w:rFonts w:asciiTheme="minorHAnsi" w:hAnsiTheme="minorHAnsi" w:cstheme="minorHAnsi"/>
          <w:b/>
          <w:i/>
          <w:szCs w:val="22"/>
          <w:lang w:val="en-US"/>
        </w:rPr>
        <w:t>Assessment Timepoints</w:t>
      </w:r>
    </w:p>
    <w:p w14:paraId="34A81908" w14:textId="77777777" w:rsidR="007B357F" w:rsidRPr="007C67B3" w:rsidRDefault="007B357F" w:rsidP="00F225B2">
      <w:pPr>
        <w:pStyle w:val="Body1"/>
        <w:spacing w:line="480" w:lineRule="auto"/>
        <w:rPr>
          <w:rFonts w:asciiTheme="minorHAnsi" w:hAnsiTheme="minorHAnsi" w:cstheme="minorHAnsi"/>
          <w:szCs w:val="22"/>
          <w:lang w:val="en-US"/>
        </w:rPr>
      </w:pPr>
    </w:p>
    <w:p w14:paraId="2FD524AB" w14:textId="77777777" w:rsidR="00F225B2" w:rsidRDefault="000D1912" w:rsidP="00F225B2">
      <w:pPr>
        <w:pStyle w:val="Body1"/>
        <w:spacing w:line="480" w:lineRule="auto"/>
        <w:rPr>
          <w:rFonts w:asciiTheme="minorHAnsi" w:hAnsiTheme="minorHAnsi" w:cstheme="minorHAnsi"/>
          <w:szCs w:val="22"/>
          <w:lang w:val="en-US"/>
        </w:rPr>
      </w:pPr>
      <w:r w:rsidRPr="007C67B3">
        <w:rPr>
          <w:rFonts w:asciiTheme="minorHAnsi" w:hAnsiTheme="minorHAnsi" w:cstheme="minorHAnsi"/>
          <w:szCs w:val="22"/>
          <w:lang w:val="en-US"/>
        </w:rPr>
        <w:t xml:space="preserve">The group have agreed that </w:t>
      </w:r>
      <w:r w:rsidR="008F7040" w:rsidRPr="007C67B3">
        <w:rPr>
          <w:rFonts w:asciiTheme="minorHAnsi" w:hAnsiTheme="minorHAnsi" w:cstheme="minorHAnsi"/>
          <w:szCs w:val="22"/>
          <w:lang w:val="en-US"/>
        </w:rPr>
        <w:t xml:space="preserve">ideally, despite the practical difficulties, </w:t>
      </w:r>
      <w:r w:rsidRPr="007C67B3">
        <w:rPr>
          <w:rFonts w:asciiTheme="minorHAnsi" w:hAnsiTheme="minorHAnsi" w:cstheme="minorHAnsi"/>
          <w:szCs w:val="22"/>
          <w:lang w:val="en-US"/>
        </w:rPr>
        <w:t>baseline assessment data</w:t>
      </w:r>
      <w:r w:rsidR="008F7040" w:rsidRPr="007C67B3">
        <w:rPr>
          <w:rFonts w:asciiTheme="minorHAnsi" w:hAnsiTheme="minorHAnsi" w:cstheme="minorHAnsi"/>
          <w:szCs w:val="22"/>
          <w:lang w:val="en-US"/>
        </w:rPr>
        <w:t>, and certainly auxology,</w:t>
      </w:r>
      <w:r w:rsidRPr="007C67B3">
        <w:rPr>
          <w:rFonts w:asciiTheme="minorHAnsi" w:hAnsiTheme="minorHAnsi" w:cstheme="minorHAnsi"/>
          <w:szCs w:val="22"/>
          <w:lang w:val="en-US"/>
        </w:rPr>
        <w:t xml:space="preserve"> should be collected</w:t>
      </w:r>
      <w:r w:rsidR="001B43BB" w:rsidRPr="007C67B3">
        <w:rPr>
          <w:rFonts w:asciiTheme="minorHAnsi" w:hAnsiTheme="minorHAnsi" w:cstheme="minorHAnsi"/>
          <w:szCs w:val="22"/>
          <w:lang w:val="en-US"/>
        </w:rPr>
        <w:t xml:space="preserve"> at or very soon </w:t>
      </w:r>
      <w:r w:rsidR="008F7040" w:rsidRPr="007C67B3">
        <w:rPr>
          <w:rFonts w:asciiTheme="minorHAnsi" w:hAnsiTheme="minorHAnsi" w:cstheme="minorHAnsi"/>
          <w:szCs w:val="22"/>
          <w:lang w:val="en-US"/>
        </w:rPr>
        <w:t xml:space="preserve">after </w:t>
      </w:r>
      <w:r w:rsidR="001B43BB" w:rsidRPr="007C67B3">
        <w:rPr>
          <w:rFonts w:asciiTheme="minorHAnsi" w:hAnsiTheme="minorHAnsi" w:cstheme="minorHAnsi"/>
          <w:szCs w:val="22"/>
          <w:lang w:val="en-US"/>
        </w:rPr>
        <w:t>(within 6 weeks</w:t>
      </w:r>
      <w:r w:rsidR="00E17517" w:rsidRPr="007C67B3">
        <w:rPr>
          <w:rFonts w:asciiTheme="minorHAnsi" w:hAnsiTheme="minorHAnsi" w:cstheme="minorHAnsi"/>
          <w:szCs w:val="22"/>
          <w:lang w:val="en-US"/>
        </w:rPr>
        <w:t xml:space="preserve"> of</w:t>
      </w:r>
      <w:r w:rsidR="001B43BB" w:rsidRPr="007C67B3">
        <w:rPr>
          <w:rFonts w:asciiTheme="minorHAnsi" w:hAnsiTheme="minorHAnsi" w:cstheme="minorHAnsi"/>
          <w:szCs w:val="22"/>
          <w:lang w:val="en-US"/>
        </w:rPr>
        <w:t>) diagnosis</w:t>
      </w:r>
      <w:r w:rsidR="004B3FDA" w:rsidRPr="007C67B3">
        <w:rPr>
          <w:rFonts w:asciiTheme="minorHAnsi" w:hAnsiTheme="minorHAnsi" w:cstheme="minorHAnsi"/>
          <w:szCs w:val="22"/>
          <w:lang w:val="en-US"/>
        </w:rPr>
        <w:t>,</w:t>
      </w:r>
      <w:r w:rsidRPr="007C67B3">
        <w:rPr>
          <w:rFonts w:asciiTheme="minorHAnsi" w:hAnsiTheme="minorHAnsi" w:cstheme="minorHAnsi"/>
          <w:szCs w:val="22"/>
          <w:lang w:val="en-US"/>
        </w:rPr>
        <w:t xml:space="preserve"> during the acute stages of treatment. </w:t>
      </w:r>
      <w:r w:rsidR="002930D9" w:rsidRPr="007C67B3">
        <w:rPr>
          <w:rFonts w:asciiTheme="minorHAnsi" w:hAnsiTheme="minorHAnsi" w:cstheme="minorHAnsi"/>
          <w:szCs w:val="22"/>
          <w:lang w:val="en-US"/>
        </w:rPr>
        <w:t xml:space="preserve">For direct cognitive assessment it may not be possible to collect all or any of the baseline data, and the consideration of assessment as prioritized above is recommended. </w:t>
      </w:r>
      <w:r w:rsidR="00030685" w:rsidRPr="007C67B3">
        <w:rPr>
          <w:rFonts w:asciiTheme="minorHAnsi" w:hAnsiTheme="minorHAnsi" w:cstheme="minorHAnsi"/>
          <w:szCs w:val="22"/>
          <w:lang w:val="en-US"/>
        </w:rPr>
        <w:t xml:space="preserve">Given the potential variability in timing of baseline data collection it is essential that this is reported accurately and is considered carefully by the clinical trials team when analyzing and reporting the data. </w:t>
      </w:r>
      <w:r w:rsidRPr="007C67B3">
        <w:rPr>
          <w:rFonts w:asciiTheme="minorHAnsi" w:hAnsiTheme="minorHAnsi" w:cstheme="minorHAnsi"/>
          <w:szCs w:val="22"/>
          <w:lang w:val="en-US"/>
        </w:rPr>
        <w:t>The following subsequent time points advocated and agreed in other SIOP</w:t>
      </w:r>
      <w:r w:rsidR="008F1F72" w:rsidRPr="007C67B3">
        <w:rPr>
          <w:rFonts w:asciiTheme="minorHAnsi" w:hAnsiTheme="minorHAnsi" w:cstheme="minorHAnsi"/>
          <w:szCs w:val="22"/>
          <w:lang w:val="en-US"/>
        </w:rPr>
        <w:t>-</w:t>
      </w:r>
      <w:r w:rsidRPr="007C67B3">
        <w:rPr>
          <w:rFonts w:asciiTheme="minorHAnsi" w:hAnsiTheme="minorHAnsi" w:cstheme="minorHAnsi"/>
          <w:szCs w:val="22"/>
          <w:lang w:val="en-US"/>
        </w:rPr>
        <w:t xml:space="preserve">E brain tumour trials of children over the age of 5 years </w:t>
      </w:r>
      <w:r w:rsidR="008F7040" w:rsidRPr="007C67B3">
        <w:rPr>
          <w:rFonts w:asciiTheme="minorHAnsi" w:hAnsiTheme="minorHAnsi" w:cstheme="minorHAnsi"/>
          <w:szCs w:val="22"/>
          <w:lang w:val="en-US"/>
        </w:rPr>
        <w:t xml:space="preserve">should </w:t>
      </w:r>
      <w:r w:rsidRPr="007C67B3">
        <w:rPr>
          <w:rFonts w:asciiTheme="minorHAnsi" w:hAnsiTheme="minorHAnsi" w:cstheme="minorHAnsi"/>
          <w:szCs w:val="22"/>
          <w:lang w:val="en-US"/>
        </w:rPr>
        <w:t xml:space="preserve">be more achievable during follow-up when the child </w:t>
      </w:r>
      <w:r w:rsidR="002930D9" w:rsidRPr="007C67B3">
        <w:rPr>
          <w:rFonts w:asciiTheme="minorHAnsi" w:hAnsiTheme="minorHAnsi" w:cstheme="minorHAnsi"/>
          <w:szCs w:val="22"/>
          <w:lang w:val="en-US"/>
        </w:rPr>
        <w:t xml:space="preserve">is medically stable or </w:t>
      </w:r>
      <w:r w:rsidRPr="007C67B3">
        <w:rPr>
          <w:rFonts w:asciiTheme="minorHAnsi" w:hAnsiTheme="minorHAnsi" w:cstheme="minorHAnsi"/>
          <w:szCs w:val="22"/>
          <w:lang w:val="en-US"/>
        </w:rPr>
        <w:t xml:space="preserve">feeling </w:t>
      </w:r>
      <w:r w:rsidR="002930D9" w:rsidRPr="007C67B3">
        <w:rPr>
          <w:rFonts w:asciiTheme="minorHAnsi" w:hAnsiTheme="minorHAnsi" w:cstheme="minorHAnsi"/>
          <w:szCs w:val="22"/>
          <w:lang w:val="en-US"/>
        </w:rPr>
        <w:t>well enough to complete</w:t>
      </w:r>
      <w:r w:rsidR="002930D9">
        <w:rPr>
          <w:rFonts w:asciiTheme="minorHAnsi" w:hAnsiTheme="minorHAnsi" w:cstheme="minorHAnsi"/>
          <w:szCs w:val="22"/>
          <w:lang w:val="en-US"/>
        </w:rPr>
        <w:t xml:space="preserve"> assessment</w:t>
      </w:r>
      <w:r w:rsidRPr="002233FF">
        <w:rPr>
          <w:rFonts w:asciiTheme="minorHAnsi" w:hAnsiTheme="minorHAnsi" w:cstheme="minorHAnsi"/>
          <w:szCs w:val="22"/>
          <w:lang w:val="en-US"/>
        </w:rPr>
        <w:t>:  2 years post-diagnosis, 5 years post-diagnosis</w:t>
      </w:r>
      <w:r>
        <w:rPr>
          <w:rFonts w:asciiTheme="minorHAnsi" w:hAnsiTheme="minorHAnsi" w:cstheme="minorHAnsi"/>
          <w:szCs w:val="22"/>
          <w:lang w:val="en-US"/>
        </w:rPr>
        <w:t>,</w:t>
      </w:r>
      <w:r w:rsidRPr="002233FF">
        <w:rPr>
          <w:rFonts w:asciiTheme="minorHAnsi" w:hAnsiTheme="minorHAnsi" w:cstheme="minorHAnsi"/>
          <w:szCs w:val="22"/>
          <w:lang w:val="en-US"/>
        </w:rPr>
        <w:t xml:space="preserve"> and at the age of 18 years as an end time point.</w:t>
      </w:r>
      <w:r>
        <w:rPr>
          <w:rFonts w:asciiTheme="minorHAnsi" w:hAnsiTheme="minorHAnsi" w:cstheme="minorHAnsi"/>
          <w:szCs w:val="22"/>
          <w:lang w:val="en-US"/>
        </w:rPr>
        <w:t xml:space="preserve"> </w:t>
      </w:r>
    </w:p>
    <w:p w14:paraId="1EEC8904" w14:textId="77777777" w:rsidR="00BD0169" w:rsidRDefault="00BD0169" w:rsidP="00F225B2">
      <w:pPr>
        <w:pStyle w:val="Body1"/>
        <w:spacing w:line="480" w:lineRule="auto"/>
        <w:rPr>
          <w:rFonts w:asciiTheme="minorHAnsi" w:hAnsiTheme="minorHAnsi" w:cstheme="minorHAnsi"/>
          <w:szCs w:val="22"/>
          <w:lang w:val="en-US"/>
        </w:rPr>
      </w:pPr>
    </w:p>
    <w:p w14:paraId="73513092" w14:textId="77777777" w:rsidR="00372805" w:rsidRPr="002233FF" w:rsidRDefault="00372805" w:rsidP="00F225B2">
      <w:pPr>
        <w:pStyle w:val="Body1"/>
        <w:numPr>
          <w:ilvl w:val="0"/>
          <w:numId w:val="1"/>
        </w:numPr>
        <w:spacing w:line="480" w:lineRule="auto"/>
        <w:rPr>
          <w:rFonts w:asciiTheme="minorHAnsi" w:hAnsiTheme="minorHAnsi" w:cstheme="minorHAnsi"/>
          <w:b/>
          <w:i/>
          <w:szCs w:val="22"/>
          <w:lang w:val="en-US"/>
        </w:rPr>
      </w:pPr>
      <w:r w:rsidRPr="002233FF">
        <w:rPr>
          <w:rFonts w:asciiTheme="minorHAnsi" w:hAnsiTheme="minorHAnsi" w:cstheme="minorHAnsi"/>
          <w:b/>
          <w:i/>
          <w:szCs w:val="22"/>
          <w:lang w:val="en-US"/>
        </w:rPr>
        <w:t>Implementing an agreed protocol in European trials</w:t>
      </w:r>
    </w:p>
    <w:p w14:paraId="0CC1543E" w14:textId="6C39F388" w:rsidR="00372805" w:rsidRPr="002233FF" w:rsidRDefault="00372805" w:rsidP="002A0F21">
      <w:pPr>
        <w:pStyle w:val="Body1"/>
        <w:spacing w:line="480" w:lineRule="auto"/>
        <w:rPr>
          <w:rFonts w:asciiTheme="minorHAnsi" w:hAnsiTheme="minorHAnsi" w:cstheme="minorHAnsi"/>
          <w:szCs w:val="22"/>
          <w:lang w:val="en-US"/>
        </w:rPr>
      </w:pPr>
      <w:r w:rsidRPr="002233FF">
        <w:rPr>
          <w:rFonts w:asciiTheme="minorHAnsi" w:hAnsiTheme="minorHAnsi" w:cstheme="minorHAnsi"/>
          <w:szCs w:val="22"/>
          <w:lang w:val="en-US"/>
        </w:rPr>
        <w:t xml:space="preserve">There continue to be challenges in implementing and funding an agreed protocol for longitudinal </w:t>
      </w:r>
      <w:r w:rsidR="00F225B2">
        <w:rPr>
          <w:rFonts w:asciiTheme="minorHAnsi" w:hAnsiTheme="minorHAnsi" w:cstheme="minorHAnsi"/>
          <w:szCs w:val="22"/>
          <w:lang w:val="en-US"/>
        </w:rPr>
        <w:t>QoS</w:t>
      </w:r>
      <w:r w:rsidRPr="002233FF">
        <w:rPr>
          <w:rFonts w:asciiTheme="minorHAnsi" w:hAnsiTheme="minorHAnsi" w:cstheme="minorHAnsi"/>
          <w:szCs w:val="22"/>
          <w:lang w:val="en-US"/>
        </w:rPr>
        <w:t xml:space="preserve"> studies across Europe. Suggestions to address this issue are discussed in Limond et al</w:t>
      </w:r>
      <w:r w:rsidR="008B50B7">
        <w:rPr>
          <w:rFonts w:asciiTheme="minorHAnsi" w:hAnsiTheme="minorHAnsi" w:cstheme="minorHAnsi"/>
          <w:szCs w:val="22"/>
          <w:lang w:val="en-US"/>
        </w:rPr>
        <w:t>.</w:t>
      </w:r>
      <w:r w:rsidR="006917C8">
        <w:rPr>
          <w:rFonts w:asciiTheme="minorHAnsi" w:hAnsiTheme="minorHAnsi" w:cstheme="minorHAnsi"/>
          <w:b/>
          <w:szCs w:val="22"/>
          <w:vertAlign w:val="superscript"/>
          <w:lang w:val="en-US"/>
        </w:rPr>
        <w:t>9</w:t>
      </w:r>
      <w:r w:rsidR="006917C8">
        <w:rPr>
          <w:rFonts w:asciiTheme="minorHAnsi" w:hAnsiTheme="minorHAnsi" w:cstheme="minorHAnsi"/>
          <w:szCs w:val="22"/>
          <w:lang w:val="en-US"/>
        </w:rPr>
        <w:t xml:space="preserve">. </w:t>
      </w:r>
      <w:r w:rsidRPr="002233FF">
        <w:rPr>
          <w:rFonts w:asciiTheme="minorHAnsi" w:hAnsiTheme="minorHAnsi" w:cstheme="minorHAnsi"/>
          <w:szCs w:val="22"/>
          <w:lang w:val="en-US"/>
        </w:rPr>
        <w:t xml:space="preserve">When considering children under the age of 5 years it is important to maximize the use of a protocol which </w:t>
      </w:r>
      <w:r w:rsidR="002930D9">
        <w:rPr>
          <w:rFonts w:asciiTheme="minorHAnsi" w:hAnsiTheme="minorHAnsi" w:cstheme="minorHAnsi"/>
          <w:szCs w:val="22"/>
          <w:lang w:val="en-US"/>
        </w:rPr>
        <w:t>is consistent with</w:t>
      </w:r>
      <w:r w:rsidRPr="002233FF">
        <w:rPr>
          <w:rFonts w:asciiTheme="minorHAnsi" w:hAnsiTheme="minorHAnsi" w:cstheme="minorHAnsi"/>
          <w:szCs w:val="22"/>
          <w:lang w:val="en-US"/>
        </w:rPr>
        <w:t xml:space="preserve"> the recommended protocol for children aged 5 -18 years</w:t>
      </w:r>
      <w:r w:rsidR="00A34032">
        <w:rPr>
          <w:rFonts w:asciiTheme="minorHAnsi" w:hAnsiTheme="minorHAnsi" w:cstheme="minorHAnsi"/>
          <w:szCs w:val="22"/>
          <w:lang w:val="en-US"/>
        </w:rPr>
        <w:t xml:space="preserve">. This will </w:t>
      </w:r>
      <w:r w:rsidRPr="002233FF">
        <w:rPr>
          <w:rFonts w:asciiTheme="minorHAnsi" w:hAnsiTheme="minorHAnsi" w:cstheme="minorHAnsi"/>
          <w:szCs w:val="22"/>
          <w:lang w:val="en-US"/>
        </w:rPr>
        <w:t>further allow the development of a more robust evidence-</w:t>
      </w:r>
      <w:r w:rsidRPr="007C67B3">
        <w:rPr>
          <w:rFonts w:asciiTheme="minorHAnsi" w:hAnsiTheme="minorHAnsi" w:cstheme="minorHAnsi"/>
          <w:szCs w:val="22"/>
          <w:lang w:val="en-US"/>
        </w:rPr>
        <w:t>base with regard to different treatment and tumour-type outcomes</w:t>
      </w:r>
      <w:r w:rsidR="00111DBA" w:rsidRPr="007C67B3">
        <w:rPr>
          <w:rFonts w:asciiTheme="minorHAnsi" w:hAnsiTheme="minorHAnsi" w:cstheme="minorHAnsi"/>
          <w:szCs w:val="22"/>
          <w:lang w:val="en-US"/>
        </w:rPr>
        <w:t xml:space="preserve"> over the course of childhood and early adulthood</w:t>
      </w:r>
      <w:r w:rsidRPr="007C67B3">
        <w:rPr>
          <w:rFonts w:asciiTheme="minorHAnsi" w:hAnsiTheme="minorHAnsi" w:cstheme="minorHAnsi"/>
          <w:szCs w:val="22"/>
          <w:lang w:val="en-US"/>
        </w:rPr>
        <w:t>.</w:t>
      </w:r>
      <w:r w:rsidR="0005569D" w:rsidRPr="007C67B3">
        <w:rPr>
          <w:rFonts w:asciiTheme="minorHAnsi" w:hAnsiTheme="minorHAnsi" w:cstheme="minorHAnsi"/>
          <w:szCs w:val="22"/>
          <w:lang w:val="en-US"/>
        </w:rPr>
        <w:t xml:space="preserve"> First steps </w:t>
      </w:r>
      <w:r w:rsidR="002F0472">
        <w:rPr>
          <w:rFonts w:asciiTheme="minorHAnsi" w:hAnsiTheme="minorHAnsi" w:cstheme="minorHAnsi"/>
          <w:szCs w:val="22"/>
          <w:lang w:val="en-US"/>
        </w:rPr>
        <w:t xml:space="preserve">to implement the consensus reported here </w:t>
      </w:r>
      <w:r w:rsidR="0005569D" w:rsidRPr="007C67B3">
        <w:rPr>
          <w:rFonts w:asciiTheme="minorHAnsi" w:hAnsiTheme="minorHAnsi" w:cstheme="minorHAnsi"/>
          <w:szCs w:val="22"/>
          <w:lang w:val="en-US"/>
        </w:rPr>
        <w:t xml:space="preserve">have been </w:t>
      </w:r>
      <w:r w:rsidR="0093466C" w:rsidRPr="007C67B3">
        <w:rPr>
          <w:rFonts w:asciiTheme="minorHAnsi" w:hAnsiTheme="minorHAnsi" w:cstheme="minorHAnsi"/>
          <w:szCs w:val="22"/>
          <w:lang w:val="en-US"/>
        </w:rPr>
        <w:t>made</w:t>
      </w:r>
      <w:r w:rsidR="002F0472">
        <w:rPr>
          <w:rFonts w:asciiTheme="minorHAnsi" w:hAnsiTheme="minorHAnsi" w:cstheme="minorHAnsi"/>
          <w:szCs w:val="22"/>
          <w:lang w:val="en-US"/>
        </w:rPr>
        <w:t xml:space="preserve"> and will be applied</w:t>
      </w:r>
      <w:r w:rsidR="0005569D" w:rsidRPr="007C67B3">
        <w:rPr>
          <w:rFonts w:asciiTheme="minorHAnsi" w:hAnsiTheme="minorHAnsi" w:cstheme="minorHAnsi"/>
          <w:szCs w:val="22"/>
          <w:lang w:val="en-US"/>
        </w:rPr>
        <w:t xml:space="preserve"> in the first randomi</w:t>
      </w:r>
      <w:r w:rsidR="002F0472">
        <w:rPr>
          <w:rFonts w:asciiTheme="minorHAnsi" w:hAnsiTheme="minorHAnsi" w:cstheme="minorHAnsi"/>
          <w:szCs w:val="22"/>
          <w:lang w:val="en-US"/>
        </w:rPr>
        <w:t>s</w:t>
      </w:r>
      <w:r w:rsidR="0005569D" w:rsidRPr="007C67B3">
        <w:rPr>
          <w:rFonts w:asciiTheme="minorHAnsi" w:hAnsiTheme="minorHAnsi" w:cstheme="minorHAnsi"/>
          <w:szCs w:val="22"/>
          <w:lang w:val="en-US"/>
        </w:rPr>
        <w:t xml:space="preserve">ed </w:t>
      </w:r>
      <w:r w:rsidR="002F0472">
        <w:rPr>
          <w:rFonts w:asciiTheme="minorHAnsi" w:hAnsiTheme="minorHAnsi" w:cstheme="minorHAnsi"/>
          <w:szCs w:val="22"/>
          <w:lang w:val="en-US"/>
        </w:rPr>
        <w:t xml:space="preserve">trial of treatments in </w:t>
      </w:r>
      <w:r w:rsidR="004C6671" w:rsidRPr="007C67B3">
        <w:rPr>
          <w:rFonts w:asciiTheme="minorHAnsi" w:hAnsiTheme="minorHAnsi" w:cstheme="minorHAnsi"/>
          <w:szCs w:val="22"/>
          <w:lang w:val="en-US"/>
        </w:rPr>
        <w:t>a</w:t>
      </w:r>
      <w:r w:rsidR="0005569D" w:rsidRPr="007C67B3">
        <w:rPr>
          <w:rFonts w:asciiTheme="minorHAnsi" w:hAnsiTheme="minorHAnsi" w:cstheme="minorHAnsi"/>
          <w:szCs w:val="22"/>
          <w:lang w:val="en-US"/>
        </w:rPr>
        <w:t xml:space="preserve">typical </w:t>
      </w:r>
      <w:r w:rsidR="004C6671" w:rsidRPr="007C67B3">
        <w:rPr>
          <w:rFonts w:asciiTheme="minorHAnsi" w:hAnsiTheme="minorHAnsi" w:cstheme="minorHAnsi"/>
          <w:szCs w:val="22"/>
          <w:lang w:val="en-US"/>
        </w:rPr>
        <w:t>t</w:t>
      </w:r>
      <w:r w:rsidR="0005569D" w:rsidRPr="007C67B3">
        <w:rPr>
          <w:rFonts w:asciiTheme="minorHAnsi" w:hAnsiTheme="minorHAnsi" w:cstheme="minorHAnsi"/>
          <w:szCs w:val="22"/>
          <w:lang w:val="en-US"/>
        </w:rPr>
        <w:t xml:space="preserve">eratoid </w:t>
      </w:r>
      <w:r w:rsidR="004C6671" w:rsidRPr="007C67B3">
        <w:rPr>
          <w:rFonts w:asciiTheme="minorHAnsi" w:hAnsiTheme="minorHAnsi" w:cstheme="minorHAnsi"/>
          <w:szCs w:val="22"/>
          <w:lang w:val="en-US"/>
        </w:rPr>
        <w:t>r</w:t>
      </w:r>
      <w:r w:rsidR="0005569D" w:rsidRPr="007C67B3">
        <w:rPr>
          <w:rFonts w:asciiTheme="minorHAnsi" w:hAnsiTheme="minorHAnsi" w:cstheme="minorHAnsi"/>
          <w:szCs w:val="22"/>
          <w:lang w:val="en-US"/>
        </w:rPr>
        <w:t xml:space="preserve">habdoid </w:t>
      </w:r>
      <w:r w:rsidR="004C6671" w:rsidRPr="007C67B3">
        <w:rPr>
          <w:rFonts w:asciiTheme="minorHAnsi" w:hAnsiTheme="minorHAnsi" w:cstheme="minorHAnsi"/>
          <w:szCs w:val="22"/>
          <w:lang w:val="en-US"/>
        </w:rPr>
        <w:t>t</w:t>
      </w:r>
      <w:r w:rsidR="0005569D" w:rsidRPr="007C67B3">
        <w:rPr>
          <w:rFonts w:asciiTheme="minorHAnsi" w:hAnsiTheme="minorHAnsi" w:cstheme="minorHAnsi"/>
          <w:szCs w:val="22"/>
          <w:lang w:val="en-US"/>
        </w:rPr>
        <w:t>umor trial</w:t>
      </w:r>
      <w:r w:rsidR="004C6671" w:rsidRPr="007C67B3">
        <w:rPr>
          <w:rFonts w:asciiTheme="minorHAnsi" w:hAnsiTheme="minorHAnsi" w:cstheme="minorHAnsi"/>
          <w:szCs w:val="22"/>
          <w:lang w:val="en-US"/>
        </w:rPr>
        <w:t xml:space="preserve"> </w:t>
      </w:r>
      <w:r w:rsidR="00030685" w:rsidRPr="007C67B3">
        <w:rPr>
          <w:rFonts w:asciiTheme="minorHAnsi" w:hAnsiTheme="minorHAnsi" w:cstheme="minorHAnsi"/>
          <w:szCs w:val="22"/>
          <w:lang w:val="en-US"/>
        </w:rPr>
        <w:t xml:space="preserve">protocol </w:t>
      </w:r>
      <w:r w:rsidR="004C6671" w:rsidRPr="007C67B3">
        <w:rPr>
          <w:rFonts w:asciiTheme="minorHAnsi" w:hAnsiTheme="minorHAnsi" w:cstheme="minorHAnsi"/>
          <w:szCs w:val="22"/>
          <w:lang w:val="en-US"/>
        </w:rPr>
        <w:t>(SIOPe ATRT01)</w:t>
      </w:r>
      <w:r w:rsidR="0005569D" w:rsidRPr="007C67B3">
        <w:rPr>
          <w:rFonts w:asciiTheme="minorHAnsi" w:hAnsiTheme="minorHAnsi" w:cstheme="minorHAnsi"/>
          <w:szCs w:val="22"/>
          <w:lang w:val="en-US"/>
        </w:rPr>
        <w:t>.</w:t>
      </w:r>
      <w:r w:rsidR="0005569D">
        <w:rPr>
          <w:rFonts w:asciiTheme="minorHAnsi" w:hAnsiTheme="minorHAnsi" w:cstheme="minorHAnsi"/>
          <w:szCs w:val="22"/>
          <w:lang w:val="en-US"/>
        </w:rPr>
        <w:t xml:space="preserve"> </w:t>
      </w:r>
    </w:p>
    <w:p w14:paraId="6FC98418" w14:textId="77777777" w:rsidR="00372805" w:rsidRPr="002233FF" w:rsidRDefault="00372805" w:rsidP="00B418E9">
      <w:pPr>
        <w:pStyle w:val="Body1"/>
        <w:spacing w:line="480" w:lineRule="auto"/>
        <w:rPr>
          <w:rFonts w:asciiTheme="minorHAnsi" w:hAnsiTheme="minorHAnsi" w:cstheme="minorHAnsi"/>
          <w:szCs w:val="22"/>
          <w:lang w:val="en-US"/>
        </w:rPr>
      </w:pPr>
    </w:p>
    <w:p w14:paraId="20DD880E" w14:textId="77777777" w:rsidR="00372805" w:rsidRPr="008B50B7" w:rsidRDefault="002A65D3" w:rsidP="00B418E9">
      <w:pPr>
        <w:spacing w:line="480" w:lineRule="auto"/>
        <w:rPr>
          <w:rFonts w:asciiTheme="minorHAnsi" w:hAnsiTheme="minorHAnsi" w:cstheme="minorHAnsi"/>
          <w:b/>
          <w:lang w:val="en-US"/>
        </w:rPr>
      </w:pPr>
      <w:r>
        <w:rPr>
          <w:rFonts w:asciiTheme="minorHAnsi" w:hAnsiTheme="minorHAnsi" w:cstheme="minorHAnsi"/>
          <w:b/>
          <w:lang w:val="en-US"/>
        </w:rPr>
        <w:t>Declaration</w:t>
      </w:r>
      <w:r w:rsidRPr="008B50B7">
        <w:rPr>
          <w:rFonts w:asciiTheme="minorHAnsi" w:hAnsiTheme="minorHAnsi" w:cstheme="minorHAnsi"/>
          <w:b/>
          <w:lang w:val="en-US"/>
        </w:rPr>
        <w:t xml:space="preserve"> </w:t>
      </w:r>
      <w:r w:rsidR="00372805" w:rsidRPr="008B50B7">
        <w:rPr>
          <w:rFonts w:asciiTheme="minorHAnsi" w:hAnsiTheme="minorHAnsi" w:cstheme="minorHAnsi"/>
          <w:b/>
          <w:lang w:val="en-US"/>
        </w:rPr>
        <w:t>of interest</w:t>
      </w:r>
    </w:p>
    <w:p w14:paraId="6DB933F6" w14:textId="77777777" w:rsidR="008B50B7" w:rsidRPr="008B50B7" w:rsidRDefault="008B50B7" w:rsidP="00B418E9">
      <w:pPr>
        <w:spacing w:line="480" w:lineRule="auto"/>
        <w:rPr>
          <w:rFonts w:asciiTheme="minorHAnsi" w:hAnsiTheme="minorHAnsi" w:cstheme="minorHAnsi"/>
          <w:lang w:val="en-US"/>
        </w:rPr>
      </w:pPr>
      <w:r w:rsidRPr="008B50B7">
        <w:rPr>
          <w:rFonts w:asciiTheme="minorHAnsi" w:hAnsiTheme="minorHAnsi" w:cstheme="minorHAnsi"/>
          <w:lang w:val="en-US"/>
        </w:rPr>
        <w:t>None</w:t>
      </w:r>
    </w:p>
    <w:p w14:paraId="750B4B04" w14:textId="77777777" w:rsidR="00372805" w:rsidRPr="008B50B7" w:rsidRDefault="00372805" w:rsidP="00B418E9">
      <w:pPr>
        <w:spacing w:line="480" w:lineRule="auto"/>
        <w:rPr>
          <w:rFonts w:asciiTheme="minorHAnsi" w:hAnsiTheme="minorHAnsi" w:cstheme="minorHAnsi"/>
          <w:b/>
          <w:lang w:val="en-US"/>
        </w:rPr>
      </w:pPr>
      <w:r w:rsidRPr="008B50B7">
        <w:rPr>
          <w:rFonts w:asciiTheme="minorHAnsi" w:hAnsiTheme="minorHAnsi" w:cstheme="minorHAnsi"/>
          <w:b/>
          <w:lang w:val="en-US"/>
        </w:rPr>
        <w:t>Acknowledgements</w:t>
      </w:r>
    </w:p>
    <w:p w14:paraId="4D49D2F6" w14:textId="77777777" w:rsidR="002A65D3" w:rsidRDefault="008B50B7" w:rsidP="00B418E9">
      <w:pPr>
        <w:spacing w:line="480" w:lineRule="auto"/>
        <w:rPr>
          <w:rFonts w:asciiTheme="minorHAnsi" w:hAnsiTheme="minorHAnsi" w:cstheme="minorHAnsi"/>
          <w:lang w:val="en-US"/>
        </w:rPr>
      </w:pPr>
      <w:r w:rsidRPr="008B50B7">
        <w:rPr>
          <w:rFonts w:asciiTheme="minorHAnsi" w:hAnsiTheme="minorHAnsi" w:cstheme="minorHAnsi"/>
          <w:lang w:val="en-US"/>
        </w:rPr>
        <w:t xml:space="preserve">We would like to thank all members of the SIOP-E Quality of Survival Group who have been instrumental in developing the consensus relating to assessment of children </w:t>
      </w:r>
      <w:r w:rsidR="008F1F72">
        <w:rPr>
          <w:rFonts w:asciiTheme="minorHAnsi" w:hAnsiTheme="minorHAnsi" w:cstheme="minorHAnsi"/>
          <w:lang w:val="en-US"/>
        </w:rPr>
        <w:t>below</w:t>
      </w:r>
      <w:r w:rsidR="008F1F72" w:rsidRPr="008B50B7">
        <w:rPr>
          <w:rFonts w:asciiTheme="minorHAnsi" w:hAnsiTheme="minorHAnsi" w:cstheme="minorHAnsi"/>
          <w:lang w:val="en-US"/>
        </w:rPr>
        <w:t xml:space="preserve"> </w:t>
      </w:r>
      <w:r w:rsidRPr="008B50B7">
        <w:rPr>
          <w:rFonts w:asciiTheme="minorHAnsi" w:hAnsiTheme="minorHAnsi" w:cstheme="minorHAnsi"/>
          <w:lang w:val="en-US"/>
        </w:rPr>
        <w:t>the age of 5 years.</w:t>
      </w:r>
      <w:r w:rsidR="004215F2">
        <w:rPr>
          <w:rFonts w:asciiTheme="minorHAnsi" w:hAnsiTheme="minorHAnsi" w:cstheme="minorHAnsi"/>
          <w:lang w:val="en-US"/>
        </w:rPr>
        <w:t xml:space="preserve">  We would like to thank Genevieve Lyard for her involvement in the early stages of this consensus process.</w:t>
      </w:r>
    </w:p>
    <w:p w14:paraId="242F009C" w14:textId="77777777" w:rsidR="002A65D3" w:rsidRPr="002A65D3" w:rsidRDefault="002A65D3" w:rsidP="00B418E9">
      <w:pPr>
        <w:spacing w:line="480" w:lineRule="auto"/>
        <w:rPr>
          <w:rFonts w:asciiTheme="minorHAnsi" w:hAnsiTheme="minorHAnsi" w:cstheme="minorHAnsi"/>
          <w:b/>
          <w:lang w:val="en-US"/>
        </w:rPr>
      </w:pPr>
      <w:r w:rsidRPr="002A65D3">
        <w:rPr>
          <w:rFonts w:asciiTheme="minorHAnsi" w:hAnsiTheme="minorHAnsi" w:cstheme="minorHAnsi"/>
          <w:b/>
          <w:lang w:val="en-US"/>
        </w:rPr>
        <w:t>Funding</w:t>
      </w:r>
    </w:p>
    <w:p w14:paraId="3A3720F6" w14:textId="77777777" w:rsidR="002A65D3" w:rsidRDefault="002A65D3" w:rsidP="00B418E9">
      <w:pPr>
        <w:spacing w:line="480" w:lineRule="auto"/>
        <w:rPr>
          <w:rFonts w:asciiTheme="minorHAnsi" w:hAnsiTheme="minorHAnsi" w:cstheme="minorHAnsi"/>
          <w:lang w:val="en-US"/>
        </w:rPr>
      </w:pPr>
      <w:r>
        <w:rPr>
          <w:rFonts w:asciiTheme="minorHAnsi" w:hAnsiTheme="minorHAnsi" w:cstheme="minorHAnsi"/>
          <w:lang w:val="en-US"/>
        </w:rPr>
        <w:t>This work did not receive any specific grant from funding agencies in the public, commercial or not-for-profit sectors.</w:t>
      </w:r>
    </w:p>
    <w:p w14:paraId="6FF8515C" w14:textId="77777777" w:rsidR="008B50B7" w:rsidRPr="00717345" w:rsidRDefault="008B50B7" w:rsidP="008B50B7">
      <w:pPr>
        <w:rPr>
          <w:rFonts w:asciiTheme="minorHAnsi" w:hAnsiTheme="minorHAnsi" w:cstheme="minorHAnsi"/>
          <w:b/>
        </w:rPr>
      </w:pPr>
      <w:r w:rsidRPr="00717345">
        <w:rPr>
          <w:rFonts w:asciiTheme="minorHAnsi" w:hAnsiTheme="minorHAnsi" w:cstheme="minorHAnsi"/>
          <w:b/>
        </w:rPr>
        <w:t>References</w:t>
      </w:r>
    </w:p>
    <w:p w14:paraId="1849E305" w14:textId="22E0975D" w:rsidR="00593D46" w:rsidRPr="00593D46" w:rsidRDefault="006917C8" w:rsidP="003F6EF9">
      <w:pPr>
        <w:spacing w:after="0" w:line="480" w:lineRule="auto"/>
        <w:ind w:left="709" w:hanging="709"/>
        <w:rPr>
          <w:rFonts w:asciiTheme="minorHAnsi" w:hAnsiTheme="minorHAnsi" w:cstheme="minorHAnsi"/>
          <w:sz w:val="24"/>
          <w:szCs w:val="24"/>
          <w:lang w:val="en-US"/>
        </w:rPr>
      </w:pPr>
      <w:r>
        <w:rPr>
          <w:rFonts w:asciiTheme="minorHAnsi" w:hAnsiTheme="minorHAnsi" w:cstheme="minorHAnsi"/>
          <w:sz w:val="24"/>
          <w:szCs w:val="24"/>
          <w:lang w:val="en-US"/>
        </w:rPr>
        <w:t>1</w:t>
      </w:r>
      <w:r w:rsidR="00A108C0">
        <w:rPr>
          <w:rFonts w:asciiTheme="minorHAnsi" w:hAnsiTheme="minorHAnsi" w:cstheme="minorHAnsi"/>
          <w:sz w:val="24"/>
          <w:szCs w:val="24"/>
          <w:lang w:val="en-US"/>
        </w:rPr>
        <w:t xml:space="preserve">. </w:t>
      </w:r>
      <w:r w:rsidR="00593D46" w:rsidRPr="00593D46">
        <w:rPr>
          <w:rFonts w:asciiTheme="minorHAnsi" w:hAnsiTheme="minorHAnsi" w:cstheme="minorHAnsi"/>
          <w:sz w:val="24"/>
          <w:szCs w:val="24"/>
          <w:lang w:val="en-US"/>
        </w:rPr>
        <w:t>Johnson KJ, Cullen J, Barnholtz JS, Ostrom QT, Langer CE, Turner MC, McKean</w:t>
      </w:r>
      <w:r w:rsidR="00030685">
        <w:rPr>
          <w:rFonts w:asciiTheme="minorHAnsi" w:hAnsiTheme="minorHAnsi" w:cstheme="minorHAnsi"/>
          <w:sz w:val="24"/>
          <w:szCs w:val="24"/>
          <w:lang w:val="en-US"/>
        </w:rPr>
        <w:t>-</w:t>
      </w:r>
      <w:r w:rsidR="00593D46" w:rsidRPr="00593D46">
        <w:rPr>
          <w:rFonts w:asciiTheme="minorHAnsi" w:hAnsiTheme="minorHAnsi" w:cstheme="minorHAnsi"/>
          <w:sz w:val="24"/>
          <w:szCs w:val="24"/>
          <w:lang w:val="en-US"/>
        </w:rPr>
        <w:t>Cowdin R, Fisher JL, Lup PJ, Partap S, Schwartzbaum JA, Scheurer ME. Childhood brain tumor epidemiology consortium review. Cancer Epidemiol Biomarkers Prev 2014; 23(12): 2716-2736. DOI: 10.1158/1055-9965.EPI-14-0207.</w:t>
      </w:r>
    </w:p>
    <w:p w14:paraId="6596E7D1" w14:textId="2B8F0539" w:rsidR="00005233" w:rsidRPr="00717345" w:rsidRDefault="006917C8" w:rsidP="003F6EF9">
      <w:pPr>
        <w:shd w:val="clear" w:color="auto" w:fill="FFFFFF"/>
        <w:spacing w:after="0" w:line="480" w:lineRule="auto"/>
        <w:ind w:left="709" w:hanging="709"/>
        <w:rPr>
          <w:rFonts w:asciiTheme="minorHAnsi" w:hAnsiTheme="minorHAnsi" w:cstheme="minorHAnsi"/>
          <w:bCs/>
          <w:kern w:val="36"/>
          <w:sz w:val="24"/>
          <w:szCs w:val="24"/>
          <w:lang w:val="it-IT" w:eastAsia="en-GB"/>
        </w:rPr>
      </w:pPr>
      <w:r>
        <w:rPr>
          <w:lang w:val="en-US"/>
        </w:rPr>
        <w:t>2</w:t>
      </w:r>
      <w:r w:rsidR="00A108C0" w:rsidRPr="00717345">
        <w:rPr>
          <w:lang w:val="en-US"/>
        </w:rPr>
        <w:t xml:space="preserve">. </w:t>
      </w:r>
      <w:hyperlink r:id="rId9" w:history="1">
        <w:r w:rsidR="00005233" w:rsidRPr="00593D46">
          <w:rPr>
            <w:rFonts w:asciiTheme="minorHAnsi" w:hAnsiTheme="minorHAnsi" w:cstheme="minorHAnsi"/>
            <w:sz w:val="24"/>
            <w:szCs w:val="24"/>
            <w:lang w:val="en-GB" w:eastAsia="en-GB"/>
          </w:rPr>
          <w:t>Peris-Bonet R</w:t>
        </w:r>
      </w:hyperlink>
      <w:r w:rsidR="00005233" w:rsidRPr="00593D46">
        <w:rPr>
          <w:rFonts w:asciiTheme="minorHAnsi" w:hAnsiTheme="minorHAnsi" w:cstheme="minorHAnsi"/>
          <w:sz w:val="24"/>
          <w:szCs w:val="24"/>
          <w:lang w:val="en-GB" w:eastAsia="en-GB"/>
        </w:rPr>
        <w:t>, </w:t>
      </w:r>
      <w:hyperlink r:id="rId10" w:history="1">
        <w:r w:rsidR="00005233" w:rsidRPr="00593D46">
          <w:rPr>
            <w:rFonts w:asciiTheme="minorHAnsi" w:hAnsiTheme="minorHAnsi" w:cstheme="minorHAnsi"/>
            <w:sz w:val="24"/>
            <w:szCs w:val="24"/>
            <w:lang w:val="en-GB" w:eastAsia="en-GB"/>
          </w:rPr>
          <w:t>Martínez-García C</w:t>
        </w:r>
      </w:hyperlink>
      <w:r w:rsidR="00005233" w:rsidRPr="00593D46">
        <w:rPr>
          <w:rFonts w:asciiTheme="minorHAnsi" w:hAnsiTheme="minorHAnsi" w:cstheme="minorHAnsi"/>
          <w:sz w:val="24"/>
          <w:szCs w:val="24"/>
          <w:lang w:val="en-GB" w:eastAsia="en-GB"/>
        </w:rPr>
        <w:t>, </w:t>
      </w:r>
      <w:hyperlink r:id="rId11" w:history="1">
        <w:r w:rsidR="00005233" w:rsidRPr="00593D46">
          <w:rPr>
            <w:rFonts w:asciiTheme="minorHAnsi" w:hAnsiTheme="minorHAnsi" w:cstheme="minorHAnsi"/>
            <w:sz w:val="24"/>
            <w:szCs w:val="24"/>
            <w:lang w:val="en-GB" w:eastAsia="en-GB"/>
          </w:rPr>
          <w:t>Lacour B</w:t>
        </w:r>
      </w:hyperlink>
      <w:r w:rsidR="00005233" w:rsidRPr="00593D46">
        <w:rPr>
          <w:rFonts w:asciiTheme="minorHAnsi" w:hAnsiTheme="minorHAnsi" w:cstheme="minorHAnsi"/>
          <w:sz w:val="24"/>
          <w:szCs w:val="24"/>
          <w:lang w:val="en-GB" w:eastAsia="en-GB"/>
        </w:rPr>
        <w:t>, </w:t>
      </w:r>
      <w:hyperlink r:id="rId12" w:history="1">
        <w:r w:rsidR="00005233" w:rsidRPr="00593D46">
          <w:rPr>
            <w:rFonts w:asciiTheme="minorHAnsi" w:hAnsiTheme="minorHAnsi" w:cstheme="minorHAnsi"/>
            <w:sz w:val="24"/>
            <w:szCs w:val="24"/>
            <w:lang w:val="en-GB" w:eastAsia="en-GB"/>
          </w:rPr>
          <w:t>Petrovich S</w:t>
        </w:r>
      </w:hyperlink>
      <w:r w:rsidR="00005233" w:rsidRPr="00593D46">
        <w:rPr>
          <w:rFonts w:asciiTheme="minorHAnsi" w:hAnsiTheme="minorHAnsi" w:cstheme="minorHAnsi"/>
          <w:sz w:val="24"/>
          <w:szCs w:val="24"/>
          <w:lang w:val="en-GB" w:eastAsia="en-GB"/>
        </w:rPr>
        <w:t>, </w:t>
      </w:r>
      <w:hyperlink r:id="rId13" w:history="1">
        <w:r w:rsidR="00005233" w:rsidRPr="00593D46">
          <w:rPr>
            <w:rFonts w:asciiTheme="minorHAnsi" w:hAnsiTheme="minorHAnsi" w:cstheme="minorHAnsi"/>
            <w:sz w:val="24"/>
            <w:szCs w:val="24"/>
            <w:lang w:val="en-GB" w:eastAsia="en-GB"/>
          </w:rPr>
          <w:t>Giner-Ripoll B</w:t>
        </w:r>
      </w:hyperlink>
      <w:r w:rsidR="00005233" w:rsidRPr="00593D46">
        <w:rPr>
          <w:rFonts w:asciiTheme="minorHAnsi" w:hAnsiTheme="minorHAnsi" w:cstheme="minorHAnsi"/>
          <w:sz w:val="24"/>
          <w:szCs w:val="24"/>
          <w:lang w:val="en-GB" w:eastAsia="en-GB"/>
        </w:rPr>
        <w:t>, </w:t>
      </w:r>
      <w:hyperlink r:id="rId14" w:history="1">
        <w:r w:rsidR="00005233" w:rsidRPr="00593D46">
          <w:rPr>
            <w:rFonts w:asciiTheme="minorHAnsi" w:hAnsiTheme="minorHAnsi" w:cstheme="minorHAnsi"/>
            <w:sz w:val="24"/>
            <w:szCs w:val="24"/>
            <w:lang w:val="en-GB" w:eastAsia="en-GB"/>
          </w:rPr>
          <w:t>Navajas A</w:t>
        </w:r>
      </w:hyperlink>
      <w:r w:rsidR="00005233" w:rsidRPr="00593D46">
        <w:rPr>
          <w:rFonts w:asciiTheme="minorHAnsi" w:hAnsiTheme="minorHAnsi" w:cstheme="minorHAnsi"/>
          <w:sz w:val="24"/>
          <w:szCs w:val="24"/>
          <w:lang w:val="en-GB" w:eastAsia="en-GB"/>
        </w:rPr>
        <w:t>, </w:t>
      </w:r>
      <w:hyperlink r:id="rId15" w:history="1">
        <w:r w:rsidR="00005233" w:rsidRPr="00593D46">
          <w:rPr>
            <w:rFonts w:asciiTheme="minorHAnsi" w:hAnsiTheme="minorHAnsi" w:cstheme="minorHAnsi"/>
            <w:sz w:val="24"/>
            <w:szCs w:val="24"/>
            <w:lang w:val="en-GB" w:eastAsia="en-GB"/>
          </w:rPr>
          <w:t>Steliarova-Foucher E</w:t>
        </w:r>
      </w:hyperlink>
      <w:r w:rsidR="00005233" w:rsidRPr="00593D46">
        <w:rPr>
          <w:rFonts w:asciiTheme="minorHAnsi" w:hAnsiTheme="minorHAnsi" w:cstheme="minorHAnsi"/>
          <w:sz w:val="24"/>
          <w:szCs w:val="24"/>
          <w:lang w:val="en-GB" w:eastAsia="en-GB"/>
        </w:rPr>
        <w:t xml:space="preserve">. </w:t>
      </w:r>
      <w:r w:rsidR="00005233" w:rsidRPr="00593D46">
        <w:rPr>
          <w:rFonts w:asciiTheme="minorHAnsi" w:hAnsiTheme="minorHAnsi" w:cstheme="minorHAnsi"/>
          <w:bCs/>
          <w:kern w:val="36"/>
          <w:sz w:val="24"/>
          <w:szCs w:val="24"/>
          <w:lang w:val="en-GB" w:eastAsia="en-GB"/>
        </w:rPr>
        <w:t xml:space="preserve"> Childhood central nervous system tumours--incidence and survival in Europe (1978-1997): report from Automated Childhood Cancer Information System project. </w:t>
      </w:r>
      <w:r w:rsidR="00005233" w:rsidRPr="00717345">
        <w:rPr>
          <w:rFonts w:asciiTheme="minorHAnsi" w:hAnsiTheme="minorHAnsi" w:cstheme="minorHAnsi"/>
          <w:bCs/>
          <w:kern w:val="36"/>
          <w:sz w:val="24"/>
          <w:szCs w:val="24"/>
          <w:lang w:val="it-IT" w:eastAsia="en-GB"/>
        </w:rPr>
        <w:t>European J Cancer</w:t>
      </w:r>
      <w:r w:rsidR="00D8133A" w:rsidRPr="00717345">
        <w:rPr>
          <w:rFonts w:asciiTheme="minorHAnsi" w:hAnsiTheme="minorHAnsi" w:cstheme="minorHAnsi"/>
          <w:bCs/>
          <w:kern w:val="36"/>
          <w:sz w:val="24"/>
          <w:szCs w:val="24"/>
          <w:lang w:val="it-IT" w:eastAsia="en-GB"/>
        </w:rPr>
        <w:t xml:space="preserve"> 2006;</w:t>
      </w:r>
      <w:r w:rsidR="00005233" w:rsidRPr="00717345">
        <w:rPr>
          <w:rFonts w:asciiTheme="minorHAnsi" w:hAnsiTheme="minorHAnsi" w:cstheme="minorHAnsi"/>
          <w:bCs/>
          <w:kern w:val="36"/>
          <w:sz w:val="24"/>
          <w:szCs w:val="24"/>
          <w:lang w:val="it-IT" w:eastAsia="en-GB"/>
        </w:rPr>
        <w:t xml:space="preserve"> 42</w:t>
      </w:r>
      <w:r w:rsidR="00D8133A" w:rsidRPr="00717345">
        <w:rPr>
          <w:rFonts w:asciiTheme="minorHAnsi" w:hAnsiTheme="minorHAnsi" w:cstheme="minorHAnsi"/>
          <w:bCs/>
          <w:kern w:val="36"/>
          <w:sz w:val="24"/>
          <w:szCs w:val="24"/>
          <w:lang w:val="it-IT" w:eastAsia="en-GB"/>
        </w:rPr>
        <w:t xml:space="preserve">, </w:t>
      </w:r>
      <w:r w:rsidR="00005233" w:rsidRPr="00717345">
        <w:rPr>
          <w:rFonts w:asciiTheme="minorHAnsi" w:hAnsiTheme="minorHAnsi" w:cstheme="minorHAnsi"/>
          <w:bCs/>
          <w:kern w:val="36"/>
          <w:sz w:val="24"/>
          <w:szCs w:val="24"/>
          <w:lang w:val="it-IT" w:eastAsia="en-GB"/>
        </w:rPr>
        <w:t>13</w:t>
      </w:r>
      <w:r w:rsidR="00D8133A" w:rsidRPr="00717345">
        <w:rPr>
          <w:rFonts w:asciiTheme="minorHAnsi" w:hAnsiTheme="minorHAnsi" w:cstheme="minorHAnsi"/>
          <w:bCs/>
          <w:kern w:val="36"/>
          <w:sz w:val="24"/>
          <w:szCs w:val="24"/>
          <w:lang w:val="it-IT" w:eastAsia="en-GB"/>
        </w:rPr>
        <w:t>:</w:t>
      </w:r>
      <w:r w:rsidR="00005233" w:rsidRPr="00717345">
        <w:rPr>
          <w:rFonts w:asciiTheme="minorHAnsi" w:hAnsiTheme="minorHAnsi" w:cstheme="minorHAnsi"/>
          <w:bCs/>
          <w:kern w:val="36"/>
          <w:sz w:val="24"/>
          <w:szCs w:val="24"/>
          <w:lang w:val="it-IT" w:eastAsia="en-GB"/>
        </w:rPr>
        <w:t xml:space="preserve"> 2064-2080</w:t>
      </w:r>
      <w:r w:rsidR="00D8133A" w:rsidRPr="00717345">
        <w:rPr>
          <w:rFonts w:asciiTheme="minorHAnsi" w:hAnsiTheme="minorHAnsi" w:cstheme="minorHAnsi"/>
          <w:bCs/>
          <w:kern w:val="36"/>
          <w:sz w:val="24"/>
          <w:szCs w:val="24"/>
          <w:lang w:val="it-IT" w:eastAsia="en-GB"/>
        </w:rPr>
        <w:t>.</w:t>
      </w:r>
    </w:p>
    <w:p w14:paraId="6948352F" w14:textId="42740817" w:rsidR="004A2D5E" w:rsidRPr="00593D46" w:rsidRDefault="006917C8" w:rsidP="004A2D5E">
      <w:pPr>
        <w:spacing w:line="480" w:lineRule="auto"/>
        <w:ind w:left="709" w:hanging="709"/>
        <w:rPr>
          <w:rFonts w:eastAsia="Arial Unicode MS"/>
          <w:sz w:val="24"/>
          <w:szCs w:val="24"/>
          <w:lang w:val="en-GB" w:eastAsia="en-GB"/>
        </w:rPr>
      </w:pPr>
      <w:r>
        <w:rPr>
          <w:rFonts w:eastAsia="Arial Unicode MS"/>
          <w:sz w:val="24"/>
          <w:szCs w:val="24"/>
          <w:lang w:val="it-IT" w:eastAsia="en-GB"/>
        </w:rPr>
        <w:t>3</w:t>
      </w:r>
      <w:r w:rsidR="004A2D5E" w:rsidRPr="00717345">
        <w:rPr>
          <w:rFonts w:eastAsia="Arial Unicode MS"/>
          <w:sz w:val="24"/>
          <w:szCs w:val="24"/>
          <w:lang w:val="it-IT" w:eastAsia="en-GB"/>
        </w:rPr>
        <w:t xml:space="preserve">. Gatta G, Botta L, Rossi S et al. </w:t>
      </w:r>
      <w:r w:rsidR="004A2D5E" w:rsidRPr="00593D46">
        <w:rPr>
          <w:rFonts w:eastAsia="Arial Unicode MS"/>
          <w:sz w:val="24"/>
          <w:szCs w:val="24"/>
          <w:lang w:val="en-GB" w:eastAsia="en-GB"/>
        </w:rPr>
        <w:t>Childhood cancer survival in Europe 1999-2007: results of EUROCARE-5 – a populated-based study. Lancet Oncol 2014; 15(1): 35-57. DOI: 10.1016/S1470-2045(13)70548-5.</w:t>
      </w:r>
    </w:p>
    <w:p w14:paraId="122D3A5F" w14:textId="29C608C7" w:rsidR="004A2D5E" w:rsidRPr="00593D46" w:rsidRDefault="006917C8" w:rsidP="004A2D5E">
      <w:pPr>
        <w:spacing w:after="0" w:line="480" w:lineRule="auto"/>
        <w:ind w:left="709" w:hanging="709"/>
        <w:rPr>
          <w:rFonts w:asciiTheme="minorHAnsi" w:hAnsiTheme="minorHAnsi" w:cstheme="minorHAnsi"/>
          <w:sz w:val="24"/>
          <w:szCs w:val="24"/>
          <w:lang w:val="en-GB"/>
        </w:rPr>
      </w:pPr>
      <w:r>
        <w:rPr>
          <w:rFonts w:asciiTheme="minorHAnsi" w:eastAsia="Arial Unicode MS" w:hAnsiTheme="minorHAnsi" w:cstheme="minorHAnsi"/>
          <w:sz w:val="24"/>
          <w:szCs w:val="24"/>
          <w:u w:color="000000"/>
          <w:lang w:val="en-GB"/>
        </w:rPr>
        <w:t>4</w:t>
      </w:r>
      <w:r w:rsidR="004A2D5E">
        <w:rPr>
          <w:rFonts w:asciiTheme="minorHAnsi" w:eastAsia="Arial Unicode MS" w:hAnsiTheme="minorHAnsi" w:cstheme="minorHAnsi"/>
          <w:sz w:val="24"/>
          <w:szCs w:val="24"/>
          <w:u w:color="000000"/>
          <w:lang w:val="en-GB"/>
        </w:rPr>
        <w:t xml:space="preserve">. </w:t>
      </w:r>
      <w:r w:rsidR="004A2D5E" w:rsidRPr="00593D46">
        <w:rPr>
          <w:rFonts w:asciiTheme="minorHAnsi" w:eastAsia="Arial Unicode MS" w:hAnsiTheme="minorHAnsi" w:cstheme="minorHAnsi"/>
          <w:sz w:val="24"/>
          <w:szCs w:val="24"/>
          <w:u w:color="000000"/>
          <w:lang w:val="en-GB"/>
        </w:rPr>
        <w:t>Chevignard M, Camara-Costa H, Doz F, Dellatolas G.</w:t>
      </w:r>
      <w:r w:rsidR="004A2D5E" w:rsidRPr="00593D46">
        <w:rPr>
          <w:rFonts w:asciiTheme="minorHAnsi" w:hAnsiTheme="minorHAnsi" w:cstheme="minorHAnsi"/>
          <w:sz w:val="24"/>
          <w:szCs w:val="24"/>
          <w:lang w:val="en-US"/>
        </w:rPr>
        <w:t xml:space="preserve"> Core deficits and Quality of Survival after childhood medulloblastoma: a review. </w:t>
      </w:r>
      <w:r w:rsidR="004A2D5E" w:rsidRPr="00593D46">
        <w:rPr>
          <w:rFonts w:asciiTheme="minorHAnsi" w:hAnsiTheme="minorHAnsi" w:cstheme="minorHAnsi"/>
          <w:sz w:val="24"/>
          <w:szCs w:val="24"/>
          <w:lang w:val="en-GB"/>
        </w:rPr>
        <w:t xml:space="preserve">Neuro Oncol Practice 2017; 4(2): 82-97. doi :10.1093/nop/npw013 </w:t>
      </w:r>
    </w:p>
    <w:p w14:paraId="6C25105F" w14:textId="6F7E0E65" w:rsidR="004A2D5E" w:rsidRPr="00AE36E6" w:rsidRDefault="006917C8" w:rsidP="004A2D5E">
      <w:pPr>
        <w:spacing w:after="0" w:line="480" w:lineRule="auto"/>
        <w:ind w:left="709" w:hanging="709"/>
        <w:rPr>
          <w:rFonts w:asciiTheme="minorHAnsi" w:hAnsiTheme="minorHAnsi" w:cstheme="minorHAnsi"/>
          <w:sz w:val="24"/>
          <w:szCs w:val="24"/>
          <w:lang w:val="en-US"/>
        </w:rPr>
      </w:pPr>
      <w:r>
        <w:rPr>
          <w:rFonts w:asciiTheme="minorHAnsi" w:hAnsiTheme="minorHAnsi" w:cstheme="minorHAnsi"/>
          <w:sz w:val="24"/>
          <w:szCs w:val="24"/>
          <w:lang w:val="en-US"/>
        </w:rPr>
        <w:t>5</w:t>
      </w:r>
      <w:r w:rsidR="004A2D5E">
        <w:rPr>
          <w:rFonts w:asciiTheme="minorHAnsi" w:hAnsiTheme="minorHAnsi" w:cstheme="minorHAnsi"/>
          <w:sz w:val="24"/>
          <w:szCs w:val="24"/>
          <w:lang w:val="en-US"/>
        </w:rPr>
        <w:t xml:space="preserve">. </w:t>
      </w:r>
      <w:r w:rsidR="004A2D5E" w:rsidRPr="00593D46">
        <w:rPr>
          <w:rFonts w:asciiTheme="minorHAnsi" w:hAnsiTheme="minorHAnsi" w:cstheme="minorHAnsi"/>
          <w:sz w:val="24"/>
          <w:szCs w:val="24"/>
          <w:lang w:val="en-US"/>
        </w:rPr>
        <w:t xml:space="preserve">Kahalley LS, Conklin HM, Tyc VL, Hudson MM, Wilson SJ, Wu S, Xiong X, Hinds PS. Slower processing speed after treatment for pediatric brain tumor and acute lymphoblastic leukemia. Psychooncol 2013; 22(9): 1979-86. DOI: 10.1002/pon.3255. Epub 2013 Feb </w:t>
      </w:r>
      <w:r w:rsidR="004A2D5E" w:rsidRPr="00AE36E6">
        <w:rPr>
          <w:rFonts w:asciiTheme="minorHAnsi" w:hAnsiTheme="minorHAnsi" w:cstheme="minorHAnsi"/>
          <w:sz w:val="24"/>
          <w:szCs w:val="24"/>
          <w:lang w:val="en-US"/>
        </w:rPr>
        <w:t>28.</w:t>
      </w:r>
    </w:p>
    <w:p w14:paraId="64F1FFC0" w14:textId="285B3BF7" w:rsidR="0066191F" w:rsidRDefault="006917C8" w:rsidP="003F6EF9">
      <w:pPr>
        <w:shd w:val="clear" w:color="auto" w:fill="FFFFFF"/>
        <w:spacing w:after="0" w:line="480" w:lineRule="auto"/>
        <w:ind w:left="709" w:hanging="709"/>
        <w:textAlignment w:val="top"/>
        <w:rPr>
          <w:rFonts w:asciiTheme="minorHAnsi" w:hAnsiTheme="minorHAnsi" w:cstheme="minorHAnsi"/>
          <w:sz w:val="24"/>
          <w:szCs w:val="24"/>
          <w:lang w:val="en-GB"/>
        </w:rPr>
      </w:pPr>
      <w:r>
        <w:rPr>
          <w:rFonts w:asciiTheme="minorHAnsi" w:hAnsiTheme="minorHAnsi" w:cstheme="minorHAnsi"/>
          <w:sz w:val="24"/>
          <w:szCs w:val="24"/>
          <w:lang w:val="en-GB" w:eastAsia="en-GB"/>
        </w:rPr>
        <w:t>6</w:t>
      </w:r>
      <w:r w:rsidR="00A108C0">
        <w:rPr>
          <w:rFonts w:asciiTheme="minorHAnsi" w:hAnsiTheme="minorHAnsi" w:cstheme="minorHAnsi"/>
          <w:sz w:val="24"/>
          <w:szCs w:val="24"/>
          <w:lang w:val="en-GB" w:eastAsia="en-GB"/>
        </w:rPr>
        <w:t xml:space="preserve">. </w:t>
      </w:r>
      <w:r w:rsidR="0066191F" w:rsidRPr="00593D46">
        <w:rPr>
          <w:rFonts w:asciiTheme="minorHAnsi" w:hAnsiTheme="minorHAnsi" w:cstheme="minorHAnsi"/>
          <w:sz w:val="24"/>
          <w:szCs w:val="24"/>
          <w:lang w:val="en-GB" w:eastAsia="en-GB"/>
        </w:rPr>
        <w:t>Reddick et al 2014</w:t>
      </w:r>
      <w:r w:rsidR="0066191F" w:rsidRPr="00593D46">
        <w:rPr>
          <w:rFonts w:asciiTheme="minorHAnsi" w:hAnsiTheme="minorHAnsi" w:cstheme="minorHAnsi"/>
          <w:sz w:val="24"/>
          <w:szCs w:val="24"/>
          <w:lang w:val="en-GB"/>
        </w:rPr>
        <w:t xml:space="preserve"> Prognostic Factors that Increase the Risk for Reduced White Matter Volumes and Deficits in Attention and Learning for Survivors of Childhood Cancers</w:t>
      </w:r>
      <w:r w:rsidR="00D8133A" w:rsidRPr="00593D46">
        <w:rPr>
          <w:rFonts w:asciiTheme="minorHAnsi" w:hAnsiTheme="minorHAnsi" w:cstheme="minorHAnsi"/>
          <w:sz w:val="24"/>
          <w:szCs w:val="24"/>
          <w:lang w:val="en-GB"/>
        </w:rPr>
        <w:t>. Pediatr Blood Cancer 2014 Jun; 61(6)</w:t>
      </w:r>
      <w:r w:rsidR="003F6EF9" w:rsidRPr="00593D46">
        <w:rPr>
          <w:rFonts w:asciiTheme="minorHAnsi" w:hAnsiTheme="minorHAnsi" w:cstheme="minorHAnsi"/>
          <w:sz w:val="24"/>
          <w:szCs w:val="24"/>
          <w:lang w:val="en-GB"/>
        </w:rPr>
        <w:t> :1074-9. doi : 10.1002/pbc.24947. Epub 2014 Jan 25.</w:t>
      </w:r>
    </w:p>
    <w:p w14:paraId="32ED50AD" w14:textId="7B14586F" w:rsidR="004A2D5E" w:rsidRPr="00717345" w:rsidRDefault="006917C8" w:rsidP="004A2D5E">
      <w:pPr>
        <w:pStyle w:val="Title1"/>
        <w:spacing w:before="0" w:beforeAutospacing="0" w:after="0" w:afterAutospacing="0" w:line="480" w:lineRule="auto"/>
        <w:ind w:left="709" w:hanging="709"/>
        <w:rPr>
          <w:rFonts w:asciiTheme="minorHAnsi" w:hAnsiTheme="minorHAnsi" w:cstheme="minorHAnsi"/>
          <w:lang w:val="en-GB"/>
        </w:rPr>
      </w:pPr>
      <w:r>
        <w:rPr>
          <w:rFonts w:asciiTheme="minorHAnsi" w:hAnsiTheme="minorHAnsi" w:cstheme="minorHAnsi"/>
          <w:lang w:val="en-US"/>
        </w:rPr>
        <w:t>7</w:t>
      </w:r>
      <w:r w:rsidR="004A2D5E">
        <w:rPr>
          <w:rFonts w:asciiTheme="minorHAnsi" w:hAnsiTheme="minorHAnsi" w:cstheme="minorHAnsi"/>
          <w:lang w:val="en-US"/>
        </w:rPr>
        <w:t xml:space="preserve">. </w:t>
      </w:r>
      <w:r w:rsidR="004A2D5E" w:rsidRPr="00593D46">
        <w:rPr>
          <w:rFonts w:asciiTheme="minorHAnsi" w:hAnsiTheme="minorHAnsi" w:cstheme="minorHAnsi"/>
          <w:lang w:val="en-US"/>
        </w:rPr>
        <w:t xml:space="preserve">Duffner PK. </w:t>
      </w:r>
      <w:r w:rsidR="004A2D5E" w:rsidRPr="00593D46">
        <w:rPr>
          <w:rFonts w:asciiTheme="minorHAnsi" w:hAnsiTheme="minorHAnsi" w:cstheme="minorHAnsi"/>
          <w:lang w:val="en-GB"/>
        </w:rPr>
        <w:t xml:space="preserve">Risk factors for cognitive decline in children treated for brain tumors. </w:t>
      </w:r>
      <w:r w:rsidR="004A2D5E" w:rsidRPr="00717345">
        <w:rPr>
          <w:rFonts w:asciiTheme="minorHAnsi" w:hAnsiTheme="minorHAnsi" w:cstheme="minorHAnsi"/>
          <w:lang w:val="en-GB"/>
        </w:rPr>
        <w:t>Eur J Paediatr Neurol 2010; 14(2): 106-115. doi:10.1016/j.ejpn.2009.10.005</w:t>
      </w:r>
    </w:p>
    <w:p w14:paraId="553CD437" w14:textId="5C3748BB" w:rsidR="004A2D5E" w:rsidRPr="00593D46" w:rsidRDefault="006917C8" w:rsidP="004A2D5E">
      <w:pPr>
        <w:shd w:val="clear" w:color="auto" w:fill="FFFFFF"/>
        <w:spacing w:after="0" w:line="480" w:lineRule="auto"/>
        <w:ind w:left="709" w:hanging="709"/>
        <w:rPr>
          <w:rFonts w:asciiTheme="minorHAnsi" w:hAnsiTheme="minorHAnsi" w:cstheme="minorHAnsi"/>
          <w:sz w:val="24"/>
          <w:szCs w:val="24"/>
          <w:lang w:val="en-GB" w:eastAsia="en-GB"/>
        </w:rPr>
      </w:pPr>
      <w:r>
        <w:rPr>
          <w:rFonts w:asciiTheme="minorHAnsi" w:hAnsiTheme="minorHAnsi" w:cstheme="minorHAnsi"/>
          <w:sz w:val="24"/>
          <w:szCs w:val="24"/>
          <w:lang w:val="en-GB" w:eastAsia="en-GB"/>
        </w:rPr>
        <w:t>8</w:t>
      </w:r>
      <w:r w:rsidR="004A2D5E">
        <w:rPr>
          <w:rFonts w:asciiTheme="minorHAnsi" w:hAnsiTheme="minorHAnsi" w:cstheme="minorHAnsi"/>
          <w:sz w:val="24"/>
          <w:szCs w:val="24"/>
          <w:lang w:val="en-GB" w:eastAsia="en-GB"/>
        </w:rPr>
        <w:t xml:space="preserve">. </w:t>
      </w:r>
      <w:r w:rsidR="004A2D5E" w:rsidRPr="00593D46">
        <w:rPr>
          <w:rFonts w:asciiTheme="minorHAnsi" w:hAnsiTheme="minorHAnsi" w:cstheme="minorHAnsi"/>
          <w:sz w:val="24"/>
          <w:szCs w:val="24"/>
          <w:lang w:val="en-GB" w:eastAsia="en-GB"/>
        </w:rPr>
        <w:t>Limond J, Adlam AL, Cormack M. A model for pediatric neurocognitive interventions: considering the role of development and maturation in rehabilitation planning. Clin Neuropsychol 2014; 28(2): 181-98. Doi: 10.1080/13854046.2013.873083. Epub 2014 Feb 5.</w:t>
      </w:r>
    </w:p>
    <w:p w14:paraId="7E1974C1" w14:textId="07F967D6" w:rsidR="006917C8" w:rsidRPr="00593D46" w:rsidRDefault="006917C8" w:rsidP="006917C8">
      <w:pPr>
        <w:shd w:val="clear" w:color="auto" w:fill="FFFFFF"/>
        <w:spacing w:after="0" w:line="480" w:lineRule="auto"/>
        <w:ind w:left="709" w:hanging="709"/>
        <w:rPr>
          <w:rFonts w:asciiTheme="minorHAnsi" w:hAnsiTheme="minorHAnsi" w:cstheme="minorHAnsi"/>
          <w:sz w:val="24"/>
          <w:szCs w:val="24"/>
          <w:lang w:val="en-GB" w:eastAsia="en-GB"/>
        </w:rPr>
      </w:pPr>
      <w:r>
        <w:rPr>
          <w:rFonts w:asciiTheme="minorHAnsi" w:hAnsiTheme="minorHAnsi" w:cstheme="minorHAnsi"/>
          <w:sz w:val="24"/>
          <w:szCs w:val="24"/>
          <w:lang w:eastAsia="en-GB"/>
        </w:rPr>
        <w:t>9</w:t>
      </w:r>
      <w:r w:rsidRPr="00717345">
        <w:rPr>
          <w:rFonts w:asciiTheme="minorHAnsi" w:hAnsiTheme="minorHAnsi" w:cstheme="minorHAnsi"/>
          <w:sz w:val="24"/>
          <w:szCs w:val="24"/>
          <w:lang w:eastAsia="en-GB"/>
        </w:rPr>
        <w:t xml:space="preserve">. Limond J, Bull, KS, Calaminus, G et al. </w:t>
      </w:r>
      <w:r w:rsidRPr="00593D46">
        <w:rPr>
          <w:rFonts w:asciiTheme="minorHAnsi" w:hAnsiTheme="minorHAnsi" w:cstheme="minorHAnsi"/>
          <w:sz w:val="24"/>
          <w:szCs w:val="24"/>
          <w:lang w:val="en-GB" w:eastAsia="en-GB"/>
        </w:rPr>
        <w:t>Quality of survival assessment in European childhood brain tumour trials, for children 5 years and over.  Eur J Paediatr Neurol 2015; 19(2): 202-210. Doi: 10.1016/j.ejpn.2014.12.003. Epub 2014 Dec 17.</w:t>
      </w:r>
    </w:p>
    <w:p w14:paraId="19A613E1" w14:textId="2749FE36" w:rsidR="004A2D5E" w:rsidRPr="00593D46" w:rsidRDefault="004A2D5E" w:rsidP="004A2D5E">
      <w:pPr>
        <w:spacing w:after="0" w:line="480" w:lineRule="auto"/>
        <w:ind w:left="709" w:hanging="709"/>
        <w:rPr>
          <w:rFonts w:asciiTheme="minorHAnsi" w:hAnsiTheme="minorHAnsi" w:cstheme="minorHAnsi"/>
          <w:sz w:val="24"/>
          <w:szCs w:val="24"/>
          <w:lang w:val="en-US"/>
        </w:rPr>
      </w:pPr>
      <w:r>
        <w:rPr>
          <w:rFonts w:asciiTheme="minorHAnsi" w:hAnsiTheme="minorHAnsi" w:cstheme="minorHAnsi"/>
          <w:sz w:val="24"/>
          <w:szCs w:val="24"/>
          <w:lang w:val="en-GB"/>
        </w:rPr>
        <w:t xml:space="preserve">10. </w:t>
      </w:r>
      <w:r w:rsidRPr="00593D46">
        <w:rPr>
          <w:rFonts w:asciiTheme="minorHAnsi" w:hAnsiTheme="minorHAnsi" w:cstheme="minorHAnsi"/>
          <w:sz w:val="24"/>
          <w:szCs w:val="24"/>
          <w:lang w:val="en-GB"/>
        </w:rPr>
        <w:t xml:space="preserve">ICF-CY: The International Classification of Functioning, Disability and Health: Child and Youth Version. </w:t>
      </w:r>
      <w:r w:rsidRPr="00593D46">
        <w:rPr>
          <w:rFonts w:asciiTheme="minorHAnsi" w:hAnsiTheme="minorHAnsi" w:cstheme="minorHAnsi"/>
          <w:sz w:val="24"/>
          <w:szCs w:val="24"/>
          <w:lang w:val="en-US"/>
        </w:rPr>
        <w:t>Geneva: World Health Organization, 2007.</w:t>
      </w:r>
    </w:p>
    <w:p w14:paraId="135566AC" w14:textId="77777777" w:rsidR="004A2D5E" w:rsidRPr="00717345" w:rsidRDefault="004A2D5E" w:rsidP="004A2D5E">
      <w:pPr>
        <w:spacing w:after="0" w:line="480" w:lineRule="auto"/>
        <w:jc w:val="both"/>
        <w:rPr>
          <w:rFonts w:cs="Arial"/>
          <w:snapToGrid w:val="0"/>
          <w:sz w:val="24"/>
          <w:szCs w:val="24"/>
          <w:lang w:val="en-GB"/>
        </w:rPr>
      </w:pPr>
      <w:r w:rsidRPr="00717345">
        <w:rPr>
          <w:rFonts w:cs="Arial"/>
          <w:snapToGrid w:val="0"/>
          <w:sz w:val="24"/>
          <w:szCs w:val="24"/>
          <w:lang w:val="en-GB"/>
        </w:rPr>
        <w:t xml:space="preserve">11. Pletschko, T., Felnhofer, A., Schwarzinger, A., Weiler, L., Slavc, I., &amp; Leiss, U. Applying the </w:t>
      </w:r>
    </w:p>
    <w:p w14:paraId="4E509659" w14:textId="77777777" w:rsidR="004A2D5E" w:rsidRPr="00717345" w:rsidRDefault="004A2D5E" w:rsidP="004A2D5E">
      <w:pPr>
        <w:shd w:val="clear" w:color="auto" w:fill="FFFFFF"/>
        <w:spacing w:after="0" w:line="480" w:lineRule="auto"/>
        <w:ind w:left="709" w:hanging="709"/>
        <w:textAlignment w:val="top"/>
        <w:rPr>
          <w:rFonts w:cs="Arial"/>
          <w:snapToGrid w:val="0"/>
          <w:sz w:val="24"/>
          <w:szCs w:val="24"/>
          <w:lang w:val="en-GB"/>
        </w:rPr>
      </w:pPr>
      <w:r w:rsidRPr="00717345">
        <w:rPr>
          <w:rFonts w:cs="Arial"/>
          <w:snapToGrid w:val="0"/>
          <w:sz w:val="24"/>
          <w:szCs w:val="24"/>
          <w:lang w:val="en-GB"/>
        </w:rPr>
        <w:t>International Classification of Functioning–Children and Youth Version to Pediatric Neuro-oncology.</w:t>
      </w:r>
      <w:r w:rsidRPr="00717345">
        <w:rPr>
          <w:rFonts w:cs="Arial"/>
          <w:i/>
          <w:snapToGrid w:val="0"/>
          <w:sz w:val="24"/>
          <w:szCs w:val="24"/>
          <w:lang w:val="en-GB"/>
        </w:rPr>
        <w:t xml:space="preserve"> </w:t>
      </w:r>
      <w:r w:rsidRPr="00717345">
        <w:rPr>
          <w:rFonts w:cs="Arial"/>
          <w:snapToGrid w:val="0"/>
          <w:sz w:val="24"/>
          <w:szCs w:val="24"/>
          <w:lang w:val="en-GB"/>
        </w:rPr>
        <w:t>Journal of Child Neurology 1-6, 2016.</w:t>
      </w:r>
    </w:p>
    <w:p w14:paraId="04A4A136" w14:textId="77777777" w:rsidR="004A2D5E" w:rsidRPr="00AC05E4" w:rsidRDefault="004A2D5E" w:rsidP="004A2D5E">
      <w:pPr>
        <w:shd w:val="clear" w:color="auto" w:fill="FFFFFF"/>
        <w:spacing w:after="0" w:line="480" w:lineRule="auto"/>
        <w:ind w:left="709" w:hanging="709"/>
        <w:textAlignment w:val="baseline"/>
        <w:outlineLvl w:val="0"/>
        <w:rPr>
          <w:rFonts w:asciiTheme="minorHAnsi" w:hAnsiTheme="minorHAnsi" w:cstheme="minorHAnsi"/>
          <w:sz w:val="24"/>
          <w:szCs w:val="24"/>
          <w:lang w:val="de-DE" w:eastAsia="en-GB"/>
        </w:rPr>
      </w:pPr>
      <w:r>
        <w:rPr>
          <w:rFonts w:asciiTheme="minorHAnsi" w:hAnsiTheme="minorHAnsi" w:cstheme="minorHAnsi"/>
          <w:sz w:val="24"/>
          <w:szCs w:val="24"/>
          <w:lang w:val="en-GB" w:eastAsia="en-GB"/>
        </w:rPr>
        <w:t xml:space="preserve">12. </w:t>
      </w:r>
      <w:r w:rsidRPr="00593D46">
        <w:rPr>
          <w:rFonts w:asciiTheme="minorHAnsi" w:hAnsiTheme="minorHAnsi" w:cstheme="minorHAnsi"/>
          <w:sz w:val="24"/>
          <w:szCs w:val="24"/>
          <w:lang w:val="en-GB" w:eastAsia="en-GB"/>
        </w:rPr>
        <w:t xml:space="preserve">Hack M, Taylor HG, Drotar D, Schluchter M, Cartar L, Wilson-Costello D, Klein N, Friedman H, Mervuri-Minich N, Morrow M.  </w:t>
      </w:r>
      <w:r w:rsidRPr="00593D46">
        <w:rPr>
          <w:rFonts w:asciiTheme="minorHAnsi" w:hAnsiTheme="minorHAnsi" w:cstheme="minorHAnsi"/>
          <w:spacing w:val="-7"/>
          <w:kern w:val="36"/>
          <w:sz w:val="24"/>
          <w:szCs w:val="24"/>
          <w:lang w:val="en-GB" w:eastAsia="en-GB"/>
        </w:rPr>
        <w:t xml:space="preserve">Poor Predictive Validity of the Bayley Scales of Infant Development for Cognitive Function of Extremely Low Birth Weight Children at School Age.  </w:t>
      </w:r>
      <w:hyperlink r:id="rId16" w:history="1">
        <w:r w:rsidRPr="00AC05E4">
          <w:rPr>
            <w:rFonts w:asciiTheme="minorHAnsi" w:hAnsiTheme="minorHAnsi" w:cstheme="minorHAnsi"/>
            <w:sz w:val="24"/>
            <w:szCs w:val="24"/>
            <w:bdr w:val="none" w:sz="0" w:space="0" w:color="auto" w:frame="1"/>
            <w:lang w:val="de-DE" w:eastAsia="en-GB"/>
          </w:rPr>
          <w:t>Pediatr</w:t>
        </w:r>
      </w:hyperlink>
      <w:r w:rsidRPr="00AC05E4">
        <w:rPr>
          <w:rFonts w:asciiTheme="minorHAnsi" w:hAnsiTheme="minorHAnsi" w:cstheme="minorHAnsi"/>
          <w:sz w:val="24"/>
          <w:szCs w:val="24"/>
          <w:lang w:val="de-DE" w:eastAsia="en-GB"/>
        </w:rPr>
        <w:t xml:space="preserve"> 2005; 116(2): 333-341.</w:t>
      </w:r>
    </w:p>
    <w:p w14:paraId="3AC95608" w14:textId="77777777" w:rsidR="004A2D5E" w:rsidRDefault="004A2D5E" w:rsidP="004A2D5E">
      <w:pPr>
        <w:spacing w:after="0" w:line="480" w:lineRule="auto"/>
        <w:ind w:left="709" w:hanging="709"/>
        <w:rPr>
          <w:rFonts w:asciiTheme="minorHAnsi" w:hAnsiTheme="minorHAnsi" w:cstheme="minorHAnsi"/>
          <w:sz w:val="24"/>
          <w:szCs w:val="24"/>
          <w:lang w:val="en-US"/>
        </w:rPr>
      </w:pPr>
      <w:r>
        <w:rPr>
          <w:rFonts w:asciiTheme="minorHAnsi" w:hAnsiTheme="minorHAnsi" w:cstheme="minorHAnsi"/>
          <w:sz w:val="24"/>
          <w:szCs w:val="24"/>
          <w:lang w:val="en-US"/>
        </w:rPr>
        <w:t xml:space="preserve">13. </w:t>
      </w:r>
      <w:r w:rsidRPr="00593D46">
        <w:rPr>
          <w:rFonts w:asciiTheme="minorHAnsi" w:hAnsiTheme="minorHAnsi" w:cstheme="minorHAnsi"/>
          <w:sz w:val="24"/>
          <w:szCs w:val="24"/>
          <w:lang w:val="en-US"/>
        </w:rPr>
        <w:t>Baron, IS. Preschoolers: not just very young children. Clin Neuropsychol 2017; 31(2): 301-306. DOI: 10.1080/13854046.2016.1276217</w:t>
      </w:r>
    </w:p>
    <w:p w14:paraId="58F63A56" w14:textId="77777777" w:rsidR="004A2D5E" w:rsidRDefault="00A108C0" w:rsidP="00821278">
      <w:pPr>
        <w:spacing w:after="0" w:line="480" w:lineRule="auto"/>
        <w:ind w:left="709" w:hanging="709"/>
        <w:rPr>
          <w:rFonts w:asciiTheme="minorHAnsi" w:hAnsiTheme="minorHAnsi" w:cstheme="minorHAnsi"/>
          <w:sz w:val="24"/>
          <w:szCs w:val="24"/>
          <w:lang w:val="en-US"/>
        </w:rPr>
      </w:pPr>
      <w:r>
        <w:rPr>
          <w:rFonts w:asciiTheme="minorHAnsi" w:hAnsiTheme="minorHAnsi" w:cstheme="minorHAnsi"/>
          <w:sz w:val="24"/>
          <w:szCs w:val="24"/>
          <w:lang w:val="en-US"/>
        </w:rPr>
        <w:t xml:space="preserve">14. </w:t>
      </w:r>
      <w:r w:rsidR="00003F0A" w:rsidRPr="00593D46">
        <w:rPr>
          <w:rFonts w:asciiTheme="minorHAnsi" w:hAnsiTheme="minorHAnsi" w:cstheme="minorHAnsi"/>
          <w:sz w:val="24"/>
          <w:szCs w:val="24"/>
          <w:lang w:val="en-US"/>
        </w:rPr>
        <w:t>R</w:t>
      </w:r>
      <w:r w:rsidR="00EE6529" w:rsidRPr="00593D46">
        <w:rPr>
          <w:rFonts w:asciiTheme="minorHAnsi" w:hAnsiTheme="minorHAnsi" w:cstheme="minorHAnsi"/>
          <w:sz w:val="24"/>
          <w:szCs w:val="24"/>
          <w:lang w:val="en-US"/>
        </w:rPr>
        <w:t>is MD, Grosch M, Fletcher JM, Metah P</w:t>
      </w:r>
      <w:r w:rsidR="003F6EF9" w:rsidRPr="00593D46">
        <w:rPr>
          <w:rFonts w:asciiTheme="minorHAnsi" w:hAnsiTheme="minorHAnsi" w:cstheme="minorHAnsi"/>
          <w:sz w:val="24"/>
          <w:szCs w:val="24"/>
          <w:lang w:val="en-US"/>
        </w:rPr>
        <w:t>,</w:t>
      </w:r>
      <w:r w:rsidR="00EE6529" w:rsidRPr="00593D46">
        <w:rPr>
          <w:rFonts w:asciiTheme="minorHAnsi" w:hAnsiTheme="minorHAnsi" w:cstheme="minorHAnsi"/>
          <w:sz w:val="24"/>
          <w:szCs w:val="24"/>
          <w:lang w:val="en-US"/>
        </w:rPr>
        <w:t xml:space="preserve"> Kahalley LS. Measurement of neurodevelopmental changes in children treated with radiation for brain tumors: what is a true ‘baseline?’. Clin Neuropsychol</w:t>
      </w:r>
      <w:r w:rsidR="003F6EF9" w:rsidRPr="00593D46">
        <w:rPr>
          <w:rFonts w:asciiTheme="minorHAnsi" w:hAnsiTheme="minorHAnsi" w:cstheme="minorHAnsi"/>
          <w:sz w:val="24"/>
          <w:szCs w:val="24"/>
          <w:lang w:val="en-US"/>
        </w:rPr>
        <w:t xml:space="preserve"> 2017;</w:t>
      </w:r>
      <w:r w:rsidR="00EE6529" w:rsidRPr="00593D46">
        <w:rPr>
          <w:rFonts w:asciiTheme="minorHAnsi" w:hAnsiTheme="minorHAnsi" w:cstheme="minorHAnsi"/>
          <w:sz w:val="24"/>
          <w:szCs w:val="24"/>
          <w:lang w:val="en-US"/>
        </w:rPr>
        <w:t xml:space="preserve"> 31</w:t>
      </w:r>
      <w:r w:rsidR="003F6EF9" w:rsidRPr="00593D46">
        <w:rPr>
          <w:rFonts w:asciiTheme="minorHAnsi" w:hAnsiTheme="minorHAnsi" w:cstheme="minorHAnsi"/>
          <w:sz w:val="24"/>
          <w:szCs w:val="24"/>
          <w:lang w:val="en-US"/>
        </w:rPr>
        <w:t>(</w:t>
      </w:r>
      <w:r w:rsidR="00EE6529" w:rsidRPr="00593D46">
        <w:rPr>
          <w:rFonts w:asciiTheme="minorHAnsi" w:hAnsiTheme="minorHAnsi" w:cstheme="minorHAnsi"/>
          <w:sz w:val="24"/>
          <w:szCs w:val="24"/>
          <w:lang w:val="en-US"/>
        </w:rPr>
        <w:t>2</w:t>
      </w:r>
      <w:r w:rsidR="003F6EF9" w:rsidRPr="00593D46">
        <w:rPr>
          <w:rFonts w:asciiTheme="minorHAnsi" w:hAnsiTheme="minorHAnsi" w:cstheme="minorHAnsi"/>
          <w:sz w:val="24"/>
          <w:szCs w:val="24"/>
          <w:lang w:val="en-US"/>
        </w:rPr>
        <w:t xml:space="preserve">): </w:t>
      </w:r>
      <w:r w:rsidR="00EE6529" w:rsidRPr="00593D46">
        <w:rPr>
          <w:rFonts w:asciiTheme="minorHAnsi" w:hAnsiTheme="minorHAnsi" w:cstheme="minorHAnsi"/>
          <w:sz w:val="24"/>
          <w:szCs w:val="24"/>
          <w:lang w:val="en-US"/>
        </w:rPr>
        <w:t xml:space="preserve">307-328. </w:t>
      </w:r>
    </w:p>
    <w:p w14:paraId="7928CF61" w14:textId="77777777" w:rsidR="004A2D5E" w:rsidRPr="00593D46" w:rsidRDefault="004A2D5E" w:rsidP="004A2D5E">
      <w:pPr>
        <w:spacing w:after="0" w:line="480" w:lineRule="auto"/>
        <w:ind w:left="709" w:hanging="709"/>
        <w:rPr>
          <w:rFonts w:asciiTheme="minorHAnsi" w:hAnsiTheme="minorHAnsi" w:cstheme="minorHAnsi"/>
          <w:sz w:val="24"/>
          <w:szCs w:val="24"/>
          <w:lang w:val="nl-NL"/>
        </w:rPr>
      </w:pPr>
      <w:r>
        <w:rPr>
          <w:rFonts w:asciiTheme="minorHAnsi" w:hAnsiTheme="minorHAnsi" w:cstheme="minorHAnsi"/>
          <w:sz w:val="24"/>
          <w:szCs w:val="24"/>
          <w:lang w:val="en-US"/>
        </w:rPr>
        <w:t xml:space="preserve">15. </w:t>
      </w:r>
      <w:r w:rsidRPr="00593D46">
        <w:rPr>
          <w:rFonts w:asciiTheme="minorHAnsi" w:hAnsiTheme="minorHAnsi" w:cstheme="minorHAnsi"/>
          <w:sz w:val="24"/>
          <w:szCs w:val="24"/>
          <w:lang w:val="en-US"/>
        </w:rPr>
        <w:t xml:space="preserve">Anderson PJ, Burnett A. Assessing developmental delay in early childhood – concerns with the Bayley-III scales. </w:t>
      </w:r>
      <w:r w:rsidRPr="00593D46">
        <w:rPr>
          <w:rFonts w:asciiTheme="minorHAnsi" w:hAnsiTheme="minorHAnsi" w:cstheme="minorHAnsi"/>
          <w:sz w:val="24"/>
          <w:szCs w:val="24"/>
          <w:lang w:val="nl-NL"/>
        </w:rPr>
        <w:t>Clin Neuropsychol 2017; 31 (2): 371-381. DOI: 10.1080/13854046.2016.1216518</w:t>
      </w:r>
    </w:p>
    <w:p w14:paraId="2DA8A9C9" w14:textId="77777777" w:rsidR="004A2D5E" w:rsidRPr="00593D46" w:rsidRDefault="004A2D5E" w:rsidP="004A2D5E">
      <w:pPr>
        <w:autoSpaceDE w:val="0"/>
        <w:autoSpaceDN w:val="0"/>
        <w:adjustRightInd w:val="0"/>
        <w:spacing w:after="0" w:line="480" w:lineRule="auto"/>
        <w:ind w:left="709" w:hanging="709"/>
        <w:rPr>
          <w:rFonts w:asciiTheme="minorHAnsi" w:hAnsiTheme="minorHAnsi" w:cstheme="minorHAnsi"/>
          <w:sz w:val="24"/>
          <w:szCs w:val="24"/>
          <w:lang w:val="nl-NL"/>
        </w:rPr>
      </w:pPr>
      <w:r>
        <w:rPr>
          <w:rFonts w:asciiTheme="minorHAnsi" w:hAnsiTheme="minorHAnsi" w:cstheme="minorHAnsi"/>
          <w:sz w:val="24"/>
          <w:szCs w:val="24"/>
          <w:lang w:val="en-GB"/>
        </w:rPr>
        <w:t xml:space="preserve">16. </w:t>
      </w:r>
      <w:r w:rsidRPr="00593D46">
        <w:rPr>
          <w:rFonts w:asciiTheme="minorHAnsi" w:hAnsiTheme="minorHAnsi" w:cstheme="minorHAnsi"/>
          <w:sz w:val="24"/>
          <w:szCs w:val="24"/>
          <w:lang w:val="en-GB"/>
        </w:rPr>
        <w:t xml:space="preserve">Chiarello LA, Palisano RJ, McCoy SW, Bartlett DJ, Wood A, Chang H-J, Kang L-J, Avery L. Child engagement in daily life: a measure of participation for young children with cerebral palsy.  </w:t>
      </w:r>
      <w:r w:rsidRPr="00593D46">
        <w:rPr>
          <w:rFonts w:asciiTheme="minorHAnsi" w:hAnsiTheme="minorHAnsi" w:cstheme="minorHAnsi"/>
          <w:sz w:val="24"/>
          <w:szCs w:val="24"/>
          <w:lang w:val="nl-NL"/>
        </w:rPr>
        <w:t>Disabil Rehabil 2014; 36(21), 1804-1816. DOI: 10.3109/09638288.2014.882417</w:t>
      </w:r>
    </w:p>
    <w:p w14:paraId="3A864D13" w14:textId="77777777" w:rsidR="00821278" w:rsidRPr="00717345" w:rsidRDefault="00821278" w:rsidP="00821278">
      <w:pPr>
        <w:spacing w:after="0" w:line="480" w:lineRule="auto"/>
        <w:ind w:left="709" w:hanging="709"/>
        <w:rPr>
          <w:rFonts w:asciiTheme="minorHAnsi" w:hAnsiTheme="minorHAnsi" w:cstheme="minorHAnsi"/>
          <w:sz w:val="24"/>
          <w:szCs w:val="24"/>
          <w:lang w:val="en-GB"/>
        </w:rPr>
      </w:pPr>
      <w:r>
        <w:rPr>
          <w:rFonts w:asciiTheme="minorHAnsi" w:hAnsiTheme="minorHAnsi" w:cstheme="minorHAnsi"/>
          <w:sz w:val="24"/>
          <w:szCs w:val="24"/>
        </w:rPr>
        <w:t xml:space="preserve">17. </w:t>
      </w:r>
      <w:r w:rsidRPr="00593D46">
        <w:rPr>
          <w:rFonts w:asciiTheme="minorHAnsi" w:hAnsiTheme="minorHAnsi" w:cstheme="minorHAnsi"/>
          <w:sz w:val="24"/>
          <w:szCs w:val="24"/>
        </w:rPr>
        <w:t xml:space="preserve">Pletschko T, Gmoser S, Leeb L, et al. </w:t>
      </w:r>
      <w:r w:rsidRPr="00593D46">
        <w:rPr>
          <w:rFonts w:asciiTheme="minorHAnsi" w:hAnsiTheme="minorHAnsi" w:cstheme="minorHAnsi"/>
          <w:sz w:val="24"/>
          <w:szCs w:val="24"/>
          <w:lang w:val="en-US"/>
        </w:rPr>
        <w:t xml:space="preserve">Advantages of an ICF Based Approach in School Reintegration of Pediatric Brain Tumor Patients: The School Participation Scales (S-PS-24/7). </w:t>
      </w:r>
      <w:r w:rsidRPr="00717345">
        <w:rPr>
          <w:rFonts w:asciiTheme="minorHAnsi" w:hAnsiTheme="minorHAnsi" w:cstheme="minorHAnsi"/>
          <w:sz w:val="24"/>
          <w:szCs w:val="24"/>
          <w:lang w:val="en-GB"/>
        </w:rPr>
        <w:t>J Cancer Therapy 2013, 4 (4): 825-834. DOI: 10.4236/jct.2013.44094.</w:t>
      </w:r>
    </w:p>
    <w:p w14:paraId="4D47AF90" w14:textId="77777777" w:rsidR="00EE6529" w:rsidRDefault="00EE6529" w:rsidP="004A2D5E">
      <w:pPr>
        <w:spacing w:after="0" w:line="480" w:lineRule="auto"/>
        <w:ind w:left="709" w:hanging="1"/>
        <w:rPr>
          <w:rFonts w:asciiTheme="minorHAnsi" w:hAnsiTheme="minorHAnsi" w:cstheme="minorHAnsi"/>
          <w:sz w:val="24"/>
          <w:szCs w:val="24"/>
          <w:lang w:val="en-US"/>
        </w:rPr>
      </w:pPr>
      <w:r w:rsidRPr="00593D46">
        <w:rPr>
          <w:rFonts w:asciiTheme="minorHAnsi" w:hAnsiTheme="minorHAnsi" w:cstheme="minorHAnsi"/>
          <w:sz w:val="24"/>
          <w:szCs w:val="24"/>
          <w:lang w:val="en-US"/>
        </w:rPr>
        <w:t>10.1080/13854046.2016.1216070</w:t>
      </w:r>
    </w:p>
    <w:p w14:paraId="52270319" w14:textId="77777777" w:rsidR="00A108C0" w:rsidRDefault="00A108C0" w:rsidP="003F6EF9">
      <w:pPr>
        <w:spacing w:after="0" w:line="480" w:lineRule="auto"/>
        <w:ind w:left="709" w:hanging="709"/>
        <w:outlineLvl w:val="0"/>
        <w:rPr>
          <w:rFonts w:asciiTheme="minorHAnsi" w:eastAsia="Arial Unicode MS" w:hAnsiTheme="minorHAnsi" w:cstheme="minorHAnsi"/>
          <w:sz w:val="24"/>
          <w:szCs w:val="24"/>
          <w:u w:color="000000"/>
          <w:lang w:val="en-GB"/>
        </w:rPr>
      </w:pPr>
      <w:r>
        <w:rPr>
          <w:rFonts w:asciiTheme="minorHAnsi" w:eastAsia="Arial Unicode MS" w:hAnsiTheme="minorHAnsi" w:cstheme="minorHAnsi"/>
          <w:sz w:val="24"/>
          <w:szCs w:val="24"/>
          <w:u w:color="000000"/>
          <w:lang w:val="en-GB"/>
        </w:rPr>
        <w:t xml:space="preserve">18. </w:t>
      </w:r>
      <w:r w:rsidRPr="00593D46">
        <w:rPr>
          <w:rFonts w:asciiTheme="minorHAnsi" w:eastAsia="Arial Unicode MS" w:hAnsiTheme="minorHAnsi" w:cstheme="minorHAnsi"/>
          <w:sz w:val="24"/>
          <w:szCs w:val="24"/>
          <w:u w:color="000000"/>
          <w:lang w:val="en-GB"/>
        </w:rPr>
        <w:t>Sparrow S</w:t>
      </w:r>
      <w:r>
        <w:rPr>
          <w:rFonts w:asciiTheme="minorHAnsi" w:eastAsia="Arial Unicode MS" w:hAnsiTheme="minorHAnsi" w:cstheme="minorHAnsi"/>
          <w:sz w:val="24"/>
          <w:szCs w:val="24"/>
          <w:u w:color="000000"/>
          <w:lang w:val="en-GB"/>
        </w:rPr>
        <w:t>S</w:t>
      </w:r>
      <w:r w:rsidRPr="00593D46">
        <w:rPr>
          <w:rFonts w:asciiTheme="minorHAnsi" w:eastAsia="Arial Unicode MS" w:hAnsiTheme="minorHAnsi" w:cstheme="minorHAnsi"/>
          <w:sz w:val="24"/>
          <w:szCs w:val="24"/>
          <w:u w:color="000000"/>
          <w:lang w:val="en-GB"/>
        </w:rPr>
        <w:t>, Cicchetti D</w:t>
      </w:r>
      <w:r>
        <w:rPr>
          <w:rFonts w:asciiTheme="minorHAnsi" w:eastAsia="Arial Unicode MS" w:hAnsiTheme="minorHAnsi" w:cstheme="minorHAnsi"/>
          <w:sz w:val="24"/>
          <w:szCs w:val="24"/>
          <w:u w:color="000000"/>
          <w:lang w:val="en-GB"/>
        </w:rPr>
        <w:t>V</w:t>
      </w:r>
      <w:r w:rsidRPr="00593D46">
        <w:rPr>
          <w:rFonts w:asciiTheme="minorHAnsi" w:eastAsia="Arial Unicode MS" w:hAnsiTheme="minorHAnsi" w:cstheme="minorHAnsi"/>
          <w:sz w:val="24"/>
          <w:szCs w:val="24"/>
          <w:u w:color="000000"/>
          <w:lang w:val="en-GB"/>
        </w:rPr>
        <w:t xml:space="preserve">, </w:t>
      </w:r>
      <w:r>
        <w:rPr>
          <w:rFonts w:asciiTheme="minorHAnsi" w:eastAsia="Arial Unicode MS" w:hAnsiTheme="minorHAnsi" w:cstheme="minorHAnsi"/>
          <w:sz w:val="24"/>
          <w:szCs w:val="24"/>
          <w:u w:color="000000"/>
          <w:lang w:val="en-GB"/>
        </w:rPr>
        <w:t>Balla D</w:t>
      </w:r>
      <w:r w:rsidRPr="00593D46">
        <w:rPr>
          <w:rFonts w:asciiTheme="minorHAnsi" w:eastAsia="Arial Unicode MS" w:hAnsiTheme="minorHAnsi" w:cstheme="minorHAnsi"/>
          <w:sz w:val="24"/>
          <w:szCs w:val="24"/>
          <w:u w:color="000000"/>
          <w:lang w:val="en-GB"/>
        </w:rPr>
        <w:t>. Vineland Adaptive Behavior Scales (VABS).</w:t>
      </w:r>
      <w:r>
        <w:rPr>
          <w:rFonts w:asciiTheme="minorHAnsi" w:eastAsia="Arial Unicode MS" w:hAnsiTheme="minorHAnsi" w:cstheme="minorHAnsi"/>
          <w:sz w:val="24"/>
          <w:szCs w:val="24"/>
          <w:u w:color="000000"/>
          <w:lang w:val="en-GB"/>
        </w:rPr>
        <w:t xml:space="preserve"> 2</w:t>
      </w:r>
      <w:r w:rsidRPr="004A2D5E">
        <w:rPr>
          <w:rFonts w:asciiTheme="minorHAnsi" w:eastAsia="Arial Unicode MS" w:hAnsiTheme="minorHAnsi" w:cstheme="minorHAnsi"/>
          <w:sz w:val="24"/>
          <w:szCs w:val="24"/>
          <w:u w:color="000000"/>
          <w:vertAlign w:val="superscript"/>
          <w:lang w:val="en-GB"/>
        </w:rPr>
        <w:t>nd</w:t>
      </w:r>
      <w:r>
        <w:rPr>
          <w:rFonts w:asciiTheme="minorHAnsi" w:eastAsia="Arial Unicode MS" w:hAnsiTheme="minorHAnsi" w:cstheme="minorHAnsi"/>
          <w:sz w:val="24"/>
          <w:szCs w:val="24"/>
          <w:u w:color="000000"/>
          <w:lang w:val="en-GB"/>
        </w:rPr>
        <w:t xml:space="preserve"> </w:t>
      </w:r>
      <w:r w:rsidRPr="00593D46">
        <w:rPr>
          <w:rFonts w:asciiTheme="minorHAnsi" w:eastAsia="Arial Unicode MS" w:hAnsiTheme="minorHAnsi" w:cstheme="minorHAnsi"/>
          <w:sz w:val="24"/>
          <w:szCs w:val="24"/>
          <w:u w:color="000000"/>
          <w:lang w:val="en-GB"/>
        </w:rPr>
        <w:t>ed, Minneapolis, MN: Pearson Assessment, 20</w:t>
      </w:r>
      <w:r>
        <w:rPr>
          <w:rFonts w:asciiTheme="minorHAnsi" w:eastAsia="Arial Unicode MS" w:hAnsiTheme="minorHAnsi" w:cstheme="minorHAnsi"/>
          <w:sz w:val="24"/>
          <w:szCs w:val="24"/>
          <w:u w:color="000000"/>
          <w:lang w:val="en-GB"/>
        </w:rPr>
        <w:t>05</w:t>
      </w:r>
      <w:r w:rsidRPr="00593D46">
        <w:rPr>
          <w:rFonts w:asciiTheme="minorHAnsi" w:eastAsia="Arial Unicode MS" w:hAnsiTheme="minorHAnsi" w:cstheme="minorHAnsi"/>
          <w:sz w:val="24"/>
          <w:szCs w:val="24"/>
          <w:u w:color="000000"/>
          <w:lang w:val="en-GB"/>
        </w:rPr>
        <w:t>.</w:t>
      </w:r>
    </w:p>
    <w:p w14:paraId="3DAEC37A" w14:textId="77777777" w:rsidR="004A2D5E" w:rsidRPr="00593D46" w:rsidRDefault="004A2D5E" w:rsidP="004A2D5E">
      <w:pPr>
        <w:spacing w:after="0" w:line="480" w:lineRule="auto"/>
        <w:ind w:left="709" w:hanging="709"/>
        <w:rPr>
          <w:rFonts w:asciiTheme="minorHAnsi" w:hAnsiTheme="minorHAnsi" w:cstheme="minorHAnsi"/>
          <w:sz w:val="24"/>
          <w:szCs w:val="24"/>
          <w:lang w:val="en-US"/>
        </w:rPr>
      </w:pPr>
      <w:r>
        <w:rPr>
          <w:rFonts w:asciiTheme="minorHAnsi" w:eastAsia="Arial Unicode MS" w:hAnsiTheme="minorHAnsi" w:cstheme="minorHAnsi"/>
          <w:sz w:val="24"/>
          <w:szCs w:val="24"/>
          <w:u w:color="3366FF"/>
          <w:lang w:val="en-US"/>
        </w:rPr>
        <w:t xml:space="preserve">19. </w:t>
      </w:r>
      <w:r w:rsidRPr="00AE36E6">
        <w:rPr>
          <w:rFonts w:asciiTheme="minorHAnsi" w:eastAsia="Arial Unicode MS" w:hAnsiTheme="minorHAnsi" w:cstheme="minorHAnsi"/>
          <w:sz w:val="24"/>
          <w:szCs w:val="24"/>
          <w:u w:color="3366FF"/>
          <w:lang w:val="en-US"/>
        </w:rPr>
        <w:t xml:space="preserve">Livesey EA, Hindmarsh PC, Brook CG, Whitton AC, Bloom HJG, Tobias JS, Godlee JN, Britton J. </w:t>
      </w:r>
      <w:r w:rsidRPr="00AE36E6">
        <w:rPr>
          <w:rFonts w:asciiTheme="minorHAnsi" w:eastAsia="Arial Unicode MS" w:hAnsiTheme="minorHAnsi" w:cstheme="minorHAnsi"/>
          <w:sz w:val="24"/>
          <w:szCs w:val="24"/>
          <w:u w:color="3366FF"/>
          <w:lang w:val="en-GB"/>
        </w:rPr>
        <w:t>Endocrine disorders</w:t>
      </w:r>
      <w:r w:rsidRPr="00593D46">
        <w:rPr>
          <w:rFonts w:asciiTheme="minorHAnsi" w:eastAsia="Arial Unicode MS" w:hAnsiTheme="minorHAnsi" w:cstheme="minorHAnsi"/>
          <w:sz w:val="24"/>
          <w:szCs w:val="24"/>
          <w:u w:color="3366FF"/>
          <w:lang w:val="en-GB"/>
        </w:rPr>
        <w:t xml:space="preserve"> following treatment of childhood brain tumours. </w:t>
      </w:r>
      <w:r w:rsidRPr="00593D46">
        <w:rPr>
          <w:rFonts w:asciiTheme="minorHAnsi" w:eastAsia="Arial Unicode MS" w:hAnsiTheme="minorHAnsi" w:cstheme="minorHAnsi"/>
          <w:iCs/>
          <w:sz w:val="24"/>
          <w:szCs w:val="24"/>
          <w:u w:color="3366FF"/>
          <w:lang w:val="en-US"/>
        </w:rPr>
        <w:t>Brit J Cancer</w:t>
      </w:r>
      <w:r w:rsidRPr="00593D46">
        <w:rPr>
          <w:rFonts w:asciiTheme="minorHAnsi" w:eastAsia="Arial Unicode MS" w:hAnsiTheme="minorHAnsi" w:cstheme="minorHAnsi"/>
          <w:sz w:val="24"/>
          <w:szCs w:val="24"/>
          <w:u w:color="3366FF"/>
          <w:lang w:val="en-US"/>
        </w:rPr>
        <w:t xml:space="preserve"> 1990; 61: 622-625.</w:t>
      </w:r>
    </w:p>
    <w:p w14:paraId="748E00A6" w14:textId="77777777" w:rsidR="007F15A1" w:rsidRPr="00593D46" w:rsidRDefault="00A108C0" w:rsidP="003F6EF9">
      <w:pPr>
        <w:spacing w:after="0" w:line="480" w:lineRule="auto"/>
        <w:ind w:left="709" w:hanging="709"/>
        <w:rPr>
          <w:rFonts w:asciiTheme="minorHAnsi" w:eastAsia="Arial Unicode MS" w:hAnsiTheme="minorHAnsi" w:cstheme="minorHAnsi"/>
          <w:sz w:val="24"/>
          <w:szCs w:val="24"/>
          <w:u w:color="000000"/>
          <w:lang w:val="en-GB"/>
        </w:rPr>
      </w:pPr>
      <w:r>
        <w:rPr>
          <w:rFonts w:asciiTheme="minorHAnsi" w:eastAsia="Arial Unicode MS" w:hAnsiTheme="minorHAnsi" w:cstheme="minorHAnsi"/>
          <w:sz w:val="24"/>
          <w:szCs w:val="24"/>
          <w:u w:color="000000"/>
          <w:lang w:val="en-GB"/>
        </w:rPr>
        <w:t xml:space="preserve">20. </w:t>
      </w:r>
      <w:r w:rsidR="00003F0A" w:rsidRPr="00593D46">
        <w:rPr>
          <w:rFonts w:asciiTheme="minorHAnsi" w:eastAsia="Arial Unicode MS" w:hAnsiTheme="minorHAnsi" w:cstheme="minorHAnsi"/>
          <w:sz w:val="24"/>
          <w:szCs w:val="24"/>
          <w:u w:color="000000"/>
          <w:lang w:val="en-GB"/>
        </w:rPr>
        <w:t>Spoudeas HA. Growth following malignancy. Best Pract Res Clin Endocrinol Metab 2002</w:t>
      </w:r>
      <w:r w:rsidR="003F6EF9" w:rsidRPr="00593D46">
        <w:rPr>
          <w:rFonts w:asciiTheme="minorHAnsi" w:eastAsia="Arial Unicode MS" w:hAnsiTheme="minorHAnsi" w:cstheme="minorHAnsi"/>
          <w:sz w:val="24"/>
          <w:szCs w:val="24"/>
          <w:u w:color="000000"/>
          <w:lang w:val="en-GB"/>
        </w:rPr>
        <w:t>a</w:t>
      </w:r>
      <w:r w:rsidR="00003F0A" w:rsidRPr="00593D46">
        <w:rPr>
          <w:rFonts w:asciiTheme="minorHAnsi" w:eastAsia="Arial Unicode MS" w:hAnsiTheme="minorHAnsi" w:cstheme="minorHAnsi"/>
          <w:sz w:val="24"/>
          <w:szCs w:val="24"/>
          <w:u w:color="000000"/>
          <w:lang w:val="en-GB"/>
        </w:rPr>
        <w:t>; 16: 561-</w:t>
      </w:r>
      <w:r w:rsidR="003F6EF9" w:rsidRPr="00593D46">
        <w:rPr>
          <w:rFonts w:asciiTheme="minorHAnsi" w:eastAsia="Arial Unicode MS" w:hAnsiTheme="minorHAnsi" w:cstheme="minorHAnsi"/>
          <w:sz w:val="24"/>
          <w:szCs w:val="24"/>
          <w:u w:color="000000"/>
          <w:lang w:val="en-GB"/>
        </w:rPr>
        <w:t>5</w:t>
      </w:r>
      <w:r w:rsidR="00003F0A" w:rsidRPr="00593D46">
        <w:rPr>
          <w:rFonts w:asciiTheme="minorHAnsi" w:eastAsia="Arial Unicode MS" w:hAnsiTheme="minorHAnsi" w:cstheme="minorHAnsi"/>
          <w:sz w:val="24"/>
          <w:szCs w:val="24"/>
          <w:u w:color="000000"/>
          <w:lang w:val="en-GB"/>
        </w:rPr>
        <w:t>90.</w:t>
      </w:r>
    </w:p>
    <w:p w14:paraId="06BBDEA3" w14:textId="5B31BEF0" w:rsidR="003F6EF9" w:rsidRDefault="00A108C0" w:rsidP="003F6EF9">
      <w:pPr>
        <w:spacing w:after="0" w:line="480" w:lineRule="auto"/>
        <w:ind w:left="709" w:hanging="709"/>
        <w:divId w:val="1003583744"/>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21. </w:t>
      </w:r>
      <w:r w:rsidR="00E13258" w:rsidRPr="00593D46">
        <w:rPr>
          <w:rFonts w:asciiTheme="minorHAnsi" w:hAnsiTheme="minorHAnsi" w:cstheme="minorHAnsi"/>
          <w:sz w:val="24"/>
          <w:szCs w:val="24"/>
          <w:lang w:val="en-GB" w:eastAsia="en-GB"/>
        </w:rPr>
        <w:t>Spoudeas HA.</w:t>
      </w:r>
      <w:r w:rsidR="00593D46">
        <w:rPr>
          <w:rFonts w:asciiTheme="minorHAnsi" w:hAnsiTheme="minorHAnsi" w:cstheme="minorHAnsi"/>
          <w:sz w:val="24"/>
          <w:szCs w:val="24"/>
          <w:lang w:val="en-GB" w:eastAsia="en-GB"/>
        </w:rPr>
        <w:t xml:space="preserve"> </w:t>
      </w:r>
      <w:r w:rsidR="00337C04" w:rsidRPr="00593D46">
        <w:rPr>
          <w:rFonts w:asciiTheme="minorHAnsi" w:hAnsiTheme="minorHAnsi" w:cstheme="minorHAnsi"/>
          <w:sz w:val="24"/>
          <w:szCs w:val="24"/>
          <w:lang w:val="en-GB" w:eastAsia="en-GB"/>
        </w:rPr>
        <w:t>Growth and Endocrine function after chemotherapy and radiotherapy in childhood.</w:t>
      </w:r>
      <w:r w:rsidR="00E13258" w:rsidRPr="00593D46">
        <w:rPr>
          <w:rFonts w:asciiTheme="minorHAnsi" w:hAnsiTheme="minorHAnsi" w:cstheme="minorHAnsi"/>
          <w:sz w:val="24"/>
          <w:szCs w:val="24"/>
          <w:lang w:val="en-GB" w:eastAsia="en-GB"/>
        </w:rPr>
        <w:t xml:space="preserve"> </w:t>
      </w:r>
      <w:r w:rsidR="00B971D6" w:rsidRPr="00593D46">
        <w:rPr>
          <w:rFonts w:asciiTheme="minorHAnsi" w:hAnsiTheme="minorHAnsi" w:cstheme="minorHAnsi"/>
          <w:sz w:val="24"/>
          <w:szCs w:val="24"/>
          <w:lang w:val="en-GB" w:eastAsia="en-GB"/>
        </w:rPr>
        <w:t xml:space="preserve"> Eur J Cancer</w:t>
      </w:r>
      <w:r w:rsidR="00B971D6" w:rsidRPr="00593D46">
        <w:rPr>
          <w:rFonts w:asciiTheme="minorHAnsi" w:hAnsiTheme="minorHAnsi" w:cstheme="minorHAnsi"/>
          <w:sz w:val="24"/>
          <w:szCs w:val="24"/>
          <w:shd w:val="clear" w:color="auto" w:fill="FFFFFF"/>
          <w:lang w:val="en-GB" w:eastAsia="en-GB"/>
        </w:rPr>
        <w:t>. 2002</w:t>
      </w:r>
      <w:r w:rsidR="003F6EF9" w:rsidRPr="00593D46">
        <w:rPr>
          <w:rFonts w:asciiTheme="minorHAnsi" w:hAnsiTheme="minorHAnsi" w:cstheme="minorHAnsi"/>
          <w:sz w:val="24"/>
          <w:szCs w:val="24"/>
          <w:shd w:val="clear" w:color="auto" w:fill="FFFFFF"/>
          <w:lang w:val="en-GB" w:eastAsia="en-GB"/>
        </w:rPr>
        <w:t>b;</w:t>
      </w:r>
      <w:r w:rsidR="00B971D6" w:rsidRPr="00593D46">
        <w:rPr>
          <w:rFonts w:asciiTheme="minorHAnsi" w:hAnsiTheme="minorHAnsi" w:cstheme="minorHAnsi"/>
          <w:sz w:val="24"/>
          <w:szCs w:val="24"/>
          <w:shd w:val="clear" w:color="auto" w:fill="FFFFFF"/>
          <w:lang w:val="en-GB" w:eastAsia="en-GB"/>
        </w:rPr>
        <w:t xml:space="preserve"> 38(13):1748-59; discussion 1760-1.</w:t>
      </w:r>
      <w:r w:rsidR="00B971D6" w:rsidRPr="00593D46">
        <w:rPr>
          <w:rFonts w:asciiTheme="minorHAnsi" w:hAnsiTheme="minorHAnsi" w:cstheme="minorHAnsi"/>
          <w:sz w:val="24"/>
          <w:szCs w:val="24"/>
          <w:lang w:val="en-GB" w:eastAsia="en-GB"/>
        </w:rPr>
        <w:t> </w:t>
      </w:r>
    </w:p>
    <w:p w14:paraId="7058D047" w14:textId="77777777" w:rsidR="004A2D5E" w:rsidRPr="00717345" w:rsidRDefault="004A2D5E" w:rsidP="004A2D5E">
      <w:pPr>
        <w:pStyle w:val="Heading1"/>
        <w:spacing w:before="0" w:line="480" w:lineRule="auto"/>
        <w:ind w:left="709" w:hanging="709"/>
        <w:textAlignment w:val="baseline"/>
        <w:divId w:val="1003583744"/>
        <w:rPr>
          <w:rStyle w:val="Hyperlink"/>
          <w:rFonts w:asciiTheme="minorHAnsi" w:hAnsiTheme="minorHAnsi" w:cstheme="minorHAnsi"/>
          <w:color w:val="auto"/>
          <w:sz w:val="24"/>
          <w:szCs w:val="24"/>
          <w:lang w:val="en-GB" w:eastAsia="en-GB"/>
        </w:rPr>
      </w:pPr>
      <w:r>
        <w:rPr>
          <w:rFonts w:asciiTheme="minorHAnsi" w:eastAsia="Arial Unicode MS" w:hAnsiTheme="minorHAnsi" w:cstheme="minorHAnsi"/>
          <w:color w:val="auto"/>
          <w:sz w:val="24"/>
          <w:szCs w:val="24"/>
          <w:u w:color="000000"/>
          <w:lang w:val="en-GB"/>
        </w:rPr>
        <w:t xml:space="preserve">22. </w:t>
      </w:r>
      <w:r w:rsidRPr="00593D46">
        <w:rPr>
          <w:rFonts w:asciiTheme="minorHAnsi" w:eastAsia="Arial Unicode MS" w:hAnsiTheme="minorHAnsi" w:cstheme="minorHAnsi"/>
          <w:color w:val="auto"/>
          <w:sz w:val="24"/>
          <w:szCs w:val="24"/>
          <w:u w:color="000000"/>
          <w:lang w:val="en-GB"/>
        </w:rPr>
        <w:t xml:space="preserve">Gan HW, Phipps K, Aquilina K, et al. Neuroendocrine morbidity after Pediatric Optic Gliomas: a longitudinal analysis of 166 children over 30 years. </w:t>
      </w:r>
      <w:r w:rsidRPr="00593D46">
        <w:rPr>
          <w:rFonts w:asciiTheme="minorHAnsi" w:hAnsiTheme="minorHAnsi" w:cstheme="minorHAnsi"/>
          <w:color w:val="auto"/>
          <w:sz w:val="24"/>
          <w:szCs w:val="24"/>
          <w:lang w:val="en-GB" w:eastAsia="en-GB"/>
        </w:rPr>
        <w:t xml:space="preserve"> J Clin Endocrinol Metabolism 2015; 100: 3787–3799. </w:t>
      </w:r>
      <w:hyperlink r:id="rId17" w:history="1">
        <w:r w:rsidRPr="00717345">
          <w:rPr>
            <w:rStyle w:val="Hyperlink"/>
            <w:rFonts w:asciiTheme="minorHAnsi" w:hAnsiTheme="minorHAnsi" w:cstheme="minorHAnsi"/>
            <w:color w:val="auto"/>
            <w:sz w:val="24"/>
            <w:szCs w:val="24"/>
            <w:lang w:val="en-GB" w:eastAsia="en-GB"/>
          </w:rPr>
          <w:t>DOI: 10.1210/jc.2015-2028</w:t>
        </w:r>
      </w:hyperlink>
    </w:p>
    <w:p w14:paraId="1A3B356C" w14:textId="77777777" w:rsidR="004A2D5E" w:rsidRPr="00593D46" w:rsidRDefault="004A2D5E" w:rsidP="004A2D5E">
      <w:pPr>
        <w:spacing w:after="0" w:line="480" w:lineRule="auto"/>
        <w:ind w:left="709" w:hanging="709"/>
        <w:divId w:val="1003583744"/>
        <w:rPr>
          <w:rFonts w:asciiTheme="minorHAnsi" w:hAnsiTheme="minorHAnsi" w:cstheme="minorHAnsi"/>
          <w:noProof/>
          <w:sz w:val="24"/>
          <w:szCs w:val="24"/>
          <w:lang w:val="en-GB"/>
        </w:rPr>
      </w:pPr>
      <w:r>
        <w:rPr>
          <w:rFonts w:asciiTheme="minorHAnsi" w:hAnsiTheme="minorHAnsi" w:cstheme="minorHAnsi"/>
          <w:noProof/>
          <w:sz w:val="24"/>
          <w:szCs w:val="24"/>
          <w:lang w:val="nl-NL"/>
        </w:rPr>
        <w:t xml:space="preserve">23. </w:t>
      </w:r>
      <w:r w:rsidRPr="00593D46">
        <w:rPr>
          <w:rFonts w:asciiTheme="minorHAnsi" w:hAnsiTheme="minorHAnsi" w:cstheme="minorHAnsi"/>
          <w:noProof/>
          <w:sz w:val="24"/>
          <w:szCs w:val="24"/>
          <w:lang w:val="nl-NL"/>
        </w:rPr>
        <w:t xml:space="preserve">Armstrong GT, Conklin HM, Huang S, et al. </w:t>
      </w:r>
      <w:r w:rsidRPr="00593D46">
        <w:rPr>
          <w:rFonts w:asciiTheme="minorHAnsi" w:hAnsiTheme="minorHAnsi" w:cstheme="minorHAnsi"/>
          <w:noProof/>
          <w:sz w:val="24"/>
          <w:szCs w:val="24"/>
          <w:lang w:val="en-US"/>
        </w:rPr>
        <w:t xml:space="preserve">Survival and long-term health and cognitive outcomes after low-grade glioma. </w:t>
      </w:r>
      <w:r w:rsidRPr="00593D46">
        <w:rPr>
          <w:rFonts w:asciiTheme="minorHAnsi" w:hAnsiTheme="minorHAnsi" w:cstheme="minorHAnsi"/>
          <w:iCs/>
          <w:noProof/>
          <w:sz w:val="24"/>
          <w:szCs w:val="24"/>
          <w:lang w:val="en-GB"/>
        </w:rPr>
        <w:t xml:space="preserve">Neuro Oncol </w:t>
      </w:r>
      <w:r w:rsidRPr="00593D46">
        <w:rPr>
          <w:rFonts w:asciiTheme="minorHAnsi" w:hAnsiTheme="minorHAnsi" w:cstheme="minorHAnsi"/>
          <w:noProof/>
          <w:sz w:val="24"/>
          <w:szCs w:val="24"/>
          <w:lang w:val="en-GB"/>
        </w:rPr>
        <w:t xml:space="preserve">2011 ; </w:t>
      </w:r>
      <w:r w:rsidRPr="00593D46">
        <w:rPr>
          <w:rFonts w:asciiTheme="minorHAnsi" w:hAnsiTheme="minorHAnsi" w:cstheme="minorHAnsi"/>
          <w:iCs/>
          <w:noProof/>
          <w:sz w:val="24"/>
          <w:szCs w:val="24"/>
          <w:lang w:val="en-GB"/>
        </w:rPr>
        <w:t xml:space="preserve">13: </w:t>
      </w:r>
      <w:r w:rsidRPr="00593D46">
        <w:rPr>
          <w:rFonts w:asciiTheme="minorHAnsi" w:hAnsiTheme="minorHAnsi" w:cstheme="minorHAnsi"/>
          <w:noProof/>
          <w:sz w:val="24"/>
          <w:szCs w:val="24"/>
          <w:lang w:val="en-GB"/>
        </w:rPr>
        <w:t>223-34.</w:t>
      </w:r>
    </w:p>
    <w:p w14:paraId="6C7D2D00" w14:textId="77777777" w:rsidR="004A2D5E" w:rsidRPr="00593D46" w:rsidRDefault="004A2D5E" w:rsidP="004A2D5E">
      <w:pPr>
        <w:spacing w:after="0" w:line="480" w:lineRule="auto"/>
        <w:ind w:left="709" w:hanging="709"/>
        <w:divId w:val="1003583744"/>
        <w:rPr>
          <w:rFonts w:asciiTheme="minorHAnsi" w:eastAsiaTheme="minorEastAsia" w:hAnsiTheme="minorHAnsi" w:cstheme="minorHAnsi"/>
          <w:sz w:val="24"/>
          <w:szCs w:val="24"/>
          <w:lang w:val="en-GB" w:eastAsia="en-GB"/>
        </w:rPr>
      </w:pPr>
      <w:r>
        <w:rPr>
          <w:rFonts w:asciiTheme="minorHAnsi" w:eastAsiaTheme="minorEastAsia" w:hAnsiTheme="minorHAnsi" w:cstheme="minorHAnsi"/>
          <w:sz w:val="24"/>
          <w:szCs w:val="24"/>
          <w:lang w:val="en-GB" w:eastAsia="en-GB"/>
        </w:rPr>
        <w:t xml:space="preserve">24. </w:t>
      </w:r>
      <w:r w:rsidRPr="00593D46">
        <w:rPr>
          <w:rFonts w:asciiTheme="minorHAnsi" w:eastAsiaTheme="minorEastAsia" w:hAnsiTheme="minorHAnsi" w:cstheme="minorHAnsi"/>
          <w:sz w:val="24"/>
          <w:szCs w:val="24"/>
          <w:lang w:val="en-GB" w:eastAsia="en-GB"/>
        </w:rPr>
        <w:t xml:space="preserve">Müller HL, Merchant TE, Puget S, Martinez-Barbera JP. </w:t>
      </w:r>
      <w:hyperlink r:id="rId18" w:history="1">
        <w:r w:rsidRPr="00593D46">
          <w:rPr>
            <w:rFonts w:asciiTheme="minorHAnsi" w:hAnsiTheme="minorHAnsi" w:cstheme="minorHAnsi"/>
            <w:sz w:val="24"/>
            <w:szCs w:val="24"/>
            <w:lang w:val="en-GB"/>
          </w:rPr>
          <w:t>New outlook on the diagnosis, treatment and follow-up of childhood-onset craniopharyngioma.</w:t>
        </w:r>
      </w:hyperlink>
      <w:r w:rsidRPr="00593D46">
        <w:rPr>
          <w:rFonts w:asciiTheme="minorHAnsi" w:eastAsiaTheme="minorEastAsia" w:hAnsiTheme="minorHAnsi" w:cstheme="minorHAnsi"/>
          <w:sz w:val="24"/>
          <w:szCs w:val="24"/>
          <w:lang w:val="en-GB" w:eastAsia="en-GB"/>
        </w:rPr>
        <w:t xml:space="preserve"> Nat Rev Endocrinol 2017 May; 13(5):299-312. doi: 10.1038/nrendo.2016.217. Epub 2017 Feb 3. Review.</w:t>
      </w:r>
    </w:p>
    <w:p w14:paraId="19343EC1" w14:textId="77777777" w:rsidR="00821278" w:rsidRPr="00593D46" w:rsidRDefault="00821278" w:rsidP="00821278">
      <w:pPr>
        <w:spacing w:after="0" w:line="480" w:lineRule="auto"/>
        <w:ind w:left="709" w:hanging="709"/>
        <w:divId w:val="1003583744"/>
        <w:rPr>
          <w:rFonts w:asciiTheme="minorHAnsi" w:hAnsiTheme="minorHAnsi" w:cstheme="minorHAnsi"/>
          <w:sz w:val="24"/>
          <w:szCs w:val="24"/>
          <w:lang w:val="en-GB" w:eastAsia="en-GB"/>
        </w:rPr>
      </w:pPr>
      <w:r w:rsidRPr="00717345">
        <w:rPr>
          <w:lang w:val="en-GB"/>
        </w:rPr>
        <w:t xml:space="preserve">25. </w:t>
      </w:r>
      <w:hyperlink r:id="rId19" w:history="1">
        <w:r w:rsidRPr="00AC05E4">
          <w:rPr>
            <w:rFonts w:asciiTheme="minorHAnsi" w:hAnsiTheme="minorHAnsi" w:cstheme="minorHAnsi"/>
            <w:sz w:val="24"/>
            <w:szCs w:val="24"/>
            <w:lang w:val="en-GB" w:eastAsia="en-GB"/>
          </w:rPr>
          <w:t>Sklar CA</w:t>
        </w:r>
      </w:hyperlink>
      <w:r w:rsidRPr="00030685">
        <w:rPr>
          <w:rFonts w:asciiTheme="minorHAnsi" w:hAnsiTheme="minorHAnsi" w:cstheme="minorHAnsi"/>
          <w:sz w:val="24"/>
          <w:szCs w:val="24"/>
          <w:lang w:val="en-GB" w:eastAsia="en-GB"/>
        </w:rPr>
        <w:t>, </w:t>
      </w:r>
      <w:hyperlink r:id="rId20" w:history="1">
        <w:r w:rsidRPr="00AC05E4">
          <w:rPr>
            <w:rFonts w:asciiTheme="minorHAnsi" w:hAnsiTheme="minorHAnsi" w:cstheme="minorHAnsi"/>
            <w:sz w:val="24"/>
            <w:szCs w:val="24"/>
            <w:lang w:val="en-GB" w:eastAsia="en-GB"/>
          </w:rPr>
          <w:t>Constine LS</w:t>
        </w:r>
      </w:hyperlink>
      <w:r w:rsidRPr="00030685">
        <w:rPr>
          <w:rFonts w:asciiTheme="minorHAnsi" w:hAnsiTheme="minorHAnsi" w:cstheme="minorHAnsi"/>
          <w:sz w:val="24"/>
          <w:szCs w:val="24"/>
          <w:lang w:val="en-GB" w:eastAsia="en-GB"/>
        </w:rPr>
        <w:t xml:space="preserve">. </w:t>
      </w:r>
      <w:r w:rsidRPr="00593D46">
        <w:rPr>
          <w:rFonts w:asciiTheme="minorHAnsi" w:hAnsiTheme="minorHAnsi" w:cstheme="minorHAnsi"/>
          <w:bCs/>
          <w:kern w:val="36"/>
          <w:sz w:val="24"/>
          <w:szCs w:val="24"/>
          <w:lang w:val="en-GB" w:eastAsia="en-GB"/>
        </w:rPr>
        <w:t>Chronic neuroendocrinological sequelae of radiation therapy.</w:t>
      </w:r>
      <w:r w:rsidRPr="00030685">
        <w:rPr>
          <w:rFonts w:asciiTheme="minorHAnsi" w:hAnsiTheme="minorHAnsi" w:cstheme="minorHAnsi"/>
          <w:sz w:val="24"/>
          <w:szCs w:val="24"/>
          <w:lang w:val="en-GB" w:eastAsia="en-GB"/>
        </w:rPr>
        <w:t xml:space="preserve"> </w:t>
      </w:r>
      <w:hyperlink r:id="rId21" w:tooltip="International journal of radiation oncology, biology, physics." w:history="1">
        <w:r w:rsidRPr="00AC05E4">
          <w:rPr>
            <w:rFonts w:asciiTheme="minorHAnsi" w:hAnsiTheme="minorHAnsi" w:cstheme="minorHAnsi"/>
            <w:sz w:val="24"/>
            <w:szCs w:val="24"/>
            <w:lang w:val="en-GB" w:eastAsia="en-GB"/>
          </w:rPr>
          <w:t>Int J Radiat Oncol Biol Phys</w:t>
        </w:r>
      </w:hyperlink>
      <w:r w:rsidRPr="00593D46">
        <w:rPr>
          <w:rFonts w:asciiTheme="minorHAnsi" w:hAnsiTheme="minorHAnsi" w:cstheme="minorHAnsi"/>
          <w:sz w:val="24"/>
          <w:szCs w:val="24"/>
          <w:lang w:val="en-GB" w:eastAsia="en-GB"/>
        </w:rPr>
        <w:t> 1995; 31(5):1113-21.</w:t>
      </w:r>
    </w:p>
    <w:p w14:paraId="04583F5E" w14:textId="77777777" w:rsidR="003F6EF9" w:rsidRDefault="00A108C0" w:rsidP="003F6EF9">
      <w:pPr>
        <w:spacing w:after="0" w:line="480" w:lineRule="auto"/>
        <w:ind w:left="709" w:hanging="709"/>
        <w:divId w:val="1049647061"/>
        <w:rPr>
          <w:rFonts w:asciiTheme="minorHAnsi" w:eastAsiaTheme="minorEastAsia" w:hAnsiTheme="minorHAnsi" w:cstheme="minorHAnsi"/>
          <w:sz w:val="24"/>
          <w:szCs w:val="24"/>
          <w:lang w:val="en-GB" w:eastAsia="en-GB"/>
        </w:rPr>
      </w:pPr>
      <w:r w:rsidRPr="00717345">
        <w:rPr>
          <w:rFonts w:asciiTheme="minorHAnsi" w:hAnsiTheme="minorHAnsi" w:cstheme="minorHAnsi"/>
          <w:sz w:val="24"/>
          <w:szCs w:val="24"/>
          <w:lang w:val="it-IT" w:eastAsia="en-GB"/>
        </w:rPr>
        <w:t xml:space="preserve">26. </w:t>
      </w:r>
      <w:r w:rsidR="003F6724" w:rsidRPr="00717345">
        <w:rPr>
          <w:rFonts w:asciiTheme="minorHAnsi" w:hAnsiTheme="minorHAnsi" w:cstheme="minorHAnsi"/>
          <w:sz w:val="24"/>
          <w:szCs w:val="24"/>
          <w:lang w:val="it-IT" w:eastAsia="en-GB"/>
        </w:rPr>
        <w:t xml:space="preserve">Spoudeas HA, </w:t>
      </w:r>
      <w:r w:rsidR="003F6724" w:rsidRPr="00717345">
        <w:rPr>
          <w:rFonts w:asciiTheme="minorHAnsi" w:eastAsiaTheme="minorEastAsia" w:hAnsiTheme="minorHAnsi" w:cstheme="minorHAnsi"/>
          <w:sz w:val="24"/>
          <w:szCs w:val="24"/>
          <w:lang w:val="it-IT" w:eastAsia="en-GB"/>
        </w:rPr>
        <w:t>Charmandari E, Brook CG.</w:t>
      </w:r>
      <w:r w:rsidR="003F6EF9" w:rsidRPr="00717345">
        <w:rPr>
          <w:rFonts w:asciiTheme="minorHAnsi" w:eastAsiaTheme="minorEastAsia" w:hAnsiTheme="minorHAnsi" w:cstheme="minorHAnsi"/>
          <w:sz w:val="24"/>
          <w:szCs w:val="24"/>
          <w:lang w:val="it-IT" w:eastAsia="en-GB"/>
        </w:rPr>
        <w:t xml:space="preserve"> </w:t>
      </w:r>
      <w:hyperlink r:id="rId22" w:history="1">
        <w:r w:rsidR="002A6CF6" w:rsidRPr="00593D46">
          <w:rPr>
            <w:rFonts w:asciiTheme="minorHAnsi" w:eastAsiaTheme="minorEastAsia" w:hAnsiTheme="minorHAnsi" w:cstheme="minorHAnsi"/>
            <w:sz w:val="24"/>
            <w:szCs w:val="24"/>
            <w:lang w:val="en-GB" w:eastAsia="en-GB"/>
          </w:rPr>
          <w:t>Hypothalamo-pituitary-adrenal axis integrity after</w:t>
        </w:r>
        <w:r w:rsidR="00D1227A" w:rsidRPr="00593D46">
          <w:rPr>
            <w:rFonts w:asciiTheme="minorHAnsi" w:eastAsiaTheme="minorEastAsia" w:hAnsiTheme="minorHAnsi" w:cstheme="minorHAnsi"/>
            <w:sz w:val="24"/>
            <w:szCs w:val="24"/>
            <w:u w:val="single"/>
            <w:lang w:val="en-GB" w:eastAsia="en-GB"/>
          </w:rPr>
          <w:t xml:space="preserve"> </w:t>
        </w:r>
        <w:r w:rsidR="002A6CF6" w:rsidRPr="00593D46">
          <w:rPr>
            <w:rFonts w:asciiTheme="minorHAnsi" w:eastAsiaTheme="minorEastAsia" w:hAnsiTheme="minorHAnsi" w:cstheme="minorHAnsi"/>
            <w:sz w:val="24"/>
            <w:szCs w:val="24"/>
            <w:lang w:val="en-GB" w:eastAsia="en-GB"/>
          </w:rPr>
          <w:t>cranial irradiation for childhood posterior fossa tumours.</w:t>
        </w:r>
      </w:hyperlink>
      <w:r w:rsidR="003F6EF9" w:rsidRPr="00593D46">
        <w:rPr>
          <w:rFonts w:asciiTheme="minorHAnsi" w:eastAsiaTheme="minorEastAsia" w:hAnsiTheme="minorHAnsi" w:cstheme="minorHAnsi"/>
          <w:sz w:val="24"/>
          <w:szCs w:val="24"/>
          <w:lang w:val="en-GB" w:eastAsia="en-GB"/>
        </w:rPr>
        <w:t xml:space="preserve"> </w:t>
      </w:r>
      <w:r w:rsidR="002A6CF6" w:rsidRPr="00593D46">
        <w:rPr>
          <w:rFonts w:asciiTheme="minorHAnsi" w:eastAsiaTheme="minorEastAsia" w:hAnsiTheme="minorHAnsi" w:cstheme="minorHAnsi"/>
          <w:sz w:val="24"/>
          <w:szCs w:val="24"/>
          <w:lang w:val="en-GB" w:eastAsia="en-GB"/>
        </w:rPr>
        <w:t>Med Pediatr Oncol 2003</w:t>
      </w:r>
      <w:r w:rsidR="003F6EF9" w:rsidRPr="00593D46">
        <w:rPr>
          <w:rFonts w:asciiTheme="minorHAnsi" w:eastAsiaTheme="minorEastAsia" w:hAnsiTheme="minorHAnsi" w:cstheme="minorHAnsi"/>
          <w:sz w:val="24"/>
          <w:szCs w:val="24"/>
          <w:lang w:val="en-GB" w:eastAsia="en-GB"/>
        </w:rPr>
        <w:t>;</w:t>
      </w:r>
      <w:r w:rsidR="002A6CF6" w:rsidRPr="00593D46">
        <w:rPr>
          <w:rFonts w:asciiTheme="minorHAnsi" w:eastAsiaTheme="minorEastAsia" w:hAnsiTheme="minorHAnsi" w:cstheme="minorHAnsi"/>
          <w:sz w:val="24"/>
          <w:szCs w:val="24"/>
          <w:lang w:val="en-GB" w:eastAsia="en-GB"/>
        </w:rPr>
        <w:t xml:space="preserve"> 40(4):</w:t>
      </w:r>
      <w:r w:rsidR="003F6EF9" w:rsidRPr="00593D46">
        <w:rPr>
          <w:rFonts w:asciiTheme="minorHAnsi" w:eastAsiaTheme="minorEastAsia" w:hAnsiTheme="minorHAnsi" w:cstheme="minorHAnsi"/>
          <w:sz w:val="24"/>
          <w:szCs w:val="24"/>
          <w:lang w:val="en-GB" w:eastAsia="en-GB"/>
        </w:rPr>
        <w:t xml:space="preserve"> </w:t>
      </w:r>
      <w:r w:rsidR="002A6CF6" w:rsidRPr="00593D46">
        <w:rPr>
          <w:rFonts w:asciiTheme="minorHAnsi" w:eastAsiaTheme="minorEastAsia" w:hAnsiTheme="minorHAnsi" w:cstheme="minorHAnsi"/>
          <w:sz w:val="24"/>
          <w:szCs w:val="24"/>
          <w:lang w:val="en-GB" w:eastAsia="en-GB"/>
        </w:rPr>
        <w:t>224-9</w:t>
      </w:r>
      <w:r w:rsidR="003F6EF9" w:rsidRPr="00593D46">
        <w:rPr>
          <w:rFonts w:asciiTheme="minorHAnsi" w:eastAsiaTheme="minorEastAsia" w:hAnsiTheme="minorHAnsi" w:cstheme="minorHAnsi"/>
          <w:sz w:val="24"/>
          <w:szCs w:val="24"/>
          <w:lang w:val="en-GB" w:eastAsia="en-GB"/>
        </w:rPr>
        <w:t>.</w:t>
      </w:r>
    </w:p>
    <w:p w14:paraId="4883B70A" w14:textId="77777777" w:rsidR="004A2D5E" w:rsidRPr="00593D46" w:rsidRDefault="004A2D5E" w:rsidP="004A2D5E">
      <w:pPr>
        <w:pStyle w:val="Title1"/>
        <w:spacing w:before="0" w:beforeAutospacing="0" w:after="0" w:afterAutospacing="0" w:line="480" w:lineRule="auto"/>
        <w:ind w:left="709" w:hanging="709"/>
        <w:divId w:val="1049647061"/>
        <w:rPr>
          <w:rFonts w:asciiTheme="minorHAnsi" w:hAnsiTheme="minorHAnsi" w:cstheme="minorHAnsi"/>
          <w:lang w:val="en-US"/>
        </w:rPr>
      </w:pPr>
      <w:r>
        <w:rPr>
          <w:rFonts w:asciiTheme="minorHAnsi" w:hAnsiTheme="minorHAnsi" w:cstheme="minorHAnsi"/>
          <w:bCs/>
        </w:rPr>
        <w:t xml:space="preserve">27. </w:t>
      </w:r>
      <w:r w:rsidRPr="00593D46">
        <w:rPr>
          <w:rFonts w:asciiTheme="minorHAnsi" w:hAnsiTheme="minorHAnsi" w:cstheme="minorHAnsi"/>
          <w:bCs/>
        </w:rPr>
        <w:t>Clement SC</w:t>
      </w:r>
      <w:r w:rsidRPr="00593D46">
        <w:rPr>
          <w:rFonts w:asciiTheme="minorHAnsi" w:hAnsiTheme="minorHAnsi" w:cstheme="minorHAnsi"/>
        </w:rPr>
        <w:t xml:space="preserve">, Schouten-van Meeteren AY, Boot AM, Claahsen-van der Grinten HL, Granzen B, Sen Han K, Janssens GO, Michiels EM, van Trotsenburg AS, Vandertop WP, van Vuurden DG, Kremer LC, Caron HN, van Santen HM. </w:t>
      </w:r>
      <w:hyperlink r:id="rId23" w:history="1">
        <w:r w:rsidRPr="00030685">
          <w:rPr>
            <w:rStyle w:val="Hyperlink"/>
            <w:rFonts w:asciiTheme="minorHAnsi" w:hAnsiTheme="minorHAnsi" w:cstheme="minorHAnsi"/>
            <w:color w:val="auto"/>
            <w:u w:val="none"/>
            <w:lang w:val="en-US"/>
          </w:rPr>
          <w:t>Prevalence and Risk Factors of Early Endocrine Disorders in Childhood Brain Tumor Survivors: A Nationwide, Multicenter Study.</w:t>
        </w:r>
      </w:hyperlink>
      <w:r w:rsidRPr="00030685">
        <w:rPr>
          <w:rFonts w:asciiTheme="minorHAnsi" w:hAnsiTheme="minorHAnsi" w:cstheme="minorHAnsi"/>
          <w:lang w:val="en-US"/>
        </w:rPr>
        <w:t xml:space="preserve"> </w:t>
      </w:r>
      <w:r w:rsidRPr="00593D46">
        <w:rPr>
          <w:rStyle w:val="jrnl"/>
          <w:rFonts w:asciiTheme="minorHAnsi" w:hAnsiTheme="minorHAnsi" w:cstheme="minorHAnsi"/>
          <w:lang w:val="en-US"/>
        </w:rPr>
        <w:t>J Clin Oncol</w:t>
      </w:r>
      <w:r w:rsidRPr="00593D46">
        <w:rPr>
          <w:rFonts w:asciiTheme="minorHAnsi" w:hAnsiTheme="minorHAnsi" w:cstheme="minorHAnsi"/>
          <w:lang w:val="en-US"/>
        </w:rPr>
        <w:t xml:space="preserve"> 2016; Dec 20; 34(36):4362-4370. Epub 2016 Oct 31.</w:t>
      </w:r>
    </w:p>
    <w:p w14:paraId="0011D5D3" w14:textId="77777777" w:rsidR="004A2D5E" w:rsidRPr="00717345" w:rsidRDefault="004A2D5E" w:rsidP="004A2D5E">
      <w:pPr>
        <w:spacing w:after="0" w:line="480" w:lineRule="auto"/>
        <w:ind w:left="709" w:hanging="709"/>
        <w:contextualSpacing/>
        <w:divId w:val="1049647061"/>
        <w:rPr>
          <w:rFonts w:asciiTheme="minorHAnsi" w:eastAsiaTheme="minorEastAsia" w:hAnsiTheme="minorHAnsi" w:cstheme="minorHAnsi"/>
          <w:sz w:val="24"/>
          <w:szCs w:val="24"/>
          <w:lang w:val="en-GB" w:eastAsia="en-GB"/>
        </w:rPr>
      </w:pPr>
      <w:r>
        <w:rPr>
          <w:rFonts w:asciiTheme="minorHAnsi" w:eastAsiaTheme="minorEastAsia" w:hAnsiTheme="minorHAnsi" w:cstheme="minorHAnsi"/>
          <w:sz w:val="24"/>
          <w:szCs w:val="24"/>
          <w:lang w:val="en-GB" w:eastAsia="en-GB"/>
        </w:rPr>
        <w:t xml:space="preserve">28. </w:t>
      </w:r>
      <w:r w:rsidRPr="00593D46">
        <w:rPr>
          <w:rFonts w:asciiTheme="minorHAnsi" w:eastAsiaTheme="minorEastAsia" w:hAnsiTheme="minorHAnsi" w:cstheme="minorHAnsi"/>
          <w:sz w:val="24"/>
          <w:szCs w:val="24"/>
          <w:lang w:val="en-GB" w:eastAsia="en-GB"/>
        </w:rPr>
        <w:t xml:space="preserve">Fleischman A, Brue C, Poussaint TY, Kieran M, Pomeroy SL, Goumnerova L, Scott RM, Cohen LE. </w:t>
      </w:r>
      <w:hyperlink r:id="rId24" w:history="1">
        <w:r w:rsidRPr="00593D46">
          <w:rPr>
            <w:rFonts w:asciiTheme="minorHAnsi" w:hAnsiTheme="minorHAnsi" w:cstheme="minorHAnsi"/>
            <w:sz w:val="24"/>
            <w:szCs w:val="24"/>
            <w:lang w:val="en-GB"/>
          </w:rPr>
          <w:t>Diencephalic syndrome: a cause of failure to thrive and a model of partial growth hormone resistance.</w:t>
        </w:r>
      </w:hyperlink>
      <w:r w:rsidRPr="00593D46">
        <w:rPr>
          <w:rFonts w:asciiTheme="minorHAnsi" w:eastAsiaTheme="minorEastAsia" w:hAnsiTheme="minorHAnsi" w:cstheme="minorHAnsi"/>
          <w:sz w:val="24"/>
          <w:szCs w:val="24"/>
          <w:lang w:val="en-GB" w:eastAsia="en-GB"/>
        </w:rPr>
        <w:t xml:space="preserve"> </w:t>
      </w:r>
      <w:r w:rsidRPr="00717345">
        <w:rPr>
          <w:rFonts w:asciiTheme="minorHAnsi" w:eastAsiaTheme="minorEastAsia" w:hAnsiTheme="minorHAnsi" w:cstheme="minorHAnsi"/>
          <w:sz w:val="24"/>
          <w:szCs w:val="24"/>
          <w:lang w:val="en-GB" w:eastAsia="en-GB"/>
        </w:rPr>
        <w:t>Pediatr 2005; Jun;115(6): e742-8.</w:t>
      </w:r>
    </w:p>
    <w:p w14:paraId="4744B54D" w14:textId="77777777" w:rsidR="004A2D5E" w:rsidRPr="00593D46" w:rsidRDefault="004A2D5E" w:rsidP="004A2D5E">
      <w:pPr>
        <w:spacing w:after="0" w:line="480" w:lineRule="auto"/>
        <w:ind w:left="709" w:hanging="709"/>
        <w:divId w:val="1049647061"/>
        <w:rPr>
          <w:rFonts w:asciiTheme="minorHAnsi" w:eastAsiaTheme="minorEastAsia" w:hAnsiTheme="minorHAnsi" w:cstheme="minorHAnsi"/>
          <w:sz w:val="24"/>
          <w:szCs w:val="24"/>
          <w:lang w:val="en-GB" w:eastAsia="en-GB"/>
        </w:rPr>
      </w:pPr>
      <w:r>
        <w:rPr>
          <w:rFonts w:asciiTheme="minorHAnsi" w:eastAsiaTheme="minorEastAsia" w:hAnsiTheme="minorHAnsi" w:cstheme="minorHAnsi"/>
          <w:sz w:val="24"/>
          <w:szCs w:val="24"/>
          <w:lang w:val="de-DE" w:eastAsia="en-GB"/>
        </w:rPr>
        <w:t xml:space="preserve">29. </w:t>
      </w:r>
      <w:r w:rsidRPr="00AC05E4">
        <w:rPr>
          <w:rFonts w:asciiTheme="minorHAnsi" w:eastAsiaTheme="minorEastAsia" w:hAnsiTheme="minorHAnsi" w:cstheme="minorHAnsi"/>
          <w:sz w:val="24"/>
          <w:szCs w:val="24"/>
          <w:lang w:val="de-DE" w:eastAsia="en-GB"/>
        </w:rPr>
        <w:t xml:space="preserve">Hoffmann A, Gebhardt U, Sterkenburg AS, Warmuth-Metz M, Müller HL. </w:t>
      </w:r>
      <w:hyperlink r:id="rId25" w:history="1">
        <w:r w:rsidRPr="00593D46">
          <w:rPr>
            <w:rFonts w:asciiTheme="minorHAnsi" w:hAnsiTheme="minorHAnsi" w:cstheme="minorHAnsi"/>
            <w:sz w:val="24"/>
            <w:szCs w:val="24"/>
            <w:lang w:val="en-GB"/>
          </w:rPr>
          <w:t>Diencephalic syndrome in childhood craniopharyngioma--results of German multicenter studies on 485 long-term survivors of childhood craniopharyngioma.</w:t>
        </w:r>
      </w:hyperlink>
      <w:r w:rsidRPr="00593D46">
        <w:rPr>
          <w:rFonts w:asciiTheme="minorHAnsi" w:eastAsiaTheme="minorEastAsia" w:hAnsiTheme="minorHAnsi" w:cstheme="minorHAnsi"/>
          <w:sz w:val="24"/>
          <w:szCs w:val="24"/>
          <w:lang w:val="en-GB" w:eastAsia="en-GB"/>
        </w:rPr>
        <w:t xml:space="preserve"> J Clin Endocrinol Metab 2014 Nov; 99(11): 3972-7. doi: 10.1210/jc.2014-1680. Epub 2014 Jul 31.</w:t>
      </w:r>
    </w:p>
    <w:p w14:paraId="31EC26EA" w14:textId="77777777" w:rsidR="004A2D5E" w:rsidRPr="00400CAC" w:rsidRDefault="004A2D5E" w:rsidP="004A2D5E">
      <w:pPr>
        <w:pStyle w:val="Heading1"/>
        <w:shd w:val="clear" w:color="auto" w:fill="FFFFFF"/>
        <w:spacing w:line="480" w:lineRule="auto"/>
        <w:ind w:left="709" w:hanging="709"/>
        <w:divId w:val="1049647061"/>
        <w:rPr>
          <w:rFonts w:asciiTheme="minorHAnsi" w:eastAsia="Arial Unicode MS" w:hAnsiTheme="minorHAnsi" w:cstheme="minorHAnsi"/>
          <w:color w:val="auto"/>
          <w:sz w:val="24"/>
          <w:szCs w:val="24"/>
          <w:u w:color="000000"/>
          <w:lang w:val="en-GB"/>
        </w:rPr>
      </w:pPr>
      <w:r>
        <w:rPr>
          <w:rFonts w:asciiTheme="minorHAnsi" w:eastAsia="Arial Unicode MS" w:hAnsiTheme="minorHAnsi" w:cstheme="minorHAnsi"/>
          <w:color w:val="auto"/>
          <w:sz w:val="24"/>
          <w:szCs w:val="24"/>
          <w:u w:color="000000"/>
          <w:lang w:val="nl-NL"/>
        </w:rPr>
        <w:t xml:space="preserve">30. </w:t>
      </w:r>
      <w:r w:rsidRPr="0085726B">
        <w:rPr>
          <w:rFonts w:asciiTheme="minorHAnsi" w:eastAsia="Arial Unicode MS" w:hAnsiTheme="minorHAnsi" w:cstheme="minorHAnsi"/>
          <w:color w:val="auto"/>
          <w:sz w:val="24"/>
          <w:szCs w:val="24"/>
          <w:u w:color="000000"/>
          <w:lang w:val="nl-NL"/>
        </w:rPr>
        <w:t xml:space="preserve">Kruis RWJ, Schoten-van Meeteren AYN, Finken MJJ, Oostdijk W, van Trotsenburg ASP, Boot AM, Claahsen-van der Grinten HL, van Lindert EJ, Han KS, Hoving EW, Michiels EMC, van Santen, HM.  </w:t>
      </w:r>
      <w:r w:rsidRPr="00400CAC">
        <w:rPr>
          <w:rFonts w:asciiTheme="minorHAnsi" w:hAnsiTheme="minorHAnsi" w:cstheme="minorHAnsi"/>
          <w:color w:val="auto"/>
          <w:sz w:val="24"/>
          <w:szCs w:val="24"/>
          <w:lang w:val="en"/>
        </w:rPr>
        <w:t xml:space="preserve">Management and consequences of postoperative fluctuations in plasma sodium concentration after pediatric brain tumor surgery in the sellar region: a national cohort analysis. </w:t>
      </w:r>
      <w:hyperlink r:id="rId26" w:tooltip="Pituitary." w:history="1">
        <w:r w:rsidRPr="00400CAC">
          <w:rPr>
            <w:rFonts w:asciiTheme="minorHAnsi" w:hAnsiTheme="minorHAnsi" w:cstheme="minorHAnsi"/>
            <w:color w:val="auto"/>
            <w:sz w:val="24"/>
            <w:szCs w:val="24"/>
            <w:u w:val="single"/>
            <w:lang w:val="en-US"/>
          </w:rPr>
          <w:t>Pituitary</w:t>
        </w:r>
      </w:hyperlink>
      <w:r w:rsidRPr="00400CAC">
        <w:rPr>
          <w:rFonts w:asciiTheme="minorHAnsi" w:hAnsiTheme="minorHAnsi" w:cstheme="minorHAnsi"/>
          <w:color w:val="auto"/>
          <w:sz w:val="24"/>
          <w:szCs w:val="24"/>
          <w:lang w:val="en-US"/>
        </w:rPr>
        <w:t xml:space="preserve"> </w:t>
      </w:r>
      <w:r w:rsidRPr="00400CAC">
        <w:rPr>
          <w:rFonts w:asciiTheme="minorHAnsi" w:hAnsiTheme="minorHAnsi" w:cstheme="minorHAnsi"/>
          <w:color w:val="auto"/>
          <w:sz w:val="24"/>
          <w:szCs w:val="24"/>
          <w:lang w:val="en"/>
        </w:rPr>
        <w:t>2018 Aug;21(4):384-392. doi: 10.1007/s11102-018-0886-2.</w:t>
      </w:r>
    </w:p>
    <w:p w14:paraId="4B9D9B40" w14:textId="77777777" w:rsidR="00915653" w:rsidRDefault="00A108C0" w:rsidP="003F6EF9">
      <w:pPr>
        <w:spacing w:after="0" w:line="480" w:lineRule="auto"/>
        <w:ind w:left="709" w:hanging="709"/>
        <w:divId w:val="1049647061"/>
        <w:rPr>
          <w:rFonts w:asciiTheme="minorHAnsi" w:hAnsiTheme="minorHAnsi" w:cstheme="minorHAnsi"/>
          <w:sz w:val="24"/>
          <w:szCs w:val="24"/>
          <w:lang w:val="en-GB" w:eastAsia="en-GB"/>
        </w:rPr>
      </w:pPr>
      <w:r>
        <w:rPr>
          <w:rFonts w:asciiTheme="minorHAnsi" w:hAnsiTheme="minorHAnsi" w:cstheme="minorHAnsi"/>
          <w:sz w:val="24"/>
          <w:szCs w:val="24"/>
          <w:lang w:val="en-GB" w:eastAsia="en-GB"/>
        </w:rPr>
        <w:t xml:space="preserve">31. </w:t>
      </w:r>
      <w:r w:rsidR="00915653" w:rsidRPr="00593D46">
        <w:rPr>
          <w:rFonts w:asciiTheme="minorHAnsi" w:hAnsiTheme="minorHAnsi" w:cstheme="minorHAnsi"/>
          <w:sz w:val="24"/>
          <w:szCs w:val="24"/>
          <w:lang w:val="en-GB" w:eastAsia="en-GB"/>
        </w:rPr>
        <w:t>Strodtbeck K</w:t>
      </w:r>
      <w:r w:rsidR="00915653" w:rsidRPr="00593D46">
        <w:rPr>
          <w:rFonts w:asciiTheme="minorHAnsi" w:hAnsiTheme="minorHAnsi" w:cstheme="minorHAnsi"/>
          <w:sz w:val="24"/>
          <w:szCs w:val="24"/>
          <w:shd w:val="clear" w:color="auto" w:fill="FFFFFF"/>
          <w:lang w:val="en-GB" w:eastAsia="en-GB"/>
        </w:rPr>
        <w:t>,</w:t>
      </w:r>
      <w:r w:rsidR="00915653" w:rsidRPr="00593D46">
        <w:rPr>
          <w:rFonts w:asciiTheme="minorHAnsi" w:hAnsiTheme="minorHAnsi" w:cstheme="minorHAnsi"/>
          <w:sz w:val="24"/>
          <w:szCs w:val="24"/>
          <w:lang w:val="en-GB" w:eastAsia="en-GB"/>
        </w:rPr>
        <w:t> Sloan A</w:t>
      </w:r>
      <w:r w:rsidR="00915653" w:rsidRPr="00593D46">
        <w:rPr>
          <w:rFonts w:asciiTheme="minorHAnsi" w:hAnsiTheme="minorHAnsi" w:cstheme="minorHAnsi"/>
          <w:sz w:val="24"/>
          <w:szCs w:val="24"/>
          <w:shd w:val="clear" w:color="auto" w:fill="FFFFFF"/>
          <w:lang w:val="en-GB" w:eastAsia="en-GB"/>
        </w:rPr>
        <w:t>,</w:t>
      </w:r>
      <w:r w:rsidR="00915653" w:rsidRPr="00593D46">
        <w:rPr>
          <w:rFonts w:asciiTheme="minorHAnsi" w:hAnsiTheme="minorHAnsi" w:cstheme="minorHAnsi"/>
          <w:sz w:val="24"/>
          <w:szCs w:val="24"/>
          <w:lang w:val="en-GB" w:eastAsia="en-GB"/>
        </w:rPr>
        <w:t> Rogers L</w:t>
      </w:r>
      <w:r w:rsidR="00915653" w:rsidRPr="00593D46">
        <w:rPr>
          <w:rFonts w:asciiTheme="minorHAnsi" w:hAnsiTheme="minorHAnsi" w:cstheme="minorHAnsi"/>
          <w:sz w:val="24"/>
          <w:szCs w:val="24"/>
          <w:shd w:val="clear" w:color="auto" w:fill="FFFFFF"/>
          <w:lang w:val="en-GB" w:eastAsia="en-GB"/>
        </w:rPr>
        <w:t>,</w:t>
      </w:r>
      <w:r w:rsidR="003F6EF9" w:rsidRPr="00593D46">
        <w:rPr>
          <w:rFonts w:asciiTheme="minorHAnsi" w:hAnsiTheme="minorHAnsi" w:cstheme="minorHAnsi"/>
          <w:sz w:val="24"/>
          <w:szCs w:val="24"/>
          <w:shd w:val="clear" w:color="auto" w:fill="FFFFFF"/>
          <w:lang w:val="en-GB" w:eastAsia="en-GB"/>
        </w:rPr>
        <w:t xml:space="preserve"> </w:t>
      </w:r>
      <w:r w:rsidR="00915653" w:rsidRPr="00593D46">
        <w:rPr>
          <w:rFonts w:asciiTheme="minorHAnsi" w:hAnsiTheme="minorHAnsi" w:cstheme="minorHAnsi"/>
          <w:sz w:val="24"/>
          <w:szCs w:val="24"/>
          <w:shd w:val="clear" w:color="auto" w:fill="FFFFFF"/>
          <w:lang w:val="en-GB" w:eastAsia="en-GB"/>
        </w:rPr>
        <w:t>et al.</w:t>
      </w:r>
      <w:r w:rsidR="00915653" w:rsidRPr="00593D46">
        <w:rPr>
          <w:rFonts w:asciiTheme="minorHAnsi" w:hAnsiTheme="minorHAnsi" w:cstheme="minorHAnsi"/>
          <w:sz w:val="24"/>
          <w:szCs w:val="24"/>
          <w:lang w:val="en-GB" w:eastAsia="en-GB"/>
        </w:rPr>
        <w:t> Risk of subsequent cancer following a primary CNS tumor</w:t>
      </w:r>
      <w:r w:rsidR="00915653" w:rsidRPr="00593D46">
        <w:rPr>
          <w:rFonts w:asciiTheme="minorHAnsi" w:hAnsiTheme="minorHAnsi" w:cstheme="minorHAnsi"/>
          <w:sz w:val="24"/>
          <w:szCs w:val="24"/>
          <w:shd w:val="clear" w:color="auto" w:fill="FFFFFF"/>
          <w:lang w:val="en-GB" w:eastAsia="en-GB"/>
        </w:rPr>
        <w:t>. J Neuro-Oncol</w:t>
      </w:r>
      <w:r w:rsidR="00915653" w:rsidRPr="00593D46">
        <w:rPr>
          <w:rFonts w:asciiTheme="minorHAnsi" w:hAnsiTheme="minorHAnsi" w:cstheme="minorHAnsi"/>
          <w:sz w:val="24"/>
          <w:szCs w:val="24"/>
          <w:lang w:val="en-GB" w:eastAsia="en-GB"/>
        </w:rPr>
        <w:t> 2013</w:t>
      </w:r>
      <w:r w:rsidR="00915653" w:rsidRPr="00593D46">
        <w:rPr>
          <w:rFonts w:asciiTheme="minorHAnsi" w:hAnsiTheme="minorHAnsi" w:cstheme="minorHAnsi"/>
          <w:sz w:val="24"/>
          <w:szCs w:val="24"/>
          <w:shd w:val="clear" w:color="auto" w:fill="FFFFFF"/>
          <w:lang w:val="en-GB" w:eastAsia="en-GB"/>
        </w:rPr>
        <w:t>;</w:t>
      </w:r>
      <w:r w:rsidR="00AC05E4">
        <w:rPr>
          <w:rFonts w:asciiTheme="minorHAnsi" w:hAnsiTheme="minorHAnsi" w:cstheme="minorHAnsi"/>
          <w:sz w:val="24"/>
          <w:szCs w:val="24"/>
          <w:shd w:val="clear" w:color="auto" w:fill="FFFFFF"/>
          <w:lang w:val="en-GB" w:eastAsia="en-GB"/>
        </w:rPr>
        <w:t xml:space="preserve"> </w:t>
      </w:r>
      <w:r w:rsidR="00915653" w:rsidRPr="00593D46">
        <w:rPr>
          <w:rFonts w:asciiTheme="minorHAnsi" w:hAnsiTheme="minorHAnsi" w:cstheme="minorHAnsi"/>
          <w:sz w:val="24"/>
          <w:szCs w:val="24"/>
          <w:shd w:val="clear" w:color="auto" w:fill="FFFFFF"/>
          <w:lang w:val="en-GB" w:eastAsia="en-GB"/>
        </w:rPr>
        <w:t>112:</w:t>
      </w:r>
      <w:r w:rsidR="00915653" w:rsidRPr="00593D46">
        <w:rPr>
          <w:rFonts w:asciiTheme="minorHAnsi" w:hAnsiTheme="minorHAnsi" w:cstheme="minorHAnsi"/>
          <w:sz w:val="24"/>
          <w:szCs w:val="24"/>
          <w:lang w:val="en-GB" w:eastAsia="en-GB"/>
        </w:rPr>
        <w:t>285</w:t>
      </w:r>
      <w:r w:rsidR="00915653" w:rsidRPr="00593D46">
        <w:rPr>
          <w:rFonts w:asciiTheme="minorHAnsi" w:hAnsiTheme="minorHAnsi" w:cstheme="minorHAnsi"/>
          <w:sz w:val="24"/>
          <w:szCs w:val="24"/>
          <w:shd w:val="clear" w:color="auto" w:fill="FFFFFF"/>
          <w:lang w:val="en-GB" w:eastAsia="en-GB"/>
        </w:rPr>
        <w:t>–</w:t>
      </w:r>
      <w:r w:rsidR="00915653" w:rsidRPr="00593D46">
        <w:rPr>
          <w:rFonts w:asciiTheme="minorHAnsi" w:hAnsiTheme="minorHAnsi" w:cstheme="minorHAnsi"/>
          <w:sz w:val="24"/>
          <w:szCs w:val="24"/>
          <w:lang w:val="en-GB" w:eastAsia="en-GB"/>
        </w:rPr>
        <w:t>95</w:t>
      </w:r>
      <w:r w:rsidR="00915653" w:rsidRPr="00593D46">
        <w:rPr>
          <w:rFonts w:asciiTheme="minorHAnsi" w:hAnsiTheme="minorHAnsi" w:cstheme="minorHAnsi"/>
          <w:sz w:val="24"/>
          <w:szCs w:val="24"/>
          <w:shd w:val="clear" w:color="auto" w:fill="FFFFFF"/>
          <w:lang w:val="en-GB" w:eastAsia="en-GB"/>
        </w:rPr>
        <w:t>.</w:t>
      </w:r>
      <w:r w:rsidR="00FF476F" w:rsidRPr="00593D46">
        <w:rPr>
          <w:rFonts w:asciiTheme="minorHAnsi" w:hAnsiTheme="minorHAnsi" w:cstheme="minorHAnsi"/>
          <w:sz w:val="24"/>
          <w:szCs w:val="24"/>
          <w:lang w:val="en-GB" w:eastAsia="en-GB"/>
        </w:rPr>
        <w:t xml:space="preserve"> </w:t>
      </w:r>
    </w:p>
    <w:p w14:paraId="7859C196" w14:textId="77777777" w:rsidR="004A2D5E" w:rsidRPr="00593D46" w:rsidRDefault="004A2D5E" w:rsidP="004A2D5E">
      <w:pPr>
        <w:spacing w:after="0" w:line="480" w:lineRule="auto"/>
        <w:ind w:left="709" w:hanging="709"/>
        <w:divId w:val="1049647061"/>
        <w:rPr>
          <w:rFonts w:asciiTheme="minorHAnsi" w:eastAsia="Arial Unicode MS" w:hAnsiTheme="minorHAnsi" w:cstheme="minorHAnsi"/>
          <w:sz w:val="24"/>
          <w:szCs w:val="24"/>
          <w:u w:color="000000"/>
          <w:lang w:val="en-GB"/>
        </w:rPr>
      </w:pPr>
      <w:r>
        <w:rPr>
          <w:rFonts w:asciiTheme="minorHAnsi" w:eastAsia="Arial Unicode MS" w:hAnsiTheme="minorHAnsi" w:cstheme="minorHAnsi"/>
          <w:sz w:val="24"/>
          <w:szCs w:val="24"/>
          <w:u w:color="000000"/>
          <w:lang w:val="en-US"/>
        </w:rPr>
        <w:t xml:space="preserve">32. </w:t>
      </w:r>
      <w:r w:rsidRPr="00593D46">
        <w:rPr>
          <w:rFonts w:asciiTheme="minorHAnsi" w:eastAsia="Arial Unicode MS" w:hAnsiTheme="minorHAnsi" w:cstheme="minorHAnsi"/>
          <w:sz w:val="24"/>
          <w:szCs w:val="24"/>
          <w:u w:color="000000"/>
          <w:lang w:val="en-US"/>
        </w:rPr>
        <w:t xml:space="preserve">Bull KS, Spoudeas HA, Yadegarfar G, Kennedy CR. Reduction of health status 7 years after addition of chemotherapy to craniospinal irradiation for medulloblastoma: A follow-up study in PNET 3 trial survivors - On behalf of the CCLG (formerly UKCCSG). </w:t>
      </w:r>
      <w:r w:rsidRPr="00593D46">
        <w:rPr>
          <w:rFonts w:asciiTheme="minorHAnsi" w:eastAsia="Arial Unicode MS" w:hAnsiTheme="minorHAnsi" w:cstheme="minorHAnsi"/>
          <w:sz w:val="24"/>
          <w:szCs w:val="24"/>
          <w:u w:color="000000"/>
          <w:lang w:val="en-GB"/>
        </w:rPr>
        <w:t xml:space="preserve">J Clin Oncol </w:t>
      </w:r>
      <w:r w:rsidRPr="00593D46">
        <w:rPr>
          <w:rFonts w:asciiTheme="minorHAnsi" w:eastAsia="Arial Unicode MS" w:hAnsiTheme="minorHAnsi" w:cstheme="minorHAnsi"/>
          <w:iCs/>
          <w:sz w:val="24"/>
          <w:szCs w:val="24"/>
          <w:u w:color="000000"/>
          <w:lang w:val="en-GB"/>
        </w:rPr>
        <w:t xml:space="preserve">2007; 25: </w:t>
      </w:r>
      <w:r w:rsidRPr="00593D46">
        <w:rPr>
          <w:rFonts w:asciiTheme="minorHAnsi" w:eastAsia="Arial Unicode MS" w:hAnsiTheme="minorHAnsi" w:cstheme="minorHAnsi"/>
          <w:sz w:val="24"/>
          <w:szCs w:val="24"/>
          <w:u w:color="000000"/>
          <w:lang w:val="en-GB"/>
        </w:rPr>
        <w:t>4239-4245.</w:t>
      </w:r>
    </w:p>
    <w:p w14:paraId="26648171" w14:textId="77777777" w:rsidR="004A2D5E" w:rsidRDefault="004A2D5E" w:rsidP="004A2D5E">
      <w:pPr>
        <w:spacing w:after="0" w:line="480" w:lineRule="auto"/>
        <w:ind w:left="709" w:hanging="709"/>
        <w:divId w:val="1049647061"/>
        <w:rPr>
          <w:rFonts w:asciiTheme="minorHAnsi" w:eastAsia="Arial Unicode MS" w:hAnsiTheme="minorHAnsi" w:cstheme="minorHAnsi"/>
          <w:sz w:val="24"/>
          <w:szCs w:val="24"/>
          <w:u w:color="000000"/>
          <w:lang w:val="nl-NL"/>
        </w:rPr>
      </w:pPr>
      <w:r>
        <w:rPr>
          <w:rFonts w:asciiTheme="minorHAnsi" w:eastAsia="Arial Unicode MS" w:hAnsiTheme="minorHAnsi" w:cstheme="minorHAnsi"/>
          <w:sz w:val="24"/>
          <w:szCs w:val="24"/>
          <w:u w:color="000000"/>
          <w:lang w:val="da-DK"/>
        </w:rPr>
        <w:t xml:space="preserve">33. </w:t>
      </w:r>
      <w:r w:rsidRPr="00AE36E6">
        <w:rPr>
          <w:rFonts w:asciiTheme="minorHAnsi" w:eastAsia="Arial Unicode MS" w:hAnsiTheme="minorHAnsi" w:cstheme="minorHAnsi"/>
          <w:sz w:val="24"/>
          <w:szCs w:val="24"/>
          <w:u w:color="000000"/>
          <w:lang w:val="da-DK"/>
        </w:rPr>
        <w:t xml:space="preserve">Kennedy C, Bull K, Chevignard M, Culliford D, Dorr HG, Doz  F et al. </w:t>
      </w:r>
      <w:r w:rsidRPr="00AE36E6">
        <w:rPr>
          <w:rFonts w:asciiTheme="minorHAnsi" w:eastAsia="Arial Unicode MS" w:hAnsiTheme="minorHAnsi" w:cstheme="minorHAnsi"/>
          <w:sz w:val="24"/>
          <w:szCs w:val="24"/>
          <w:u w:color="000000"/>
          <w:lang w:val="en-US"/>
        </w:rPr>
        <w:t>Quality of Survival</w:t>
      </w:r>
      <w:r>
        <w:rPr>
          <w:rFonts w:asciiTheme="minorHAnsi" w:eastAsia="Arial Unicode MS" w:hAnsiTheme="minorHAnsi" w:cstheme="minorHAnsi"/>
          <w:sz w:val="24"/>
          <w:szCs w:val="24"/>
          <w:u w:color="000000"/>
          <w:lang w:val="en-US"/>
        </w:rPr>
        <w:t xml:space="preserve"> and Growth in </w:t>
      </w:r>
      <w:r w:rsidRPr="00AE36E6">
        <w:rPr>
          <w:rFonts w:asciiTheme="minorHAnsi" w:eastAsia="Arial Unicode MS" w:hAnsiTheme="minorHAnsi" w:cstheme="minorHAnsi"/>
          <w:sz w:val="24"/>
          <w:szCs w:val="24"/>
          <w:u w:color="000000"/>
          <w:lang w:val="en-US"/>
        </w:rPr>
        <w:t xml:space="preserve">Children </w:t>
      </w:r>
      <w:r>
        <w:rPr>
          <w:rFonts w:asciiTheme="minorHAnsi" w:eastAsia="Arial Unicode MS" w:hAnsiTheme="minorHAnsi" w:cstheme="minorHAnsi"/>
          <w:sz w:val="24"/>
          <w:szCs w:val="24"/>
          <w:u w:color="000000"/>
          <w:lang w:val="en-US"/>
        </w:rPr>
        <w:t xml:space="preserve">and Young Adults in the PNET4 European Controlled Trial of </w:t>
      </w:r>
      <w:r w:rsidRPr="00593D46">
        <w:rPr>
          <w:rFonts w:asciiTheme="minorHAnsi" w:eastAsia="Arial Unicode MS" w:hAnsiTheme="minorHAnsi" w:cstheme="minorHAnsi"/>
          <w:sz w:val="24"/>
          <w:szCs w:val="24"/>
          <w:u w:color="000000"/>
          <w:lang w:val="en-US"/>
        </w:rPr>
        <w:t xml:space="preserve">Hyperfractionated Versus </w:t>
      </w:r>
      <w:r>
        <w:rPr>
          <w:rFonts w:asciiTheme="minorHAnsi" w:eastAsia="Arial Unicode MS" w:hAnsiTheme="minorHAnsi" w:cstheme="minorHAnsi"/>
          <w:sz w:val="24"/>
          <w:szCs w:val="24"/>
          <w:u w:color="000000"/>
          <w:lang w:val="en-US"/>
        </w:rPr>
        <w:t>Conventional Radiation Therapy for Standard Risk Medulloblastoma</w:t>
      </w:r>
      <w:r w:rsidRPr="00593D46">
        <w:rPr>
          <w:rFonts w:asciiTheme="minorHAnsi" w:eastAsia="Arial Unicode MS" w:hAnsiTheme="minorHAnsi" w:cstheme="minorHAnsi"/>
          <w:sz w:val="24"/>
          <w:szCs w:val="24"/>
          <w:u w:color="000000"/>
          <w:lang w:val="en-US"/>
        </w:rPr>
        <w:t xml:space="preserve">. </w:t>
      </w:r>
      <w:r w:rsidRPr="0085726B">
        <w:rPr>
          <w:rFonts w:asciiTheme="minorHAnsi" w:eastAsia="Arial Unicode MS" w:hAnsiTheme="minorHAnsi" w:cstheme="minorHAnsi"/>
          <w:iCs/>
          <w:sz w:val="24"/>
          <w:szCs w:val="24"/>
          <w:u w:color="000000"/>
          <w:lang w:val="nl-NL"/>
        </w:rPr>
        <w:t xml:space="preserve">Int J Rad </w:t>
      </w:r>
      <w:r>
        <w:rPr>
          <w:rFonts w:asciiTheme="minorHAnsi" w:eastAsia="Arial Unicode MS" w:hAnsiTheme="minorHAnsi" w:cstheme="minorHAnsi"/>
          <w:iCs/>
          <w:sz w:val="24"/>
          <w:szCs w:val="24"/>
          <w:u w:color="000000"/>
          <w:lang w:val="nl-NL"/>
        </w:rPr>
        <w:t xml:space="preserve">Oncol </w:t>
      </w:r>
      <w:r w:rsidRPr="0085726B">
        <w:rPr>
          <w:rFonts w:asciiTheme="minorHAnsi" w:eastAsia="Arial Unicode MS" w:hAnsiTheme="minorHAnsi" w:cstheme="minorHAnsi"/>
          <w:iCs/>
          <w:sz w:val="24"/>
          <w:szCs w:val="24"/>
          <w:u w:color="000000"/>
          <w:lang w:val="nl-NL"/>
        </w:rPr>
        <w:t xml:space="preserve">Biol Phys 2014; 88: </w:t>
      </w:r>
      <w:r w:rsidRPr="0085726B">
        <w:rPr>
          <w:rFonts w:asciiTheme="minorHAnsi" w:eastAsia="Arial Unicode MS" w:hAnsiTheme="minorHAnsi" w:cstheme="minorHAnsi"/>
          <w:sz w:val="24"/>
          <w:szCs w:val="24"/>
          <w:u w:color="000000"/>
          <w:lang w:val="nl-NL"/>
        </w:rPr>
        <w:t>292-300.</w:t>
      </w:r>
    </w:p>
    <w:p w14:paraId="78C69FE4" w14:textId="77777777" w:rsidR="004A2D5E" w:rsidRPr="00593D46" w:rsidRDefault="004A2D5E" w:rsidP="004A2D5E">
      <w:pPr>
        <w:shd w:val="clear" w:color="auto" w:fill="FFFFFF"/>
        <w:spacing w:after="0" w:line="480" w:lineRule="auto"/>
        <w:ind w:left="709" w:hanging="709"/>
        <w:textAlignment w:val="top"/>
        <w:divId w:val="1049647061"/>
        <w:rPr>
          <w:rFonts w:asciiTheme="minorHAnsi" w:hAnsiTheme="minorHAnsi" w:cstheme="minorHAnsi"/>
          <w:sz w:val="24"/>
          <w:szCs w:val="24"/>
          <w:lang w:val="en-GB" w:eastAsia="en-GB"/>
        </w:rPr>
      </w:pPr>
      <w:r w:rsidRPr="00717345">
        <w:rPr>
          <w:lang w:val="en-GB"/>
        </w:rPr>
        <w:t xml:space="preserve">34. </w:t>
      </w:r>
      <w:hyperlink r:id="rId27" w:history="1">
        <w:r w:rsidRPr="00593D46">
          <w:rPr>
            <w:rFonts w:asciiTheme="minorHAnsi" w:hAnsiTheme="minorHAnsi" w:cstheme="minorHAnsi"/>
            <w:sz w:val="24"/>
            <w:szCs w:val="24"/>
            <w:lang w:val="en-GB" w:eastAsia="en-GB"/>
          </w:rPr>
          <w:t>Goddings</w:t>
        </w:r>
      </w:hyperlink>
      <w:r w:rsidRPr="00593D46">
        <w:rPr>
          <w:rFonts w:asciiTheme="minorHAnsi" w:hAnsiTheme="minorHAnsi" w:cstheme="minorHAnsi"/>
          <w:sz w:val="24"/>
          <w:szCs w:val="24"/>
          <w:lang w:val="en-GB" w:eastAsia="en-GB"/>
        </w:rPr>
        <w:t xml:space="preserve"> A-L,  </w:t>
      </w:r>
      <w:hyperlink r:id="rId28" w:history="1">
        <w:r w:rsidRPr="00593D46">
          <w:rPr>
            <w:rFonts w:asciiTheme="minorHAnsi" w:hAnsiTheme="minorHAnsi" w:cstheme="minorHAnsi"/>
            <w:sz w:val="24"/>
            <w:szCs w:val="24"/>
            <w:lang w:val="en-GB" w:eastAsia="en-GB"/>
          </w:rPr>
          <w:t>Heyes</w:t>
        </w:r>
      </w:hyperlink>
      <w:r w:rsidRPr="00593D46">
        <w:rPr>
          <w:rFonts w:asciiTheme="minorHAnsi" w:hAnsiTheme="minorHAnsi" w:cstheme="minorHAnsi"/>
          <w:sz w:val="24"/>
          <w:szCs w:val="24"/>
          <w:lang w:val="en-GB" w:eastAsia="en-GB"/>
        </w:rPr>
        <w:t xml:space="preserve"> SB, </w:t>
      </w:r>
      <w:hyperlink r:id="rId29" w:history="1">
        <w:r w:rsidRPr="00593D46">
          <w:rPr>
            <w:rFonts w:asciiTheme="minorHAnsi" w:hAnsiTheme="minorHAnsi" w:cstheme="minorHAnsi"/>
            <w:sz w:val="24"/>
            <w:szCs w:val="24"/>
            <w:lang w:val="en-GB" w:eastAsia="en-GB"/>
          </w:rPr>
          <w:t>Bird</w:t>
        </w:r>
      </w:hyperlink>
      <w:r w:rsidRPr="00593D46">
        <w:rPr>
          <w:rFonts w:asciiTheme="minorHAnsi" w:hAnsiTheme="minorHAnsi" w:cstheme="minorHAnsi"/>
          <w:sz w:val="24"/>
          <w:szCs w:val="24"/>
          <w:lang w:val="en-GB" w:eastAsia="en-GB"/>
        </w:rPr>
        <w:t xml:space="preserve"> G, </w:t>
      </w:r>
      <w:hyperlink r:id="rId30" w:history="1">
        <w:r w:rsidRPr="00593D46">
          <w:rPr>
            <w:rFonts w:asciiTheme="minorHAnsi" w:hAnsiTheme="minorHAnsi" w:cstheme="minorHAnsi"/>
            <w:sz w:val="24"/>
            <w:szCs w:val="24"/>
            <w:lang w:val="en-GB" w:eastAsia="en-GB"/>
          </w:rPr>
          <w:t>Viner</w:t>
        </w:r>
      </w:hyperlink>
      <w:r w:rsidRPr="00593D46">
        <w:rPr>
          <w:rFonts w:asciiTheme="minorHAnsi" w:hAnsiTheme="minorHAnsi" w:cstheme="minorHAnsi"/>
          <w:sz w:val="24"/>
          <w:szCs w:val="24"/>
          <w:lang w:val="en-GB" w:eastAsia="en-GB"/>
        </w:rPr>
        <w:t>, RM, Blakemore S-J.</w:t>
      </w:r>
      <w:r w:rsidRPr="00593D46">
        <w:rPr>
          <w:rFonts w:asciiTheme="minorHAnsi" w:hAnsiTheme="minorHAnsi" w:cstheme="minorHAnsi"/>
          <w:kern w:val="36"/>
          <w:sz w:val="24"/>
          <w:szCs w:val="24"/>
          <w:lang w:val="en-GB" w:eastAsia="en-GB"/>
        </w:rPr>
        <w:t xml:space="preserve"> The relationship between puberty and social emotion processing. </w:t>
      </w:r>
      <w:hyperlink r:id="rId31" w:history="1">
        <w:r w:rsidRPr="00593D46">
          <w:rPr>
            <w:rFonts w:asciiTheme="minorHAnsi" w:hAnsiTheme="minorHAnsi" w:cstheme="minorHAnsi"/>
            <w:sz w:val="24"/>
            <w:szCs w:val="24"/>
            <w:lang w:val="en-GB" w:eastAsia="en-GB"/>
          </w:rPr>
          <w:t>Dev Sci</w:t>
        </w:r>
      </w:hyperlink>
      <w:r w:rsidRPr="00593D46">
        <w:rPr>
          <w:rFonts w:asciiTheme="minorHAnsi" w:hAnsiTheme="minorHAnsi" w:cstheme="minorHAnsi"/>
          <w:sz w:val="24"/>
          <w:szCs w:val="24"/>
          <w:lang w:val="en-GB" w:eastAsia="en-GB"/>
        </w:rPr>
        <w:t xml:space="preserve"> 2012</w:t>
      </w:r>
      <w:r w:rsidR="00406BBD">
        <w:rPr>
          <w:rFonts w:asciiTheme="minorHAnsi" w:hAnsiTheme="minorHAnsi" w:cstheme="minorHAnsi"/>
          <w:sz w:val="24"/>
          <w:szCs w:val="24"/>
          <w:lang w:val="en-GB" w:eastAsia="en-GB"/>
        </w:rPr>
        <w:t xml:space="preserve"> </w:t>
      </w:r>
      <w:r w:rsidRPr="00593D46">
        <w:rPr>
          <w:rFonts w:asciiTheme="minorHAnsi" w:hAnsiTheme="minorHAnsi" w:cstheme="minorHAnsi"/>
          <w:sz w:val="24"/>
          <w:szCs w:val="24"/>
          <w:lang w:val="en-GB" w:eastAsia="en-GB"/>
        </w:rPr>
        <w:t>Nov; 15(6) : 801–811. doi:  </w:t>
      </w:r>
      <w:hyperlink r:id="rId32" w:tgtFrame="pmc_ext" w:history="1">
        <w:r w:rsidRPr="00593D46">
          <w:rPr>
            <w:rFonts w:asciiTheme="minorHAnsi" w:hAnsiTheme="minorHAnsi" w:cstheme="minorHAnsi"/>
            <w:sz w:val="24"/>
            <w:szCs w:val="24"/>
            <w:lang w:val="en-GB" w:eastAsia="en-GB"/>
          </w:rPr>
          <w:t>10.1111/j.1467-7687.2012.01174.x</w:t>
        </w:r>
      </w:hyperlink>
    </w:p>
    <w:p w14:paraId="76F0F7D8" w14:textId="77777777" w:rsidR="004A2D5E" w:rsidRPr="00593D46" w:rsidRDefault="004A2D5E" w:rsidP="004A2D5E">
      <w:pPr>
        <w:spacing w:after="0" w:line="480" w:lineRule="auto"/>
        <w:ind w:left="709" w:hanging="709"/>
        <w:outlineLvl w:val="0"/>
        <w:divId w:val="1049647061"/>
        <w:rPr>
          <w:rFonts w:asciiTheme="minorHAnsi" w:eastAsia="Arial Unicode MS" w:hAnsiTheme="minorHAnsi" w:cstheme="minorHAnsi"/>
          <w:sz w:val="24"/>
          <w:szCs w:val="24"/>
          <w:u w:color="000000"/>
          <w:lang w:val="en-GB"/>
        </w:rPr>
      </w:pPr>
      <w:r>
        <w:rPr>
          <w:rFonts w:asciiTheme="minorHAnsi" w:eastAsia="Arial Unicode MS" w:hAnsiTheme="minorHAnsi" w:cstheme="minorHAnsi"/>
          <w:sz w:val="24"/>
          <w:szCs w:val="24"/>
          <w:u w:color="000000"/>
          <w:lang w:val="en-GB"/>
        </w:rPr>
        <w:t xml:space="preserve">35. </w:t>
      </w:r>
      <w:r w:rsidRPr="00593D46">
        <w:rPr>
          <w:rFonts w:asciiTheme="minorHAnsi" w:eastAsia="Arial Unicode MS" w:hAnsiTheme="minorHAnsi" w:cstheme="minorHAnsi"/>
          <w:sz w:val="24"/>
          <w:szCs w:val="24"/>
          <w:u w:color="000000"/>
          <w:lang w:val="en-GB"/>
        </w:rPr>
        <w:t>Glaser A, Kennedy C, Punt J, Walker D. Standardized quantitative assessment of brain tumor survivors treated within clinical trials in childhood. Int J Cancer 1999; 83</w:t>
      </w:r>
      <w:r>
        <w:rPr>
          <w:rFonts w:asciiTheme="minorHAnsi" w:eastAsia="Arial Unicode MS" w:hAnsiTheme="minorHAnsi" w:cstheme="minorHAnsi"/>
          <w:sz w:val="24"/>
          <w:szCs w:val="24"/>
          <w:u w:color="000000"/>
          <w:lang w:val="en-GB"/>
        </w:rPr>
        <w:t xml:space="preserve"> (S12)</w:t>
      </w:r>
      <w:r w:rsidRPr="00593D46">
        <w:rPr>
          <w:rFonts w:asciiTheme="minorHAnsi" w:eastAsia="Arial Unicode MS" w:hAnsiTheme="minorHAnsi" w:cstheme="minorHAnsi"/>
          <w:sz w:val="24"/>
          <w:szCs w:val="24"/>
          <w:u w:color="000000"/>
          <w:lang w:val="en-GB"/>
        </w:rPr>
        <w:t>: 77-82.</w:t>
      </w:r>
    </w:p>
    <w:p w14:paraId="156109CA" w14:textId="50EA504A" w:rsidR="004A2D5E" w:rsidRPr="00593D46" w:rsidRDefault="004A2D5E" w:rsidP="004A2D5E">
      <w:pPr>
        <w:spacing w:after="0" w:line="480" w:lineRule="auto"/>
        <w:ind w:left="709" w:hanging="709"/>
        <w:divId w:val="1049647061"/>
        <w:rPr>
          <w:rFonts w:asciiTheme="minorHAnsi" w:eastAsia="Arial Unicode MS" w:hAnsiTheme="minorHAnsi" w:cstheme="minorHAnsi"/>
          <w:sz w:val="24"/>
          <w:szCs w:val="24"/>
          <w:u w:color="000000"/>
          <w:lang w:val="en-GB"/>
        </w:rPr>
      </w:pPr>
      <w:r>
        <w:rPr>
          <w:rFonts w:asciiTheme="minorHAnsi" w:eastAsia="Arial Unicode MS" w:hAnsiTheme="minorHAnsi" w:cstheme="minorHAnsi"/>
          <w:sz w:val="24"/>
          <w:szCs w:val="24"/>
          <w:u w:color="000000"/>
          <w:lang w:val="en-US"/>
        </w:rPr>
        <w:t xml:space="preserve">36. </w:t>
      </w:r>
      <w:r w:rsidRPr="00AC05E4">
        <w:rPr>
          <w:rFonts w:asciiTheme="minorHAnsi" w:eastAsia="Arial Unicode MS" w:hAnsiTheme="minorHAnsi" w:cstheme="minorHAnsi"/>
          <w:sz w:val="24"/>
          <w:szCs w:val="24"/>
          <w:u w:color="000000"/>
          <w:lang w:val="en-US"/>
        </w:rPr>
        <w:t xml:space="preserve">Freeman JV, Cole TJ, Chinn S, et al. </w:t>
      </w:r>
      <w:r w:rsidRPr="00593D46">
        <w:rPr>
          <w:rFonts w:asciiTheme="minorHAnsi" w:eastAsia="Arial Unicode MS" w:hAnsiTheme="minorHAnsi" w:cstheme="minorHAnsi"/>
          <w:sz w:val="24"/>
          <w:szCs w:val="24"/>
          <w:u w:color="000000"/>
          <w:lang w:val="en-GB"/>
        </w:rPr>
        <w:t>Cross</w:t>
      </w:r>
      <w:r w:rsidR="001D260F">
        <w:rPr>
          <w:rFonts w:asciiTheme="minorHAnsi" w:eastAsia="Arial Unicode MS" w:hAnsiTheme="minorHAnsi" w:cstheme="minorHAnsi"/>
          <w:sz w:val="24"/>
          <w:szCs w:val="24"/>
          <w:u w:color="000000"/>
          <w:lang w:val="en-GB"/>
        </w:rPr>
        <w:t>-</w:t>
      </w:r>
      <w:r w:rsidRPr="00593D46">
        <w:rPr>
          <w:rFonts w:asciiTheme="minorHAnsi" w:eastAsia="Arial Unicode MS" w:hAnsiTheme="minorHAnsi" w:cstheme="minorHAnsi"/>
          <w:sz w:val="24"/>
          <w:szCs w:val="24"/>
          <w:u w:color="000000"/>
          <w:lang w:val="en-GB"/>
        </w:rPr>
        <w:t>sectional stature and weight reference curves for the UK, 1990. Arch Dis Child</w:t>
      </w:r>
      <w:r w:rsidRPr="00593D46">
        <w:rPr>
          <w:rFonts w:asciiTheme="minorHAnsi" w:eastAsia="Arial Unicode MS" w:hAnsiTheme="minorHAnsi" w:cstheme="minorHAnsi"/>
          <w:i/>
          <w:iCs/>
          <w:sz w:val="24"/>
          <w:szCs w:val="24"/>
          <w:u w:color="000000"/>
          <w:lang w:val="en-US"/>
        </w:rPr>
        <w:t> </w:t>
      </w:r>
      <w:r w:rsidRPr="00593D46">
        <w:rPr>
          <w:rFonts w:asciiTheme="minorHAnsi" w:eastAsia="Arial Unicode MS" w:hAnsiTheme="minorHAnsi" w:cstheme="minorHAnsi"/>
          <w:sz w:val="24"/>
          <w:szCs w:val="24"/>
          <w:u w:color="000000"/>
          <w:lang w:val="en-GB"/>
        </w:rPr>
        <w:t>1995; 73: 17-24.</w:t>
      </w:r>
    </w:p>
    <w:p w14:paraId="46C148A6" w14:textId="77777777" w:rsidR="004A2D5E" w:rsidRPr="00593D46" w:rsidRDefault="004A2D5E" w:rsidP="004A2D5E">
      <w:pPr>
        <w:spacing w:after="0" w:line="480" w:lineRule="auto"/>
        <w:ind w:left="709" w:hanging="709"/>
        <w:divId w:val="1049647061"/>
        <w:rPr>
          <w:rFonts w:asciiTheme="minorHAnsi" w:eastAsia="Arial Unicode MS" w:hAnsiTheme="minorHAnsi" w:cstheme="minorHAnsi"/>
          <w:sz w:val="24"/>
          <w:szCs w:val="24"/>
          <w:u w:color="000000"/>
          <w:lang w:val="en-GB"/>
        </w:rPr>
      </w:pPr>
      <w:r>
        <w:rPr>
          <w:rFonts w:asciiTheme="minorHAnsi" w:eastAsia="Arial Unicode MS" w:hAnsiTheme="minorHAnsi" w:cstheme="minorHAnsi"/>
          <w:sz w:val="24"/>
          <w:szCs w:val="24"/>
          <w:u w:color="000000"/>
          <w:lang w:val="en-GB"/>
        </w:rPr>
        <w:t xml:space="preserve">37. </w:t>
      </w:r>
      <w:r w:rsidRPr="00593D46">
        <w:rPr>
          <w:rFonts w:asciiTheme="minorHAnsi" w:eastAsia="Arial Unicode MS" w:hAnsiTheme="minorHAnsi" w:cstheme="minorHAnsi"/>
          <w:sz w:val="24"/>
          <w:szCs w:val="24"/>
          <w:u w:color="000000"/>
          <w:lang w:val="en-GB"/>
        </w:rPr>
        <w:t xml:space="preserve">Campbell SM, Braspenning J, Hutchinson A, Marshall MN. Research methods used in developing and applying quality indicators in primary care. Brit Med J 2003; 326: 816-819. </w:t>
      </w:r>
    </w:p>
    <w:p w14:paraId="000CDFFA" w14:textId="77777777" w:rsidR="004A2D5E" w:rsidRPr="00593D46" w:rsidRDefault="004A2D5E" w:rsidP="004A2D5E">
      <w:pPr>
        <w:spacing w:after="0" w:line="480" w:lineRule="auto"/>
        <w:ind w:left="709" w:hanging="709"/>
        <w:divId w:val="1049647061"/>
        <w:rPr>
          <w:rFonts w:asciiTheme="minorHAnsi" w:hAnsiTheme="minorHAnsi" w:cstheme="minorHAnsi"/>
          <w:sz w:val="24"/>
          <w:szCs w:val="24"/>
          <w:lang w:val="en-US"/>
        </w:rPr>
      </w:pPr>
      <w:r>
        <w:rPr>
          <w:rFonts w:asciiTheme="minorHAnsi" w:hAnsiTheme="minorHAnsi" w:cstheme="minorHAnsi"/>
          <w:sz w:val="24"/>
          <w:szCs w:val="24"/>
          <w:lang w:val="en-US"/>
        </w:rPr>
        <w:t xml:space="preserve">38. </w:t>
      </w:r>
      <w:r w:rsidRPr="00593D46">
        <w:rPr>
          <w:rFonts w:asciiTheme="minorHAnsi" w:hAnsiTheme="minorHAnsi" w:cstheme="minorHAnsi"/>
          <w:sz w:val="24"/>
          <w:szCs w:val="24"/>
          <w:lang w:val="en-US"/>
        </w:rPr>
        <w:t>Nair RJ, Aggarwal R, Khanna D. Methods of formal consensus in classification/diagnostic criteria and guideline development. Semin Arthritis Rheum 2011; 41: 95-105.</w:t>
      </w:r>
    </w:p>
    <w:p w14:paraId="08F91ADE" w14:textId="77777777" w:rsidR="00821278" w:rsidRDefault="00821278" w:rsidP="00821278">
      <w:pPr>
        <w:spacing w:after="0" w:line="480" w:lineRule="auto"/>
        <w:ind w:left="709" w:hanging="709"/>
        <w:outlineLvl w:val="0"/>
        <w:divId w:val="1049647061"/>
        <w:rPr>
          <w:rFonts w:asciiTheme="minorHAnsi" w:eastAsia="Arial Unicode MS" w:hAnsiTheme="minorHAnsi" w:cstheme="minorHAnsi"/>
          <w:sz w:val="24"/>
          <w:szCs w:val="24"/>
          <w:u w:color="000000"/>
          <w:lang w:val="en-GB"/>
        </w:rPr>
      </w:pPr>
      <w:r>
        <w:rPr>
          <w:rFonts w:asciiTheme="minorHAnsi" w:eastAsia="Arial Unicode MS" w:hAnsiTheme="minorHAnsi" w:cstheme="minorHAnsi"/>
          <w:sz w:val="24"/>
          <w:szCs w:val="24"/>
          <w:u w:color="000000"/>
          <w:lang w:val="en-GB"/>
        </w:rPr>
        <w:t xml:space="preserve">39. </w:t>
      </w:r>
      <w:r w:rsidRPr="00593D46">
        <w:rPr>
          <w:rFonts w:asciiTheme="minorHAnsi" w:eastAsia="Arial Unicode MS" w:hAnsiTheme="minorHAnsi" w:cstheme="minorHAnsi"/>
          <w:sz w:val="24"/>
          <w:szCs w:val="24"/>
          <w:u w:color="000000"/>
          <w:lang w:val="en-GB"/>
        </w:rPr>
        <w:t>Sparrow S</w:t>
      </w:r>
      <w:r>
        <w:rPr>
          <w:rFonts w:asciiTheme="minorHAnsi" w:eastAsia="Arial Unicode MS" w:hAnsiTheme="minorHAnsi" w:cstheme="minorHAnsi"/>
          <w:sz w:val="24"/>
          <w:szCs w:val="24"/>
          <w:u w:color="000000"/>
          <w:lang w:val="en-GB"/>
        </w:rPr>
        <w:t>S</w:t>
      </w:r>
      <w:r w:rsidRPr="00593D46">
        <w:rPr>
          <w:rFonts w:asciiTheme="minorHAnsi" w:eastAsia="Arial Unicode MS" w:hAnsiTheme="minorHAnsi" w:cstheme="minorHAnsi"/>
          <w:sz w:val="24"/>
          <w:szCs w:val="24"/>
          <w:u w:color="000000"/>
          <w:lang w:val="en-GB"/>
        </w:rPr>
        <w:t>, Cicchetti D</w:t>
      </w:r>
      <w:r>
        <w:rPr>
          <w:rFonts w:asciiTheme="minorHAnsi" w:eastAsia="Arial Unicode MS" w:hAnsiTheme="minorHAnsi" w:cstheme="minorHAnsi"/>
          <w:sz w:val="24"/>
          <w:szCs w:val="24"/>
          <w:u w:color="000000"/>
          <w:lang w:val="en-GB"/>
        </w:rPr>
        <w:t>V</w:t>
      </w:r>
      <w:r w:rsidRPr="00593D46">
        <w:rPr>
          <w:rFonts w:asciiTheme="minorHAnsi" w:eastAsia="Arial Unicode MS" w:hAnsiTheme="minorHAnsi" w:cstheme="minorHAnsi"/>
          <w:sz w:val="24"/>
          <w:szCs w:val="24"/>
          <w:u w:color="000000"/>
          <w:lang w:val="en-GB"/>
        </w:rPr>
        <w:t xml:space="preserve">, </w:t>
      </w:r>
      <w:r>
        <w:rPr>
          <w:rFonts w:asciiTheme="minorHAnsi" w:eastAsia="Arial Unicode MS" w:hAnsiTheme="minorHAnsi" w:cstheme="minorHAnsi"/>
          <w:sz w:val="24"/>
          <w:szCs w:val="24"/>
          <w:u w:color="000000"/>
          <w:lang w:val="en-GB"/>
        </w:rPr>
        <w:t>Saulnier CA</w:t>
      </w:r>
      <w:r w:rsidRPr="00593D46">
        <w:rPr>
          <w:rFonts w:asciiTheme="minorHAnsi" w:eastAsia="Arial Unicode MS" w:hAnsiTheme="minorHAnsi" w:cstheme="minorHAnsi"/>
          <w:sz w:val="24"/>
          <w:szCs w:val="24"/>
          <w:u w:color="000000"/>
          <w:lang w:val="en-GB"/>
        </w:rPr>
        <w:t xml:space="preserve">. Vineland Adaptive Behavior Scales (VABS). </w:t>
      </w:r>
      <w:r>
        <w:rPr>
          <w:rFonts w:asciiTheme="minorHAnsi" w:eastAsia="Arial Unicode MS" w:hAnsiTheme="minorHAnsi" w:cstheme="minorHAnsi"/>
          <w:sz w:val="24"/>
          <w:szCs w:val="24"/>
          <w:u w:color="000000"/>
          <w:lang w:val="en-GB"/>
        </w:rPr>
        <w:t>3</w:t>
      </w:r>
      <w:r w:rsidRPr="00E1372E">
        <w:rPr>
          <w:rFonts w:asciiTheme="minorHAnsi" w:eastAsia="Arial Unicode MS" w:hAnsiTheme="minorHAnsi" w:cstheme="minorHAnsi"/>
          <w:sz w:val="24"/>
          <w:szCs w:val="24"/>
          <w:u w:color="000000"/>
          <w:vertAlign w:val="superscript"/>
          <w:lang w:val="en-GB"/>
        </w:rPr>
        <w:t>rd</w:t>
      </w:r>
      <w:r>
        <w:rPr>
          <w:rFonts w:asciiTheme="minorHAnsi" w:eastAsia="Arial Unicode MS" w:hAnsiTheme="minorHAnsi" w:cstheme="minorHAnsi"/>
          <w:sz w:val="24"/>
          <w:szCs w:val="24"/>
          <w:u w:color="000000"/>
          <w:lang w:val="en-GB"/>
        </w:rPr>
        <w:t xml:space="preserve"> </w:t>
      </w:r>
      <w:r w:rsidRPr="00593D46">
        <w:rPr>
          <w:rFonts w:asciiTheme="minorHAnsi" w:eastAsia="Arial Unicode MS" w:hAnsiTheme="minorHAnsi" w:cstheme="minorHAnsi"/>
          <w:sz w:val="24"/>
          <w:szCs w:val="24"/>
          <w:u w:color="000000"/>
          <w:lang w:val="en-GB"/>
        </w:rPr>
        <w:t>ed, Minneapolis, MN: Pearson Assessment, 20</w:t>
      </w:r>
      <w:r>
        <w:rPr>
          <w:rFonts w:asciiTheme="minorHAnsi" w:eastAsia="Arial Unicode MS" w:hAnsiTheme="minorHAnsi" w:cstheme="minorHAnsi"/>
          <w:sz w:val="24"/>
          <w:szCs w:val="24"/>
          <w:u w:color="000000"/>
          <w:lang w:val="en-GB"/>
        </w:rPr>
        <w:t>16</w:t>
      </w:r>
      <w:r w:rsidRPr="00593D46">
        <w:rPr>
          <w:rFonts w:asciiTheme="minorHAnsi" w:eastAsia="Arial Unicode MS" w:hAnsiTheme="minorHAnsi" w:cstheme="minorHAnsi"/>
          <w:sz w:val="24"/>
          <w:szCs w:val="24"/>
          <w:u w:color="000000"/>
          <w:lang w:val="en-GB"/>
        </w:rPr>
        <w:t>.</w:t>
      </w:r>
    </w:p>
    <w:p w14:paraId="57886E18" w14:textId="77777777" w:rsidR="00EF5685" w:rsidRDefault="00A108C0" w:rsidP="003F6EF9">
      <w:pPr>
        <w:spacing w:after="0" w:line="480" w:lineRule="auto"/>
        <w:ind w:left="709" w:hanging="709"/>
        <w:outlineLvl w:val="0"/>
        <w:rPr>
          <w:rFonts w:asciiTheme="minorHAnsi" w:eastAsia="Arial Unicode MS" w:hAnsiTheme="minorHAnsi" w:cstheme="minorHAnsi"/>
          <w:sz w:val="24"/>
          <w:szCs w:val="24"/>
          <w:u w:color="000000"/>
          <w:lang w:val="de-DE"/>
        </w:rPr>
      </w:pPr>
      <w:r>
        <w:rPr>
          <w:rFonts w:asciiTheme="minorHAnsi" w:eastAsia="Arial Unicode MS" w:hAnsiTheme="minorHAnsi" w:cstheme="minorHAnsi"/>
          <w:sz w:val="24"/>
          <w:szCs w:val="24"/>
          <w:u w:color="000000"/>
          <w:lang w:val="en-GB"/>
        </w:rPr>
        <w:t xml:space="preserve">40. </w:t>
      </w:r>
      <w:r w:rsidR="00141999" w:rsidRPr="00593D46">
        <w:rPr>
          <w:rFonts w:asciiTheme="minorHAnsi" w:eastAsia="Arial Unicode MS" w:hAnsiTheme="minorHAnsi" w:cstheme="minorHAnsi"/>
          <w:sz w:val="24"/>
          <w:szCs w:val="24"/>
          <w:u w:color="000000"/>
          <w:lang w:val="en-GB"/>
        </w:rPr>
        <w:t>Varni JW, Burwinkle TM, Katz ER, Meeske K, Dickinson P. The PedsQL</w:t>
      </w:r>
      <w:r w:rsidR="00141999" w:rsidRPr="00593D46">
        <w:rPr>
          <w:rFonts w:asciiTheme="minorHAnsi" w:eastAsia="Arial Unicode MS" w:hAnsiTheme="minorHAnsi" w:cstheme="minorHAnsi"/>
          <w:sz w:val="24"/>
          <w:szCs w:val="24"/>
          <w:u w:color="000000"/>
          <w:vertAlign w:val="superscript"/>
          <w:lang w:val="en-GB"/>
        </w:rPr>
        <w:t xml:space="preserve">TM </w:t>
      </w:r>
      <w:r w:rsidR="00141999" w:rsidRPr="00593D46">
        <w:rPr>
          <w:rFonts w:asciiTheme="minorHAnsi" w:eastAsia="Arial Unicode MS" w:hAnsiTheme="minorHAnsi" w:cstheme="minorHAnsi"/>
          <w:sz w:val="24"/>
          <w:szCs w:val="24"/>
          <w:u w:color="000000"/>
          <w:lang w:val="en-GB"/>
        </w:rPr>
        <w:t>in pediatric cancer—reliability and validity of the Pediatric Quality of Life Inventory</w:t>
      </w:r>
      <w:r w:rsidR="00141999" w:rsidRPr="00593D46">
        <w:rPr>
          <w:rFonts w:asciiTheme="minorHAnsi" w:eastAsia="Arial Unicode MS" w:hAnsiTheme="minorHAnsi" w:cstheme="minorHAnsi"/>
          <w:sz w:val="24"/>
          <w:szCs w:val="24"/>
          <w:u w:color="000000"/>
          <w:vertAlign w:val="superscript"/>
          <w:lang w:val="en-GB"/>
        </w:rPr>
        <w:t>TM</w:t>
      </w:r>
      <w:r w:rsidR="00141999" w:rsidRPr="00593D46">
        <w:rPr>
          <w:rFonts w:asciiTheme="minorHAnsi" w:eastAsia="Arial Unicode MS" w:hAnsiTheme="minorHAnsi" w:cstheme="minorHAnsi"/>
          <w:sz w:val="24"/>
          <w:szCs w:val="24"/>
          <w:u w:color="000000"/>
          <w:lang w:val="en-GB"/>
        </w:rPr>
        <w:t xml:space="preserve"> generic core scales, multidimensional fatigue scale and cancer module. </w:t>
      </w:r>
      <w:r w:rsidR="00141999" w:rsidRPr="00717345">
        <w:rPr>
          <w:rFonts w:asciiTheme="minorHAnsi" w:eastAsia="Arial Unicode MS" w:hAnsiTheme="minorHAnsi" w:cstheme="minorHAnsi"/>
          <w:iCs/>
          <w:sz w:val="24"/>
          <w:szCs w:val="24"/>
          <w:u w:color="000000"/>
          <w:lang w:val="en-GB"/>
        </w:rPr>
        <w:t xml:space="preserve">Cancer 2002; </w:t>
      </w:r>
      <w:r w:rsidR="00141999" w:rsidRPr="00717345">
        <w:rPr>
          <w:rFonts w:asciiTheme="minorHAnsi" w:eastAsia="Arial Unicode MS" w:hAnsiTheme="minorHAnsi" w:cstheme="minorHAnsi"/>
          <w:sz w:val="24"/>
          <w:szCs w:val="24"/>
          <w:u w:color="000000"/>
          <w:lang w:val="en-GB"/>
        </w:rPr>
        <w:t>94: 2090–106.</w:t>
      </w:r>
      <w:r w:rsidR="00EF5685" w:rsidRPr="00593D46">
        <w:rPr>
          <w:rFonts w:asciiTheme="minorHAnsi" w:eastAsia="Arial Unicode MS" w:hAnsiTheme="minorHAnsi" w:cstheme="minorHAnsi"/>
          <w:sz w:val="24"/>
          <w:szCs w:val="24"/>
          <w:u w:color="000000"/>
          <w:lang w:val="de-DE"/>
        </w:rPr>
        <w:tab/>
      </w:r>
    </w:p>
    <w:p w14:paraId="27F4861A" w14:textId="77777777" w:rsidR="004A2D5E" w:rsidRPr="00593D46" w:rsidRDefault="004A2D5E" w:rsidP="004A2D5E">
      <w:pPr>
        <w:spacing w:after="0" w:line="480" w:lineRule="auto"/>
        <w:ind w:left="709" w:hanging="709"/>
        <w:outlineLvl w:val="0"/>
        <w:rPr>
          <w:rFonts w:asciiTheme="minorHAnsi" w:eastAsia="Arial Unicode MS" w:hAnsiTheme="minorHAnsi" w:cstheme="minorHAnsi"/>
          <w:sz w:val="24"/>
          <w:szCs w:val="24"/>
          <w:u w:color="000000"/>
          <w:lang w:val="en-GB"/>
        </w:rPr>
      </w:pPr>
      <w:r>
        <w:rPr>
          <w:rFonts w:asciiTheme="minorHAnsi" w:eastAsia="Arial Unicode MS" w:hAnsiTheme="minorHAnsi" w:cstheme="minorHAnsi"/>
          <w:sz w:val="24"/>
          <w:szCs w:val="24"/>
          <w:u w:color="000000"/>
          <w:lang w:val="en-GB"/>
        </w:rPr>
        <w:t xml:space="preserve">41. </w:t>
      </w:r>
      <w:r w:rsidRPr="00593D46">
        <w:rPr>
          <w:rFonts w:asciiTheme="minorHAnsi" w:eastAsia="Arial Unicode MS" w:hAnsiTheme="minorHAnsi" w:cstheme="minorHAnsi"/>
          <w:sz w:val="24"/>
          <w:szCs w:val="24"/>
          <w:u w:color="000000"/>
          <w:lang w:val="en-GB"/>
        </w:rPr>
        <w:t xml:space="preserve">Goodman R. The extended version of the Strengths and Difficulties Questionnaire as a guide to child psychiatric caseness and consequent burden. </w:t>
      </w:r>
      <w:r w:rsidRPr="00593D46">
        <w:rPr>
          <w:rFonts w:asciiTheme="minorHAnsi" w:eastAsia="Arial Unicode MS" w:hAnsiTheme="minorHAnsi" w:cstheme="minorHAnsi"/>
          <w:iCs/>
          <w:sz w:val="24"/>
          <w:szCs w:val="24"/>
          <w:u w:color="000000"/>
          <w:lang w:val="en-GB"/>
        </w:rPr>
        <w:t xml:space="preserve">J Child Psychol Psychiat 1999; </w:t>
      </w:r>
      <w:r w:rsidRPr="00593D46">
        <w:rPr>
          <w:rFonts w:asciiTheme="minorHAnsi" w:eastAsia="Arial Unicode MS" w:hAnsiTheme="minorHAnsi" w:cstheme="minorHAnsi"/>
          <w:sz w:val="24"/>
          <w:szCs w:val="24"/>
          <w:u w:color="000000"/>
          <w:lang w:val="en-GB"/>
        </w:rPr>
        <w:t>40: 791–99.</w:t>
      </w:r>
    </w:p>
    <w:p w14:paraId="6AC94C9D" w14:textId="77777777" w:rsidR="004A2D5E" w:rsidRPr="00593D46" w:rsidRDefault="004A2D5E" w:rsidP="004A2D5E">
      <w:pPr>
        <w:spacing w:after="0" w:line="480" w:lineRule="auto"/>
        <w:ind w:left="709" w:hanging="709"/>
        <w:outlineLvl w:val="0"/>
        <w:rPr>
          <w:rFonts w:asciiTheme="minorHAnsi" w:eastAsia="Arial Unicode MS" w:hAnsiTheme="minorHAnsi" w:cstheme="minorHAnsi"/>
          <w:sz w:val="24"/>
          <w:szCs w:val="24"/>
          <w:u w:color="000000"/>
          <w:lang w:val="en-GB"/>
        </w:rPr>
      </w:pPr>
      <w:r>
        <w:rPr>
          <w:rFonts w:asciiTheme="minorHAnsi" w:eastAsia="Arial Unicode MS" w:hAnsiTheme="minorHAnsi" w:cstheme="minorHAnsi"/>
          <w:sz w:val="24"/>
          <w:szCs w:val="24"/>
          <w:u w:color="000000"/>
          <w:lang w:val="en-GB"/>
        </w:rPr>
        <w:t xml:space="preserve">42. </w:t>
      </w:r>
      <w:r w:rsidRPr="00593D46">
        <w:rPr>
          <w:rFonts w:asciiTheme="minorHAnsi" w:eastAsia="Arial Unicode MS" w:hAnsiTheme="minorHAnsi" w:cstheme="minorHAnsi"/>
          <w:sz w:val="24"/>
          <w:szCs w:val="24"/>
          <w:u w:color="000000"/>
          <w:lang w:val="en-GB"/>
        </w:rPr>
        <w:t xml:space="preserve">Gioia GA, Isquith PK, Guy SC, Kenworthy L. Behavior rating inventory of executive function. </w:t>
      </w:r>
      <w:r w:rsidRPr="00593D46">
        <w:rPr>
          <w:rFonts w:asciiTheme="minorHAnsi" w:eastAsia="Arial Unicode MS" w:hAnsiTheme="minorHAnsi" w:cstheme="minorHAnsi"/>
          <w:iCs/>
          <w:sz w:val="24"/>
          <w:szCs w:val="24"/>
          <w:u w:color="000000"/>
          <w:lang w:val="en-GB"/>
        </w:rPr>
        <w:t xml:space="preserve">Child Neuropsychol 2000; 6: </w:t>
      </w:r>
      <w:r w:rsidRPr="00593D46">
        <w:rPr>
          <w:rFonts w:asciiTheme="minorHAnsi" w:eastAsia="Arial Unicode MS" w:hAnsiTheme="minorHAnsi" w:cstheme="minorHAnsi"/>
          <w:sz w:val="24"/>
          <w:szCs w:val="24"/>
          <w:u w:color="000000"/>
          <w:lang w:val="en-GB"/>
        </w:rPr>
        <w:t xml:space="preserve">235-38. </w:t>
      </w:r>
    </w:p>
    <w:p w14:paraId="478D1394" w14:textId="77777777" w:rsidR="00821278" w:rsidRDefault="00821278" w:rsidP="00821278">
      <w:pPr>
        <w:spacing w:after="0" w:line="480" w:lineRule="auto"/>
        <w:ind w:left="709" w:hanging="709"/>
        <w:rPr>
          <w:rFonts w:asciiTheme="minorHAnsi" w:hAnsiTheme="minorHAnsi" w:cstheme="minorHAnsi"/>
          <w:sz w:val="24"/>
          <w:szCs w:val="24"/>
          <w:lang w:val="en-US"/>
        </w:rPr>
      </w:pPr>
      <w:r>
        <w:rPr>
          <w:rFonts w:asciiTheme="minorHAnsi" w:hAnsiTheme="minorHAnsi" w:cstheme="minorHAnsi"/>
          <w:sz w:val="24"/>
          <w:szCs w:val="24"/>
          <w:lang w:val="en-US"/>
        </w:rPr>
        <w:t xml:space="preserve">43. </w:t>
      </w:r>
      <w:r w:rsidRPr="00593D46">
        <w:rPr>
          <w:rFonts w:asciiTheme="minorHAnsi" w:hAnsiTheme="minorHAnsi" w:cstheme="minorHAnsi"/>
          <w:sz w:val="24"/>
          <w:szCs w:val="24"/>
          <w:lang w:val="en-US"/>
        </w:rPr>
        <w:t>Scattone D, Raggio, DJ, May W. Comparison of the Vineland Adaptive Behavior Scales, Second Edition, and the Bayley Scales of Infant and Toddler Development, Third Edition.  Psychological Reports 2011; 109 (2): 626-634.</w:t>
      </w:r>
    </w:p>
    <w:p w14:paraId="0A34E804" w14:textId="77777777" w:rsidR="00821278" w:rsidRPr="00593D46" w:rsidRDefault="00821278" w:rsidP="00821278">
      <w:pPr>
        <w:shd w:val="clear" w:color="auto" w:fill="FFFFFF"/>
        <w:spacing w:after="0" w:line="480" w:lineRule="auto"/>
        <w:ind w:left="709" w:hanging="709"/>
        <w:textAlignment w:val="top"/>
        <w:rPr>
          <w:rFonts w:asciiTheme="minorHAnsi" w:hAnsiTheme="minorHAnsi" w:cstheme="minorHAnsi"/>
          <w:sz w:val="24"/>
          <w:szCs w:val="24"/>
          <w:lang w:val="en-GB" w:eastAsia="en-GB"/>
        </w:rPr>
      </w:pPr>
      <w:r w:rsidRPr="00717345">
        <w:rPr>
          <w:lang w:val="en-GB"/>
        </w:rPr>
        <w:t xml:space="preserve">44. </w:t>
      </w:r>
      <w:hyperlink r:id="rId33" w:history="1">
        <w:r w:rsidRPr="00717345">
          <w:rPr>
            <w:rFonts w:asciiTheme="minorHAnsi" w:hAnsiTheme="minorHAnsi" w:cstheme="minorHAnsi"/>
            <w:sz w:val="24"/>
            <w:szCs w:val="24"/>
            <w:lang w:val="en-GB" w:eastAsia="en-GB"/>
          </w:rPr>
          <w:t>Ray-Subramanian</w:t>
        </w:r>
      </w:hyperlink>
      <w:r w:rsidRPr="00717345">
        <w:rPr>
          <w:rFonts w:asciiTheme="minorHAnsi" w:hAnsiTheme="minorHAnsi" w:cstheme="minorHAnsi"/>
          <w:sz w:val="24"/>
          <w:szCs w:val="24"/>
          <w:lang w:val="en-GB" w:eastAsia="en-GB"/>
        </w:rPr>
        <w:t xml:space="preserve"> CE, </w:t>
      </w:r>
      <w:hyperlink r:id="rId34" w:history="1">
        <w:r w:rsidRPr="00717345">
          <w:rPr>
            <w:rFonts w:asciiTheme="minorHAnsi" w:hAnsiTheme="minorHAnsi" w:cstheme="minorHAnsi"/>
            <w:sz w:val="24"/>
            <w:szCs w:val="24"/>
            <w:lang w:val="en-GB" w:eastAsia="en-GB"/>
          </w:rPr>
          <w:t>Huai</w:t>
        </w:r>
      </w:hyperlink>
      <w:r w:rsidRPr="00717345">
        <w:rPr>
          <w:rFonts w:asciiTheme="minorHAnsi" w:hAnsiTheme="minorHAnsi" w:cstheme="minorHAnsi"/>
          <w:sz w:val="24"/>
          <w:szCs w:val="24"/>
          <w:lang w:val="en-GB" w:eastAsia="en-GB"/>
        </w:rPr>
        <w:t xml:space="preserve"> N,</w:t>
      </w:r>
      <w:hyperlink r:id="rId35" w:history="1">
        <w:r w:rsidRPr="00717345">
          <w:rPr>
            <w:rFonts w:asciiTheme="minorHAnsi" w:hAnsiTheme="minorHAnsi" w:cstheme="minorHAnsi"/>
            <w:sz w:val="24"/>
            <w:szCs w:val="24"/>
            <w:lang w:val="en-GB" w:eastAsia="en-GB"/>
          </w:rPr>
          <w:t xml:space="preserve"> Weismer</w:t>
        </w:r>
      </w:hyperlink>
      <w:r w:rsidRPr="00717345">
        <w:rPr>
          <w:rFonts w:asciiTheme="minorHAnsi" w:hAnsiTheme="minorHAnsi" w:cstheme="minorHAnsi"/>
          <w:sz w:val="24"/>
          <w:szCs w:val="24"/>
          <w:lang w:val="en-GB" w:eastAsia="en-GB"/>
        </w:rPr>
        <w:t xml:space="preserve"> SE. </w:t>
      </w:r>
      <w:r w:rsidRPr="00593D46">
        <w:rPr>
          <w:rFonts w:asciiTheme="minorHAnsi" w:hAnsiTheme="minorHAnsi" w:cstheme="minorHAnsi"/>
          <w:kern w:val="36"/>
          <w:sz w:val="24"/>
          <w:szCs w:val="24"/>
          <w:lang w:val="en-GB" w:eastAsia="en-GB"/>
        </w:rPr>
        <w:t xml:space="preserve">Brief Report: Adaptive Behavior and Cognitive Skills for Toddlers on the Autism Spectrum. </w:t>
      </w:r>
      <w:hyperlink r:id="rId36" w:tgtFrame="pmc_ext" w:history="1">
        <w:r w:rsidRPr="00593D46">
          <w:rPr>
            <w:rFonts w:asciiTheme="minorHAnsi" w:hAnsiTheme="minorHAnsi" w:cstheme="minorHAnsi"/>
            <w:sz w:val="24"/>
            <w:szCs w:val="24"/>
            <w:lang w:val="en-GB" w:eastAsia="en-GB"/>
          </w:rPr>
          <w:t>J Autism Dev Disord 2011 May; 41(5): 679–684.</w:t>
        </w:r>
      </w:hyperlink>
      <w:r w:rsidRPr="00593D46">
        <w:rPr>
          <w:rFonts w:asciiTheme="minorHAnsi" w:hAnsiTheme="minorHAnsi" w:cstheme="minorHAnsi"/>
          <w:sz w:val="24"/>
          <w:szCs w:val="24"/>
          <w:lang w:val="en-GB" w:eastAsia="en-GB"/>
        </w:rPr>
        <w:t xml:space="preserve"> doi:  </w:t>
      </w:r>
      <w:hyperlink r:id="rId37" w:tgtFrame="pmc_ext" w:history="1">
        <w:r w:rsidRPr="00593D46">
          <w:rPr>
            <w:rFonts w:asciiTheme="minorHAnsi" w:hAnsiTheme="minorHAnsi" w:cstheme="minorHAnsi"/>
            <w:sz w:val="24"/>
            <w:szCs w:val="24"/>
            <w:lang w:val="en-GB" w:eastAsia="en-GB"/>
          </w:rPr>
          <w:t>10.1007/s10803-010-1083-y</w:t>
        </w:r>
      </w:hyperlink>
    </w:p>
    <w:p w14:paraId="2AB58D5D" w14:textId="77777777" w:rsidR="00821278" w:rsidRDefault="00821278" w:rsidP="00821278">
      <w:pPr>
        <w:spacing w:after="0" w:line="480" w:lineRule="auto"/>
        <w:ind w:left="709" w:hanging="709"/>
        <w:rPr>
          <w:rFonts w:asciiTheme="minorHAnsi" w:hAnsiTheme="minorHAnsi" w:cstheme="minorHAnsi"/>
          <w:sz w:val="24"/>
          <w:szCs w:val="24"/>
          <w:lang w:val="en-US"/>
        </w:rPr>
      </w:pPr>
      <w:r>
        <w:rPr>
          <w:rFonts w:asciiTheme="minorHAnsi" w:hAnsiTheme="minorHAnsi" w:cstheme="minorHAnsi"/>
          <w:sz w:val="24"/>
          <w:szCs w:val="24"/>
          <w:lang w:val="en-US"/>
        </w:rPr>
        <w:t xml:space="preserve">45. </w:t>
      </w:r>
      <w:r w:rsidRPr="00593D46">
        <w:rPr>
          <w:rFonts w:asciiTheme="minorHAnsi" w:hAnsiTheme="minorHAnsi" w:cstheme="minorHAnsi"/>
          <w:sz w:val="24"/>
          <w:szCs w:val="24"/>
          <w:lang w:val="en-US"/>
        </w:rPr>
        <w:t>Singh A, Yeh CJ, Blanchard SB. Ages and stages questionnaire: a global screening scale. Bol Med Hosp Infant Mex 2017; 74(1): 5-12. DOI: 10.1016/j.bmhimx.2016.07.008</w:t>
      </w:r>
    </w:p>
    <w:p w14:paraId="11FCED33" w14:textId="77777777" w:rsidR="004A2D5E" w:rsidRDefault="004A2D5E" w:rsidP="004A2D5E">
      <w:pPr>
        <w:pStyle w:val="CommentText"/>
        <w:spacing w:line="480" w:lineRule="auto"/>
        <w:ind w:left="709" w:hanging="709"/>
        <w:contextualSpacing/>
        <w:rPr>
          <w:sz w:val="24"/>
          <w:szCs w:val="24"/>
          <w:lang w:val="en-US"/>
        </w:rPr>
      </w:pPr>
      <w:r>
        <w:rPr>
          <w:rFonts w:asciiTheme="minorHAnsi" w:hAnsiTheme="minorHAnsi" w:cstheme="minorHAnsi"/>
          <w:sz w:val="24"/>
          <w:szCs w:val="24"/>
        </w:rPr>
        <w:t xml:space="preserve">46. </w:t>
      </w:r>
      <w:r w:rsidRPr="00030685">
        <w:rPr>
          <w:rFonts w:asciiTheme="minorHAnsi" w:hAnsiTheme="minorHAnsi" w:cstheme="minorHAnsi"/>
          <w:sz w:val="24"/>
          <w:szCs w:val="24"/>
        </w:rPr>
        <w:t xml:space="preserve">Duyme M, Capron C. </w:t>
      </w:r>
      <w:r w:rsidRPr="007F4188">
        <w:rPr>
          <w:sz w:val="24"/>
          <w:szCs w:val="24"/>
        </w:rPr>
        <w:t xml:space="preserve">L’inventaire du développement de l’enfant (IDE). Normes et validation françaises du Child Development Inventory (CDI). Médecine &amp; Hygiène 2010 ; 22: 13-26. </w:t>
      </w:r>
      <w:r w:rsidRPr="007F4188">
        <w:rPr>
          <w:sz w:val="24"/>
          <w:szCs w:val="24"/>
          <w:lang w:val="en-US"/>
        </w:rPr>
        <w:t>ISSN 1015-8154</w:t>
      </w:r>
    </w:p>
    <w:p w14:paraId="2F246AC9" w14:textId="77777777" w:rsidR="004A2D5E" w:rsidRPr="00717345" w:rsidRDefault="004A2D5E" w:rsidP="004A2D5E">
      <w:pPr>
        <w:shd w:val="clear" w:color="auto" w:fill="FFFFFF"/>
        <w:spacing w:after="0" w:line="480" w:lineRule="auto"/>
        <w:ind w:left="709" w:hanging="709"/>
        <w:rPr>
          <w:rFonts w:asciiTheme="minorHAnsi" w:hAnsiTheme="minorHAnsi" w:cstheme="minorHAnsi"/>
          <w:sz w:val="24"/>
          <w:szCs w:val="24"/>
          <w:lang w:eastAsia="en-GB"/>
        </w:rPr>
      </w:pPr>
      <w:r>
        <w:rPr>
          <w:rFonts w:asciiTheme="minorHAnsi" w:hAnsiTheme="minorHAnsi" w:cstheme="minorHAnsi"/>
          <w:color w:val="000000"/>
          <w:sz w:val="24"/>
          <w:szCs w:val="24"/>
          <w:lang w:val="en-GB" w:eastAsia="en-GB"/>
        </w:rPr>
        <w:t xml:space="preserve">47. </w:t>
      </w:r>
      <w:r w:rsidRPr="006A5398">
        <w:rPr>
          <w:rFonts w:asciiTheme="minorHAnsi" w:hAnsiTheme="minorHAnsi" w:cstheme="minorHAnsi"/>
          <w:color w:val="000000"/>
          <w:sz w:val="24"/>
          <w:szCs w:val="24"/>
          <w:lang w:val="en-GB" w:eastAsia="en-GB"/>
        </w:rPr>
        <w:t xml:space="preserve">Bedell G. Further validation of the Child and Adolescent Scale of </w:t>
      </w:r>
      <w:r w:rsidRPr="00AC05E4">
        <w:rPr>
          <w:rFonts w:asciiTheme="minorHAnsi" w:hAnsiTheme="minorHAnsi" w:cstheme="minorHAnsi"/>
          <w:sz w:val="24"/>
          <w:szCs w:val="24"/>
          <w:lang w:val="en-GB" w:eastAsia="en-GB"/>
        </w:rPr>
        <w:t xml:space="preserve">Paricipation (CASP). </w:t>
      </w:r>
      <w:hyperlink r:id="rId38" w:tooltip="Developmental neurorehabilitation." w:history="1">
        <w:r w:rsidRPr="00717345">
          <w:rPr>
            <w:rFonts w:asciiTheme="minorHAnsi" w:hAnsiTheme="minorHAnsi" w:cstheme="minorHAnsi"/>
            <w:sz w:val="24"/>
            <w:szCs w:val="24"/>
            <w:u w:val="single"/>
            <w:lang w:eastAsia="en-GB"/>
          </w:rPr>
          <w:t>Dev Neurorehabil</w:t>
        </w:r>
      </w:hyperlink>
      <w:r w:rsidRPr="00717345">
        <w:rPr>
          <w:rFonts w:asciiTheme="minorHAnsi" w:hAnsiTheme="minorHAnsi" w:cstheme="minorHAnsi"/>
          <w:sz w:val="24"/>
          <w:szCs w:val="24"/>
          <w:lang w:eastAsia="en-GB"/>
        </w:rPr>
        <w:t> 2009;12(5):342-51. doi: 10.3109/17518420903087277.</w:t>
      </w:r>
    </w:p>
    <w:p w14:paraId="23216FC5" w14:textId="77777777" w:rsidR="004A2D5E" w:rsidRPr="00AC05E4" w:rsidRDefault="004A2D5E" w:rsidP="004A2D5E">
      <w:pPr>
        <w:pStyle w:val="CommentText"/>
        <w:spacing w:line="480" w:lineRule="auto"/>
        <w:ind w:left="709" w:hanging="709"/>
        <w:rPr>
          <w:sz w:val="24"/>
          <w:szCs w:val="24"/>
          <w:lang w:val="nl-NL"/>
        </w:rPr>
      </w:pPr>
      <w:r>
        <w:rPr>
          <w:sz w:val="24"/>
          <w:szCs w:val="24"/>
        </w:rPr>
        <w:t xml:space="preserve">48. </w:t>
      </w:r>
      <w:r w:rsidRPr="007F4188">
        <w:rPr>
          <w:sz w:val="24"/>
          <w:szCs w:val="24"/>
        </w:rPr>
        <w:t xml:space="preserve">Fougeyrollas P, Lepage C, Noreau L. La mesure des habitudes de vie (MHAVIE) : Guide d’utilissation MHAVIE-Enfant 0-4, 4.0 ; Version pour La petite enfance de la naissance à 4 ans. </w:t>
      </w:r>
      <w:r w:rsidRPr="00AC05E4">
        <w:rPr>
          <w:sz w:val="24"/>
          <w:szCs w:val="24"/>
          <w:lang w:val="nl-NL"/>
        </w:rPr>
        <w:t>RIPPH, 2014. ISBN 292221348X, 9782922213485</w:t>
      </w:r>
    </w:p>
    <w:p w14:paraId="54C9AEBC" w14:textId="77777777" w:rsidR="00D6672E" w:rsidRPr="00593D46" w:rsidRDefault="00D6672E" w:rsidP="00D6672E">
      <w:pPr>
        <w:spacing w:after="0" w:line="480" w:lineRule="auto"/>
        <w:ind w:left="709" w:hanging="709"/>
        <w:rPr>
          <w:rFonts w:asciiTheme="minorHAnsi" w:eastAsia="Arial Unicode MS" w:hAnsiTheme="minorHAnsi" w:cstheme="minorHAnsi"/>
          <w:sz w:val="24"/>
          <w:szCs w:val="24"/>
          <w:u w:color="000000"/>
          <w:lang w:val="en-GB"/>
        </w:rPr>
      </w:pPr>
      <w:r>
        <w:rPr>
          <w:rFonts w:asciiTheme="minorHAnsi" w:eastAsia="Arial Unicode MS" w:hAnsiTheme="minorHAnsi" w:cstheme="minorHAnsi"/>
          <w:sz w:val="24"/>
          <w:szCs w:val="24"/>
          <w:u w:color="000000"/>
          <w:lang w:val="en-US"/>
        </w:rPr>
        <w:t xml:space="preserve">49. </w:t>
      </w:r>
      <w:r w:rsidRPr="00593D46">
        <w:rPr>
          <w:rFonts w:asciiTheme="minorHAnsi" w:eastAsia="Arial Unicode MS" w:hAnsiTheme="minorHAnsi" w:cstheme="minorHAnsi"/>
          <w:sz w:val="24"/>
          <w:szCs w:val="24"/>
          <w:u w:color="000000"/>
          <w:lang w:val="en-US"/>
        </w:rPr>
        <w:t xml:space="preserve">Carroll JB. </w:t>
      </w:r>
      <w:r w:rsidRPr="00593D46">
        <w:rPr>
          <w:rFonts w:asciiTheme="minorHAnsi" w:eastAsia="Arial Unicode MS" w:hAnsiTheme="minorHAnsi" w:cstheme="minorHAnsi"/>
          <w:iCs/>
          <w:sz w:val="24"/>
          <w:szCs w:val="24"/>
          <w:u w:color="000000"/>
          <w:lang w:val="en-US"/>
        </w:rPr>
        <w:t>Human cognitive abilities: A survey of factor-analytic studies.</w:t>
      </w:r>
      <w:r w:rsidRPr="00593D46">
        <w:rPr>
          <w:rFonts w:asciiTheme="minorHAnsi" w:eastAsia="Arial Unicode MS" w:hAnsiTheme="minorHAnsi" w:cstheme="minorHAnsi"/>
          <w:sz w:val="24"/>
          <w:szCs w:val="24"/>
          <w:u w:color="000000"/>
          <w:lang w:val="en-US"/>
        </w:rPr>
        <w:t xml:space="preserve"> </w:t>
      </w:r>
      <w:r w:rsidRPr="00593D46">
        <w:rPr>
          <w:rFonts w:asciiTheme="minorHAnsi" w:eastAsia="Arial Unicode MS" w:hAnsiTheme="minorHAnsi" w:cstheme="minorHAnsi"/>
          <w:sz w:val="24"/>
          <w:szCs w:val="24"/>
          <w:u w:color="000000"/>
          <w:lang w:val="en-GB"/>
        </w:rPr>
        <w:t>Cambridge, England: Cambridge University Press, 1993.</w:t>
      </w:r>
    </w:p>
    <w:p w14:paraId="584137CA" w14:textId="77777777" w:rsidR="00821278" w:rsidRPr="00593D46" w:rsidRDefault="00821278" w:rsidP="00821278">
      <w:pPr>
        <w:spacing w:after="0" w:line="480" w:lineRule="auto"/>
        <w:ind w:left="709" w:hanging="709"/>
        <w:rPr>
          <w:rFonts w:asciiTheme="minorHAnsi" w:hAnsiTheme="minorHAnsi" w:cstheme="minorHAnsi"/>
          <w:sz w:val="24"/>
          <w:szCs w:val="24"/>
          <w:lang w:val="en-US"/>
        </w:rPr>
      </w:pPr>
      <w:r>
        <w:rPr>
          <w:rFonts w:asciiTheme="minorHAnsi" w:hAnsiTheme="minorHAnsi" w:cstheme="minorHAnsi"/>
          <w:sz w:val="24"/>
          <w:szCs w:val="24"/>
          <w:lang w:val="en-US"/>
        </w:rPr>
        <w:t xml:space="preserve">50. </w:t>
      </w:r>
      <w:r w:rsidRPr="00593D46">
        <w:rPr>
          <w:rFonts w:asciiTheme="minorHAnsi" w:hAnsiTheme="minorHAnsi" w:cstheme="minorHAnsi"/>
          <w:sz w:val="24"/>
          <w:szCs w:val="24"/>
          <w:lang w:val="en-US"/>
        </w:rPr>
        <w:t xml:space="preserve">Alfonso VC, Flanagan DP, Radwan S. </w:t>
      </w:r>
      <w:r w:rsidRPr="00593D46">
        <w:rPr>
          <w:rFonts w:asciiTheme="minorHAnsi" w:hAnsiTheme="minorHAnsi" w:cstheme="minorHAnsi"/>
          <w:sz w:val="24"/>
          <w:szCs w:val="24"/>
          <w:lang w:val="en-GB"/>
        </w:rPr>
        <w:t>The Impact of the Cattell–Horn–Carroll Theory on Test Development and Interpretation of Cognitive and Academic Abilities. In Flannagan, DP, Harrison, PL (eds) Contemporary Intellectual Assessment: Theories, Tests, and Issues, Second Edition. New York: Guildford Press, 2005: 185-202.</w:t>
      </w:r>
    </w:p>
    <w:p w14:paraId="590623E3" w14:textId="77777777" w:rsidR="00821278" w:rsidRPr="00593D46" w:rsidRDefault="00821278" w:rsidP="003F6EF9">
      <w:pPr>
        <w:spacing w:after="0" w:line="480" w:lineRule="auto"/>
        <w:ind w:left="709" w:hanging="709"/>
        <w:outlineLvl w:val="0"/>
        <w:rPr>
          <w:rFonts w:asciiTheme="minorHAnsi" w:eastAsia="Arial Unicode MS" w:hAnsiTheme="minorHAnsi" w:cstheme="minorHAnsi"/>
          <w:sz w:val="24"/>
          <w:szCs w:val="24"/>
          <w:u w:color="000000"/>
          <w:lang w:val="en-GB"/>
        </w:rPr>
      </w:pPr>
    </w:p>
    <w:sectPr w:rsidR="00821278" w:rsidRPr="00593D46" w:rsidSect="003F6EF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C3E71C" w14:textId="77777777" w:rsidR="00E67119" w:rsidRDefault="00E67119" w:rsidP="0057681A">
      <w:pPr>
        <w:spacing w:after="0" w:line="240" w:lineRule="auto"/>
      </w:pPr>
      <w:r>
        <w:separator/>
      </w:r>
    </w:p>
  </w:endnote>
  <w:endnote w:type="continuationSeparator" w:id="0">
    <w:p w14:paraId="03DA0C4B" w14:textId="77777777" w:rsidR="00E67119" w:rsidRDefault="00E67119" w:rsidP="00576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3175B" w14:textId="319E0854" w:rsidR="00E67119" w:rsidRDefault="00E67119">
    <w:pPr>
      <w:pStyle w:val="Footer"/>
      <w:jc w:val="right"/>
    </w:pPr>
    <w:r>
      <w:t xml:space="preserve">Page </w:t>
    </w:r>
    <w:r>
      <w:fldChar w:fldCharType="begin"/>
    </w:r>
    <w:r>
      <w:instrText xml:space="preserve"> PAGE   \* MERGEFORMAT </w:instrText>
    </w:r>
    <w:r>
      <w:fldChar w:fldCharType="separate"/>
    </w:r>
    <w:r w:rsidR="007F2053">
      <w:rPr>
        <w:noProof/>
      </w:rPr>
      <w:t>1</w:t>
    </w:r>
    <w:r>
      <w:rPr>
        <w:noProof/>
      </w:rPr>
      <w:fldChar w:fldCharType="end"/>
    </w:r>
    <w:r>
      <w:rPr>
        <w:noProof/>
      </w:rPr>
      <w:t xml:space="preserve"> of 26</w:t>
    </w:r>
  </w:p>
  <w:p w14:paraId="01040203" w14:textId="77777777" w:rsidR="00E67119" w:rsidRDefault="00E67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F72A64" w14:textId="77777777" w:rsidR="00E67119" w:rsidRDefault="00E67119" w:rsidP="0057681A">
      <w:pPr>
        <w:spacing w:after="0" w:line="240" w:lineRule="auto"/>
      </w:pPr>
      <w:r>
        <w:separator/>
      </w:r>
    </w:p>
  </w:footnote>
  <w:footnote w:type="continuationSeparator" w:id="0">
    <w:p w14:paraId="5A11FD4E" w14:textId="77777777" w:rsidR="00E67119" w:rsidRDefault="00E67119" w:rsidP="0057681A">
      <w:pPr>
        <w:spacing w:after="0" w:line="240" w:lineRule="auto"/>
      </w:pPr>
      <w:r>
        <w:continuationSeparator/>
      </w:r>
    </w:p>
  </w:footnote>
  <w:footnote w:id="1">
    <w:p w14:paraId="424CAA70" w14:textId="77777777" w:rsidR="00E67119" w:rsidRPr="00BE64B7" w:rsidRDefault="00E67119">
      <w:pPr>
        <w:pStyle w:val="FootnoteText"/>
        <w:rPr>
          <w:lang w:val="en-GB"/>
        </w:rPr>
      </w:pPr>
      <w:r>
        <w:rPr>
          <w:rStyle w:val="FootnoteReference"/>
        </w:rPr>
        <w:footnoteRef/>
      </w:r>
      <w:r w:rsidRPr="003478DE">
        <w:rPr>
          <w:lang w:val="en-US"/>
        </w:rPr>
        <w:t xml:space="preserve"> </w:t>
      </w:r>
      <w:r>
        <w:rPr>
          <w:lang w:val="en-GB"/>
        </w:rPr>
        <w:t>Since Limond et al</w:t>
      </w:r>
      <w:r w:rsidRPr="004A2D5E">
        <w:rPr>
          <w:b/>
          <w:vertAlign w:val="superscript"/>
          <w:lang w:val="en-GB"/>
        </w:rPr>
        <w:t xml:space="preserve">1 </w:t>
      </w:r>
      <w:r>
        <w:rPr>
          <w:lang w:val="en-GB"/>
        </w:rPr>
        <w:t xml:space="preserve">it has been agreed that FSH should be collected at all ages to help clarify the difference between suprasellar disease causing precocious puberty (under 8 years) or pituitary gonadotrophin </w:t>
      </w:r>
      <w:r w:rsidRPr="003478DE">
        <w:rPr>
          <w:lang w:val="en-GB"/>
        </w:rPr>
        <w:t>deficiency for EEFS calculation</w:t>
      </w:r>
      <w:r w:rsidRPr="004A2D5E">
        <w:rPr>
          <w:b/>
          <w:vertAlign w:val="superscript"/>
          <w:lang w:val="en-GB"/>
        </w:rPr>
        <w:t>22</w:t>
      </w:r>
      <w:r w:rsidRPr="003478DE">
        <w:rPr>
          <w:lang w:val="en-GB"/>
        </w:rPr>
        <w:t xml:space="preserve"> and gonadotoxicity from chemotherapy</w:t>
      </w:r>
      <w:r>
        <w:rPr>
          <w:lang w:val="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A7737"/>
    <w:multiLevelType w:val="hybridMultilevel"/>
    <w:tmpl w:val="8C7611A0"/>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8836FD"/>
    <w:multiLevelType w:val="hybridMultilevel"/>
    <w:tmpl w:val="DE5AE7E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D5D250B"/>
    <w:multiLevelType w:val="hybridMultilevel"/>
    <w:tmpl w:val="27EAA3C0"/>
    <w:lvl w:ilvl="0" w:tplc="040C0001">
      <w:start w:val="1"/>
      <w:numFmt w:val="bullet"/>
      <w:lvlText w:val=""/>
      <w:lvlJc w:val="left"/>
      <w:pPr>
        <w:ind w:left="1455" w:hanging="360"/>
      </w:pPr>
      <w:rPr>
        <w:rFonts w:ascii="Symbol" w:hAnsi="Symbol" w:hint="default"/>
      </w:rPr>
    </w:lvl>
    <w:lvl w:ilvl="1" w:tplc="040C0003">
      <w:start w:val="1"/>
      <w:numFmt w:val="bullet"/>
      <w:lvlText w:val="o"/>
      <w:lvlJc w:val="left"/>
      <w:pPr>
        <w:ind w:left="2175" w:hanging="360"/>
      </w:pPr>
      <w:rPr>
        <w:rFonts w:ascii="Courier New" w:hAnsi="Courier New" w:hint="default"/>
      </w:rPr>
    </w:lvl>
    <w:lvl w:ilvl="2" w:tplc="040C0005" w:tentative="1">
      <w:start w:val="1"/>
      <w:numFmt w:val="bullet"/>
      <w:lvlText w:val=""/>
      <w:lvlJc w:val="left"/>
      <w:pPr>
        <w:ind w:left="2895" w:hanging="360"/>
      </w:pPr>
      <w:rPr>
        <w:rFonts w:ascii="Wingdings" w:hAnsi="Wingdings" w:hint="default"/>
      </w:rPr>
    </w:lvl>
    <w:lvl w:ilvl="3" w:tplc="040C0001" w:tentative="1">
      <w:start w:val="1"/>
      <w:numFmt w:val="bullet"/>
      <w:lvlText w:val=""/>
      <w:lvlJc w:val="left"/>
      <w:pPr>
        <w:ind w:left="3615" w:hanging="360"/>
      </w:pPr>
      <w:rPr>
        <w:rFonts w:ascii="Symbol" w:hAnsi="Symbol" w:hint="default"/>
      </w:rPr>
    </w:lvl>
    <w:lvl w:ilvl="4" w:tplc="040C0003" w:tentative="1">
      <w:start w:val="1"/>
      <w:numFmt w:val="bullet"/>
      <w:lvlText w:val="o"/>
      <w:lvlJc w:val="left"/>
      <w:pPr>
        <w:ind w:left="4335" w:hanging="360"/>
      </w:pPr>
      <w:rPr>
        <w:rFonts w:ascii="Courier New" w:hAnsi="Courier New" w:hint="default"/>
      </w:rPr>
    </w:lvl>
    <w:lvl w:ilvl="5" w:tplc="040C0005" w:tentative="1">
      <w:start w:val="1"/>
      <w:numFmt w:val="bullet"/>
      <w:lvlText w:val=""/>
      <w:lvlJc w:val="left"/>
      <w:pPr>
        <w:ind w:left="5055" w:hanging="360"/>
      </w:pPr>
      <w:rPr>
        <w:rFonts w:ascii="Wingdings" w:hAnsi="Wingdings" w:hint="default"/>
      </w:rPr>
    </w:lvl>
    <w:lvl w:ilvl="6" w:tplc="040C0001" w:tentative="1">
      <w:start w:val="1"/>
      <w:numFmt w:val="bullet"/>
      <w:lvlText w:val=""/>
      <w:lvlJc w:val="left"/>
      <w:pPr>
        <w:ind w:left="5775" w:hanging="360"/>
      </w:pPr>
      <w:rPr>
        <w:rFonts w:ascii="Symbol" w:hAnsi="Symbol" w:hint="default"/>
      </w:rPr>
    </w:lvl>
    <w:lvl w:ilvl="7" w:tplc="040C0003" w:tentative="1">
      <w:start w:val="1"/>
      <w:numFmt w:val="bullet"/>
      <w:lvlText w:val="o"/>
      <w:lvlJc w:val="left"/>
      <w:pPr>
        <w:ind w:left="6495" w:hanging="360"/>
      </w:pPr>
      <w:rPr>
        <w:rFonts w:ascii="Courier New" w:hAnsi="Courier New" w:hint="default"/>
      </w:rPr>
    </w:lvl>
    <w:lvl w:ilvl="8" w:tplc="040C0005" w:tentative="1">
      <w:start w:val="1"/>
      <w:numFmt w:val="bullet"/>
      <w:lvlText w:val=""/>
      <w:lvlJc w:val="left"/>
      <w:pPr>
        <w:ind w:left="7215" w:hanging="360"/>
      </w:pPr>
      <w:rPr>
        <w:rFonts w:ascii="Wingdings" w:hAnsi="Wingdings" w:hint="default"/>
      </w:rPr>
    </w:lvl>
  </w:abstractNum>
  <w:abstractNum w:abstractNumId="3" w15:restartNumberingAfterBreak="0">
    <w:nsid w:val="203E16E6"/>
    <w:multiLevelType w:val="hybridMultilevel"/>
    <w:tmpl w:val="60949B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2C3632"/>
    <w:multiLevelType w:val="hybridMultilevel"/>
    <w:tmpl w:val="36DAAD78"/>
    <w:lvl w:ilvl="0" w:tplc="96165938">
      <w:start w:val="5"/>
      <w:numFmt w:val="bullet"/>
      <w:lvlText w:val="-"/>
      <w:lvlJc w:val="left"/>
      <w:pPr>
        <w:ind w:left="720" w:hanging="360"/>
      </w:pPr>
      <w:rPr>
        <w:rFonts w:ascii="Times" w:eastAsia="Times New Roman" w:hAnsi="Times" w:cs="Times" w:hint="default"/>
        <w:b/>
        <w:sz w:val="37"/>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7BD4841"/>
    <w:multiLevelType w:val="hybridMultilevel"/>
    <w:tmpl w:val="A1C4455A"/>
    <w:lvl w:ilvl="0" w:tplc="D9B47500">
      <w:start w:val="1"/>
      <w:numFmt w:val="decimal"/>
      <w:lvlText w:val="%1."/>
      <w:lvlJc w:val="left"/>
      <w:pPr>
        <w:ind w:left="720" w:hanging="360"/>
      </w:pPr>
      <w:rPr>
        <w:rFonts w:cs="Times New Roman" w:hint="default"/>
        <w:b/>
      </w:rPr>
    </w:lvl>
    <w:lvl w:ilvl="1" w:tplc="040C0019">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6" w15:restartNumberingAfterBreak="0">
    <w:nsid w:val="28B44440"/>
    <w:multiLevelType w:val="hybridMultilevel"/>
    <w:tmpl w:val="FF38B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B0114D"/>
    <w:multiLevelType w:val="multilevel"/>
    <w:tmpl w:val="D5188BAE"/>
    <w:lvl w:ilvl="0">
      <w:start w:val="1"/>
      <w:numFmt w:val="decimal"/>
      <w:lvlText w:val="%1."/>
      <w:lvlJc w:val="left"/>
      <w:pPr>
        <w:ind w:left="375" w:hanging="375"/>
      </w:pPr>
      <w:rPr>
        <w:rFonts w:cs="Times New Roman" w:hint="default"/>
      </w:rPr>
    </w:lvl>
    <w:lvl w:ilvl="1">
      <w:start w:val="1"/>
      <w:numFmt w:val="decimal"/>
      <w:lvlText w:val="%1.%2."/>
      <w:lvlJc w:val="left"/>
      <w:pPr>
        <w:ind w:left="735" w:hanging="37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8" w15:restartNumberingAfterBreak="0">
    <w:nsid w:val="32A4749E"/>
    <w:multiLevelType w:val="hybridMultilevel"/>
    <w:tmpl w:val="EC0AF40E"/>
    <w:lvl w:ilvl="0" w:tplc="3D8A6C34">
      <w:start w:val="1"/>
      <w:numFmt w:val="decimal"/>
      <w:lvlText w:val="%1."/>
      <w:lvlJc w:val="left"/>
      <w:pPr>
        <w:ind w:left="720" w:hanging="360"/>
      </w:pPr>
      <w:rPr>
        <w:rFonts w:asciiTheme="minorHAnsi" w:eastAsia="Arial Unicode MS" w:hAnsiTheme="minorHAnsi" w:cstheme="minorHAnsi"/>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47647FE7"/>
    <w:multiLevelType w:val="hybridMultilevel"/>
    <w:tmpl w:val="0A9443B6"/>
    <w:lvl w:ilvl="0" w:tplc="FFFFFFFF">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5BC3A6C"/>
    <w:multiLevelType w:val="hybridMultilevel"/>
    <w:tmpl w:val="22EE4EA0"/>
    <w:lvl w:ilvl="0" w:tplc="FADEB5E8">
      <w:start w:val="5"/>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33C101F"/>
    <w:multiLevelType w:val="hybridMultilevel"/>
    <w:tmpl w:val="C3FC4544"/>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D811B86"/>
    <w:multiLevelType w:val="hybridMultilevel"/>
    <w:tmpl w:val="48400B9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5"/>
  </w:num>
  <w:num w:numId="2">
    <w:abstractNumId w:val="7"/>
  </w:num>
  <w:num w:numId="3">
    <w:abstractNumId w:val="2"/>
  </w:num>
  <w:num w:numId="4">
    <w:abstractNumId w:val="6"/>
  </w:num>
  <w:num w:numId="5">
    <w:abstractNumId w:val="8"/>
  </w:num>
  <w:num w:numId="6">
    <w:abstractNumId w:val="1"/>
  </w:num>
  <w:num w:numId="7">
    <w:abstractNumId w:val="0"/>
  </w:num>
  <w:num w:numId="8">
    <w:abstractNumId w:val="11"/>
  </w:num>
  <w:num w:numId="9">
    <w:abstractNumId w:val="9"/>
  </w:num>
  <w:num w:numId="10">
    <w:abstractNumId w:val="12"/>
  </w:num>
  <w:num w:numId="11">
    <w:abstractNumId w:val="10"/>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a-DK" w:vendorID="64" w:dllVersion="6" w:nlCheck="1" w:checkStyle="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nl-NL" w:vendorID="64" w:dllVersion="6" w:nlCheck="1" w:checkStyle="0"/>
  <w:activeWritingStyle w:appName="MSWord" w:lang="nl-BE"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nl-NL"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de-DE" w:vendorID="64" w:dllVersion="4096" w:nlCheck="1" w:checkStyle="0"/>
  <w:activeWritingStyle w:appName="MSWord" w:lang="da-DK" w:vendorID="64" w:dllVersion="4096" w:nlCheck="1" w:checkStyle="0"/>
  <w:activeWritingStyle w:appName="MSWord" w:lang="de-DE" w:vendorID="64" w:dllVersion="0" w:nlCheck="1" w:checkStyle="0"/>
  <w:activeWritingStyle w:appName="MSWord" w:lang="nl-NL"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01E"/>
    <w:rsid w:val="00001CC4"/>
    <w:rsid w:val="00003F0A"/>
    <w:rsid w:val="0000449C"/>
    <w:rsid w:val="00005233"/>
    <w:rsid w:val="00014DEB"/>
    <w:rsid w:val="00015D5D"/>
    <w:rsid w:val="000202B6"/>
    <w:rsid w:val="000217DE"/>
    <w:rsid w:val="00021D45"/>
    <w:rsid w:val="00026E15"/>
    <w:rsid w:val="00027DDD"/>
    <w:rsid w:val="00030319"/>
    <w:rsid w:val="00030685"/>
    <w:rsid w:val="0003295D"/>
    <w:rsid w:val="00033386"/>
    <w:rsid w:val="00036221"/>
    <w:rsid w:val="0003667A"/>
    <w:rsid w:val="000371AD"/>
    <w:rsid w:val="000372FA"/>
    <w:rsid w:val="00040001"/>
    <w:rsid w:val="0004234B"/>
    <w:rsid w:val="000431E2"/>
    <w:rsid w:val="0004589F"/>
    <w:rsid w:val="0005162B"/>
    <w:rsid w:val="00052B4B"/>
    <w:rsid w:val="00053A74"/>
    <w:rsid w:val="00053DD6"/>
    <w:rsid w:val="000552F5"/>
    <w:rsid w:val="0005569D"/>
    <w:rsid w:val="000568F8"/>
    <w:rsid w:val="000615F0"/>
    <w:rsid w:val="00061A18"/>
    <w:rsid w:val="00062F61"/>
    <w:rsid w:val="00063908"/>
    <w:rsid w:val="00063ADB"/>
    <w:rsid w:val="00064D34"/>
    <w:rsid w:val="00066E04"/>
    <w:rsid w:val="00066FC1"/>
    <w:rsid w:val="00072940"/>
    <w:rsid w:val="000731E3"/>
    <w:rsid w:val="00073FD0"/>
    <w:rsid w:val="00081D8F"/>
    <w:rsid w:val="0008511B"/>
    <w:rsid w:val="00086224"/>
    <w:rsid w:val="00087088"/>
    <w:rsid w:val="00087C68"/>
    <w:rsid w:val="000901E2"/>
    <w:rsid w:val="00090D59"/>
    <w:rsid w:val="000910C9"/>
    <w:rsid w:val="000914DF"/>
    <w:rsid w:val="00093288"/>
    <w:rsid w:val="00095D83"/>
    <w:rsid w:val="00095F2F"/>
    <w:rsid w:val="00096D20"/>
    <w:rsid w:val="000A051E"/>
    <w:rsid w:val="000A0F01"/>
    <w:rsid w:val="000A1145"/>
    <w:rsid w:val="000A1C87"/>
    <w:rsid w:val="000A4274"/>
    <w:rsid w:val="000B051D"/>
    <w:rsid w:val="000B1533"/>
    <w:rsid w:val="000B2854"/>
    <w:rsid w:val="000B3404"/>
    <w:rsid w:val="000B457D"/>
    <w:rsid w:val="000C18FE"/>
    <w:rsid w:val="000C4E99"/>
    <w:rsid w:val="000C4F01"/>
    <w:rsid w:val="000C5C68"/>
    <w:rsid w:val="000C5DA6"/>
    <w:rsid w:val="000D079B"/>
    <w:rsid w:val="000D0863"/>
    <w:rsid w:val="000D1912"/>
    <w:rsid w:val="000D32B1"/>
    <w:rsid w:val="000D6139"/>
    <w:rsid w:val="000D790B"/>
    <w:rsid w:val="000E2894"/>
    <w:rsid w:val="000E2A15"/>
    <w:rsid w:val="000E50FC"/>
    <w:rsid w:val="000E5C99"/>
    <w:rsid w:val="000F0124"/>
    <w:rsid w:val="000F0A82"/>
    <w:rsid w:val="000F1240"/>
    <w:rsid w:val="000F2442"/>
    <w:rsid w:val="000F381E"/>
    <w:rsid w:val="000F6699"/>
    <w:rsid w:val="00100018"/>
    <w:rsid w:val="00103EBD"/>
    <w:rsid w:val="0011033B"/>
    <w:rsid w:val="00111DBA"/>
    <w:rsid w:val="00112C3B"/>
    <w:rsid w:val="0011500E"/>
    <w:rsid w:val="00115A40"/>
    <w:rsid w:val="00116465"/>
    <w:rsid w:val="001169DD"/>
    <w:rsid w:val="00122916"/>
    <w:rsid w:val="00127B0B"/>
    <w:rsid w:val="00130075"/>
    <w:rsid w:val="0013092B"/>
    <w:rsid w:val="001318D4"/>
    <w:rsid w:val="00131B8B"/>
    <w:rsid w:val="0013389A"/>
    <w:rsid w:val="00133C57"/>
    <w:rsid w:val="001342E2"/>
    <w:rsid w:val="00141999"/>
    <w:rsid w:val="00141E19"/>
    <w:rsid w:val="00142F2A"/>
    <w:rsid w:val="001444A8"/>
    <w:rsid w:val="00144A03"/>
    <w:rsid w:val="0015001A"/>
    <w:rsid w:val="001530FD"/>
    <w:rsid w:val="00153BB5"/>
    <w:rsid w:val="0015648C"/>
    <w:rsid w:val="00157B62"/>
    <w:rsid w:val="00160D9C"/>
    <w:rsid w:val="00163EB1"/>
    <w:rsid w:val="00164365"/>
    <w:rsid w:val="001666BC"/>
    <w:rsid w:val="00170FCF"/>
    <w:rsid w:val="00173020"/>
    <w:rsid w:val="00174340"/>
    <w:rsid w:val="001763A0"/>
    <w:rsid w:val="001808E8"/>
    <w:rsid w:val="001810B0"/>
    <w:rsid w:val="0018130F"/>
    <w:rsid w:val="001814C6"/>
    <w:rsid w:val="00183847"/>
    <w:rsid w:val="00187965"/>
    <w:rsid w:val="00187A7E"/>
    <w:rsid w:val="001949EF"/>
    <w:rsid w:val="00196A8D"/>
    <w:rsid w:val="001A0451"/>
    <w:rsid w:val="001A1B4C"/>
    <w:rsid w:val="001A3EF7"/>
    <w:rsid w:val="001A7D2C"/>
    <w:rsid w:val="001B0C44"/>
    <w:rsid w:val="001B11B7"/>
    <w:rsid w:val="001B2CC3"/>
    <w:rsid w:val="001B43BB"/>
    <w:rsid w:val="001B4F7D"/>
    <w:rsid w:val="001C094F"/>
    <w:rsid w:val="001C239E"/>
    <w:rsid w:val="001C3544"/>
    <w:rsid w:val="001C40F5"/>
    <w:rsid w:val="001C71C0"/>
    <w:rsid w:val="001D101B"/>
    <w:rsid w:val="001D1434"/>
    <w:rsid w:val="001D1918"/>
    <w:rsid w:val="001D260F"/>
    <w:rsid w:val="001D292C"/>
    <w:rsid w:val="001D2D77"/>
    <w:rsid w:val="001D3E03"/>
    <w:rsid w:val="001D4F92"/>
    <w:rsid w:val="001D5BF2"/>
    <w:rsid w:val="001E23EE"/>
    <w:rsid w:val="001E2CB6"/>
    <w:rsid w:val="001E3882"/>
    <w:rsid w:val="001E395C"/>
    <w:rsid w:val="001E3E62"/>
    <w:rsid w:val="001E4070"/>
    <w:rsid w:val="001E6E32"/>
    <w:rsid w:val="001E7633"/>
    <w:rsid w:val="001E7754"/>
    <w:rsid w:val="001F02B6"/>
    <w:rsid w:val="001F3AFA"/>
    <w:rsid w:val="001F3F35"/>
    <w:rsid w:val="001F510E"/>
    <w:rsid w:val="0020154A"/>
    <w:rsid w:val="00202974"/>
    <w:rsid w:val="002041AC"/>
    <w:rsid w:val="0020641F"/>
    <w:rsid w:val="0020669A"/>
    <w:rsid w:val="00207162"/>
    <w:rsid w:val="00207BF4"/>
    <w:rsid w:val="002108C7"/>
    <w:rsid w:val="00210B35"/>
    <w:rsid w:val="0021272F"/>
    <w:rsid w:val="0021327E"/>
    <w:rsid w:val="00214B9A"/>
    <w:rsid w:val="00214D91"/>
    <w:rsid w:val="00215822"/>
    <w:rsid w:val="00215C53"/>
    <w:rsid w:val="00216A3D"/>
    <w:rsid w:val="00217EC7"/>
    <w:rsid w:val="00220282"/>
    <w:rsid w:val="00221F41"/>
    <w:rsid w:val="00222D35"/>
    <w:rsid w:val="002233FF"/>
    <w:rsid w:val="002238DF"/>
    <w:rsid w:val="002322F5"/>
    <w:rsid w:val="00233436"/>
    <w:rsid w:val="002335E2"/>
    <w:rsid w:val="0023487A"/>
    <w:rsid w:val="00234D32"/>
    <w:rsid w:val="002351AC"/>
    <w:rsid w:val="00236464"/>
    <w:rsid w:val="00241636"/>
    <w:rsid w:val="002416D9"/>
    <w:rsid w:val="00244B9B"/>
    <w:rsid w:val="00245BF6"/>
    <w:rsid w:val="00246833"/>
    <w:rsid w:val="002502A3"/>
    <w:rsid w:val="00250679"/>
    <w:rsid w:val="0025074E"/>
    <w:rsid w:val="00250DF5"/>
    <w:rsid w:val="0025202E"/>
    <w:rsid w:val="00252643"/>
    <w:rsid w:val="00253A10"/>
    <w:rsid w:val="00253F8C"/>
    <w:rsid w:val="00255587"/>
    <w:rsid w:val="00255746"/>
    <w:rsid w:val="00256134"/>
    <w:rsid w:val="002575EC"/>
    <w:rsid w:val="00257E0A"/>
    <w:rsid w:val="002614B3"/>
    <w:rsid w:val="00261D40"/>
    <w:rsid w:val="002672F5"/>
    <w:rsid w:val="0027135E"/>
    <w:rsid w:val="0027216D"/>
    <w:rsid w:val="00272756"/>
    <w:rsid w:val="00273BBA"/>
    <w:rsid w:val="002740D8"/>
    <w:rsid w:val="00274F75"/>
    <w:rsid w:val="00281E25"/>
    <w:rsid w:val="00285D77"/>
    <w:rsid w:val="00286BC4"/>
    <w:rsid w:val="00290016"/>
    <w:rsid w:val="00292324"/>
    <w:rsid w:val="002930D9"/>
    <w:rsid w:val="00293768"/>
    <w:rsid w:val="002937BC"/>
    <w:rsid w:val="0029509E"/>
    <w:rsid w:val="00295179"/>
    <w:rsid w:val="0029714D"/>
    <w:rsid w:val="002A0256"/>
    <w:rsid w:val="002A0C83"/>
    <w:rsid w:val="002A0F21"/>
    <w:rsid w:val="002A220D"/>
    <w:rsid w:val="002A2445"/>
    <w:rsid w:val="002A33B0"/>
    <w:rsid w:val="002A447A"/>
    <w:rsid w:val="002A65D3"/>
    <w:rsid w:val="002A6CF6"/>
    <w:rsid w:val="002A74C6"/>
    <w:rsid w:val="002B001C"/>
    <w:rsid w:val="002B363D"/>
    <w:rsid w:val="002C2F6A"/>
    <w:rsid w:val="002C4505"/>
    <w:rsid w:val="002C5105"/>
    <w:rsid w:val="002C51D6"/>
    <w:rsid w:val="002C5DB8"/>
    <w:rsid w:val="002C5FFD"/>
    <w:rsid w:val="002C7571"/>
    <w:rsid w:val="002C7E10"/>
    <w:rsid w:val="002D1DB0"/>
    <w:rsid w:val="002D28A5"/>
    <w:rsid w:val="002D2DEC"/>
    <w:rsid w:val="002D3033"/>
    <w:rsid w:val="002D370F"/>
    <w:rsid w:val="002D457E"/>
    <w:rsid w:val="002D45BC"/>
    <w:rsid w:val="002D68F6"/>
    <w:rsid w:val="002D70B0"/>
    <w:rsid w:val="002D71E6"/>
    <w:rsid w:val="002E2185"/>
    <w:rsid w:val="002E2AA2"/>
    <w:rsid w:val="002E378B"/>
    <w:rsid w:val="002E3B5C"/>
    <w:rsid w:val="002E664A"/>
    <w:rsid w:val="002F0472"/>
    <w:rsid w:val="002F2442"/>
    <w:rsid w:val="002F25D7"/>
    <w:rsid w:val="002F2679"/>
    <w:rsid w:val="002F301E"/>
    <w:rsid w:val="002F3906"/>
    <w:rsid w:val="002F3DE5"/>
    <w:rsid w:val="0030634A"/>
    <w:rsid w:val="0031016D"/>
    <w:rsid w:val="00310B8A"/>
    <w:rsid w:val="00310C4F"/>
    <w:rsid w:val="00311B8E"/>
    <w:rsid w:val="0031421F"/>
    <w:rsid w:val="003211F7"/>
    <w:rsid w:val="00321E8A"/>
    <w:rsid w:val="00324DB1"/>
    <w:rsid w:val="00330528"/>
    <w:rsid w:val="00330CED"/>
    <w:rsid w:val="00330EDE"/>
    <w:rsid w:val="00332BD7"/>
    <w:rsid w:val="0033436F"/>
    <w:rsid w:val="003357BF"/>
    <w:rsid w:val="003360EB"/>
    <w:rsid w:val="00337C04"/>
    <w:rsid w:val="00340E87"/>
    <w:rsid w:val="00340EB7"/>
    <w:rsid w:val="00341C48"/>
    <w:rsid w:val="0034215C"/>
    <w:rsid w:val="003436BB"/>
    <w:rsid w:val="00345399"/>
    <w:rsid w:val="0034546F"/>
    <w:rsid w:val="003478DE"/>
    <w:rsid w:val="003504FD"/>
    <w:rsid w:val="0035341E"/>
    <w:rsid w:val="0035520D"/>
    <w:rsid w:val="003652DF"/>
    <w:rsid w:val="00365673"/>
    <w:rsid w:val="0036607E"/>
    <w:rsid w:val="003668CD"/>
    <w:rsid w:val="003671E4"/>
    <w:rsid w:val="00372805"/>
    <w:rsid w:val="00372C1D"/>
    <w:rsid w:val="00373C18"/>
    <w:rsid w:val="0037660E"/>
    <w:rsid w:val="003773F7"/>
    <w:rsid w:val="0038593C"/>
    <w:rsid w:val="00385E62"/>
    <w:rsid w:val="003877DD"/>
    <w:rsid w:val="00387B84"/>
    <w:rsid w:val="00390BBC"/>
    <w:rsid w:val="003914E9"/>
    <w:rsid w:val="00391A5C"/>
    <w:rsid w:val="00393B26"/>
    <w:rsid w:val="00393FB3"/>
    <w:rsid w:val="003A082E"/>
    <w:rsid w:val="003A4F54"/>
    <w:rsid w:val="003A6614"/>
    <w:rsid w:val="003A6AB3"/>
    <w:rsid w:val="003A7540"/>
    <w:rsid w:val="003B2040"/>
    <w:rsid w:val="003B3AE1"/>
    <w:rsid w:val="003C0477"/>
    <w:rsid w:val="003C1009"/>
    <w:rsid w:val="003C1D49"/>
    <w:rsid w:val="003C39C8"/>
    <w:rsid w:val="003C3C2D"/>
    <w:rsid w:val="003C3F8F"/>
    <w:rsid w:val="003C4FAD"/>
    <w:rsid w:val="003C5B84"/>
    <w:rsid w:val="003D20DE"/>
    <w:rsid w:val="003D338E"/>
    <w:rsid w:val="003D3B22"/>
    <w:rsid w:val="003D4D15"/>
    <w:rsid w:val="003D57DA"/>
    <w:rsid w:val="003D7A1E"/>
    <w:rsid w:val="003D7BBC"/>
    <w:rsid w:val="003E17F3"/>
    <w:rsid w:val="003E2C20"/>
    <w:rsid w:val="003E4583"/>
    <w:rsid w:val="003F1C56"/>
    <w:rsid w:val="003F3AD1"/>
    <w:rsid w:val="003F4278"/>
    <w:rsid w:val="003F49A5"/>
    <w:rsid w:val="003F5E2C"/>
    <w:rsid w:val="003F64F5"/>
    <w:rsid w:val="003F6724"/>
    <w:rsid w:val="003F6A48"/>
    <w:rsid w:val="003F6EF9"/>
    <w:rsid w:val="00400CAC"/>
    <w:rsid w:val="00401274"/>
    <w:rsid w:val="00401D24"/>
    <w:rsid w:val="00406BBD"/>
    <w:rsid w:val="00407ACA"/>
    <w:rsid w:val="0041193B"/>
    <w:rsid w:val="004215F2"/>
    <w:rsid w:val="00422E56"/>
    <w:rsid w:val="00423DDB"/>
    <w:rsid w:val="0042402C"/>
    <w:rsid w:val="00426777"/>
    <w:rsid w:val="00427684"/>
    <w:rsid w:val="00427F41"/>
    <w:rsid w:val="00430465"/>
    <w:rsid w:val="00431E31"/>
    <w:rsid w:val="004320E8"/>
    <w:rsid w:val="00436476"/>
    <w:rsid w:val="0044215E"/>
    <w:rsid w:val="004449B8"/>
    <w:rsid w:val="004479C8"/>
    <w:rsid w:val="0045140C"/>
    <w:rsid w:val="004516B4"/>
    <w:rsid w:val="00457515"/>
    <w:rsid w:val="00462E9B"/>
    <w:rsid w:val="0046476C"/>
    <w:rsid w:val="00465032"/>
    <w:rsid w:val="00465BDE"/>
    <w:rsid w:val="00467D7A"/>
    <w:rsid w:val="004732C3"/>
    <w:rsid w:val="004738D4"/>
    <w:rsid w:val="004764C6"/>
    <w:rsid w:val="00477034"/>
    <w:rsid w:val="00481A7F"/>
    <w:rsid w:val="0048291A"/>
    <w:rsid w:val="00485EF1"/>
    <w:rsid w:val="00490630"/>
    <w:rsid w:val="0049434B"/>
    <w:rsid w:val="00494A4C"/>
    <w:rsid w:val="00496815"/>
    <w:rsid w:val="004A04C3"/>
    <w:rsid w:val="004A2D5E"/>
    <w:rsid w:val="004A30E2"/>
    <w:rsid w:val="004A3CCD"/>
    <w:rsid w:val="004A4EC6"/>
    <w:rsid w:val="004A7C93"/>
    <w:rsid w:val="004B0543"/>
    <w:rsid w:val="004B1928"/>
    <w:rsid w:val="004B2880"/>
    <w:rsid w:val="004B3AF8"/>
    <w:rsid w:val="004B3FDA"/>
    <w:rsid w:val="004B4A3A"/>
    <w:rsid w:val="004C3F6C"/>
    <w:rsid w:val="004C56CF"/>
    <w:rsid w:val="004C6671"/>
    <w:rsid w:val="004D020B"/>
    <w:rsid w:val="004D03EB"/>
    <w:rsid w:val="004D1171"/>
    <w:rsid w:val="004E1ADC"/>
    <w:rsid w:val="004E264D"/>
    <w:rsid w:val="004E43F4"/>
    <w:rsid w:val="004E6FEA"/>
    <w:rsid w:val="004E78D5"/>
    <w:rsid w:val="004F01BB"/>
    <w:rsid w:val="004F051C"/>
    <w:rsid w:val="004F0BF3"/>
    <w:rsid w:val="004F1D06"/>
    <w:rsid w:val="004F2689"/>
    <w:rsid w:val="004F44FF"/>
    <w:rsid w:val="004F53E1"/>
    <w:rsid w:val="004F7795"/>
    <w:rsid w:val="00501DA8"/>
    <w:rsid w:val="00501E7D"/>
    <w:rsid w:val="00506FA9"/>
    <w:rsid w:val="00513B82"/>
    <w:rsid w:val="00514307"/>
    <w:rsid w:val="005147EA"/>
    <w:rsid w:val="005172A3"/>
    <w:rsid w:val="005223C2"/>
    <w:rsid w:val="00524ED8"/>
    <w:rsid w:val="00526DFA"/>
    <w:rsid w:val="00527BA6"/>
    <w:rsid w:val="005346EE"/>
    <w:rsid w:val="00535FFF"/>
    <w:rsid w:val="005402E1"/>
    <w:rsid w:val="005421ED"/>
    <w:rsid w:val="00545B33"/>
    <w:rsid w:val="00546E7F"/>
    <w:rsid w:val="00547D37"/>
    <w:rsid w:val="005502E4"/>
    <w:rsid w:val="00552A08"/>
    <w:rsid w:val="00552BF3"/>
    <w:rsid w:val="00552F6A"/>
    <w:rsid w:val="005576F9"/>
    <w:rsid w:val="0055779A"/>
    <w:rsid w:val="0056036B"/>
    <w:rsid w:val="00560371"/>
    <w:rsid w:val="005620C8"/>
    <w:rsid w:val="00563EA2"/>
    <w:rsid w:val="00567D36"/>
    <w:rsid w:val="0057299F"/>
    <w:rsid w:val="00573119"/>
    <w:rsid w:val="0057589A"/>
    <w:rsid w:val="0057681A"/>
    <w:rsid w:val="005802D1"/>
    <w:rsid w:val="0058068C"/>
    <w:rsid w:val="0058185B"/>
    <w:rsid w:val="00582255"/>
    <w:rsid w:val="00582B08"/>
    <w:rsid w:val="00584EC5"/>
    <w:rsid w:val="00586E64"/>
    <w:rsid w:val="00590BCE"/>
    <w:rsid w:val="00590E5A"/>
    <w:rsid w:val="005917C7"/>
    <w:rsid w:val="00591C3F"/>
    <w:rsid w:val="00593D46"/>
    <w:rsid w:val="005944F5"/>
    <w:rsid w:val="00595626"/>
    <w:rsid w:val="005959F3"/>
    <w:rsid w:val="00596FB7"/>
    <w:rsid w:val="005A011C"/>
    <w:rsid w:val="005A0312"/>
    <w:rsid w:val="005A2BFD"/>
    <w:rsid w:val="005A716D"/>
    <w:rsid w:val="005A7AC1"/>
    <w:rsid w:val="005B0534"/>
    <w:rsid w:val="005B05CF"/>
    <w:rsid w:val="005B49CC"/>
    <w:rsid w:val="005B4F99"/>
    <w:rsid w:val="005B54A4"/>
    <w:rsid w:val="005B61D6"/>
    <w:rsid w:val="005B68AC"/>
    <w:rsid w:val="005B775F"/>
    <w:rsid w:val="005C4502"/>
    <w:rsid w:val="005D1BCD"/>
    <w:rsid w:val="005D3197"/>
    <w:rsid w:val="005D6102"/>
    <w:rsid w:val="005D7AF0"/>
    <w:rsid w:val="005E40C0"/>
    <w:rsid w:val="005F2FA1"/>
    <w:rsid w:val="005F5828"/>
    <w:rsid w:val="005F7D29"/>
    <w:rsid w:val="00602418"/>
    <w:rsid w:val="0060758A"/>
    <w:rsid w:val="0060782E"/>
    <w:rsid w:val="00607E12"/>
    <w:rsid w:val="006100A6"/>
    <w:rsid w:val="00610C39"/>
    <w:rsid w:val="0061355E"/>
    <w:rsid w:val="00614080"/>
    <w:rsid w:val="00615411"/>
    <w:rsid w:val="00615CFF"/>
    <w:rsid w:val="006161A3"/>
    <w:rsid w:val="00622D5E"/>
    <w:rsid w:val="006256FC"/>
    <w:rsid w:val="00626257"/>
    <w:rsid w:val="006272E7"/>
    <w:rsid w:val="0063061C"/>
    <w:rsid w:val="00630935"/>
    <w:rsid w:val="00630E5E"/>
    <w:rsid w:val="00634D7F"/>
    <w:rsid w:val="00637CD8"/>
    <w:rsid w:val="00637F94"/>
    <w:rsid w:val="00641D35"/>
    <w:rsid w:val="006422F0"/>
    <w:rsid w:val="00646D8C"/>
    <w:rsid w:val="00646FDF"/>
    <w:rsid w:val="00650CFB"/>
    <w:rsid w:val="00652F52"/>
    <w:rsid w:val="0065742F"/>
    <w:rsid w:val="00657F96"/>
    <w:rsid w:val="0066191F"/>
    <w:rsid w:val="00661ADD"/>
    <w:rsid w:val="006627B2"/>
    <w:rsid w:val="0066786B"/>
    <w:rsid w:val="00671008"/>
    <w:rsid w:val="00680EAA"/>
    <w:rsid w:val="00681F8A"/>
    <w:rsid w:val="00683618"/>
    <w:rsid w:val="006842E6"/>
    <w:rsid w:val="00684742"/>
    <w:rsid w:val="00684884"/>
    <w:rsid w:val="00684BE9"/>
    <w:rsid w:val="00685AAB"/>
    <w:rsid w:val="006867CE"/>
    <w:rsid w:val="006867DD"/>
    <w:rsid w:val="00690062"/>
    <w:rsid w:val="006917C8"/>
    <w:rsid w:val="006926AB"/>
    <w:rsid w:val="00692A5C"/>
    <w:rsid w:val="00693025"/>
    <w:rsid w:val="00697856"/>
    <w:rsid w:val="006A3D26"/>
    <w:rsid w:val="006A5398"/>
    <w:rsid w:val="006A71FF"/>
    <w:rsid w:val="006B0A30"/>
    <w:rsid w:val="006B178A"/>
    <w:rsid w:val="006B17F4"/>
    <w:rsid w:val="006B47E8"/>
    <w:rsid w:val="006B49CE"/>
    <w:rsid w:val="006C03E6"/>
    <w:rsid w:val="006C2DE3"/>
    <w:rsid w:val="006C2E6B"/>
    <w:rsid w:val="006C3D20"/>
    <w:rsid w:val="006C4DFC"/>
    <w:rsid w:val="006D098F"/>
    <w:rsid w:val="006D0A12"/>
    <w:rsid w:val="006D3549"/>
    <w:rsid w:val="006D53F1"/>
    <w:rsid w:val="006D5747"/>
    <w:rsid w:val="006E32CF"/>
    <w:rsid w:val="006E3AED"/>
    <w:rsid w:val="006E46D2"/>
    <w:rsid w:val="006E4B21"/>
    <w:rsid w:val="006F2734"/>
    <w:rsid w:val="006F2B75"/>
    <w:rsid w:val="006F2E44"/>
    <w:rsid w:val="006F378C"/>
    <w:rsid w:val="00700D50"/>
    <w:rsid w:val="00702AFE"/>
    <w:rsid w:val="00702D5F"/>
    <w:rsid w:val="007049BF"/>
    <w:rsid w:val="0070569C"/>
    <w:rsid w:val="00710175"/>
    <w:rsid w:val="00710B9C"/>
    <w:rsid w:val="00711CEF"/>
    <w:rsid w:val="00715C14"/>
    <w:rsid w:val="00716473"/>
    <w:rsid w:val="00716CA0"/>
    <w:rsid w:val="00716D82"/>
    <w:rsid w:val="00717345"/>
    <w:rsid w:val="00723748"/>
    <w:rsid w:val="00723EB2"/>
    <w:rsid w:val="00724D5C"/>
    <w:rsid w:val="00725B8F"/>
    <w:rsid w:val="007264B3"/>
    <w:rsid w:val="007309CC"/>
    <w:rsid w:val="00730AD4"/>
    <w:rsid w:val="00731153"/>
    <w:rsid w:val="00732B0C"/>
    <w:rsid w:val="007336B5"/>
    <w:rsid w:val="00737F8D"/>
    <w:rsid w:val="0074054A"/>
    <w:rsid w:val="007406F3"/>
    <w:rsid w:val="00743BFA"/>
    <w:rsid w:val="00750C77"/>
    <w:rsid w:val="00751B13"/>
    <w:rsid w:val="0075375A"/>
    <w:rsid w:val="00753CB5"/>
    <w:rsid w:val="00754B40"/>
    <w:rsid w:val="00762AD9"/>
    <w:rsid w:val="00763D8E"/>
    <w:rsid w:val="0076695A"/>
    <w:rsid w:val="007700F7"/>
    <w:rsid w:val="00772933"/>
    <w:rsid w:val="00773D94"/>
    <w:rsid w:val="007746E5"/>
    <w:rsid w:val="007747D7"/>
    <w:rsid w:val="007752ED"/>
    <w:rsid w:val="007760B5"/>
    <w:rsid w:val="007763BF"/>
    <w:rsid w:val="0078026C"/>
    <w:rsid w:val="007911AC"/>
    <w:rsid w:val="00791DFF"/>
    <w:rsid w:val="00795728"/>
    <w:rsid w:val="00796BC1"/>
    <w:rsid w:val="007A3326"/>
    <w:rsid w:val="007A4060"/>
    <w:rsid w:val="007A460B"/>
    <w:rsid w:val="007A5375"/>
    <w:rsid w:val="007A53E8"/>
    <w:rsid w:val="007A58A9"/>
    <w:rsid w:val="007A7EB6"/>
    <w:rsid w:val="007B0801"/>
    <w:rsid w:val="007B273C"/>
    <w:rsid w:val="007B2FDF"/>
    <w:rsid w:val="007B357F"/>
    <w:rsid w:val="007B6A6E"/>
    <w:rsid w:val="007B6B69"/>
    <w:rsid w:val="007B7BA5"/>
    <w:rsid w:val="007C01BE"/>
    <w:rsid w:val="007C2D24"/>
    <w:rsid w:val="007C53C5"/>
    <w:rsid w:val="007C5D2E"/>
    <w:rsid w:val="007C67B3"/>
    <w:rsid w:val="007C6D23"/>
    <w:rsid w:val="007C7A8E"/>
    <w:rsid w:val="007D1FB6"/>
    <w:rsid w:val="007D6620"/>
    <w:rsid w:val="007D6E93"/>
    <w:rsid w:val="007D74FF"/>
    <w:rsid w:val="007F093C"/>
    <w:rsid w:val="007F15A1"/>
    <w:rsid w:val="007F2053"/>
    <w:rsid w:val="007F4188"/>
    <w:rsid w:val="007F615F"/>
    <w:rsid w:val="00800FBF"/>
    <w:rsid w:val="00801AC8"/>
    <w:rsid w:val="0080292A"/>
    <w:rsid w:val="00802C3A"/>
    <w:rsid w:val="008046DB"/>
    <w:rsid w:val="008054D9"/>
    <w:rsid w:val="00805AE0"/>
    <w:rsid w:val="00805CA3"/>
    <w:rsid w:val="00817AF2"/>
    <w:rsid w:val="00820749"/>
    <w:rsid w:val="00820B22"/>
    <w:rsid w:val="00821278"/>
    <w:rsid w:val="0082305E"/>
    <w:rsid w:val="00825795"/>
    <w:rsid w:val="00826F71"/>
    <w:rsid w:val="00827975"/>
    <w:rsid w:val="00833306"/>
    <w:rsid w:val="00835A26"/>
    <w:rsid w:val="0083677F"/>
    <w:rsid w:val="00836934"/>
    <w:rsid w:val="00841B7C"/>
    <w:rsid w:val="008467BE"/>
    <w:rsid w:val="00847C69"/>
    <w:rsid w:val="008505AD"/>
    <w:rsid w:val="00852869"/>
    <w:rsid w:val="00853F5A"/>
    <w:rsid w:val="00854D9A"/>
    <w:rsid w:val="008550FC"/>
    <w:rsid w:val="00855796"/>
    <w:rsid w:val="00855E37"/>
    <w:rsid w:val="00857203"/>
    <w:rsid w:val="0085726B"/>
    <w:rsid w:val="00862668"/>
    <w:rsid w:val="00865DF2"/>
    <w:rsid w:val="00867D7D"/>
    <w:rsid w:val="00870EE7"/>
    <w:rsid w:val="00871487"/>
    <w:rsid w:val="008726D3"/>
    <w:rsid w:val="00874F58"/>
    <w:rsid w:val="008764ED"/>
    <w:rsid w:val="00877812"/>
    <w:rsid w:val="0088173E"/>
    <w:rsid w:val="00881D8E"/>
    <w:rsid w:val="00882CB7"/>
    <w:rsid w:val="0088457A"/>
    <w:rsid w:val="0089113C"/>
    <w:rsid w:val="0089245E"/>
    <w:rsid w:val="0089539B"/>
    <w:rsid w:val="00897317"/>
    <w:rsid w:val="008A0BA2"/>
    <w:rsid w:val="008A5E05"/>
    <w:rsid w:val="008A66FD"/>
    <w:rsid w:val="008B3981"/>
    <w:rsid w:val="008B50B7"/>
    <w:rsid w:val="008B60E5"/>
    <w:rsid w:val="008C2C9C"/>
    <w:rsid w:val="008C6EE6"/>
    <w:rsid w:val="008C79DB"/>
    <w:rsid w:val="008C7C0F"/>
    <w:rsid w:val="008D141B"/>
    <w:rsid w:val="008D1B62"/>
    <w:rsid w:val="008D3D08"/>
    <w:rsid w:val="008D40F5"/>
    <w:rsid w:val="008D542F"/>
    <w:rsid w:val="008D5EEA"/>
    <w:rsid w:val="008D64AC"/>
    <w:rsid w:val="008E1280"/>
    <w:rsid w:val="008E1F79"/>
    <w:rsid w:val="008E4F05"/>
    <w:rsid w:val="008E54EA"/>
    <w:rsid w:val="008F1F72"/>
    <w:rsid w:val="008F2249"/>
    <w:rsid w:val="008F38F1"/>
    <w:rsid w:val="008F483C"/>
    <w:rsid w:val="008F7040"/>
    <w:rsid w:val="00900BEA"/>
    <w:rsid w:val="009041CE"/>
    <w:rsid w:val="009053B9"/>
    <w:rsid w:val="00915653"/>
    <w:rsid w:val="00916EE6"/>
    <w:rsid w:val="009223F0"/>
    <w:rsid w:val="009224ED"/>
    <w:rsid w:val="00922F54"/>
    <w:rsid w:val="00923D1C"/>
    <w:rsid w:val="009246AC"/>
    <w:rsid w:val="009256FB"/>
    <w:rsid w:val="00925DC1"/>
    <w:rsid w:val="00930EC9"/>
    <w:rsid w:val="0093466C"/>
    <w:rsid w:val="009365A1"/>
    <w:rsid w:val="00936863"/>
    <w:rsid w:val="00937800"/>
    <w:rsid w:val="00937D36"/>
    <w:rsid w:val="00940F61"/>
    <w:rsid w:val="0094264C"/>
    <w:rsid w:val="00942D82"/>
    <w:rsid w:val="00943966"/>
    <w:rsid w:val="00944284"/>
    <w:rsid w:val="00944479"/>
    <w:rsid w:val="00944CE2"/>
    <w:rsid w:val="0094629B"/>
    <w:rsid w:val="00946F27"/>
    <w:rsid w:val="00951937"/>
    <w:rsid w:val="0095363D"/>
    <w:rsid w:val="0095464E"/>
    <w:rsid w:val="00954987"/>
    <w:rsid w:val="00961303"/>
    <w:rsid w:val="0096226A"/>
    <w:rsid w:val="009624DA"/>
    <w:rsid w:val="00962A3E"/>
    <w:rsid w:val="0096360C"/>
    <w:rsid w:val="00963E07"/>
    <w:rsid w:val="00972DAC"/>
    <w:rsid w:val="00974A3E"/>
    <w:rsid w:val="009770DE"/>
    <w:rsid w:val="0098040D"/>
    <w:rsid w:val="00981568"/>
    <w:rsid w:val="00982DB8"/>
    <w:rsid w:val="00986B95"/>
    <w:rsid w:val="00992142"/>
    <w:rsid w:val="00995697"/>
    <w:rsid w:val="00996991"/>
    <w:rsid w:val="009975DF"/>
    <w:rsid w:val="009A385D"/>
    <w:rsid w:val="009A3A7C"/>
    <w:rsid w:val="009A59B6"/>
    <w:rsid w:val="009A6521"/>
    <w:rsid w:val="009B0988"/>
    <w:rsid w:val="009B27D5"/>
    <w:rsid w:val="009B2D2E"/>
    <w:rsid w:val="009B3355"/>
    <w:rsid w:val="009B3C1F"/>
    <w:rsid w:val="009B3E59"/>
    <w:rsid w:val="009B46AF"/>
    <w:rsid w:val="009B51BC"/>
    <w:rsid w:val="009B5855"/>
    <w:rsid w:val="009B5AF7"/>
    <w:rsid w:val="009B676D"/>
    <w:rsid w:val="009B77F7"/>
    <w:rsid w:val="009C061C"/>
    <w:rsid w:val="009C0A20"/>
    <w:rsid w:val="009C2E19"/>
    <w:rsid w:val="009C3CA0"/>
    <w:rsid w:val="009C3D77"/>
    <w:rsid w:val="009C4D85"/>
    <w:rsid w:val="009C5D6F"/>
    <w:rsid w:val="009D31C5"/>
    <w:rsid w:val="009D6064"/>
    <w:rsid w:val="009E2C99"/>
    <w:rsid w:val="009E2E99"/>
    <w:rsid w:val="009E3A4E"/>
    <w:rsid w:val="009E3E19"/>
    <w:rsid w:val="009E56DB"/>
    <w:rsid w:val="009E6C05"/>
    <w:rsid w:val="009F04CE"/>
    <w:rsid w:val="009F0E75"/>
    <w:rsid w:val="009F0F67"/>
    <w:rsid w:val="009F3CEF"/>
    <w:rsid w:val="009F47E1"/>
    <w:rsid w:val="009F497A"/>
    <w:rsid w:val="009F6D73"/>
    <w:rsid w:val="009F7CDC"/>
    <w:rsid w:val="00A01914"/>
    <w:rsid w:val="00A01E6C"/>
    <w:rsid w:val="00A02D94"/>
    <w:rsid w:val="00A0516D"/>
    <w:rsid w:val="00A108C0"/>
    <w:rsid w:val="00A10B91"/>
    <w:rsid w:val="00A11ECF"/>
    <w:rsid w:val="00A12022"/>
    <w:rsid w:val="00A207FE"/>
    <w:rsid w:val="00A22CC7"/>
    <w:rsid w:val="00A25480"/>
    <w:rsid w:val="00A2703E"/>
    <w:rsid w:val="00A3107D"/>
    <w:rsid w:val="00A328AE"/>
    <w:rsid w:val="00A32DB7"/>
    <w:rsid w:val="00A33B0E"/>
    <w:rsid w:val="00A34032"/>
    <w:rsid w:val="00A35912"/>
    <w:rsid w:val="00A35BD3"/>
    <w:rsid w:val="00A35C89"/>
    <w:rsid w:val="00A42314"/>
    <w:rsid w:val="00A4316D"/>
    <w:rsid w:val="00A43548"/>
    <w:rsid w:val="00A4363D"/>
    <w:rsid w:val="00A43FB4"/>
    <w:rsid w:val="00A44091"/>
    <w:rsid w:val="00A45F53"/>
    <w:rsid w:val="00A4602C"/>
    <w:rsid w:val="00A4797D"/>
    <w:rsid w:val="00A51277"/>
    <w:rsid w:val="00A52F0C"/>
    <w:rsid w:val="00A55054"/>
    <w:rsid w:val="00A557EC"/>
    <w:rsid w:val="00A606BE"/>
    <w:rsid w:val="00A62180"/>
    <w:rsid w:val="00A62358"/>
    <w:rsid w:val="00A645EA"/>
    <w:rsid w:val="00A67A3F"/>
    <w:rsid w:val="00A70262"/>
    <w:rsid w:val="00A704E0"/>
    <w:rsid w:val="00A70A56"/>
    <w:rsid w:val="00A70DE0"/>
    <w:rsid w:val="00A737CD"/>
    <w:rsid w:val="00A73F55"/>
    <w:rsid w:val="00A7438E"/>
    <w:rsid w:val="00A802A4"/>
    <w:rsid w:val="00A81586"/>
    <w:rsid w:val="00A83989"/>
    <w:rsid w:val="00A85339"/>
    <w:rsid w:val="00A878A5"/>
    <w:rsid w:val="00A91693"/>
    <w:rsid w:val="00A92FB1"/>
    <w:rsid w:val="00A932CD"/>
    <w:rsid w:val="00A93E8D"/>
    <w:rsid w:val="00AA0D27"/>
    <w:rsid w:val="00AA488D"/>
    <w:rsid w:val="00AA5FCF"/>
    <w:rsid w:val="00AA6C09"/>
    <w:rsid w:val="00AB070D"/>
    <w:rsid w:val="00AB31A1"/>
    <w:rsid w:val="00AB39D0"/>
    <w:rsid w:val="00AB5236"/>
    <w:rsid w:val="00AC000E"/>
    <w:rsid w:val="00AC05E4"/>
    <w:rsid w:val="00AC16D1"/>
    <w:rsid w:val="00AC23F2"/>
    <w:rsid w:val="00AC7272"/>
    <w:rsid w:val="00AC7431"/>
    <w:rsid w:val="00AD1AF4"/>
    <w:rsid w:val="00AD2945"/>
    <w:rsid w:val="00AD2FB8"/>
    <w:rsid w:val="00AD35DC"/>
    <w:rsid w:val="00AD43E7"/>
    <w:rsid w:val="00AD5799"/>
    <w:rsid w:val="00AD77D6"/>
    <w:rsid w:val="00AD7B7A"/>
    <w:rsid w:val="00AE103D"/>
    <w:rsid w:val="00AE29F2"/>
    <w:rsid w:val="00AE36E6"/>
    <w:rsid w:val="00AF0F89"/>
    <w:rsid w:val="00AF3F06"/>
    <w:rsid w:val="00AF4D3D"/>
    <w:rsid w:val="00AF4F44"/>
    <w:rsid w:val="00AF5DD8"/>
    <w:rsid w:val="00B01CA2"/>
    <w:rsid w:val="00B01E58"/>
    <w:rsid w:val="00B0318F"/>
    <w:rsid w:val="00B03B33"/>
    <w:rsid w:val="00B064D9"/>
    <w:rsid w:val="00B107E4"/>
    <w:rsid w:val="00B10C86"/>
    <w:rsid w:val="00B113EC"/>
    <w:rsid w:val="00B11972"/>
    <w:rsid w:val="00B124F0"/>
    <w:rsid w:val="00B12C8A"/>
    <w:rsid w:val="00B12F06"/>
    <w:rsid w:val="00B12F80"/>
    <w:rsid w:val="00B13539"/>
    <w:rsid w:val="00B13E40"/>
    <w:rsid w:val="00B140EE"/>
    <w:rsid w:val="00B1433D"/>
    <w:rsid w:val="00B17650"/>
    <w:rsid w:val="00B22A36"/>
    <w:rsid w:val="00B24CE1"/>
    <w:rsid w:val="00B3008C"/>
    <w:rsid w:val="00B304C7"/>
    <w:rsid w:val="00B3096D"/>
    <w:rsid w:val="00B32566"/>
    <w:rsid w:val="00B3323C"/>
    <w:rsid w:val="00B418E9"/>
    <w:rsid w:val="00B42EC9"/>
    <w:rsid w:val="00B4557B"/>
    <w:rsid w:val="00B45631"/>
    <w:rsid w:val="00B50AE9"/>
    <w:rsid w:val="00B512DC"/>
    <w:rsid w:val="00B5349A"/>
    <w:rsid w:val="00B5365E"/>
    <w:rsid w:val="00B5482C"/>
    <w:rsid w:val="00B54A93"/>
    <w:rsid w:val="00B55361"/>
    <w:rsid w:val="00B57601"/>
    <w:rsid w:val="00B5762A"/>
    <w:rsid w:val="00B57B51"/>
    <w:rsid w:val="00B63798"/>
    <w:rsid w:val="00B67282"/>
    <w:rsid w:val="00B729AD"/>
    <w:rsid w:val="00B72E57"/>
    <w:rsid w:val="00B73269"/>
    <w:rsid w:val="00B73D50"/>
    <w:rsid w:val="00B74D77"/>
    <w:rsid w:val="00B75681"/>
    <w:rsid w:val="00B76543"/>
    <w:rsid w:val="00B826EC"/>
    <w:rsid w:val="00B94DDC"/>
    <w:rsid w:val="00B9660D"/>
    <w:rsid w:val="00B971D6"/>
    <w:rsid w:val="00BA0959"/>
    <w:rsid w:val="00BA271F"/>
    <w:rsid w:val="00BA2E5B"/>
    <w:rsid w:val="00BA571B"/>
    <w:rsid w:val="00BA77AA"/>
    <w:rsid w:val="00BA7EC1"/>
    <w:rsid w:val="00BB0FCD"/>
    <w:rsid w:val="00BB27ED"/>
    <w:rsid w:val="00BB3A8C"/>
    <w:rsid w:val="00BB5022"/>
    <w:rsid w:val="00BB69F4"/>
    <w:rsid w:val="00BB7206"/>
    <w:rsid w:val="00BC032C"/>
    <w:rsid w:val="00BC1290"/>
    <w:rsid w:val="00BC2434"/>
    <w:rsid w:val="00BC5C9E"/>
    <w:rsid w:val="00BD0169"/>
    <w:rsid w:val="00BD2324"/>
    <w:rsid w:val="00BD47E0"/>
    <w:rsid w:val="00BD65C7"/>
    <w:rsid w:val="00BD7DFB"/>
    <w:rsid w:val="00BD7F7B"/>
    <w:rsid w:val="00BE1C6C"/>
    <w:rsid w:val="00BE64B7"/>
    <w:rsid w:val="00BF1F30"/>
    <w:rsid w:val="00BF45EB"/>
    <w:rsid w:val="00BF4B75"/>
    <w:rsid w:val="00BF6CE2"/>
    <w:rsid w:val="00BF7FBB"/>
    <w:rsid w:val="00C01077"/>
    <w:rsid w:val="00C02CC1"/>
    <w:rsid w:val="00C03355"/>
    <w:rsid w:val="00C04882"/>
    <w:rsid w:val="00C06578"/>
    <w:rsid w:val="00C06D25"/>
    <w:rsid w:val="00C0757A"/>
    <w:rsid w:val="00C077FB"/>
    <w:rsid w:val="00C15136"/>
    <w:rsid w:val="00C15DFB"/>
    <w:rsid w:val="00C207AA"/>
    <w:rsid w:val="00C209E4"/>
    <w:rsid w:val="00C2355D"/>
    <w:rsid w:val="00C24739"/>
    <w:rsid w:val="00C30EBA"/>
    <w:rsid w:val="00C34627"/>
    <w:rsid w:val="00C363D0"/>
    <w:rsid w:val="00C403F0"/>
    <w:rsid w:val="00C41843"/>
    <w:rsid w:val="00C41FDE"/>
    <w:rsid w:val="00C422F1"/>
    <w:rsid w:val="00C429BA"/>
    <w:rsid w:val="00C50574"/>
    <w:rsid w:val="00C534C0"/>
    <w:rsid w:val="00C5394C"/>
    <w:rsid w:val="00C550A7"/>
    <w:rsid w:val="00C55CDF"/>
    <w:rsid w:val="00C576A9"/>
    <w:rsid w:val="00C61339"/>
    <w:rsid w:val="00C620A3"/>
    <w:rsid w:val="00C6534B"/>
    <w:rsid w:val="00C71AAD"/>
    <w:rsid w:val="00C727C3"/>
    <w:rsid w:val="00C74FF6"/>
    <w:rsid w:val="00C77270"/>
    <w:rsid w:val="00C7747F"/>
    <w:rsid w:val="00C77D4E"/>
    <w:rsid w:val="00C81D4B"/>
    <w:rsid w:val="00C83205"/>
    <w:rsid w:val="00C839F9"/>
    <w:rsid w:val="00C84C4C"/>
    <w:rsid w:val="00C85D5C"/>
    <w:rsid w:val="00C8678A"/>
    <w:rsid w:val="00C87528"/>
    <w:rsid w:val="00C91D58"/>
    <w:rsid w:val="00C9462F"/>
    <w:rsid w:val="00CA22EF"/>
    <w:rsid w:val="00CA6868"/>
    <w:rsid w:val="00CA7B6F"/>
    <w:rsid w:val="00CB0189"/>
    <w:rsid w:val="00CB0473"/>
    <w:rsid w:val="00CB1208"/>
    <w:rsid w:val="00CB1ADE"/>
    <w:rsid w:val="00CB4AA6"/>
    <w:rsid w:val="00CB5F5E"/>
    <w:rsid w:val="00CB7071"/>
    <w:rsid w:val="00CB7330"/>
    <w:rsid w:val="00CC0149"/>
    <w:rsid w:val="00CC3F88"/>
    <w:rsid w:val="00CC4F03"/>
    <w:rsid w:val="00CC5146"/>
    <w:rsid w:val="00CC57BA"/>
    <w:rsid w:val="00CC58EC"/>
    <w:rsid w:val="00CD11DE"/>
    <w:rsid w:val="00CD140E"/>
    <w:rsid w:val="00CD2245"/>
    <w:rsid w:val="00CD31FD"/>
    <w:rsid w:val="00CD37DC"/>
    <w:rsid w:val="00CD59E4"/>
    <w:rsid w:val="00CD76D2"/>
    <w:rsid w:val="00CE1213"/>
    <w:rsid w:val="00CE17CF"/>
    <w:rsid w:val="00CE57E4"/>
    <w:rsid w:val="00CE77CA"/>
    <w:rsid w:val="00CF6172"/>
    <w:rsid w:val="00CF6237"/>
    <w:rsid w:val="00CF7D8A"/>
    <w:rsid w:val="00D022F3"/>
    <w:rsid w:val="00D02C06"/>
    <w:rsid w:val="00D03D78"/>
    <w:rsid w:val="00D05366"/>
    <w:rsid w:val="00D05FB1"/>
    <w:rsid w:val="00D10961"/>
    <w:rsid w:val="00D1227A"/>
    <w:rsid w:val="00D12580"/>
    <w:rsid w:val="00D159B5"/>
    <w:rsid w:val="00D15E71"/>
    <w:rsid w:val="00D1605B"/>
    <w:rsid w:val="00D16096"/>
    <w:rsid w:val="00D16E6D"/>
    <w:rsid w:val="00D17231"/>
    <w:rsid w:val="00D22D50"/>
    <w:rsid w:val="00D25AD4"/>
    <w:rsid w:val="00D26769"/>
    <w:rsid w:val="00D307E1"/>
    <w:rsid w:val="00D338F3"/>
    <w:rsid w:val="00D4281F"/>
    <w:rsid w:val="00D46554"/>
    <w:rsid w:val="00D46BE4"/>
    <w:rsid w:val="00D50623"/>
    <w:rsid w:val="00D555B7"/>
    <w:rsid w:val="00D626E7"/>
    <w:rsid w:val="00D6672E"/>
    <w:rsid w:val="00D729A1"/>
    <w:rsid w:val="00D7311A"/>
    <w:rsid w:val="00D742E9"/>
    <w:rsid w:val="00D74D42"/>
    <w:rsid w:val="00D77BB9"/>
    <w:rsid w:val="00D77E78"/>
    <w:rsid w:val="00D8133A"/>
    <w:rsid w:val="00D830B8"/>
    <w:rsid w:val="00D90315"/>
    <w:rsid w:val="00D907E0"/>
    <w:rsid w:val="00D91F7D"/>
    <w:rsid w:val="00D93FC4"/>
    <w:rsid w:val="00D950F0"/>
    <w:rsid w:val="00D9550E"/>
    <w:rsid w:val="00D969EF"/>
    <w:rsid w:val="00D976C4"/>
    <w:rsid w:val="00DA0BD5"/>
    <w:rsid w:val="00DA3EC7"/>
    <w:rsid w:val="00DA5494"/>
    <w:rsid w:val="00DA5E90"/>
    <w:rsid w:val="00DB0477"/>
    <w:rsid w:val="00DB14A2"/>
    <w:rsid w:val="00DB2C41"/>
    <w:rsid w:val="00DB4095"/>
    <w:rsid w:val="00DB43B9"/>
    <w:rsid w:val="00DB7BE6"/>
    <w:rsid w:val="00DC08C7"/>
    <w:rsid w:val="00DC26D9"/>
    <w:rsid w:val="00DC29EA"/>
    <w:rsid w:val="00DC359C"/>
    <w:rsid w:val="00DD08F7"/>
    <w:rsid w:val="00DD2D87"/>
    <w:rsid w:val="00DD74CA"/>
    <w:rsid w:val="00DE5CD8"/>
    <w:rsid w:val="00DE6017"/>
    <w:rsid w:val="00DE754A"/>
    <w:rsid w:val="00DF3921"/>
    <w:rsid w:val="00E007CF"/>
    <w:rsid w:val="00E00A7E"/>
    <w:rsid w:val="00E00C13"/>
    <w:rsid w:val="00E01373"/>
    <w:rsid w:val="00E01431"/>
    <w:rsid w:val="00E02A73"/>
    <w:rsid w:val="00E02E38"/>
    <w:rsid w:val="00E04CB3"/>
    <w:rsid w:val="00E05A04"/>
    <w:rsid w:val="00E0689C"/>
    <w:rsid w:val="00E06CD4"/>
    <w:rsid w:val="00E07215"/>
    <w:rsid w:val="00E07B9E"/>
    <w:rsid w:val="00E113B4"/>
    <w:rsid w:val="00E126E8"/>
    <w:rsid w:val="00E13258"/>
    <w:rsid w:val="00E13305"/>
    <w:rsid w:val="00E135A9"/>
    <w:rsid w:val="00E1372E"/>
    <w:rsid w:val="00E143BB"/>
    <w:rsid w:val="00E17517"/>
    <w:rsid w:val="00E17AC0"/>
    <w:rsid w:val="00E202A6"/>
    <w:rsid w:val="00E30078"/>
    <w:rsid w:val="00E3120A"/>
    <w:rsid w:val="00E37DC0"/>
    <w:rsid w:val="00E417E1"/>
    <w:rsid w:val="00E42028"/>
    <w:rsid w:val="00E42E8A"/>
    <w:rsid w:val="00E43FBA"/>
    <w:rsid w:val="00E4455F"/>
    <w:rsid w:val="00E4486A"/>
    <w:rsid w:val="00E45120"/>
    <w:rsid w:val="00E45A43"/>
    <w:rsid w:val="00E46869"/>
    <w:rsid w:val="00E5019F"/>
    <w:rsid w:val="00E50AA3"/>
    <w:rsid w:val="00E55BC1"/>
    <w:rsid w:val="00E577CA"/>
    <w:rsid w:val="00E6559F"/>
    <w:rsid w:val="00E67119"/>
    <w:rsid w:val="00E70DA7"/>
    <w:rsid w:val="00E71029"/>
    <w:rsid w:val="00E74A77"/>
    <w:rsid w:val="00E77C14"/>
    <w:rsid w:val="00E8015A"/>
    <w:rsid w:val="00E803F6"/>
    <w:rsid w:val="00E81BE6"/>
    <w:rsid w:val="00E81BFC"/>
    <w:rsid w:val="00E906B2"/>
    <w:rsid w:val="00EA23A0"/>
    <w:rsid w:val="00EA4A81"/>
    <w:rsid w:val="00EB10E1"/>
    <w:rsid w:val="00EB2D32"/>
    <w:rsid w:val="00EB36B8"/>
    <w:rsid w:val="00EC0617"/>
    <w:rsid w:val="00EC066A"/>
    <w:rsid w:val="00EC3BA1"/>
    <w:rsid w:val="00EC5CE6"/>
    <w:rsid w:val="00EC6C36"/>
    <w:rsid w:val="00ED07B6"/>
    <w:rsid w:val="00ED1177"/>
    <w:rsid w:val="00ED1225"/>
    <w:rsid w:val="00ED2D42"/>
    <w:rsid w:val="00ED54AB"/>
    <w:rsid w:val="00ED5E6C"/>
    <w:rsid w:val="00EE11BE"/>
    <w:rsid w:val="00EE42FE"/>
    <w:rsid w:val="00EE6529"/>
    <w:rsid w:val="00EF2DB8"/>
    <w:rsid w:val="00EF503D"/>
    <w:rsid w:val="00EF5685"/>
    <w:rsid w:val="00EF751F"/>
    <w:rsid w:val="00F03AD4"/>
    <w:rsid w:val="00F03B3A"/>
    <w:rsid w:val="00F05508"/>
    <w:rsid w:val="00F072B9"/>
    <w:rsid w:val="00F11121"/>
    <w:rsid w:val="00F124C5"/>
    <w:rsid w:val="00F12558"/>
    <w:rsid w:val="00F16FC4"/>
    <w:rsid w:val="00F170C5"/>
    <w:rsid w:val="00F20C13"/>
    <w:rsid w:val="00F20C85"/>
    <w:rsid w:val="00F21F20"/>
    <w:rsid w:val="00F22155"/>
    <w:rsid w:val="00F225B2"/>
    <w:rsid w:val="00F2676A"/>
    <w:rsid w:val="00F27BF2"/>
    <w:rsid w:val="00F314B6"/>
    <w:rsid w:val="00F327BB"/>
    <w:rsid w:val="00F338B6"/>
    <w:rsid w:val="00F436FC"/>
    <w:rsid w:val="00F46260"/>
    <w:rsid w:val="00F46E88"/>
    <w:rsid w:val="00F52E2E"/>
    <w:rsid w:val="00F548ED"/>
    <w:rsid w:val="00F55C57"/>
    <w:rsid w:val="00F56042"/>
    <w:rsid w:val="00F566C4"/>
    <w:rsid w:val="00F62CA9"/>
    <w:rsid w:val="00F62E55"/>
    <w:rsid w:val="00F65891"/>
    <w:rsid w:val="00F709FC"/>
    <w:rsid w:val="00F72FE5"/>
    <w:rsid w:val="00F74D57"/>
    <w:rsid w:val="00F81304"/>
    <w:rsid w:val="00F814E9"/>
    <w:rsid w:val="00F82091"/>
    <w:rsid w:val="00F867C1"/>
    <w:rsid w:val="00F86EB4"/>
    <w:rsid w:val="00F87183"/>
    <w:rsid w:val="00F8744A"/>
    <w:rsid w:val="00F87FEE"/>
    <w:rsid w:val="00F95411"/>
    <w:rsid w:val="00FA359C"/>
    <w:rsid w:val="00FA685F"/>
    <w:rsid w:val="00FB1E2A"/>
    <w:rsid w:val="00FB2DAC"/>
    <w:rsid w:val="00FB3EEC"/>
    <w:rsid w:val="00FC06AB"/>
    <w:rsid w:val="00FC12AD"/>
    <w:rsid w:val="00FC2E3A"/>
    <w:rsid w:val="00FC7438"/>
    <w:rsid w:val="00FD22AF"/>
    <w:rsid w:val="00FD3A9E"/>
    <w:rsid w:val="00FD483F"/>
    <w:rsid w:val="00FD5871"/>
    <w:rsid w:val="00FD5AB8"/>
    <w:rsid w:val="00FD62F9"/>
    <w:rsid w:val="00FE03C3"/>
    <w:rsid w:val="00FE1155"/>
    <w:rsid w:val="00FF085A"/>
    <w:rsid w:val="00FF38F7"/>
    <w:rsid w:val="00FF47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50BE9C"/>
  <w15:docId w15:val="{56F99E02-6E61-4E43-9D38-9D0A88089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D26"/>
    <w:pPr>
      <w:spacing w:after="200" w:line="276" w:lineRule="auto"/>
    </w:pPr>
  </w:style>
  <w:style w:type="paragraph" w:styleId="Heading1">
    <w:name w:val="heading 1"/>
    <w:basedOn w:val="Normal"/>
    <w:next w:val="Normal"/>
    <w:link w:val="Heading1Char"/>
    <w:uiPriority w:val="9"/>
    <w:qFormat/>
    <w:locked/>
    <w:rsid w:val="005B68A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semiHidden/>
    <w:unhideWhenUsed/>
    <w:qFormat/>
    <w:locked/>
    <w:rsid w:val="000556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A22EF"/>
    <w:pPr>
      <w:ind w:left="720"/>
      <w:contextualSpacing/>
    </w:pPr>
  </w:style>
  <w:style w:type="paragraph" w:styleId="NormalWeb">
    <w:name w:val="Normal (Web)"/>
    <w:basedOn w:val="Normal"/>
    <w:uiPriority w:val="99"/>
    <w:semiHidden/>
    <w:rsid w:val="002C7E10"/>
    <w:pPr>
      <w:spacing w:before="100" w:beforeAutospacing="1" w:after="100" w:afterAutospacing="1" w:line="240" w:lineRule="auto"/>
    </w:pPr>
    <w:rPr>
      <w:rFonts w:ascii="Times New Roman" w:hAnsi="Times New Roman"/>
      <w:sz w:val="24"/>
      <w:szCs w:val="24"/>
    </w:rPr>
  </w:style>
  <w:style w:type="table" w:styleId="TableGrid">
    <w:name w:val="Table Grid"/>
    <w:basedOn w:val="TableNormal"/>
    <w:uiPriority w:val="99"/>
    <w:rsid w:val="00F4626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1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21ED"/>
    <w:rPr>
      <w:rFonts w:ascii="Tahoma" w:hAnsi="Tahoma" w:cs="Tahoma"/>
      <w:sz w:val="16"/>
      <w:szCs w:val="16"/>
    </w:rPr>
  </w:style>
  <w:style w:type="paragraph" w:customStyle="1" w:styleId="Body1">
    <w:name w:val="Body 1"/>
    <w:uiPriority w:val="99"/>
    <w:rsid w:val="00F327BB"/>
    <w:pPr>
      <w:outlineLvl w:val="0"/>
    </w:pPr>
    <w:rPr>
      <w:rFonts w:ascii="Arial" w:eastAsia="Arial Unicode MS" w:hAnsi="Arial"/>
      <w:color w:val="000000"/>
      <w:szCs w:val="20"/>
      <w:u w:color="000000"/>
    </w:rPr>
  </w:style>
  <w:style w:type="paragraph" w:styleId="Header">
    <w:name w:val="header"/>
    <w:basedOn w:val="Normal"/>
    <w:link w:val="HeaderChar"/>
    <w:uiPriority w:val="99"/>
    <w:rsid w:val="0057681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57681A"/>
    <w:rPr>
      <w:rFonts w:cs="Times New Roman"/>
    </w:rPr>
  </w:style>
  <w:style w:type="paragraph" w:styleId="Footer">
    <w:name w:val="footer"/>
    <w:basedOn w:val="Normal"/>
    <w:link w:val="FooterChar"/>
    <w:uiPriority w:val="99"/>
    <w:rsid w:val="0057681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57681A"/>
    <w:rPr>
      <w:rFonts w:cs="Times New Roman"/>
    </w:rPr>
  </w:style>
  <w:style w:type="character" w:styleId="CommentReference">
    <w:name w:val="annotation reference"/>
    <w:basedOn w:val="DefaultParagraphFont"/>
    <w:uiPriority w:val="99"/>
    <w:semiHidden/>
    <w:rsid w:val="00214D91"/>
    <w:rPr>
      <w:rFonts w:cs="Times New Roman"/>
      <w:sz w:val="16"/>
      <w:szCs w:val="16"/>
    </w:rPr>
  </w:style>
  <w:style w:type="paragraph" w:styleId="CommentText">
    <w:name w:val="annotation text"/>
    <w:basedOn w:val="Normal"/>
    <w:link w:val="CommentTextChar"/>
    <w:uiPriority w:val="99"/>
    <w:semiHidden/>
    <w:rsid w:val="00214D9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214D91"/>
    <w:rPr>
      <w:rFonts w:cs="Times New Roman"/>
      <w:sz w:val="20"/>
      <w:szCs w:val="20"/>
    </w:rPr>
  </w:style>
  <w:style w:type="paragraph" w:styleId="CommentSubject">
    <w:name w:val="annotation subject"/>
    <w:basedOn w:val="CommentText"/>
    <w:next w:val="CommentText"/>
    <w:link w:val="CommentSubjectChar"/>
    <w:uiPriority w:val="99"/>
    <w:semiHidden/>
    <w:rsid w:val="00214D91"/>
    <w:rPr>
      <w:b/>
      <w:bCs/>
    </w:rPr>
  </w:style>
  <w:style w:type="character" w:customStyle="1" w:styleId="CommentSubjectChar">
    <w:name w:val="Comment Subject Char"/>
    <w:basedOn w:val="CommentTextChar"/>
    <w:link w:val="CommentSubject"/>
    <w:uiPriority w:val="99"/>
    <w:semiHidden/>
    <w:locked/>
    <w:rsid w:val="00214D91"/>
    <w:rPr>
      <w:rFonts w:cs="Times New Roman"/>
      <w:b/>
      <w:bCs/>
      <w:sz w:val="20"/>
      <w:szCs w:val="20"/>
    </w:rPr>
  </w:style>
  <w:style w:type="character" w:styleId="Hyperlink">
    <w:name w:val="Hyperlink"/>
    <w:basedOn w:val="DefaultParagraphFont"/>
    <w:uiPriority w:val="99"/>
    <w:unhideWhenUsed/>
    <w:rsid w:val="00ED1225"/>
    <w:rPr>
      <w:color w:val="0000FF"/>
      <w:u w:val="single"/>
    </w:rPr>
  </w:style>
  <w:style w:type="paragraph" w:customStyle="1" w:styleId="Title1">
    <w:name w:val="Title1"/>
    <w:basedOn w:val="Normal"/>
    <w:rsid w:val="00ED1225"/>
    <w:pPr>
      <w:spacing w:before="100" w:beforeAutospacing="1" w:after="100" w:afterAutospacing="1" w:line="240" w:lineRule="auto"/>
    </w:pPr>
    <w:rPr>
      <w:rFonts w:ascii="Times New Roman" w:hAnsi="Times New Roman"/>
      <w:sz w:val="24"/>
      <w:szCs w:val="24"/>
      <w:lang w:val="nl-NL" w:eastAsia="nl-NL"/>
    </w:rPr>
  </w:style>
  <w:style w:type="paragraph" w:customStyle="1" w:styleId="desc">
    <w:name w:val="desc"/>
    <w:basedOn w:val="Normal"/>
    <w:rsid w:val="00ED1225"/>
    <w:pPr>
      <w:spacing w:before="100" w:beforeAutospacing="1" w:after="100" w:afterAutospacing="1" w:line="240" w:lineRule="auto"/>
    </w:pPr>
    <w:rPr>
      <w:rFonts w:ascii="Times New Roman" w:hAnsi="Times New Roman"/>
      <w:sz w:val="24"/>
      <w:szCs w:val="24"/>
      <w:lang w:val="nl-NL" w:eastAsia="nl-NL"/>
    </w:rPr>
  </w:style>
  <w:style w:type="paragraph" w:customStyle="1" w:styleId="details">
    <w:name w:val="details"/>
    <w:basedOn w:val="Normal"/>
    <w:rsid w:val="00ED1225"/>
    <w:pPr>
      <w:spacing w:before="100" w:beforeAutospacing="1" w:after="100" w:afterAutospacing="1" w:line="240" w:lineRule="auto"/>
    </w:pPr>
    <w:rPr>
      <w:rFonts w:ascii="Times New Roman" w:hAnsi="Times New Roman"/>
      <w:sz w:val="24"/>
      <w:szCs w:val="24"/>
      <w:lang w:val="nl-NL" w:eastAsia="nl-NL"/>
    </w:rPr>
  </w:style>
  <w:style w:type="character" w:customStyle="1" w:styleId="jrnl">
    <w:name w:val="jrnl"/>
    <w:basedOn w:val="DefaultParagraphFont"/>
    <w:rsid w:val="00ED1225"/>
  </w:style>
  <w:style w:type="character" w:styleId="FollowedHyperlink">
    <w:name w:val="FollowedHyperlink"/>
    <w:basedOn w:val="DefaultParagraphFont"/>
    <w:uiPriority w:val="99"/>
    <w:semiHidden/>
    <w:unhideWhenUsed/>
    <w:rsid w:val="00ED54AB"/>
    <w:rPr>
      <w:color w:val="800080" w:themeColor="followedHyperlink"/>
      <w:u w:val="single"/>
    </w:rPr>
  </w:style>
  <w:style w:type="character" w:customStyle="1" w:styleId="Heading1Char">
    <w:name w:val="Heading 1 Char"/>
    <w:basedOn w:val="DefaultParagraphFont"/>
    <w:link w:val="Heading1"/>
    <w:uiPriority w:val="9"/>
    <w:rsid w:val="005B68AC"/>
    <w:rPr>
      <w:rFonts w:asciiTheme="majorHAnsi" w:eastAsiaTheme="majorEastAsia" w:hAnsiTheme="majorHAnsi" w:cstheme="majorBidi"/>
      <w:color w:val="365F91" w:themeColor="accent1" w:themeShade="BF"/>
      <w:sz w:val="32"/>
      <w:szCs w:val="32"/>
    </w:rPr>
  </w:style>
  <w:style w:type="character" w:customStyle="1" w:styleId="apple-converted-space">
    <w:name w:val="apple-converted-space"/>
    <w:basedOn w:val="DefaultParagraphFont"/>
    <w:rsid w:val="005B68AC"/>
  </w:style>
  <w:style w:type="character" w:customStyle="1" w:styleId="al-author-name-more">
    <w:name w:val="al-author-name-more"/>
    <w:basedOn w:val="DefaultParagraphFont"/>
    <w:rsid w:val="005B68AC"/>
  </w:style>
  <w:style w:type="character" w:styleId="Emphasis">
    <w:name w:val="Emphasis"/>
    <w:basedOn w:val="DefaultParagraphFont"/>
    <w:uiPriority w:val="20"/>
    <w:qFormat/>
    <w:locked/>
    <w:rsid w:val="005B68AC"/>
    <w:rPr>
      <w:i/>
      <w:iCs/>
    </w:rPr>
  </w:style>
  <w:style w:type="paragraph" w:customStyle="1" w:styleId="Title2">
    <w:name w:val="Title2"/>
    <w:basedOn w:val="Normal"/>
    <w:rsid w:val="002A6CF6"/>
    <w:pPr>
      <w:spacing w:before="100" w:beforeAutospacing="1" w:after="100" w:afterAutospacing="1" w:line="240" w:lineRule="auto"/>
    </w:pPr>
    <w:rPr>
      <w:rFonts w:ascii="Times New Roman" w:eastAsiaTheme="minorEastAsia" w:hAnsi="Times New Roman"/>
      <w:sz w:val="24"/>
      <w:szCs w:val="24"/>
      <w:lang w:val="en-GB" w:eastAsia="en-GB"/>
    </w:rPr>
  </w:style>
  <w:style w:type="paragraph" w:customStyle="1" w:styleId="Title3">
    <w:name w:val="Title3"/>
    <w:basedOn w:val="Normal"/>
    <w:rsid w:val="00A207FE"/>
    <w:pPr>
      <w:spacing w:before="100" w:beforeAutospacing="1" w:after="100" w:afterAutospacing="1" w:line="240" w:lineRule="auto"/>
    </w:pPr>
    <w:rPr>
      <w:rFonts w:ascii="Times New Roman" w:eastAsiaTheme="minorEastAsia" w:hAnsi="Times New Roman"/>
      <w:sz w:val="24"/>
      <w:szCs w:val="24"/>
      <w:lang w:val="en-GB" w:eastAsia="en-GB"/>
    </w:rPr>
  </w:style>
  <w:style w:type="character" w:customStyle="1" w:styleId="highlight">
    <w:name w:val="highlight"/>
    <w:basedOn w:val="DefaultParagraphFont"/>
    <w:rsid w:val="00B67282"/>
  </w:style>
  <w:style w:type="character" w:customStyle="1" w:styleId="hlfld-contribauthor">
    <w:name w:val="hlfld-contribauthor"/>
    <w:basedOn w:val="DefaultParagraphFont"/>
    <w:rsid w:val="00915653"/>
  </w:style>
  <w:style w:type="character" w:customStyle="1" w:styleId="nlmgiven-names">
    <w:name w:val="nlm_given-names"/>
    <w:basedOn w:val="DefaultParagraphFont"/>
    <w:rsid w:val="00915653"/>
  </w:style>
  <w:style w:type="character" w:customStyle="1" w:styleId="nlmarticle-title">
    <w:name w:val="nlm_article-title"/>
    <w:basedOn w:val="DefaultParagraphFont"/>
    <w:rsid w:val="00915653"/>
  </w:style>
  <w:style w:type="character" w:customStyle="1" w:styleId="nlmyear">
    <w:name w:val="nlm_year"/>
    <w:basedOn w:val="DefaultParagraphFont"/>
    <w:rsid w:val="00915653"/>
  </w:style>
  <w:style w:type="character" w:customStyle="1" w:styleId="nlmfpage">
    <w:name w:val="nlm_fpage"/>
    <w:basedOn w:val="DefaultParagraphFont"/>
    <w:rsid w:val="00915653"/>
  </w:style>
  <w:style w:type="character" w:customStyle="1" w:styleId="nlmlpage">
    <w:name w:val="nlm_lpage"/>
    <w:basedOn w:val="DefaultParagraphFont"/>
    <w:rsid w:val="00915653"/>
  </w:style>
  <w:style w:type="character" w:customStyle="1" w:styleId="ref-links">
    <w:name w:val="ref-links"/>
    <w:basedOn w:val="DefaultParagraphFont"/>
    <w:rsid w:val="00915653"/>
  </w:style>
  <w:style w:type="character" w:customStyle="1" w:styleId="xlinks-container">
    <w:name w:val="xlinks-container"/>
    <w:basedOn w:val="DefaultParagraphFont"/>
    <w:rsid w:val="00915653"/>
  </w:style>
  <w:style w:type="character" w:customStyle="1" w:styleId="googlescholar-container">
    <w:name w:val="googlescholar-container"/>
    <w:basedOn w:val="DefaultParagraphFont"/>
    <w:rsid w:val="00915653"/>
  </w:style>
  <w:style w:type="character" w:customStyle="1" w:styleId="UnresolvedMention1">
    <w:name w:val="Unresolved Mention1"/>
    <w:basedOn w:val="DefaultParagraphFont"/>
    <w:uiPriority w:val="99"/>
    <w:rsid w:val="00A73F55"/>
    <w:rPr>
      <w:color w:val="605E5C"/>
      <w:shd w:val="clear" w:color="auto" w:fill="E1DFDD"/>
    </w:rPr>
  </w:style>
  <w:style w:type="character" w:customStyle="1" w:styleId="UnresolvedMention2">
    <w:name w:val="Unresolved Mention2"/>
    <w:basedOn w:val="DefaultParagraphFont"/>
    <w:uiPriority w:val="99"/>
    <w:semiHidden/>
    <w:unhideWhenUsed/>
    <w:rsid w:val="00A55054"/>
    <w:rPr>
      <w:color w:val="605E5C"/>
      <w:shd w:val="clear" w:color="auto" w:fill="E1DFDD"/>
    </w:rPr>
  </w:style>
  <w:style w:type="paragraph" w:styleId="FootnoteText">
    <w:name w:val="footnote text"/>
    <w:basedOn w:val="Normal"/>
    <w:link w:val="FootnoteTextChar"/>
    <w:uiPriority w:val="99"/>
    <w:semiHidden/>
    <w:unhideWhenUsed/>
    <w:rsid w:val="00750C7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0C77"/>
    <w:rPr>
      <w:sz w:val="20"/>
      <w:szCs w:val="20"/>
    </w:rPr>
  </w:style>
  <w:style w:type="character" w:styleId="FootnoteReference">
    <w:name w:val="footnote reference"/>
    <w:basedOn w:val="DefaultParagraphFont"/>
    <w:uiPriority w:val="99"/>
    <w:semiHidden/>
    <w:unhideWhenUsed/>
    <w:rsid w:val="00750C77"/>
    <w:rPr>
      <w:vertAlign w:val="superscript"/>
    </w:rPr>
  </w:style>
  <w:style w:type="character" w:customStyle="1" w:styleId="Heading3Char">
    <w:name w:val="Heading 3 Char"/>
    <w:basedOn w:val="DefaultParagraphFont"/>
    <w:link w:val="Heading3"/>
    <w:semiHidden/>
    <w:rsid w:val="0005569D"/>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C033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25564">
      <w:bodyDiv w:val="1"/>
      <w:marLeft w:val="0"/>
      <w:marRight w:val="0"/>
      <w:marTop w:val="0"/>
      <w:marBottom w:val="0"/>
      <w:divBdr>
        <w:top w:val="none" w:sz="0" w:space="0" w:color="auto"/>
        <w:left w:val="none" w:sz="0" w:space="0" w:color="auto"/>
        <w:bottom w:val="none" w:sz="0" w:space="0" w:color="auto"/>
        <w:right w:val="none" w:sz="0" w:space="0" w:color="auto"/>
      </w:divBdr>
      <w:divsChild>
        <w:div w:id="2044747837">
          <w:marLeft w:val="0"/>
          <w:marRight w:val="0"/>
          <w:marTop w:val="0"/>
          <w:marBottom w:val="0"/>
          <w:divBdr>
            <w:top w:val="none" w:sz="0" w:space="0" w:color="auto"/>
            <w:left w:val="none" w:sz="0" w:space="0" w:color="auto"/>
            <w:bottom w:val="none" w:sz="0" w:space="0" w:color="auto"/>
            <w:right w:val="none" w:sz="0" w:space="0" w:color="auto"/>
          </w:divBdr>
          <w:divsChild>
            <w:div w:id="1354041087">
              <w:marLeft w:val="0"/>
              <w:marRight w:val="0"/>
              <w:marTop w:val="0"/>
              <w:marBottom w:val="165"/>
              <w:divBdr>
                <w:top w:val="none" w:sz="0" w:space="0" w:color="auto"/>
                <w:left w:val="none" w:sz="0" w:space="0" w:color="auto"/>
                <w:bottom w:val="none" w:sz="0" w:space="0" w:color="auto"/>
                <w:right w:val="none" w:sz="0" w:space="0" w:color="auto"/>
              </w:divBdr>
            </w:div>
          </w:divsChild>
        </w:div>
        <w:div w:id="2086879897">
          <w:marLeft w:val="0"/>
          <w:marRight w:val="0"/>
          <w:marTop w:val="165"/>
          <w:marBottom w:val="165"/>
          <w:divBdr>
            <w:top w:val="none" w:sz="0" w:space="0" w:color="auto"/>
            <w:left w:val="none" w:sz="0" w:space="0" w:color="auto"/>
            <w:bottom w:val="none" w:sz="0" w:space="0" w:color="auto"/>
            <w:right w:val="none" w:sz="0" w:space="0" w:color="auto"/>
          </w:divBdr>
          <w:divsChild>
            <w:div w:id="1663393061">
              <w:marLeft w:val="0"/>
              <w:marRight w:val="0"/>
              <w:marTop w:val="0"/>
              <w:marBottom w:val="0"/>
              <w:divBdr>
                <w:top w:val="none" w:sz="0" w:space="0" w:color="auto"/>
                <w:left w:val="none" w:sz="0" w:space="0" w:color="auto"/>
                <w:bottom w:val="none" w:sz="0" w:space="0" w:color="auto"/>
                <w:right w:val="none" w:sz="0" w:space="0" w:color="auto"/>
              </w:divBdr>
              <w:divsChild>
                <w:div w:id="40645824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41823257">
      <w:bodyDiv w:val="1"/>
      <w:marLeft w:val="0"/>
      <w:marRight w:val="0"/>
      <w:marTop w:val="0"/>
      <w:marBottom w:val="0"/>
      <w:divBdr>
        <w:top w:val="none" w:sz="0" w:space="0" w:color="auto"/>
        <w:left w:val="none" w:sz="0" w:space="0" w:color="auto"/>
        <w:bottom w:val="none" w:sz="0" w:space="0" w:color="auto"/>
        <w:right w:val="none" w:sz="0" w:space="0" w:color="auto"/>
      </w:divBdr>
      <w:divsChild>
        <w:div w:id="486555434">
          <w:marLeft w:val="0"/>
          <w:marRight w:val="0"/>
          <w:marTop w:val="0"/>
          <w:marBottom w:val="0"/>
          <w:divBdr>
            <w:top w:val="none" w:sz="0" w:space="0" w:color="auto"/>
            <w:left w:val="none" w:sz="0" w:space="0" w:color="auto"/>
            <w:bottom w:val="none" w:sz="0" w:space="0" w:color="auto"/>
            <w:right w:val="none" w:sz="0" w:space="0" w:color="auto"/>
          </w:divBdr>
          <w:divsChild>
            <w:div w:id="227108211">
              <w:marLeft w:val="-225"/>
              <w:marRight w:val="-225"/>
              <w:marTop w:val="0"/>
              <w:marBottom w:val="0"/>
              <w:divBdr>
                <w:top w:val="none" w:sz="0" w:space="0" w:color="auto"/>
                <w:left w:val="none" w:sz="0" w:space="0" w:color="auto"/>
                <w:bottom w:val="none" w:sz="0" w:space="0" w:color="auto"/>
                <w:right w:val="none" w:sz="0" w:space="0" w:color="auto"/>
              </w:divBdr>
              <w:divsChild>
                <w:div w:id="7891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08118">
          <w:marLeft w:val="-225"/>
          <w:marRight w:val="-225"/>
          <w:marTop w:val="0"/>
          <w:marBottom w:val="0"/>
          <w:divBdr>
            <w:top w:val="none" w:sz="0" w:space="0" w:color="auto"/>
            <w:left w:val="none" w:sz="0" w:space="0" w:color="auto"/>
            <w:bottom w:val="none" w:sz="0" w:space="0" w:color="auto"/>
            <w:right w:val="none" w:sz="0" w:space="0" w:color="auto"/>
          </w:divBdr>
          <w:divsChild>
            <w:div w:id="138969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2537">
      <w:bodyDiv w:val="1"/>
      <w:marLeft w:val="0"/>
      <w:marRight w:val="0"/>
      <w:marTop w:val="0"/>
      <w:marBottom w:val="0"/>
      <w:divBdr>
        <w:top w:val="none" w:sz="0" w:space="0" w:color="auto"/>
        <w:left w:val="none" w:sz="0" w:space="0" w:color="auto"/>
        <w:bottom w:val="none" w:sz="0" w:space="0" w:color="auto"/>
        <w:right w:val="none" w:sz="0" w:space="0" w:color="auto"/>
      </w:divBdr>
      <w:divsChild>
        <w:div w:id="2092311705">
          <w:marLeft w:val="0"/>
          <w:marRight w:val="0"/>
          <w:marTop w:val="34"/>
          <w:marBottom w:val="34"/>
          <w:divBdr>
            <w:top w:val="none" w:sz="0" w:space="0" w:color="auto"/>
            <w:left w:val="none" w:sz="0" w:space="0" w:color="auto"/>
            <w:bottom w:val="none" w:sz="0" w:space="0" w:color="auto"/>
            <w:right w:val="none" w:sz="0" w:space="0" w:color="auto"/>
          </w:divBdr>
          <w:divsChild>
            <w:div w:id="221596410">
              <w:marLeft w:val="0"/>
              <w:marRight w:val="0"/>
              <w:marTop w:val="0"/>
              <w:marBottom w:val="0"/>
              <w:divBdr>
                <w:top w:val="none" w:sz="0" w:space="0" w:color="auto"/>
                <w:left w:val="none" w:sz="0" w:space="0" w:color="auto"/>
                <w:bottom w:val="none" w:sz="0" w:space="0" w:color="auto"/>
                <w:right w:val="none" w:sz="0" w:space="0" w:color="auto"/>
              </w:divBdr>
              <w:divsChild>
                <w:div w:id="1765612206">
                  <w:marLeft w:val="0"/>
                  <w:marRight w:val="0"/>
                  <w:marTop w:val="34"/>
                  <w:marBottom w:val="34"/>
                  <w:divBdr>
                    <w:top w:val="none" w:sz="0" w:space="0" w:color="auto"/>
                    <w:left w:val="none" w:sz="0" w:space="0" w:color="auto"/>
                    <w:bottom w:val="none" w:sz="0" w:space="0" w:color="auto"/>
                    <w:right w:val="none" w:sz="0" w:space="0" w:color="auto"/>
                  </w:divBdr>
                </w:div>
                <w:div w:id="63001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235412">
      <w:bodyDiv w:val="1"/>
      <w:marLeft w:val="0"/>
      <w:marRight w:val="0"/>
      <w:marTop w:val="0"/>
      <w:marBottom w:val="0"/>
      <w:divBdr>
        <w:top w:val="none" w:sz="0" w:space="0" w:color="auto"/>
        <w:left w:val="none" w:sz="0" w:space="0" w:color="auto"/>
        <w:bottom w:val="none" w:sz="0" w:space="0" w:color="auto"/>
        <w:right w:val="none" w:sz="0" w:space="0" w:color="auto"/>
      </w:divBdr>
      <w:divsChild>
        <w:div w:id="903681320">
          <w:marLeft w:val="0"/>
          <w:marRight w:val="0"/>
          <w:marTop w:val="0"/>
          <w:marBottom w:val="0"/>
          <w:divBdr>
            <w:top w:val="none" w:sz="0" w:space="0" w:color="auto"/>
            <w:left w:val="none" w:sz="0" w:space="0" w:color="auto"/>
            <w:bottom w:val="none" w:sz="0" w:space="0" w:color="auto"/>
            <w:right w:val="none" w:sz="0" w:space="0" w:color="auto"/>
          </w:divBdr>
          <w:divsChild>
            <w:div w:id="1320839493">
              <w:marLeft w:val="0"/>
              <w:marRight w:val="0"/>
              <w:marTop w:val="0"/>
              <w:marBottom w:val="0"/>
              <w:divBdr>
                <w:top w:val="none" w:sz="0" w:space="0" w:color="auto"/>
                <w:left w:val="none" w:sz="0" w:space="0" w:color="auto"/>
                <w:bottom w:val="none" w:sz="0" w:space="0" w:color="auto"/>
                <w:right w:val="none" w:sz="0" w:space="0" w:color="auto"/>
              </w:divBdr>
              <w:divsChild>
                <w:div w:id="1788505725">
                  <w:marLeft w:val="0"/>
                  <w:marRight w:val="0"/>
                  <w:marTop w:val="0"/>
                  <w:marBottom w:val="0"/>
                  <w:divBdr>
                    <w:top w:val="none" w:sz="0" w:space="0" w:color="auto"/>
                    <w:left w:val="none" w:sz="0" w:space="0" w:color="auto"/>
                    <w:bottom w:val="none" w:sz="0" w:space="0" w:color="auto"/>
                    <w:right w:val="none" w:sz="0" w:space="0" w:color="auto"/>
                  </w:divBdr>
                  <w:divsChild>
                    <w:div w:id="1363823951">
                      <w:marLeft w:val="0"/>
                      <w:marRight w:val="0"/>
                      <w:marTop w:val="0"/>
                      <w:marBottom w:val="0"/>
                      <w:divBdr>
                        <w:top w:val="none" w:sz="0" w:space="0" w:color="auto"/>
                        <w:left w:val="none" w:sz="0" w:space="0" w:color="auto"/>
                        <w:bottom w:val="none" w:sz="0" w:space="0" w:color="auto"/>
                        <w:right w:val="none" w:sz="0" w:space="0" w:color="auto"/>
                      </w:divBdr>
                      <w:divsChild>
                        <w:div w:id="283318279">
                          <w:marLeft w:val="0"/>
                          <w:marRight w:val="0"/>
                          <w:marTop w:val="0"/>
                          <w:marBottom w:val="0"/>
                          <w:divBdr>
                            <w:top w:val="none" w:sz="0" w:space="0" w:color="auto"/>
                            <w:left w:val="none" w:sz="0" w:space="0" w:color="auto"/>
                            <w:bottom w:val="none" w:sz="0" w:space="0" w:color="auto"/>
                            <w:right w:val="none" w:sz="0" w:space="0" w:color="auto"/>
                          </w:divBdr>
                          <w:divsChild>
                            <w:div w:id="601113685">
                              <w:marLeft w:val="0"/>
                              <w:marRight w:val="0"/>
                              <w:marTop w:val="0"/>
                              <w:marBottom w:val="0"/>
                              <w:divBdr>
                                <w:top w:val="none" w:sz="0" w:space="0" w:color="auto"/>
                                <w:left w:val="none" w:sz="0" w:space="0" w:color="auto"/>
                                <w:bottom w:val="none" w:sz="0" w:space="0" w:color="auto"/>
                                <w:right w:val="none" w:sz="0" w:space="0" w:color="auto"/>
                              </w:divBdr>
                              <w:divsChild>
                                <w:div w:id="664239464">
                                  <w:marLeft w:val="0"/>
                                  <w:marRight w:val="0"/>
                                  <w:marTop w:val="0"/>
                                  <w:marBottom w:val="0"/>
                                  <w:divBdr>
                                    <w:top w:val="none" w:sz="0" w:space="0" w:color="auto"/>
                                    <w:left w:val="none" w:sz="0" w:space="0" w:color="auto"/>
                                    <w:bottom w:val="none" w:sz="0" w:space="0" w:color="auto"/>
                                    <w:right w:val="none" w:sz="0" w:space="0" w:color="auto"/>
                                  </w:divBdr>
                                  <w:divsChild>
                                    <w:div w:id="695273337">
                                      <w:marLeft w:val="0"/>
                                      <w:marRight w:val="0"/>
                                      <w:marTop w:val="0"/>
                                      <w:marBottom w:val="0"/>
                                      <w:divBdr>
                                        <w:top w:val="none" w:sz="0" w:space="0" w:color="auto"/>
                                        <w:left w:val="none" w:sz="0" w:space="0" w:color="auto"/>
                                        <w:bottom w:val="none" w:sz="0" w:space="0" w:color="auto"/>
                                        <w:right w:val="none" w:sz="0" w:space="0" w:color="auto"/>
                                      </w:divBdr>
                                      <w:divsChild>
                                        <w:div w:id="14462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3308432">
      <w:bodyDiv w:val="1"/>
      <w:marLeft w:val="0"/>
      <w:marRight w:val="0"/>
      <w:marTop w:val="0"/>
      <w:marBottom w:val="0"/>
      <w:divBdr>
        <w:top w:val="none" w:sz="0" w:space="0" w:color="auto"/>
        <w:left w:val="none" w:sz="0" w:space="0" w:color="auto"/>
        <w:bottom w:val="none" w:sz="0" w:space="0" w:color="auto"/>
        <w:right w:val="none" w:sz="0" w:space="0" w:color="auto"/>
      </w:divBdr>
    </w:div>
    <w:div w:id="823814393">
      <w:bodyDiv w:val="1"/>
      <w:marLeft w:val="0"/>
      <w:marRight w:val="0"/>
      <w:marTop w:val="0"/>
      <w:marBottom w:val="0"/>
      <w:divBdr>
        <w:top w:val="none" w:sz="0" w:space="0" w:color="auto"/>
        <w:left w:val="none" w:sz="0" w:space="0" w:color="auto"/>
        <w:bottom w:val="none" w:sz="0" w:space="0" w:color="auto"/>
        <w:right w:val="none" w:sz="0" w:space="0" w:color="auto"/>
      </w:divBdr>
      <w:divsChild>
        <w:div w:id="113402311">
          <w:marLeft w:val="420"/>
          <w:marRight w:val="0"/>
          <w:marTop w:val="0"/>
          <w:marBottom w:val="0"/>
          <w:divBdr>
            <w:top w:val="none" w:sz="0" w:space="0" w:color="auto"/>
            <w:left w:val="none" w:sz="0" w:space="0" w:color="auto"/>
            <w:bottom w:val="none" w:sz="0" w:space="0" w:color="auto"/>
            <w:right w:val="none" w:sz="0" w:space="0" w:color="auto"/>
          </w:divBdr>
          <w:divsChild>
            <w:div w:id="41205268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 w:id="911694824">
      <w:bodyDiv w:val="1"/>
      <w:marLeft w:val="0"/>
      <w:marRight w:val="0"/>
      <w:marTop w:val="0"/>
      <w:marBottom w:val="0"/>
      <w:divBdr>
        <w:top w:val="none" w:sz="0" w:space="0" w:color="auto"/>
        <w:left w:val="none" w:sz="0" w:space="0" w:color="auto"/>
        <w:bottom w:val="none" w:sz="0" w:space="0" w:color="auto"/>
        <w:right w:val="none" w:sz="0" w:space="0" w:color="auto"/>
      </w:divBdr>
    </w:div>
    <w:div w:id="916209474">
      <w:bodyDiv w:val="1"/>
      <w:marLeft w:val="0"/>
      <w:marRight w:val="0"/>
      <w:marTop w:val="0"/>
      <w:marBottom w:val="0"/>
      <w:divBdr>
        <w:top w:val="none" w:sz="0" w:space="0" w:color="auto"/>
        <w:left w:val="none" w:sz="0" w:space="0" w:color="auto"/>
        <w:bottom w:val="none" w:sz="0" w:space="0" w:color="auto"/>
        <w:right w:val="none" w:sz="0" w:space="0" w:color="auto"/>
      </w:divBdr>
    </w:div>
    <w:div w:id="1003583744">
      <w:bodyDiv w:val="1"/>
      <w:marLeft w:val="0"/>
      <w:marRight w:val="0"/>
      <w:marTop w:val="0"/>
      <w:marBottom w:val="0"/>
      <w:divBdr>
        <w:top w:val="none" w:sz="0" w:space="0" w:color="auto"/>
        <w:left w:val="none" w:sz="0" w:space="0" w:color="auto"/>
        <w:bottom w:val="none" w:sz="0" w:space="0" w:color="auto"/>
        <w:right w:val="none" w:sz="0" w:space="0" w:color="auto"/>
      </w:divBdr>
    </w:div>
    <w:div w:id="1049647061">
      <w:bodyDiv w:val="1"/>
      <w:marLeft w:val="0"/>
      <w:marRight w:val="0"/>
      <w:marTop w:val="0"/>
      <w:marBottom w:val="0"/>
      <w:divBdr>
        <w:top w:val="none" w:sz="0" w:space="0" w:color="auto"/>
        <w:left w:val="none" w:sz="0" w:space="0" w:color="auto"/>
        <w:bottom w:val="none" w:sz="0" w:space="0" w:color="auto"/>
        <w:right w:val="none" w:sz="0" w:space="0" w:color="auto"/>
      </w:divBdr>
    </w:div>
    <w:div w:id="1050963393">
      <w:bodyDiv w:val="1"/>
      <w:marLeft w:val="0"/>
      <w:marRight w:val="0"/>
      <w:marTop w:val="0"/>
      <w:marBottom w:val="0"/>
      <w:divBdr>
        <w:top w:val="none" w:sz="0" w:space="0" w:color="auto"/>
        <w:left w:val="none" w:sz="0" w:space="0" w:color="auto"/>
        <w:bottom w:val="none" w:sz="0" w:space="0" w:color="auto"/>
        <w:right w:val="none" w:sz="0" w:space="0" w:color="auto"/>
      </w:divBdr>
      <w:divsChild>
        <w:div w:id="255289016">
          <w:marLeft w:val="0"/>
          <w:marRight w:val="1"/>
          <w:marTop w:val="0"/>
          <w:marBottom w:val="0"/>
          <w:divBdr>
            <w:top w:val="none" w:sz="0" w:space="0" w:color="auto"/>
            <w:left w:val="none" w:sz="0" w:space="0" w:color="auto"/>
            <w:bottom w:val="none" w:sz="0" w:space="0" w:color="auto"/>
            <w:right w:val="none" w:sz="0" w:space="0" w:color="auto"/>
          </w:divBdr>
          <w:divsChild>
            <w:div w:id="215774523">
              <w:marLeft w:val="0"/>
              <w:marRight w:val="0"/>
              <w:marTop w:val="0"/>
              <w:marBottom w:val="0"/>
              <w:divBdr>
                <w:top w:val="none" w:sz="0" w:space="0" w:color="auto"/>
                <w:left w:val="none" w:sz="0" w:space="0" w:color="auto"/>
                <w:bottom w:val="none" w:sz="0" w:space="0" w:color="auto"/>
                <w:right w:val="none" w:sz="0" w:space="0" w:color="auto"/>
              </w:divBdr>
              <w:divsChild>
                <w:div w:id="322970760">
                  <w:marLeft w:val="0"/>
                  <w:marRight w:val="1"/>
                  <w:marTop w:val="0"/>
                  <w:marBottom w:val="0"/>
                  <w:divBdr>
                    <w:top w:val="none" w:sz="0" w:space="0" w:color="auto"/>
                    <w:left w:val="none" w:sz="0" w:space="0" w:color="auto"/>
                    <w:bottom w:val="none" w:sz="0" w:space="0" w:color="auto"/>
                    <w:right w:val="none" w:sz="0" w:space="0" w:color="auto"/>
                  </w:divBdr>
                  <w:divsChild>
                    <w:div w:id="1906641287">
                      <w:marLeft w:val="0"/>
                      <w:marRight w:val="0"/>
                      <w:marTop w:val="0"/>
                      <w:marBottom w:val="0"/>
                      <w:divBdr>
                        <w:top w:val="none" w:sz="0" w:space="0" w:color="auto"/>
                        <w:left w:val="none" w:sz="0" w:space="0" w:color="auto"/>
                        <w:bottom w:val="none" w:sz="0" w:space="0" w:color="auto"/>
                        <w:right w:val="none" w:sz="0" w:space="0" w:color="auto"/>
                      </w:divBdr>
                      <w:divsChild>
                        <w:div w:id="1872256917">
                          <w:marLeft w:val="0"/>
                          <w:marRight w:val="0"/>
                          <w:marTop w:val="0"/>
                          <w:marBottom w:val="0"/>
                          <w:divBdr>
                            <w:top w:val="none" w:sz="0" w:space="0" w:color="auto"/>
                            <w:left w:val="none" w:sz="0" w:space="0" w:color="auto"/>
                            <w:bottom w:val="none" w:sz="0" w:space="0" w:color="auto"/>
                            <w:right w:val="none" w:sz="0" w:space="0" w:color="auto"/>
                          </w:divBdr>
                          <w:divsChild>
                            <w:div w:id="352806151">
                              <w:marLeft w:val="0"/>
                              <w:marRight w:val="0"/>
                              <w:marTop w:val="120"/>
                              <w:marBottom w:val="360"/>
                              <w:divBdr>
                                <w:top w:val="none" w:sz="0" w:space="0" w:color="auto"/>
                                <w:left w:val="none" w:sz="0" w:space="0" w:color="auto"/>
                                <w:bottom w:val="none" w:sz="0" w:space="0" w:color="auto"/>
                                <w:right w:val="none" w:sz="0" w:space="0" w:color="auto"/>
                              </w:divBdr>
                              <w:divsChild>
                                <w:div w:id="497161153">
                                  <w:marLeft w:val="0"/>
                                  <w:marRight w:val="0"/>
                                  <w:marTop w:val="0"/>
                                  <w:marBottom w:val="0"/>
                                  <w:divBdr>
                                    <w:top w:val="none" w:sz="0" w:space="0" w:color="auto"/>
                                    <w:left w:val="none" w:sz="0" w:space="0" w:color="auto"/>
                                    <w:bottom w:val="none" w:sz="0" w:space="0" w:color="auto"/>
                                    <w:right w:val="none" w:sz="0" w:space="0" w:color="auto"/>
                                  </w:divBdr>
                                </w:div>
                                <w:div w:id="132979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761804">
      <w:bodyDiv w:val="1"/>
      <w:marLeft w:val="0"/>
      <w:marRight w:val="0"/>
      <w:marTop w:val="0"/>
      <w:marBottom w:val="0"/>
      <w:divBdr>
        <w:top w:val="none" w:sz="0" w:space="0" w:color="auto"/>
        <w:left w:val="none" w:sz="0" w:space="0" w:color="auto"/>
        <w:bottom w:val="none" w:sz="0" w:space="0" w:color="auto"/>
        <w:right w:val="none" w:sz="0" w:space="0" w:color="auto"/>
      </w:divBdr>
      <w:divsChild>
        <w:div w:id="1977754278">
          <w:marLeft w:val="0"/>
          <w:marRight w:val="0"/>
          <w:marTop w:val="34"/>
          <w:marBottom w:val="34"/>
          <w:divBdr>
            <w:top w:val="none" w:sz="0" w:space="0" w:color="auto"/>
            <w:left w:val="none" w:sz="0" w:space="0" w:color="auto"/>
            <w:bottom w:val="none" w:sz="0" w:space="0" w:color="auto"/>
            <w:right w:val="none" w:sz="0" w:space="0" w:color="auto"/>
          </w:divBdr>
        </w:div>
      </w:divsChild>
    </w:div>
    <w:div w:id="1123961027">
      <w:bodyDiv w:val="1"/>
      <w:marLeft w:val="0"/>
      <w:marRight w:val="0"/>
      <w:marTop w:val="0"/>
      <w:marBottom w:val="0"/>
      <w:divBdr>
        <w:top w:val="none" w:sz="0" w:space="0" w:color="auto"/>
        <w:left w:val="none" w:sz="0" w:space="0" w:color="auto"/>
        <w:bottom w:val="none" w:sz="0" w:space="0" w:color="auto"/>
        <w:right w:val="none" w:sz="0" w:space="0" w:color="auto"/>
      </w:divBdr>
      <w:divsChild>
        <w:div w:id="1804737870">
          <w:marLeft w:val="0"/>
          <w:marRight w:val="0"/>
          <w:marTop w:val="34"/>
          <w:marBottom w:val="34"/>
          <w:divBdr>
            <w:top w:val="none" w:sz="0" w:space="0" w:color="auto"/>
            <w:left w:val="none" w:sz="0" w:space="0" w:color="auto"/>
            <w:bottom w:val="none" w:sz="0" w:space="0" w:color="auto"/>
            <w:right w:val="none" w:sz="0" w:space="0" w:color="auto"/>
          </w:divBdr>
        </w:div>
      </w:divsChild>
    </w:div>
    <w:div w:id="1211725711">
      <w:bodyDiv w:val="1"/>
      <w:marLeft w:val="0"/>
      <w:marRight w:val="0"/>
      <w:marTop w:val="0"/>
      <w:marBottom w:val="0"/>
      <w:divBdr>
        <w:top w:val="none" w:sz="0" w:space="0" w:color="auto"/>
        <w:left w:val="none" w:sz="0" w:space="0" w:color="auto"/>
        <w:bottom w:val="none" w:sz="0" w:space="0" w:color="auto"/>
        <w:right w:val="none" w:sz="0" w:space="0" w:color="auto"/>
      </w:divBdr>
      <w:divsChild>
        <w:div w:id="1585140902">
          <w:marLeft w:val="0"/>
          <w:marRight w:val="0"/>
          <w:marTop w:val="0"/>
          <w:marBottom w:val="166"/>
          <w:divBdr>
            <w:top w:val="none" w:sz="0" w:space="0" w:color="auto"/>
            <w:left w:val="none" w:sz="0" w:space="0" w:color="auto"/>
            <w:bottom w:val="none" w:sz="0" w:space="0" w:color="auto"/>
            <w:right w:val="none" w:sz="0" w:space="0" w:color="auto"/>
          </w:divBdr>
          <w:divsChild>
            <w:div w:id="458377757">
              <w:marLeft w:val="0"/>
              <w:marRight w:val="0"/>
              <w:marTop w:val="0"/>
              <w:marBottom w:val="0"/>
              <w:divBdr>
                <w:top w:val="none" w:sz="0" w:space="0" w:color="auto"/>
                <w:left w:val="none" w:sz="0" w:space="0" w:color="auto"/>
                <w:bottom w:val="none" w:sz="0" w:space="0" w:color="auto"/>
                <w:right w:val="none" w:sz="0" w:space="0" w:color="auto"/>
              </w:divBdr>
              <w:divsChild>
                <w:div w:id="344403434">
                  <w:marLeft w:val="0"/>
                  <w:marRight w:val="0"/>
                  <w:marTop w:val="0"/>
                  <w:marBottom w:val="0"/>
                  <w:divBdr>
                    <w:top w:val="none" w:sz="0" w:space="0" w:color="auto"/>
                    <w:left w:val="none" w:sz="0" w:space="0" w:color="auto"/>
                    <w:bottom w:val="none" w:sz="0" w:space="0" w:color="auto"/>
                    <w:right w:val="none" w:sz="0" w:space="0" w:color="auto"/>
                  </w:divBdr>
                  <w:divsChild>
                    <w:div w:id="560485983">
                      <w:marLeft w:val="0"/>
                      <w:marRight w:val="0"/>
                      <w:marTop w:val="0"/>
                      <w:marBottom w:val="0"/>
                      <w:divBdr>
                        <w:top w:val="none" w:sz="0" w:space="0" w:color="auto"/>
                        <w:left w:val="none" w:sz="0" w:space="0" w:color="auto"/>
                        <w:bottom w:val="none" w:sz="0" w:space="0" w:color="auto"/>
                        <w:right w:val="none" w:sz="0" w:space="0" w:color="auto"/>
                      </w:divBdr>
                    </w:div>
                    <w:div w:id="471216718">
                      <w:marLeft w:val="0"/>
                      <w:marRight w:val="0"/>
                      <w:marTop w:val="0"/>
                      <w:marBottom w:val="0"/>
                      <w:divBdr>
                        <w:top w:val="none" w:sz="0" w:space="0" w:color="auto"/>
                        <w:left w:val="none" w:sz="0" w:space="0" w:color="auto"/>
                        <w:bottom w:val="none" w:sz="0" w:space="0" w:color="auto"/>
                        <w:right w:val="none" w:sz="0" w:space="0" w:color="auto"/>
                      </w:divBdr>
                    </w:div>
                    <w:div w:id="1244143899">
                      <w:marLeft w:val="240"/>
                      <w:marRight w:val="0"/>
                      <w:marTop w:val="0"/>
                      <w:marBottom w:val="0"/>
                      <w:divBdr>
                        <w:top w:val="none" w:sz="0" w:space="0" w:color="auto"/>
                        <w:left w:val="none" w:sz="0" w:space="0" w:color="auto"/>
                        <w:bottom w:val="none" w:sz="0" w:space="0" w:color="auto"/>
                        <w:right w:val="none" w:sz="0" w:space="0" w:color="auto"/>
                      </w:divBdr>
                      <w:divsChild>
                        <w:div w:id="183691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113041">
                  <w:marLeft w:val="0"/>
                  <w:marRight w:val="0"/>
                  <w:marTop w:val="0"/>
                  <w:marBottom w:val="0"/>
                  <w:divBdr>
                    <w:top w:val="none" w:sz="0" w:space="0" w:color="auto"/>
                    <w:left w:val="none" w:sz="0" w:space="0" w:color="auto"/>
                    <w:bottom w:val="none" w:sz="0" w:space="0" w:color="auto"/>
                    <w:right w:val="none" w:sz="0" w:space="0" w:color="auto"/>
                  </w:divBdr>
                  <w:divsChild>
                    <w:div w:id="1912276063">
                      <w:marLeft w:val="0"/>
                      <w:marRight w:val="0"/>
                      <w:marTop w:val="0"/>
                      <w:marBottom w:val="0"/>
                      <w:divBdr>
                        <w:top w:val="none" w:sz="0" w:space="0" w:color="auto"/>
                        <w:left w:val="none" w:sz="0" w:space="0" w:color="auto"/>
                        <w:bottom w:val="none" w:sz="0" w:space="0" w:color="auto"/>
                        <w:right w:val="none" w:sz="0" w:space="0" w:color="auto"/>
                      </w:divBdr>
                    </w:div>
                    <w:div w:id="967469000">
                      <w:marLeft w:val="0"/>
                      <w:marRight w:val="0"/>
                      <w:marTop w:val="0"/>
                      <w:marBottom w:val="0"/>
                      <w:divBdr>
                        <w:top w:val="none" w:sz="0" w:space="0" w:color="auto"/>
                        <w:left w:val="none" w:sz="0" w:space="0" w:color="auto"/>
                        <w:bottom w:val="none" w:sz="0" w:space="0" w:color="auto"/>
                        <w:right w:val="none" w:sz="0" w:space="0" w:color="auto"/>
                      </w:divBdr>
                    </w:div>
                    <w:div w:id="15519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584947">
          <w:marLeft w:val="0"/>
          <w:marRight w:val="0"/>
          <w:marTop w:val="166"/>
          <w:marBottom w:val="166"/>
          <w:divBdr>
            <w:top w:val="none" w:sz="0" w:space="0" w:color="auto"/>
            <w:left w:val="none" w:sz="0" w:space="0" w:color="auto"/>
            <w:bottom w:val="none" w:sz="0" w:space="0" w:color="auto"/>
            <w:right w:val="none" w:sz="0" w:space="0" w:color="auto"/>
          </w:divBdr>
          <w:divsChild>
            <w:div w:id="22133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146928">
      <w:bodyDiv w:val="1"/>
      <w:marLeft w:val="0"/>
      <w:marRight w:val="0"/>
      <w:marTop w:val="0"/>
      <w:marBottom w:val="0"/>
      <w:divBdr>
        <w:top w:val="none" w:sz="0" w:space="0" w:color="auto"/>
        <w:left w:val="none" w:sz="0" w:space="0" w:color="auto"/>
        <w:bottom w:val="none" w:sz="0" w:space="0" w:color="auto"/>
        <w:right w:val="none" w:sz="0" w:space="0" w:color="auto"/>
      </w:divBdr>
      <w:divsChild>
        <w:div w:id="14776124">
          <w:marLeft w:val="0"/>
          <w:marRight w:val="0"/>
          <w:marTop w:val="0"/>
          <w:marBottom w:val="166"/>
          <w:divBdr>
            <w:top w:val="none" w:sz="0" w:space="0" w:color="auto"/>
            <w:left w:val="none" w:sz="0" w:space="0" w:color="auto"/>
            <w:bottom w:val="none" w:sz="0" w:space="0" w:color="auto"/>
            <w:right w:val="none" w:sz="0" w:space="0" w:color="auto"/>
          </w:divBdr>
          <w:divsChild>
            <w:div w:id="920867439">
              <w:marLeft w:val="0"/>
              <w:marRight w:val="0"/>
              <w:marTop w:val="0"/>
              <w:marBottom w:val="0"/>
              <w:divBdr>
                <w:top w:val="none" w:sz="0" w:space="0" w:color="auto"/>
                <w:left w:val="none" w:sz="0" w:space="0" w:color="auto"/>
                <w:bottom w:val="none" w:sz="0" w:space="0" w:color="auto"/>
                <w:right w:val="none" w:sz="0" w:space="0" w:color="auto"/>
              </w:divBdr>
              <w:divsChild>
                <w:div w:id="1169104022">
                  <w:marLeft w:val="0"/>
                  <w:marRight w:val="0"/>
                  <w:marTop w:val="0"/>
                  <w:marBottom w:val="0"/>
                  <w:divBdr>
                    <w:top w:val="none" w:sz="0" w:space="0" w:color="auto"/>
                    <w:left w:val="none" w:sz="0" w:space="0" w:color="auto"/>
                    <w:bottom w:val="none" w:sz="0" w:space="0" w:color="auto"/>
                    <w:right w:val="none" w:sz="0" w:space="0" w:color="auto"/>
                  </w:divBdr>
                  <w:divsChild>
                    <w:div w:id="681203323">
                      <w:marLeft w:val="0"/>
                      <w:marRight w:val="0"/>
                      <w:marTop w:val="0"/>
                      <w:marBottom w:val="0"/>
                      <w:divBdr>
                        <w:top w:val="none" w:sz="0" w:space="0" w:color="auto"/>
                        <w:left w:val="none" w:sz="0" w:space="0" w:color="auto"/>
                        <w:bottom w:val="none" w:sz="0" w:space="0" w:color="auto"/>
                        <w:right w:val="none" w:sz="0" w:space="0" w:color="auto"/>
                      </w:divBdr>
                      <w:divsChild>
                        <w:div w:id="227152825">
                          <w:marLeft w:val="0"/>
                          <w:marRight w:val="0"/>
                          <w:marTop w:val="0"/>
                          <w:marBottom w:val="0"/>
                          <w:divBdr>
                            <w:top w:val="none" w:sz="0" w:space="0" w:color="auto"/>
                            <w:left w:val="none" w:sz="0" w:space="0" w:color="auto"/>
                            <w:bottom w:val="none" w:sz="0" w:space="0" w:color="auto"/>
                            <w:right w:val="none" w:sz="0" w:space="0" w:color="auto"/>
                          </w:divBdr>
                        </w:div>
                        <w:div w:id="58218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8360">
                  <w:marLeft w:val="0"/>
                  <w:marRight w:val="0"/>
                  <w:marTop w:val="0"/>
                  <w:marBottom w:val="0"/>
                  <w:divBdr>
                    <w:top w:val="none" w:sz="0" w:space="0" w:color="auto"/>
                    <w:left w:val="none" w:sz="0" w:space="0" w:color="auto"/>
                    <w:bottom w:val="none" w:sz="0" w:space="0" w:color="auto"/>
                    <w:right w:val="none" w:sz="0" w:space="0" w:color="auto"/>
                  </w:divBdr>
                  <w:divsChild>
                    <w:div w:id="1204319457">
                      <w:marLeft w:val="0"/>
                      <w:marRight w:val="0"/>
                      <w:marTop w:val="0"/>
                      <w:marBottom w:val="0"/>
                      <w:divBdr>
                        <w:top w:val="none" w:sz="0" w:space="0" w:color="auto"/>
                        <w:left w:val="none" w:sz="0" w:space="0" w:color="auto"/>
                        <w:bottom w:val="none" w:sz="0" w:space="0" w:color="auto"/>
                        <w:right w:val="none" w:sz="0" w:space="0" w:color="auto"/>
                      </w:divBdr>
                    </w:div>
                    <w:div w:id="37692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341720">
          <w:marLeft w:val="0"/>
          <w:marRight w:val="0"/>
          <w:marTop w:val="166"/>
          <w:marBottom w:val="166"/>
          <w:divBdr>
            <w:top w:val="none" w:sz="0" w:space="0" w:color="auto"/>
            <w:left w:val="none" w:sz="0" w:space="0" w:color="auto"/>
            <w:bottom w:val="none" w:sz="0" w:space="0" w:color="auto"/>
            <w:right w:val="none" w:sz="0" w:space="0" w:color="auto"/>
          </w:divBdr>
          <w:divsChild>
            <w:div w:id="184320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148168">
      <w:bodyDiv w:val="1"/>
      <w:marLeft w:val="0"/>
      <w:marRight w:val="0"/>
      <w:marTop w:val="0"/>
      <w:marBottom w:val="0"/>
      <w:divBdr>
        <w:top w:val="none" w:sz="0" w:space="0" w:color="auto"/>
        <w:left w:val="none" w:sz="0" w:space="0" w:color="auto"/>
        <w:bottom w:val="none" w:sz="0" w:space="0" w:color="auto"/>
        <w:right w:val="none" w:sz="0" w:space="0" w:color="auto"/>
      </w:divBdr>
    </w:div>
    <w:div w:id="1690133082">
      <w:bodyDiv w:val="1"/>
      <w:marLeft w:val="0"/>
      <w:marRight w:val="0"/>
      <w:marTop w:val="0"/>
      <w:marBottom w:val="0"/>
      <w:divBdr>
        <w:top w:val="none" w:sz="0" w:space="0" w:color="auto"/>
        <w:left w:val="none" w:sz="0" w:space="0" w:color="auto"/>
        <w:bottom w:val="none" w:sz="0" w:space="0" w:color="auto"/>
        <w:right w:val="none" w:sz="0" w:space="0" w:color="auto"/>
      </w:divBdr>
      <w:divsChild>
        <w:div w:id="1142845343">
          <w:marLeft w:val="0"/>
          <w:marRight w:val="0"/>
          <w:marTop w:val="0"/>
          <w:marBottom w:val="0"/>
          <w:divBdr>
            <w:top w:val="none" w:sz="0" w:space="0" w:color="auto"/>
            <w:left w:val="none" w:sz="0" w:space="0" w:color="auto"/>
            <w:bottom w:val="none" w:sz="0" w:space="0" w:color="auto"/>
            <w:right w:val="none" w:sz="0" w:space="0" w:color="auto"/>
          </w:divBdr>
          <w:divsChild>
            <w:div w:id="1221482328">
              <w:marLeft w:val="0"/>
              <w:marRight w:val="0"/>
              <w:marTop w:val="0"/>
              <w:marBottom w:val="0"/>
              <w:divBdr>
                <w:top w:val="none" w:sz="0" w:space="0" w:color="auto"/>
                <w:left w:val="none" w:sz="0" w:space="0" w:color="auto"/>
                <w:bottom w:val="none" w:sz="0" w:space="0" w:color="auto"/>
                <w:right w:val="none" w:sz="0" w:space="0" w:color="auto"/>
              </w:divBdr>
            </w:div>
            <w:div w:id="2115975043">
              <w:marLeft w:val="0"/>
              <w:marRight w:val="0"/>
              <w:marTop w:val="0"/>
              <w:marBottom w:val="0"/>
              <w:divBdr>
                <w:top w:val="none" w:sz="0" w:space="0" w:color="auto"/>
                <w:left w:val="none" w:sz="0" w:space="0" w:color="auto"/>
                <w:bottom w:val="none" w:sz="0" w:space="0" w:color="auto"/>
                <w:right w:val="none" w:sz="0" w:space="0" w:color="auto"/>
              </w:divBdr>
            </w:div>
            <w:div w:id="1156455114">
              <w:marLeft w:val="0"/>
              <w:marRight w:val="0"/>
              <w:marTop w:val="0"/>
              <w:marBottom w:val="0"/>
              <w:divBdr>
                <w:top w:val="none" w:sz="0" w:space="0" w:color="auto"/>
                <w:left w:val="none" w:sz="0" w:space="0" w:color="auto"/>
                <w:bottom w:val="none" w:sz="0" w:space="0" w:color="auto"/>
                <w:right w:val="none" w:sz="0" w:space="0" w:color="auto"/>
              </w:divBdr>
              <w:divsChild>
                <w:div w:id="697436855">
                  <w:marLeft w:val="0"/>
                  <w:marRight w:val="0"/>
                  <w:marTop w:val="0"/>
                  <w:marBottom w:val="0"/>
                  <w:divBdr>
                    <w:top w:val="none" w:sz="0" w:space="0" w:color="auto"/>
                    <w:left w:val="none" w:sz="0" w:space="0" w:color="auto"/>
                    <w:bottom w:val="none" w:sz="0" w:space="0" w:color="auto"/>
                    <w:right w:val="none" w:sz="0" w:space="0" w:color="auto"/>
                  </w:divBdr>
                </w:div>
                <w:div w:id="7129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02855">
          <w:marLeft w:val="0"/>
          <w:marRight w:val="0"/>
          <w:marTop w:val="0"/>
          <w:marBottom w:val="0"/>
          <w:divBdr>
            <w:top w:val="none" w:sz="0" w:space="0" w:color="auto"/>
            <w:left w:val="none" w:sz="0" w:space="0" w:color="auto"/>
            <w:bottom w:val="none" w:sz="0" w:space="0" w:color="auto"/>
            <w:right w:val="none" w:sz="0" w:space="0" w:color="auto"/>
          </w:divBdr>
        </w:div>
      </w:divsChild>
    </w:div>
    <w:div w:id="1870220526">
      <w:bodyDiv w:val="1"/>
      <w:marLeft w:val="0"/>
      <w:marRight w:val="0"/>
      <w:marTop w:val="0"/>
      <w:marBottom w:val="0"/>
      <w:divBdr>
        <w:top w:val="none" w:sz="0" w:space="0" w:color="auto"/>
        <w:left w:val="none" w:sz="0" w:space="0" w:color="auto"/>
        <w:bottom w:val="none" w:sz="0" w:space="0" w:color="auto"/>
        <w:right w:val="none" w:sz="0" w:space="0" w:color="auto"/>
      </w:divBdr>
    </w:div>
    <w:div w:id="1871189020">
      <w:bodyDiv w:val="1"/>
      <w:marLeft w:val="0"/>
      <w:marRight w:val="0"/>
      <w:marTop w:val="0"/>
      <w:marBottom w:val="0"/>
      <w:divBdr>
        <w:top w:val="none" w:sz="0" w:space="0" w:color="auto"/>
        <w:left w:val="none" w:sz="0" w:space="0" w:color="auto"/>
        <w:bottom w:val="none" w:sz="0" w:space="0" w:color="auto"/>
        <w:right w:val="none" w:sz="0" w:space="0" w:color="auto"/>
      </w:divBdr>
    </w:div>
    <w:div w:id="21110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ncbi.nlm.nih.gov/pubmed/?term=Giner-Ripoll%20B%5BAuthor%5D&amp;cauthor=true&amp;cauthor_uid=16919771" TargetMode="External"/><Relationship Id="rId18" Type="http://schemas.openxmlformats.org/officeDocument/2006/relationships/hyperlink" Target="https://www.ncbi.nlm.nih.gov/pubmed/28155902" TargetMode="External"/><Relationship Id="rId26" Type="http://schemas.openxmlformats.org/officeDocument/2006/relationships/hyperlink" Target="https://www.ncbi.nlm.nih.gov/pubmed/29623580"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ncbi.nlm.nih.gov/pubmed/?term=Constine+LS+And+acth+deficiency" TargetMode="External"/><Relationship Id="rId34" Type="http://schemas.openxmlformats.org/officeDocument/2006/relationships/hyperlink" Target="https://www.ncbi.nlm.nih.gov/pubmed/?term=Huai%20N%5BAuthor%5D&amp;cauthor=true&amp;cauthor_uid=20697794" TargetMode="External"/><Relationship Id="rId7" Type="http://schemas.openxmlformats.org/officeDocument/2006/relationships/endnotes" Target="endnotes.xml"/><Relationship Id="rId12" Type="http://schemas.openxmlformats.org/officeDocument/2006/relationships/hyperlink" Target="https://www.ncbi.nlm.nih.gov/pubmed/?term=Petrovich%20S%5BAuthor%5D&amp;cauthor=true&amp;cauthor_uid=16919771" TargetMode="External"/><Relationship Id="rId17" Type="http://schemas.openxmlformats.org/officeDocument/2006/relationships/hyperlink" Target="https://doi.org/10.1210/jc.2015-2028" TargetMode="External"/><Relationship Id="rId25" Type="http://schemas.openxmlformats.org/officeDocument/2006/relationships/hyperlink" Target="https://www.ncbi.nlm.nih.gov/pubmed/25077898" TargetMode="External"/><Relationship Id="rId33" Type="http://schemas.openxmlformats.org/officeDocument/2006/relationships/hyperlink" Target="https://www.ncbi.nlm.nih.gov/pubmed/?term=Ray-Subramanian%20CE%5BAuthor%5D&amp;cauthor=true&amp;cauthor_uid=20697794" TargetMode="External"/><Relationship Id="rId38" Type="http://schemas.openxmlformats.org/officeDocument/2006/relationships/hyperlink" Target="https://www.ncbi.nlm.nih.gov/pubmed/20477563" TargetMode="External"/><Relationship Id="rId2" Type="http://schemas.openxmlformats.org/officeDocument/2006/relationships/numbering" Target="numbering.xml"/><Relationship Id="rId16" Type="http://schemas.openxmlformats.org/officeDocument/2006/relationships/hyperlink" Target="http://pediatrics.aappublications.org/" TargetMode="External"/><Relationship Id="rId20" Type="http://schemas.openxmlformats.org/officeDocument/2006/relationships/hyperlink" Target="https://www.ncbi.nlm.nih.gov/pubmed/?term=Constine%20LS%5BAuthor%5D&amp;cauthor=true&amp;cauthor_uid=7713777" TargetMode="External"/><Relationship Id="rId29" Type="http://schemas.openxmlformats.org/officeDocument/2006/relationships/hyperlink" Target="https://www.ncbi.nlm.nih.gov/pubmed/?term=Bird%20G%5BAuthor%5D&amp;cauthor=true&amp;cauthor_uid=231067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term=Lacour%20B%5BAuthor%5D&amp;cauthor=true&amp;cauthor_uid=16919771" TargetMode="External"/><Relationship Id="rId24" Type="http://schemas.openxmlformats.org/officeDocument/2006/relationships/hyperlink" Target="https://www.ncbi.nlm.nih.gov/pubmed/15930202" TargetMode="External"/><Relationship Id="rId32" Type="http://schemas.openxmlformats.org/officeDocument/2006/relationships/hyperlink" Target="https://dx.doi.org/10.1111%2Fj.1467-7687.2012.01174.x" TargetMode="External"/><Relationship Id="rId37" Type="http://schemas.openxmlformats.org/officeDocument/2006/relationships/hyperlink" Target="https://dx.doi.org/10.1007%2Fs10803-010-1083-y"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cbi.nlm.nih.gov/pubmed/?term=Steliarova-Foucher%20E%5BAuthor%5D&amp;cauthor=true&amp;cauthor_uid=16919771" TargetMode="External"/><Relationship Id="rId23" Type="http://schemas.openxmlformats.org/officeDocument/2006/relationships/hyperlink" Target="https://www.ncbi.nlm.nih.gov/pubmed/27998218" TargetMode="External"/><Relationship Id="rId28" Type="http://schemas.openxmlformats.org/officeDocument/2006/relationships/hyperlink" Target="https://www.ncbi.nlm.nih.gov/pubmed/?term=Burnett%20Heyes%20S%5BAuthor%5D&amp;cauthor=true&amp;cauthor_uid=23106734" TargetMode="External"/><Relationship Id="rId36" Type="http://schemas.openxmlformats.org/officeDocument/2006/relationships/hyperlink" Target="https://www.ncbi.nlm.nih.gov/entrez/eutils/elink.fcgi?dbfrom=pubmed&amp;retmode=ref&amp;cmd=prlinks&amp;id=20697794" TargetMode="External"/><Relationship Id="rId10" Type="http://schemas.openxmlformats.org/officeDocument/2006/relationships/hyperlink" Target="https://www.ncbi.nlm.nih.gov/pubmed/?term=Mart%C3%ADnez-Garc%C3%ADa%20C%5BAuthor%5D&amp;cauthor=true&amp;cauthor_uid=16919771" TargetMode="External"/><Relationship Id="rId19" Type="http://schemas.openxmlformats.org/officeDocument/2006/relationships/hyperlink" Target="https://www.ncbi.nlm.nih.gov/pubmed/?term=Sklar%20CA%5BAuthor%5D&amp;cauthor=true&amp;cauthor_uid=7713777" TargetMode="External"/><Relationship Id="rId31" Type="http://schemas.openxmlformats.org/officeDocument/2006/relationships/hyperlink" Target="https://www.ncbi.nlm.nih.gov/pmc/articles/PMC3795450/" TargetMode="External"/><Relationship Id="rId4" Type="http://schemas.openxmlformats.org/officeDocument/2006/relationships/settings" Target="settings.xml"/><Relationship Id="rId9" Type="http://schemas.openxmlformats.org/officeDocument/2006/relationships/hyperlink" Target="https://www.ncbi.nlm.nih.gov/pubmed/?term=Peris-Bonet%20R%5BAuthor%5D&amp;cauthor=true&amp;cauthor_uid=16919771" TargetMode="External"/><Relationship Id="rId14" Type="http://schemas.openxmlformats.org/officeDocument/2006/relationships/hyperlink" Target="https://www.ncbi.nlm.nih.gov/pubmed/?term=Navajas%20A%5BAuthor%5D&amp;cauthor=true&amp;cauthor_uid=16919771" TargetMode="External"/><Relationship Id="rId22" Type="http://schemas.openxmlformats.org/officeDocument/2006/relationships/hyperlink" Target="https://www.ncbi.nlm.nih.gov/pubmed/12555249" TargetMode="External"/><Relationship Id="rId27" Type="http://schemas.openxmlformats.org/officeDocument/2006/relationships/hyperlink" Target="https://www.ncbi.nlm.nih.gov/pubmed/?term=Goddings%20AL%5BAuthor%5D&amp;cauthor=true&amp;cauthor_uid=23106734" TargetMode="External"/><Relationship Id="rId30" Type="http://schemas.openxmlformats.org/officeDocument/2006/relationships/hyperlink" Target="https://www.ncbi.nlm.nih.gov/pubmed/?term=Viner%20RM%5BAuthor%5D&amp;cauthor=true&amp;cauthor_uid=23106734" TargetMode="External"/><Relationship Id="rId35" Type="http://schemas.openxmlformats.org/officeDocument/2006/relationships/hyperlink" Target="https://www.ncbi.nlm.nih.gov/pubmed/?term=Weismer%20SE%5BAuthor%5D&amp;cauthor=true&amp;cauthor_uid=206977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799EE-93F3-46C8-AF8A-23CC09BEE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6887</Words>
  <Characters>43869</Characters>
  <Application>Microsoft Office Word</Application>
  <DocSecurity>4</DocSecurity>
  <Lines>365</Lines>
  <Paragraphs>101</Paragraphs>
  <ScaleCrop>false</ScaleCrop>
  <HeadingPairs>
    <vt:vector size="2" baseType="variant">
      <vt:variant>
        <vt:lpstr>Title</vt:lpstr>
      </vt:variant>
      <vt:variant>
        <vt:i4>1</vt:i4>
      </vt:variant>
    </vt:vector>
  </HeadingPairs>
  <TitlesOfParts>
    <vt:vector size="1" baseType="lpstr">
      <vt:lpstr>Quality of survival assessment in European childhood brain tumor trials, for children under 5</vt:lpstr>
    </vt:vector>
  </TitlesOfParts>
  <Company>Hewlett-Packard Company</Company>
  <LinksUpToDate>false</LinksUpToDate>
  <CharactersWithSpaces>50655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of survival assessment in European childhood brain tumor trials, for children under 5</dc:title>
  <dc:creator>Marion Sorge</dc:creator>
  <cp:lastModifiedBy>Lapage K.P.</cp:lastModifiedBy>
  <cp:revision>2</cp:revision>
  <cp:lastPrinted>2019-07-20T08:23:00Z</cp:lastPrinted>
  <dcterms:created xsi:type="dcterms:W3CDTF">2019-10-25T08:40:00Z</dcterms:created>
  <dcterms:modified xsi:type="dcterms:W3CDTF">2019-10-25T08:40:00Z</dcterms:modified>
</cp:coreProperties>
</file>