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8D92F" w14:textId="4E853158" w:rsidR="004C1F31" w:rsidRPr="003F2E2C" w:rsidRDefault="0013597C" w:rsidP="004C1F31">
      <w:pPr>
        <w:autoSpaceDE w:val="0"/>
        <w:autoSpaceDN w:val="0"/>
        <w:adjustRightInd w:val="0"/>
        <w:spacing w:after="0" w:line="360" w:lineRule="auto"/>
        <w:jc w:val="both"/>
        <w:rPr>
          <w:rFonts w:ascii="Times New Roman" w:hAnsi="Times New Roman" w:cs="Times New Roman"/>
          <w:b/>
          <w:sz w:val="24"/>
          <w:szCs w:val="24"/>
        </w:rPr>
      </w:pPr>
      <w:bookmarkStart w:id="0" w:name="_GoBack"/>
      <w:bookmarkEnd w:id="0"/>
      <w:r w:rsidRPr="003F2E2C">
        <w:rPr>
          <w:rFonts w:ascii="Times New Roman" w:hAnsi="Times New Roman" w:cs="Times New Roman"/>
          <w:b/>
          <w:sz w:val="24"/>
          <w:szCs w:val="24"/>
        </w:rPr>
        <w:t xml:space="preserve">Determinants of academic performance of accounting students in </w:t>
      </w:r>
      <w:r w:rsidR="0018146F" w:rsidRPr="003F2E2C">
        <w:rPr>
          <w:rFonts w:ascii="Times New Roman" w:hAnsi="Times New Roman" w:cs="Times New Roman"/>
          <w:b/>
          <w:sz w:val="24"/>
          <w:szCs w:val="24"/>
        </w:rPr>
        <w:t>Ghanaian</w:t>
      </w:r>
      <w:r w:rsidRPr="003F2E2C">
        <w:rPr>
          <w:rFonts w:ascii="Times New Roman" w:hAnsi="Times New Roman" w:cs="Times New Roman"/>
          <w:b/>
          <w:sz w:val="24"/>
          <w:szCs w:val="24"/>
        </w:rPr>
        <w:t xml:space="preserve"> secondary and tertiary education institutions </w:t>
      </w:r>
    </w:p>
    <w:p w14:paraId="2C32C7B6"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1997C87C" w14:textId="085B28A4"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Abstract</w:t>
      </w:r>
    </w:p>
    <w:p w14:paraId="6EF30BA5"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sz w:val="24"/>
          <w:szCs w:val="24"/>
        </w:rPr>
      </w:pPr>
      <w:bookmarkStart w:id="1" w:name="_Hlk507537402"/>
      <w:r w:rsidRPr="003F2E2C">
        <w:rPr>
          <w:rFonts w:ascii="Times New Roman" w:hAnsi="Times New Roman" w:cs="Times New Roman"/>
          <w:sz w:val="24"/>
          <w:szCs w:val="24"/>
        </w:rPr>
        <w:t xml:space="preserve">The paper investigates the determinants of academic performance of accounting students in Ghanaian secondary and tertiary education institutions. Data analysis is based on a survey of 500 accounting students enrolled at secondary and tertiary education institutions in Ghana. Using Ordinary Least Squares (OLS) regression, the results indicate accounting students’ performances </w:t>
      </w:r>
      <w:r w:rsidRPr="003F2E2C">
        <w:rPr>
          <w:rFonts w:ascii="Times New Roman" w:hAnsi="Times New Roman" w:cs="Times New Roman"/>
          <w:noProof/>
          <w:sz w:val="24"/>
          <w:szCs w:val="24"/>
        </w:rPr>
        <w:t>are</w:t>
      </w:r>
      <w:r w:rsidRPr="003F2E2C">
        <w:rPr>
          <w:rFonts w:ascii="Times New Roman" w:hAnsi="Times New Roman" w:cs="Times New Roman"/>
          <w:sz w:val="24"/>
          <w:szCs w:val="24"/>
        </w:rPr>
        <w:t xml:space="preserve"> affected by both motivational (expectation and volition) and engagement and commitment (academic interest and learning attitude) factors.  However, when the data is </w:t>
      </w:r>
      <w:bookmarkStart w:id="2" w:name="_Hlk507536986"/>
      <w:r w:rsidRPr="003F2E2C">
        <w:rPr>
          <w:rFonts w:ascii="Times New Roman" w:hAnsi="Times New Roman" w:cs="Times New Roman"/>
          <w:sz w:val="24"/>
          <w:szCs w:val="24"/>
        </w:rPr>
        <w:t xml:space="preserve">analysed separately </w:t>
      </w:r>
      <w:bookmarkEnd w:id="2"/>
      <w:r w:rsidRPr="003F2E2C">
        <w:rPr>
          <w:rFonts w:ascii="Times New Roman" w:hAnsi="Times New Roman" w:cs="Times New Roman"/>
          <w:sz w:val="24"/>
          <w:szCs w:val="24"/>
        </w:rPr>
        <w:t xml:space="preserve">by level of study, the results indicate that expectation has different effect at each level of study. The results in respect of engagement and commitment remain the same. The implication of the differences in the effect of expectation and volition on academic performance at </w:t>
      </w:r>
      <w:bookmarkStart w:id="3" w:name="_Hlk507534896"/>
      <w:r w:rsidRPr="003F2E2C">
        <w:rPr>
          <w:rFonts w:ascii="Times New Roman" w:hAnsi="Times New Roman" w:cs="Times New Roman"/>
          <w:sz w:val="24"/>
          <w:szCs w:val="24"/>
        </w:rPr>
        <w:t xml:space="preserve">secondary and tertiary </w:t>
      </w:r>
      <w:bookmarkEnd w:id="3"/>
      <w:r w:rsidRPr="003F2E2C">
        <w:rPr>
          <w:rFonts w:ascii="Times New Roman" w:hAnsi="Times New Roman" w:cs="Times New Roman"/>
          <w:sz w:val="24"/>
          <w:szCs w:val="24"/>
        </w:rPr>
        <w:t>level suggest that accounting educational stakeholders should institute separate measures at each level relating to these factors to strengthen their effect on academic performance.</w:t>
      </w:r>
    </w:p>
    <w:bookmarkEnd w:id="1"/>
    <w:p w14:paraId="7D12A788"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sz w:val="24"/>
          <w:szCs w:val="24"/>
        </w:rPr>
      </w:pPr>
    </w:p>
    <w:p w14:paraId="4FB21081"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sz w:val="24"/>
          <w:szCs w:val="24"/>
        </w:rPr>
      </w:pPr>
      <w:r w:rsidRPr="003F2E2C">
        <w:rPr>
          <w:rFonts w:ascii="Times New Roman" w:hAnsi="Times New Roman" w:cs="Times New Roman"/>
          <w:b/>
          <w:noProof/>
          <w:sz w:val="24"/>
          <w:szCs w:val="24"/>
        </w:rPr>
        <w:t>Keywords</w:t>
      </w:r>
      <w:r w:rsidRPr="003F2E2C">
        <w:rPr>
          <w:rFonts w:ascii="Times New Roman" w:hAnsi="Times New Roman" w:cs="Times New Roman"/>
          <w:sz w:val="24"/>
          <w:szCs w:val="24"/>
        </w:rPr>
        <w:t>: Motivation, determinants, performance, accounting, Ghana</w:t>
      </w:r>
    </w:p>
    <w:p w14:paraId="68B59A6D" w14:textId="7D3007B1" w:rsidR="004C1F31"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Paper type</w:t>
      </w:r>
      <w:r w:rsidRPr="003F2E2C">
        <w:rPr>
          <w:rFonts w:ascii="Times New Roman" w:hAnsi="Times New Roman" w:cs="Times New Roman"/>
          <w:sz w:val="24"/>
          <w:szCs w:val="24"/>
        </w:rPr>
        <w:t>: Research paper</w:t>
      </w:r>
    </w:p>
    <w:p w14:paraId="3A663127" w14:textId="77777777" w:rsidR="005A6510" w:rsidRPr="003F2E2C" w:rsidRDefault="005A6510" w:rsidP="008E0E3E">
      <w:pPr>
        <w:autoSpaceDE w:val="0"/>
        <w:autoSpaceDN w:val="0"/>
        <w:adjustRightInd w:val="0"/>
        <w:spacing w:after="0" w:line="360" w:lineRule="auto"/>
        <w:jc w:val="both"/>
        <w:rPr>
          <w:rFonts w:ascii="Times New Roman" w:hAnsi="Times New Roman" w:cs="Times New Roman"/>
          <w:sz w:val="24"/>
          <w:szCs w:val="24"/>
        </w:rPr>
      </w:pPr>
    </w:p>
    <w:p w14:paraId="38C3E38D"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0B7B8A9D"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07A15570"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3640874F"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6E81B1DD"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6551321B"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3F950912"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67385EAB"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7DEDF6CE"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4D2A6CBC"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24A794E3"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1198AE80"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097EFFEC"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4BEA37FC" w14:textId="77777777" w:rsidR="001943BA" w:rsidRPr="003F2E2C" w:rsidRDefault="001943BA" w:rsidP="001943BA">
      <w:pPr>
        <w:autoSpaceDE w:val="0"/>
        <w:autoSpaceDN w:val="0"/>
        <w:adjustRightInd w:val="0"/>
        <w:spacing w:after="0" w:line="360" w:lineRule="auto"/>
        <w:jc w:val="both"/>
        <w:rPr>
          <w:rFonts w:ascii="Times New Roman" w:hAnsi="Times New Roman" w:cs="Times New Roman"/>
          <w:b/>
          <w:sz w:val="24"/>
          <w:szCs w:val="24"/>
        </w:rPr>
      </w:pPr>
    </w:p>
    <w:p w14:paraId="3DAB0541" w14:textId="72CA09E3" w:rsidR="00B64DE6" w:rsidRPr="003F2E2C" w:rsidRDefault="0013597C" w:rsidP="001943BA">
      <w:pPr>
        <w:autoSpaceDE w:val="0"/>
        <w:autoSpaceDN w:val="0"/>
        <w:adjustRightInd w:val="0"/>
        <w:spacing w:after="0" w:line="360" w:lineRule="auto"/>
        <w:jc w:val="both"/>
        <w:rPr>
          <w:rFonts w:ascii="Times New Roman" w:hAnsi="Times New Roman" w:cs="Times New Roman"/>
          <w:b/>
          <w:sz w:val="24"/>
          <w:szCs w:val="24"/>
        </w:rPr>
      </w:pPr>
      <w:r w:rsidRPr="003F2E2C">
        <w:rPr>
          <w:rFonts w:ascii="Times New Roman" w:hAnsi="Times New Roman" w:cs="Times New Roman"/>
          <w:b/>
          <w:sz w:val="24"/>
          <w:szCs w:val="24"/>
        </w:rPr>
        <w:lastRenderedPageBreak/>
        <w:t>Introduction</w:t>
      </w:r>
    </w:p>
    <w:p w14:paraId="00D4F732" w14:textId="41BCB9FC" w:rsidR="0054116C" w:rsidRPr="003F2E2C" w:rsidRDefault="0013597C" w:rsidP="00A06D5F">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 academic performance of accounting students is an important issue because academic failure aside from the emotional and financial costs to the individual students also reduces the number of students progressing through to</w:t>
      </w:r>
      <w:r w:rsidR="00BD011F" w:rsidRPr="003F2E2C">
        <w:rPr>
          <w:rFonts w:ascii="Times New Roman" w:hAnsi="Times New Roman" w:cs="Times New Roman"/>
          <w:sz w:val="24"/>
          <w:szCs w:val="24"/>
        </w:rPr>
        <w:t xml:space="preserve"> professional level (Gracia &amp;</w:t>
      </w:r>
      <w:r w:rsidR="00930D40" w:rsidRPr="003F2E2C">
        <w:rPr>
          <w:rFonts w:ascii="Times New Roman" w:hAnsi="Times New Roman" w:cs="Times New Roman"/>
          <w:sz w:val="24"/>
          <w:szCs w:val="24"/>
        </w:rPr>
        <w:t xml:space="preserve"> </w:t>
      </w:r>
      <w:r w:rsidRPr="003F2E2C">
        <w:rPr>
          <w:rFonts w:ascii="Times New Roman" w:hAnsi="Times New Roman" w:cs="Times New Roman"/>
          <w:sz w:val="24"/>
          <w:szCs w:val="24"/>
        </w:rPr>
        <w:t>Jenkins, 2003). Good academic performance, therefore, serves a</w:t>
      </w:r>
      <w:r w:rsidR="00283E28" w:rsidRPr="003F2E2C">
        <w:rPr>
          <w:rFonts w:ascii="Times New Roman" w:hAnsi="Times New Roman" w:cs="Times New Roman"/>
          <w:sz w:val="24"/>
          <w:szCs w:val="24"/>
        </w:rPr>
        <w:t>s a</w:t>
      </w:r>
      <w:r w:rsidRPr="003F2E2C">
        <w:rPr>
          <w:rFonts w:ascii="Times New Roman" w:hAnsi="Times New Roman" w:cs="Times New Roman"/>
          <w:sz w:val="24"/>
          <w:szCs w:val="24"/>
        </w:rPr>
        <w:t xml:space="preserve"> springboard for accounting students in their quest to pursue a career in the accounting field. </w:t>
      </w:r>
      <w:r w:rsidR="00BD011F" w:rsidRPr="003F2E2C">
        <w:rPr>
          <w:rFonts w:ascii="Times New Roman" w:hAnsi="Times New Roman" w:cs="Times New Roman"/>
          <w:sz w:val="24"/>
          <w:szCs w:val="24"/>
        </w:rPr>
        <w:t>This</w:t>
      </w:r>
      <w:r w:rsidRPr="003F2E2C">
        <w:rPr>
          <w:rFonts w:ascii="Times New Roman" w:hAnsi="Times New Roman" w:cs="Times New Roman"/>
          <w:sz w:val="24"/>
          <w:szCs w:val="24"/>
        </w:rPr>
        <w:t xml:space="preserve"> help</w:t>
      </w:r>
      <w:r w:rsidR="00BD011F" w:rsidRPr="003F2E2C">
        <w:rPr>
          <w:rFonts w:ascii="Times New Roman" w:hAnsi="Times New Roman" w:cs="Times New Roman"/>
          <w:sz w:val="24"/>
          <w:szCs w:val="24"/>
        </w:rPr>
        <w:t>s</w:t>
      </w:r>
      <w:r w:rsidRPr="003F2E2C">
        <w:rPr>
          <w:rFonts w:ascii="Times New Roman" w:hAnsi="Times New Roman" w:cs="Times New Roman"/>
          <w:sz w:val="24"/>
          <w:szCs w:val="24"/>
        </w:rPr>
        <w:t xml:space="preserve"> meet market demand for accountants particularly in developing economies where economic growth has resulted in increased demand for accountants</w:t>
      </w:r>
      <w:r w:rsidR="002265FE" w:rsidRPr="003F2E2C">
        <w:rPr>
          <w:rFonts w:ascii="Times New Roman" w:hAnsi="Times New Roman" w:cs="Times New Roman"/>
          <w:sz w:val="24"/>
          <w:szCs w:val="24"/>
        </w:rPr>
        <w:t xml:space="preserve"> (Dalcı et al., 2013; Bakre &amp; Lau</w:t>
      </w:r>
      <w:r w:rsidRPr="003F2E2C">
        <w:rPr>
          <w:rFonts w:ascii="Times New Roman" w:hAnsi="Times New Roman" w:cs="Times New Roman"/>
          <w:sz w:val="24"/>
          <w:szCs w:val="24"/>
        </w:rPr>
        <w:t>w</w:t>
      </w:r>
      <w:r w:rsidR="002265FE" w:rsidRPr="003F2E2C">
        <w:rPr>
          <w:rFonts w:ascii="Times New Roman" w:hAnsi="Times New Roman" w:cs="Times New Roman"/>
          <w:sz w:val="24"/>
          <w:szCs w:val="24"/>
        </w:rPr>
        <w:t>o</w:t>
      </w:r>
      <w:r w:rsidRPr="003F2E2C">
        <w:rPr>
          <w:rFonts w:ascii="Times New Roman" w:hAnsi="Times New Roman" w:cs="Times New Roman"/>
          <w:sz w:val="24"/>
          <w:szCs w:val="24"/>
        </w:rPr>
        <w:t>, 2016).</w:t>
      </w:r>
      <w:r w:rsidR="00FC1BC3" w:rsidRPr="003F2E2C">
        <w:rPr>
          <w:rFonts w:ascii="Times New Roman" w:hAnsi="Times New Roman" w:cs="Times New Roman"/>
          <w:sz w:val="24"/>
          <w:szCs w:val="24"/>
        </w:rPr>
        <w:t xml:space="preserve"> The determinants of a</w:t>
      </w:r>
      <w:r w:rsidR="00104D04" w:rsidRPr="003F2E2C">
        <w:rPr>
          <w:rFonts w:ascii="Times New Roman" w:hAnsi="Times New Roman" w:cs="Times New Roman"/>
          <w:sz w:val="24"/>
          <w:szCs w:val="24"/>
        </w:rPr>
        <w:t xml:space="preserve">cademic failure or </w:t>
      </w:r>
      <w:r w:rsidR="00FC1BC3" w:rsidRPr="003F2E2C">
        <w:rPr>
          <w:rFonts w:ascii="Times New Roman" w:hAnsi="Times New Roman" w:cs="Times New Roman"/>
          <w:sz w:val="24"/>
          <w:szCs w:val="24"/>
        </w:rPr>
        <w:t>success are suggested to be of importance not only to students but the institution</w:t>
      </w:r>
      <w:r w:rsidR="00F72FC4" w:rsidRPr="003F2E2C">
        <w:rPr>
          <w:rFonts w:ascii="Times New Roman" w:hAnsi="Times New Roman" w:cs="Times New Roman"/>
          <w:sz w:val="24"/>
          <w:szCs w:val="24"/>
        </w:rPr>
        <w:t>s</w:t>
      </w:r>
      <w:r w:rsidR="00A06D5F" w:rsidRPr="003F2E2C">
        <w:rPr>
          <w:rFonts w:ascii="Times New Roman" w:hAnsi="Times New Roman" w:cs="Times New Roman"/>
          <w:sz w:val="24"/>
          <w:szCs w:val="24"/>
        </w:rPr>
        <w:t xml:space="preserve"> and the lecturers dealing with the students (Guney, 2006). </w:t>
      </w:r>
      <w:r w:rsidRPr="003F2E2C">
        <w:rPr>
          <w:rFonts w:ascii="Times New Roman" w:hAnsi="Times New Roman" w:cs="Times New Roman"/>
          <w:sz w:val="24"/>
          <w:szCs w:val="24"/>
        </w:rPr>
        <w:t>A number of studies have examined factors which influence a</w:t>
      </w:r>
      <w:r w:rsidR="00CF365A" w:rsidRPr="003F2E2C">
        <w:rPr>
          <w:rFonts w:ascii="Times New Roman" w:hAnsi="Times New Roman" w:cs="Times New Roman"/>
          <w:sz w:val="24"/>
          <w:szCs w:val="24"/>
        </w:rPr>
        <w:t>ccounting students’ performance such as expectati</w:t>
      </w:r>
      <w:r w:rsidR="00BD2B1B" w:rsidRPr="003F2E2C">
        <w:rPr>
          <w:rFonts w:ascii="Times New Roman" w:hAnsi="Times New Roman" w:cs="Times New Roman"/>
          <w:sz w:val="24"/>
          <w:szCs w:val="24"/>
        </w:rPr>
        <w:t>on, interest, attitude (Masky &amp;</w:t>
      </w:r>
      <w:r w:rsidR="00CF365A" w:rsidRPr="003F2E2C">
        <w:rPr>
          <w:rFonts w:ascii="Times New Roman" w:hAnsi="Times New Roman" w:cs="Times New Roman"/>
          <w:sz w:val="24"/>
          <w:szCs w:val="24"/>
        </w:rPr>
        <w:t xml:space="preserve"> Zheng; 2008; Guney, 2009; Fallan &amp; Opstad, 2014; Duff &amp; Mladenovic, 2015) with volition been mostly considered in the field of psychology (</w:t>
      </w:r>
      <w:r w:rsidR="00436EFF" w:rsidRPr="003F2E2C">
        <w:rPr>
          <w:rFonts w:ascii="Times New Roman" w:hAnsi="Times New Roman" w:cs="Times New Roman"/>
          <w:sz w:val="24"/>
          <w:szCs w:val="24"/>
        </w:rPr>
        <w:t xml:space="preserve">Wegner, 2003; </w:t>
      </w:r>
      <w:r w:rsidR="007B6457" w:rsidRPr="003F2E2C">
        <w:rPr>
          <w:rFonts w:ascii="Times New Roman" w:hAnsi="Times New Roman" w:cs="Times New Roman"/>
          <w:sz w:val="24"/>
          <w:szCs w:val="24"/>
        </w:rPr>
        <w:t>Feldman et al.</w:t>
      </w:r>
      <w:r w:rsidR="00E458C5" w:rsidRPr="003F2E2C">
        <w:rPr>
          <w:rFonts w:ascii="Times New Roman" w:hAnsi="Times New Roman" w:cs="Times New Roman"/>
          <w:sz w:val="24"/>
          <w:szCs w:val="24"/>
        </w:rPr>
        <w:t xml:space="preserve">, </w:t>
      </w:r>
      <w:r w:rsidR="00436EFF" w:rsidRPr="003F2E2C">
        <w:rPr>
          <w:rFonts w:ascii="Times New Roman" w:hAnsi="Times New Roman" w:cs="Times New Roman"/>
          <w:sz w:val="24"/>
          <w:szCs w:val="24"/>
        </w:rPr>
        <w:t>2016</w:t>
      </w:r>
      <w:r w:rsidR="00CF365A" w:rsidRPr="003F2E2C">
        <w:rPr>
          <w:rFonts w:ascii="Times New Roman" w:hAnsi="Times New Roman" w:cs="Times New Roman"/>
          <w:sz w:val="24"/>
          <w:szCs w:val="24"/>
        </w:rPr>
        <w:t>).</w:t>
      </w:r>
      <w:r w:rsidRPr="003F2E2C">
        <w:rPr>
          <w:rFonts w:ascii="Times New Roman" w:hAnsi="Times New Roman" w:cs="Times New Roman"/>
          <w:sz w:val="24"/>
          <w:szCs w:val="24"/>
        </w:rPr>
        <w:t xml:space="preserve"> However, the majority of the</w:t>
      </w:r>
      <w:r w:rsidR="00F72FC4" w:rsidRPr="003F2E2C">
        <w:rPr>
          <w:rFonts w:ascii="Times New Roman" w:hAnsi="Times New Roman" w:cs="Times New Roman"/>
          <w:sz w:val="24"/>
          <w:szCs w:val="24"/>
        </w:rPr>
        <w:t xml:space="preserve"> studies</w:t>
      </w:r>
      <w:r w:rsidRPr="003F2E2C">
        <w:rPr>
          <w:rFonts w:ascii="Times New Roman" w:hAnsi="Times New Roman" w:cs="Times New Roman"/>
          <w:sz w:val="24"/>
          <w:szCs w:val="24"/>
        </w:rPr>
        <w:t xml:space="preserve"> are derived from developed countries (Jackling &amp; Anderson, 1998; Duff, 2004; Maksy &amp; Zheng, 2008; A</w:t>
      </w:r>
      <w:r w:rsidR="00CF365A" w:rsidRPr="003F2E2C">
        <w:rPr>
          <w:rFonts w:ascii="Times New Roman" w:hAnsi="Times New Roman" w:cs="Times New Roman"/>
          <w:sz w:val="24"/>
          <w:szCs w:val="24"/>
        </w:rPr>
        <w:t>rthur &amp; Everaert, 2012; Duff &amp;</w:t>
      </w:r>
      <w:r w:rsidRPr="003F2E2C">
        <w:rPr>
          <w:rFonts w:ascii="Times New Roman" w:hAnsi="Times New Roman" w:cs="Times New Roman"/>
          <w:sz w:val="24"/>
          <w:szCs w:val="24"/>
        </w:rPr>
        <w:t xml:space="preserve"> Mladenovic, 2015) and the results remain inconclusive (Masky &amp; Zheng, 2008; Fallan &amp; Opstad, 2014). Evans (2000) opined that such inconsistencies in the results may be attributed to the study</w:t>
      </w:r>
      <w:r w:rsidR="00BD011F" w:rsidRPr="003F2E2C">
        <w:rPr>
          <w:rFonts w:ascii="Times New Roman" w:hAnsi="Times New Roman" w:cs="Times New Roman"/>
          <w:sz w:val="24"/>
          <w:szCs w:val="24"/>
        </w:rPr>
        <w:t>’s</w:t>
      </w:r>
      <w:r w:rsidRPr="003F2E2C">
        <w:rPr>
          <w:rFonts w:ascii="Times New Roman" w:hAnsi="Times New Roman" w:cs="Times New Roman"/>
          <w:sz w:val="24"/>
          <w:szCs w:val="24"/>
        </w:rPr>
        <w:t xml:space="preserve"> context and hence the validity of international studies’ results in the local context must be analysed with great care. Byrne and Flood (2008) suggested the need to replicate previous s</w:t>
      </w:r>
      <w:r w:rsidR="00104D04" w:rsidRPr="003F2E2C">
        <w:rPr>
          <w:rFonts w:ascii="Times New Roman" w:hAnsi="Times New Roman" w:cs="Times New Roman"/>
          <w:sz w:val="24"/>
          <w:szCs w:val="24"/>
        </w:rPr>
        <w:t>tudies in a different environment</w:t>
      </w:r>
      <w:r w:rsidRPr="003F2E2C">
        <w:rPr>
          <w:rFonts w:ascii="Times New Roman" w:hAnsi="Times New Roman" w:cs="Times New Roman"/>
          <w:sz w:val="24"/>
          <w:szCs w:val="24"/>
        </w:rPr>
        <w:t xml:space="preserve"> at different points in time and extend the variables than limiting it to background demographic characteristics. According to Jansen and De Villiers (2016), the inconsistent results demonstrate the importance of the study</w:t>
      </w:r>
      <w:r w:rsidR="00BD011F" w:rsidRPr="003F2E2C">
        <w:rPr>
          <w:rFonts w:ascii="Times New Roman" w:hAnsi="Times New Roman" w:cs="Times New Roman"/>
          <w:sz w:val="24"/>
          <w:szCs w:val="24"/>
        </w:rPr>
        <w:t>’s</w:t>
      </w:r>
      <w:r w:rsidRPr="003F2E2C">
        <w:rPr>
          <w:rFonts w:ascii="Times New Roman" w:hAnsi="Times New Roman" w:cs="Times New Roman"/>
          <w:sz w:val="24"/>
          <w:szCs w:val="24"/>
        </w:rPr>
        <w:t xml:space="preserve"> environment in interpreting research findings and that generalising the result beyond the study</w:t>
      </w:r>
      <w:r w:rsidR="00822087" w:rsidRPr="003F2E2C">
        <w:rPr>
          <w:rFonts w:ascii="Times New Roman" w:hAnsi="Times New Roman" w:cs="Times New Roman"/>
          <w:sz w:val="24"/>
          <w:szCs w:val="24"/>
        </w:rPr>
        <w:t>’s</w:t>
      </w:r>
      <w:r w:rsidRPr="003F2E2C">
        <w:rPr>
          <w:rFonts w:ascii="Times New Roman" w:hAnsi="Times New Roman" w:cs="Times New Roman"/>
          <w:sz w:val="24"/>
          <w:szCs w:val="24"/>
        </w:rPr>
        <w:t xml:space="preserve"> environment has serious implications and not acceptable.</w:t>
      </w:r>
    </w:p>
    <w:p w14:paraId="709B9572" w14:textId="2E9FFAFB" w:rsidR="00377B8A" w:rsidRPr="003F2E2C" w:rsidRDefault="0013597C" w:rsidP="00377B8A">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We argue that in the light of evolving trends in global education and the differences in underlying economic and socio-cultural factors between countries</w:t>
      </w:r>
      <w:r w:rsidR="00B76D5C" w:rsidRPr="003F2E2C">
        <w:rPr>
          <w:rFonts w:ascii="Times New Roman" w:hAnsi="Times New Roman" w:cs="Times New Roman"/>
          <w:sz w:val="24"/>
          <w:szCs w:val="24"/>
        </w:rPr>
        <w:t>,</w:t>
      </w:r>
      <w:r w:rsidRPr="003F2E2C">
        <w:rPr>
          <w:rFonts w:ascii="Times New Roman" w:hAnsi="Times New Roman" w:cs="Times New Roman"/>
          <w:sz w:val="24"/>
          <w:szCs w:val="24"/>
        </w:rPr>
        <w:t xml:space="preserve"> in particular</w:t>
      </w:r>
      <w:r w:rsidR="00B76D5C" w:rsidRPr="003F2E2C">
        <w:rPr>
          <w:rFonts w:ascii="Times New Roman" w:hAnsi="Times New Roman" w:cs="Times New Roman"/>
          <w:sz w:val="24"/>
          <w:szCs w:val="24"/>
        </w:rPr>
        <w:t>,</w:t>
      </w:r>
      <w:r w:rsidRPr="003F2E2C">
        <w:rPr>
          <w:rFonts w:ascii="Times New Roman" w:hAnsi="Times New Roman" w:cs="Times New Roman"/>
          <w:sz w:val="24"/>
          <w:szCs w:val="24"/>
        </w:rPr>
        <w:t xml:space="preserve"> that of the developed and developing economies, there is the need for </w:t>
      </w:r>
      <w:r w:rsidRPr="003F2E2C">
        <w:rPr>
          <w:rFonts w:ascii="Times New Roman" w:hAnsi="Times New Roman" w:cs="Times New Roman"/>
          <w:noProof/>
          <w:sz w:val="24"/>
          <w:szCs w:val="24"/>
        </w:rPr>
        <w:t>context</w:t>
      </w:r>
      <w:r w:rsidR="0013151C" w:rsidRPr="003F2E2C">
        <w:rPr>
          <w:rFonts w:ascii="Times New Roman" w:hAnsi="Times New Roman" w:cs="Times New Roman"/>
          <w:noProof/>
          <w:sz w:val="24"/>
          <w:szCs w:val="24"/>
        </w:rPr>
        <w:t>-</w:t>
      </w:r>
      <w:r w:rsidRPr="003F2E2C">
        <w:rPr>
          <w:rFonts w:ascii="Times New Roman" w:hAnsi="Times New Roman" w:cs="Times New Roman"/>
          <w:noProof/>
          <w:sz w:val="24"/>
          <w:szCs w:val="24"/>
        </w:rPr>
        <w:t>specific</w:t>
      </w:r>
      <w:r w:rsidRPr="003F2E2C">
        <w:rPr>
          <w:rFonts w:ascii="Times New Roman" w:hAnsi="Times New Roman" w:cs="Times New Roman"/>
          <w:sz w:val="24"/>
          <w:szCs w:val="24"/>
        </w:rPr>
        <w:t xml:space="preserve"> research </w:t>
      </w:r>
      <w:r w:rsidRPr="003F2E2C">
        <w:rPr>
          <w:rFonts w:ascii="Times New Roman" w:hAnsi="Times New Roman" w:cs="Times New Roman"/>
          <w:sz w:val="24"/>
          <w:szCs w:val="24"/>
        </w:rPr>
        <w:fldChar w:fldCharType="begin" w:fldLock="1"/>
      </w:r>
      <w:r w:rsidRPr="003F2E2C">
        <w:rPr>
          <w:rFonts w:ascii="Times New Roman" w:hAnsi="Times New Roman" w:cs="Times New Roman"/>
          <w:sz w:val="24"/>
          <w:szCs w:val="24"/>
        </w:rPr>
        <w:instrText>ADDIN CSL_CITATION { "citationItems" : [ { "id" : "ITEM-1", "itemData" : { "DOI" : "10.1108/SAMPJ-10-2013-0042", "ISBN" : "1020120053", "ISSN" : "2040-8021", "abstract" : "This paper aims to examine whether the extent and type of corporate social responsibility (CSR) disclosuresmadebyIndian public listed companies are associated withfirmownership and board characteristics.", "author" : [ { "dropping-particle" : "", "family" : "Muttakin", "given" : "Mohammad Badrul", "non-dropping-particle" : "", "parse-names" : false, "suffix" : "" }, { "dropping-particle" : "", "family" : "Subramaniam", "given" : "Nava", "non-dropping-particle" : "", "parse-names" : false, "suffix" : "" } ], "container-title" : "Sustainability Accounting, Management and Policy Journal", "id" : "ITEM-1", "issue" : "2", "issued" : { "date-parts" : [ [ "2015" ] ] }, "page" : "138-165", "title" : "Firm ownership and board characteristics: Do they matter for corporate social responsibility disclosure of Indian companies?", "type" : "article-journal", "volume" : "6" }, "uris" : [ "http://www.mendeley.com/documents/?uuid=16544e22-d7dd-4385-bf04-979079427b11" ] } ], "mendeley" : { "formattedCitation" : "(Muttakin and Subramaniam, 2015)", "plainTextFormattedCitation" : "(Muttakin and Subramaniam, 2015)", "previouslyFormattedCitation" : "(Muttakin and Subramaniam, 2015)" }, "properties" : { "noteIndex" : 0 }, "schema" : "https://github.com/citation-style-language/schema/raw/master/csl-citation.json" }</w:instrText>
      </w:r>
      <w:r w:rsidRPr="003F2E2C">
        <w:rPr>
          <w:rFonts w:ascii="Times New Roman" w:hAnsi="Times New Roman" w:cs="Times New Roman"/>
          <w:sz w:val="24"/>
          <w:szCs w:val="24"/>
        </w:rPr>
        <w:fldChar w:fldCharType="separate"/>
      </w:r>
      <w:r w:rsidR="00FE46A8" w:rsidRPr="003F2E2C">
        <w:rPr>
          <w:rFonts w:ascii="Times New Roman" w:hAnsi="Times New Roman" w:cs="Times New Roman"/>
          <w:sz w:val="24"/>
          <w:szCs w:val="24"/>
        </w:rPr>
        <w:t>(Muttakin &amp;</w:t>
      </w:r>
      <w:r w:rsidRPr="003F2E2C">
        <w:rPr>
          <w:rFonts w:ascii="Times New Roman" w:hAnsi="Times New Roman" w:cs="Times New Roman"/>
          <w:sz w:val="24"/>
          <w:szCs w:val="24"/>
        </w:rPr>
        <w:t xml:space="preserve"> Subramaniam, 2015)</w:t>
      </w:r>
      <w:r w:rsidRPr="003F2E2C">
        <w:rPr>
          <w:rFonts w:ascii="Times New Roman" w:hAnsi="Times New Roman" w:cs="Times New Roman"/>
          <w:sz w:val="24"/>
          <w:szCs w:val="24"/>
        </w:rPr>
        <w:fldChar w:fldCharType="end"/>
      </w:r>
      <w:r w:rsidRPr="003F2E2C">
        <w:rPr>
          <w:rFonts w:ascii="Times New Roman" w:hAnsi="Times New Roman" w:cs="Times New Roman"/>
          <w:sz w:val="24"/>
          <w:szCs w:val="24"/>
        </w:rPr>
        <w:t>. For instance, in addition to the factors</w:t>
      </w:r>
      <w:r w:rsidR="00B41E82" w:rsidRPr="003F2E2C">
        <w:rPr>
          <w:rFonts w:ascii="Times New Roman" w:hAnsi="Times New Roman" w:cs="Times New Roman"/>
          <w:sz w:val="24"/>
          <w:szCs w:val="24"/>
        </w:rPr>
        <w:t xml:space="preserve"> (e.g. age, gender, attendance, effort, interest, expectation,</w:t>
      </w:r>
      <w:r w:rsidR="00B41E82" w:rsidRPr="003F2E2C">
        <w:rPr>
          <w:rFonts w:ascii="AdvPS6F0B" w:hAnsi="AdvPS6F0B" w:cs="AdvPS6F0B"/>
          <w:sz w:val="20"/>
          <w:szCs w:val="20"/>
          <w:lang w:val="en-US"/>
        </w:rPr>
        <w:t xml:space="preserve"> </w:t>
      </w:r>
      <w:r w:rsidR="00B41E82" w:rsidRPr="003F2E2C">
        <w:rPr>
          <w:rFonts w:ascii="Times New Roman" w:hAnsi="Times New Roman" w:cs="Times New Roman"/>
          <w:sz w:val="24"/>
          <w:szCs w:val="24"/>
          <w:lang w:val="en-US"/>
        </w:rPr>
        <w:t>country of origin, work and academic experiences, numeracy and</w:t>
      </w:r>
      <w:r w:rsidR="00B41E82" w:rsidRPr="003F2E2C">
        <w:rPr>
          <w:rFonts w:ascii="Times New Roman" w:hAnsi="Times New Roman" w:cs="Times New Roman"/>
          <w:sz w:val="24"/>
          <w:szCs w:val="24"/>
        </w:rPr>
        <w:t xml:space="preserve"> attitude )</w:t>
      </w:r>
      <w:r w:rsidRPr="003F2E2C">
        <w:rPr>
          <w:rFonts w:ascii="Times New Roman" w:hAnsi="Times New Roman" w:cs="Times New Roman"/>
          <w:sz w:val="24"/>
          <w:szCs w:val="24"/>
        </w:rPr>
        <w:t xml:space="preserve"> that have been used in prior studies</w:t>
      </w:r>
      <w:r w:rsidR="003227A5" w:rsidRPr="003F2E2C">
        <w:rPr>
          <w:rFonts w:ascii="Times New Roman" w:hAnsi="Times New Roman" w:cs="Times New Roman"/>
          <w:sz w:val="24"/>
          <w:szCs w:val="24"/>
        </w:rPr>
        <w:t xml:space="preserve"> (</w:t>
      </w:r>
      <w:r w:rsidR="00B41E82" w:rsidRPr="003F2E2C">
        <w:rPr>
          <w:rFonts w:ascii="Times New Roman" w:hAnsi="Times New Roman" w:cs="Times New Roman"/>
          <w:sz w:val="24"/>
          <w:szCs w:val="24"/>
        </w:rPr>
        <w:t>Jackling &amp; Anderson, 1998;</w:t>
      </w:r>
      <w:r w:rsidR="00C42C73" w:rsidRPr="003F2E2C">
        <w:rPr>
          <w:rFonts w:ascii="Times New Roman" w:hAnsi="Times New Roman" w:cs="Times New Roman"/>
          <w:sz w:val="24"/>
          <w:szCs w:val="24"/>
        </w:rPr>
        <w:t xml:space="preserve"> Guney, 2009;</w:t>
      </w:r>
      <w:r w:rsidR="00B41E82" w:rsidRPr="003F2E2C">
        <w:rPr>
          <w:rFonts w:ascii="Times New Roman" w:hAnsi="Times New Roman" w:cs="Times New Roman"/>
          <w:sz w:val="24"/>
          <w:szCs w:val="24"/>
        </w:rPr>
        <w:t xml:space="preserve"> Byrne &amp;</w:t>
      </w:r>
      <w:r w:rsidR="003227A5" w:rsidRPr="003F2E2C">
        <w:rPr>
          <w:rFonts w:ascii="Times New Roman" w:hAnsi="Times New Roman" w:cs="Times New Roman"/>
          <w:sz w:val="24"/>
          <w:szCs w:val="24"/>
        </w:rPr>
        <w:t xml:space="preserve"> Flood</w:t>
      </w:r>
      <w:r w:rsidR="00B41E82" w:rsidRPr="003F2E2C">
        <w:rPr>
          <w:rFonts w:ascii="Times New Roman" w:hAnsi="Times New Roman" w:cs="Times New Roman"/>
          <w:sz w:val="24"/>
          <w:szCs w:val="24"/>
        </w:rPr>
        <w:t>,</w:t>
      </w:r>
      <w:r w:rsidR="003227A5" w:rsidRPr="003F2E2C">
        <w:rPr>
          <w:rFonts w:ascii="Times New Roman" w:hAnsi="Times New Roman" w:cs="Times New Roman"/>
          <w:sz w:val="24"/>
          <w:szCs w:val="24"/>
        </w:rPr>
        <w:t xml:space="preserve"> 2008; </w:t>
      </w:r>
      <w:r w:rsidR="00B41E82" w:rsidRPr="003F2E2C">
        <w:rPr>
          <w:rFonts w:ascii="Times New Roman" w:hAnsi="Times New Roman" w:cs="Times New Roman"/>
          <w:sz w:val="24"/>
          <w:szCs w:val="24"/>
        </w:rPr>
        <w:t xml:space="preserve">Jansen &amp; De Villiers, </w:t>
      </w:r>
      <w:r w:rsidR="003227A5" w:rsidRPr="003F2E2C">
        <w:rPr>
          <w:rFonts w:ascii="Times New Roman" w:hAnsi="Times New Roman" w:cs="Times New Roman"/>
          <w:sz w:val="24"/>
          <w:szCs w:val="24"/>
        </w:rPr>
        <w:t>2016)</w:t>
      </w:r>
      <w:r w:rsidRPr="003F2E2C">
        <w:rPr>
          <w:rFonts w:ascii="Times New Roman" w:hAnsi="Times New Roman" w:cs="Times New Roman"/>
          <w:sz w:val="24"/>
          <w:szCs w:val="24"/>
        </w:rPr>
        <w:t>, this study adds volition as part of the factors</w:t>
      </w:r>
      <w:r w:rsidR="000A75E0" w:rsidRPr="003F2E2C">
        <w:rPr>
          <w:rFonts w:ascii="Times New Roman" w:hAnsi="Times New Roman" w:cs="Times New Roman"/>
          <w:sz w:val="24"/>
          <w:szCs w:val="24"/>
        </w:rPr>
        <w:t xml:space="preserve"> which affects performance.</w:t>
      </w:r>
      <w:r w:rsidR="00C03FBB" w:rsidRPr="003F2E2C">
        <w:rPr>
          <w:rFonts w:ascii="Times New Roman" w:hAnsi="Times New Roman" w:cs="Times New Roman"/>
          <w:sz w:val="24"/>
          <w:szCs w:val="24"/>
        </w:rPr>
        <w:t xml:space="preserve"> This is relevant as</w:t>
      </w:r>
      <w:r w:rsidR="004E4ADD" w:rsidRPr="003F2E2C">
        <w:rPr>
          <w:rFonts w:ascii="Times New Roman" w:hAnsi="Times New Roman" w:cs="Times New Roman"/>
          <w:sz w:val="24"/>
          <w:szCs w:val="24"/>
        </w:rPr>
        <w:t xml:space="preserve"> </w:t>
      </w:r>
      <w:r w:rsidR="00C03FBB" w:rsidRPr="003F2E2C">
        <w:rPr>
          <w:rFonts w:ascii="Times New Roman" w:hAnsi="Times New Roman" w:cs="Times New Roman"/>
          <w:sz w:val="24"/>
          <w:szCs w:val="24"/>
        </w:rPr>
        <w:t>volition</w:t>
      </w:r>
      <w:r w:rsidRPr="003F2E2C">
        <w:rPr>
          <w:rFonts w:ascii="Times New Roman" w:hAnsi="Times New Roman" w:cs="Times New Roman"/>
          <w:sz w:val="24"/>
          <w:szCs w:val="24"/>
        </w:rPr>
        <w:t xml:space="preserve"> has received relatively little attention in the existing l</w:t>
      </w:r>
      <w:r w:rsidR="00C03FBB" w:rsidRPr="003F2E2C">
        <w:rPr>
          <w:rFonts w:ascii="Times New Roman" w:hAnsi="Times New Roman" w:cs="Times New Roman"/>
          <w:sz w:val="24"/>
          <w:szCs w:val="24"/>
        </w:rPr>
        <w:t>iterature about</w:t>
      </w:r>
      <w:r w:rsidRPr="003F2E2C">
        <w:rPr>
          <w:rFonts w:ascii="Times New Roman" w:hAnsi="Times New Roman" w:cs="Times New Roman"/>
          <w:sz w:val="24"/>
          <w:szCs w:val="24"/>
        </w:rPr>
        <w:t xml:space="preserve"> its effect on the academic performance of accounting students. The relevance of volition as a factor in determining academic performance in the context of a </w:t>
      </w:r>
      <w:r w:rsidRPr="003F2E2C">
        <w:rPr>
          <w:rFonts w:ascii="Times New Roman" w:hAnsi="Times New Roman" w:cs="Times New Roman"/>
          <w:sz w:val="24"/>
          <w:szCs w:val="24"/>
        </w:rPr>
        <w:lastRenderedPageBreak/>
        <w:t>culturally diverse and emerging economy like Ghana cannot be overemphasised. This is becau</w:t>
      </w:r>
      <w:r w:rsidR="00B76D5C" w:rsidRPr="003F2E2C">
        <w:rPr>
          <w:rFonts w:ascii="Times New Roman" w:hAnsi="Times New Roman" w:cs="Times New Roman"/>
          <w:sz w:val="24"/>
          <w:szCs w:val="24"/>
        </w:rPr>
        <w:t>se unlike the developed econom</w:t>
      </w:r>
      <w:r w:rsidRPr="003F2E2C">
        <w:rPr>
          <w:rFonts w:ascii="Times New Roman" w:hAnsi="Times New Roman" w:cs="Times New Roman"/>
          <w:sz w:val="24"/>
          <w:szCs w:val="24"/>
        </w:rPr>
        <w:t>ies where children have a sa</w:t>
      </w:r>
      <w:r w:rsidR="00037F9F" w:rsidRPr="003F2E2C">
        <w:rPr>
          <w:rFonts w:ascii="Times New Roman" w:hAnsi="Times New Roman" w:cs="Times New Roman"/>
          <w:sz w:val="24"/>
          <w:szCs w:val="24"/>
        </w:rPr>
        <w:t xml:space="preserve">y in what they study at </w:t>
      </w:r>
      <w:r w:rsidRPr="003F2E2C">
        <w:rPr>
          <w:rFonts w:ascii="Times New Roman" w:hAnsi="Times New Roman" w:cs="Times New Roman"/>
          <w:sz w:val="24"/>
          <w:szCs w:val="24"/>
        </w:rPr>
        <w:t>education</w:t>
      </w:r>
      <w:r w:rsidR="00037F9F" w:rsidRPr="003F2E2C">
        <w:rPr>
          <w:rFonts w:ascii="Times New Roman" w:hAnsi="Times New Roman" w:cs="Times New Roman"/>
          <w:sz w:val="24"/>
          <w:szCs w:val="24"/>
        </w:rPr>
        <w:t>al</w:t>
      </w:r>
      <w:r w:rsidRPr="003F2E2C">
        <w:rPr>
          <w:rFonts w:ascii="Times New Roman" w:hAnsi="Times New Roman" w:cs="Times New Roman"/>
          <w:sz w:val="24"/>
          <w:szCs w:val="24"/>
        </w:rPr>
        <w:t xml:space="preserve"> institutions, cultural practices in Ghana</w:t>
      </w:r>
      <w:r w:rsidR="00B76D5C" w:rsidRPr="003F2E2C">
        <w:rPr>
          <w:rFonts w:ascii="Times New Roman" w:hAnsi="Times New Roman" w:cs="Times New Roman"/>
          <w:sz w:val="24"/>
          <w:szCs w:val="24"/>
        </w:rPr>
        <w:t xml:space="preserve"> (hierarchical order)</w:t>
      </w:r>
      <w:r w:rsidRPr="003F2E2C">
        <w:rPr>
          <w:rFonts w:ascii="Times New Roman" w:hAnsi="Times New Roman" w:cs="Times New Roman"/>
          <w:sz w:val="24"/>
          <w:szCs w:val="24"/>
        </w:rPr>
        <w:t xml:space="preserve"> leave less room for children to partake in decisions affecting their future</w:t>
      </w:r>
      <w:r w:rsidR="00C03FBB" w:rsidRPr="003F2E2C">
        <w:rPr>
          <w:rFonts w:ascii="Times New Roman" w:hAnsi="Times New Roman" w:cs="Times New Roman"/>
          <w:sz w:val="24"/>
          <w:szCs w:val="24"/>
        </w:rPr>
        <w:t>. This, in most cases, leads to</w:t>
      </w:r>
      <w:r w:rsidRPr="003F2E2C">
        <w:rPr>
          <w:rFonts w:ascii="Times New Roman" w:hAnsi="Times New Roman" w:cs="Times New Roman"/>
          <w:sz w:val="24"/>
          <w:szCs w:val="24"/>
        </w:rPr>
        <w:t xml:space="preserve"> the imposition of key decision such as academic pathway choice by parents.</w:t>
      </w:r>
    </w:p>
    <w:p w14:paraId="207AA0B4" w14:textId="77777777" w:rsidR="004E4ADD" w:rsidRPr="003F2E2C" w:rsidRDefault="0013597C" w:rsidP="009D002B">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A study of the </w:t>
      </w:r>
      <w:r w:rsidR="0054116C" w:rsidRPr="003F2E2C">
        <w:rPr>
          <w:rFonts w:ascii="Times New Roman" w:hAnsi="Times New Roman" w:cs="Times New Roman"/>
          <w:sz w:val="24"/>
          <w:szCs w:val="24"/>
        </w:rPr>
        <w:t xml:space="preserve">determinants of </w:t>
      </w:r>
      <w:r w:rsidRPr="003F2E2C">
        <w:rPr>
          <w:rFonts w:ascii="Times New Roman" w:hAnsi="Times New Roman" w:cs="Times New Roman"/>
          <w:sz w:val="24"/>
          <w:szCs w:val="24"/>
        </w:rPr>
        <w:t>performance of accounting students in Ghana is important because over the years the performance of accounting students at the final examination of the second cycle institutions</w:t>
      </w:r>
      <w:r w:rsidR="00377B8A" w:rsidRPr="003F2E2C">
        <w:rPr>
          <w:rFonts w:ascii="Times New Roman" w:hAnsi="Times New Roman" w:cs="Times New Roman"/>
          <w:sz w:val="24"/>
          <w:szCs w:val="24"/>
        </w:rPr>
        <w:t xml:space="preserve"> (</w:t>
      </w:r>
      <w:r w:rsidRPr="003F2E2C">
        <w:rPr>
          <w:rFonts w:ascii="Times New Roman" w:hAnsi="Times New Roman" w:cs="Times New Roman"/>
          <w:sz w:val="24"/>
          <w:szCs w:val="24"/>
        </w:rPr>
        <w:t>i.e</w:t>
      </w:r>
      <w:r w:rsidR="00377B8A" w:rsidRPr="003F2E2C">
        <w:rPr>
          <w:rFonts w:ascii="Times New Roman" w:hAnsi="Times New Roman" w:cs="Times New Roman"/>
          <w:sz w:val="24"/>
          <w:szCs w:val="24"/>
        </w:rPr>
        <w:t xml:space="preserve"> institutions offering education to students who have completed their junior high school)</w:t>
      </w:r>
      <w:r w:rsidRPr="003F2E2C">
        <w:rPr>
          <w:rFonts w:ascii="Times New Roman" w:hAnsi="Times New Roman" w:cs="Times New Roman"/>
          <w:sz w:val="24"/>
          <w:szCs w:val="24"/>
        </w:rPr>
        <w:t xml:space="preserve"> has been hovering around average</w:t>
      </w:r>
      <w:r w:rsidR="004F36F4" w:rsidRPr="003F2E2C">
        <w:rPr>
          <w:rFonts w:ascii="Times New Roman" w:hAnsi="Times New Roman" w:cs="Times New Roman"/>
          <w:sz w:val="24"/>
          <w:szCs w:val="24"/>
        </w:rPr>
        <w:t>. Some</w:t>
      </w:r>
      <w:r w:rsidR="00037F9F" w:rsidRPr="003F2E2C">
        <w:rPr>
          <w:rFonts w:ascii="Times New Roman" w:hAnsi="Times New Roman" w:cs="Times New Roman"/>
          <w:sz w:val="24"/>
          <w:szCs w:val="24"/>
        </w:rPr>
        <w:t xml:space="preserve"> subjects</w:t>
      </w:r>
      <w:r w:rsidR="004F36F4" w:rsidRPr="003F2E2C">
        <w:rPr>
          <w:rFonts w:ascii="Times New Roman" w:hAnsi="Times New Roman" w:cs="Times New Roman"/>
          <w:sz w:val="24"/>
          <w:szCs w:val="24"/>
        </w:rPr>
        <w:t xml:space="preserve"> have recorded marks which are</w:t>
      </w:r>
      <w:r w:rsidR="00037F9F" w:rsidRPr="003F2E2C">
        <w:rPr>
          <w:rFonts w:ascii="Times New Roman" w:hAnsi="Times New Roman" w:cs="Times New Roman"/>
          <w:sz w:val="24"/>
          <w:szCs w:val="24"/>
        </w:rPr>
        <w:t xml:space="preserve"> below expectation</w:t>
      </w:r>
      <w:r w:rsidR="004F36F4" w:rsidRPr="003F2E2C">
        <w:rPr>
          <w:rFonts w:ascii="Times New Roman" w:hAnsi="Times New Roman" w:cs="Times New Roman"/>
          <w:sz w:val="24"/>
          <w:szCs w:val="24"/>
        </w:rPr>
        <w:t xml:space="preserve"> which have become</w:t>
      </w:r>
      <w:r w:rsidRPr="003F2E2C">
        <w:rPr>
          <w:rFonts w:ascii="Times New Roman" w:hAnsi="Times New Roman" w:cs="Times New Roman"/>
          <w:sz w:val="24"/>
          <w:szCs w:val="24"/>
        </w:rPr>
        <w:t xml:space="preserve"> a concern to the authorities. The chief examiner noted in his report </w:t>
      </w:r>
      <w:r w:rsidR="006542EA" w:rsidRPr="003F2E2C">
        <w:rPr>
          <w:rFonts w:ascii="Times New Roman" w:hAnsi="Times New Roman" w:cs="Times New Roman"/>
          <w:sz w:val="24"/>
          <w:szCs w:val="24"/>
        </w:rPr>
        <w:t xml:space="preserve">on accounting students’ final examination results </w:t>
      </w:r>
      <w:r w:rsidRPr="003F2E2C">
        <w:rPr>
          <w:rFonts w:ascii="Times New Roman" w:hAnsi="Times New Roman" w:cs="Times New Roman"/>
          <w:sz w:val="24"/>
          <w:szCs w:val="24"/>
        </w:rPr>
        <w:t>that</w:t>
      </w:r>
      <w:r w:rsidR="00A4441F" w:rsidRPr="003F2E2C">
        <w:rPr>
          <w:rFonts w:ascii="Times New Roman" w:hAnsi="Times New Roman" w:cs="Times New Roman"/>
          <w:sz w:val="24"/>
          <w:szCs w:val="24"/>
        </w:rPr>
        <w:t xml:space="preserve"> students lack adequate preparation (</w:t>
      </w:r>
      <w:bookmarkStart w:id="4" w:name="_Hlk498088712"/>
      <w:r w:rsidR="00A4441F" w:rsidRPr="003F2E2C">
        <w:rPr>
          <w:rFonts w:ascii="Times New Roman" w:hAnsi="Times New Roman" w:cs="Times New Roman"/>
          <w:sz w:val="24"/>
          <w:szCs w:val="24"/>
        </w:rPr>
        <w:t>Examiner Report</w:t>
      </w:r>
      <w:r w:rsidR="001F56CE" w:rsidRPr="003F2E2C">
        <w:rPr>
          <w:rFonts w:ascii="Times New Roman" w:hAnsi="Times New Roman" w:cs="Times New Roman"/>
          <w:sz w:val="24"/>
          <w:szCs w:val="24"/>
        </w:rPr>
        <w:t>,</w:t>
      </w:r>
      <w:r w:rsidR="00A4441F" w:rsidRPr="003F2E2C">
        <w:rPr>
          <w:rFonts w:ascii="Times New Roman" w:hAnsi="Times New Roman" w:cs="Times New Roman"/>
          <w:sz w:val="24"/>
          <w:szCs w:val="24"/>
        </w:rPr>
        <w:t xml:space="preserve"> </w:t>
      </w:r>
      <w:r w:rsidRPr="003F2E2C">
        <w:rPr>
          <w:rFonts w:ascii="Times New Roman" w:hAnsi="Times New Roman" w:cs="Times New Roman"/>
          <w:sz w:val="24"/>
          <w:szCs w:val="24"/>
        </w:rPr>
        <w:t>2015, 2016</w:t>
      </w:r>
      <w:bookmarkEnd w:id="4"/>
      <w:r w:rsidRPr="003F2E2C">
        <w:rPr>
          <w:rFonts w:ascii="Times New Roman" w:hAnsi="Times New Roman" w:cs="Times New Roman"/>
          <w:sz w:val="24"/>
          <w:szCs w:val="24"/>
        </w:rPr>
        <w:t>). The general performance of tertiary students has not been quite impressive with high rustication and accounting may not be exceptional (GNA</w:t>
      </w:r>
      <w:r w:rsidR="001F56CE" w:rsidRPr="003F2E2C">
        <w:rPr>
          <w:rFonts w:ascii="Times New Roman" w:hAnsi="Times New Roman" w:cs="Times New Roman"/>
          <w:sz w:val="24"/>
          <w:szCs w:val="24"/>
        </w:rPr>
        <w:t>,</w:t>
      </w:r>
      <w:r w:rsidRPr="003F2E2C">
        <w:rPr>
          <w:rFonts w:ascii="Times New Roman" w:hAnsi="Times New Roman" w:cs="Times New Roman"/>
          <w:sz w:val="24"/>
          <w:szCs w:val="24"/>
        </w:rPr>
        <w:t xml:space="preserve"> 2014; Ferdinand</w:t>
      </w:r>
      <w:r w:rsidR="00ED6BF7" w:rsidRPr="003F2E2C">
        <w:rPr>
          <w:rFonts w:ascii="Times New Roman" w:hAnsi="Times New Roman" w:cs="Times New Roman"/>
          <w:sz w:val="24"/>
          <w:szCs w:val="24"/>
        </w:rPr>
        <w:t>,</w:t>
      </w:r>
      <w:r w:rsidRPr="003F2E2C">
        <w:rPr>
          <w:rFonts w:ascii="Times New Roman" w:hAnsi="Times New Roman" w:cs="Times New Roman"/>
          <w:sz w:val="24"/>
          <w:szCs w:val="24"/>
        </w:rPr>
        <w:t xml:space="preserve"> 2016). </w:t>
      </w:r>
      <w:r w:rsidRPr="003F2E2C">
        <w:rPr>
          <w:rFonts w:ascii="Times New Roman" w:hAnsi="Times New Roman" w:cs="Times New Roman"/>
          <w:noProof/>
          <w:sz w:val="24"/>
          <w:szCs w:val="24"/>
        </w:rPr>
        <w:t>A similar</w:t>
      </w:r>
      <w:r w:rsidRPr="003F2E2C">
        <w:rPr>
          <w:rFonts w:ascii="Times New Roman" w:hAnsi="Times New Roman" w:cs="Times New Roman"/>
          <w:sz w:val="24"/>
          <w:szCs w:val="24"/>
        </w:rPr>
        <w:t xml:space="preserve"> sentiment has been expressed by the chief examiner at the professional level that the overall performance of students in most papers fell far below expectation. The chief examiner call</w:t>
      </w:r>
      <w:r w:rsidR="00EE68EB" w:rsidRPr="003F2E2C">
        <w:rPr>
          <w:rFonts w:ascii="Times New Roman" w:hAnsi="Times New Roman" w:cs="Times New Roman"/>
          <w:sz w:val="24"/>
          <w:szCs w:val="24"/>
        </w:rPr>
        <w:t>ed</w:t>
      </w:r>
      <w:r w:rsidRPr="003F2E2C">
        <w:rPr>
          <w:rFonts w:ascii="Times New Roman" w:hAnsi="Times New Roman" w:cs="Times New Roman"/>
          <w:sz w:val="24"/>
          <w:szCs w:val="24"/>
        </w:rPr>
        <w:t xml:space="preserve"> for candidates to be adequately prepared before registering to write the examination (</w:t>
      </w:r>
      <w:bookmarkStart w:id="5" w:name="_Hlk498089570"/>
      <w:r w:rsidRPr="003F2E2C">
        <w:rPr>
          <w:rFonts w:ascii="Times New Roman" w:hAnsi="Times New Roman" w:cs="Times New Roman"/>
          <w:sz w:val="24"/>
          <w:szCs w:val="24"/>
        </w:rPr>
        <w:t xml:space="preserve">Institute of Chartered Accountants Ghana </w:t>
      </w:r>
      <w:r w:rsidR="0075791C" w:rsidRPr="003F2E2C">
        <w:rPr>
          <w:rFonts w:ascii="Times New Roman" w:hAnsi="Times New Roman" w:cs="Times New Roman"/>
          <w:sz w:val="24"/>
          <w:szCs w:val="24"/>
        </w:rPr>
        <w:t>(ICAG) Examiner’s Report</w:t>
      </w:r>
      <w:r w:rsidR="00ED6BF7" w:rsidRPr="003F2E2C">
        <w:rPr>
          <w:rFonts w:ascii="Times New Roman" w:hAnsi="Times New Roman" w:cs="Times New Roman"/>
          <w:sz w:val="24"/>
          <w:szCs w:val="24"/>
        </w:rPr>
        <w:t>,</w:t>
      </w:r>
      <w:r w:rsidR="0075791C" w:rsidRPr="003F2E2C">
        <w:rPr>
          <w:rFonts w:ascii="Times New Roman" w:hAnsi="Times New Roman" w:cs="Times New Roman"/>
          <w:sz w:val="24"/>
          <w:szCs w:val="24"/>
        </w:rPr>
        <w:t xml:space="preserve"> 2016</w:t>
      </w:r>
      <w:bookmarkEnd w:id="5"/>
      <w:r w:rsidR="0075791C"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This is happening at a time when the developmental agenda of the nation requires the services of accountants. The drive </w:t>
      </w:r>
      <w:r w:rsidR="00063D2A" w:rsidRPr="003F2E2C">
        <w:rPr>
          <w:rFonts w:ascii="Times New Roman" w:hAnsi="Times New Roman" w:cs="Times New Roman"/>
          <w:sz w:val="24"/>
          <w:szCs w:val="24"/>
        </w:rPr>
        <w:t>for development and full middle</w:t>
      </w:r>
      <w:r w:rsidR="008B5588" w:rsidRPr="003F2E2C">
        <w:rPr>
          <w:rFonts w:ascii="Times New Roman" w:hAnsi="Times New Roman" w:cs="Times New Roman"/>
          <w:sz w:val="24"/>
          <w:szCs w:val="24"/>
        </w:rPr>
        <w:t>-</w:t>
      </w:r>
      <w:r w:rsidRPr="003F2E2C">
        <w:rPr>
          <w:rFonts w:ascii="Times New Roman" w:hAnsi="Times New Roman" w:cs="Times New Roman"/>
          <w:sz w:val="24"/>
          <w:szCs w:val="24"/>
        </w:rPr>
        <w:t xml:space="preserve">income status have resulted in </w:t>
      </w:r>
      <w:r w:rsidRPr="003F2E2C">
        <w:rPr>
          <w:rFonts w:ascii="Times New Roman" w:hAnsi="Times New Roman" w:cs="Times New Roman"/>
          <w:noProof/>
          <w:sz w:val="24"/>
          <w:szCs w:val="24"/>
        </w:rPr>
        <w:t>a massive</w:t>
      </w:r>
      <w:r w:rsidRPr="003F2E2C">
        <w:rPr>
          <w:rFonts w:ascii="Times New Roman" w:hAnsi="Times New Roman" w:cs="Times New Roman"/>
          <w:sz w:val="24"/>
          <w:szCs w:val="24"/>
        </w:rPr>
        <w:t xml:space="preserve"> push of the private sector with government diversifying state enterprises. With privatisation comes the need for financial reporting to ensure better resource allocation, enhance market efficiency and attract investors (</w:t>
      </w:r>
      <w:bookmarkStart w:id="6" w:name="_Hlk498089756"/>
      <w:r w:rsidR="00FE46A8" w:rsidRPr="003F2E2C">
        <w:rPr>
          <w:rFonts w:ascii="Times New Roman" w:hAnsi="Times New Roman" w:cs="Times New Roman"/>
          <w:sz w:val="24"/>
          <w:szCs w:val="24"/>
        </w:rPr>
        <w:t>Bakre &amp;</w:t>
      </w:r>
      <w:r w:rsidR="00330530" w:rsidRPr="003F2E2C">
        <w:rPr>
          <w:rFonts w:ascii="Times New Roman" w:hAnsi="Times New Roman" w:cs="Times New Roman"/>
          <w:sz w:val="24"/>
          <w:szCs w:val="24"/>
        </w:rPr>
        <w:t xml:space="preserve"> Lau</w:t>
      </w:r>
      <w:r w:rsidRPr="003F2E2C">
        <w:rPr>
          <w:rFonts w:ascii="Times New Roman" w:hAnsi="Times New Roman" w:cs="Times New Roman"/>
          <w:sz w:val="24"/>
          <w:szCs w:val="24"/>
        </w:rPr>
        <w:t>w</w:t>
      </w:r>
      <w:r w:rsidR="00330530" w:rsidRPr="003F2E2C">
        <w:rPr>
          <w:rFonts w:ascii="Times New Roman" w:hAnsi="Times New Roman" w:cs="Times New Roman"/>
          <w:sz w:val="24"/>
          <w:szCs w:val="24"/>
        </w:rPr>
        <w:t>o</w:t>
      </w:r>
      <w:r w:rsidR="00ED6BF7" w:rsidRPr="003F2E2C">
        <w:rPr>
          <w:rFonts w:ascii="Times New Roman" w:hAnsi="Times New Roman" w:cs="Times New Roman"/>
          <w:sz w:val="24"/>
          <w:szCs w:val="24"/>
        </w:rPr>
        <w:t>,</w:t>
      </w:r>
      <w:r w:rsidRPr="003F2E2C">
        <w:rPr>
          <w:rFonts w:ascii="Times New Roman" w:hAnsi="Times New Roman" w:cs="Times New Roman"/>
          <w:sz w:val="24"/>
          <w:szCs w:val="24"/>
        </w:rPr>
        <w:t xml:space="preserve"> 2016</w:t>
      </w:r>
      <w:bookmarkEnd w:id="6"/>
      <w:r w:rsidRPr="003F2E2C">
        <w:rPr>
          <w:rFonts w:ascii="Times New Roman" w:hAnsi="Times New Roman" w:cs="Times New Roman"/>
          <w:sz w:val="24"/>
          <w:szCs w:val="24"/>
        </w:rPr>
        <w:t xml:space="preserve">). </w:t>
      </w:r>
    </w:p>
    <w:p w14:paraId="2E504A2E" w14:textId="62D75F62" w:rsidR="00063D2A" w:rsidRPr="003F2E2C" w:rsidRDefault="0013597C" w:rsidP="009D002B">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Two reports have highlighted the need for accountants for econo</w:t>
      </w:r>
      <w:r w:rsidR="004E4ADD" w:rsidRPr="003F2E2C">
        <w:rPr>
          <w:rFonts w:ascii="Times New Roman" w:hAnsi="Times New Roman" w:cs="Times New Roman"/>
          <w:sz w:val="24"/>
          <w:szCs w:val="24"/>
        </w:rPr>
        <w:t>mic development in Ghana. ACCA r</w:t>
      </w:r>
      <w:r w:rsidRPr="003F2E2C">
        <w:rPr>
          <w:rFonts w:ascii="Times New Roman" w:hAnsi="Times New Roman" w:cs="Times New Roman"/>
          <w:sz w:val="24"/>
          <w:szCs w:val="24"/>
        </w:rPr>
        <w:t xml:space="preserve">eport (2006) noted that Ghana needs 2000 qualified accountants to fill various vacancies on the job market to ensure that the country attains </w:t>
      </w:r>
      <w:r w:rsidRPr="003F2E2C">
        <w:rPr>
          <w:rFonts w:ascii="Times New Roman" w:hAnsi="Times New Roman" w:cs="Times New Roman"/>
          <w:noProof/>
          <w:sz w:val="24"/>
          <w:szCs w:val="24"/>
        </w:rPr>
        <w:t>middle</w:t>
      </w:r>
      <w:r w:rsidR="0013151C" w:rsidRPr="003F2E2C">
        <w:rPr>
          <w:rFonts w:ascii="Times New Roman" w:hAnsi="Times New Roman" w:cs="Times New Roman"/>
          <w:noProof/>
          <w:sz w:val="24"/>
          <w:szCs w:val="24"/>
        </w:rPr>
        <w:t>-</w:t>
      </w:r>
      <w:r w:rsidRPr="003F2E2C">
        <w:rPr>
          <w:rFonts w:ascii="Times New Roman" w:hAnsi="Times New Roman" w:cs="Times New Roman"/>
          <w:noProof/>
          <w:sz w:val="24"/>
          <w:szCs w:val="24"/>
        </w:rPr>
        <w:t>income</w:t>
      </w:r>
      <w:r w:rsidRPr="003F2E2C">
        <w:rPr>
          <w:rFonts w:ascii="Times New Roman" w:hAnsi="Times New Roman" w:cs="Times New Roman"/>
          <w:sz w:val="24"/>
          <w:szCs w:val="24"/>
        </w:rPr>
        <w:t xml:space="preserve"> status. However, the country has been facing acute shortage of accountant</w:t>
      </w:r>
      <w:r w:rsidR="00E9133C" w:rsidRPr="003F2E2C">
        <w:rPr>
          <w:rFonts w:ascii="Times New Roman" w:hAnsi="Times New Roman" w:cs="Times New Roman"/>
          <w:sz w:val="24"/>
          <w:szCs w:val="24"/>
        </w:rPr>
        <w:t>s in the last decade</w:t>
      </w:r>
      <w:r w:rsidRPr="003F2E2C">
        <w:rPr>
          <w:rFonts w:ascii="Times New Roman" w:hAnsi="Times New Roman" w:cs="Times New Roman"/>
          <w:sz w:val="24"/>
          <w:szCs w:val="24"/>
        </w:rPr>
        <w:t>. Also</w:t>
      </w:r>
      <w:r w:rsidR="008B5588" w:rsidRPr="003F2E2C">
        <w:rPr>
          <w:rFonts w:ascii="Times New Roman" w:hAnsi="Times New Roman" w:cs="Times New Roman"/>
          <w:sz w:val="24"/>
          <w:szCs w:val="24"/>
        </w:rPr>
        <w:t>,</w:t>
      </w:r>
      <w:r w:rsidRPr="003F2E2C">
        <w:rPr>
          <w:rFonts w:ascii="Times New Roman" w:hAnsi="Times New Roman" w:cs="Times New Roman"/>
          <w:sz w:val="24"/>
          <w:szCs w:val="24"/>
        </w:rPr>
        <w:t xml:space="preserve"> a report by ROSC (2014) has reiterated that for Ghana to sustain its economic growth and attain fu</w:t>
      </w:r>
      <w:r w:rsidR="008B5588" w:rsidRPr="003F2E2C">
        <w:rPr>
          <w:rFonts w:ascii="Times New Roman" w:hAnsi="Times New Roman" w:cs="Times New Roman"/>
          <w:sz w:val="24"/>
          <w:szCs w:val="24"/>
        </w:rPr>
        <w:t>ll middle-</w:t>
      </w:r>
      <w:r w:rsidRPr="003F2E2C">
        <w:rPr>
          <w:rFonts w:ascii="Times New Roman" w:hAnsi="Times New Roman" w:cs="Times New Roman"/>
          <w:sz w:val="24"/>
          <w:szCs w:val="24"/>
        </w:rPr>
        <w:t xml:space="preserve">income status, there is the need for sound financial reporting framework for all financial reporting businesses and high level of accountability and transparency in financial </w:t>
      </w:r>
      <w:r w:rsidR="008B5588" w:rsidRPr="003F2E2C">
        <w:rPr>
          <w:rFonts w:ascii="Times New Roman" w:hAnsi="Times New Roman" w:cs="Times New Roman"/>
          <w:sz w:val="24"/>
          <w:szCs w:val="24"/>
        </w:rPr>
        <w:t>reporting especially</w:t>
      </w:r>
      <w:r w:rsidRPr="003F2E2C">
        <w:rPr>
          <w:rFonts w:ascii="Times New Roman" w:hAnsi="Times New Roman" w:cs="Times New Roman"/>
          <w:sz w:val="24"/>
          <w:szCs w:val="24"/>
        </w:rPr>
        <w:t>, in the extractive industry which is not currently available. Therefore, the need to study the determinants of better performance of accounting students at this stage of national development cannot be overemphasised as improvement in performance may increase the number</w:t>
      </w:r>
      <w:r w:rsidR="00E95714" w:rsidRPr="003F2E2C">
        <w:rPr>
          <w:rFonts w:ascii="Times New Roman" w:hAnsi="Times New Roman" w:cs="Times New Roman"/>
          <w:sz w:val="24"/>
          <w:szCs w:val="24"/>
        </w:rPr>
        <w:t xml:space="preserve"> and quality</w:t>
      </w:r>
      <w:r w:rsidRPr="003F2E2C">
        <w:rPr>
          <w:rFonts w:ascii="Times New Roman" w:hAnsi="Times New Roman" w:cs="Times New Roman"/>
          <w:sz w:val="24"/>
          <w:szCs w:val="24"/>
        </w:rPr>
        <w:t xml:space="preserve"> of accountants. </w:t>
      </w:r>
    </w:p>
    <w:p w14:paraId="353A4513" w14:textId="0B3F2328" w:rsidR="009D002B" w:rsidRPr="003F2E2C" w:rsidRDefault="0013597C" w:rsidP="009D002B">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It is against this background that our study set out to investigate the determinants of accounting students’ academic performance to enhance our understanding and improve attraction to the accounting profession. The key research question</w:t>
      </w:r>
      <w:r w:rsidR="008B5588" w:rsidRPr="003F2E2C">
        <w:rPr>
          <w:rFonts w:ascii="Times New Roman" w:hAnsi="Times New Roman" w:cs="Times New Roman"/>
          <w:sz w:val="24"/>
          <w:szCs w:val="24"/>
        </w:rPr>
        <w:t>s</w:t>
      </w:r>
      <w:r w:rsidRPr="003F2E2C">
        <w:rPr>
          <w:rFonts w:ascii="Times New Roman" w:hAnsi="Times New Roman" w:cs="Times New Roman"/>
          <w:sz w:val="24"/>
          <w:szCs w:val="24"/>
        </w:rPr>
        <w:t xml:space="preserve"> we address are:</w:t>
      </w:r>
    </w:p>
    <w:p w14:paraId="301D6505" w14:textId="77777777" w:rsidR="008B5588" w:rsidRPr="003F2E2C" w:rsidRDefault="0013597C" w:rsidP="008B5588">
      <w:pPr>
        <w:spacing w:after="0" w:line="360" w:lineRule="auto"/>
        <w:ind w:left="720"/>
        <w:jc w:val="both"/>
        <w:rPr>
          <w:rFonts w:ascii="Times New Roman" w:hAnsi="Times New Roman" w:cs="Times New Roman"/>
          <w:sz w:val="24"/>
          <w:szCs w:val="24"/>
        </w:rPr>
      </w:pPr>
      <w:r w:rsidRPr="003F2E2C">
        <w:rPr>
          <w:rFonts w:ascii="Times New Roman" w:hAnsi="Times New Roman" w:cs="Times New Roman"/>
          <w:sz w:val="24"/>
          <w:szCs w:val="24"/>
        </w:rPr>
        <w:t>RQ1. To what extent are</w:t>
      </w:r>
      <w:r w:rsidR="009D002B" w:rsidRPr="003F2E2C">
        <w:rPr>
          <w:rFonts w:ascii="Times New Roman" w:hAnsi="Times New Roman" w:cs="Times New Roman"/>
          <w:sz w:val="24"/>
          <w:szCs w:val="24"/>
        </w:rPr>
        <w:t xml:space="preserve"> </w:t>
      </w:r>
      <w:bookmarkStart w:id="7" w:name="_Hlk498072973"/>
      <w:r w:rsidR="009D002B" w:rsidRPr="003F2E2C">
        <w:rPr>
          <w:rFonts w:ascii="Times New Roman" w:hAnsi="Times New Roman" w:cs="Times New Roman"/>
          <w:sz w:val="24"/>
          <w:szCs w:val="24"/>
        </w:rPr>
        <w:t xml:space="preserve">motivational and engagement and commitment factors </w:t>
      </w:r>
      <w:bookmarkEnd w:id="7"/>
      <w:r w:rsidR="009D002B" w:rsidRPr="003F2E2C">
        <w:rPr>
          <w:rFonts w:ascii="Times New Roman" w:hAnsi="Times New Roman" w:cs="Times New Roman"/>
          <w:sz w:val="24"/>
          <w:szCs w:val="24"/>
        </w:rPr>
        <w:t xml:space="preserve">related </w:t>
      </w:r>
    </w:p>
    <w:p w14:paraId="1778ADCA" w14:textId="3576F839" w:rsidR="009D002B" w:rsidRPr="003F2E2C" w:rsidRDefault="0013597C" w:rsidP="008B5588">
      <w:pPr>
        <w:spacing w:after="0" w:line="360" w:lineRule="auto"/>
        <w:ind w:left="720" w:firstLine="720"/>
        <w:jc w:val="both"/>
        <w:rPr>
          <w:rFonts w:ascii="Times New Roman" w:hAnsi="Times New Roman" w:cs="Times New Roman"/>
          <w:sz w:val="24"/>
          <w:szCs w:val="24"/>
        </w:rPr>
      </w:pPr>
      <w:r w:rsidRPr="003F2E2C">
        <w:rPr>
          <w:rFonts w:ascii="Times New Roman" w:hAnsi="Times New Roman" w:cs="Times New Roman"/>
          <w:sz w:val="24"/>
          <w:szCs w:val="24"/>
        </w:rPr>
        <w:t>to academic performance?</w:t>
      </w:r>
    </w:p>
    <w:p w14:paraId="1059C7D4" w14:textId="77777777" w:rsidR="008B5588" w:rsidRPr="003F2E2C" w:rsidRDefault="0013597C" w:rsidP="008B5588">
      <w:pPr>
        <w:spacing w:after="0" w:line="360" w:lineRule="auto"/>
        <w:ind w:left="720"/>
        <w:jc w:val="both"/>
        <w:rPr>
          <w:rFonts w:ascii="Times New Roman" w:hAnsi="Times New Roman" w:cs="Times New Roman"/>
          <w:sz w:val="24"/>
          <w:szCs w:val="24"/>
        </w:rPr>
      </w:pPr>
      <w:r w:rsidRPr="003F2E2C">
        <w:rPr>
          <w:rFonts w:ascii="Times New Roman" w:hAnsi="Times New Roman" w:cs="Times New Roman"/>
          <w:sz w:val="24"/>
          <w:szCs w:val="24"/>
        </w:rPr>
        <w:t xml:space="preserve">RQ2. Do motivational and engagement and commitment factors differ according to the </w:t>
      </w:r>
    </w:p>
    <w:p w14:paraId="389F6BFD" w14:textId="77777777" w:rsidR="00377B8A" w:rsidRPr="003F2E2C" w:rsidRDefault="0013597C" w:rsidP="00377B8A">
      <w:pPr>
        <w:spacing w:after="0" w:line="360" w:lineRule="auto"/>
        <w:ind w:left="720" w:firstLine="720"/>
        <w:jc w:val="both"/>
        <w:rPr>
          <w:rFonts w:ascii="Times New Roman" w:hAnsi="Times New Roman" w:cs="Times New Roman"/>
          <w:sz w:val="24"/>
          <w:szCs w:val="24"/>
        </w:rPr>
      </w:pPr>
      <w:r w:rsidRPr="003F2E2C">
        <w:rPr>
          <w:rFonts w:ascii="Times New Roman" w:hAnsi="Times New Roman" w:cs="Times New Roman"/>
          <w:sz w:val="24"/>
          <w:szCs w:val="24"/>
        </w:rPr>
        <w:t>level of study?</w:t>
      </w:r>
    </w:p>
    <w:p w14:paraId="269987E0" w14:textId="7C4CF63C" w:rsidR="00E247AD" w:rsidRPr="003F2E2C" w:rsidRDefault="0013597C" w:rsidP="00377B8A">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To address these questions</w:t>
      </w:r>
      <w:r w:rsidR="00B044BF" w:rsidRPr="003F2E2C">
        <w:rPr>
          <w:rFonts w:ascii="Times New Roman" w:hAnsi="Times New Roman" w:cs="Times New Roman"/>
          <w:sz w:val="24"/>
          <w:szCs w:val="24"/>
        </w:rPr>
        <w:t>,</w:t>
      </w:r>
      <w:r w:rsidRPr="003F2E2C">
        <w:rPr>
          <w:rFonts w:ascii="Times New Roman" w:hAnsi="Times New Roman" w:cs="Times New Roman"/>
          <w:sz w:val="24"/>
          <w:szCs w:val="24"/>
        </w:rPr>
        <w:t xml:space="preserve"> the study employed a quantitative approach. </w:t>
      </w:r>
      <w:r w:rsidR="00B044BF" w:rsidRPr="003F2E2C">
        <w:rPr>
          <w:rFonts w:ascii="Times New Roman" w:hAnsi="Times New Roman" w:cs="Times New Roman"/>
          <w:sz w:val="24"/>
          <w:szCs w:val="24"/>
          <w:lang w:val="en-US"/>
        </w:rPr>
        <w:t>A quantitative approach</w:t>
      </w:r>
      <w:r w:rsidR="00377B8A" w:rsidRPr="003F2E2C">
        <w:rPr>
          <w:rFonts w:ascii="Times New Roman" w:hAnsi="Times New Roman" w:cs="Times New Roman"/>
          <w:sz w:val="24"/>
          <w:szCs w:val="24"/>
          <w:lang w:val="en-US"/>
        </w:rPr>
        <w:t xml:space="preserve"> was used as the study focused on testing hypotheses (Meheus</w:t>
      </w:r>
      <w:r w:rsidR="00EC7950" w:rsidRPr="003F2E2C">
        <w:rPr>
          <w:rFonts w:ascii="Times New Roman" w:hAnsi="Times New Roman" w:cs="Times New Roman"/>
          <w:sz w:val="24"/>
          <w:szCs w:val="24"/>
          <w:lang w:val="en-US"/>
        </w:rPr>
        <w:t xml:space="preserve">, </w:t>
      </w:r>
      <w:r w:rsidR="00377B8A" w:rsidRPr="003F2E2C">
        <w:rPr>
          <w:rFonts w:ascii="Times New Roman" w:hAnsi="Times New Roman" w:cs="Times New Roman"/>
          <w:sz w:val="24"/>
          <w:szCs w:val="24"/>
          <w:lang w:val="en-US"/>
        </w:rPr>
        <w:t>1999; Easterby-Smith et al.</w:t>
      </w:r>
      <w:r w:rsidR="00EC7950" w:rsidRPr="003F2E2C">
        <w:rPr>
          <w:rFonts w:ascii="Times New Roman" w:hAnsi="Times New Roman" w:cs="Times New Roman"/>
          <w:sz w:val="24"/>
          <w:szCs w:val="24"/>
          <w:lang w:val="en-US"/>
        </w:rPr>
        <w:t>,</w:t>
      </w:r>
      <w:r w:rsidR="00377B8A" w:rsidRPr="003F2E2C">
        <w:rPr>
          <w:rFonts w:ascii="Times New Roman" w:hAnsi="Times New Roman" w:cs="Times New Roman"/>
          <w:sz w:val="24"/>
          <w:szCs w:val="24"/>
          <w:lang w:val="en-US"/>
        </w:rPr>
        <w:t xml:space="preserve"> 2008) relating to the links from expectation, volition, interest, and attitude to academic performance. </w:t>
      </w:r>
      <w:r w:rsidRPr="003F2E2C">
        <w:rPr>
          <w:rFonts w:ascii="Times New Roman" w:hAnsi="Times New Roman" w:cs="Times New Roman"/>
          <w:sz w:val="24"/>
          <w:szCs w:val="24"/>
        </w:rPr>
        <w:t>The results of the study indicate that generally there is</w:t>
      </w:r>
      <w:r w:rsidR="0013151C"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relationship between </w:t>
      </w:r>
      <w:bookmarkStart w:id="8" w:name="_Hlk529737519"/>
      <w:r w:rsidRPr="003F2E2C">
        <w:rPr>
          <w:rFonts w:ascii="Times New Roman" w:hAnsi="Times New Roman" w:cs="Times New Roman"/>
          <w:sz w:val="24"/>
          <w:szCs w:val="24"/>
        </w:rPr>
        <w:t xml:space="preserve">motivational (expectation and volition), engagement and commitment factors (academic interest and attitude to learning) </w:t>
      </w:r>
      <w:bookmarkEnd w:id="8"/>
      <w:r w:rsidRPr="003F2E2C">
        <w:rPr>
          <w:rFonts w:ascii="Times New Roman" w:hAnsi="Times New Roman" w:cs="Times New Roman"/>
          <w:sz w:val="24"/>
          <w:szCs w:val="24"/>
        </w:rPr>
        <w:t>and academic performance among Ghanaian accounting students. However, when these factors were separately analysed at both secondary and tertiary levels, there were important differences in the results. All engagement and commitm</w:t>
      </w:r>
      <w:r w:rsidR="00AE5CCA" w:rsidRPr="003F2E2C">
        <w:rPr>
          <w:rFonts w:ascii="Times New Roman" w:hAnsi="Times New Roman" w:cs="Times New Roman"/>
          <w:sz w:val="24"/>
          <w:szCs w:val="24"/>
        </w:rPr>
        <w:t>ent factors remained significance</w:t>
      </w:r>
      <w:r w:rsidRPr="003F2E2C">
        <w:rPr>
          <w:rFonts w:ascii="Times New Roman" w:hAnsi="Times New Roman" w:cs="Times New Roman"/>
          <w:sz w:val="24"/>
          <w:szCs w:val="24"/>
        </w:rPr>
        <w:t xml:space="preserve"> at both level</w:t>
      </w:r>
      <w:r w:rsidR="008B5588" w:rsidRPr="003F2E2C">
        <w:rPr>
          <w:rFonts w:ascii="Times New Roman" w:hAnsi="Times New Roman" w:cs="Times New Roman"/>
          <w:sz w:val="24"/>
          <w:szCs w:val="24"/>
        </w:rPr>
        <w:t>s</w:t>
      </w:r>
      <w:r w:rsidRPr="003F2E2C">
        <w:rPr>
          <w:rFonts w:ascii="Times New Roman" w:hAnsi="Times New Roman" w:cs="Times New Roman"/>
          <w:sz w:val="24"/>
          <w:szCs w:val="24"/>
        </w:rPr>
        <w:t xml:space="preserve"> but </w:t>
      </w:r>
      <w:r w:rsidRPr="003F2E2C">
        <w:rPr>
          <w:rFonts w:ascii="Times New Roman" w:hAnsi="Times New Roman" w:cs="Times New Roman"/>
          <w:noProof/>
          <w:sz w:val="24"/>
          <w:szCs w:val="24"/>
        </w:rPr>
        <w:t>expectation</w:t>
      </w:r>
      <w:r w:rsidRPr="003F2E2C">
        <w:rPr>
          <w:rFonts w:ascii="Times New Roman" w:hAnsi="Times New Roman" w:cs="Times New Roman"/>
          <w:sz w:val="24"/>
          <w:szCs w:val="24"/>
        </w:rPr>
        <w:t xml:space="preserve"> is only significant at the secondary level and volition is only significant at the tertiary level.</w:t>
      </w:r>
    </w:p>
    <w:p w14:paraId="28A7F931" w14:textId="5039D1B5" w:rsidR="007A576C" w:rsidRPr="003F2E2C" w:rsidRDefault="0013597C" w:rsidP="007A576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 study makes the following contributions. First, it provides evidence from a large and diverse Ghanaian sample that motivational factors have a different effect on the academic performance of accounting students at secondary and tertiary institutions. This is a departure from most prior accounting studies which focus</w:t>
      </w:r>
      <w:r w:rsidR="00AE5CCA" w:rsidRPr="003F2E2C">
        <w:rPr>
          <w:rFonts w:ascii="Times New Roman" w:hAnsi="Times New Roman" w:cs="Times New Roman"/>
          <w:sz w:val="24"/>
          <w:szCs w:val="24"/>
        </w:rPr>
        <w:t>ed</w:t>
      </w:r>
      <w:r w:rsidRPr="003F2E2C">
        <w:rPr>
          <w:rFonts w:ascii="Times New Roman" w:hAnsi="Times New Roman" w:cs="Times New Roman"/>
          <w:sz w:val="24"/>
          <w:szCs w:val="24"/>
        </w:rPr>
        <w:t xml:space="preserve"> on comparative analysis of academic performance indicators at only programme levels at tertiary institutions (Gracia &amp; Jenkins, 2003; Duff, 2004). This finding will increase the knowledge of accounting education authorities and accounting practitioners on different policies to implement to enhance accounting students’ performance which is usually one of the prime objectives of policy formulators. A</w:t>
      </w:r>
      <w:r w:rsidR="00AE5CCA" w:rsidRPr="003F2E2C">
        <w:rPr>
          <w:rFonts w:ascii="Times New Roman" w:hAnsi="Times New Roman" w:cs="Times New Roman"/>
          <w:sz w:val="24"/>
          <w:szCs w:val="24"/>
        </w:rPr>
        <w:t>n a</w:t>
      </w:r>
      <w:r w:rsidRPr="003F2E2C">
        <w:rPr>
          <w:rFonts w:ascii="Times New Roman" w:hAnsi="Times New Roman" w:cs="Times New Roman"/>
          <w:sz w:val="24"/>
          <w:szCs w:val="24"/>
        </w:rPr>
        <w:t>dditional contribution is pursuing the study in a non-developed country setting, and particularly in Ghana. The underlying economic and socio-cultural factors which impact on the educational system differs significantly from those of the developed economies</w:t>
      </w:r>
      <w:r w:rsidR="004D6293" w:rsidRPr="003F2E2C">
        <w:rPr>
          <w:rFonts w:ascii="Times New Roman" w:hAnsi="Times New Roman" w:cs="Times New Roman"/>
          <w:sz w:val="24"/>
          <w:szCs w:val="24"/>
        </w:rPr>
        <w:t xml:space="preserve"> making the applicability of western results difficult</w:t>
      </w:r>
      <w:r w:rsidRPr="003F2E2C">
        <w:rPr>
          <w:rFonts w:ascii="Times New Roman" w:hAnsi="Times New Roman" w:cs="Times New Roman"/>
          <w:sz w:val="24"/>
          <w:szCs w:val="24"/>
        </w:rPr>
        <w:t xml:space="preserve">. Despite indications of a shortage of accounting personnel and the likelihood of increasing market demand for accountants studies investigating factors influencing the performance of accounting students are scant. Prior Ghanaian studies (Awayiga et al., 2010; Ahinful et al., 2012) focused on knowledge and skill set, and reasons for majoring in accounting respectively rather than determinants of students' performance. This, therefore, leaves open the question of how to improve accounting students' performance to meet the demand of the market. </w:t>
      </w:r>
      <w:r w:rsidR="004D6293" w:rsidRPr="003F2E2C">
        <w:rPr>
          <w:rFonts w:ascii="Times New Roman" w:hAnsi="Times New Roman" w:cs="Times New Roman"/>
          <w:sz w:val="24"/>
          <w:szCs w:val="24"/>
        </w:rPr>
        <w:t>Also</w:t>
      </w:r>
      <w:r w:rsidRPr="003F2E2C">
        <w:rPr>
          <w:rFonts w:ascii="Times New Roman" w:hAnsi="Times New Roman" w:cs="Times New Roman"/>
          <w:sz w:val="24"/>
          <w:szCs w:val="24"/>
        </w:rPr>
        <w:t>, the current research to the best of our knowledge is the first to examine the effect of motivation, engagement and commitment factors on accounting students’ performance at different levels of education in Ghana. This adds to the dearth of the literature in Ghana examining the effect of endogenous factors on the academic performance of accounting students.</w:t>
      </w:r>
    </w:p>
    <w:p w14:paraId="795E54A5" w14:textId="448F2B1E" w:rsidR="001316ED" w:rsidRPr="003F2E2C" w:rsidRDefault="0013597C" w:rsidP="00FB1CCB">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The remainder of the paper is structured as follows. The next section gives a brief overview of </w:t>
      </w:r>
      <w:r w:rsidR="00384239" w:rsidRPr="003F2E2C">
        <w:rPr>
          <w:rFonts w:ascii="Times New Roman" w:hAnsi="Times New Roman" w:cs="Times New Roman"/>
          <w:sz w:val="24"/>
          <w:szCs w:val="24"/>
        </w:rPr>
        <w:t>the</w:t>
      </w:r>
      <w:r w:rsidR="009F2BAB" w:rsidRPr="003F2E2C">
        <w:rPr>
          <w:rFonts w:ascii="Times New Roman" w:hAnsi="Times New Roman" w:cs="Times New Roman"/>
          <w:sz w:val="24"/>
          <w:szCs w:val="24"/>
        </w:rPr>
        <w:t xml:space="preserve"> socio-political and education</w:t>
      </w:r>
      <w:r w:rsidR="00384239" w:rsidRPr="003F2E2C">
        <w:rPr>
          <w:rFonts w:ascii="Times New Roman" w:hAnsi="Times New Roman" w:cs="Times New Roman"/>
          <w:sz w:val="24"/>
          <w:szCs w:val="24"/>
        </w:rPr>
        <w:t xml:space="preserve"> environment</w:t>
      </w:r>
      <w:r w:rsidRPr="003F2E2C">
        <w:rPr>
          <w:rFonts w:ascii="Times New Roman" w:hAnsi="Times New Roman" w:cs="Times New Roman"/>
          <w:sz w:val="24"/>
          <w:szCs w:val="24"/>
        </w:rPr>
        <w:t xml:space="preserve"> in Ghana</w:t>
      </w:r>
      <w:r w:rsidR="00384239" w:rsidRPr="003F2E2C">
        <w:rPr>
          <w:rFonts w:ascii="Times New Roman" w:hAnsi="Times New Roman" w:cs="Times New Roman"/>
          <w:sz w:val="24"/>
          <w:szCs w:val="24"/>
        </w:rPr>
        <w:t>.</w:t>
      </w:r>
      <w:r w:rsidRPr="003F2E2C">
        <w:rPr>
          <w:rFonts w:ascii="Times New Roman" w:hAnsi="Times New Roman" w:cs="Times New Roman"/>
          <w:sz w:val="24"/>
          <w:szCs w:val="24"/>
        </w:rPr>
        <w:t xml:space="preserve"> The </w:t>
      </w:r>
      <w:r w:rsidR="00836220" w:rsidRPr="003F2E2C">
        <w:rPr>
          <w:rFonts w:ascii="Times New Roman" w:hAnsi="Times New Roman" w:cs="Times New Roman"/>
          <w:sz w:val="24"/>
          <w:szCs w:val="24"/>
        </w:rPr>
        <w:t xml:space="preserve">theoretical framework and </w:t>
      </w:r>
      <w:r w:rsidRPr="003F2E2C">
        <w:rPr>
          <w:rFonts w:ascii="Times New Roman" w:hAnsi="Times New Roman" w:cs="Times New Roman"/>
          <w:sz w:val="24"/>
          <w:szCs w:val="24"/>
        </w:rPr>
        <w:t>literature review concerning</w:t>
      </w:r>
      <w:r w:rsidR="00A81632" w:rsidRPr="003F2E2C">
        <w:rPr>
          <w:rFonts w:ascii="Times New Roman" w:hAnsi="Times New Roman" w:cs="Times New Roman"/>
          <w:sz w:val="24"/>
          <w:szCs w:val="24"/>
        </w:rPr>
        <w:t xml:space="preserve"> expectation, volition,</w:t>
      </w:r>
      <w:r w:rsidRPr="003F2E2C">
        <w:rPr>
          <w:rFonts w:ascii="Times New Roman" w:hAnsi="Times New Roman" w:cs="Times New Roman"/>
          <w:sz w:val="24"/>
          <w:szCs w:val="24"/>
        </w:rPr>
        <w:t xml:space="preserve"> interest and </w:t>
      </w:r>
      <w:r w:rsidR="00127EAA" w:rsidRPr="003F2E2C">
        <w:rPr>
          <w:rFonts w:ascii="Times New Roman" w:hAnsi="Times New Roman" w:cs="Times New Roman"/>
          <w:sz w:val="24"/>
          <w:szCs w:val="24"/>
        </w:rPr>
        <w:t xml:space="preserve">learning attitude </w:t>
      </w:r>
      <w:r w:rsidR="002B4E9A" w:rsidRPr="003F2E2C">
        <w:rPr>
          <w:rFonts w:ascii="Times New Roman" w:hAnsi="Times New Roman" w:cs="Times New Roman"/>
          <w:sz w:val="24"/>
          <w:szCs w:val="24"/>
        </w:rPr>
        <w:t xml:space="preserve">together with the hypotheses to be tested </w:t>
      </w:r>
      <w:r w:rsidR="00384239" w:rsidRPr="003F2E2C">
        <w:rPr>
          <w:rFonts w:ascii="Times New Roman" w:hAnsi="Times New Roman" w:cs="Times New Roman"/>
          <w:sz w:val="24"/>
          <w:szCs w:val="24"/>
        </w:rPr>
        <w:t>are</w:t>
      </w:r>
      <w:r w:rsidR="00977976" w:rsidRPr="003F2E2C">
        <w:rPr>
          <w:rFonts w:ascii="Times New Roman" w:hAnsi="Times New Roman" w:cs="Times New Roman"/>
          <w:sz w:val="24"/>
          <w:szCs w:val="24"/>
        </w:rPr>
        <w:t xml:space="preserve"> covered in s</w:t>
      </w:r>
      <w:r w:rsidR="00127EAA" w:rsidRPr="003F2E2C">
        <w:rPr>
          <w:rFonts w:ascii="Times New Roman" w:hAnsi="Times New Roman" w:cs="Times New Roman"/>
          <w:sz w:val="24"/>
          <w:szCs w:val="24"/>
        </w:rPr>
        <w:t>ection 3.</w:t>
      </w:r>
      <w:r w:rsidRPr="003F2E2C">
        <w:rPr>
          <w:rFonts w:ascii="Times New Roman" w:hAnsi="Times New Roman" w:cs="Times New Roman"/>
          <w:sz w:val="24"/>
          <w:szCs w:val="24"/>
        </w:rPr>
        <w:t xml:space="preserve"> Section </w:t>
      </w:r>
      <w:r w:rsidR="002B4E9A" w:rsidRPr="003F2E2C">
        <w:rPr>
          <w:rFonts w:ascii="Times New Roman" w:hAnsi="Times New Roman" w:cs="Times New Roman"/>
          <w:sz w:val="24"/>
          <w:szCs w:val="24"/>
        </w:rPr>
        <w:t>4</w:t>
      </w:r>
      <w:r w:rsidR="00127EAA"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discusses the </w:t>
      </w:r>
      <w:r w:rsidR="00384239" w:rsidRPr="003F2E2C">
        <w:rPr>
          <w:rFonts w:ascii="Times New Roman" w:hAnsi="Times New Roman" w:cs="Times New Roman"/>
          <w:sz w:val="24"/>
          <w:szCs w:val="24"/>
        </w:rPr>
        <w:t xml:space="preserve">research </w:t>
      </w:r>
      <w:r w:rsidRPr="003F2E2C">
        <w:rPr>
          <w:rFonts w:ascii="Times New Roman" w:hAnsi="Times New Roman" w:cs="Times New Roman"/>
          <w:sz w:val="24"/>
          <w:szCs w:val="24"/>
        </w:rPr>
        <w:t>methodology.</w:t>
      </w:r>
      <w:r w:rsidR="00127EAA" w:rsidRPr="003F2E2C">
        <w:rPr>
          <w:rFonts w:ascii="Times New Roman" w:hAnsi="Times New Roman" w:cs="Times New Roman"/>
          <w:sz w:val="24"/>
          <w:szCs w:val="24"/>
        </w:rPr>
        <w:t xml:space="preserve"> </w:t>
      </w:r>
      <w:r w:rsidRPr="003F2E2C">
        <w:rPr>
          <w:rFonts w:ascii="Times New Roman" w:hAnsi="Times New Roman" w:cs="Times New Roman"/>
          <w:sz w:val="24"/>
          <w:szCs w:val="24"/>
        </w:rPr>
        <w:t>The results of the study</w:t>
      </w:r>
      <w:r w:rsidR="00127EAA" w:rsidRPr="003F2E2C">
        <w:rPr>
          <w:rFonts w:ascii="Times New Roman" w:hAnsi="Times New Roman" w:cs="Times New Roman"/>
          <w:sz w:val="24"/>
          <w:szCs w:val="24"/>
        </w:rPr>
        <w:t xml:space="preserve"> </w:t>
      </w:r>
      <w:r w:rsidR="00497C9E" w:rsidRPr="003F2E2C">
        <w:rPr>
          <w:rFonts w:ascii="Times New Roman" w:hAnsi="Times New Roman" w:cs="Times New Roman"/>
          <w:sz w:val="24"/>
          <w:szCs w:val="24"/>
        </w:rPr>
        <w:t>are</w:t>
      </w:r>
      <w:r w:rsidRPr="003F2E2C">
        <w:rPr>
          <w:rFonts w:ascii="Times New Roman" w:hAnsi="Times New Roman" w:cs="Times New Roman"/>
          <w:sz w:val="24"/>
          <w:szCs w:val="24"/>
        </w:rPr>
        <w:t xml:space="preserve"> </w:t>
      </w:r>
      <w:r w:rsidR="00B64DE6" w:rsidRPr="003F2E2C">
        <w:rPr>
          <w:rFonts w:ascii="Times New Roman" w:hAnsi="Times New Roman" w:cs="Times New Roman"/>
          <w:sz w:val="24"/>
          <w:szCs w:val="24"/>
        </w:rPr>
        <w:t>presented in</w:t>
      </w:r>
      <w:r w:rsidR="00384239" w:rsidRPr="003F2E2C">
        <w:rPr>
          <w:rFonts w:ascii="Times New Roman" w:hAnsi="Times New Roman" w:cs="Times New Roman"/>
          <w:sz w:val="24"/>
          <w:szCs w:val="24"/>
        </w:rPr>
        <w:t xml:space="preserve"> S</w:t>
      </w:r>
      <w:r w:rsidR="002B4E9A" w:rsidRPr="003F2E2C">
        <w:rPr>
          <w:rFonts w:ascii="Times New Roman" w:hAnsi="Times New Roman" w:cs="Times New Roman"/>
          <w:sz w:val="24"/>
          <w:szCs w:val="24"/>
        </w:rPr>
        <w:t>ection 5</w:t>
      </w:r>
      <w:r w:rsidR="00384239" w:rsidRPr="003F2E2C">
        <w:rPr>
          <w:rFonts w:ascii="Times New Roman" w:hAnsi="Times New Roman" w:cs="Times New Roman"/>
          <w:sz w:val="24"/>
          <w:szCs w:val="24"/>
        </w:rPr>
        <w:t>. Finally, there is a</w:t>
      </w:r>
      <w:r w:rsidRPr="003F2E2C">
        <w:rPr>
          <w:rFonts w:ascii="Times New Roman" w:hAnsi="Times New Roman" w:cs="Times New Roman"/>
          <w:sz w:val="24"/>
          <w:szCs w:val="24"/>
        </w:rPr>
        <w:t xml:space="preserve"> summary and conclusion</w:t>
      </w:r>
      <w:r w:rsidR="00384239" w:rsidRPr="003F2E2C">
        <w:rPr>
          <w:rFonts w:ascii="Times New Roman" w:hAnsi="Times New Roman" w:cs="Times New Roman"/>
          <w:sz w:val="24"/>
          <w:szCs w:val="24"/>
        </w:rPr>
        <w:t>.</w:t>
      </w:r>
    </w:p>
    <w:p w14:paraId="0A8F9542" w14:textId="77777777" w:rsidR="00384239" w:rsidRPr="003F2E2C" w:rsidRDefault="00384239" w:rsidP="00384239">
      <w:pPr>
        <w:autoSpaceDE w:val="0"/>
        <w:autoSpaceDN w:val="0"/>
        <w:adjustRightInd w:val="0"/>
        <w:spacing w:after="0" w:line="360" w:lineRule="auto"/>
        <w:ind w:firstLine="720"/>
        <w:jc w:val="both"/>
        <w:rPr>
          <w:rFonts w:ascii="Times New Roman" w:hAnsi="Times New Roman" w:cs="Times New Roman"/>
          <w:sz w:val="24"/>
          <w:szCs w:val="24"/>
        </w:rPr>
      </w:pPr>
    </w:p>
    <w:p w14:paraId="32E23C32" w14:textId="0185F566" w:rsidR="00A46BD4" w:rsidRPr="003F2E2C" w:rsidRDefault="0013597C" w:rsidP="00567D22">
      <w:pPr>
        <w:pStyle w:val="ListParagraph"/>
        <w:numPr>
          <w:ilvl w:val="0"/>
          <w:numId w:val="10"/>
        </w:numPr>
        <w:spacing w:after="0"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 xml:space="preserve">The </w:t>
      </w:r>
      <w:r w:rsidR="000F1FCE" w:rsidRPr="003F2E2C">
        <w:rPr>
          <w:rFonts w:ascii="Times New Roman" w:hAnsi="Times New Roman" w:cs="Times New Roman"/>
          <w:b/>
          <w:sz w:val="24"/>
          <w:szCs w:val="24"/>
        </w:rPr>
        <w:t>social,</w:t>
      </w:r>
      <w:r w:rsidR="00836220" w:rsidRPr="003F2E2C">
        <w:rPr>
          <w:rFonts w:ascii="Times New Roman" w:hAnsi="Times New Roman" w:cs="Times New Roman"/>
          <w:b/>
          <w:sz w:val="24"/>
          <w:szCs w:val="24"/>
        </w:rPr>
        <w:t xml:space="preserve"> educational</w:t>
      </w:r>
      <w:r w:rsidR="000F1FCE" w:rsidRPr="003F2E2C">
        <w:rPr>
          <w:rFonts w:ascii="Times New Roman" w:hAnsi="Times New Roman" w:cs="Times New Roman"/>
          <w:b/>
          <w:sz w:val="24"/>
          <w:szCs w:val="24"/>
        </w:rPr>
        <w:t xml:space="preserve"> and</w:t>
      </w:r>
      <w:r w:rsidR="00836220" w:rsidRPr="003F2E2C">
        <w:rPr>
          <w:rFonts w:ascii="Times New Roman" w:hAnsi="Times New Roman" w:cs="Times New Roman"/>
          <w:b/>
          <w:sz w:val="24"/>
          <w:szCs w:val="24"/>
        </w:rPr>
        <w:t xml:space="preserve"> </w:t>
      </w:r>
      <w:r w:rsidR="000F1FCE" w:rsidRPr="003F2E2C">
        <w:rPr>
          <w:rFonts w:ascii="Times New Roman" w:hAnsi="Times New Roman" w:cs="Times New Roman"/>
          <w:b/>
          <w:sz w:val="24"/>
          <w:szCs w:val="24"/>
        </w:rPr>
        <w:t xml:space="preserve">political </w:t>
      </w:r>
      <w:r w:rsidR="00836220" w:rsidRPr="003F2E2C">
        <w:rPr>
          <w:rFonts w:ascii="Times New Roman" w:hAnsi="Times New Roman" w:cs="Times New Roman"/>
          <w:b/>
          <w:sz w:val="24"/>
          <w:szCs w:val="24"/>
        </w:rPr>
        <w:t xml:space="preserve">systems </w:t>
      </w:r>
      <w:r w:rsidRPr="003F2E2C">
        <w:rPr>
          <w:rFonts w:ascii="Times New Roman" w:hAnsi="Times New Roman" w:cs="Times New Roman"/>
          <w:b/>
          <w:sz w:val="24"/>
          <w:szCs w:val="24"/>
        </w:rPr>
        <w:t>in Ghana</w:t>
      </w:r>
    </w:p>
    <w:p w14:paraId="49646522" w14:textId="12990605" w:rsidR="005F13D4" w:rsidRPr="003F2E2C" w:rsidRDefault="0013597C" w:rsidP="007A576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The Ghanaian society is hierarchical in nature with respect being accorded to people due to age, experience, position and wealth. </w:t>
      </w:r>
      <w:r w:rsidR="009C3EDF" w:rsidRPr="003F2E2C">
        <w:rPr>
          <w:rFonts w:ascii="Times New Roman" w:hAnsi="Times New Roman" w:cs="Times New Roman"/>
          <w:sz w:val="24"/>
          <w:szCs w:val="24"/>
        </w:rPr>
        <w:t xml:space="preserve">Traditionally, however, age </w:t>
      </w:r>
      <w:r w:rsidR="006F6040" w:rsidRPr="003F2E2C">
        <w:rPr>
          <w:rFonts w:ascii="Times New Roman" w:hAnsi="Times New Roman" w:cs="Times New Roman"/>
          <w:sz w:val="24"/>
          <w:szCs w:val="24"/>
        </w:rPr>
        <w:t xml:space="preserve">is </w:t>
      </w:r>
      <w:r w:rsidR="009C3EDF" w:rsidRPr="003F2E2C">
        <w:rPr>
          <w:rFonts w:ascii="Times New Roman" w:hAnsi="Times New Roman" w:cs="Times New Roman"/>
          <w:sz w:val="24"/>
          <w:szCs w:val="24"/>
        </w:rPr>
        <w:t>key in the hierarchical structure a</w:t>
      </w:r>
      <w:r w:rsidR="00DD5243" w:rsidRPr="003F2E2C">
        <w:rPr>
          <w:rFonts w:ascii="Times New Roman" w:hAnsi="Times New Roman" w:cs="Times New Roman"/>
          <w:sz w:val="24"/>
          <w:szCs w:val="24"/>
        </w:rPr>
        <w:t>nd form</w:t>
      </w:r>
      <w:r w:rsidR="006F6040" w:rsidRPr="003F2E2C">
        <w:rPr>
          <w:rFonts w:ascii="Times New Roman" w:hAnsi="Times New Roman" w:cs="Times New Roman"/>
          <w:sz w:val="24"/>
          <w:szCs w:val="24"/>
        </w:rPr>
        <w:t>s</w:t>
      </w:r>
      <w:r w:rsidR="00DD5243" w:rsidRPr="003F2E2C">
        <w:rPr>
          <w:rFonts w:ascii="Times New Roman" w:hAnsi="Times New Roman" w:cs="Times New Roman"/>
          <w:sz w:val="24"/>
          <w:szCs w:val="24"/>
        </w:rPr>
        <w:t xml:space="preserve"> the basis of authority</w:t>
      </w:r>
      <w:r w:rsidR="009C3EDF" w:rsidRPr="003F2E2C">
        <w:rPr>
          <w:rFonts w:ascii="Times New Roman" w:hAnsi="Times New Roman" w:cs="Times New Roman"/>
          <w:sz w:val="24"/>
          <w:szCs w:val="24"/>
          <w:lang w:val="en-US"/>
        </w:rPr>
        <w:t xml:space="preserve">. The hierarchical </w:t>
      </w:r>
      <w:r w:rsidR="006F6040" w:rsidRPr="003F2E2C">
        <w:rPr>
          <w:rFonts w:ascii="Times New Roman" w:hAnsi="Times New Roman" w:cs="Times New Roman"/>
          <w:sz w:val="24"/>
          <w:szCs w:val="24"/>
          <w:lang w:val="en-US"/>
        </w:rPr>
        <w:t xml:space="preserve">nature of the society helps </w:t>
      </w:r>
      <w:r w:rsidR="00DF6560" w:rsidRPr="003F2E2C">
        <w:rPr>
          <w:rFonts w:ascii="Times New Roman" w:hAnsi="Times New Roman" w:cs="Times New Roman"/>
          <w:sz w:val="24"/>
          <w:szCs w:val="24"/>
          <w:lang w:val="en-US"/>
        </w:rPr>
        <w:t>place individuals</w:t>
      </w:r>
      <w:r w:rsidR="009C3EDF" w:rsidRPr="003F2E2C">
        <w:rPr>
          <w:rFonts w:ascii="Times New Roman" w:hAnsi="Times New Roman" w:cs="Times New Roman"/>
          <w:sz w:val="24"/>
          <w:szCs w:val="24"/>
          <w:lang w:val="en-US"/>
        </w:rPr>
        <w:t xml:space="preserve"> pr</w:t>
      </w:r>
      <w:r w:rsidR="00DF6560" w:rsidRPr="003F2E2C">
        <w:rPr>
          <w:rFonts w:ascii="Times New Roman" w:hAnsi="Times New Roman" w:cs="Times New Roman"/>
          <w:sz w:val="24"/>
          <w:szCs w:val="24"/>
          <w:lang w:val="en-US"/>
        </w:rPr>
        <w:t>o</w:t>
      </w:r>
      <w:r w:rsidR="009C3EDF" w:rsidRPr="003F2E2C">
        <w:rPr>
          <w:rFonts w:ascii="Times New Roman" w:hAnsi="Times New Roman" w:cs="Times New Roman"/>
          <w:sz w:val="24"/>
          <w:szCs w:val="24"/>
          <w:lang w:val="en-US"/>
        </w:rPr>
        <w:t>per</w:t>
      </w:r>
      <w:r w:rsidR="00DF6560" w:rsidRPr="003F2E2C">
        <w:rPr>
          <w:rFonts w:ascii="Times New Roman" w:hAnsi="Times New Roman" w:cs="Times New Roman"/>
          <w:sz w:val="24"/>
          <w:szCs w:val="24"/>
          <w:lang w:val="en-US"/>
        </w:rPr>
        <w:t>ly in the</w:t>
      </w:r>
      <w:r w:rsidR="009C3EDF" w:rsidRPr="003F2E2C">
        <w:rPr>
          <w:rFonts w:ascii="Times New Roman" w:hAnsi="Times New Roman" w:cs="Times New Roman"/>
          <w:sz w:val="24"/>
          <w:szCs w:val="24"/>
          <w:lang w:val="en-US"/>
        </w:rPr>
        <w:t xml:space="preserve"> social scale</w:t>
      </w:r>
      <w:r w:rsidR="00DF6560" w:rsidRPr="003F2E2C">
        <w:rPr>
          <w:rFonts w:ascii="Times New Roman" w:hAnsi="Times New Roman" w:cs="Times New Roman"/>
          <w:sz w:val="24"/>
          <w:szCs w:val="24"/>
          <w:lang w:val="en-US"/>
        </w:rPr>
        <w:t xml:space="preserve"> which is considered as relevant part of the virtue of humanity</w:t>
      </w:r>
      <w:r w:rsidR="006F6040" w:rsidRPr="003F2E2C">
        <w:rPr>
          <w:rFonts w:ascii="Times New Roman" w:hAnsi="Times New Roman" w:cs="Times New Roman"/>
          <w:sz w:val="24"/>
          <w:szCs w:val="24"/>
          <w:lang w:val="en-US"/>
        </w:rPr>
        <w:t xml:space="preserve"> and this minimis</w:t>
      </w:r>
      <w:r w:rsidR="009C3EDF" w:rsidRPr="003F2E2C">
        <w:rPr>
          <w:rFonts w:ascii="Times New Roman" w:hAnsi="Times New Roman" w:cs="Times New Roman"/>
          <w:sz w:val="24"/>
          <w:szCs w:val="24"/>
          <w:lang w:val="en-US"/>
        </w:rPr>
        <w:t xml:space="preserve">es the tendency to question authority </w:t>
      </w:r>
      <w:r w:rsidR="009C3EDF" w:rsidRPr="003F2E2C">
        <w:rPr>
          <w:rFonts w:ascii="Times New Roman" w:hAnsi="Times New Roman" w:cs="Times New Roman"/>
          <w:sz w:val="24"/>
          <w:szCs w:val="24"/>
        </w:rPr>
        <w:t>(Jackson, 2004; Oppong, 2006).</w:t>
      </w:r>
      <w:r w:rsidR="00A009F5" w:rsidRPr="003F2E2C">
        <w:rPr>
          <w:rFonts w:ascii="Times New Roman" w:hAnsi="Times New Roman" w:cs="Times New Roman"/>
          <w:sz w:val="24"/>
          <w:szCs w:val="24"/>
        </w:rPr>
        <w:t xml:space="preserve"> </w:t>
      </w:r>
      <w:r w:rsidR="005659A8" w:rsidRPr="003F2E2C">
        <w:rPr>
          <w:rFonts w:ascii="Times New Roman" w:hAnsi="Times New Roman" w:cs="Times New Roman"/>
          <w:sz w:val="24"/>
          <w:szCs w:val="24"/>
        </w:rPr>
        <w:t>The hierarchical structures also manifest in the community where every child is expected to be under the authority and control of all adult. This existing network becomes a system</w:t>
      </w:r>
      <w:r w:rsidR="00930D40" w:rsidRPr="003F2E2C">
        <w:rPr>
          <w:rFonts w:ascii="Times New Roman" w:hAnsi="Times New Roman" w:cs="Times New Roman"/>
          <w:sz w:val="24"/>
          <w:szCs w:val="24"/>
        </w:rPr>
        <w:t xml:space="preserve"> of behavioural regulator for a</w:t>
      </w:r>
      <w:r w:rsidR="005659A8" w:rsidRPr="003F2E2C">
        <w:rPr>
          <w:rFonts w:ascii="Times New Roman" w:hAnsi="Times New Roman" w:cs="Times New Roman"/>
          <w:sz w:val="24"/>
          <w:szCs w:val="24"/>
        </w:rPr>
        <w:t>dults and children (Gardiner, 1998)</w:t>
      </w:r>
      <w:r w:rsidR="00003592" w:rsidRPr="003F2E2C">
        <w:rPr>
          <w:rFonts w:ascii="Times New Roman" w:hAnsi="Times New Roman" w:cs="Times New Roman"/>
          <w:sz w:val="24"/>
          <w:szCs w:val="24"/>
        </w:rPr>
        <w:t>.</w:t>
      </w:r>
      <w:r w:rsidR="005659A8"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There is preferential treatment for the elderly and their decisions are respected </w:t>
      </w:r>
      <w:r w:rsidR="009F10DE" w:rsidRPr="003F2E2C">
        <w:rPr>
          <w:rFonts w:ascii="Times New Roman" w:hAnsi="Times New Roman" w:cs="Times New Roman"/>
          <w:sz w:val="24"/>
          <w:szCs w:val="24"/>
        </w:rPr>
        <w:t>ir</w:t>
      </w:r>
      <w:r w:rsidRPr="003F2E2C">
        <w:rPr>
          <w:rFonts w:ascii="Times New Roman" w:hAnsi="Times New Roman" w:cs="Times New Roman"/>
          <w:sz w:val="24"/>
          <w:szCs w:val="24"/>
        </w:rPr>
        <w:t>respective of their wealth level.</w:t>
      </w:r>
      <w:r w:rsidR="00930D40" w:rsidRPr="003F2E2C">
        <w:rPr>
          <w:rFonts w:ascii="Times New Roman" w:hAnsi="Times New Roman" w:cs="Times New Roman"/>
          <w:sz w:val="24"/>
          <w:szCs w:val="24"/>
        </w:rPr>
        <w:t xml:space="preserve"> This in effect moderates the impact of wealth on authority in poor societies. </w:t>
      </w:r>
    </w:p>
    <w:p w14:paraId="710CF037" w14:textId="35C0A3A6" w:rsidR="005F13D4" w:rsidRPr="003F2E2C" w:rsidRDefault="0013597C" w:rsidP="007A576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 </w:t>
      </w:r>
      <w:r w:rsidR="009F10DE" w:rsidRPr="003F2E2C">
        <w:rPr>
          <w:rFonts w:ascii="Times New Roman" w:hAnsi="Times New Roman" w:cs="Times New Roman"/>
          <w:sz w:val="24"/>
          <w:szCs w:val="24"/>
        </w:rPr>
        <w:t xml:space="preserve">Poverty is </w:t>
      </w:r>
      <w:r w:rsidR="006F6040" w:rsidRPr="003F2E2C">
        <w:rPr>
          <w:rFonts w:ascii="Times New Roman" w:hAnsi="Times New Roman" w:cs="Times New Roman"/>
          <w:sz w:val="24"/>
          <w:szCs w:val="24"/>
        </w:rPr>
        <w:t>high in Ghana</w:t>
      </w:r>
      <w:r w:rsidR="009F10DE" w:rsidRPr="003F2E2C">
        <w:rPr>
          <w:rFonts w:ascii="Times New Roman" w:hAnsi="Times New Roman" w:cs="Times New Roman"/>
          <w:sz w:val="24"/>
          <w:szCs w:val="24"/>
        </w:rPr>
        <w:t>.</w:t>
      </w:r>
      <w:r w:rsidRPr="003F2E2C">
        <w:rPr>
          <w:rFonts w:ascii="Times New Roman" w:hAnsi="Times New Roman" w:cs="Times New Roman"/>
          <w:sz w:val="24"/>
          <w:szCs w:val="24"/>
        </w:rPr>
        <w:t xml:space="preserve"> </w:t>
      </w:r>
      <w:r w:rsidR="006F6040" w:rsidRPr="003F2E2C">
        <w:rPr>
          <w:rFonts w:ascii="Times New Roman" w:hAnsi="Times New Roman" w:cs="Times New Roman"/>
          <w:sz w:val="24"/>
          <w:szCs w:val="24"/>
        </w:rPr>
        <w:t xml:space="preserve">A report by </w:t>
      </w:r>
      <w:r w:rsidR="003F6E94" w:rsidRPr="003F2E2C">
        <w:rPr>
          <w:rFonts w:ascii="Times New Roman" w:hAnsi="Times New Roman" w:cs="Times New Roman"/>
          <w:sz w:val="24"/>
          <w:szCs w:val="24"/>
        </w:rPr>
        <w:t>Ghana Statistical Service</w:t>
      </w:r>
      <w:r w:rsidR="006F6040" w:rsidRPr="003F2E2C">
        <w:rPr>
          <w:rFonts w:ascii="Times New Roman" w:hAnsi="Times New Roman" w:cs="Times New Roman"/>
          <w:sz w:val="24"/>
          <w:szCs w:val="24"/>
        </w:rPr>
        <w:t xml:space="preserve"> (GSS)</w:t>
      </w:r>
      <w:r w:rsidR="003F6E94" w:rsidRPr="003F2E2C">
        <w:rPr>
          <w:rFonts w:ascii="Times New Roman" w:hAnsi="Times New Roman" w:cs="Times New Roman"/>
          <w:sz w:val="24"/>
          <w:szCs w:val="24"/>
        </w:rPr>
        <w:t xml:space="preserve"> (201</w:t>
      </w:r>
      <w:r w:rsidR="001E66BC" w:rsidRPr="003F2E2C">
        <w:rPr>
          <w:rFonts w:ascii="Times New Roman" w:hAnsi="Times New Roman" w:cs="Times New Roman"/>
          <w:sz w:val="24"/>
          <w:szCs w:val="24"/>
        </w:rPr>
        <w:t>8</w:t>
      </w:r>
      <w:r w:rsidR="003F6E94" w:rsidRPr="003F2E2C">
        <w:rPr>
          <w:rFonts w:ascii="Times New Roman" w:hAnsi="Times New Roman" w:cs="Times New Roman"/>
          <w:sz w:val="24"/>
          <w:szCs w:val="24"/>
        </w:rPr>
        <w:t>)</w:t>
      </w:r>
      <w:r w:rsidR="006F6040" w:rsidRPr="003F2E2C">
        <w:rPr>
          <w:rFonts w:ascii="Times New Roman" w:hAnsi="Times New Roman" w:cs="Times New Roman"/>
          <w:sz w:val="24"/>
          <w:szCs w:val="24"/>
        </w:rPr>
        <w:t xml:space="preserve"> </w:t>
      </w:r>
      <w:r w:rsidR="003F6E94" w:rsidRPr="003F2E2C">
        <w:rPr>
          <w:rFonts w:ascii="Times New Roman" w:hAnsi="Times New Roman" w:cs="Times New Roman"/>
          <w:sz w:val="24"/>
          <w:szCs w:val="24"/>
        </w:rPr>
        <w:t>indicate</w:t>
      </w:r>
      <w:r w:rsidR="006F6040" w:rsidRPr="003F2E2C">
        <w:rPr>
          <w:rFonts w:ascii="Times New Roman" w:hAnsi="Times New Roman" w:cs="Times New Roman"/>
          <w:sz w:val="24"/>
          <w:szCs w:val="24"/>
        </w:rPr>
        <w:t>s</w:t>
      </w:r>
      <w:r w:rsidR="003F6E94" w:rsidRPr="003F2E2C">
        <w:rPr>
          <w:rFonts w:ascii="Times New Roman" w:hAnsi="Times New Roman" w:cs="Times New Roman"/>
          <w:sz w:val="24"/>
          <w:szCs w:val="24"/>
        </w:rPr>
        <w:t xml:space="preserve"> that between 2005 to 2017 population growth was much faster than reduction in poverty. This indicates that poverty is still a major challenge</w:t>
      </w:r>
      <w:r w:rsidR="001E66BC" w:rsidRPr="003F2E2C">
        <w:rPr>
          <w:rFonts w:ascii="Times New Roman" w:hAnsi="Times New Roman" w:cs="Times New Roman"/>
          <w:sz w:val="24"/>
          <w:szCs w:val="24"/>
        </w:rPr>
        <w:t xml:space="preserve"> as overall poverty reduced marginally from 24.2% to 23.4% with extreme poverty reducing by 200,000 people from 2.4 million to 2.2 million within that period.</w:t>
      </w:r>
      <w:r w:rsidR="00212569" w:rsidRPr="003F2E2C">
        <w:rPr>
          <w:rFonts w:ascii="Times New Roman" w:hAnsi="Times New Roman" w:cs="Times New Roman"/>
          <w:sz w:val="24"/>
          <w:szCs w:val="24"/>
        </w:rPr>
        <w:t xml:space="preserve"> Income inequality also widen</w:t>
      </w:r>
      <w:r w:rsidR="006F6040" w:rsidRPr="003F2E2C">
        <w:rPr>
          <w:rFonts w:ascii="Times New Roman" w:hAnsi="Times New Roman" w:cs="Times New Roman"/>
          <w:sz w:val="24"/>
          <w:szCs w:val="24"/>
        </w:rPr>
        <w:t>ed</w:t>
      </w:r>
      <w:r w:rsidR="00212569" w:rsidRPr="003F2E2C">
        <w:rPr>
          <w:rFonts w:ascii="Times New Roman" w:hAnsi="Times New Roman" w:cs="Times New Roman"/>
          <w:sz w:val="24"/>
          <w:szCs w:val="24"/>
        </w:rPr>
        <w:t xml:space="preserve"> from 41</w:t>
      </w:r>
      <w:r w:rsidR="006F6040" w:rsidRPr="003F2E2C">
        <w:rPr>
          <w:rFonts w:ascii="Times New Roman" w:hAnsi="Times New Roman" w:cs="Times New Roman"/>
          <w:sz w:val="24"/>
          <w:szCs w:val="24"/>
        </w:rPr>
        <w:t>.9</w:t>
      </w:r>
      <w:r w:rsidR="00212569" w:rsidRPr="003F2E2C">
        <w:rPr>
          <w:rFonts w:ascii="Times New Roman" w:hAnsi="Times New Roman" w:cs="Times New Roman"/>
          <w:sz w:val="24"/>
          <w:szCs w:val="24"/>
        </w:rPr>
        <w:t xml:space="preserve">% in 2005/6 to 43% in 2016/17. </w:t>
      </w:r>
      <w:r w:rsidRPr="003F2E2C">
        <w:rPr>
          <w:rFonts w:ascii="Times New Roman" w:hAnsi="Times New Roman" w:cs="Times New Roman"/>
          <w:sz w:val="24"/>
          <w:szCs w:val="24"/>
        </w:rPr>
        <w:t>These socio-economic features have implication</w:t>
      </w:r>
      <w:r w:rsidR="006F6040" w:rsidRPr="003F2E2C">
        <w:rPr>
          <w:rFonts w:ascii="Times New Roman" w:hAnsi="Times New Roman" w:cs="Times New Roman"/>
          <w:sz w:val="24"/>
          <w:szCs w:val="24"/>
        </w:rPr>
        <w:t>s</w:t>
      </w:r>
      <w:r w:rsidRPr="003F2E2C">
        <w:rPr>
          <w:rFonts w:ascii="Times New Roman" w:hAnsi="Times New Roman" w:cs="Times New Roman"/>
          <w:sz w:val="24"/>
          <w:szCs w:val="24"/>
        </w:rPr>
        <w:t xml:space="preserve"> for education since the poor either do not enrol their children in schools or their education end</w:t>
      </w:r>
      <w:r w:rsidR="006F6040" w:rsidRPr="003F2E2C">
        <w:rPr>
          <w:rFonts w:ascii="Times New Roman" w:hAnsi="Times New Roman" w:cs="Times New Roman"/>
          <w:sz w:val="24"/>
          <w:szCs w:val="24"/>
        </w:rPr>
        <w:t>s</w:t>
      </w:r>
      <w:r w:rsidRPr="003F2E2C">
        <w:rPr>
          <w:rFonts w:ascii="Times New Roman" w:hAnsi="Times New Roman" w:cs="Times New Roman"/>
          <w:sz w:val="24"/>
          <w:szCs w:val="24"/>
        </w:rPr>
        <w:t xml:space="preserve"> after the basic level. </w:t>
      </w:r>
      <w:r w:rsidR="00212569" w:rsidRPr="003F2E2C">
        <w:rPr>
          <w:rFonts w:ascii="Times New Roman" w:hAnsi="Times New Roman" w:cs="Times New Roman"/>
          <w:sz w:val="24"/>
          <w:szCs w:val="24"/>
        </w:rPr>
        <w:t xml:space="preserve">Available information indicates that </w:t>
      </w:r>
      <w:r w:rsidR="008B752C" w:rsidRPr="003F2E2C">
        <w:rPr>
          <w:rFonts w:ascii="Times New Roman" w:hAnsi="Times New Roman" w:cs="Times New Roman"/>
          <w:sz w:val="24"/>
          <w:szCs w:val="24"/>
        </w:rPr>
        <w:t>a to</w:t>
      </w:r>
      <w:r w:rsidR="006F6040" w:rsidRPr="003F2E2C">
        <w:rPr>
          <w:rFonts w:ascii="Times New Roman" w:hAnsi="Times New Roman" w:cs="Times New Roman"/>
          <w:sz w:val="24"/>
          <w:szCs w:val="24"/>
        </w:rPr>
        <w:t>tal of 682,596 children and 278</w:t>
      </w:r>
      <w:r w:rsidR="008B752C" w:rsidRPr="003F2E2C">
        <w:rPr>
          <w:rFonts w:ascii="Times New Roman" w:hAnsi="Times New Roman" w:cs="Times New Roman"/>
          <w:sz w:val="24"/>
          <w:szCs w:val="24"/>
        </w:rPr>
        <w:t xml:space="preserve">,807 adolescents were out of school in 2018 (UNESCO, 2019). </w:t>
      </w:r>
      <w:r w:rsidRPr="003F2E2C">
        <w:rPr>
          <w:rFonts w:ascii="Times New Roman" w:hAnsi="Times New Roman" w:cs="Times New Roman"/>
          <w:sz w:val="24"/>
          <w:szCs w:val="24"/>
        </w:rPr>
        <w:t xml:space="preserve">In addition to these factors is the effect of the Ghanaian </w:t>
      </w:r>
      <w:r w:rsidR="0079034D" w:rsidRPr="003F2E2C">
        <w:rPr>
          <w:rFonts w:ascii="Times New Roman" w:hAnsi="Times New Roman" w:cs="Times New Roman"/>
          <w:sz w:val="24"/>
          <w:szCs w:val="24"/>
        </w:rPr>
        <w:t>national culture. From Hofstede Insight</w:t>
      </w:r>
      <w:r w:rsidRPr="003F2E2C">
        <w:rPr>
          <w:rFonts w:ascii="Times New Roman" w:hAnsi="Times New Roman" w:cs="Times New Roman"/>
          <w:sz w:val="24"/>
          <w:szCs w:val="24"/>
        </w:rPr>
        <w:t xml:space="preserve"> (</w:t>
      </w:r>
      <w:r w:rsidR="001A4548" w:rsidRPr="003F2E2C">
        <w:rPr>
          <w:rFonts w:ascii="Times New Roman" w:hAnsi="Times New Roman" w:cs="Times New Roman"/>
          <w:sz w:val="24"/>
          <w:szCs w:val="24"/>
        </w:rPr>
        <w:t>2018</w:t>
      </w:r>
      <w:r w:rsidRPr="003F2E2C">
        <w:rPr>
          <w:rFonts w:ascii="Times New Roman" w:hAnsi="Times New Roman" w:cs="Times New Roman"/>
          <w:sz w:val="24"/>
          <w:szCs w:val="24"/>
        </w:rPr>
        <w:t>), Ghana scores 80% on the power/distance dimension. This confirms the hierarchical nature of the Ghanaian society. This has a significant effect when it comes to decision making regarding course choices since the highly placed individuals tend to dictate the course of action.</w:t>
      </w:r>
    </w:p>
    <w:p w14:paraId="01F5C7D7" w14:textId="6DBFC335" w:rsidR="000E3C29" w:rsidRPr="003F2E2C" w:rsidRDefault="0013597C" w:rsidP="000E3C29">
      <w:pPr>
        <w:spacing w:after="0" w:line="360" w:lineRule="auto"/>
        <w:ind w:firstLine="720"/>
        <w:jc w:val="both"/>
        <w:rPr>
          <w:rFonts w:ascii="Times New Roman" w:hAnsi="Times New Roman" w:cs="Times New Roman"/>
          <w:sz w:val="24"/>
          <w:szCs w:val="24"/>
          <w:lang w:val="en-US"/>
        </w:rPr>
      </w:pPr>
      <w:r w:rsidRPr="003F2E2C">
        <w:rPr>
          <w:rFonts w:ascii="Times New Roman" w:hAnsi="Times New Roman" w:cs="Times New Roman"/>
          <w:sz w:val="24"/>
          <w:szCs w:val="24"/>
        </w:rPr>
        <w:t>As a collectivist society</w:t>
      </w:r>
      <w:r w:rsidR="000F1FCE" w:rsidRPr="003F2E2C">
        <w:rPr>
          <w:rFonts w:ascii="Times New Roman" w:hAnsi="Times New Roman" w:cs="Times New Roman"/>
          <w:sz w:val="24"/>
          <w:szCs w:val="24"/>
        </w:rPr>
        <w:t>,</w:t>
      </w:r>
      <w:r w:rsidRPr="003F2E2C">
        <w:rPr>
          <w:rFonts w:ascii="Times New Roman" w:hAnsi="Times New Roman" w:cs="Times New Roman"/>
          <w:sz w:val="24"/>
          <w:szCs w:val="24"/>
        </w:rPr>
        <w:t xml:space="preserve"> individualism has a minimal place in Ghanaian society relative to the western world</w:t>
      </w:r>
      <w:r w:rsidR="00A87092" w:rsidRPr="003F2E2C">
        <w:rPr>
          <w:rFonts w:ascii="Times New Roman" w:hAnsi="Times New Roman" w:cs="Times New Roman"/>
          <w:sz w:val="24"/>
          <w:szCs w:val="24"/>
        </w:rPr>
        <w:t xml:space="preserve"> (</w:t>
      </w:r>
      <w:r w:rsidR="008414CA" w:rsidRPr="003F2E2C">
        <w:rPr>
          <w:rFonts w:ascii="Times New Roman" w:hAnsi="Times New Roman" w:cs="Times New Roman"/>
          <w:sz w:val="24"/>
          <w:szCs w:val="24"/>
        </w:rPr>
        <w:t>LeFebve and Franke, 2013</w:t>
      </w:r>
      <w:r w:rsidR="00A87092" w:rsidRPr="003F2E2C">
        <w:rPr>
          <w:rFonts w:ascii="Times New Roman" w:hAnsi="Times New Roman" w:cs="Times New Roman"/>
          <w:sz w:val="24"/>
          <w:szCs w:val="24"/>
        </w:rPr>
        <w:t>)</w:t>
      </w:r>
      <w:r w:rsidRPr="003F2E2C">
        <w:rPr>
          <w:rFonts w:ascii="Times New Roman" w:hAnsi="Times New Roman" w:cs="Times New Roman"/>
          <w:sz w:val="24"/>
          <w:szCs w:val="24"/>
        </w:rPr>
        <w:t>.</w:t>
      </w:r>
      <w:r w:rsidR="00A87092" w:rsidRPr="003F2E2C">
        <w:rPr>
          <w:rFonts w:ascii="Times New Roman" w:hAnsi="Times New Roman" w:cs="Times New Roman"/>
          <w:sz w:val="24"/>
          <w:szCs w:val="24"/>
        </w:rPr>
        <w:t xml:space="preserve"> Collectivist are more dependent and this has an effect on individual decision making. A long lasting decision is not made without much involvement of other group members. This helps maintain harmony within the group (LeFebvre and Franke, 2013). The identity of the group member is derived from family, clan or ethnic group or community and its norms and values take precedence over individual self-identified nor</w:t>
      </w:r>
      <w:r w:rsidR="005A6B08" w:rsidRPr="003F2E2C">
        <w:rPr>
          <w:rFonts w:ascii="Times New Roman" w:hAnsi="Times New Roman" w:cs="Times New Roman"/>
          <w:sz w:val="24"/>
          <w:szCs w:val="24"/>
        </w:rPr>
        <w:t>m</w:t>
      </w:r>
      <w:r w:rsidR="00A87092" w:rsidRPr="003F2E2C">
        <w:rPr>
          <w:rFonts w:ascii="Times New Roman" w:hAnsi="Times New Roman" w:cs="Times New Roman"/>
          <w:sz w:val="24"/>
          <w:szCs w:val="24"/>
        </w:rPr>
        <w:t>s and values (</w:t>
      </w:r>
      <w:r w:rsidR="00A87092" w:rsidRPr="003F2E2C">
        <w:rPr>
          <w:rFonts w:ascii="Times New Roman" w:hAnsi="Times New Roman" w:cs="Times New Roman"/>
          <w:sz w:val="24"/>
          <w:szCs w:val="24"/>
          <w:lang w:val="en-US"/>
        </w:rPr>
        <w:t>Nyambegera, 2002).</w:t>
      </w:r>
      <w:r w:rsidR="008414CA" w:rsidRPr="003F2E2C">
        <w:rPr>
          <w:rFonts w:ascii="Times New Roman" w:hAnsi="Times New Roman" w:cs="Times New Roman"/>
          <w:sz w:val="24"/>
          <w:szCs w:val="24"/>
          <w:lang w:val="en-US"/>
        </w:rPr>
        <w:t xml:space="preserve"> Therefore, the input of family and community cannot easily be ignored when it comes to decisions regarding study programme choices due to the embedded culture of collectivity.  </w:t>
      </w:r>
    </w:p>
    <w:p w14:paraId="3CFEFDB3" w14:textId="1819374D" w:rsidR="007A576C" w:rsidRPr="003F2E2C" w:rsidRDefault="0013597C" w:rsidP="000E3C29">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Ghana is a relatively feminine society (score 40%)</w:t>
      </w:r>
      <w:r w:rsidR="00BE6734" w:rsidRPr="003F2E2C">
        <w:rPr>
          <w:rFonts w:ascii="Times New Roman" w:hAnsi="Times New Roman" w:cs="Times New Roman"/>
          <w:sz w:val="24"/>
          <w:szCs w:val="24"/>
        </w:rPr>
        <w:t>( Hofstede Insight, 2018)</w:t>
      </w:r>
      <w:r w:rsidRPr="003F2E2C">
        <w:rPr>
          <w:rFonts w:ascii="Times New Roman" w:hAnsi="Times New Roman" w:cs="Times New Roman"/>
          <w:sz w:val="24"/>
          <w:szCs w:val="24"/>
        </w:rPr>
        <w:t xml:space="preserve"> where competition and drive for individual success is low with decision making involving all stakeholders but weighted according to their hierarchal standing. </w:t>
      </w:r>
      <w:r w:rsidR="00C77526" w:rsidRPr="003F2E2C">
        <w:rPr>
          <w:rFonts w:ascii="Times New Roman" w:hAnsi="Times New Roman" w:cs="Times New Roman"/>
          <w:sz w:val="24"/>
          <w:szCs w:val="24"/>
        </w:rPr>
        <w:t>Also, group identity influences consensus building</w:t>
      </w:r>
      <w:r w:rsidR="001F3ADE" w:rsidRPr="003F2E2C">
        <w:rPr>
          <w:rFonts w:ascii="Times New Roman" w:hAnsi="Times New Roman" w:cs="Times New Roman"/>
          <w:sz w:val="24"/>
          <w:szCs w:val="24"/>
        </w:rPr>
        <w:t xml:space="preserve"> and an individual's activity is assigned by the group. The low competition and drive for individual success may be due to the high value placed on social achievement relative to individual success</w:t>
      </w:r>
      <w:r w:rsidR="00E33EB9" w:rsidRPr="003F2E2C">
        <w:rPr>
          <w:rFonts w:ascii="Times New Roman" w:hAnsi="Times New Roman" w:cs="Times New Roman"/>
          <w:sz w:val="24"/>
          <w:szCs w:val="24"/>
        </w:rPr>
        <w:t>. The group strongly disapproves self-centredness and discourages individuals placing themselves above members in their community (Oppong, 2013).</w:t>
      </w:r>
      <w:r w:rsidR="001F3ADE" w:rsidRPr="003F2E2C">
        <w:rPr>
          <w:rFonts w:ascii="Times New Roman" w:hAnsi="Times New Roman" w:cs="Times New Roman"/>
          <w:sz w:val="24"/>
          <w:szCs w:val="24"/>
        </w:rPr>
        <w:t xml:space="preserve"> </w:t>
      </w:r>
      <w:r w:rsidRPr="003F2E2C">
        <w:rPr>
          <w:rFonts w:ascii="Times New Roman" w:hAnsi="Times New Roman" w:cs="Times New Roman"/>
          <w:sz w:val="24"/>
          <w:szCs w:val="24"/>
        </w:rPr>
        <w:t>This may impact on the type of school one attend, choice of subject(s) and performance since their freedom of choice may be constrained</w:t>
      </w:r>
      <w:r w:rsidR="00FB124E" w:rsidRPr="003F2E2C">
        <w:rPr>
          <w:rFonts w:ascii="Times New Roman" w:hAnsi="Times New Roman" w:cs="Times New Roman"/>
          <w:sz w:val="24"/>
          <w:szCs w:val="24"/>
        </w:rPr>
        <w:t xml:space="preserve"> by their </w:t>
      </w:r>
      <w:r w:rsidR="00E33EB9" w:rsidRPr="003F2E2C">
        <w:rPr>
          <w:rFonts w:ascii="Times New Roman" w:hAnsi="Times New Roman" w:cs="Times New Roman"/>
          <w:sz w:val="24"/>
          <w:szCs w:val="24"/>
        </w:rPr>
        <w:t>belongingness</w:t>
      </w:r>
      <w:r w:rsidR="000E3C29" w:rsidRPr="003F2E2C">
        <w:rPr>
          <w:rFonts w:ascii="Times New Roman" w:hAnsi="Times New Roman" w:cs="Times New Roman"/>
          <w:sz w:val="24"/>
          <w:szCs w:val="24"/>
        </w:rPr>
        <w:t xml:space="preserve">. </w:t>
      </w:r>
      <w:r w:rsidRPr="003F2E2C">
        <w:rPr>
          <w:rFonts w:ascii="Times New Roman" w:hAnsi="Times New Roman" w:cs="Times New Roman"/>
          <w:sz w:val="24"/>
          <w:szCs w:val="24"/>
        </w:rPr>
        <w:t>With a score of 65% on uncertainty avoidance</w:t>
      </w:r>
      <w:r w:rsidR="00253966" w:rsidRPr="003F2E2C">
        <w:rPr>
          <w:rFonts w:ascii="Times New Roman" w:hAnsi="Times New Roman" w:cs="Times New Roman"/>
          <w:sz w:val="24"/>
          <w:szCs w:val="24"/>
        </w:rPr>
        <w:t xml:space="preserve"> ( Hofstede Insight, 2018) </w:t>
      </w:r>
      <w:r w:rsidRPr="003F2E2C">
        <w:rPr>
          <w:rFonts w:ascii="Times New Roman" w:hAnsi="Times New Roman" w:cs="Times New Roman"/>
          <w:sz w:val="24"/>
          <w:szCs w:val="24"/>
        </w:rPr>
        <w:t xml:space="preserve"> it </w:t>
      </w:r>
      <w:r w:rsidR="000F1FCE" w:rsidRPr="003F2E2C">
        <w:rPr>
          <w:rFonts w:ascii="Times New Roman" w:hAnsi="Times New Roman" w:cs="Times New Roman"/>
          <w:sz w:val="24"/>
          <w:szCs w:val="24"/>
        </w:rPr>
        <w:t xml:space="preserve">is </w:t>
      </w:r>
      <w:r w:rsidRPr="003F2E2C">
        <w:rPr>
          <w:rFonts w:ascii="Times New Roman" w:hAnsi="Times New Roman" w:cs="Times New Roman"/>
          <w:sz w:val="24"/>
          <w:szCs w:val="24"/>
        </w:rPr>
        <w:t>clear that the Ghanaian society maintains rigid codes of belief and behaviour and are intolerant of unorthodox behaviour and ideas.</w:t>
      </w:r>
      <w:r w:rsidR="00454D1B" w:rsidRPr="003F2E2C">
        <w:rPr>
          <w:rFonts w:ascii="Times New Roman" w:hAnsi="Times New Roman" w:cs="Times New Roman"/>
          <w:sz w:val="24"/>
          <w:szCs w:val="24"/>
        </w:rPr>
        <w:t xml:space="preserve"> This impacts on enrollments into high-rank schools where</w:t>
      </w:r>
      <w:r w:rsidR="00FB124E" w:rsidRPr="003F2E2C">
        <w:rPr>
          <w:rFonts w:ascii="Times New Roman" w:hAnsi="Times New Roman" w:cs="Times New Roman"/>
          <w:sz w:val="24"/>
          <w:szCs w:val="24"/>
        </w:rPr>
        <w:t xml:space="preserve"> </w:t>
      </w:r>
      <w:r w:rsidR="00454D1B" w:rsidRPr="003F2E2C">
        <w:rPr>
          <w:rFonts w:ascii="Times New Roman" w:hAnsi="Times New Roman" w:cs="Times New Roman"/>
          <w:sz w:val="24"/>
          <w:szCs w:val="24"/>
        </w:rPr>
        <w:t xml:space="preserve">priority are given to high-grade applicants and also applicants with </w:t>
      </w:r>
      <w:r w:rsidR="0094673A" w:rsidRPr="003F2E2C">
        <w:rPr>
          <w:rFonts w:ascii="Times New Roman" w:hAnsi="Times New Roman" w:cs="Times New Roman"/>
          <w:sz w:val="24"/>
          <w:szCs w:val="24"/>
        </w:rPr>
        <w:t>relatives already in the school. Also</w:t>
      </w:r>
      <w:r w:rsidRPr="003F2E2C">
        <w:rPr>
          <w:rFonts w:ascii="Times New Roman" w:hAnsi="Times New Roman" w:cs="Times New Roman"/>
          <w:sz w:val="24"/>
          <w:szCs w:val="24"/>
        </w:rPr>
        <w:t>, an individual's motivation for education and work is promised on security. Linked with uncertainty avoidance is the low long-term orientation of the society which stifles the pragmatic approach and effort in the education</w:t>
      </w:r>
      <w:r w:rsidR="000F1FCE" w:rsidRPr="003F2E2C">
        <w:rPr>
          <w:rFonts w:ascii="Times New Roman" w:hAnsi="Times New Roman" w:cs="Times New Roman"/>
          <w:sz w:val="24"/>
          <w:szCs w:val="24"/>
        </w:rPr>
        <w:t>al</w:t>
      </w:r>
      <w:r w:rsidRPr="003F2E2C">
        <w:rPr>
          <w:rFonts w:ascii="Times New Roman" w:hAnsi="Times New Roman" w:cs="Times New Roman"/>
          <w:sz w:val="24"/>
          <w:szCs w:val="24"/>
        </w:rPr>
        <w:t xml:space="preserve"> system. This is demonstrated in the series of educational reforms which have not yielded the needed results. In the second cycle</w:t>
      </w:r>
      <w:r w:rsidR="00FB124E" w:rsidRPr="003F2E2C">
        <w:rPr>
          <w:rFonts w:ascii="Times New Roman" w:hAnsi="Times New Roman" w:cs="Times New Roman"/>
          <w:sz w:val="24"/>
          <w:szCs w:val="24"/>
        </w:rPr>
        <w:t>,</w:t>
      </w:r>
      <w:r w:rsidRPr="003F2E2C">
        <w:rPr>
          <w:rFonts w:ascii="Times New Roman" w:hAnsi="Times New Roman" w:cs="Times New Roman"/>
          <w:sz w:val="24"/>
          <w:szCs w:val="24"/>
        </w:rPr>
        <w:t xml:space="preserve"> there has been </w:t>
      </w:r>
      <w:r w:rsidR="000F1FCE" w:rsidRPr="003F2E2C">
        <w:rPr>
          <w:rFonts w:ascii="Times New Roman" w:hAnsi="Times New Roman" w:cs="Times New Roman"/>
          <w:sz w:val="24"/>
          <w:szCs w:val="24"/>
        </w:rPr>
        <w:t>‘</w:t>
      </w:r>
      <w:r w:rsidRPr="003F2E2C">
        <w:rPr>
          <w:rFonts w:ascii="Times New Roman" w:hAnsi="Times New Roman" w:cs="Times New Roman"/>
          <w:sz w:val="24"/>
          <w:szCs w:val="24"/>
        </w:rPr>
        <w:t>front and back</w:t>
      </w:r>
      <w:r w:rsidR="000F1FCE" w:rsidRPr="003F2E2C">
        <w:rPr>
          <w:rFonts w:ascii="Times New Roman" w:hAnsi="Times New Roman" w:cs="Times New Roman"/>
          <w:sz w:val="24"/>
          <w:szCs w:val="24"/>
        </w:rPr>
        <w:t>’</w:t>
      </w:r>
      <w:r w:rsidRPr="003F2E2C">
        <w:rPr>
          <w:rFonts w:ascii="Times New Roman" w:hAnsi="Times New Roman" w:cs="Times New Roman"/>
          <w:sz w:val="24"/>
          <w:szCs w:val="24"/>
        </w:rPr>
        <w:t xml:space="preserve"> policies over the years</w:t>
      </w:r>
      <w:r w:rsidR="00454D1B" w:rsidRPr="003F2E2C">
        <w:rPr>
          <w:rFonts w:ascii="Times New Roman" w:hAnsi="Times New Roman" w:cs="Times New Roman"/>
          <w:sz w:val="24"/>
          <w:szCs w:val="24"/>
        </w:rPr>
        <w:t xml:space="preserve"> (</w:t>
      </w:r>
      <w:r w:rsidR="001354F9" w:rsidRPr="003F2E2C">
        <w:rPr>
          <w:rFonts w:ascii="Times New Roman" w:hAnsi="Times New Roman" w:cs="Times New Roman"/>
          <w:sz w:val="24"/>
          <w:szCs w:val="24"/>
        </w:rPr>
        <w:t xml:space="preserve">see </w:t>
      </w:r>
      <w:r w:rsidR="001354F9" w:rsidRPr="003F2E2C">
        <w:rPr>
          <w:rFonts w:ascii="Times New Roman" w:hAnsi="Times New Roman" w:cs="Times New Roman"/>
          <w:sz w:val="24"/>
          <w:szCs w:val="24"/>
          <w:lang w:val="en-US"/>
        </w:rPr>
        <w:t>Adu-Gyamfi</w:t>
      </w:r>
      <w:r w:rsidR="001354F9" w:rsidRPr="003F2E2C">
        <w:rPr>
          <w:rFonts w:ascii="Times New Roman" w:hAnsi="Times New Roman" w:cs="Times New Roman"/>
          <w:sz w:val="24"/>
          <w:szCs w:val="24"/>
        </w:rPr>
        <w:t xml:space="preserve"> et al., 2016</w:t>
      </w:r>
      <w:r w:rsidR="00454D1B" w:rsidRPr="003F2E2C">
        <w:rPr>
          <w:rFonts w:ascii="Times New Roman" w:hAnsi="Times New Roman" w:cs="Times New Roman"/>
          <w:sz w:val="24"/>
          <w:szCs w:val="24"/>
        </w:rPr>
        <w:t>)</w:t>
      </w:r>
      <w:r w:rsidRPr="003F2E2C">
        <w:rPr>
          <w:rFonts w:ascii="Times New Roman" w:hAnsi="Times New Roman" w:cs="Times New Roman"/>
          <w:sz w:val="24"/>
          <w:szCs w:val="24"/>
        </w:rPr>
        <w:t>. On the indulgence dimension, Ghanaian society is seen as a place where people display a positive attitude and act as they please.</w:t>
      </w:r>
      <w:r w:rsidR="00A74AE1" w:rsidRPr="003F2E2C">
        <w:rPr>
          <w:rFonts w:ascii="Times New Roman" w:hAnsi="Times New Roman" w:cs="Times New Roman"/>
          <w:sz w:val="24"/>
          <w:szCs w:val="24"/>
        </w:rPr>
        <w:t xml:space="preserve"> This, therefore, calls for rules which are mostly obeyed and help improve performance (Oppong, 2013). A clear set of rules and enforcement are a common phenomenon in a</w:t>
      </w:r>
      <w:r w:rsidR="00FB124E" w:rsidRPr="003F2E2C">
        <w:rPr>
          <w:rFonts w:ascii="Times New Roman" w:hAnsi="Times New Roman" w:cs="Times New Roman"/>
          <w:sz w:val="24"/>
          <w:szCs w:val="24"/>
        </w:rPr>
        <w:t>ll educational institutions in G</w:t>
      </w:r>
      <w:r w:rsidR="00A74AE1" w:rsidRPr="003F2E2C">
        <w:rPr>
          <w:rFonts w:ascii="Times New Roman" w:hAnsi="Times New Roman" w:cs="Times New Roman"/>
          <w:sz w:val="24"/>
          <w:szCs w:val="24"/>
        </w:rPr>
        <w:t>hana as it aids teaching, learning and performance.</w:t>
      </w:r>
    </w:p>
    <w:p w14:paraId="0C38C9D7" w14:textId="66F41823" w:rsidR="007A576C" w:rsidRPr="003F2E2C" w:rsidRDefault="0013597C" w:rsidP="007A576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 current provision of accounting education</w:t>
      </w:r>
      <w:r w:rsidR="00160144" w:rsidRPr="003F2E2C">
        <w:rPr>
          <w:rFonts w:ascii="Times New Roman" w:hAnsi="Times New Roman" w:cs="Times New Roman"/>
          <w:sz w:val="24"/>
          <w:szCs w:val="24"/>
        </w:rPr>
        <w:t xml:space="preserve"> aligns with the educational system</w:t>
      </w:r>
      <w:r w:rsidRPr="003F2E2C">
        <w:rPr>
          <w:rFonts w:ascii="Times New Roman" w:hAnsi="Times New Roman" w:cs="Times New Roman"/>
          <w:sz w:val="24"/>
          <w:szCs w:val="24"/>
        </w:rPr>
        <w:t xml:space="preserve"> in Ghana</w:t>
      </w:r>
      <w:r w:rsidR="00160144" w:rsidRPr="003F2E2C">
        <w:rPr>
          <w:rFonts w:ascii="Times New Roman" w:hAnsi="Times New Roman" w:cs="Times New Roman"/>
          <w:sz w:val="24"/>
          <w:szCs w:val="24"/>
        </w:rPr>
        <w:t xml:space="preserve"> which</w:t>
      </w:r>
      <w:r w:rsidRPr="003F2E2C">
        <w:rPr>
          <w:rFonts w:ascii="Times New Roman" w:hAnsi="Times New Roman" w:cs="Times New Roman"/>
          <w:sz w:val="24"/>
          <w:szCs w:val="24"/>
        </w:rPr>
        <w:t xml:space="preserve"> may be classified into three levels as secondary schools, degrees and diplomas</w:t>
      </w:r>
      <w:r w:rsidR="00160144" w:rsidRPr="003F2E2C">
        <w:rPr>
          <w:rFonts w:ascii="Times New Roman" w:hAnsi="Times New Roman" w:cs="Times New Roman"/>
          <w:sz w:val="24"/>
          <w:szCs w:val="24"/>
        </w:rPr>
        <w:t>,</w:t>
      </w:r>
      <w:r w:rsidRPr="003F2E2C">
        <w:rPr>
          <w:rFonts w:ascii="Times New Roman" w:hAnsi="Times New Roman" w:cs="Times New Roman"/>
          <w:sz w:val="24"/>
          <w:szCs w:val="24"/>
        </w:rPr>
        <w:t xml:space="preserve"> and professional qualifications</w:t>
      </w:r>
      <w:r w:rsidR="005F13D4" w:rsidRPr="003F2E2C">
        <w:rPr>
          <w:rFonts w:ascii="Times New Roman" w:hAnsi="Times New Roman" w:cs="Times New Roman"/>
          <w:sz w:val="24"/>
          <w:szCs w:val="24"/>
        </w:rPr>
        <w:t xml:space="preserve"> (</w:t>
      </w:r>
      <w:r w:rsidR="0065001C" w:rsidRPr="003F2E2C">
        <w:rPr>
          <w:rFonts w:ascii="Times New Roman" w:hAnsi="Times New Roman" w:cs="Times New Roman"/>
          <w:sz w:val="24"/>
          <w:szCs w:val="24"/>
        </w:rPr>
        <w:t>Adu-Gyamfi et al., 2016</w:t>
      </w:r>
      <w:r w:rsidR="005F13D4" w:rsidRPr="003F2E2C">
        <w:rPr>
          <w:rFonts w:ascii="Times New Roman" w:hAnsi="Times New Roman" w:cs="Times New Roman"/>
          <w:sz w:val="24"/>
          <w:szCs w:val="24"/>
        </w:rPr>
        <w:t>)</w:t>
      </w:r>
      <w:r w:rsidRPr="003F2E2C">
        <w:rPr>
          <w:rFonts w:ascii="Times New Roman" w:hAnsi="Times New Roman" w:cs="Times New Roman"/>
          <w:sz w:val="24"/>
          <w:szCs w:val="24"/>
        </w:rPr>
        <w:t>. At the secondary level students are introduce</w:t>
      </w:r>
      <w:r w:rsidR="00160144" w:rsidRPr="003F2E2C">
        <w:rPr>
          <w:rFonts w:ascii="Times New Roman" w:hAnsi="Times New Roman" w:cs="Times New Roman"/>
          <w:sz w:val="24"/>
          <w:szCs w:val="24"/>
        </w:rPr>
        <w:t xml:space="preserve">d to </w:t>
      </w:r>
      <w:r w:rsidR="000F1FCE" w:rsidRPr="003F2E2C">
        <w:rPr>
          <w:rFonts w:ascii="Times New Roman" w:hAnsi="Times New Roman" w:cs="Times New Roman"/>
          <w:sz w:val="24"/>
          <w:szCs w:val="24"/>
        </w:rPr>
        <w:t>accounting</w:t>
      </w:r>
      <w:r w:rsidRPr="003F2E2C">
        <w:rPr>
          <w:rFonts w:ascii="Times New Roman" w:hAnsi="Times New Roman" w:cs="Times New Roman"/>
          <w:sz w:val="24"/>
          <w:szCs w:val="24"/>
        </w:rPr>
        <w:t xml:space="preserve"> fundamentals</w:t>
      </w:r>
      <w:r w:rsidR="0012550A" w:rsidRPr="003F2E2C">
        <w:rPr>
          <w:rFonts w:ascii="Times New Roman" w:hAnsi="Times New Roman" w:cs="Times New Roman"/>
          <w:sz w:val="24"/>
          <w:szCs w:val="24"/>
        </w:rPr>
        <w:t xml:space="preserve">. This </w:t>
      </w:r>
      <w:r w:rsidRPr="003F2E2C">
        <w:rPr>
          <w:rFonts w:ascii="Times New Roman" w:hAnsi="Times New Roman" w:cs="Times New Roman"/>
          <w:sz w:val="24"/>
          <w:szCs w:val="24"/>
        </w:rPr>
        <w:t>help</w:t>
      </w:r>
      <w:r w:rsidR="0012550A" w:rsidRPr="003F2E2C">
        <w:rPr>
          <w:rFonts w:ascii="Times New Roman" w:hAnsi="Times New Roman" w:cs="Times New Roman"/>
          <w:sz w:val="24"/>
          <w:szCs w:val="24"/>
        </w:rPr>
        <w:t>s</w:t>
      </w:r>
      <w:r w:rsidRPr="003F2E2C">
        <w:rPr>
          <w:rFonts w:ascii="Times New Roman" w:hAnsi="Times New Roman" w:cs="Times New Roman"/>
          <w:sz w:val="24"/>
          <w:szCs w:val="24"/>
        </w:rPr>
        <w:t xml:space="preserve"> them appreciate the role</w:t>
      </w:r>
      <w:r w:rsidR="0012550A" w:rsidRPr="003F2E2C">
        <w:rPr>
          <w:rFonts w:ascii="Times New Roman" w:hAnsi="Times New Roman" w:cs="Times New Roman"/>
          <w:sz w:val="24"/>
          <w:szCs w:val="24"/>
        </w:rPr>
        <w:t xml:space="preserve"> and function </w:t>
      </w:r>
      <w:r w:rsidRPr="003F2E2C">
        <w:rPr>
          <w:rFonts w:ascii="Times New Roman" w:hAnsi="Times New Roman" w:cs="Times New Roman"/>
          <w:sz w:val="24"/>
          <w:szCs w:val="24"/>
        </w:rPr>
        <w:t>of accounting</w:t>
      </w:r>
      <w:r w:rsidR="0012550A" w:rsidRPr="003F2E2C">
        <w:rPr>
          <w:rFonts w:ascii="Times New Roman" w:hAnsi="Times New Roman" w:cs="Times New Roman"/>
          <w:sz w:val="24"/>
          <w:szCs w:val="24"/>
        </w:rPr>
        <w:t>. It also</w:t>
      </w:r>
      <w:r w:rsidRPr="003F2E2C">
        <w:rPr>
          <w:rFonts w:ascii="Times New Roman" w:hAnsi="Times New Roman" w:cs="Times New Roman"/>
          <w:sz w:val="24"/>
          <w:szCs w:val="24"/>
        </w:rPr>
        <w:t xml:space="preserve"> prepares them for degree and professional programmes ahead. Secondary education in Ghana lasts</w:t>
      </w:r>
      <w:r w:rsidR="0012550A" w:rsidRPr="003F2E2C">
        <w:rPr>
          <w:rFonts w:ascii="Times New Roman" w:hAnsi="Times New Roman" w:cs="Times New Roman"/>
          <w:sz w:val="24"/>
          <w:szCs w:val="24"/>
        </w:rPr>
        <w:t xml:space="preserve"> for</w:t>
      </w:r>
      <w:r w:rsidRPr="003F2E2C">
        <w:rPr>
          <w:rFonts w:ascii="Times New Roman" w:hAnsi="Times New Roman" w:cs="Times New Roman"/>
          <w:sz w:val="24"/>
          <w:szCs w:val="24"/>
        </w:rPr>
        <w:t xml:space="preserve"> three years and ends on a final assessment examination leading to the award of West African Secondary School Certificate Examination (WASSCE). The various accounting degrees (undergraduate, postgraduate and diplomas) are mostly offered by tertiary institutions in Ghana with oversight responsibility by the National Council for Tertiary Education (NCTE). There is a link between secondary and tertiary education and professional accounting education in Ghana. Students from secondary schools and graduates from non-business-related programmes who want to pursue professional accounting qualification generally start from the foundation level. However, undergraduates with a degree or HND in accounting from tertiary institutions </w:t>
      </w:r>
      <w:r w:rsidR="00625D3E" w:rsidRPr="003F2E2C">
        <w:rPr>
          <w:rFonts w:ascii="Times New Roman" w:hAnsi="Times New Roman" w:cs="Times New Roman"/>
          <w:sz w:val="24"/>
          <w:szCs w:val="24"/>
        </w:rPr>
        <w:t xml:space="preserve">do not </w:t>
      </w:r>
      <w:r w:rsidRPr="003F2E2C">
        <w:rPr>
          <w:rFonts w:ascii="Times New Roman" w:hAnsi="Times New Roman" w:cs="Times New Roman"/>
          <w:sz w:val="24"/>
          <w:szCs w:val="24"/>
        </w:rPr>
        <w:t>write level</w:t>
      </w:r>
      <w:r w:rsidR="00625D3E" w:rsidRPr="003F2E2C">
        <w:rPr>
          <w:rFonts w:ascii="Times New Roman" w:hAnsi="Times New Roman" w:cs="Times New Roman"/>
          <w:sz w:val="24"/>
          <w:szCs w:val="24"/>
        </w:rPr>
        <w:t xml:space="preserve"> 1 and some papers in level 2</w:t>
      </w:r>
      <w:r w:rsidRPr="003F2E2C">
        <w:rPr>
          <w:rFonts w:ascii="Times New Roman" w:hAnsi="Times New Roman" w:cs="Times New Roman"/>
          <w:sz w:val="24"/>
          <w:szCs w:val="24"/>
        </w:rPr>
        <w:t xml:space="preserve"> sin</w:t>
      </w:r>
      <w:r w:rsidR="00625D3E" w:rsidRPr="003F2E2C">
        <w:rPr>
          <w:rFonts w:ascii="Times New Roman" w:hAnsi="Times New Roman" w:cs="Times New Roman"/>
          <w:sz w:val="24"/>
          <w:szCs w:val="24"/>
        </w:rPr>
        <w:t>ce they are exempted</w:t>
      </w:r>
      <w:r w:rsidRPr="003F2E2C">
        <w:rPr>
          <w:rFonts w:ascii="Times New Roman" w:hAnsi="Times New Roman" w:cs="Times New Roman"/>
          <w:sz w:val="24"/>
          <w:szCs w:val="24"/>
        </w:rPr>
        <w:t>. Those with master</w:t>
      </w:r>
      <w:r w:rsidR="00BC5664" w:rsidRPr="003F2E2C">
        <w:rPr>
          <w:rFonts w:ascii="Times New Roman" w:hAnsi="Times New Roman" w:cs="Times New Roman"/>
          <w:sz w:val="24"/>
          <w:szCs w:val="24"/>
        </w:rPr>
        <w:t>s</w:t>
      </w:r>
      <w:r w:rsidRPr="003F2E2C">
        <w:rPr>
          <w:rFonts w:ascii="Times New Roman" w:hAnsi="Times New Roman" w:cs="Times New Roman"/>
          <w:sz w:val="24"/>
          <w:szCs w:val="24"/>
        </w:rPr>
        <w:t>’</w:t>
      </w:r>
      <w:r w:rsidR="00BC5664" w:rsidRPr="003F2E2C">
        <w:rPr>
          <w:rFonts w:ascii="Times New Roman" w:hAnsi="Times New Roman" w:cs="Times New Roman"/>
          <w:sz w:val="24"/>
          <w:szCs w:val="24"/>
        </w:rPr>
        <w:t xml:space="preserve"> d</w:t>
      </w:r>
      <w:r w:rsidRPr="003F2E2C">
        <w:rPr>
          <w:rFonts w:ascii="Times New Roman" w:hAnsi="Times New Roman" w:cs="Times New Roman"/>
          <w:sz w:val="24"/>
          <w:szCs w:val="24"/>
        </w:rPr>
        <w:t>egree in accounting</w:t>
      </w:r>
      <w:r w:rsidR="00625D3E" w:rsidRPr="003F2E2C">
        <w:rPr>
          <w:rFonts w:ascii="Times New Roman" w:hAnsi="Times New Roman" w:cs="Times New Roman"/>
          <w:sz w:val="24"/>
          <w:szCs w:val="24"/>
        </w:rPr>
        <w:t xml:space="preserve"> may get more subject exemptions in level 2 </w:t>
      </w:r>
      <w:r w:rsidR="00BC5664" w:rsidRPr="003F2E2C">
        <w:rPr>
          <w:rFonts w:ascii="Times New Roman" w:hAnsi="Times New Roman" w:cs="Times New Roman"/>
          <w:sz w:val="24"/>
          <w:szCs w:val="24"/>
        </w:rPr>
        <w:t>depending on their area of study at the</w:t>
      </w:r>
      <w:r w:rsidR="00625D3E" w:rsidRPr="003F2E2C">
        <w:rPr>
          <w:rFonts w:ascii="Times New Roman" w:hAnsi="Times New Roman" w:cs="Times New Roman"/>
          <w:sz w:val="24"/>
          <w:szCs w:val="24"/>
        </w:rPr>
        <w:t xml:space="preserve"> masters</w:t>
      </w:r>
      <w:r w:rsidR="001F1F8E" w:rsidRPr="003F2E2C">
        <w:rPr>
          <w:rFonts w:ascii="Times New Roman" w:hAnsi="Times New Roman" w:cs="Times New Roman"/>
          <w:sz w:val="24"/>
          <w:szCs w:val="24"/>
        </w:rPr>
        <w:t xml:space="preserve"> (ICAG, 2019).</w:t>
      </w:r>
      <w:r w:rsidRPr="003F2E2C">
        <w:rPr>
          <w:rFonts w:ascii="Times New Roman" w:hAnsi="Times New Roman" w:cs="Times New Roman"/>
          <w:sz w:val="24"/>
          <w:szCs w:val="24"/>
        </w:rPr>
        <w:t xml:space="preserve"> The I</w:t>
      </w:r>
      <w:r w:rsidR="0012550A" w:rsidRPr="003F2E2C">
        <w:rPr>
          <w:rFonts w:ascii="Times New Roman" w:hAnsi="Times New Roman" w:cs="Times New Roman"/>
          <w:sz w:val="24"/>
          <w:szCs w:val="24"/>
        </w:rPr>
        <w:t xml:space="preserve">nstitute of </w:t>
      </w:r>
      <w:r w:rsidRPr="003F2E2C">
        <w:rPr>
          <w:rFonts w:ascii="Times New Roman" w:hAnsi="Times New Roman" w:cs="Times New Roman"/>
          <w:sz w:val="24"/>
          <w:szCs w:val="24"/>
        </w:rPr>
        <w:t>C</w:t>
      </w:r>
      <w:r w:rsidR="0012550A" w:rsidRPr="003F2E2C">
        <w:rPr>
          <w:rFonts w:ascii="Times New Roman" w:hAnsi="Times New Roman" w:cs="Times New Roman"/>
          <w:sz w:val="24"/>
          <w:szCs w:val="24"/>
        </w:rPr>
        <w:t xml:space="preserve">hartered </w:t>
      </w:r>
      <w:r w:rsidRPr="003F2E2C">
        <w:rPr>
          <w:rFonts w:ascii="Times New Roman" w:hAnsi="Times New Roman" w:cs="Times New Roman"/>
          <w:sz w:val="24"/>
          <w:szCs w:val="24"/>
        </w:rPr>
        <w:t>A</w:t>
      </w:r>
      <w:r w:rsidR="0012550A" w:rsidRPr="003F2E2C">
        <w:rPr>
          <w:rFonts w:ascii="Times New Roman" w:hAnsi="Times New Roman" w:cs="Times New Roman"/>
          <w:sz w:val="24"/>
          <w:szCs w:val="24"/>
        </w:rPr>
        <w:t xml:space="preserve">ccountants, </w:t>
      </w:r>
      <w:r w:rsidRPr="003F2E2C">
        <w:rPr>
          <w:rFonts w:ascii="Times New Roman" w:hAnsi="Times New Roman" w:cs="Times New Roman"/>
          <w:sz w:val="24"/>
          <w:szCs w:val="24"/>
        </w:rPr>
        <w:t>G</w:t>
      </w:r>
      <w:r w:rsidR="0012550A" w:rsidRPr="003F2E2C">
        <w:rPr>
          <w:rFonts w:ascii="Times New Roman" w:hAnsi="Times New Roman" w:cs="Times New Roman"/>
          <w:sz w:val="24"/>
          <w:szCs w:val="24"/>
        </w:rPr>
        <w:t>hana</w:t>
      </w:r>
      <w:r w:rsidR="001F1F8E" w:rsidRPr="003F2E2C">
        <w:rPr>
          <w:rFonts w:ascii="Times New Roman" w:hAnsi="Times New Roman" w:cs="Times New Roman"/>
          <w:sz w:val="24"/>
          <w:szCs w:val="24"/>
        </w:rPr>
        <w:t xml:space="preserve"> is the only mandated body which</w:t>
      </w:r>
      <w:r w:rsidRPr="003F2E2C">
        <w:rPr>
          <w:rFonts w:ascii="Times New Roman" w:hAnsi="Times New Roman" w:cs="Times New Roman"/>
          <w:sz w:val="24"/>
          <w:szCs w:val="24"/>
        </w:rPr>
        <w:t xml:space="preserve"> issue</w:t>
      </w:r>
      <w:r w:rsidR="001F1F8E" w:rsidRPr="003F2E2C">
        <w:rPr>
          <w:rFonts w:ascii="Times New Roman" w:hAnsi="Times New Roman" w:cs="Times New Roman"/>
          <w:sz w:val="24"/>
          <w:szCs w:val="24"/>
        </w:rPr>
        <w:t>s</w:t>
      </w:r>
      <w:r w:rsidRPr="003F2E2C">
        <w:rPr>
          <w:rFonts w:ascii="Times New Roman" w:hAnsi="Times New Roman" w:cs="Times New Roman"/>
          <w:sz w:val="24"/>
          <w:szCs w:val="24"/>
        </w:rPr>
        <w:t xml:space="preserve"> practising accountant’s certificate in Ghana</w:t>
      </w:r>
      <w:r w:rsidR="001F1F8E" w:rsidRPr="003F2E2C">
        <w:rPr>
          <w:rFonts w:ascii="Times New Roman" w:hAnsi="Times New Roman" w:cs="Times New Roman"/>
          <w:sz w:val="24"/>
          <w:szCs w:val="24"/>
        </w:rPr>
        <w:t>.</w:t>
      </w:r>
      <w:r w:rsidR="005F13D4" w:rsidRPr="003F2E2C">
        <w:rPr>
          <w:rFonts w:ascii="Times New Roman" w:hAnsi="Times New Roman" w:cs="Times New Roman"/>
          <w:sz w:val="24"/>
          <w:szCs w:val="24"/>
        </w:rPr>
        <w:t xml:space="preserve"> </w:t>
      </w:r>
    </w:p>
    <w:p w14:paraId="5CC1A201" w14:textId="5A40A035" w:rsidR="009E5FEB" w:rsidRPr="003F2E2C" w:rsidRDefault="0013597C" w:rsidP="007A576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On the political front, the country has been very stable with seven peaceful democratic elections held since 1992</w:t>
      </w:r>
      <w:r w:rsidR="005F13D4" w:rsidRPr="003F2E2C">
        <w:rPr>
          <w:rFonts w:ascii="Times New Roman" w:hAnsi="Times New Roman" w:cs="Times New Roman"/>
          <w:sz w:val="24"/>
          <w:szCs w:val="24"/>
        </w:rPr>
        <w:t xml:space="preserve"> (</w:t>
      </w:r>
      <w:r w:rsidR="00B14101" w:rsidRPr="003F2E2C">
        <w:rPr>
          <w:rFonts w:ascii="Times New Roman" w:hAnsi="Times New Roman" w:cs="Times New Roman"/>
          <w:sz w:val="24"/>
          <w:szCs w:val="24"/>
        </w:rPr>
        <w:t>O</w:t>
      </w:r>
      <w:r w:rsidR="001F1F8E" w:rsidRPr="003F2E2C">
        <w:rPr>
          <w:rFonts w:ascii="Times New Roman" w:hAnsi="Times New Roman" w:cs="Times New Roman"/>
          <w:sz w:val="24"/>
          <w:szCs w:val="24"/>
        </w:rPr>
        <w:t>kudzeto et al.</w:t>
      </w:r>
      <w:r w:rsidR="00B14101" w:rsidRPr="003F2E2C">
        <w:rPr>
          <w:rFonts w:ascii="Times New Roman" w:hAnsi="Times New Roman" w:cs="Times New Roman"/>
          <w:sz w:val="24"/>
          <w:szCs w:val="24"/>
        </w:rPr>
        <w:t>, 2014</w:t>
      </w:r>
      <w:r w:rsidR="005F13D4" w:rsidRPr="003F2E2C">
        <w:rPr>
          <w:rFonts w:ascii="Times New Roman" w:hAnsi="Times New Roman" w:cs="Times New Roman"/>
          <w:sz w:val="24"/>
          <w:szCs w:val="24"/>
        </w:rPr>
        <w:t>)</w:t>
      </w:r>
      <w:r w:rsidRPr="003F2E2C">
        <w:rPr>
          <w:rFonts w:ascii="Times New Roman" w:hAnsi="Times New Roman" w:cs="Times New Roman"/>
          <w:sz w:val="24"/>
          <w:szCs w:val="24"/>
        </w:rPr>
        <w:t>. This stability in the political atmosphere has increased investment in the educational sector resulting in increased infrastructure and enrolment. However, corruption continues to be a challenge</w:t>
      </w:r>
      <w:r w:rsidR="003A5F9A" w:rsidRPr="003F2E2C">
        <w:rPr>
          <w:rFonts w:ascii="Times New Roman" w:hAnsi="Times New Roman" w:cs="Times New Roman"/>
          <w:sz w:val="24"/>
          <w:szCs w:val="24"/>
        </w:rPr>
        <w:t xml:space="preserve"> (GII, 2011)</w:t>
      </w:r>
      <w:r w:rsidRPr="003F2E2C">
        <w:rPr>
          <w:rFonts w:ascii="Times New Roman" w:hAnsi="Times New Roman" w:cs="Times New Roman"/>
          <w:sz w:val="24"/>
          <w:szCs w:val="24"/>
        </w:rPr>
        <w:t xml:space="preserve"> in all sectors including education with several publicised cases in the court</w:t>
      </w:r>
      <w:r w:rsidR="003A5F9A" w:rsidRPr="003F2E2C">
        <w:rPr>
          <w:rFonts w:ascii="Times New Roman" w:hAnsi="Times New Roman" w:cs="Times New Roman"/>
          <w:sz w:val="24"/>
          <w:szCs w:val="24"/>
        </w:rPr>
        <w:t xml:space="preserve">. </w:t>
      </w:r>
      <w:r w:rsidRPr="003F2E2C">
        <w:rPr>
          <w:rFonts w:ascii="Times New Roman" w:hAnsi="Times New Roman" w:cs="Times New Roman"/>
          <w:sz w:val="24"/>
          <w:szCs w:val="24"/>
        </w:rPr>
        <w:t>To improve the corruption</w:t>
      </w:r>
      <w:r w:rsidR="005C3712" w:rsidRPr="003F2E2C">
        <w:rPr>
          <w:rFonts w:ascii="Times New Roman" w:hAnsi="Times New Roman" w:cs="Times New Roman"/>
          <w:sz w:val="24"/>
          <w:szCs w:val="24"/>
        </w:rPr>
        <w:t xml:space="preserve"> situation and governance, the N</w:t>
      </w:r>
      <w:r w:rsidRPr="003F2E2C">
        <w:rPr>
          <w:rFonts w:ascii="Times New Roman" w:hAnsi="Times New Roman" w:cs="Times New Roman"/>
          <w:sz w:val="24"/>
          <w:szCs w:val="24"/>
        </w:rPr>
        <w:t>ational Anti-Corruption Action Plan (NACAP) was launched in 2014. The multi-party democracy in Ghana has focus</w:t>
      </w:r>
      <w:r w:rsidR="0012550A" w:rsidRPr="003F2E2C">
        <w:rPr>
          <w:rFonts w:ascii="Times New Roman" w:hAnsi="Times New Roman" w:cs="Times New Roman"/>
          <w:sz w:val="24"/>
          <w:szCs w:val="24"/>
        </w:rPr>
        <w:t>ed</w:t>
      </w:r>
      <w:r w:rsidRPr="003F2E2C">
        <w:rPr>
          <w:rFonts w:ascii="Times New Roman" w:hAnsi="Times New Roman" w:cs="Times New Roman"/>
          <w:sz w:val="24"/>
          <w:szCs w:val="24"/>
        </w:rPr>
        <w:t xml:space="preserve"> much on improving access to education at all levels than improving the quality of education. The duty of improving the qu</w:t>
      </w:r>
      <w:r w:rsidR="00B14101" w:rsidRPr="003F2E2C">
        <w:rPr>
          <w:rFonts w:ascii="Times New Roman" w:hAnsi="Times New Roman" w:cs="Times New Roman"/>
          <w:sz w:val="24"/>
          <w:szCs w:val="24"/>
        </w:rPr>
        <w:t>ality of education is mostly</w:t>
      </w:r>
      <w:r w:rsidRPr="003F2E2C">
        <w:rPr>
          <w:rFonts w:ascii="Times New Roman" w:hAnsi="Times New Roman" w:cs="Times New Roman"/>
          <w:sz w:val="24"/>
          <w:szCs w:val="24"/>
        </w:rPr>
        <w:t xml:space="preserve"> been champion</w:t>
      </w:r>
      <w:r w:rsidR="00B14101" w:rsidRPr="003F2E2C">
        <w:rPr>
          <w:rFonts w:ascii="Times New Roman" w:hAnsi="Times New Roman" w:cs="Times New Roman"/>
          <w:sz w:val="24"/>
          <w:szCs w:val="24"/>
        </w:rPr>
        <w:t>ed</w:t>
      </w:r>
      <w:r w:rsidRPr="003F2E2C">
        <w:rPr>
          <w:rFonts w:ascii="Times New Roman" w:hAnsi="Times New Roman" w:cs="Times New Roman"/>
          <w:sz w:val="24"/>
          <w:szCs w:val="24"/>
        </w:rPr>
        <w:t xml:space="preserve"> by non - governmental organisations (</w:t>
      </w:r>
      <w:r w:rsidR="002F3E73" w:rsidRPr="003F2E2C">
        <w:rPr>
          <w:rFonts w:ascii="Times New Roman" w:hAnsi="Times New Roman" w:cs="Times New Roman"/>
          <w:sz w:val="24"/>
          <w:szCs w:val="24"/>
        </w:rPr>
        <w:t>Okudzeto</w:t>
      </w:r>
      <w:r w:rsidR="001F1F8E" w:rsidRPr="003F2E2C">
        <w:rPr>
          <w:rFonts w:ascii="Times New Roman" w:hAnsi="Times New Roman" w:cs="Times New Roman"/>
          <w:sz w:val="24"/>
          <w:szCs w:val="24"/>
        </w:rPr>
        <w:t xml:space="preserve"> et al.</w:t>
      </w:r>
      <w:r w:rsidR="002F3E73" w:rsidRPr="003F2E2C">
        <w:rPr>
          <w:rFonts w:ascii="Times New Roman" w:hAnsi="Times New Roman" w:cs="Times New Roman"/>
          <w:sz w:val="24"/>
          <w:szCs w:val="24"/>
        </w:rPr>
        <w:t>,</w:t>
      </w:r>
      <w:r w:rsidRPr="003F2E2C">
        <w:rPr>
          <w:rFonts w:ascii="Times New Roman" w:hAnsi="Times New Roman" w:cs="Times New Roman"/>
          <w:sz w:val="24"/>
          <w:szCs w:val="24"/>
        </w:rPr>
        <w:t xml:space="preserve"> 2014).</w:t>
      </w:r>
    </w:p>
    <w:p w14:paraId="1842DD3A" w14:textId="528750CF" w:rsidR="00272C05" w:rsidRPr="003F2E2C" w:rsidRDefault="00272C05" w:rsidP="00272C05">
      <w:pPr>
        <w:spacing w:after="0" w:line="360" w:lineRule="auto"/>
        <w:jc w:val="both"/>
        <w:rPr>
          <w:rFonts w:ascii="Times New Roman" w:hAnsi="Times New Roman" w:cs="Times New Roman"/>
          <w:sz w:val="24"/>
          <w:szCs w:val="24"/>
        </w:rPr>
      </w:pPr>
      <w:bookmarkStart w:id="9" w:name="_Hlk498022119"/>
    </w:p>
    <w:p w14:paraId="2C33EFCA" w14:textId="3B7B8480" w:rsidR="00272C05" w:rsidRPr="003F2E2C" w:rsidRDefault="00272C05" w:rsidP="00272C05">
      <w:pPr>
        <w:spacing w:after="0" w:line="360" w:lineRule="auto"/>
        <w:jc w:val="both"/>
        <w:rPr>
          <w:rFonts w:ascii="Times New Roman" w:hAnsi="Times New Roman" w:cs="Times New Roman"/>
          <w:sz w:val="24"/>
          <w:szCs w:val="24"/>
        </w:rPr>
      </w:pPr>
    </w:p>
    <w:p w14:paraId="0C96E8DC" w14:textId="0441EC95" w:rsidR="00272C05" w:rsidRPr="003F2E2C" w:rsidRDefault="00272C05" w:rsidP="00272C05">
      <w:pPr>
        <w:spacing w:after="0" w:line="360" w:lineRule="auto"/>
        <w:jc w:val="both"/>
        <w:rPr>
          <w:rFonts w:ascii="Times New Roman" w:hAnsi="Times New Roman" w:cs="Times New Roman"/>
          <w:sz w:val="24"/>
          <w:szCs w:val="24"/>
        </w:rPr>
      </w:pPr>
    </w:p>
    <w:p w14:paraId="701DCDDE" w14:textId="6D4FBC4D" w:rsidR="00272C05" w:rsidRPr="003F2E2C" w:rsidRDefault="00272C05" w:rsidP="00272C05">
      <w:pPr>
        <w:spacing w:after="0" w:line="360" w:lineRule="auto"/>
        <w:jc w:val="both"/>
        <w:rPr>
          <w:rFonts w:ascii="Times New Roman" w:hAnsi="Times New Roman" w:cs="Times New Roman"/>
          <w:sz w:val="24"/>
          <w:szCs w:val="24"/>
        </w:rPr>
      </w:pPr>
    </w:p>
    <w:p w14:paraId="0B70DA35" w14:textId="527AF556" w:rsidR="005E50BE" w:rsidRPr="003F2E2C" w:rsidRDefault="0013597C" w:rsidP="00161EBC">
      <w:pPr>
        <w:pStyle w:val="ListParagraph"/>
        <w:numPr>
          <w:ilvl w:val="0"/>
          <w:numId w:val="10"/>
        </w:numPr>
        <w:spacing w:after="0"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 xml:space="preserve">Literature review </w:t>
      </w:r>
      <w:bookmarkEnd w:id="9"/>
      <w:r w:rsidR="00161EBC" w:rsidRPr="003F2E2C">
        <w:rPr>
          <w:rFonts w:ascii="Times New Roman" w:hAnsi="Times New Roman" w:cs="Times New Roman"/>
          <w:b/>
          <w:sz w:val="24"/>
          <w:szCs w:val="24"/>
        </w:rPr>
        <w:t xml:space="preserve">and </w:t>
      </w:r>
      <w:bookmarkStart w:id="10" w:name="_Hlk498022063"/>
      <w:r w:rsidR="00161EBC" w:rsidRPr="003F2E2C">
        <w:rPr>
          <w:rFonts w:ascii="Times New Roman" w:hAnsi="Times New Roman" w:cs="Times New Roman"/>
          <w:b/>
          <w:sz w:val="24"/>
          <w:szCs w:val="24"/>
        </w:rPr>
        <w:t>hypotheses development</w:t>
      </w:r>
      <w:bookmarkEnd w:id="10"/>
    </w:p>
    <w:p w14:paraId="7731B9A9" w14:textId="5B0EB65E" w:rsidR="00D15817" w:rsidRPr="003F2E2C" w:rsidRDefault="0013597C" w:rsidP="00D15817">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3.1 Theoretical framework</w:t>
      </w:r>
    </w:p>
    <w:p w14:paraId="2247394C" w14:textId="77777777" w:rsidR="00601C0D" w:rsidRPr="003F2E2C" w:rsidRDefault="0013597C" w:rsidP="00601C0D">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bCs/>
          <w:sz w:val="24"/>
          <w:szCs w:val="24"/>
        </w:rPr>
        <w:t>The study adopts a multi-theoretical framework to explain the determinants of academic performance. First, Vroom (1964) explained that the expectancy theory involves what individuals expect from their own efforts and its relation to good performance. In an organisational environment, individuals have different needs and goals which in turn determines their behaviour. According to this theory, more effort is expected to lead to a better-desired outcome. A person's preference for a specific valued outcome/reward to a large extent determines his/her expended effort (</w:t>
      </w:r>
      <w:r w:rsidR="00BD5FA5" w:rsidRPr="003F2E2C">
        <w:rPr>
          <w:rFonts w:ascii="Times New Roman" w:hAnsi="Times New Roman" w:cs="Times New Roman"/>
          <w:bCs/>
          <w:sz w:val="24"/>
          <w:szCs w:val="24"/>
        </w:rPr>
        <w:t>Wanous, Keon &amp; Latack</w:t>
      </w:r>
      <w:r w:rsidRPr="003F2E2C">
        <w:rPr>
          <w:rFonts w:ascii="Times New Roman" w:hAnsi="Times New Roman" w:cs="Times New Roman"/>
          <w:bCs/>
          <w:sz w:val="24"/>
          <w:szCs w:val="24"/>
        </w:rPr>
        <w:t>, 1983). Using expectancy theory in predicting academic performance, Geiger and Cooper (1995) opined that students' performance is greatly influenced by the attractiveness of perceived future rewards and probability that their effort will lead to these rewards. From the individual's perspective, however, factors such as perceived task difficulty, self-confidence and capabilities</w:t>
      </w:r>
      <w:r w:rsidR="00C16519" w:rsidRPr="003F2E2C">
        <w:rPr>
          <w:rFonts w:ascii="Times New Roman" w:hAnsi="Times New Roman" w:cs="Times New Roman"/>
          <w:bCs/>
          <w:sz w:val="24"/>
          <w:szCs w:val="24"/>
        </w:rPr>
        <w:t xml:space="preserve"> all play</w:t>
      </w:r>
      <w:r w:rsidRPr="003F2E2C">
        <w:rPr>
          <w:rFonts w:ascii="Times New Roman" w:hAnsi="Times New Roman" w:cs="Times New Roman"/>
          <w:bCs/>
          <w:sz w:val="24"/>
          <w:szCs w:val="24"/>
        </w:rPr>
        <w:t xml:space="preserve"> </w:t>
      </w:r>
      <w:r w:rsidR="00C16519" w:rsidRPr="003F2E2C">
        <w:rPr>
          <w:rFonts w:ascii="Times New Roman" w:hAnsi="Times New Roman" w:cs="Times New Roman"/>
          <w:bCs/>
          <w:sz w:val="24"/>
          <w:szCs w:val="24"/>
        </w:rPr>
        <w:t xml:space="preserve">an </w:t>
      </w:r>
      <w:r w:rsidRPr="003F2E2C">
        <w:rPr>
          <w:rFonts w:ascii="Times New Roman" w:hAnsi="Times New Roman" w:cs="Times New Roman"/>
          <w:bCs/>
          <w:sz w:val="24"/>
          <w:szCs w:val="24"/>
        </w:rPr>
        <w:t xml:space="preserve">important role in the achievement of future rewards. Therefore, motivating students to improve their academic effort depends to a large extent on their belief that higher performance will result from their effort which is likely to be </w:t>
      </w:r>
      <w:r w:rsidRPr="003F2E2C">
        <w:rPr>
          <w:rFonts w:ascii="Times New Roman" w:hAnsi="Times New Roman" w:cs="Times New Roman"/>
          <w:sz w:val="24"/>
          <w:szCs w:val="24"/>
        </w:rPr>
        <w:t>associated with</w:t>
      </w:r>
      <w:r w:rsidR="00C16519" w:rsidRPr="003F2E2C">
        <w:rPr>
          <w:rFonts w:ascii="Times New Roman" w:hAnsi="Times New Roman" w:cs="Times New Roman"/>
          <w:sz w:val="24"/>
          <w:szCs w:val="24"/>
        </w:rPr>
        <w:t xml:space="preserve"> future desired benefits</w:t>
      </w:r>
      <w:r w:rsidRPr="003F2E2C">
        <w:rPr>
          <w:rFonts w:ascii="Times New Roman" w:hAnsi="Times New Roman" w:cs="Times New Roman"/>
          <w:sz w:val="24"/>
          <w:szCs w:val="24"/>
        </w:rPr>
        <w:t>.</w:t>
      </w:r>
    </w:p>
    <w:p w14:paraId="1F55AC9E" w14:textId="2C79DF1E" w:rsidR="00601C0D" w:rsidRPr="003F2E2C" w:rsidRDefault="0013597C" w:rsidP="00601C0D">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w:t>
      </w:r>
      <w:r w:rsidRPr="003F2E2C">
        <w:rPr>
          <w:rFonts w:ascii="Times New Roman" w:hAnsi="Times New Roman" w:cs="Times New Roman"/>
          <w:bCs/>
          <w:sz w:val="24"/>
          <w:szCs w:val="24"/>
        </w:rPr>
        <w:t xml:space="preserve"> effect of volition on academic performance is explained by choice theory. This theory argues that students take ownership and responsibility for their actions. According to Glasser (</w:t>
      </w:r>
      <w:r w:rsidR="00F47D4D" w:rsidRPr="003F2E2C">
        <w:rPr>
          <w:rFonts w:ascii="Times New Roman" w:hAnsi="Times New Roman" w:cs="Times New Roman"/>
          <w:bCs/>
          <w:sz w:val="24"/>
          <w:szCs w:val="24"/>
        </w:rPr>
        <w:t>1998</w:t>
      </w:r>
      <w:r w:rsidRPr="003F2E2C">
        <w:rPr>
          <w:rFonts w:ascii="Times New Roman" w:hAnsi="Times New Roman" w:cs="Times New Roman"/>
          <w:bCs/>
          <w:sz w:val="24"/>
          <w:szCs w:val="24"/>
        </w:rPr>
        <w:t xml:space="preserve">), learners have four genetically psychological needs which include "the need to belong, the need for power, the need for freedom, and the need for fun". Under these conditions, students are more likely to stick with and thrive in school. Therefore, to ensure success in an academic environment, the learner should be provided with relevant information and allowed the freedom to make their own choice of subjects or course of study rather than been compelled. This is supported by the rational choice concept which assumes that individual </w:t>
      </w:r>
      <w:r w:rsidR="005F56E9" w:rsidRPr="003F2E2C">
        <w:rPr>
          <w:rFonts w:ascii="Times New Roman" w:hAnsi="Times New Roman" w:cs="Times New Roman"/>
          <w:bCs/>
          <w:sz w:val="24"/>
          <w:szCs w:val="24"/>
        </w:rPr>
        <w:t xml:space="preserve">with </w:t>
      </w:r>
      <w:r w:rsidRPr="003F2E2C">
        <w:rPr>
          <w:rFonts w:ascii="Times New Roman" w:hAnsi="Times New Roman" w:cs="Times New Roman"/>
          <w:bCs/>
          <w:sz w:val="24"/>
          <w:szCs w:val="24"/>
        </w:rPr>
        <w:t>given options (courses) will choose the most preferred one following consistent criterion in other to maximise their utility (Levin &amp; Milgrom, 2004). Not allowing learner(s) the freedom of choice in course selection amount to behavioural control which has a psychological problem which may affect academic performance (</w:t>
      </w:r>
      <w:r w:rsidR="00F47D4D" w:rsidRPr="003F2E2C">
        <w:rPr>
          <w:rFonts w:ascii="Times New Roman" w:hAnsi="Times New Roman" w:cs="Times New Roman"/>
          <w:bCs/>
          <w:sz w:val="24"/>
          <w:szCs w:val="24"/>
        </w:rPr>
        <w:t>Tracy</w:t>
      </w:r>
      <w:r w:rsidRPr="003F2E2C">
        <w:rPr>
          <w:rFonts w:ascii="Times New Roman" w:hAnsi="Times New Roman" w:cs="Times New Roman"/>
          <w:bCs/>
          <w:sz w:val="24"/>
          <w:szCs w:val="24"/>
        </w:rPr>
        <w:t xml:space="preserve">, 2017). The choice condition is beneficial to students' academic performance due to the feeling of control over their environment and choice of task help </w:t>
      </w:r>
      <w:r w:rsidRPr="003F2E2C">
        <w:rPr>
          <w:rFonts w:ascii="Times New Roman" w:hAnsi="Times New Roman" w:cs="Times New Roman"/>
          <w:sz w:val="24"/>
          <w:szCs w:val="24"/>
        </w:rPr>
        <w:t>diminish the likelihood of inappropriate academic behaviour (Stenhoff</w:t>
      </w:r>
      <w:r w:rsidR="000D02A5" w:rsidRPr="003F2E2C">
        <w:rPr>
          <w:rFonts w:ascii="Times New Roman" w:hAnsi="Times New Roman" w:cs="Times New Roman"/>
          <w:sz w:val="24"/>
          <w:szCs w:val="24"/>
        </w:rPr>
        <w:t>, Davey, &amp; Lignugaris,</w:t>
      </w:r>
      <w:r w:rsidRPr="003F2E2C">
        <w:rPr>
          <w:rFonts w:ascii="Times New Roman" w:hAnsi="Times New Roman" w:cs="Times New Roman"/>
          <w:sz w:val="24"/>
          <w:szCs w:val="24"/>
        </w:rPr>
        <w:t xml:space="preserve"> 2008).</w:t>
      </w:r>
    </w:p>
    <w:p w14:paraId="4FFBD081" w14:textId="697DEF64" w:rsidR="00D15817" w:rsidRPr="003F2E2C" w:rsidRDefault="0013597C" w:rsidP="00601C0D">
      <w:pPr>
        <w:spacing w:after="0" w:line="360" w:lineRule="auto"/>
        <w:ind w:firstLine="720"/>
        <w:jc w:val="both"/>
        <w:rPr>
          <w:rFonts w:ascii="Times New Roman" w:hAnsi="Times New Roman" w:cs="Times New Roman"/>
          <w:bCs/>
          <w:sz w:val="24"/>
          <w:szCs w:val="24"/>
        </w:rPr>
      </w:pPr>
      <w:r w:rsidRPr="003F2E2C">
        <w:rPr>
          <w:rFonts w:ascii="Times New Roman" w:hAnsi="Times New Roman" w:cs="Times New Roman"/>
          <w:sz w:val="24"/>
          <w:szCs w:val="24"/>
        </w:rPr>
        <w:t>Interest</w:t>
      </w:r>
      <w:r w:rsidRPr="003F2E2C">
        <w:rPr>
          <w:rFonts w:ascii="Times New Roman" w:hAnsi="Times New Roman" w:cs="Times New Roman"/>
          <w:bCs/>
          <w:sz w:val="24"/>
          <w:szCs w:val="24"/>
        </w:rPr>
        <w:t xml:space="preserve"> theory has also been used to explain the effect of students’ academic interest on academic performance. Interest among individuals is conceived as depositions which are related to mental schemata linking the activity or object of interest with positive emotional experiences and personal value system. The basis for expecting academic interest to impact on academic performance is the proposition that interest- driven actions are characterised by value commitment and positive emotional valance (</w:t>
      </w:r>
      <w:r w:rsidR="001204CD" w:rsidRPr="003F2E2C">
        <w:rPr>
          <w:rFonts w:ascii="Times New Roman" w:hAnsi="Times New Roman" w:cs="Times New Roman"/>
          <w:bCs/>
          <w:sz w:val="24"/>
          <w:szCs w:val="24"/>
        </w:rPr>
        <w:t>Köller</w:t>
      </w:r>
      <w:r w:rsidRPr="003F2E2C">
        <w:rPr>
          <w:rFonts w:ascii="Times New Roman" w:hAnsi="Times New Roman" w:cs="Times New Roman"/>
          <w:bCs/>
          <w:sz w:val="24"/>
          <w:szCs w:val="24"/>
        </w:rPr>
        <w:t xml:space="preserve">, 2001). This involves personally valued activities mostly accompanied by positive emotions and is self-international. According to interest theory, demands as a result of interest on a person are unavoidable and that there exists a specific relationship between the person and the activity </w:t>
      </w:r>
      <w:r w:rsidR="00CE06AF" w:rsidRPr="003F2E2C">
        <w:rPr>
          <w:rFonts w:ascii="Times New Roman" w:hAnsi="Times New Roman" w:cs="Times New Roman"/>
          <w:bCs/>
          <w:sz w:val="24"/>
          <w:szCs w:val="24"/>
        </w:rPr>
        <w:t>of interest. This in effect implie</w:t>
      </w:r>
      <w:r w:rsidRPr="003F2E2C">
        <w:rPr>
          <w:rFonts w:ascii="Times New Roman" w:hAnsi="Times New Roman" w:cs="Times New Roman"/>
          <w:bCs/>
          <w:sz w:val="24"/>
          <w:szCs w:val="24"/>
        </w:rPr>
        <w:t>s that an activity related action is r</w:t>
      </w:r>
      <w:r w:rsidR="00C201A3" w:rsidRPr="003F2E2C">
        <w:rPr>
          <w:rFonts w:ascii="Times New Roman" w:hAnsi="Times New Roman" w:cs="Times New Roman"/>
          <w:bCs/>
          <w:sz w:val="24"/>
          <w:szCs w:val="24"/>
        </w:rPr>
        <w:t>ealisable (Schiefele</w:t>
      </w:r>
      <w:r w:rsidR="00D33048" w:rsidRPr="003F2E2C">
        <w:rPr>
          <w:rFonts w:ascii="Times New Roman" w:hAnsi="Times New Roman" w:cs="Times New Roman"/>
          <w:bCs/>
          <w:sz w:val="24"/>
          <w:szCs w:val="24"/>
        </w:rPr>
        <w:t xml:space="preserve"> et al.,</w:t>
      </w:r>
      <w:r w:rsidRPr="003F2E2C">
        <w:rPr>
          <w:rFonts w:ascii="Times New Roman" w:hAnsi="Times New Roman" w:cs="Times New Roman"/>
          <w:bCs/>
          <w:sz w:val="24"/>
          <w:szCs w:val="24"/>
        </w:rPr>
        <w:t xml:space="preserve"> 1983). The theory argues that both individual and situational interest promote task persistence, attention, recall and effort (Hidi, 1990; Hidi &amp; Renninger, 20</w:t>
      </w:r>
      <w:r w:rsidR="006E6FF9" w:rsidRPr="003F2E2C">
        <w:rPr>
          <w:rFonts w:ascii="Times New Roman" w:hAnsi="Times New Roman" w:cs="Times New Roman"/>
          <w:bCs/>
          <w:sz w:val="24"/>
          <w:szCs w:val="24"/>
        </w:rPr>
        <w:t>06). I</w:t>
      </w:r>
      <w:r w:rsidRPr="003F2E2C">
        <w:rPr>
          <w:rFonts w:ascii="Times New Roman" w:hAnsi="Times New Roman" w:cs="Times New Roman"/>
          <w:bCs/>
          <w:sz w:val="24"/>
          <w:szCs w:val="24"/>
        </w:rPr>
        <w:t xml:space="preserve">nterest is one of the relevant factors of academic success. </w:t>
      </w:r>
      <w:bookmarkStart w:id="11" w:name="_Hlk528672579"/>
      <w:r w:rsidRPr="003F2E2C">
        <w:rPr>
          <w:rFonts w:ascii="Times New Roman" w:hAnsi="Times New Roman" w:cs="Times New Roman"/>
          <w:bCs/>
          <w:sz w:val="24"/>
          <w:szCs w:val="24"/>
        </w:rPr>
        <w:t>Schiefele (1996) suggested that interest serves as a motivator for long working hours on tasks.</w:t>
      </w:r>
    </w:p>
    <w:bookmarkEnd w:id="11"/>
    <w:p w14:paraId="37F461AE" w14:textId="608C8113" w:rsidR="00D15817" w:rsidRPr="003F2E2C" w:rsidRDefault="0013597C" w:rsidP="00D15817">
      <w:pPr>
        <w:spacing w:line="360" w:lineRule="auto"/>
        <w:ind w:firstLine="360"/>
        <w:jc w:val="both"/>
        <w:rPr>
          <w:rFonts w:ascii="Times New Roman" w:hAnsi="Times New Roman" w:cs="Times New Roman"/>
          <w:sz w:val="24"/>
          <w:szCs w:val="24"/>
        </w:rPr>
      </w:pPr>
      <w:r w:rsidRPr="003F2E2C">
        <w:rPr>
          <w:rFonts w:ascii="Times New Roman" w:hAnsi="Times New Roman" w:cs="Times New Roman"/>
          <w:sz w:val="24"/>
          <w:szCs w:val="24"/>
        </w:rPr>
        <w:t>In this study, we rely on the theo</w:t>
      </w:r>
      <w:r w:rsidR="00C201A3" w:rsidRPr="003F2E2C">
        <w:rPr>
          <w:rFonts w:ascii="Times New Roman" w:hAnsi="Times New Roman" w:cs="Times New Roman"/>
          <w:sz w:val="24"/>
          <w:szCs w:val="24"/>
        </w:rPr>
        <w:t>ry of reasoned action (Ajzen &amp;</w:t>
      </w:r>
      <w:r w:rsidRPr="003F2E2C">
        <w:rPr>
          <w:rFonts w:ascii="Times New Roman" w:hAnsi="Times New Roman" w:cs="Times New Roman"/>
          <w:sz w:val="24"/>
          <w:szCs w:val="24"/>
        </w:rPr>
        <w:t xml:space="preserve"> Fishbein, 1980), to explain the effect of learning attitude on academic performance. </w:t>
      </w:r>
      <w:r w:rsidRPr="003F2E2C">
        <w:rPr>
          <w:rFonts w:ascii="Times New Roman" w:hAnsi="Times New Roman" w:cs="Times New Roman"/>
          <w:sz w:val="24"/>
          <w:szCs w:val="24"/>
          <w:shd w:val="clear" w:color="auto" w:fill="FFFFFF"/>
        </w:rPr>
        <w:t>According to this theory, an individual’s behaviour is determined by its behavioural intention to perform it. The behavioural intention in itself is determined by the attitudes and subjective norms (perception of behaviour expected from people important to him/her).</w:t>
      </w:r>
      <w:r w:rsidRPr="003F2E2C">
        <w:rPr>
          <w:rFonts w:ascii="Times New Roman" w:hAnsi="Times New Roman" w:cs="Times New Roman"/>
          <w:sz w:val="24"/>
          <w:szCs w:val="24"/>
        </w:rPr>
        <w:t xml:space="preserve"> </w:t>
      </w:r>
      <w:r w:rsidRPr="003F2E2C">
        <w:rPr>
          <w:rFonts w:ascii="Times New Roman" w:hAnsi="Times New Roman" w:cs="Times New Roman"/>
          <w:sz w:val="24"/>
          <w:szCs w:val="24"/>
          <w:shd w:val="clear" w:color="auto" w:fill="FFFFFF"/>
        </w:rPr>
        <w:t>The attitude toward a behaviour is a function of the expected consequences or outcomes of behaviour (beliefs) and the evaluations of these expected consequences or outcomes (Verhallen</w:t>
      </w:r>
      <w:r w:rsidR="00C201A3" w:rsidRPr="003F2E2C">
        <w:rPr>
          <w:rFonts w:ascii="Times New Roman" w:hAnsi="Times New Roman" w:cs="Times New Roman"/>
          <w:sz w:val="24"/>
          <w:szCs w:val="24"/>
          <w:shd w:val="clear" w:color="auto" w:fill="FFFFFF"/>
        </w:rPr>
        <w:t>,</w:t>
      </w:r>
      <w:r w:rsidRPr="003F2E2C">
        <w:rPr>
          <w:rFonts w:ascii="Times New Roman" w:hAnsi="Times New Roman" w:cs="Times New Roman"/>
          <w:sz w:val="24"/>
          <w:szCs w:val="24"/>
          <w:shd w:val="clear" w:color="auto" w:fill="FFFFFF"/>
        </w:rPr>
        <w:t xml:space="preserve"> 1984). The theory was extended by</w:t>
      </w:r>
      <w:r w:rsidRPr="003F2E2C">
        <w:rPr>
          <w:rFonts w:ascii="Times New Roman" w:hAnsi="Times New Roman" w:cs="Times New Roman"/>
          <w:sz w:val="24"/>
          <w:szCs w:val="24"/>
        </w:rPr>
        <w:t xml:space="preserve"> </w:t>
      </w:r>
      <w:r w:rsidRPr="003F2E2C">
        <w:rPr>
          <w:rFonts w:ascii="Times New Roman" w:hAnsi="Times New Roman" w:cs="Times New Roman"/>
          <w:sz w:val="24"/>
          <w:szCs w:val="24"/>
          <w:shd w:val="clear" w:color="auto" w:fill="FFFFFF"/>
        </w:rPr>
        <w:t>Ajzen (1985, 1988) to the theory of planned behaviour by including perceived behavioural control. The intentions to exert effort and obtain a certain level of performance are strongly determined by attitude, subjective norms, and perceived control (Ajzen, 2011). A positive attitude has been suggested to be highly influential to prompt behaviour and sub</w:t>
      </w:r>
      <w:r w:rsidR="00C201A3" w:rsidRPr="003F2E2C">
        <w:rPr>
          <w:rFonts w:ascii="Times New Roman" w:hAnsi="Times New Roman" w:cs="Times New Roman"/>
          <w:sz w:val="24"/>
          <w:szCs w:val="24"/>
          <w:shd w:val="clear" w:color="auto" w:fill="FFFFFF"/>
        </w:rPr>
        <w:t>sequently, performance (Lowe &amp;</w:t>
      </w:r>
      <w:r w:rsidR="00EF6391" w:rsidRPr="003F2E2C">
        <w:rPr>
          <w:rFonts w:ascii="Times New Roman" w:hAnsi="Times New Roman" w:cs="Times New Roman"/>
          <w:sz w:val="24"/>
          <w:szCs w:val="24"/>
          <w:shd w:val="clear" w:color="auto" w:fill="FFFFFF"/>
        </w:rPr>
        <w:t xml:space="preserve"> Simons, 1997;</w:t>
      </w:r>
      <w:r w:rsidR="00C201A3" w:rsidRPr="003F2E2C">
        <w:rPr>
          <w:rFonts w:ascii="Times New Roman" w:hAnsi="Times New Roman" w:cs="Times New Roman"/>
          <w:sz w:val="24"/>
          <w:szCs w:val="24"/>
          <w:shd w:val="clear" w:color="auto" w:fill="FFFFFF"/>
        </w:rPr>
        <w:t xml:space="preserve"> Foong &amp;</w:t>
      </w:r>
      <w:r w:rsidRPr="003F2E2C">
        <w:rPr>
          <w:rFonts w:ascii="Times New Roman" w:hAnsi="Times New Roman" w:cs="Times New Roman"/>
          <w:sz w:val="24"/>
          <w:szCs w:val="24"/>
          <w:shd w:val="clear" w:color="auto" w:fill="FFFFFF"/>
        </w:rPr>
        <w:t xml:space="preserve"> Khoon, 2013). </w:t>
      </w:r>
      <w:r w:rsidRPr="003F2E2C">
        <w:rPr>
          <w:rFonts w:ascii="Times New Roman" w:hAnsi="Times New Roman" w:cs="Times New Roman"/>
          <w:sz w:val="24"/>
          <w:szCs w:val="24"/>
        </w:rPr>
        <w:t>The importance of attitude in performance is due to the fact that it has a direct effect on behavioural variables such as working lon</w:t>
      </w:r>
      <w:r w:rsidRPr="003F2E2C">
        <w:rPr>
          <w:rFonts w:ascii="Times New Roman" w:hAnsi="Times New Roman" w:cs="Times New Roman"/>
          <w:sz w:val="24"/>
          <w:szCs w:val="24"/>
        </w:rPr>
        <w:softHyphen/>
        <w:t>ger hours, acquiring new skills,</w:t>
      </w:r>
      <w:r w:rsidR="00C201A3" w:rsidRPr="003F2E2C">
        <w:rPr>
          <w:rFonts w:ascii="Times New Roman" w:hAnsi="Times New Roman" w:cs="Times New Roman"/>
          <w:sz w:val="24"/>
          <w:szCs w:val="24"/>
        </w:rPr>
        <w:t xml:space="preserve"> and working faster</w:t>
      </w:r>
      <w:r w:rsidRPr="003F2E2C">
        <w:rPr>
          <w:rFonts w:ascii="Times New Roman" w:hAnsi="Times New Roman" w:cs="Times New Roman"/>
          <w:sz w:val="24"/>
          <w:szCs w:val="24"/>
        </w:rPr>
        <w:t xml:space="preserve"> (Ajzen, 2011).</w:t>
      </w:r>
    </w:p>
    <w:p w14:paraId="645B4A11" w14:textId="692A8AC4" w:rsidR="006024B9" w:rsidRPr="003F2E2C" w:rsidRDefault="0013597C" w:rsidP="00D15817">
      <w:pPr>
        <w:pStyle w:val="ListParagraph"/>
        <w:numPr>
          <w:ilvl w:val="1"/>
          <w:numId w:val="17"/>
        </w:num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Literature review</w:t>
      </w:r>
    </w:p>
    <w:p w14:paraId="00FB348C" w14:textId="77777777" w:rsidR="00601C0D" w:rsidRPr="003F2E2C" w:rsidRDefault="0013597C" w:rsidP="008639A7">
      <w:pPr>
        <w:autoSpaceDE w:val="0"/>
        <w:autoSpaceDN w:val="0"/>
        <w:adjustRightInd w:val="0"/>
        <w:spacing w:after="0" w:line="360" w:lineRule="auto"/>
        <w:jc w:val="both"/>
        <w:rPr>
          <w:rFonts w:ascii="Times New Roman" w:hAnsi="Times New Roman" w:cs="Times New Roman"/>
          <w:sz w:val="24"/>
          <w:szCs w:val="24"/>
        </w:rPr>
      </w:pPr>
      <w:r w:rsidRPr="003F2E2C">
        <w:rPr>
          <w:rFonts w:ascii="Times New Roman" w:hAnsi="Times New Roman" w:cs="Times New Roman"/>
          <w:sz w:val="24"/>
          <w:szCs w:val="24"/>
        </w:rPr>
        <w:t>A number of previous studies have examined the determinants of academic performance of students in general and accounting stude</w:t>
      </w:r>
      <w:r w:rsidR="00FE46A8" w:rsidRPr="003F2E2C">
        <w:rPr>
          <w:rFonts w:ascii="Times New Roman" w:hAnsi="Times New Roman" w:cs="Times New Roman"/>
          <w:sz w:val="24"/>
          <w:szCs w:val="24"/>
        </w:rPr>
        <w:t>nts specifically (e.g. Naser &amp;</w:t>
      </w:r>
      <w:r w:rsidRPr="003F2E2C">
        <w:rPr>
          <w:rFonts w:ascii="Times New Roman" w:hAnsi="Times New Roman" w:cs="Times New Roman"/>
          <w:sz w:val="24"/>
          <w:szCs w:val="24"/>
        </w:rPr>
        <w:t xml:space="preserve"> Peel</w:t>
      </w:r>
      <w:r w:rsidR="009554B4" w:rsidRPr="003F2E2C">
        <w:rPr>
          <w:rFonts w:ascii="Times New Roman" w:hAnsi="Times New Roman" w:cs="Times New Roman"/>
          <w:sz w:val="24"/>
          <w:szCs w:val="24"/>
        </w:rPr>
        <w:t>,</w:t>
      </w:r>
      <w:r w:rsidRPr="003F2E2C">
        <w:rPr>
          <w:rFonts w:ascii="Times New Roman" w:hAnsi="Times New Roman" w:cs="Times New Roman"/>
          <w:sz w:val="24"/>
          <w:szCs w:val="24"/>
        </w:rPr>
        <w:t xml:space="preserve"> 1998; Garcia </w:t>
      </w:r>
      <w:r w:rsidR="00FE46A8" w:rsidRPr="003F2E2C">
        <w:rPr>
          <w:rFonts w:ascii="Times New Roman" w:hAnsi="Times New Roman" w:cs="Times New Roman"/>
          <w:sz w:val="24"/>
          <w:szCs w:val="24"/>
        </w:rPr>
        <w:t>&amp;</w:t>
      </w:r>
      <w:r w:rsidRPr="003F2E2C">
        <w:rPr>
          <w:rFonts w:ascii="Times New Roman" w:hAnsi="Times New Roman" w:cs="Times New Roman"/>
          <w:sz w:val="24"/>
          <w:szCs w:val="24"/>
        </w:rPr>
        <w:t xml:space="preserve"> Jenkins</w:t>
      </w:r>
      <w:r w:rsidR="009554B4" w:rsidRPr="003F2E2C">
        <w:rPr>
          <w:rFonts w:ascii="Times New Roman" w:hAnsi="Times New Roman" w:cs="Times New Roman"/>
          <w:sz w:val="24"/>
          <w:szCs w:val="24"/>
        </w:rPr>
        <w:t>,</w:t>
      </w:r>
      <w:r w:rsidR="00FE46A8" w:rsidRPr="003F2E2C">
        <w:rPr>
          <w:rFonts w:ascii="Times New Roman" w:hAnsi="Times New Roman" w:cs="Times New Roman"/>
          <w:sz w:val="24"/>
          <w:szCs w:val="24"/>
        </w:rPr>
        <w:t xml:space="preserve"> 2003; Byrne &amp;</w:t>
      </w:r>
      <w:r w:rsidRPr="003F2E2C">
        <w:rPr>
          <w:rFonts w:ascii="Times New Roman" w:hAnsi="Times New Roman" w:cs="Times New Roman"/>
          <w:sz w:val="24"/>
          <w:szCs w:val="24"/>
        </w:rPr>
        <w:t xml:space="preserve"> Flood</w:t>
      </w:r>
      <w:r w:rsidR="009554B4" w:rsidRPr="003F2E2C">
        <w:rPr>
          <w:rFonts w:ascii="Times New Roman" w:hAnsi="Times New Roman" w:cs="Times New Roman"/>
          <w:sz w:val="24"/>
          <w:szCs w:val="24"/>
        </w:rPr>
        <w:t>,</w:t>
      </w:r>
      <w:r w:rsidRPr="003F2E2C">
        <w:rPr>
          <w:rFonts w:ascii="Times New Roman" w:hAnsi="Times New Roman" w:cs="Times New Roman"/>
          <w:sz w:val="24"/>
          <w:szCs w:val="24"/>
        </w:rPr>
        <w:t xml:space="preserve"> 2008; Guney</w:t>
      </w:r>
      <w:r w:rsidR="009554B4" w:rsidRPr="003F2E2C">
        <w:rPr>
          <w:rFonts w:ascii="Times New Roman" w:hAnsi="Times New Roman" w:cs="Times New Roman"/>
          <w:sz w:val="24"/>
          <w:szCs w:val="24"/>
        </w:rPr>
        <w:t>,</w:t>
      </w:r>
      <w:r w:rsidR="00FE46A8" w:rsidRPr="003F2E2C">
        <w:rPr>
          <w:rFonts w:ascii="Times New Roman" w:hAnsi="Times New Roman" w:cs="Times New Roman"/>
          <w:sz w:val="24"/>
          <w:szCs w:val="24"/>
        </w:rPr>
        <w:t xml:space="preserve"> 2009; Fallan &amp;</w:t>
      </w:r>
      <w:r w:rsidRPr="003F2E2C">
        <w:rPr>
          <w:rFonts w:ascii="Times New Roman" w:hAnsi="Times New Roman" w:cs="Times New Roman"/>
          <w:sz w:val="24"/>
          <w:szCs w:val="24"/>
        </w:rPr>
        <w:t xml:space="preserve"> </w:t>
      </w:r>
      <w:r w:rsidR="003E5B87" w:rsidRPr="003F2E2C">
        <w:rPr>
          <w:rFonts w:ascii="Times New Roman" w:hAnsi="Times New Roman" w:cs="Times New Roman"/>
          <w:noProof/>
          <w:sz w:val="24"/>
          <w:szCs w:val="24"/>
        </w:rPr>
        <w:t>Opta</w:t>
      </w:r>
      <w:r w:rsidRPr="003F2E2C">
        <w:rPr>
          <w:rFonts w:ascii="Times New Roman" w:hAnsi="Times New Roman" w:cs="Times New Roman"/>
          <w:noProof/>
          <w:sz w:val="24"/>
          <w:szCs w:val="24"/>
        </w:rPr>
        <w:t>d</w:t>
      </w:r>
      <w:r w:rsidR="009554B4" w:rsidRPr="003F2E2C">
        <w:rPr>
          <w:rFonts w:ascii="Times New Roman" w:hAnsi="Times New Roman" w:cs="Times New Roman"/>
          <w:noProof/>
          <w:sz w:val="24"/>
          <w:szCs w:val="24"/>
        </w:rPr>
        <w:t>,</w:t>
      </w:r>
      <w:r w:rsidR="00FE46A8" w:rsidRPr="003F2E2C">
        <w:rPr>
          <w:rFonts w:ascii="Times New Roman" w:hAnsi="Times New Roman" w:cs="Times New Roman"/>
          <w:sz w:val="24"/>
          <w:szCs w:val="24"/>
        </w:rPr>
        <w:t xml:space="preserve"> 2014). Naser and</w:t>
      </w:r>
      <w:r w:rsidRPr="003F2E2C">
        <w:rPr>
          <w:rFonts w:ascii="Times New Roman" w:hAnsi="Times New Roman" w:cs="Times New Roman"/>
          <w:sz w:val="24"/>
          <w:szCs w:val="24"/>
        </w:rPr>
        <w:t xml:space="preserve"> Peel (1998) interested in the determinants of factors influencing </w:t>
      </w:r>
      <w:r w:rsidRPr="003F2E2C">
        <w:rPr>
          <w:rFonts w:ascii="Times New Roman" w:hAnsi="Times New Roman" w:cs="Times New Roman"/>
          <w:noProof/>
          <w:sz w:val="24"/>
          <w:szCs w:val="24"/>
        </w:rPr>
        <w:t>first</w:t>
      </w:r>
      <w:r w:rsidR="003E5B87" w:rsidRPr="003F2E2C">
        <w:rPr>
          <w:rFonts w:ascii="Times New Roman" w:hAnsi="Times New Roman" w:cs="Times New Roman"/>
          <w:noProof/>
          <w:sz w:val="24"/>
          <w:szCs w:val="24"/>
        </w:rPr>
        <w:t>-</w:t>
      </w:r>
      <w:r w:rsidRPr="003F2E2C">
        <w:rPr>
          <w:rFonts w:ascii="Times New Roman" w:hAnsi="Times New Roman" w:cs="Times New Roman"/>
          <w:noProof/>
          <w:sz w:val="24"/>
          <w:szCs w:val="24"/>
        </w:rPr>
        <w:t>year</w:t>
      </w:r>
      <w:r w:rsidRPr="003F2E2C">
        <w:rPr>
          <w:rFonts w:ascii="Times New Roman" w:hAnsi="Times New Roman" w:cs="Times New Roman"/>
          <w:sz w:val="24"/>
          <w:szCs w:val="24"/>
        </w:rPr>
        <w:t xml:space="preserve"> university students’ performance in principles of accounting, undertook an exploratory </w:t>
      </w:r>
      <w:r w:rsidRPr="003F2E2C">
        <w:rPr>
          <w:rFonts w:ascii="Times New Roman" w:hAnsi="Times New Roman" w:cs="Times New Roman"/>
          <w:noProof/>
          <w:sz w:val="24"/>
          <w:szCs w:val="24"/>
        </w:rPr>
        <w:t xml:space="preserve">study </w:t>
      </w:r>
      <w:r w:rsidR="003E5B87" w:rsidRPr="003F2E2C">
        <w:rPr>
          <w:rFonts w:ascii="Times New Roman" w:hAnsi="Times New Roman" w:cs="Times New Roman"/>
          <w:noProof/>
          <w:sz w:val="24"/>
          <w:szCs w:val="24"/>
        </w:rPr>
        <w:t>at</w:t>
      </w:r>
      <w:r w:rsidRPr="003F2E2C">
        <w:rPr>
          <w:rFonts w:ascii="Times New Roman" w:hAnsi="Times New Roman" w:cs="Times New Roman"/>
          <w:sz w:val="24"/>
          <w:szCs w:val="24"/>
        </w:rPr>
        <w:t xml:space="preserve"> Birzeit University in West Bank among 150 students. The study found that attitudinal variable has</w:t>
      </w:r>
      <w:r w:rsidR="003E5B87"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positive</w:t>
      </w:r>
      <w:r w:rsidRPr="003F2E2C">
        <w:rPr>
          <w:rFonts w:ascii="Times New Roman" w:hAnsi="Times New Roman" w:cs="Times New Roman"/>
          <w:sz w:val="24"/>
          <w:szCs w:val="24"/>
        </w:rPr>
        <w:t xml:space="preserve"> impact on performance. Specifically, students’ effort is significantly related to performance. Thus, students who considered their own effort as being</w:t>
      </w:r>
      <w:r w:rsidR="003E5B87"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relatively</w:t>
      </w:r>
      <w:r w:rsidRPr="003F2E2C">
        <w:rPr>
          <w:rFonts w:ascii="Times New Roman" w:hAnsi="Times New Roman" w:cs="Times New Roman"/>
          <w:sz w:val="24"/>
          <w:szCs w:val="24"/>
        </w:rPr>
        <w:t xml:space="preserve"> important factor in their study had superior performance.  In a similar </w:t>
      </w:r>
      <w:r w:rsidRPr="003F2E2C">
        <w:rPr>
          <w:rFonts w:ascii="Times New Roman" w:hAnsi="Times New Roman" w:cs="Times New Roman"/>
          <w:noProof/>
          <w:sz w:val="24"/>
          <w:szCs w:val="24"/>
        </w:rPr>
        <w:t>study</w:t>
      </w:r>
      <w:r w:rsidR="003E5B87" w:rsidRPr="003F2E2C">
        <w:rPr>
          <w:rFonts w:ascii="Times New Roman" w:hAnsi="Times New Roman" w:cs="Times New Roman"/>
          <w:noProof/>
          <w:sz w:val="24"/>
          <w:szCs w:val="24"/>
        </w:rPr>
        <w:t>,</w:t>
      </w:r>
      <w:r w:rsidRPr="003F2E2C">
        <w:rPr>
          <w:rFonts w:ascii="Times New Roman" w:hAnsi="Times New Roman" w:cs="Times New Roman"/>
          <w:sz w:val="24"/>
          <w:szCs w:val="24"/>
        </w:rPr>
        <w:t xml:space="preserve"> Garcia and Jenkins (2003) explored the performance of undergraduate accounting students at </w:t>
      </w:r>
      <w:r w:rsidR="009554B4" w:rsidRPr="003F2E2C">
        <w:rPr>
          <w:rFonts w:ascii="Times New Roman" w:hAnsi="Times New Roman" w:cs="Times New Roman"/>
          <w:sz w:val="24"/>
          <w:szCs w:val="24"/>
        </w:rPr>
        <w:t xml:space="preserve">a </w:t>
      </w:r>
      <w:r w:rsidRPr="003F2E2C">
        <w:rPr>
          <w:rFonts w:ascii="Times New Roman" w:hAnsi="Times New Roman" w:cs="Times New Roman"/>
          <w:sz w:val="24"/>
          <w:szCs w:val="24"/>
        </w:rPr>
        <w:t xml:space="preserve">Welsh University. The sample including second and final year accounting students examined the impact of demographic, attitudinal and behavioural factors on the performance by comparing these factors between second and final year accounting students. Gracia and Jenkins (2003) found that class participation and students whose first choice of subject was accounting performed better. A clear indication that attitude and interest </w:t>
      </w:r>
      <w:r w:rsidRPr="003F2E2C">
        <w:rPr>
          <w:rFonts w:ascii="Times New Roman" w:hAnsi="Times New Roman" w:cs="Times New Roman"/>
          <w:noProof/>
          <w:sz w:val="24"/>
          <w:szCs w:val="24"/>
        </w:rPr>
        <w:t>play</w:t>
      </w:r>
      <w:r w:rsidR="003E5B87" w:rsidRPr="003F2E2C">
        <w:rPr>
          <w:rFonts w:ascii="Times New Roman" w:hAnsi="Times New Roman" w:cs="Times New Roman"/>
          <w:noProof/>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009554B4" w:rsidRPr="003F2E2C">
        <w:rPr>
          <w:rFonts w:ascii="Times New Roman" w:hAnsi="Times New Roman" w:cs="Times New Roman"/>
          <w:sz w:val="24"/>
          <w:szCs w:val="24"/>
        </w:rPr>
        <w:t xml:space="preserve"> role in academic performance. O</w:t>
      </w:r>
      <w:r w:rsidRPr="003F2E2C">
        <w:rPr>
          <w:rFonts w:ascii="Times New Roman" w:hAnsi="Times New Roman" w:cs="Times New Roman"/>
          <w:sz w:val="24"/>
          <w:szCs w:val="24"/>
        </w:rPr>
        <w:t>n this basis, the authors suggested that intervening variables, rather than demographic variables, may be important determinants of student</w:t>
      </w:r>
      <w:r w:rsidR="001B021F" w:rsidRPr="003F2E2C">
        <w:rPr>
          <w:rFonts w:ascii="Times New Roman" w:hAnsi="Times New Roman" w:cs="Times New Roman"/>
          <w:sz w:val="24"/>
          <w:szCs w:val="24"/>
        </w:rPr>
        <w:t>s’</w:t>
      </w:r>
      <w:r w:rsidRPr="003F2E2C">
        <w:rPr>
          <w:rFonts w:ascii="Times New Roman" w:hAnsi="Times New Roman" w:cs="Times New Roman"/>
          <w:sz w:val="24"/>
          <w:szCs w:val="24"/>
        </w:rPr>
        <w:t xml:space="preserve"> performance in university accounting examinations.  Guney (2009) found a positive association between student career expectation and performance in accounting among a sample of 419 in a UK unive</w:t>
      </w:r>
      <w:r w:rsidR="001B021F" w:rsidRPr="003F2E2C">
        <w:rPr>
          <w:rFonts w:ascii="Times New Roman" w:hAnsi="Times New Roman" w:cs="Times New Roman"/>
          <w:sz w:val="24"/>
          <w:szCs w:val="24"/>
        </w:rPr>
        <w:t>rsity</w:t>
      </w:r>
      <w:r w:rsidRPr="003F2E2C">
        <w:rPr>
          <w:rFonts w:ascii="Times New Roman" w:hAnsi="Times New Roman" w:cs="Times New Roman"/>
          <w:sz w:val="24"/>
          <w:szCs w:val="24"/>
        </w:rPr>
        <w:t>. He argued that accounting student’s expectation of</w:t>
      </w:r>
      <w:r w:rsidR="003E5B87"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future</w:t>
      </w:r>
      <w:r w:rsidRPr="003F2E2C">
        <w:rPr>
          <w:rFonts w:ascii="Times New Roman" w:hAnsi="Times New Roman" w:cs="Times New Roman"/>
          <w:sz w:val="24"/>
          <w:szCs w:val="24"/>
        </w:rPr>
        <w:t xml:space="preserve"> career in accounting serves as a motivation which </w:t>
      </w:r>
      <w:r w:rsidRPr="003F2E2C">
        <w:rPr>
          <w:rFonts w:ascii="Times New Roman" w:hAnsi="Times New Roman" w:cs="Times New Roman"/>
          <w:noProof/>
          <w:sz w:val="24"/>
          <w:szCs w:val="24"/>
        </w:rPr>
        <w:t>make</w:t>
      </w:r>
      <w:r w:rsidR="003E5B87" w:rsidRPr="003F2E2C">
        <w:rPr>
          <w:rFonts w:ascii="Times New Roman" w:hAnsi="Times New Roman" w:cs="Times New Roman"/>
          <w:noProof/>
          <w:sz w:val="24"/>
          <w:szCs w:val="24"/>
        </w:rPr>
        <w:t>s</w:t>
      </w:r>
      <w:r w:rsidRPr="003F2E2C">
        <w:rPr>
          <w:rFonts w:ascii="Times New Roman" w:hAnsi="Times New Roman" w:cs="Times New Roman"/>
          <w:sz w:val="24"/>
          <w:szCs w:val="24"/>
        </w:rPr>
        <w:t xml:space="preserve"> them perform better academically. The positive association between motivation and performance has also been supported in the USA. A study by Masky and Zheng (2008) in a public university found that expected grade point by students has</w:t>
      </w:r>
      <w:r w:rsidR="003E5B87"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association with performance. Also, research studies on accounting students’ attitude have found it to be key in enhancing their knowledge levels (</w:t>
      </w:r>
      <w:r w:rsidR="009839FA" w:rsidRPr="003F2E2C">
        <w:rPr>
          <w:rFonts w:ascii="Times New Roman" w:hAnsi="Times New Roman" w:cs="Times New Roman"/>
          <w:sz w:val="24"/>
          <w:szCs w:val="24"/>
        </w:rPr>
        <w:t xml:space="preserve">Hassandoust, Logeswaran, &amp; Kazerouni, </w:t>
      </w:r>
      <w:r w:rsidRPr="003F2E2C">
        <w:rPr>
          <w:rFonts w:ascii="Times New Roman" w:hAnsi="Times New Roman" w:cs="Times New Roman"/>
          <w:sz w:val="24"/>
          <w:szCs w:val="24"/>
        </w:rPr>
        <w:t xml:space="preserve"> 2011</w:t>
      </w:r>
      <w:r w:rsidR="0073339A" w:rsidRPr="003F2E2C">
        <w:rPr>
          <w:rFonts w:ascii="Times New Roman" w:hAnsi="Times New Roman" w:cs="Times New Roman"/>
          <w:sz w:val="24"/>
          <w:szCs w:val="24"/>
        </w:rPr>
        <w:t>;</w:t>
      </w:r>
      <w:r w:rsidR="00FE46A8" w:rsidRPr="003F2E2C">
        <w:rPr>
          <w:rFonts w:ascii="Times New Roman" w:hAnsi="Times New Roman" w:cs="Times New Roman"/>
          <w:sz w:val="24"/>
          <w:szCs w:val="24"/>
        </w:rPr>
        <w:t xml:space="preserve"> Foong &amp;</w:t>
      </w:r>
      <w:r w:rsidRPr="003F2E2C">
        <w:rPr>
          <w:rFonts w:ascii="Times New Roman" w:hAnsi="Times New Roman" w:cs="Times New Roman"/>
          <w:sz w:val="24"/>
          <w:szCs w:val="24"/>
        </w:rPr>
        <w:t xml:space="preserve"> Khoo 2013).  </w:t>
      </w:r>
    </w:p>
    <w:p w14:paraId="07A01FA8" w14:textId="25F1183C" w:rsidR="00601C0D" w:rsidRPr="003F2E2C" w:rsidRDefault="0013597C" w:rsidP="00601C0D">
      <w:pPr>
        <w:autoSpaceDE w:val="0"/>
        <w:autoSpaceDN w:val="0"/>
        <w:adjustRightInd w:val="0"/>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In Norway, Fallan and </w:t>
      </w:r>
      <w:r w:rsidR="003E5B87" w:rsidRPr="003F2E2C">
        <w:rPr>
          <w:rFonts w:ascii="Times New Roman" w:hAnsi="Times New Roman" w:cs="Times New Roman"/>
          <w:sz w:val="24"/>
          <w:szCs w:val="24"/>
        </w:rPr>
        <w:t>Optad</w:t>
      </w:r>
      <w:r w:rsidRPr="003F2E2C">
        <w:rPr>
          <w:rFonts w:ascii="Times New Roman" w:hAnsi="Times New Roman" w:cs="Times New Roman"/>
          <w:sz w:val="24"/>
          <w:szCs w:val="24"/>
        </w:rPr>
        <w:t xml:space="preserve"> (2014) examining the impact of academic interest of management accounting students found a positive and significant influence of academic interest on academic performance. They suggested that that in order for the academic achievement to </w:t>
      </w:r>
      <w:r w:rsidRPr="003F2E2C">
        <w:rPr>
          <w:rFonts w:ascii="Times New Roman" w:hAnsi="Times New Roman" w:cs="Times New Roman"/>
          <w:noProof/>
          <w:sz w:val="24"/>
          <w:szCs w:val="24"/>
        </w:rPr>
        <w:t>raise</w:t>
      </w:r>
      <w:r w:rsidRPr="003F2E2C">
        <w:rPr>
          <w:rFonts w:ascii="Times New Roman" w:hAnsi="Times New Roman" w:cs="Times New Roman"/>
          <w:sz w:val="24"/>
          <w:szCs w:val="24"/>
        </w:rPr>
        <w:t xml:space="preserve"> the teachers need to increase the students’ interest in the subject. However, they found no significant relationship between attendance and effort with performance.</w:t>
      </w:r>
      <w:r w:rsidR="0073339A" w:rsidRPr="003F2E2C">
        <w:rPr>
          <w:rFonts w:ascii="Times New Roman" w:hAnsi="Times New Roman" w:cs="Times New Roman"/>
          <w:sz w:val="24"/>
          <w:szCs w:val="24"/>
        </w:rPr>
        <w:t xml:space="preserve"> </w:t>
      </w:r>
      <w:r w:rsidRPr="003F2E2C">
        <w:rPr>
          <w:rFonts w:ascii="Times New Roman" w:hAnsi="Times New Roman" w:cs="Times New Roman"/>
          <w:sz w:val="24"/>
          <w:szCs w:val="24"/>
        </w:rPr>
        <w:t>One factor which has received lesser attention in the accounting students’ performance literature is volition. Fogarty and Goldwater (2011) in their US study suggested that academic performance is strongly associated with self-selection (volition) into the various study field.</w:t>
      </w:r>
    </w:p>
    <w:p w14:paraId="05EBA972" w14:textId="22C8D898" w:rsidR="00601C0D" w:rsidRPr="003F2E2C" w:rsidRDefault="0013597C" w:rsidP="00601C0D">
      <w:pPr>
        <w:autoSpaceDE w:val="0"/>
        <w:autoSpaceDN w:val="0"/>
        <w:adjustRightInd w:val="0"/>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Contrary to the above results, studies have found negative or no significant association between motivational</w:t>
      </w:r>
      <w:r w:rsidR="00364E0F" w:rsidRPr="003F2E2C">
        <w:rPr>
          <w:rFonts w:ascii="Times New Roman" w:hAnsi="Times New Roman" w:cs="Times New Roman"/>
          <w:sz w:val="24"/>
          <w:szCs w:val="24"/>
        </w:rPr>
        <w:t>,</w:t>
      </w:r>
      <w:r w:rsidRPr="003F2E2C">
        <w:rPr>
          <w:rFonts w:ascii="Times New Roman" w:hAnsi="Times New Roman" w:cs="Times New Roman"/>
          <w:sz w:val="24"/>
          <w:szCs w:val="24"/>
        </w:rPr>
        <w:t xml:space="preserve"> and engagement and commitment factors</w:t>
      </w:r>
      <w:r w:rsidR="00364E0F" w:rsidRPr="003F2E2C">
        <w:rPr>
          <w:rFonts w:ascii="Times New Roman" w:hAnsi="Times New Roman" w:cs="Times New Roman"/>
          <w:sz w:val="24"/>
          <w:szCs w:val="24"/>
        </w:rPr>
        <w:t>,</w:t>
      </w:r>
      <w:r w:rsidRPr="003F2E2C">
        <w:rPr>
          <w:rFonts w:ascii="Times New Roman" w:hAnsi="Times New Roman" w:cs="Times New Roman"/>
          <w:sz w:val="24"/>
          <w:szCs w:val="24"/>
        </w:rPr>
        <w:t xml:space="preserve"> and acade</w:t>
      </w:r>
      <w:r w:rsidR="00364E0F" w:rsidRPr="003F2E2C">
        <w:rPr>
          <w:rFonts w:ascii="Times New Roman" w:hAnsi="Times New Roman" w:cs="Times New Roman"/>
          <w:sz w:val="24"/>
          <w:szCs w:val="24"/>
        </w:rPr>
        <w:t>mic performance. Evidence of a</w:t>
      </w:r>
      <w:r w:rsidRPr="003F2E2C">
        <w:rPr>
          <w:rFonts w:ascii="Times New Roman" w:hAnsi="Times New Roman" w:cs="Times New Roman"/>
          <w:sz w:val="24"/>
          <w:szCs w:val="24"/>
        </w:rPr>
        <w:t xml:space="preserve"> study conducted by Masky and Zheng (2008) did not find support for expectation</w:t>
      </w:r>
      <w:r w:rsidR="00CE7938" w:rsidRPr="003F2E2C">
        <w:rPr>
          <w:rFonts w:ascii="Times New Roman" w:hAnsi="Times New Roman" w:cs="Times New Roman"/>
          <w:sz w:val="24"/>
          <w:szCs w:val="24"/>
        </w:rPr>
        <w:t>.</w:t>
      </w:r>
      <w:r w:rsidRPr="003F2E2C">
        <w:rPr>
          <w:rFonts w:ascii="Times New Roman" w:hAnsi="Times New Roman" w:cs="Times New Roman"/>
          <w:sz w:val="24"/>
          <w:szCs w:val="24"/>
        </w:rPr>
        <w:t xml:space="preserve"> </w:t>
      </w:r>
      <w:r w:rsidR="00CE7938" w:rsidRPr="003F2E2C">
        <w:rPr>
          <w:rFonts w:ascii="Times New Roman" w:hAnsi="Times New Roman" w:cs="Times New Roman"/>
          <w:sz w:val="24"/>
          <w:szCs w:val="24"/>
        </w:rPr>
        <w:t>The results indicated that</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intention</w:t>
      </w:r>
      <w:r w:rsidRPr="003F2E2C">
        <w:rPr>
          <w:rFonts w:ascii="Times New Roman" w:hAnsi="Times New Roman" w:cs="Times New Roman"/>
          <w:sz w:val="24"/>
          <w:szCs w:val="24"/>
        </w:rPr>
        <w:t xml:space="preserve"> to take the CPA exam or future attendance at graduate school did not influence students' performance significantly.  In Ireland, Byrne and Flood (2008) carried out a study of students speciali</w:t>
      </w:r>
      <w:r w:rsidR="00272EF8" w:rsidRPr="003F2E2C">
        <w:rPr>
          <w:rFonts w:ascii="Times New Roman" w:hAnsi="Times New Roman" w:cs="Times New Roman"/>
          <w:sz w:val="24"/>
          <w:szCs w:val="24"/>
        </w:rPr>
        <w:t>s</w:t>
      </w:r>
      <w:r w:rsidRPr="003F2E2C">
        <w:rPr>
          <w:rFonts w:ascii="Times New Roman" w:hAnsi="Times New Roman" w:cs="Times New Roman"/>
          <w:sz w:val="24"/>
          <w:szCs w:val="24"/>
        </w:rPr>
        <w:t>ing in accounting at Dublin City University. Data collection was done with</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questionnaire</w:t>
      </w:r>
      <w:r w:rsidRPr="003F2E2C">
        <w:rPr>
          <w:rFonts w:ascii="Times New Roman" w:hAnsi="Times New Roman" w:cs="Times New Roman"/>
          <w:sz w:val="24"/>
          <w:szCs w:val="24"/>
        </w:rPr>
        <w:t xml:space="preserve"> containing both open and </w:t>
      </w:r>
      <w:r w:rsidRPr="003F2E2C">
        <w:rPr>
          <w:rFonts w:ascii="Times New Roman" w:hAnsi="Times New Roman" w:cs="Times New Roman"/>
          <w:noProof/>
          <w:sz w:val="24"/>
          <w:szCs w:val="24"/>
        </w:rPr>
        <w:t>close</w:t>
      </w:r>
      <w:r w:rsidR="00272EF8" w:rsidRPr="003F2E2C">
        <w:rPr>
          <w:rFonts w:ascii="Times New Roman" w:hAnsi="Times New Roman" w:cs="Times New Roman"/>
          <w:noProof/>
          <w:sz w:val="24"/>
          <w:szCs w:val="24"/>
        </w:rPr>
        <w:t>-</w:t>
      </w:r>
      <w:r w:rsidRPr="003F2E2C">
        <w:rPr>
          <w:rFonts w:ascii="Times New Roman" w:hAnsi="Times New Roman" w:cs="Times New Roman"/>
          <w:noProof/>
          <w:sz w:val="24"/>
          <w:szCs w:val="24"/>
        </w:rPr>
        <w:t>ended</w:t>
      </w:r>
      <w:r w:rsidRPr="003F2E2C">
        <w:rPr>
          <w:rFonts w:ascii="Times New Roman" w:hAnsi="Times New Roman" w:cs="Times New Roman"/>
          <w:sz w:val="24"/>
          <w:szCs w:val="24"/>
        </w:rPr>
        <w:t xml:space="preserve"> questions. The final section of the five-part questionnaire related to the expectation of the students regarding the unit. The results indicate</w:t>
      </w:r>
      <w:r w:rsidR="00CE7938" w:rsidRPr="003F2E2C">
        <w:rPr>
          <w:rFonts w:ascii="Times New Roman" w:hAnsi="Times New Roman" w:cs="Times New Roman"/>
          <w:sz w:val="24"/>
          <w:szCs w:val="24"/>
        </w:rPr>
        <w:t>d</w:t>
      </w:r>
      <w:r w:rsidRPr="003F2E2C">
        <w:rPr>
          <w:rFonts w:ascii="Times New Roman" w:hAnsi="Times New Roman" w:cs="Times New Roman"/>
          <w:sz w:val="24"/>
          <w:szCs w:val="24"/>
        </w:rPr>
        <w:t xml:space="preserve"> that academic performance of the first year university accounting students to some </w:t>
      </w:r>
      <w:r w:rsidRPr="003F2E2C">
        <w:rPr>
          <w:rFonts w:ascii="Times New Roman" w:hAnsi="Times New Roman" w:cs="Times New Roman"/>
          <w:noProof/>
          <w:sz w:val="24"/>
          <w:szCs w:val="24"/>
        </w:rPr>
        <w:t>extent</w:t>
      </w:r>
      <w:r w:rsidRPr="003F2E2C">
        <w:rPr>
          <w:rFonts w:ascii="Times New Roman" w:hAnsi="Times New Roman" w:cs="Times New Roman"/>
          <w:sz w:val="24"/>
          <w:szCs w:val="24"/>
        </w:rPr>
        <w:t xml:space="preserve"> has no significant relationship with their expectations. Recently, Fogarty and Goldwater (2011) investigatin</w:t>
      </w:r>
      <w:r w:rsidR="0073339A" w:rsidRPr="003F2E2C">
        <w:rPr>
          <w:rFonts w:ascii="Times New Roman" w:hAnsi="Times New Roman" w:cs="Times New Roman"/>
          <w:sz w:val="24"/>
          <w:szCs w:val="24"/>
        </w:rPr>
        <w:t xml:space="preserve">g </w:t>
      </w:r>
      <w:r w:rsidRPr="003F2E2C">
        <w:rPr>
          <w:rFonts w:ascii="Times New Roman" w:hAnsi="Times New Roman" w:cs="Times New Roman"/>
          <w:sz w:val="24"/>
          <w:szCs w:val="24"/>
        </w:rPr>
        <w:t>academic attitude (ef</w:t>
      </w:r>
      <w:r w:rsidR="0073339A" w:rsidRPr="003F2E2C">
        <w:rPr>
          <w:rFonts w:ascii="Times New Roman" w:hAnsi="Times New Roman" w:cs="Times New Roman"/>
          <w:sz w:val="24"/>
          <w:szCs w:val="24"/>
        </w:rPr>
        <w:t xml:space="preserve">fort) and achievement </w:t>
      </w:r>
      <w:r w:rsidRPr="003F2E2C">
        <w:rPr>
          <w:rFonts w:ascii="Times New Roman" w:hAnsi="Times New Roman" w:cs="Times New Roman"/>
          <w:sz w:val="24"/>
          <w:szCs w:val="24"/>
        </w:rPr>
        <w:t>between males and females concluded that where effort is not explicitly rewarded in the academic environment, it does not make any difference. Duff and Mladenovic (2015) developed a cluster analytic approach to examine the antecedents and consequences of learning approaches by accounting students in Australia.  Their results indicate</w:t>
      </w:r>
      <w:r w:rsidR="00CE7938" w:rsidRPr="003F2E2C">
        <w:rPr>
          <w:rFonts w:ascii="Times New Roman" w:hAnsi="Times New Roman" w:cs="Times New Roman"/>
          <w:sz w:val="24"/>
          <w:szCs w:val="24"/>
        </w:rPr>
        <w:t>d</w:t>
      </w:r>
      <w:r w:rsidRPr="003F2E2C">
        <w:rPr>
          <w:rFonts w:ascii="Times New Roman" w:hAnsi="Times New Roman" w:cs="Times New Roman"/>
          <w:sz w:val="24"/>
          <w:szCs w:val="24"/>
        </w:rPr>
        <w:t xml:space="preserve"> that imposition of accounting on students have</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negative</w:t>
      </w:r>
      <w:r w:rsidRPr="003F2E2C">
        <w:rPr>
          <w:rFonts w:ascii="Times New Roman" w:hAnsi="Times New Roman" w:cs="Times New Roman"/>
          <w:sz w:val="24"/>
          <w:szCs w:val="24"/>
        </w:rPr>
        <w:t xml:space="preserve"> effect on the learning approach and interest. Where the learner has no input in the decision to study accounting he/she may become detached from the subject which negatively affects their performance</w:t>
      </w:r>
    </w:p>
    <w:p w14:paraId="5F33B99D" w14:textId="36B4EAE2" w:rsidR="00583DA3" w:rsidRPr="003F2E2C" w:rsidRDefault="0013597C" w:rsidP="00601C0D">
      <w:pPr>
        <w:autoSpaceDE w:val="0"/>
        <w:autoSpaceDN w:val="0"/>
        <w:adjustRightInd w:val="0"/>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It is evidenced from the preceding literature that there has been a number of studies investigating the performance of accounting students, however, most of these studies are from developed countries with very little known about the determinants of accounting students’ performance in developing countries such as Ghana. </w:t>
      </w:r>
      <w:r w:rsidR="00D15817" w:rsidRPr="003F2E2C">
        <w:rPr>
          <w:rFonts w:ascii="Times New Roman" w:hAnsi="Times New Roman" w:cs="Times New Roman"/>
          <w:sz w:val="24"/>
          <w:szCs w:val="24"/>
        </w:rPr>
        <w:t>It must be noted that in spite of the influx of foreign students in western universities</w:t>
      </w:r>
      <w:r w:rsidR="008E3BC1" w:rsidRPr="003F2E2C">
        <w:rPr>
          <w:rFonts w:ascii="Times New Roman" w:hAnsi="Times New Roman" w:cs="Times New Roman"/>
          <w:sz w:val="24"/>
          <w:szCs w:val="24"/>
        </w:rPr>
        <w:t>,</w:t>
      </w:r>
      <w:r w:rsidR="00D15817" w:rsidRPr="003F2E2C">
        <w:rPr>
          <w:rFonts w:ascii="Times New Roman" w:hAnsi="Times New Roman" w:cs="Times New Roman"/>
          <w:sz w:val="24"/>
          <w:szCs w:val="24"/>
        </w:rPr>
        <w:t xml:space="preserve"> the institutional policies and arrangements are guided by national regulations and culture (</w:t>
      </w:r>
      <w:r w:rsidR="00124A42" w:rsidRPr="003F2E2C">
        <w:rPr>
          <w:rFonts w:ascii="Times New Roman" w:hAnsi="Times New Roman" w:cs="Times New Roman"/>
          <w:sz w:val="24"/>
          <w:szCs w:val="24"/>
        </w:rPr>
        <w:t>Clarke, Yang, &amp; Harmon, 2018</w:t>
      </w:r>
      <w:r w:rsidR="00D15817" w:rsidRPr="003F2E2C">
        <w:rPr>
          <w:rFonts w:ascii="Times New Roman" w:hAnsi="Times New Roman" w:cs="Times New Roman"/>
          <w:sz w:val="24"/>
          <w:szCs w:val="24"/>
        </w:rPr>
        <w:t>). Foreign students are expected in all cases to rather adjust to the socio-cultural settings which are noted to affect their academic performance. Kelly and Moogan (2012) opined that international students do experience culture shock. Tay (1994) noted that even though most developing countries inherited their educational system from the west, their culture is still much more traditional and conservative than most western democracies. The relationship between student and teacher is mostly one way which may result in a different student-instructor effect on learning and performance</w:t>
      </w:r>
      <w:r w:rsidR="008E3BC1" w:rsidRPr="003F2E2C">
        <w:rPr>
          <w:rFonts w:ascii="Times New Roman" w:hAnsi="Times New Roman" w:cs="Times New Roman"/>
          <w:sz w:val="24"/>
          <w:szCs w:val="24"/>
        </w:rPr>
        <w:t xml:space="preserve"> than what prevails in the west</w:t>
      </w:r>
      <w:r w:rsidR="00D15817" w:rsidRPr="003F2E2C">
        <w:rPr>
          <w:rFonts w:ascii="Times New Roman" w:hAnsi="Times New Roman" w:cs="Times New Roman"/>
          <w:sz w:val="24"/>
          <w:szCs w:val="24"/>
        </w:rPr>
        <w:t>.</w:t>
      </w:r>
      <w:r w:rsidR="007D7652" w:rsidRPr="003F2E2C">
        <w:rPr>
          <w:rFonts w:ascii="AdvPSPLT" w:hAnsi="AdvPSPLT" w:cs="AdvPSPLT"/>
          <w:lang w:val="en-US"/>
        </w:rPr>
        <w:t xml:space="preserve"> </w:t>
      </w:r>
      <w:r w:rsidR="007D7652" w:rsidRPr="003F2E2C">
        <w:rPr>
          <w:rFonts w:ascii="Times New Roman" w:hAnsi="Times New Roman" w:cs="Times New Roman"/>
          <w:sz w:val="24"/>
          <w:szCs w:val="24"/>
          <w:lang w:val="en-US"/>
        </w:rPr>
        <w:t>A</w:t>
      </w:r>
      <w:r w:rsidR="001802A9" w:rsidRPr="003F2E2C">
        <w:rPr>
          <w:rFonts w:ascii="Times New Roman" w:hAnsi="Times New Roman" w:cs="Times New Roman"/>
          <w:sz w:val="24"/>
          <w:szCs w:val="24"/>
          <w:lang w:val="en-US"/>
        </w:rPr>
        <w:t xml:space="preserve"> study by </w:t>
      </w:r>
      <w:r w:rsidR="007D7652" w:rsidRPr="003F2E2C">
        <w:rPr>
          <w:rFonts w:ascii="Times New Roman" w:hAnsi="Times New Roman" w:cs="Times New Roman"/>
          <w:sz w:val="24"/>
          <w:szCs w:val="24"/>
          <w:lang w:val="en-US"/>
        </w:rPr>
        <w:t xml:space="preserve">Ofori-Attah (2006) on curriculum development and cultural context in some Africa countries including Ghana indicated </w:t>
      </w:r>
      <w:r w:rsidR="006B28A9" w:rsidRPr="003F2E2C">
        <w:rPr>
          <w:rFonts w:ascii="Times New Roman" w:hAnsi="Times New Roman" w:cs="Times New Roman"/>
          <w:sz w:val="24"/>
          <w:szCs w:val="24"/>
          <w:lang w:val="en-US"/>
        </w:rPr>
        <w:t xml:space="preserve">that </w:t>
      </w:r>
      <w:r w:rsidR="007D7652" w:rsidRPr="003F2E2C">
        <w:rPr>
          <w:rFonts w:ascii="Times New Roman" w:hAnsi="Times New Roman" w:cs="Times New Roman"/>
          <w:sz w:val="24"/>
          <w:szCs w:val="24"/>
          <w:lang w:val="en-US"/>
        </w:rPr>
        <w:t>the educational system is much autonomous from their colonialists and incorporates autochthonal culture elements. Gervedink et al. (2013) examining the influence of culture in curriculum development in a tertiary institution in Ghana found that development of curriculum activities was strongly affected by national culture. The relevance of contextual analysis and cultural understanding for successful curriculum development and implementation has been alluded to by several authors (Kealey et al.</w:t>
      </w:r>
      <w:r w:rsidR="00FD523D" w:rsidRPr="003F2E2C">
        <w:rPr>
          <w:rFonts w:ascii="Times New Roman" w:hAnsi="Times New Roman" w:cs="Times New Roman"/>
          <w:sz w:val="24"/>
          <w:szCs w:val="24"/>
          <w:lang w:val="en-US"/>
        </w:rPr>
        <w:t>,</w:t>
      </w:r>
      <w:r w:rsidR="00260621" w:rsidRPr="003F2E2C">
        <w:rPr>
          <w:rFonts w:ascii="Times New Roman" w:hAnsi="Times New Roman" w:cs="Times New Roman"/>
          <w:sz w:val="24"/>
          <w:szCs w:val="24"/>
          <w:lang w:val="en-US"/>
        </w:rPr>
        <w:t xml:space="preserve"> 2005; Rogan &amp; Aldous 2005; Chisholm &amp; </w:t>
      </w:r>
      <w:r w:rsidR="007D7652" w:rsidRPr="003F2E2C">
        <w:rPr>
          <w:rFonts w:ascii="Times New Roman" w:hAnsi="Times New Roman" w:cs="Times New Roman"/>
          <w:sz w:val="24"/>
          <w:szCs w:val="24"/>
          <w:lang w:val="en-US"/>
        </w:rPr>
        <w:t>Leyendecker 2008; Gervedink et al., 2013). Gervedink et al. (2013) noted that curriculum development influence changes in the educational system which affects students’ learning and performance.</w:t>
      </w:r>
      <w:r w:rsidR="00D15817"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Also, the results have been largely mixed. This may be due to a number of reasons, such as differences in the educational system and significant </w:t>
      </w:r>
      <w:r w:rsidR="006024B9" w:rsidRPr="003F2E2C">
        <w:rPr>
          <w:rFonts w:ascii="Times New Roman" w:hAnsi="Times New Roman" w:cs="Times New Roman"/>
          <w:sz w:val="24"/>
          <w:szCs w:val="24"/>
        </w:rPr>
        <w:t>socio-</w:t>
      </w:r>
      <w:r w:rsidRPr="003F2E2C">
        <w:rPr>
          <w:rFonts w:ascii="Times New Roman" w:hAnsi="Times New Roman" w:cs="Times New Roman"/>
          <w:sz w:val="24"/>
          <w:szCs w:val="24"/>
        </w:rPr>
        <w:t>cultural differences between students as a result of differences in the environmental settings. Again, the simultaneous examination of the determinants of accounting students' performance at the secondary and tertiary levels has not been the focus of prior studies. Given the importance of accountants in developing countries' economies, it is important that such studies are extended to developing countries</w:t>
      </w:r>
      <w:r w:rsidR="006024B9" w:rsidRPr="003F2E2C">
        <w:rPr>
          <w:rFonts w:ascii="Times New Roman" w:hAnsi="Times New Roman" w:cs="Times New Roman"/>
          <w:sz w:val="24"/>
          <w:szCs w:val="24"/>
        </w:rPr>
        <w:t>’</w:t>
      </w:r>
      <w:r w:rsidRPr="003F2E2C">
        <w:rPr>
          <w:rFonts w:ascii="Times New Roman" w:hAnsi="Times New Roman" w:cs="Times New Roman"/>
          <w:sz w:val="24"/>
          <w:szCs w:val="24"/>
        </w:rPr>
        <w:t xml:space="preserve"> environment.</w:t>
      </w:r>
    </w:p>
    <w:p w14:paraId="0CD11A8E" w14:textId="77777777" w:rsidR="00583DA3" w:rsidRPr="003F2E2C" w:rsidRDefault="00583DA3" w:rsidP="008639A7">
      <w:pPr>
        <w:autoSpaceDE w:val="0"/>
        <w:autoSpaceDN w:val="0"/>
        <w:adjustRightInd w:val="0"/>
        <w:spacing w:after="0" w:line="360" w:lineRule="auto"/>
        <w:jc w:val="both"/>
        <w:rPr>
          <w:rFonts w:ascii="Times New Roman" w:hAnsi="Times New Roman" w:cs="Times New Roman"/>
          <w:sz w:val="24"/>
          <w:szCs w:val="24"/>
        </w:rPr>
      </w:pPr>
    </w:p>
    <w:p w14:paraId="2198DA57" w14:textId="534FCBD9" w:rsidR="006024B9" w:rsidRPr="003F2E2C" w:rsidRDefault="0013597C" w:rsidP="008639A7">
      <w:pPr>
        <w:autoSpaceDE w:val="0"/>
        <w:autoSpaceDN w:val="0"/>
        <w:adjustRightInd w:val="0"/>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3</w:t>
      </w:r>
      <w:r w:rsidR="00157C27" w:rsidRPr="003F2E2C">
        <w:rPr>
          <w:rFonts w:ascii="Times New Roman" w:hAnsi="Times New Roman" w:cs="Times New Roman"/>
          <w:i/>
          <w:sz w:val="24"/>
          <w:szCs w:val="24"/>
        </w:rPr>
        <w:t>.2</w:t>
      </w:r>
      <w:r w:rsidRPr="003F2E2C">
        <w:rPr>
          <w:rFonts w:ascii="Times New Roman" w:hAnsi="Times New Roman" w:cs="Times New Roman"/>
          <w:i/>
          <w:sz w:val="24"/>
          <w:szCs w:val="24"/>
        </w:rPr>
        <w:t xml:space="preserve"> Hypotheses development</w:t>
      </w:r>
    </w:p>
    <w:p w14:paraId="1FC15F27" w14:textId="0B58E2B6" w:rsidR="00181729" w:rsidRPr="003F2E2C" w:rsidRDefault="0013597C" w:rsidP="008E0E3E">
      <w:pPr>
        <w:autoSpaceDE w:val="0"/>
        <w:autoSpaceDN w:val="0"/>
        <w:adjustRightInd w:val="0"/>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 xml:space="preserve">3.2.1 </w:t>
      </w:r>
      <w:r w:rsidR="003337E7" w:rsidRPr="003F2E2C">
        <w:rPr>
          <w:rFonts w:ascii="Times New Roman" w:hAnsi="Times New Roman" w:cs="Times New Roman"/>
          <w:i/>
          <w:sz w:val="24"/>
          <w:szCs w:val="24"/>
        </w:rPr>
        <w:t xml:space="preserve">Expectation </w:t>
      </w:r>
    </w:p>
    <w:p w14:paraId="3A123E7F" w14:textId="5031511D" w:rsidR="004A2361" w:rsidRPr="003F2E2C" w:rsidRDefault="0013597C" w:rsidP="00601C0D">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GB"/>
        </w:rPr>
      </w:pPr>
      <w:r w:rsidRPr="003F2E2C">
        <w:rPr>
          <w:rFonts w:ascii="Times New Roman" w:eastAsia="Times New Roman" w:hAnsi="Times New Roman" w:cs="Times New Roman"/>
          <w:sz w:val="24"/>
          <w:szCs w:val="24"/>
          <w:lang w:eastAsia="en-GB"/>
        </w:rPr>
        <w:t>Existing literature indicates that expectation may be associated with academic performance</w:t>
      </w:r>
      <w:r w:rsidR="00A0798A" w:rsidRPr="003F2E2C">
        <w:rPr>
          <w:rFonts w:ascii="Times New Roman" w:eastAsia="Times New Roman" w:hAnsi="Times New Roman" w:cs="Times New Roman"/>
          <w:sz w:val="24"/>
          <w:szCs w:val="24"/>
          <w:lang w:eastAsia="en-GB"/>
        </w:rPr>
        <w:t xml:space="preserve"> because it shapes how students</w:t>
      </w:r>
      <w:r w:rsidRPr="003F2E2C">
        <w:rPr>
          <w:rFonts w:ascii="Times New Roman" w:eastAsia="Times New Roman" w:hAnsi="Times New Roman" w:cs="Times New Roman"/>
          <w:sz w:val="24"/>
          <w:szCs w:val="24"/>
          <w:lang w:eastAsia="en-GB"/>
        </w:rPr>
        <w:t xml:space="preserve"> respond to their studies and the new environment. The basis for such result is that expectation helps the development of new skills necessary in any new endeavour/environment to overcome </w:t>
      </w:r>
      <w:r w:rsidRPr="003F2E2C">
        <w:rPr>
          <w:rFonts w:ascii="Times New Roman" w:eastAsia="Times New Roman" w:hAnsi="Times New Roman" w:cs="Times New Roman"/>
          <w:noProof/>
          <w:sz w:val="24"/>
          <w:szCs w:val="24"/>
          <w:lang w:eastAsia="en-GB"/>
        </w:rPr>
        <w:t>challenge</w:t>
      </w:r>
      <w:r w:rsidR="00272EF8" w:rsidRPr="003F2E2C">
        <w:rPr>
          <w:rFonts w:ascii="Times New Roman" w:eastAsia="Times New Roman" w:hAnsi="Times New Roman" w:cs="Times New Roman"/>
          <w:noProof/>
          <w:sz w:val="24"/>
          <w:szCs w:val="24"/>
          <w:lang w:eastAsia="en-GB"/>
        </w:rPr>
        <w:t>s</w:t>
      </w:r>
      <w:r w:rsidRPr="003F2E2C">
        <w:rPr>
          <w:rFonts w:ascii="Times New Roman" w:eastAsia="Times New Roman" w:hAnsi="Times New Roman" w:cs="Times New Roman"/>
          <w:sz w:val="24"/>
          <w:szCs w:val="24"/>
          <w:lang w:eastAsia="en-GB"/>
        </w:rPr>
        <w:t xml:space="preserve"> which may serve as impediments to success (</w:t>
      </w:r>
      <w:r w:rsidR="009839FA" w:rsidRPr="003F2E2C">
        <w:rPr>
          <w:rFonts w:ascii="Times New Roman" w:eastAsia="Times New Roman" w:hAnsi="Times New Roman" w:cs="Times New Roman"/>
          <w:sz w:val="24"/>
          <w:szCs w:val="24"/>
          <w:lang w:eastAsia="en-GB"/>
        </w:rPr>
        <w:t>Gib</w:t>
      </w:r>
      <w:r w:rsidR="006B28A9" w:rsidRPr="003F2E2C">
        <w:rPr>
          <w:rFonts w:ascii="Times New Roman" w:eastAsia="Times New Roman" w:hAnsi="Times New Roman" w:cs="Times New Roman"/>
          <w:sz w:val="24"/>
          <w:szCs w:val="24"/>
          <w:lang w:eastAsia="en-GB"/>
        </w:rPr>
        <w:t>ney et al.</w:t>
      </w:r>
      <w:r w:rsidRPr="003F2E2C">
        <w:rPr>
          <w:rFonts w:ascii="Times New Roman" w:eastAsia="Times New Roman" w:hAnsi="Times New Roman" w:cs="Times New Roman"/>
          <w:sz w:val="24"/>
          <w:szCs w:val="24"/>
          <w:lang w:eastAsia="en-GB"/>
        </w:rPr>
        <w:fldChar w:fldCharType="begin" w:fldLock="1"/>
      </w:r>
      <w:r w:rsidRPr="003F2E2C">
        <w:rPr>
          <w:rFonts w:ascii="Times New Roman" w:eastAsia="Times New Roman" w:hAnsi="Times New Roman" w:cs="Times New Roman"/>
          <w:sz w:val="24"/>
          <w:szCs w:val="24"/>
          <w:lang w:eastAsia="en-GB"/>
        </w:rPr>
        <w:instrText>ADDIN CSL_CITATION { "citationItems" : [ { "id" : "ITEM-1", "itemData" : { "DOI" : "10.1007/s10734-010-9392-9", "ISBN" : "0018-1560", "ISSN" : "00181560", "abstract" : "This paper reports on an Irish study examining first year students\u2019 recollections of their concerns, motivations, level of preparedness and perceived skills on entry to university. The study aims to investigate and understand the implications of the attitudes of first year students as they make the transition to university. It also explores students\u2019 behaviour during their initial weeks at university. It is important to understand the anxieties of new students, their views on their abilities and their confidence in managing their new role as these factors will have consequences for their experience as first year university students. These findings are explored with a view to enhancing the quality of support for students during this key transition.", "author" : [ { "dropping-particle" : "", "family" : "Gibney", "given" : "Amanda", "non-dropping-particle" : "", "parse-names" : false, "suffix" : "" }, { "dropping-particle" : "", "family" : "Moore", "given" : "Niamh", "non-dropping-particle" : "", "parse-names" : false, "suffix" : "" }, { "dropping-particle" : "", "family" : "Murphy", "given" : "Feargal", "non-dropping-particle" : "", "parse-names" : false, "suffix" : "" }, { "dropping-particle" : "", "family" : "O'Sullivan", "given" : "Sara", "non-dropping-particle" : "", "parse-names" : false, "suffix" : "" } ], "container-title" : "Higher Education", "id" : "ITEM-1", "issue" : "3", "issued" : { "date-parts" : [ [ "2011" ] ] }, "page" : "351-366", "title" : "The first semester of university life; 'will I be able to manage it at all?'", "type" : "article-journal", "volume" : "62" }, "uris" : [ "http://www.mendeley.com/documents/?uuid=1d5a1856-f327-46da-9820-a5ea5ee35530" ] } ], "mendeley" : { "formattedCitation" : "(Gibney &lt;i&gt;et al.&lt;/i&gt;, 2011)", "manualFormatting" : "Gibney et al. (2011)", "plainTextFormattedCitation" : "(Gibney et al., 2011)", "previouslyFormattedCitation" : "(Gibney &lt;i&gt;et al.&lt;/i&gt;, 2011)" }, "properties" : { "noteIndex" : 0 }, "schema" : "https://github.com/citation-style-language/schema/raw/master/csl-citation.json" }</w:instrText>
      </w:r>
      <w:r w:rsidRPr="003F2E2C">
        <w:rPr>
          <w:rFonts w:ascii="Times New Roman" w:eastAsia="Times New Roman" w:hAnsi="Times New Roman" w:cs="Times New Roman"/>
          <w:sz w:val="24"/>
          <w:szCs w:val="24"/>
          <w:lang w:eastAsia="en-GB"/>
        </w:rPr>
        <w:fldChar w:fldCharType="separate"/>
      </w:r>
      <w:r w:rsidRPr="003F2E2C">
        <w:rPr>
          <w:rFonts w:ascii="Times New Roman" w:eastAsia="Times New Roman" w:hAnsi="Times New Roman" w:cs="Times New Roman"/>
          <w:sz w:val="24"/>
          <w:szCs w:val="24"/>
          <w:lang w:eastAsia="en-GB"/>
        </w:rPr>
        <w:t>, 2011)</w:t>
      </w:r>
      <w:r w:rsidRPr="003F2E2C">
        <w:rPr>
          <w:rFonts w:ascii="Times New Roman" w:eastAsia="Times New Roman" w:hAnsi="Times New Roman" w:cs="Times New Roman"/>
          <w:sz w:val="24"/>
          <w:szCs w:val="24"/>
          <w:lang w:eastAsia="en-GB"/>
        </w:rPr>
        <w:fldChar w:fldCharType="end"/>
      </w:r>
      <w:r w:rsidR="00A0798A" w:rsidRPr="003F2E2C">
        <w:rPr>
          <w:rFonts w:ascii="Times New Roman" w:eastAsia="Times New Roman" w:hAnsi="Times New Roman" w:cs="Times New Roman"/>
          <w:sz w:val="24"/>
          <w:szCs w:val="24"/>
          <w:lang w:eastAsia="en-GB"/>
        </w:rPr>
        <w:t>. Students’ academic</w:t>
      </w:r>
      <w:r w:rsidRPr="003F2E2C">
        <w:rPr>
          <w:rFonts w:ascii="Times New Roman" w:eastAsia="Times New Roman" w:hAnsi="Times New Roman" w:cs="Times New Roman"/>
          <w:sz w:val="24"/>
          <w:szCs w:val="24"/>
          <w:lang w:eastAsia="en-GB"/>
        </w:rPr>
        <w:t xml:space="preserve"> career, social pressure, political engagement, </w:t>
      </w:r>
      <w:r w:rsidR="00282667" w:rsidRPr="003F2E2C">
        <w:rPr>
          <w:rFonts w:ascii="Times New Roman" w:eastAsia="Times New Roman" w:hAnsi="Times New Roman" w:cs="Times New Roman"/>
          <w:sz w:val="24"/>
          <w:szCs w:val="24"/>
          <w:lang w:eastAsia="en-GB"/>
        </w:rPr>
        <w:t xml:space="preserve">and </w:t>
      </w:r>
      <w:r w:rsidRPr="003F2E2C">
        <w:rPr>
          <w:rFonts w:ascii="Times New Roman" w:eastAsia="Times New Roman" w:hAnsi="Times New Roman" w:cs="Times New Roman"/>
          <w:sz w:val="24"/>
          <w:szCs w:val="24"/>
          <w:lang w:eastAsia="en-GB"/>
        </w:rPr>
        <w:t>personal and social development expectations may serve to motivate them to achieve success in higher education (Rawson</w:t>
      </w:r>
      <w:r w:rsidR="00C51747" w:rsidRPr="003F2E2C">
        <w:rPr>
          <w:rFonts w:ascii="Times New Roman" w:eastAsia="Times New Roman" w:hAnsi="Times New Roman" w:cs="Times New Roman"/>
          <w:sz w:val="24"/>
          <w:szCs w:val="24"/>
          <w:lang w:eastAsia="en-GB"/>
        </w:rPr>
        <w:t>,</w:t>
      </w:r>
      <w:r w:rsidRPr="003F2E2C">
        <w:rPr>
          <w:rFonts w:ascii="Times New Roman" w:eastAsia="Times New Roman" w:hAnsi="Times New Roman" w:cs="Times New Roman"/>
          <w:sz w:val="24"/>
          <w:szCs w:val="24"/>
          <w:lang w:eastAsia="en-GB"/>
        </w:rPr>
        <w:t xml:space="preserve"> 2000;</w:t>
      </w:r>
      <w:r w:rsidR="00C51747" w:rsidRPr="003F2E2C">
        <w:rPr>
          <w:rFonts w:ascii="Times New Roman" w:eastAsia="Times New Roman" w:hAnsi="Times New Roman" w:cs="Times New Roman"/>
          <w:sz w:val="24"/>
          <w:szCs w:val="24"/>
          <w:lang w:eastAsia="en-GB"/>
        </w:rPr>
        <w:t xml:space="preserve"> </w:t>
      </w:r>
      <w:r w:rsidR="00FE46A8" w:rsidRPr="003F2E2C">
        <w:rPr>
          <w:rFonts w:ascii="Times New Roman" w:eastAsia="Times New Roman" w:hAnsi="Times New Roman" w:cs="Times New Roman"/>
          <w:sz w:val="24"/>
          <w:szCs w:val="24"/>
          <w:lang w:eastAsia="en-GB"/>
        </w:rPr>
        <w:t>Byrne &amp;</w:t>
      </w:r>
      <w:r w:rsidRPr="003F2E2C">
        <w:rPr>
          <w:rFonts w:ascii="Times New Roman" w:eastAsia="Times New Roman" w:hAnsi="Times New Roman" w:cs="Times New Roman"/>
          <w:sz w:val="24"/>
          <w:szCs w:val="24"/>
          <w:lang w:eastAsia="en-GB"/>
        </w:rPr>
        <w:t xml:space="preserve"> Flood</w:t>
      </w:r>
      <w:r w:rsidR="00C51747" w:rsidRPr="003F2E2C">
        <w:rPr>
          <w:rFonts w:ascii="Times New Roman" w:eastAsia="Times New Roman" w:hAnsi="Times New Roman" w:cs="Times New Roman"/>
          <w:sz w:val="24"/>
          <w:szCs w:val="24"/>
          <w:lang w:eastAsia="en-GB"/>
        </w:rPr>
        <w:t>,</w:t>
      </w:r>
      <w:r w:rsidRPr="003F2E2C">
        <w:rPr>
          <w:rFonts w:ascii="Times New Roman" w:eastAsia="Times New Roman" w:hAnsi="Times New Roman" w:cs="Times New Roman"/>
          <w:sz w:val="24"/>
          <w:szCs w:val="24"/>
          <w:lang w:eastAsia="en-GB"/>
        </w:rPr>
        <w:t xml:space="preserve"> 2005; </w:t>
      </w:r>
      <w:r w:rsidRPr="003F2E2C">
        <w:rPr>
          <w:rFonts w:ascii="Times New Roman" w:eastAsia="Times New Roman" w:hAnsi="Times New Roman" w:cs="Times New Roman"/>
          <w:sz w:val="24"/>
          <w:szCs w:val="24"/>
          <w:lang w:eastAsia="en-GB"/>
        </w:rPr>
        <w:fldChar w:fldCharType="begin" w:fldLock="1"/>
      </w:r>
      <w:r w:rsidRPr="003F2E2C">
        <w:rPr>
          <w:rFonts w:ascii="Times New Roman" w:eastAsia="Times New Roman" w:hAnsi="Times New Roman" w:cs="Times New Roman"/>
          <w:sz w:val="24"/>
          <w:szCs w:val="24"/>
          <w:lang w:eastAsia="en-GB"/>
        </w:rPr>
        <w:instrText>ADDIN CSL_CITATION { "citationItems" : [ { "id" : "ITEM-1", "itemData" : { "DOI" : "10.6018/analesps.31.1.161641", "ISSN" : "16952294", "abstract" : "This paper aims to test the psychometric validity and reliability of a measure of first-year university students\u2019 expectations, based on a multidimensional conception of expectations. The sample consisted of 759 first-year students, attending various academic degrees at the Universities of Vigo-Ourense and University of Minho. The value Mdn age was 19, with only 5.3% with ages above 23 years. Participants answered a set of 56 items based on seven different dimensions of expectations. Results of confirmatory factor analysis, were carried out with LISREL. Factorial validity, and factors\u2019 convergent and discriminant validity were assured. These results, along with evidences reliability, suggest that the Academic Perceptions Questionnaire presents a final structure composed of seven expectation dimensions, including 42 items: Training for employment/career, Personal and social development, Student mobility, Political and citizenship involvement, Social pressure, Quality of education, and Social interaction. The equivalence of measurement model in the two languages and in two groups randomly derived from the full sample was also verified. The results of this structural validity study support the assessment of the expectations of first-year students in Higher Education with the questionnaire.", "author" : [ { "dropping-particle" : "", "family" : "Dea\u00f1o", "given" : "Manuel", "non-dropping-particle" : "", "parse-names" : false, "suffix" : "" }, { "dropping-particle" : "", "family" : "Diniz", "given" : "Antonio M.", "non-dropping-particle" : "", "parse-names" : false, "suffix" : "" }, { "dropping-particle" : "", "family" : "Almeida", "given" : "Leandro S.", "non-dropping-particle" : "", "parse-names" : false, "suffix" : "" }, { "dropping-particle" : "", "family" : "Alfonso", "given" : "Sonia", "non-dropping-particle" : "", "parse-names" : false, "suffix" : "" }, { "dropping-particle" : "", "family" : "Costa", "given" : "Alexandra R.", "non-dropping-particle" : "", "parse-names" : false, "suffix" : "" }, { "dropping-particle" : "", "family" : "Garc\u00eda-Se\u00f1or\u00e1n", "given" : "Mar", "non-dropping-particle" : "", "parse-names" : false, "suffix" : "" }, { "dropping-particle" : "", "family" : "Conde", "given" : "\u00c1ngeles", "non-dropping-particle" : "", "parse-names" : false, "suffix" : "" }, { "dropping-particle" : "", "family" : "Araujo", "given" : "Alexandra M.", "non-dropping-particle" : "", "parse-names" : false, "suffix" : "" }, { "dropping-particle" : "", "family" : "Iglesias-Sarmiento", "given" : "Valent\u00edn", "non-dropping-particle" : "", "parse-names" : false, "suffix" : "" }, { "dropping-particle" : "", "family" : "Gon\u00e7alves", "given" : "Paula", "non-dropping-particle" : "", "parse-names" : false, "suffix" : "" }, { "dropping-particle" : "", "family" : "Tellado", "given" : "Fernando", "non-dropping-particle" : "", "parse-names" : false, "suffix" : "" } ], "container-title" : "Anales de Psicologia", "id" : "ITEM-1", "issue" : "1", "issued" : { "date-parts" : [ [ "2015" ] ] }, "page" : "280-289", "title" : "Propiedades psicom??tricas del cuestionario de percepciones acad??micas para la evaluaci??n de las expectativas de los estudiantes de primer a??o en ense??anza superior", "type" : "article-journal", "volume" : "31" }, "uris" : [ "http://www.mendeley.com/documents/?uuid=c72961eb-f5e7-4195-9596-58c82022597d" ] } ], "mendeley" : { "formattedCitation" : "(Dea\u00f1o &lt;i&gt;et al.&lt;/i&gt;, 2015)", "plainTextFormattedCitation" : "(Dea\u00f1o et al., 2015)", "previouslyFormattedCitation" : "(Dea\u00f1o &lt;i&gt;et al.&lt;/i&gt;, 2015)" }, "properties" : { "noteIndex" : 0 }, "schema" : "https://github.com/citation-style-language/schema/raw/master/csl-citation.json" }</w:instrText>
      </w:r>
      <w:r w:rsidRPr="003F2E2C">
        <w:rPr>
          <w:rFonts w:ascii="Times New Roman" w:eastAsia="Times New Roman" w:hAnsi="Times New Roman" w:cs="Times New Roman"/>
          <w:sz w:val="24"/>
          <w:szCs w:val="24"/>
          <w:lang w:eastAsia="en-GB"/>
        </w:rPr>
        <w:fldChar w:fldCharType="separate"/>
      </w:r>
      <w:r w:rsidRPr="003F2E2C">
        <w:rPr>
          <w:rFonts w:ascii="Times New Roman" w:eastAsia="Times New Roman" w:hAnsi="Times New Roman" w:cs="Times New Roman"/>
          <w:sz w:val="24"/>
          <w:szCs w:val="24"/>
          <w:lang w:eastAsia="en-GB"/>
        </w:rPr>
        <w:t>Deaño et al., 2015)</w:t>
      </w:r>
      <w:r w:rsidRPr="003F2E2C">
        <w:rPr>
          <w:rFonts w:ascii="Times New Roman" w:eastAsia="Times New Roman" w:hAnsi="Times New Roman" w:cs="Times New Roman"/>
          <w:sz w:val="24"/>
          <w:szCs w:val="24"/>
          <w:lang w:eastAsia="en-GB"/>
        </w:rPr>
        <w:fldChar w:fldCharType="end"/>
      </w:r>
      <w:r w:rsidRPr="003F2E2C">
        <w:rPr>
          <w:rFonts w:ascii="Times New Roman" w:eastAsia="Times New Roman" w:hAnsi="Times New Roman" w:cs="Times New Roman"/>
          <w:sz w:val="24"/>
          <w:szCs w:val="24"/>
          <w:lang w:eastAsia="en-GB"/>
        </w:rPr>
        <w:t xml:space="preserve">. Students’ </w:t>
      </w:r>
      <w:r w:rsidRPr="003F2E2C">
        <w:rPr>
          <w:rFonts w:ascii="Times New Roman" w:eastAsia="Times New Roman" w:hAnsi="Times New Roman" w:cs="Times New Roman"/>
          <w:noProof/>
          <w:sz w:val="24"/>
          <w:szCs w:val="24"/>
          <w:lang w:eastAsia="en-GB"/>
        </w:rPr>
        <w:t>expectations</w:t>
      </w:r>
      <w:r w:rsidR="00272EF8" w:rsidRPr="003F2E2C">
        <w:rPr>
          <w:rFonts w:ascii="Times New Roman" w:eastAsia="Times New Roman" w:hAnsi="Times New Roman" w:cs="Times New Roman"/>
          <w:noProof/>
          <w:sz w:val="24"/>
          <w:szCs w:val="24"/>
          <w:lang w:eastAsia="en-GB"/>
        </w:rPr>
        <w:t>, therefore</w:t>
      </w:r>
      <w:r w:rsidRPr="003F2E2C">
        <w:rPr>
          <w:rFonts w:ascii="Times New Roman" w:eastAsia="Times New Roman" w:hAnsi="Times New Roman" w:cs="Times New Roman"/>
          <w:sz w:val="24"/>
          <w:szCs w:val="24"/>
          <w:lang w:eastAsia="en-GB"/>
        </w:rPr>
        <w:t xml:space="preserve">, increase their investment in their learning (Diniz et al., 2016). This is consistent with </w:t>
      </w:r>
      <w:r w:rsidR="00282667" w:rsidRPr="003F2E2C">
        <w:rPr>
          <w:rFonts w:ascii="Times New Roman" w:eastAsia="Times New Roman" w:hAnsi="Times New Roman" w:cs="Times New Roman"/>
          <w:sz w:val="24"/>
          <w:szCs w:val="24"/>
          <w:lang w:eastAsia="en-GB"/>
        </w:rPr>
        <w:t xml:space="preserve">the suggestion by </w:t>
      </w:r>
      <w:r w:rsidRPr="003F2E2C">
        <w:rPr>
          <w:rFonts w:ascii="Times New Roman" w:eastAsia="Times New Roman" w:hAnsi="Times New Roman" w:cs="Times New Roman"/>
          <w:sz w:val="24"/>
          <w:szCs w:val="24"/>
          <w:lang w:eastAsia="en-GB"/>
        </w:rPr>
        <w:t xml:space="preserve">Marton and </w:t>
      </w:r>
      <w:r w:rsidR="0044213D" w:rsidRPr="003F2E2C">
        <w:rPr>
          <w:rFonts w:ascii="Times New Roman" w:eastAsia="Times New Roman" w:hAnsi="Times New Roman" w:cs="Times New Roman"/>
          <w:sz w:val="24"/>
          <w:szCs w:val="24"/>
          <w:lang w:eastAsia="en-GB"/>
        </w:rPr>
        <w:t>Saljo</w:t>
      </w:r>
      <w:r w:rsidRPr="003F2E2C">
        <w:rPr>
          <w:rFonts w:ascii="Times New Roman" w:eastAsia="Times New Roman" w:hAnsi="Times New Roman" w:cs="Times New Roman"/>
          <w:sz w:val="24"/>
          <w:szCs w:val="24"/>
          <w:lang w:eastAsia="en-GB"/>
        </w:rPr>
        <w:t xml:space="preserve"> (1976, p. 125</w:t>
      </w:r>
      <w:r w:rsidR="00C51747" w:rsidRPr="003F2E2C">
        <w:rPr>
          <w:rFonts w:ascii="Times New Roman" w:eastAsia="Times New Roman" w:hAnsi="Times New Roman" w:cs="Times New Roman"/>
          <w:sz w:val="24"/>
          <w:szCs w:val="24"/>
          <w:lang w:eastAsia="en-GB"/>
        </w:rPr>
        <w:t xml:space="preserve">) </w:t>
      </w:r>
      <w:r w:rsidR="00282667" w:rsidRPr="003F2E2C">
        <w:rPr>
          <w:rFonts w:ascii="Times New Roman" w:eastAsia="Times New Roman" w:hAnsi="Times New Roman" w:cs="Times New Roman"/>
          <w:sz w:val="24"/>
          <w:szCs w:val="24"/>
          <w:lang w:eastAsia="en-GB"/>
        </w:rPr>
        <w:t xml:space="preserve">that </w:t>
      </w:r>
      <w:r w:rsidRPr="003F2E2C">
        <w:rPr>
          <w:rFonts w:ascii="Times New Roman" w:eastAsia="Times New Roman" w:hAnsi="Times New Roman" w:cs="Times New Roman"/>
          <w:sz w:val="24"/>
          <w:szCs w:val="24"/>
          <w:lang w:eastAsia="en-GB"/>
        </w:rPr>
        <w:t xml:space="preserve">students adopt an approach determined by their expectations of what is required of them. </w:t>
      </w:r>
      <w:r w:rsidRPr="003F2E2C">
        <w:rPr>
          <w:rFonts w:ascii="Times New Roman" w:eastAsia="Times New Roman" w:hAnsi="Times New Roman" w:cs="Times New Roman"/>
          <w:noProof/>
          <w:sz w:val="24"/>
          <w:szCs w:val="24"/>
          <w:lang w:eastAsia="en-GB"/>
        </w:rPr>
        <w:t>Expectation</w:t>
      </w:r>
      <w:r w:rsidRPr="003F2E2C">
        <w:rPr>
          <w:rFonts w:ascii="Times New Roman" w:eastAsia="Times New Roman" w:hAnsi="Times New Roman" w:cs="Times New Roman"/>
          <w:sz w:val="24"/>
          <w:szCs w:val="24"/>
          <w:lang w:eastAsia="en-GB"/>
        </w:rPr>
        <w:t xml:space="preserve"> is therefore seen as a check mechanism which may lead students to demonstrate</w:t>
      </w:r>
      <w:r w:rsidR="00272EF8" w:rsidRPr="003F2E2C">
        <w:rPr>
          <w:rFonts w:ascii="Times New Roman" w:eastAsia="Times New Roman" w:hAnsi="Times New Roman" w:cs="Times New Roman"/>
          <w:sz w:val="24"/>
          <w:szCs w:val="24"/>
          <w:lang w:eastAsia="en-GB"/>
        </w:rPr>
        <w:t xml:space="preserve"> a</w:t>
      </w:r>
      <w:r w:rsidRPr="003F2E2C">
        <w:rPr>
          <w:rFonts w:ascii="Times New Roman" w:eastAsia="Times New Roman" w:hAnsi="Times New Roman" w:cs="Times New Roman"/>
          <w:sz w:val="24"/>
          <w:szCs w:val="24"/>
          <w:lang w:eastAsia="en-GB"/>
        </w:rPr>
        <w:t xml:space="preserve"> </w:t>
      </w:r>
      <w:r w:rsidRPr="003F2E2C">
        <w:rPr>
          <w:rFonts w:ascii="Times New Roman" w:eastAsia="Times New Roman" w:hAnsi="Times New Roman" w:cs="Times New Roman"/>
          <w:noProof/>
          <w:sz w:val="24"/>
          <w:szCs w:val="24"/>
          <w:lang w:eastAsia="en-GB"/>
        </w:rPr>
        <w:t>positive</w:t>
      </w:r>
      <w:r w:rsidRPr="003F2E2C">
        <w:rPr>
          <w:rFonts w:ascii="Times New Roman" w:eastAsia="Times New Roman" w:hAnsi="Times New Roman" w:cs="Times New Roman"/>
          <w:sz w:val="24"/>
          <w:szCs w:val="24"/>
          <w:lang w:eastAsia="en-GB"/>
        </w:rPr>
        <w:t xml:space="preserve"> attitude</w:t>
      </w:r>
      <w:r w:rsidR="00C51747" w:rsidRPr="003F2E2C">
        <w:rPr>
          <w:rFonts w:ascii="Times New Roman" w:eastAsia="Times New Roman" w:hAnsi="Times New Roman" w:cs="Times New Roman"/>
          <w:sz w:val="24"/>
          <w:szCs w:val="24"/>
          <w:lang w:eastAsia="en-GB"/>
        </w:rPr>
        <w:t xml:space="preserve"> to</w:t>
      </w:r>
      <w:r w:rsidR="00FE46A8" w:rsidRPr="003F2E2C">
        <w:rPr>
          <w:rFonts w:ascii="Times New Roman" w:eastAsia="Times New Roman" w:hAnsi="Times New Roman" w:cs="Times New Roman"/>
          <w:sz w:val="24"/>
          <w:szCs w:val="24"/>
          <w:lang w:eastAsia="en-GB"/>
        </w:rPr>
        <w:t xml:space="preserve">wards their learning (Fazey &amp; </w:t>
      </w:r>
      <w:r w:rsidRPr="003F2E2C">
        <w:rPr>
          <w:rFonts w:ascii="Times New Roman" w:eastAsia="Times New Roman" w:hAnsi="Times New Roman" w:cs="Times New Roman"/>
          <w:sz w:val="24"/>
          <w:szCs w:val="24"/>
          <w:lang w:eastAsia="en-GB"/>
        </w:rPr>
        <w:t>Fazey</w:t>
      </w:r>
      <w:r w:rsidR="00C51747" w:rsidRPr="003F2E2C">
        <w:rPr>
          <w:rFonts w:ascii="Times New Roman" w:eastAsia="Times New Roman" w:hAnsi="Times New Roman" w:cs="Times New Roman"/>
          <w:sz w:val="24"/>
          <w:szCs w:val="24"/>
          <w:lang w:eastAsia="en-GB"/>
        </w:rPr>
        <w:t>,</w:t>
      </w:r>
      <w:r w:rsidRPr="003F2E2C">
        <w:rPr>
          <w:rFonts w:ascii="Times New Roman" w:eastAsia="Times New Roman" w:hAnsi="Times New Roman" w:cs="Times New Roman"/>
          <w:sz w:val="24"/>
          <w:szCs w:val="24"/>
          <w:lang w:eastAsia="en-GB"/>
        </w:rPr>
        <w:t xml:space="preserve"> 2001). However, Gibney</w:t>
      </w:r>
      <w:r w:rsidR="00FE46A8" w:rsidRPr="003F2E2C">
        <w:rPr>
          <w:rFonts w:ascii="Times New Roman" w:eastAsia="Times New Roman" w:hAnsi="Times New Roman" w:cs="Times New Roman"/>
          <w:sz w:val="24"/>
          <w:szCs w:val="24"/>
          <w:lang w:eastAsia="en-GB"/>
        </w:rPr>
        <w:t xml:space="preserve"> et al.</w:t>
      </w:r>
      <w:r w:rsidRPr="003F2E2C">
        <w:rPr>
          <w:rFonts w:ascii="Times New Roman" w:eastAsia="Times New Roman" w:hAnsi="Times New Roman" w:cs="Times New Roman"/>
          <w:sz w:val="24"/>
          <w:szCs w:val="24"/>
          <w:lang w:eastAsia="en-GB"/>
        </w:rPr>
        <w:t xml:space="preserve"> (2011) argued that student’s expectation may limit their ability to appreciate the need to obtain new skills necessary in their new endeavour/environment. This may affect their ability to execute strategic plans relating to learning which in some case</w:t>
      </w:r>
      <w:r w:rsidR="006B28A9" w:rsidRPr="003F2E2C">
        <w:rPr>
          <w:rFonts w:ascii="Times New Roman" w:eastAsia="Times New Roman" w:hAnsi="Times New Roman" w:cs="Times New Roman"/>
          <w:sz w:val="24"/>
          <w:szCs w:val="24"/>
          <w:lang w:eastAsia="en-GB"/>
        </w:rPr>
        <w:t>s</w:t>
      </w:r>
      <w:r w:rsidRPr="003F2E2C">
        <w:rPr>
          <w:rFonts w:ascii="Times New Roman" w:eastAsia="Times New Roman" w:hAnsi="Times New Roman" w:cs="Times New Roman"/>
          <w:sz w:val="24"/>
          <w:szCs w:val="24"/>
          <w:lang w:eastAsia="en-GB"/>
        </w:rPr>
        <w:t xml:space="preserve"> may lead </w:t>
      </w:r>
      <w:r w:rsidR="00282667" w:rsidRPr="003F2E2C">
        <w:rPr>
          <w:rFonts w:ascii="Times New Roman" w:eastAsia="Times New Roman" w:hAnsi="Times New Roman" w:cs="Times New Roman"/>
          <w:sz w:val="24"/>
          <w:szCs w:val="24"/>
          <w:lang w:eastAsia="en-GB"/>
        </w:rPr>
        <w:t xml:space="preserve">to </w:t>
      </w:r>
      <w:r w:rsidRPr="003F2E2C">
        <w:rPr>
          <w:rFonts w:ascii="Times New Roman" w:eastAsia="Times New Roman" w:hAnsi="Times New Roman" w:cs="Times New Roman"/>
          <w:sz w:val="24"/>
          <w:szCs w:val="24"/>
          <w:lang w:eastAsia="en-GB"/>
        </w:rPr>
        <w:t>the adoption of surfa</w:t>
      </w:r>
      <w:r w:rsidR="00155383" w:rsidRPr="003F2E2C">
        <w:rPr>
          <w:rFonts w:ascii="Times New Roman" w:eastAsia="Times New Roman" w:hAnsi="Times New Roman" w:cs="Times New Roman"/>
          <w:sz w:val="24"/>
          <w:szCs w:val="24"/>
          <w:lang w:eastAsia="en-GB"/>
        </w:rPr>
        <w:t>ce</w:t>
      </w:r>
      <w:r w:rsidR="00FE46A8" w:rsidRPr="003F2E2C">
        <w:rPr>
          <w:rFonts w:ascii="Times New Roman" w:eastAsia="Times New Roman" w:hAnsi="Times New Roman" w:cs="Times New Roman"/>
          <w:sz w:val="24"/>
          <w:szCs w:val="24"/>
          <w:lang w:eastAsia="en-GB"/>
        </w:rPr>
        <w:t xml:space="preserve"> learning approach (De Lange &amp;</w:t>
      </w:r>
      <w:r w:rsidRPr="003F2E2C">
        <w:rPr>
          <w:rFonts w:ascii="Times New Roman" w:eastAsia="Times New Roman" w:hAnsi="Times New Roman" w:cs="Times New Roman"/>
          <w:sz w:val="24"/>
          <w:szCs w:val="24"/>
          <w:lang w:eastAsia="en-GB"/>
        </w:rPr>
        <w:t xml:space="preserve"> Mavondo, 2004</w:t>
      </w:r>
      <w:r w:rsidR="00155383" w:rsidRPr="003F2E2C">
        <w:rPr>
          <w:rFonts w:ascii="Times New Roman" w:eastAsia="Times New Roman" w:hAnsi="Times New Roman" w:cs="Times New Roman"/>
          <w:sz w:val="24"/>
          <w:szCs w:val="24"/>
          <w:lang w:eastAsia="en-GB"/>
        </w:rPr>
        <w:t>; Duff 2004;</w:t>
      </w:r>
      <w:r w:rsidR="003102FD" w:rsidRPr="003F2E2C">
        <w:rPr>
          <w:rFonts w:ascii="Times New Roman" w:hAnsi="Times New Roman" w:cs="Times New Roman"/>
          <w:noProof/>
          <w:sz w:val="24"/>
          <w:szCs w:val="24"/>
        </w:rPr>
        <w:t xml:space="preserve"> </w:t>
      </w:r>
      <w:r w:rsidR="003102FD" w:rsidRPr="003F2E2C">
        <w:rPr>
          <w:rFonts w:ascii="Times New Roman" w:eastAsia="Times New Roman" w:hAnsi="Times New Roman" w:cs="Times New Roman"/>
          <w:sz w:val="24"/>
          <w:szCs w:val="24"/>
          <w:lang w:eastAsia="en-GB"/>
        </w:rPr>
        <w:t>Bunce, Baird, &amp; Jones,</w:t>
      </w:r>
      <w:r w:rsidR="00155383" w:rsidRPr="003F2E2C">
        <w:rPr>
          <w:rFonts w:ascii="Times New Roman" w:eastAsia="Times New Roman" w:hAnsi="Times New Roman" w:cs="Times New Roman"/>
          <w:sz w:val="24"/>
          <w:szCs w:val="24"/>
          <w:lang w:eastAsia="en-GB"/>
        </w:rPr>
        <w:t xml:space="preserve"> 2016). </w:t>
      </w:r>
      <w:r w:rsidRPr="003F2E2C">
        <w:rPr>
          <w:rFonts w:ascii="Times New Roman" w:eastAsia="Times New Roman" w:hAnsi="Times New Roman" w:cs="Times New Roman"/>
          <w:sz w:val="24"/>
          <w:szCs w:val="24"/>
          <w:lang w:eastAsia="en-GB"/>
        </w:rPr>
        <w:t>This may disadvantage them and affect their academic performance. This may suggest that expectations must be well grounded in</w:t>
      </w:r>
      <w:r w:rsidR="00272EF8" w:rsidRPr="003F2E2C">
        <w:rPr>
          <w:rFonts w:ascii="Times New Roman" w:eastAsia="Times New Roman" w:hAnsi="Times New Roman" w:cs="Times New Roman"/>
          <w:sz w:val="24"/>
          <w:szCs w:val="24"/>
          <w:lang w:eastAsia="en-GB"/>
        </w:rPr>
        <w:t xml:space="preserve"> a</w:t>
      </w:r>
      <w:r w:rsidRPr="003F2E2C">
        <w:rPr>
          <w:rFonts w:ascii="Times New Roman" w:eastAsia="Times New Roman" w:hAnsi="Times New Roman" w:cs="Times New Roman"/>
          <w:sz w:val="24"/>
          <w:szCs w:val="24"/>
          <w:lang w:eastAsia="en-GB"/>
        </w:rPr>
        <w:t xml:space="preserve"> </w:t>
      </w:r>
      <w:r w:rsidRPr="003F2E2C">
        <w:rPr>
          <w:rFonts w:ascii="Times New Roman" w:eastAsia="Times New Roman" w:hAnsi="Times New Roman" w:cs="Times New Roman"/>
          <w:noProof/>
          <w:sz w:val="24"/>
          <w:szCs w:val="24"/>
          <w:lang w:eastAsia="en-GB"/>
        </w:rPr>
        <w:t>proper</w:t>
      </w:r>
      <w:r w:rsidRPr="003F2E2C">
        <w:rPr>
          <w:rFonts w:ascii="Times New Roman" w:eastAsia="Times New Roman" w:hAnsi="Times New Roman" w:cs="Times New Roman"/>
          <w:sz w:val="24"/>
          <w:szCs w:val="24"/>
          <w:lang w:eastAsia="en-GB"/>
        </w:rPr>
        <w:t xml:space="preserve"> understanding of the “means-ends” relationship which is fundamental to achievement. Therefore, where no effective plan of action </w:t>
      </w:r>
      <w:r w:rsidRPr="003F2E2C">
        <w:rPr>
          <w:rFonts w:ascii="Times New Roman" w:eastAsia="Times New Roman" w:hAnsi="Times New Roman" w:cs="Times New Roman"/>
          <w:noProof/>
          <w:sz w:val="24"/>
          <w:szCs w:val="24"/>
          <w:lang w:eastAsia="en-GB"/>
        </w:rPr>
        <w:t>has been implemented</w:t>
      </w:r>
      <w:r w:rsidRPr="003F2E2C">
        <w:rPr>
          <w:rFonts w:ascii="Times New Roman" w:eastAsia="Times New Roman" w:hAnsi="Times New Roman" w:cs="Times New Roman"/>
          <w:sz w:val="24"/>
          <w:szCs w:val="24"/>
          <w:lang w:eastAsia="en-GB"/>
        </w:rPr>
        <w:t xml:space="preserve"> the results may be hollow </w:t>
      </w:r>
      <w:r w:rsidRPr="003F2E2C">
        <w:rPr>
          <w:rFonts w:ascii="Times New Roman" w:eastAsia="Times New Roman" w:hAnsi="Times New Roman" w:cs="Times New Roman"/>
          <w:sz w:val="24"/>
          <w:szCs w:val="24"/>
          <w:lang w:eastAsia="en-GB"/>
        </w:rPr>
        <w:fldChar w:fldCharType="begin" w:fldLock="1"/>
      </w:r>
      <w:r w:rsidRPr="003F2E2C">
        <w:rPr>
          <w:rFonts w:ascii="Times New Roman" w:eastAsia="Times New Roman" w:hAnsi="Times New Roman" w:cs="Times New Roman"/>
          <w:sz w:val="24"/>
          <w:szCs w:val="24"/>
          <w:lang w:eastAsia="en-GB"/>
        </w:rPr>
        <w:instrText>ADDIN CSL_CITATION { "citationItems" : [ { "id" : "ITEM-1", "itemData" : { "author" : [ { "dropping-particle" : "", "family" : "Entwisle", "given" : "Doris R", "non-dropping-particle" : "", "parse-names" : false, "suffix" : "" } ], "container-title" : "Social Psychology", "id" : "ITEM-1", "issue" : "4", "issued" : { "date-parts" : [ [ "2010" ] ] }, "page" : "283-299", "title" : "When Expectations Work : Race and Socioeconomic Differences in School Performance Author ( s ): Karl L . Alexander , Doris R . Entwisle , Samuel D . Bedinger Published by : American Sociological Association Stable URL : http://www.jstor.org/stable/2787156", "type" : "article-journal", "volume" : "57" }, "uris" : [ "http://www.mendeley.com/documents/?uuid=3d7a7a68-ad44-4070-985d-34384c0a1103" ] } ], "mendeley" : { "formattedCitation" : "(Entwisle, 2010)", "manualFormatting" : "(Alexander, 1994)", "plainTextFormattedCitation" : "(Entwisle, 2010)", "previouslyFormattedCitation" : "(Entwisle, 2010)" }, "properties" : { "noteIndex" : 0 }, "schema" : "https://github.com/citation-style-language/schema/raw/master/csl-citation.json" }</w:instrText>
      </w:r>
      <w:r w:rsidRPr="003F2E2C">
        <w:rPr>
          <w:rFonts w:ascii="Times New Roman" w:eastAsia="Times New Roman" w:hAnsi="Times New Roman" w:cs="Times New Roman"/>
          <w:sz w:val="24"/>
          <w:szCs w:val="24"/>
          <w:lang w:eastAsia="en-GB"/>
        </w:rPr>
        <w:fldChar w:fldCharType="separate"/>
      </w:r>
      <w:r w:rsidRPr="003F2E2C">
        <w:rPr>
          <w:rFonts w:ascii="Times New Roman" w:eastAsia="Times New Roman" w:hAnsi="Times New Roman" w:cs="Times New Roman"/>
          <w:sz w:val="24"/>
          <w:szCs w:val="24"/>
          <w:lang w:eastAsia="en-GB"/>
        </w:rPr>
        <w:t>(</w:t>
      </w:r>
      <w:r w:rsidR="003102FD" w:rsidRPr="003F2E2C">
        <w:rPr>
          <w:rFonts w:ascii="Times New Roman" w:hAnsi="Times New Roman" w:cs="Times New Roman"/>
          <w:noProof/>
          <w:sz w:val="24"/>
          <w:szCs w:val="24"/>
        </w:rPr>
        <w:t xml:space="preserve"> </w:t>
      </w:r>
      <w:r w:rsidR="003102FD" w:rsidRPr="003F2E2C">
        <w:rPr>
          <w:rFonts w:ascii="Times New Roman" w:eastAsia="Times New Roman" w:hAnsi="Times New Roman" w:cs="Times New Roman"/>
          <w:sz w:val="24"/>
          <w:szCs w:val="24"/>
          <w:lang w:eastAsia="en-GB"/>
        </w:rPr>
        <w:t>Alexander, Doris, Entwisle, &amp; Bedinger,</w:t>
      </w:r>
      <w:r w:rsidRPr="003F2E2C">
        <w:rPr>
          <w:rFonts w:ascii="Times New Roman" w:eastAsia="Times New Roman" w:hAnsi="Times New Roman" w:cs="Times New Roman"/>
          <w:sz w:val="24"/>
          <w:szCs w:val="24"/>
          <w:lang w:eastAsia="en-GB"/>
        </w:rPr>
        <w:t xml:space="preserve"> 1994)</w:t>
      </w:r>
      <w:r w:rsidRPr="003F2E2C">
        <w:rPr>
          <w:rFonts w:ascii="Times New Roman" w:eastAsia="Times New Roman" w:hAnsi="Times New Roman" w:cs="Times New Roman"/>
          <w:sz w:val="24"/>
          <w:szCs w:val="24"/>
          <w:lang w:eastAsia="en-GB"/>
        </w:rPr>
        <w:fldChar w:fldCharType="end"/>
      </w:r>
      <w:r w:rsidRPr="003F2E2C">
        <w:rPr>
          <w:rFonts w:ascii="Times New Roman" w:eastAsia="Times New Roman" w:hAnsi="Times New Roman" w:cs="Times New Roman"/>
          <w:sz w:val="24"/>
          <w:szCs w:val="24"/>
          <w:lang w:eastAsia="en-GB"/>
        </w:rPr>
        <w:t xml:space="preserve">. </w:t>
      </w:r>
      <w:r w:rsidR="00272EF8" w:rsidRPr="003F2E2C">
        <w:rPr>
          <w:rFonts w:ascii="Times New Roman" w:eastAsia="Times New Roman" w:hAnsi="Times New Roman" w:cs="Times New Roman"/>
          <w:noProof/>
          <w:sz w:val="24"/>
          <w:szCs w:val="24"/>
          <w:lang w:eastAsia="en-GB"/>
        </w:rPr>
        <w:t>A p</w:t>
      </w:r>
      <w:r w:rsidRPr="003F2E2C">
        <w:rPr>
          <w:rFonts w:ascii="Times New Roman" w:eastAsia="Times New Roman" w:hAnsi="Times New Roman" w:cs="Times New Roman"/>
          <w:noProof/>
          <w:sz w:val="24"/>
          <w:szCs w:val="24"/>
          <w:lang w:eastAsia="en-GB"/>
        </w:rPr>
        <w:t>rior</w:t>
      </w:r>
      <w:r w:rsidRPr="003F2E2C">
        <w:rPr>
          <w:rFonts w:ascii="Times New Roman" w:eastAsia="Times New Roman" w:hAnsi="Times New Roman" w:cs="Times New Roman"/>
          <w:sz w:val="24"/>
          <w:szCs w:val="24"/>
          <w:lang w:eastAsia="en-GB"/>
        </w:rPr>
        <w:t xml:space="preserve"> study by Guney (2009) found</w:t>
      </w:r>
      <w:r w:rsidR="00272EF8" w:rsidRPr="003F2E2C">
        <w:rPr>
          <w:rFonts w:ascii="Times New Roman" w:eastAsia="Times New Roman" w:hAnsi="Times New Roman" w:cs="Times New Roman"/>
          <w:sz w:val="24"/>
          <w:szCs w:val="24"/>
          <w:lang w:eastAsia="en-GB"/>
        </w:rPr>
        <w:t xml:space="preserve"> a</w:t>
      </w:r>
      <w:r w:rsidRPr="003F2E2C">
        <w:rPr>
          <w:rFonts w:ascii="Times New Roman" w:eastAsia="Times New Roman" w:hAnsi="Times New Roman" w:cs="Times New Roman"/>
          <w:sz w:val="24"/>
          <w:szCs w:val="24"/>
          <w:lang w:eastAsia="en-GB"/>
        </w:rPr>
        <w:t xml:space="preserve"> </w:t>
      </w:r>
      <w:r w:rsidRPr="003F2E2C">
        <w:rPr>
          <w:rFonts w:ascii="Times New Roman" w:eastAsia="Times New Roman" w:hAnsi="Times New Roman" w:cs="Times New Roman"/>
          <w:noProof/>
          <w:sz w:val="24"/>
          <w:szCs w:val="24"/>
          <w:lang w:eastAsia="en-GB"/>
        </w:rPr>
        <w:t>positive</w:t>
      </w:r>
      <w:r w:rsidRPr="003F2E2C">
        <w:rPr>
          <w:rFonts w:ascii="Times New Roman" w:eastAsia="Times New Roman" w:hAnsi="Times New Roman" w:cs="Times New Roman"/>
          <w:sz w:val="24"/>
          <w:szCs w:val="24"/>
          <w:lang w:eastAsia="en-GB"/>
        </w:rPr>
        <w:t xml:space="preserve"> relationship between accounting students’ expectation and academic performance. However, Masky and Zheng (2008) and Byrne and Flood (2008) found no significant relationship between student’s expectation and performance. It can, therefore, be hypothesised that:</w:t>
      </w:r>
    </w:p>
    <w:p w14:paraId="68F45970" w14:textId="38DA1115" w:rsidR="004A2361" w:rsidRPr="003F2E2C" w:rsidRDefault="0013597C" w:rsidP="004A2361">
      <w:pPr>
        <w:autoSpaceDE w:val="0"/>
        <w:autoSpaceDN w:val="0"/>
        <w:adjustRightInd w:val="0"/>
        <w:spacing w:after="0" w:line="360" w:lineRule="auto"/>
        <w:jc w:val="both"/>
        <w:rPr>
          <w:rFonts w:ascii="Times New Roman" w:eastAsia="Times New Roman" w:hAnsi="Times New Roman" w:cs="Times New Roman"/>
          <w:i/>
          <w:sz w:val="24"/>
          <w:szCs w:val="24"/>
          <w:lang w:eastAsia="en-GB"/>
        </w:rPr>
      </w:pPr>
      <w:r w:rsidRPr="003F2E2C">
        <w:rPr>
          <w:rFonts w:ascii="Times New Roman" w:eastAsia="Times New Roman" w:hAnsi="Times New Roman" w:cs="Times New Roman"/>
          <w:i/>
          <w:sz w:val="24"/>
          <w:szCs w:val="24"/>
          <w:lang w:eastAsia="en-GB"/>
        </w:rPr>
        <w:t>H</w:t>
      </w:r>
      <w:r w:rsidRPr="003F2E2C">
        <w:rPr>
          <w:rFonts w:ascii="Times New Roman" w:eastAsia="Times New Roman" w:hAnsi="Times New Roman" w:cs="Times New Roman"/>
          <w:i/>
          <w:sz w:val="24"/>
          <w:szCs w:val="24"/>
          <w:vertAlign w:val="subscript"/>
          <w:lang w:eastAsia="en-GB"/>
        </w:rPr>
        <w:t>1</w:t>
      </w:r>
      <w:r w:rsidRPr="003F2E2C">
        <w:rPr>
          <w:rFonts w:ascii="Times New Roman" w:eastAsia="Times New Roman" w:hAnsi="Times New Roman" w:cs="Times New Roman"/>
          <w:sz w:val="24"/>
          <w:szCs w:val="24"/>
          <w:lang w:eastAsia="en-GB"/>
        </w:rPr>
        <w:t xml:space="preserve"> </w:t>
      </w:r>
      <w:r w:rsidRPr="003F2E2C">
        <w:rPr>
          <w:rFonts w:ascii="Times New Roman" w:eastAsia="Times New Roman" w:hAnsi="Times New Roman" w:cs="Times New Roman"/>
          <w:i/>
          <w:sz w:val="24"/>
          <w:szCs w:val="24"/>
          <w:lang w:eastAsia="en-GB"/>
        </w:rPr>
        <w:t>Expectation is positively related to academic performance</w:t>
      </w:r>
      <w:r w:rsidR="00843B03" w:rsidRPr="003F2E2C">
        <w:rPr>
          <w:rFonts w:ascii="Times New Roman" w:eastAsia="Times New Roman" w:hAnsi="Times New Roman" w:cs="Times New Roman"/>
          <w:i/>
          <w:sz w:val="24"/>
          <w:szCs w:val="24"/>
          <w:lang w:eastAsia="en-GB"/>
        </w:rPr>
        <w:t>.</w:t>
      </w:r>
    </w:p>
    <w:p w14:paraId="0EFA97F9" w14:textId="77777777" w:rsidR="00247BFC" w:rsidRPr="003F2E2C" w:rsidRDefault="00247BFC" w:rsidP="008E0E3E">
      <w:pPr>
        <w:autoSpaceDE w:val="0"/>
        <w:autoSpaceDN w:val="0"/>
        <w:adjustRightInd w:val="0"/>
        <w:spacing w:after="0" w:line="360" w:lineRule="auto"/>
        <w:jc w:val="both"/>
        <w:rPr>
          <w:rFonts w:ascii="Times New Roman" w:hAnsi="Times New Roman" w:cs="Times New Roman"/>
          <w:sz w:val="24"/>
          <w:szCs w:val="24"/>
        </w:rPr>
      </w:pPr>
    </w:p>
    <w:p w14:paraId="7410A0EE" w14:textId="77777777" w:rsidR="00F014CA" w:rsidRPr="003F2E2C" w:rsidRDefault="00F014CA" w:rsidP="008E0E3E">
      <w:pPr>
        <w:autoSpaceDE w:val="0"/>
        <w:autoSpaceDN w:val="0"/>
        <w:adjustRightInd w:val="0"/>
        <w:spacing w:after="0" w:line="360" w:lineRule="auto"/>
        <w:jc w:val="both"/>
        <w:rPr>
          <w:rFonts w:ascii="Times New Roman" w:hAnsi="Times New Roman" w:cs="Times New Roman"/>
          <w:i/>
          <w:sz w:val="24"/>
          <w:szCs w:val="24"/>
        </w:rPr>
      </w:pPr>
    </w:p>
    <w:p w14:paraId="3EA4DB90" w14:textId="31CBD755" w:rsidR="00247BFC" w:rsidRPr="003F2E2C" w:rsidRDefault="0013597C" w:rsidP="008E0E3E">
      <w:pPr>
        <w:autoSpaceDE w:val="0"/>
        <w:autoSpaceDN w:val="0"/>
        <w:adjustRightInd w:val="0"/>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 xml:space="preserve">3.2.2 </w:t>
      </w:r>
      <w:r w:rsidR="00181729" w:rsidRPr="003F2E2C">
        <w:rPr>
          <w:rFonts w:ascii="Times New Roman" w:hAnsi="Times New Roman" w:cs="Times New Roman"/>
          <w:i/>
          <w:sz w:val="24"/>
          <w:szCs w:val="24"/>
        </w:rPr>
        <w:t>Volition</w:t>
      </w:r>
    </w:p>
    <w:p w14:paraId="6E12062F" w14:textId="3CAE6F12" w:rsidR="00155383" w:rsidRPr="003F2E2C" w:rsidRDefault="0013597C" w:rsidP="004F0103">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There are reasons for expecting a positive relationship between volition and</w:t>
      </w:r>
      <w:r w:rsidR="009951B5" w:rsidRPr="003F2E2C">
        <w:rPr>
          <w:rFonts w:ascii="Times New Roman" w:hAnsi="Times New Roman" w:cs="Times New Roman"/>
          <w:sz w:val="24"/>
          <w:szCs w:val="24"/>
        </w:rPr>
        <w:t xml:space="preserve"> academic performance. Where a student</w:t>
      </w:r>
      <w:r w:rsidRPr="003F2E2C">
        <w:rPr>
          <w:rFonts w:ascii="Times New Roman" w:hAnsi="Times New Roman" w:cs="Times New Roman"/>
          <w:sz w:val="24"/>
          <w:szCs w:val="24"/>
        </w:rPr>
        <w:t xml:space="preserve"> decision to read accounting </w:t>
      </w:r>
      <w:r w:rsidR="009951B5" w:rsidRPr="003F2E2C">
        <w:rPr>
          <w:rFonts w:ascii="Times New Roman" w:hAnsi="Times New Roman" w:cs="Times New Roman"/>
          <w:sz w:val="24"/>
          <w:szCs w:val="24"/>
        </w:rPr>
        <w:t xml:space="preserve">is </w:t>
      </w:r>
      <w:r w:rsidRPr="003F2E2C">
        <w:rPr>
          <w:rFonts w:ascii="Times New Roman" w:hAnsi="Times New Roman" w:cs="Times New Roman"/>
          <w:sz w:val="24"/>
          <w:szCs w:val="24"/>
        </w:rPr>
        <w:t>influenced by referent group such as parents, friends and teachers (Geig</w:t>
      </w:r>
      <w:r w:rsidR="00FE46A8" w:rsidRPr="003F2E2C">
        <w:rPr>
          <w:rFonts w:ascii="Times New Roman" w:hAnsi="Times New Roman" w:cs="Times New Roman"/>
          <w:sz w:val="24"/>
          <w:szCs w:val="24"/>
        </w:rPr>
        <w:t xml:space="preserve">er &amp; </w:t>
      </w:r>
      <w:r w:rsidR="0044213D" w:rsidRPr="003F2E2C">
        <w:rPr>
          <w:rFonts w:ascii="Times New Roman" w:hAnsi="Times New Roman" w:cs="Times New Roman"/>
          <w:sz w:val="24"/>
          <w:szCs w:val="24"/>
        </w:rPr>
        <w:t>Ogibly, 2000;</w:t>
      </w:r>
      <w:r w:rsidRPr="003F2E2C">
        <w:rPr>
          <w:rFonts w:ascii="Times New Roman" w:hAnsi="Times New Roman" w:cs="Times New Roman"/>
          <w:sz w:val="24"/>
          <w:szCs w:val="24"/>
        </w:rPr>
        <w:t xml:space="preserve"> </w:t>
      </w:r>
      <w:r w:rsidR="003102FD" w:rsidRPr="003F2E2C">
        <w:rPr>
          <w:rFonts w:ascii="Times New Roman" w:hAnsi="Times New Roman" w:cs="Times New Roman"/>
          <w:sz w:val="24"/>
          <w:szCs w:val="24"/>
        </w:rPr>
        <w:t>Ahinful, Paintsil, &amp;  Danquah</w:t>
      </w:r>
      <w:r w:rsidRPr="003F2E2C">
        <w:rPr>
          <w:rFonts w:ascii="Times New Roman" w:hAnsi="Times New Roman" w:cs="Times New Roman"/>
          <w:sz w:val="24"/>
          <w:szCs w:val="24"/>
        </w:rPr>
        <w:t xml:space="preserve">, 2012, </w:t>
      </w:r>
      <w:r w:rsidR="003102FD" w:rsidRPr="003F2E2C">
        <w:rPr>
          <w:rFonts w:ascii="Times New Roman" w:hAnsi="Times New Roman" w:cs="Times New Roman"/>
          <w:sz w:val="24"/>
          <w:szCs w:val="24"/>
        </w:rPr>
        <w:t>Dalci, Arash, &amp; Baradarani,</w:t>
      </w:r>
      <w:r w:rsidRPr="003F2E2C">
        <w:rPr>
          <w:rFonts w:ascii="Times New Roman" w:hAnsi="Times New Roman" w:cs="Times New Roman"/>
          <w:sz w:val="24"/>
          <w:szCs w:val="24"/>
        </w:rPr>
        <w:t xml:space="preserve"> 2013;</w:t>
      </w:r>
      <w:r w:rsidR="003102FD" w:rsidRPr="003F2E2C">
        <w:rPr>
          <w:rFonts w:ascii="Times New Roman" w:hAnsi="Times New Roman" w:cs="Times New Roman"/>
          <w:noProof/>
          <w:sz w:val="24"/>
          <w:szCs w:val="24"/>
        </w:rPr>
        <w:t xml:space="preserve"> </w:t>
      </w:r>
      <w:r w:rsidR="003102FD" w:rsidRPr="003F2E2C">
        <w:rPr>
          <w:rFonts w:ascii="Times New Roman" w:hAnsi="Times New Roman" w:cs="Times New Roman"/>
          <w:sz w:val="24"/>
          <w:szCs w:val="24"/>
        </w:rPr>
        <w:t>Wen, &amp; Bu,</w:t>
      </w:r>
      <w:r w:rsidRPr="003F2E2C">
        <w:rPr>
          <w:rFonts w:ascii="Times New Roman" w:hAnsi="Times New Roman" w:cs="Times New Roman"/>
          <w:sz w:val="24"/>
          <w:szCs w:val="24"/>
        </w:rPr>
        <w:t xml:space="preserve"> 2015) </w:t>
      </w:r>
      <w:r w:rsidR="009951B5" w:rsidRPr="003F2E2C">
        <w:rPr>
          <w:rFonts w:ascii="Times New Roman" w:hAnsi="Times New Roman" w:cs="Times New Roman"/>
          <w:sz w:val="24"/>
          <w:szCs w:val="24"/>
        </w:rPr>
        <w:t xml:space="preserve">it </w:t>
      </w:r>
      <w:r w:rsidRPr="003F2E2C">
        <w:rPr>
          <w:rFonts w:ascii="Times New Roman" w:hAnsi="Times New Roman" w:cs="Times New Roman"/>
          <w:sz w:val="24"/>
          <w:szCs w:val="24"/>
        </w:rPr>
        <w:t xml:space="preserve">may lack that element of personal will which </w:t>
      </w:r>
      <w:r w:rsidRPr="003F2E2C">
        <w:rPr>
          <w:rFonts w:ascii="Times New Roman" w:hAnsi="Times New Roman" w:cs="Times New Roman"/>
          <w:noProof/>
          <w:sz w:val="24"/>
          <w:szCs w:val="24"/>
        </w:rPr>
        <w:t>may</w:t>
      </w:r>
      <w:r w:rsidR="00272EF8"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be</w:t>
      </w:r>
      <w:r w:rsidRPr="003F2E2C">
        <w:rPr>
          <w:rFonts w:ascii="Times New Roman" w:hAnsi="Times New Roman" w:cs="Times New Roman"/>
          <w:sz w:val="24"/>
          <w:szCs w:val="24"/>
        </w:rPr>
        <w:t xml:space="preserve"> critical for academic performance. Alexander</w:t>
      </w:r>
      <w:r w:rsidRPr="003F2E2C">
        <w:rPr>
          <w:rFonts w:ascii="Times New Roman" w:hAnsi="Times New Roman" w:cs="Times New Roman"/>
          <w:i/>
          <w:sz w:val="24"/>
          <w:szCs w:val="24"/>
        </w:rPr>
        <w:t xml:space="preserve"> </w:t>
      </w:r>
      <w:r w:rsidRPr="003F2E2C">
        <w:rPr>
          <w:rFonts w:ascii="Times New Roman" w:hAnsi="Times New Roman" w:cs="Times New Roman"/>
          <w:sz w:val="24"/>
          <w:szCs w:val="24"/>
        </w:rPr>
        <w:t xml:space="preserve">et al. (1994) suggested that one of the key ingredients of high performance is willingness which helps one to persist in the mix of obstacles. The chance of an individual </w:t>
      </w:r>
      <w:r w:rsidR="009951B5" w:rsidRPr="003F2E2C">
        <w:rPr>
          <w:rFonts w:ascii="Times New Roman" w:hAnsi="Times New Roman" w:cs="Times New Roman"/>
          <w:sz w:val="24"/>
          <w:szCs w:val="24"/>
        </w:rPr>
        <w:t xml:space="preserve">choosing a course of action </w:t>
      </w:r>
      <w:r w:rsidRPr="003F2E2C">
        <w:rPr>
          <w:rFonts w:ascii="Times New Roman" w:hAnsi="Times New Roman" w:cs="Times New Roman"/>
          <w:sz w:val="24"/>
          <w:szCs w:val="24"/>
        </w:rPr>
        <w:t>which affects his/her future is known to influence to some extent the success of the outcome. When students are given the chance to decide the programme they want to read at school it is more likely to have</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positive</w:t>
      </w:r>
      <w:r w:rsidRPr="003F2E2C">
        <w:rPr>
          <w:rFonts w:ascii="Times New Roman" w:hAnsi="Times New Roman" w:cs="Times New Roman"/>
          <w:sz w:val="24"/>
          <w:szCs w:val="24"/>
        </w:rPr>
        <w:t xml:space="preserve"> impact on their academic performance due to the satisfaction with the decision made (</w:t>
      </w:r>
      <w:r w:rsidR="005F4933" w:rsidRPr="003F2E2C">
        <w:rPr>
          <w:rFonts w:ascii="Times New Roman" w:hAnsi="Times New Roman" w:cs="Times New Roman"/>
          <w:sz w:val="24"/>
          <w:szCs w:val="24"/>
        </w:rPr>
        <w:t>Feldman et al.</w:t>
      </w:r>
      <w:r w:rsidR="003102FD" w:rsidRPr="003F2E2C">
        <w:rPr>
          <w:rFonts w:ascii="Times New Roman" w:hAnsi="Times New Roman" w:cs="Times New Roman"/>
          <w:sz w:val="24"/>
          <w:szCs w:val="24"/>
        </w:rPr>
        <w:t>,</w:t>
      </w:r>
      <w:r w:rsidRPr="003F2E2C">
        <w:rPr>
          <w:rFonts w:ascii="Times New Roman" w:hAnsi="Times New Roman" w:cs="Times New Roman"/>
          <w:sz w:val="24"/>
          <w:szCs w:val="24"/>
        </w:rPr>
        <w:t xml:space="preserve"> 2014). It may impact on students’ academic interest, learning attitude and may help them to overcome learning difficulties to reach their goal</w:t>
      </w:r>
      <w:r w:rsidR="00832DD2" w:rsidRPr="003F2E2C">
        <w:rPr>
          <w:rFonts w:ascii="Times New Roman" w:hAnsi="Times New Roman" w:cs="Times New Roman"/>
          <w:sz w:val="24"/>
          <w:szCs w:val="24"/>
        </w:rPr>
        <w:t>s</w:t>
      </w:r>
      <w:r w:rsidRPr="003F2E2C">
        <w:rPr>
          <w:rFonts w:ascii="Times New Roman" w:hAnsi="Times New Roman" w:cs="Times New Roman"/>
          <w:sz w:val="24"/>
          <w:szCs w:val="24"/>
        </w:rPr>
        <w:t>. This is due to the belief of being free from internal and external constraints and capable of choosing and directing one's own path (</w:t>
      </w:r>
      <w:r w:rsidRPr="003F2E2C">
        <w:rPr>
          <w:rFonts w:ascii="Times New Roman" w:hAnsi="Times New Roman" w:cs="Times New Roman"/>
          <w:sz w:val="24"/>
          <w:szCs w:val="24"/>
        </w:rPr>
        <w:fldChar w:fldCharType="begin" w:fldLock="1"/>
      </w:r>
      <w:r w:rsidRPr="003F2E2C">
        <w:rPr>
          <w:rFonts w:ascii="Times New Roman" w:hAnsi="Times New Roman" w:cs="Times New Roman"/>
          <w:sz w:val="24"/>
          <w:szCs w:val="24"/>
        </w:rPr>
        <w:instrText>ADDIN CSL_CITATION { "citationItems" : [ { "id" : "ITEM-1", "itemData" : { "DOI" : "10.1016/j.jaccedu.2010.09.001", "ISSN" : "07485751", "abstract" : "The paper evaluates gender differences in the achievement of accounting students using data from students at a large public institution in the USA. Whether one gender outperforms the other is a question that has remained open in the literature, primarily because measures have been confounded by rewards for effort. This paper finds that in an environment where effort is not materially rewarded per se, but serves as a significant means to prepare for grade-bearing evaluations, females do not significantly outperform males. Female student do, however, exert a greater amount of effort. Measures used in this study were assembled by the computer software that managed the student interface, providing practice questions, quizzes, and examinations. Implications for educational choices made by accounting instructors are offered. \u00a9 2010 Elsevier Ltd.", "author" : [ { "dropping-particle" : "", "family" : "Fogarty", "given" : "Timothy J.", "non-dropping-particle" : "", "parse-names" : false, "suffix" : "" }, { "dropping-particle" : "", "family" : "Goldwater", "given" : "Paul M.", "non-dropping-particle" : "", "parse-names" : false, "suffix" : "" } ], "container-title" : "Journal of Accounting Education", "id" : "ITEM-1", "issue" : "1", "issued" : { "date-parts" : [ [ "2010" ] ] }, "page" : "1-12", "publisher" : "Elsevier Ltd", "title" : "Beyond just desserts: The gendered nature of the connection between effort and achievement for accounting students", "type" : "article-journal", "volume" : "28" }, "uris" : [ "http://www.mendeley.com/documents/?uuid=a4784f5d-9111-4a86-ad37-cc2e0f11189a" ] } ], "mendeley" : { "formattedCitation" : "(Fogarty and Goldwater, 2010)", "manualFormatting" : "Fogarty and Goldwater (2011)", "plainTextFormattedCitation" : "(Fogarty and Goldwater, 2010)", "previouslyFormattedCitation" : "(Fogarty and Goldwater, 2010)" }, "properties" : { "noteIndex" : 0 }, "schema" : "https://github.com/citation-style-language/schema/raw/master/csl-citation.json" }</w:instrText>
      </w:r>
      <w:r w:rsidRPr="003F2E2C">
        <w:rPr>
          <w:rFonts w:ascii="Times New Roman" w:hAnsi="Times New Roman" w:cs="Times New Roman"/>
          <w:sz w:val="24"/>
          <w:szCs w:val="24"/>
        </w:rPr>
        <w:fldChar w:fldCharType="separate"/>
      </w:r>
      <w:r w:rsidR="00FE46A8" w:rsidRPr="003F2E2C">
        <w:rPr>
          <w:rFonts w:ascii="Times New Roman" w:hAnsi="Times New Roman" w:cs="Times New Roman"/>
          <w:sz w:val="24"/>
          <w:szCs w:val="24"/>
        </w:rPr>
        <w:t>Fogarty &amp;</w:t>
      </w:r>
      <w:r w:rsidRPr="003F2E2C">
        <w:rPr>
          <w:rFonts w:ascii="Times New Roman" w:hAnsi="Times New Roman" w:cs="Times New Roman"/>
          <w:sz w:val="24"/>
          <w:szCs w:val="24"/>
        </w:rPr>
        <w:t xml:space="preserve"> Goldwater, 2011; Feldman et al., 2016)</w:t>
      </w:r>
      <w:r w:rsidRPr="003F2E2C">
        <w:rPr>
          <w:rFonts w:ascii="Times New Roman" w:hAnsi="Times New Roman" w:cs="Times New Roman"/>
          <w:sz w:val="24"/>
          <w:szCs w:val="24"/>
        </w:rPr>
        <w:fldChar w:fldCharType="end"/>
      </w:r>
      <w:r w:rsidRPr="003F2E2C">
        <w:rPr>
          <w:rFonts w:ascii="Times New Roman" w:hAnsi="Times New Roman" w:cs="Times New Roman"/>
          <w:sz w:val="24"/>
          <w:szCs w:val="24"/>
        </w:rPr>
        <w:t>. The lack of free will may represent psychological illusion (Wegner</w:t>
      </w:r>
      <w:r w:rsidR="00E37468" w:rsidRPr="003F2E2C">
        <w:rPr>
          <w:rFonts w:ascii="Times New Roman" w:hAnsi="Times New Roman" w:cs="Times New Roman"/>
          <w:sz w:val="24"/>
          <w:szCs w:val="24"/>
        </w:rPr>
        <w:t>,</w:t>
      </w:r>
      <w:r w:rsidRPr="003F2E2C">
        <w:rPr>
          <w:rFonts w:ascii="Times New Roman" w:hAnsi="Times New Roman" w:cs="Times New Roman"/>
          <w:sz w:val="24"/>
          <w:szCs w:val="24"/>
        </w:rPr>
        <w:t xml:space="preserve"> 2003) which may affect achieving goals, high levels of deliberation and conscious thought (</w:t>
      </w:r>
      <w:r w:rsidR="00DE76C2" w:rsidRPr="003F2E2C">
        <w:rPr>
          <w:rFonts w:ascii="Times New Roman" w:hAnsi="Times New Roman" w:cs="Times New Roman"/>
          <w:sz w:val="24"/>
          <w:szCs w:val="24"/>
        </w:rPr>
        <w:t>Stillman, Baumeister, &amp; Mele,</w:t>
      </w:r>
      <w:r w:rsidRPr="003F2E2C">
        <w:rPr>
          <w:rFonts w:ascii="Times New Roman" w:hAnsi="Times New Roman" w:cs="Times New Roman"/>
          <w:sz w:val="24"/>
          <w:szCs w:val="24"/>
        </w:rPr>
        <w:t xml:space="preserve"> 2011). </w:t>
      </w:r>
    </w:p>
    <w:p w14:paraId="5587EE51" w14:textId="307F5443" w:rsidR="001C350E" w:rsidRPr="003F2E2C" w:rsidRDefault="0013597C" w:rsidP="00EA2111">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Other reasons why volition is expected to impact positively on performance include; acceptance of accountability (Nietzs</w:t>
      </w:r>
      <w:r w:rsidR="00284CA6" w:rsidRPr="003F2E2C">
        <w:rPr>
          <w:rFonts w:ascii="Times New Roman" w:hAnsi="Times New Roman" w:cs="Times New Roman"/>
          <w:sz w:val="24"/>
          <w:szCs w:val="24"/>
        </w:rPr>
        <w:t xml:space="preserve">che, 1966), drive for action, </w:t>
      </w:r>
      <w:r w:rsidRPr="003F2E2C">
        <w:rPr>
          <w:rFonts w:ascii="Times New Roman" w:hAnsi="Times New Roman" w:cs="Times New Roman"/>
          <w:sz w:val="24"/>
          <w:szCs w:val="24"/>
        </w:rPr>
        <w:t xml:space="preserve"> self-regulation (Greve</w:t>
      </w:r>
      <w:r w:rsidR="00155383" w:rsidRPr="003F2E2C">
        <w:rPr>
          <w:rFonts w:ascii="Times New Roman" w:hAnsi="Times New Roman" w:cs="Times New Roman"/>
          <w:sz w:val="24"/>
          <w:szCs w:val="24"/>
        </w:rPr>
        <w:t>,</w:t>
      </w:r>
      <w:r w:rsidRPr="003F2E2C">
        <w:rPr>
          <w:rFonts w:ascii="Times New Roman" w:hAnsi="Times New Roman" w:cs="Times New Roman"/>
          <w:sz w:val="24"/>
          <w:szCs w:val="24"/>
        </w:rPr>
        <w:t xml:space="preserve"> 2001) and stronger motivation for</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successful</w:t>
      </w:r>
      <w:r w:rsidRPr="003F2E2C">
        <w:rPr>
          <w:rFonts w:ascii="Times New Roman" w:hAnsi="Times New Roman" w:cs="Times New Roman"/>
          <w:sz w:val="24"/>
          <w:szCs w:val="24"/>
        </w:rPr>
        <w:t xml:space="preserve"> career (Stillman et al., 2010). Freedom to participate in</w:t>
      </w:r>
      <w:r w:rsidR="00832DD2" w:rsidRPr="003F2E2C">
        <w:rPr>
          <w:rFonts w:ascii="Times New Roman" w:hAnsi="Times New Roman" w:cs="Times New Roman"/>
          <w:sz w:val="24"/>
          <w:szCs w:val="24"/>
        </w:rPr>
        <w:t xml:space="preserve"> the choice of a course</w:t>
      </w:r>
      <w:r w:rsidRPr="003F2E2C">
        <w:rPr>
          <w:rFonts w:ascii="Times New Roman" w:hAnsi="Times New Roman" w:cs="Times New Roman"/>
          <w:sz w:val="24"/>
          <w:szCs w:val="24"/>
        </w:rPr>
        <w:t xml:space="preserve"> promotes goal monitoring and facilitates enhanced learning from one's mistakes to improve future performance (</w:t>
      </w:r>
      <w:r w:rsidR="006C7EB7" w:rsidRPr="003F2E2C">
        <w:rPr>
          <w:rFonts w:ascii="Times New Roman" w:hAnsi="Times New Roman" w:cs="Times New Roman"/>
          <w:sz w:val="24"/>
          <w:szCs w:val="24"/>
        </w:rPr>
        <w:t>Alquist</w:t>
      </w:r>
      <w:r w:rsidR="00832DD2" w:rsidRPr="003F2E2C">
        <w:rPr>
          <w:rFonts w:ascii="Times New Roman" w:hAnsi="Times New Roman" w:cs="Times New Roman"/>
          <w:sz w:val="24"/>
          <w:szCs w:val="24"/>
        </w:rPr>
        <w:t xml:space="preserve"> et al.</w:t>
      </w:r>
      <w:r w:rsidR="006C7EB7" w:rsidRPr="003F2E2C">
        <w:rPr>
          <w:rFonts w:ascii="Times New Roman" w:hAnsi="Times New Roman" w:cs="Times New Roman"/>
          <w:sz w:val="24"/>
          <w:szCs w:val="24"/>
        </w:rPr>
        <w:t>,</w:t>
      </w:r>
      <w:r w:rsidR="00694918" w:rsidRPr="003F2E2C">
        <w:rPr>
          <w:rFonts w:ascii="Times New Roman" w:hAnsi="Times New Roman" w:cs="Times New Roman"/>
          <w:sz w:val="24"/>
          <w:szCs w:val="24"/>
        </w:rPr>
        <w:t xml:space="preserve"> 2015).</w:t>
      </w:r>
      <w:r w:rsidRPr="003F2E2C">
        <w:rPr>
          <w:rFonts w:ascii="Times New Roman" w:hAnsi="Times New Roman" w:cs="Times New Roman"/>
          <w:sz w:val="24"/>
          <w:szCs w:val="24"/>
        </w:rPr>
        <w:t xml:space="preserve"> Feldman et al</w:t>
      </w:r>
      <w:r w:rsidR="00155383" w:rsidRPr="003F2E2C">
        <w:rPr>
          <w:rFonts w:ascii="Times New Roman" w:hAnsi="Times New Roman" w:cs="Times New Roman"/>
          <w:sz w:val="24"/>
          <w:szCs w:val="24"/>
        </w:rPr>
        <w:t>.</w:t>
      </w:r>
      <w:r w:rsidRPr="003F2E2C">
        <w:rPr>
          <w:rFonts w:ascii="Times New Roman" w:hAnsi="Times New Roman" w:cs="Times New Roman"/>
          <w:sz w:val="24"/>
          <w:szCs w:val="24"/>
        </w:rPr>
        <w:t xml:space="preserve"> (2016) suggested that with</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certain</w:t>
      </w:r>
      <w:r w:rsidRPr="003F2E2C">
        <w:rPr>
          <w:rFonts w:ascii="Times New Roman" w:hAnsi="Times New Roman" w:cs="Times New Roman"/>
          <w:sz w:val="24"/>
          <w:szCs w:val="24"/>
        </w:rPr>
        <w:t xml:space="preserve"> outcome, those with volitional choice assume more responsibility, have</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positive</w:t>
      </w:r>
      <w:r w:rsidRPr="003F2E2C">
        <w:rPr>
          <w:rFonts w:ascii="Times New Roman" w:hAnsi="Times New Roman" w:cs="Times New Roman"/>
          <w:sz w:val="24"/>
          <w:szCs w:val="24"/>
        </w:rPr>
        <w:t xml:space="preserve"> attitude, learn better from past mistakes and work harder at changing negative outcomes. </w:t>
      </w:r>
      <w:r w:rsidRPr="003F2E2C">
        <w:rPr>
          <w:rFonts w:ascii="Times New Roman" w:hAnsi="Times New Roman" w:cs="Times New Roman"/>
          <w:sz w:val="24"/>
          <w:szCs w:val="24"/>
        </w:rPr>
        <w:fldChar w:fldCharType="begin" w:fldLock="1"/>
      </w:r>
      <w:r w:rsidRPr="003F2E2C">
        <w:rPr>
          <w:rFonts w:ascii="Times New Roman" w:hAnsi="Times New Roman" w:cs="Times New Roman"/>
          <w:sz w:val="24"/>
          <w:szCs w:val="24"/>
        </w:rPr>
        <w:instrText>ADDIN CSL_CITATION { "citationItems" : [ { "id" : "ITEM-1", "itemData" : { "DOI" : "10.1016/j.jaccedu.2010.09.001", "ISSN" : "07485751", "abstract" : "The paper evaluates gender differences in the achievement of accounting students using data from students at a large public institution in the USA. Whether one gender outperforms the other is a question that has remained open in the literature, primarily because measures have been confounded by rewards for effort. This paper finds that in an environment where effort is not materially rewarded per se, but serves as a significant means to prepare for grade-bearing evaluations, females do not significantly outperform males. Female student do, however, exert a greater amount of effort. Measures used in this study were assembled by the computer software that managed the student interface, providing practice questions, quizzes, and examinations. Implications for educational choices made by accounting instructors are offered. \u00a9 2010 Elsevier Ltd.", "author" : [ { "dropping-particle" : "", "family" : "Fogarty", "given" : "Timothy J.", "non-dropping-particle" : "", "parse-names" : false, "suffix" : "" }, { "dropping-particle" : "", "family" : "Goldwater", "given" : "Paul M.", "non-dropping-particle" : "", "parse-names" : false, "suffix" : "" } ], "container-title" : "Journal of Accounting Education", "id" : "ITEM-1", "issue" : "1", "issued" : { "date-parts" : [ [ "2010" ] ] }, "page" : "1-12", "publisher" : "Elsevier Ltd", "title" : "Beyond just desserts: The gendered nature of the connection between effort and achievement for accounting students", "type" : "article-journal", "volume" : "28" }, "uris" : [ "http://www.mendeley.com/documents/?uuid=a4784f5d-9111-4a86-ad37-cc2e0f11189a" ] } ], "mendeley" : { "formattedCitation" : "(Fogarty and Goldwater, 2010)", "manualFormatting" : "Fogarty and Goldwater (2011)", "plainTextFormattedCitation" : "(Fogarty and Goldwater, 2010)", "previouslyFormattedCitation" : "(Fogarty and Goldwater, 2010)" }, "properties" : { "noteIndex" : 0 }, "schema" : "https://github.com/citation-style-language/schema/raw/master/csl-citation.json" }</w:instrText>
      </w:r>
      <w:r w:rsidRPr="003F2E2C">
        <w:rPr>
          <w:rFonts w:ascii="Times New Roman" w:hAnsi="Times New Roman" w:cs="Times New Roman"/>
          <w:sz w:val="24"/>
          <w:szCs w:val="24"/>
        </w:rPr>
        <w:fldChar w:fldCharType="separate"/>
      </w:r>
      <w:r w:rsidRPr="003F2E2C">
        <w:rPr>
          <w:rFonts w:ascii="Times New Roman" w:hAnsi="Times New Roman" w:cs="Times New Roman"/>
          <w:sz w:val="24"/>
          <w:szCs w:val="24"/>
        </w:rPr>
        <w:t>Fogarty and Goldwater (2011)</w:t>
      </w:r>
      <w:r w:rsidRPr="003F2E2C">
        <w:rPr>
          <w:rFonts w:ascii="Times New Roman" w:hAnsi="Times New Roman" w:cs="Times New Roman"/>
          <w:sz w:val="24"/>
          <w:szCs w:val="24"/>
        </w:rPr>
        <w:fldChar w:fldCharType="end"/>
      </w:r>
      <w:r w:rsidRPr="003F2E2C">
        <w:rPr>
          <w:rFonts w:ascii="Times New Roman" w:hAnsi="Times New Roman" w:cs="Times New Roman"/>
          <w:sz w:val="24"/>
          <w:szCs w:val="24"/>
        </w:rPr>
        <w:t xml:space="preserve"> reported that self-selection into a programme has</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positive</w:t>
      </w:r>
      <w:r w:rsidRPr="003F2E2C">
        <w:rPr>
          <w:rFonts w:ascii="Times New Roman" w:hAnsi="Times New Roman" w:cs="Times New Roman"/>
          <w:sz w:val="24"/>
          <w:szCs w:val="24"/>
        </w:rPr>
        <w:t xml:space="preserve"> association with academic performance. </w:t>
      </w:r>
      <w:r w:rsidR="0065332C" w:rsidRPr="003F2E2C">
        <w:rPr>
          <w:rFonts w:ascii="Times New Roman" w:hAnsi="Times New Roman" w:cs="Times New Roman"/>
          <w:noProof/>
          <w:sz w:val="24"/>
          <w:szCs w:val="24"/>
        </w:rPr>
        <w:t>W</w:t>
      </w:r>
      <w:r w:rsidR="004C3EC2" w:rsidRPr="003F2E2C">
        <w:rPr>
          <w:rFonts w:ascii="Times New Roman" w:hAnsi="Times New Roman" w:cs="Times New Roman"/>
          <w:noProof/>
          <w:sz w:val="24"/>
          <w:szCs w:val="24"/>
        </w:rPr>
        <w:t>e</w:t>
      </w:r>
      <w:r w:rsidR="00272EF8" w:rsidRPr="003F2E2C">
        <w:rPr>
          <w:rFonts w:ascii="Times New Roman" w:hAnsi="Times New Roman" w:cs="Times New Roman"/>
          <w:noProof/>
          <w:sz w:val="24"/>
          <w:szCs w:val="24"/>
        </w:rPr>
        <w:t>, therefore,</w:t>
      </w:r>
      <w:r w:rsidR="004C3EC2" w:rsidRPr="003F2E2C">
        <w:rPr>
          <w:rFonts w:ascii="Times New Roman" w:hAnsi="Times New Roman" w:cs="Times New Roman"/>
          <w:sz w:val="24"/>
          <w:szCs w:val="24"/>
        </w:rPr>
        <w:t xml:space="preserve"> contend that in instances where students are forced or induced or</w:t>
      </w:r>
      <w:r w:rsidR="00670E25" w:rsidRPr="003F2E2C">
        <w:rPr>
          <w:rFonts w:ascii="Times New Roman" w:hAnsi="Times New Roman" w:cs="Times New Roman"/>
          <w:sz w:val="24"/>
          <w:szCs w:val="24"/>
        </w:rPr>
        <w:t xml:space="preserve"> wrongly advised to read accounting programme</w:t>
      </w:r>
      <w:r w:rsidR="004C3EC2" w:rsidRPr="003F2E2C">
        <w:rPr>
          <w:rFonts w:ascii="Times New Roman" w:hAnsi="Times New Roman" w:cs="Times New Roman"/>
          <w:sz w:val="24"/>
          <w:szCs w:val="24"/>
        </w:rPr>
        <w:t xml:space="preserve"> that under normal circumstances they would not have </w:t>
      </w:r>
      <w:r w:rsidR="00694918" w:rsidRPr="003F2E2C">
        <w:rPr>
          <w:rFonts w:ascii="Times New Roman" w:hAnsi="Times New Roman" w:cs="Times New Roman"/>
          <w:noProof/>
          <w:sz w:val="24"/>
          <w:szCs w:val="24"/>
        </w:rPr>
        <w:t>op</w:t>
      </w:r>
      <w:r w:rsidR="003E5B87" w:rsidRPr="003F2E2C">
        <w:rPr>
          <w:rFonts w:ascii="Times New Roman" w:hAnsi="Times New Roman" w:cs="Times New Roman"/>
          <w:noProof/>
          <w:sz w:val="24"/>
          <w:szCs w:val="24"/>
        </w:rPr>
        <w:t>t</w:t>
      </w:r>
      <w:r w:rsidR="00694918" w:rsidRPr="003F2E2C">
        <w:rPr>
          <w:rFonts w:ascii="Times New Roman" w:hAnsi="Times New Roman" w:cs="Times New Roman"/>
          <w:noProof/>
          <w:sz w:val="24"/>
          <w:szCs w:val="24"/>
        </w:rPr>
        <w:t>e</w:t>
      </w:r>
      <w:r w:rsidR="003E5B87" w:rsidRPr="003F2E2C">
        <w:rPr>
          <w:rFonts w:ascii="Times New Roman" w:hAnsi="Times New Roman" w:cs="Times New Roman"/>
          <w:noProof/>
          <w:sz w:val="24"/>
          <w:szCs w:val="24"/>
        </w:rPr>
        <w:t>d</w:t>
      </w:r>
      <w:r w:rsidR="00E51687" w:rsidRPr="003F2E2C">
        <w:rPr>
          <w:rFonts w:ascii="Times New Roman" w:hAnsi="Times New Roman" w:cs="Times New Roman"/>
          <w:sz w:val="24"/>
          <w:szCs w:val="24"/>
        </w:rPr>
        <w:t xml:space="preserve"> for,</w:t>
      </w:r>
      <w:r w:rsidR="004C3EC2" w:rsidRPr="003F2E2C">
        <w:rPr>
          <w:rFonts w:ascii="Times New Roman" w:hAnsi="Times New Roman" w:cs="Times New Roman"/>
          <w:sz w:val="24"/>
          <w:szCs w:val="24"/>
        </w:rPr>
        <w:t xml:space="preserve"> may have negative consequences on their education, which could manifest in the area </w:t>
      </w:r>
      <w:r w:rsidR="00D86D68" w:rsidRPr="003F2E2C">
        <w:rPr>
          <w:rFonts w:ascii="Times New Roman" w:hAnsi="Times New Roman" w:cs="Times New Roman"/>
          <w:sz w:val="24"/>
          <w:szCs w:val="24"/>
        </w:rPr>
        <w:t xml:space="preserve">of </w:t>
      </w:r>
      <w:r w:rsidR="004C3EC2" w:rsidRPr="003F2E2C">
        <w:rPr>
          <w:rFonts w:ascii="Times New Roman" w:hAnsi="Times New Roman" w:cs="Times New Roman"/>
          <w:sz w:val="24"/>
          <w:szCs w:val="24"/>
        </w:rPr>
        <w:t xml:space="preserve">poor </w:t>
      </w:r>
      <w:r w:rsidR="00670E25" w:rsidRPr="003F2E2C">
        <w:rPr>
          <w:rFonts w:ascii="Times New Roman" w:hAnsi="Times New Roman" w:cs="Times New Roman"/>
          <w:sz w:val="24"/>
          <w:szCs w:val="24"/>
        </w:rPr>
        <w:t>academic</w:t>
      </w:r>
      <w:r w:rsidR="004C3EC2" w:rsidRPr="003F2E2C">
        <w:rPr>
          <w:rFonts w:ascii="Times New Roman" w:hAnsi="Times New Roman" w:cs="Times New Roman"/>
          <w:sz w:val="24"/>
          <w:szCs w:val="24"/>
        </w:rPr>
        <w:t xml:space="preserve"> performance. </w:t>
      </w:r>
      <w:r w:rsidR="00EA2111" w:rsidRPr="003F2E2C">
        <w:rPr>
          <w:rFonts w:ascii="Times New Roman" w:hAnsi="Times New Roman" w:cs="Times New Roman"/>
          <w:sz w:val="24"/>
          <w:szCs w:val="24"/>
        </w:rPr>
        <w:t>It is therefore hypothesised that:</w:t>
      </w:r>
    </w:p>
    <w:p w14:paraId="7F78E2D8" w14:textId="77777777" w:rsidR="002B1613" w:rsidRPr="003F2E2C" w:rsidRDefault="002B1613" w:rsidP="00161EBC">
      <w:pPr>
        <w:autoSpaceDE w:val="0"/>
        <w:autoSpaceDN w:val="0"/>
        <w:adjustRightInd w:val="0"/>
        <w:spacing w:after="0" w:line="360" w:lineRule="auto"/>
        <w:jc w:val="both"/>
        <w:rPr>
          <w:rFonts w:ascii="Times New Roman" w:hAnsi="Times New Roman" w:cs="Times New Roman"/>
          <w:i/>
          <w:sz w:val="24"/>
          <w:szCs w:val="24"/>
        </w:rPr>
      </w:pPr>
    </w:p>
    <w:p w14:paraId="5ACE6C72" w14:textId="0D7C9550" w:rsidR="00161EBC" w:rsidRPr="003F2E2C" w:rsidRDefault="0013597C" w:rsidP="00161EBC">
      <w:pPr>
        <w:autoSpaceDE w:val="0"/>
        <w:autoSpaceDN w:val="0"/>
        <w:adjustRightInd w:val="0"/>
        <w:spacing w:after="0" w:line="360" w:lineRule="auto"/>
        <w:jc w:val="both"/>
        <w:rPr>
          <w:rFonts w:ascii="Times New Roman" w:hAnsi="Times New Roman" w:cs="Times New Roman"/>
          <w:sz w:val="24"/>
          <w:szCs w:val="24"/>
        </w:rPr>
      </w:pPr>
      <w:r w:rsidRPr="003F2E2C">
        <w:rPr>
          <w:rFonts w:ascii="Times New Roman" w:hAnsi="Times New Roman" w:cs="Times New Roman"/>
          <w:i/>
          <w:sz w:val="24"/>
          <w:szCs w:val="24"/>
        </w:rPr>
        <w:t>H</w:t>
      </w:r>
      <w:r w:rsidRPr="003F2E2C">
        <w:rPr>
          <w:rFonts w:ascii="Times New Roman" w:hAnsi="Times New Roman" w:cs="Times New Roman"/>
          <w:i/>
          <w:sz w:val="24"/>
          <w:szCs w:val="24"/>
          <w:vertAlign w:val="subscript"/>
        </w:rPr>
        <w:t>2</w:t>
      </w:r>
      <w:r w:rsidRPr="003F2E2C">
        <w:rPr>
          <w:rFonts w:ascii="Times New Roman" w:hAnsi="Times New Roman" w:cs="Times New Roman"/>
          <w:sz w:val="24"/>
          <w:szCs w:val="24"/>
        </w:rPr>
        <w:t xml:space="preserve"> </w:t>
      </w:r>
      <w:r w:rsidRPr="003F2E2C">
        <w:rPr>
          <w:rFonts w:ascii="Times New Roman" w:hAnsi="Times New Roman" w:cs="Times New Roman"/>
          <w:i/>
          <w:sz w:val="24"/>
          <w:szCs w:val="24"/>
        </w:rPr>
        <w:t xml:space="preserve">Volition is positively </w:t>
      </w:r>
      <w:r w:rsidR="00372A85" w:rsidRPr="003F2E2C">
        <w:rPr>
          <w:rFonts w:ascii="Times New Roman" w:hAnsi="Times New Roman" w:cs="Times New Roman"/>
          <w:i/>
          <w:sz w:val="24"/>
          <w:szCs w:val="24"/>
        </w:rPr>
        <w:t>related to academic performance</w:t>
      </w:r>
      <w:r w:rsidR="00843B03" w:rsidRPr="003F2E2C">
        <w:rPr>
          <w:rFonts w:ascii="Times New Roman" w:hAnsi="Times New Roman" w:cs="Times New Roman"/>
          <w:i/>
          <w:sz w:val="24"/>
          <w:szCs w:val="24"/>
        </w:rPr>
        <w:t>.</w:t>
      </w:r>
    </w:p>
    <w:p w14:paraId="3C233525" w14:textId="77777777" w:rsidR="001C350E" w:rsidRPr="003F2E2C" w:rsidRDefault="001C350E" w:rsidP="008E0E3E">
      <w:pPr>
        <w:autoSpaceDE w:val="0"/>
        <w:autoSpaceDN w:val="0"/>
        <w:adjustRightInd w:val="0"/>
        <w:spacing w:after="0" w:line="360" w:lineRule="auto"/>
        <w:jc w:val="both"/>
        <w:rPr>
          <w:rFonts w:ascii="Times New Roman" w:hAnsi="Times New Roman" w:cs="Times New Roman"/>
          <w:sz w:val="24"/>
          <w:szCs w:val="24"/>
        </w:rPr>
      </w:pPr>
    </w:p>
    <w:p w14:paraId="70F03E54" w14:textId="77777777" w:rsidR="00E51687" w:rsidRPr="003F2E2C" w:rsidRDefault="00E51687" w:rsidP="008E0E3E">
      <w:pPr>
        <w:autoSpaceDE w:val="0"/>
        <w:autoSpaceDN w:val="0"/>
        <w:adjustRightInd w:val="0"/>
        <w:spacing w:after="0" w:line="360" w:lineRule="auto"/>
        <w:jc w:val="both"/>
        <w:rPr>
          <w:rFonts w:ascii="Times New Roman" w:hAnsi="Times New Roman" w:cs="Times New Roman"/>
          <w:i/>
          <w:sz w:val="24"/>
          <w:szCs w:val="24"/>
        </w:rPr>
      </w:pPr>
    </w:p>
    <w:p w14:paraId="6B2E1979" w14:textId="06E2708C" w:rsidR="00181729" w:rsidRPr="003F2E2C" w:rsidRDefault="0013597C" w:rsidP="008E0E3E">
      <w:pPr>
        <w:autoSpaceDE w:val="0"/>
        <w:autoSpaceDN w:val="0"/>
        <w:adjustRightInd w:val="0"/>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3.2.3</w:t>
      </w:r>
      <w:r w:rsidR="00886399" w:rsidRPr="003F2E2C">
        <w:rPr>
          <w:rFonts w:ascii="Times New Roman" w:hAnsi="Times New Roman" w:cs="Times New Roman"/>
          <w:i/>
          <w:sz w:val="24"/>
          <w:szCs w:val="24"/>
        </w:rPr>
        <w:t xml:space="preserve"> </w:t>
      </w:r>
      <w:r w:rsidRPr="003F2E2C">
        <w:rPr>
          <w:rFonts w:ascii="Times New Roman" w:hAnsi="Times New Roman" w:cs="Times New Roman"/>
          <w:i/>
          <w:sz w:val="24"/>
          <w:szCs w:val="24"/>
        </w:rPr>
        <w:t>Academic Interest</w:t>
      </w:r>
    </w:p>
    <w:p w14:paraId="3094294E" w14:textId="162DD992" w:rsidR="004F0103" w:rsidRPr="003F2E2C" w:rsidRDefault="0013597C" w:rsidP="004F0103">
      <w:pPr>
        <w:autoSpaceDE w:val="0"/>
        <w:autoSpaceDN w:val="0"/>
        <w:adjustRightInd w:val="0"/>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It is believed that students who have interest in a particular academic discipline and seek to pursue personal goals, vigorously engage in learning activities which are aimed at achieving understanding and intellectual devel</w:t>
      </w:r>
      <w:r w:rsidR="00FE46A8" w:rsidRPr="003F2E2C">
        <w:rPr>
          <w:rFonts w:ascii="Times New Roman" w:hAnsi="Times New Roman" w:cs="Times New Roman"/>
          <w:sz w:val="24"/>
          <w:szCs w:val="24"/>
        </w:rPr>
        <w:t>opment (Lepper</w:t>
      </w:r>
      <w:r w:rsidR="006947E6" w:rsidRPr="003F2E2C">
        <w:rPr>
          <w:rFonts w:ascii="Times New Roman" w:hAnsi="Times New Roman" w:cs="Times New Roman"/>
          <w:sz w:val="24"/>
          <w:szCs w:val="24"/>
        </w:rPr>
        <w:t>,</w:t>
      </w:r>
      <w:r w:rsidR="00FE46A8" w:rsidRPr="003F2E2C">
        <w:rPr>
          <w:rFonts w:ascii="Times New Roman" w:hAnsi="Times New Roman" w:cs="Times New Roman"/>
          <w:sz w:val="24"/>
          <w:szCs w:val="24"/>
        </w:rPr>
        <w:t xml:space="preserve"> 1988; Paulsen &amp;</w:t>
      </w:r>
      <w:r w:rsidRPr="003F2E2C">
        <w:rPr>
          <w:rFonts w:ascii="Times New Roman" w:hAnsi="Times New Roman" w:cs="Times New Roman"/>
          <w:sz w:val="24"/>
          <w:szCs w:val="24"/>
        </w:rPr>
        <w:t xml:space="preserve"> Gentry</w:t>
      </w:r>
      <w:r w:rsidR="00843B03" w:rsidRPr="003F2E2C">
        <w:rPr>
          <w:rFonts w:ascii="Times New Roman" w:hAnsi="Times New Roman" w:cs="Times New Roman"/>
          <w:sz w:val="24"/>
          <w:szCs w:val="24"/>
        </w:rPr>
        <w:t>,</w:t>
      </w:r>
      <w:r w:rsidRPr="003F2E2C">
        <w:rPr>
          <w:rFonts w:ascii="Times New Roman" w:hAnsi="Times New Roman" w:cs="Times New Roman"/>
          <w:sz w:val="24"/>
          <w:szCs w:val="24"/>
        </w:rPr>
        <w:t xml:space="preserve"> 1995; Donald, 1999). Students with</w:t>
      </w:r>
      <w:r w:rsidR="00272EF8" w:rsidRPr="003F2E2C">
        <w:rPr>
          <w:rFonts w:ascii="Times New Roman" w:hAnsi="Times New Roman" w:cs="Times New Roman"/>
          <w:sz w:val="24"/>
          <w:szCs w:val="24"/>
        </w:rPr>
        <w:t xml:space="preserve"> an</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academic</w:t>
      </w:r>
      <w:r w:rsidRPr="003F2E2C">
        <w:rPr>
          <w:rFonts w:ascii="Times New Roman" w:hAnsi="Times New Roman" w:cs="Times New Roman"/>
          <w:sz w:val="24"/>
          <w:szCs w:val="24"/>
        </w:rPr>
        <w:t xml:space="preserve"> interest in accounting are more likely to develop adequate skills and aptitude for accounting</w:t>
      </w:r>
      <w:r w:rsidR="00B24F9C" w:rsidRPr="003F2E2C">
        <w:rPr>
          <w:rFonts w:ascii="Times New Roman" w:hAnsi="Times New Roman" w:cs="Times New Roman"/>
          <w:sz w:val="24"/>
          <w:szCs w:val="24"/>
        </w:rPr>
        <w:t>. These are important in order t</w:t>
      </w:r>
      <w:r w:rsidRPr="003F2E2C">
        <w:rPr>
          <w:rFonts w:ascii="Times New Roman" w:hAnsi="Times New Roman" w:cs="Times New Roman"/>
          <w:sz w:val="24"/>
          <w:szCs w:val="24"/>
        </w:rPr>
        <w:t>o overcome perceived challenges of the subject being boring, highly numerical and requ</w:t>
      </w:r>
      <w:r w:rsidR="00FE46A8" w:rsidRPr="003F2E2C">
        <w:rPr>
          <w:rFonts w:ascii="Times New Roman" w:hAnsi="Times New Roman" w:cs="Times New Roman"/>
          <w:sz w:val="24"/>
          <w:szCs w:val="24"/>
        </w:rPr>
        <w:t>iring heavy workload (Fisher &amp;</w:t>
      </w:r>
      <w:r w:rsidRPr="003F2E2C">
        <w:rPr>
          <w:rFonts w:ascii="Times New Roman" w:hAnsi="Times New Roman" w:cs="Times New Roman"/>
          <w:sz w:val="24"/>
          <w:szCs w:val="24"/>
        </w:rPr>
        <w:t xml:space="preserve"> M</w:t>
      </w:r>
      <w:r w:rsidR="00FE46A8" w:rsidRPr="003F2E2C">
        <w:rPr>
          <w:rFonts w:ascii="Times New Roman" w:hAnsi="Times New Roman" w:cs="Times New Roman"/>
          <w:sz w:val="24"/>
          <w:szCs w:val="24"/>
        </w:rPr>
        <w:t>urphy, 1995; Geiger &amp;</w:t>
      </w:r>
      <w:r w:rsidRPr="003F2E2C">
        <w:rPr>
          <w:rFonts w:ascii="Times New Roman" w:hAnsi="Times New Roman" w:cs="Times New Roman"/>
          <w:sz w:val="24"/>
          <w:szCs w:val="24"/>
        </w:rPr>
        <w:t xml:space="preserve"> Ogilby</w:t>
      </w:r>
      <w:r w:rsidR="00843B03" w:rsidRPr="003F2E2C">
        <w:rPr>
          <w:rFonts w:ascii="Times New Roman" w:hAnsi="Times New Roman" w:cs="Times New Roman"/>
          <w:sz w:val="24"/>
          <w:szCs w:val="24"/>
        </w:rPr>
        <w:t>,</w:t>
      </w:r>
      <w:r w:rsidRPr="003F2E2C">
        <w:rPr>
          <w:rFonts w:ascii="Times New Roman" w:hAnsi="Times New Roman" w:cs="Times New Roman"/>
          <w:sz w:val="24"/>
          <w:szCs w:val="24"/>
        </w:rPr>
        <w:t xml:space="preserve"> 2000; Allen</w:t>
      </w:r>
      <w:r w:rsidR="00843B03" w:rsidRPr="003F2E2C">
        <w:rPr>
          <w:rFonts w:ascii="Times New Roman" w:hAnsi="Times New Roman" w:cs="Times New Roman"/>
          <w:sz w:val="24"/>
          <w:szCs w:val="24"/>
        </w:rPr>
        <w:t>,</w:t>
      </w:r>
      <w:r w:rsidRPr="003F2E2C">
        <w:rPr>
          <w:rFonts w:ascii="Times New Roman" w:hAnsi="Times New Roman" w:cs="Times New Roman"/>
          <w:sz w:val="24"/>
          <w:szCs w:val="24"/>
        </w:rPr>
        <w:t xml:space="preserve"> 2004) which affect academic performance. Academic interest is closely associated with self-efficacy (ta</w:t>
      </w:r>
      <w:r w:rsidR="00FE46A8" w:rsidRPr="003F2E2C">
        <w:rPr>
          <w:rFonts w:ascii="Times New Roman" w:hAnsi="Times New Roman" w:cs="Times New Roman"/>
          <w:sz w:val="24"/>
          <w:szCs w:val="24"/>
        </w:rPr>
        <w:t>sk-specific mastery) (Fallen &amp;</w:t>
      </w:r>
      <w:r w:rsidRPr="003F2E2C">
        <w:rPr>
          <w:rFonts w:ascii="Times New Roman" w:hAnsi="Times New Roman" w:cs="Times New Roman"/>
          <w:sz w:val="24"/>
          <w:szCs w:val="24"/>
        </w:rPr>
        <w:t xml:space="preserve"> Opstad 2014) which is the ability to organise and perform the necessary acts to provide</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solu</w:t>
      </w:r>
      <w:r w:rsidR="00843B03" w:rsidRPr="003F2E2C">
        <w:rPr>
          <w:rFonts w:ascii="Times New Roman" w:hAnsi="Times New Roman" w:cs="Times New Roman"/>
          <w:noProof/>
          <w:sz w:val="24"/>
          <w:szCs w:val="24"/>
        </w:rPr>
        <w:t>tion</w:t>
      </w:r>
      <w:r w:rsidR="00843B03" w:rsidRPr="003F2E2C">
        <w:rPr>
          <w:rFonts w:ascii="Times New Roman" w:hAnsi="Times New Roman" w:cs="Times New Roman"/>
          <w:sz w:val="24"/>
          <w:szCs w:val="24"/>
        </w:rPr>
        <w:t xml:space="preserve"> to</w:t>
      </w:r>
      <w:r w:rsidR="00272EF8" w:rsidRPr="003F2E2C">
        <w:rPr>
          <w:rFonts w:ascii="Times New Roman" w:hAnsi="Times New Roman" w:cs="Times New Roman"/>
          <w:sz w:val="24"/>
          <w:szCs w:val="24"/>
        </w:rPr>
        <w:t xml:space="preserve"> a</w:t>
      </w:r>
      <w:r w:rsidR="00843B03" w:rsidRPr="003F2E2C">
        <w:rPr>
          <w:rFonts w:ascii="Times New Roman" w:hAnsi="Times New Roman" w:cs="Times New Roman"/>
          <w:sz w:val="24"/>
          <w:szCs w:val="24"/>
        </w:rPr>
        <w:t xml:space="preserve"> </w:t>
      </w:r>
      <w:r w:rsidR="00843B03" w:rsidRPr="003F2E2C">
        <w:rPr>
          <w:rFonts w:ascii="Times New Roman" w:hAnsi="Times New Roman" w:cs="Times New Roman"/>
          <w:noProof/>
          <w:sz w:val="24"/>
          <w:szCs w:val="24"/>
        </w:rPr>
        <w:t>specific</w:t>
      </w:r>
      <w:r w:rsidR="00843B03" w:rsidRPr="003F2E2C">
        <w:rPr>
          <w:rFonts w:ascii="Times New Roman" w:hAnsi="Times New Roman" w:cs="Times New Roman"/>
          <w:sz w:val="24"/>
          <w:szCs w:val="24"/>
        </w:rPr>
        <w:t xml:space="preserve"> task (Bandura, </w:t>
      </w:r>
      <w:r w:rsidRPr="003F2E2C">
        <w:rPr>
          <w:rFonts w:ascii="Times New Roman" w:hAnsi="Times New Roman" w:cs="Times New Roman"/>
          <w:sz w:val="24"/>
          <w:szCs w:val="24"/>
        </w:rPr>
        <w:t>1986).  Advocates propose that mastering ability in</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perceived</w:t>
      </w:r>
      <w:r w:rsidRPr="003F2E2C">
        <w:rPr>
          <w:rFonts w:ascii="Times New Roman" w:hAnsi="Times New Roman" w:cs="Times New Roman"/>
          <w:sz w:val="24"/>
          <w:szCs w:val="24"/>
        </w:rPr>
        <w:t xml:space="preserve"> difficult subject such as accounting is important since it </w:t>
      </w:r>
      <w:r w:rsidRPr="003F2E2C">
        <w:rPr>
          <w:rFonts w:ascii="Times New Roman" w:hAnsi="Times New Roman" w:cs="Times New Roman"/>
          <w:noProof/>
          <w:sz w:val="24"/>
          <w:szCs w:val="24"/>
        </w:rPr>
        <w:t>affect</w:t>
      </w:r>
      <w:r w:rsidR="00272EF8" w:rsidRPr="003F2E2C">
        <w:rPr>
          <w:rFonts w:ascii="Times New Roman" w:hAnsi="Times New Roman" w:cs="Times New Roman"/>
          <w:noProof/>
          <w:sz w:val="24"/>
          <w:szCs w:val="24"/>
        </w:rPr>
        <w:t>s</w:t>
      </w:r>
      <w:r w:rsidRPr="003F2E2C">
        <w:rPr>
          <w:rFonts w:ascii="Times New Roman" w:hAnsi="Times New Roman" w:cs="Times New Roman"/>
          <w:sz w:val="24"/>
          <w:szCs w:val="24"/>
        </w:rPr>
        <w:t xml:space="preserve"> learning outcomes and perfo</w:t>
      </w:r>
      <w:r w:rsidR="00FE46A8" w:rsidRPr="003F2E2C">
        <w:rPr>
          <w:rFonts w:ascii="Times New Roman" w:hAnsi="Times New Roman" w:cs="Times New Roman"/>
          <w:sz w:val="24"/>
          <w:szCs w:val="24"/>
        </w:rPr>
        <w:t>rmance significantly (Fallen &amp;</w:t>
      </w:r>
      <w:r w:rsidR="00143871" w:rsidRPr="003F2E2C">
        <w:rPr>
          <w:rFonts w:ascii="Times New Roman" w:hAnsi="Times New Roman" w:cs="Times New Roman"/>
          <w:sz w:val="24"/>
          <w:szCs w:val="24"/>
        </w:rPr>
        <w:t xml:space="preserve"> Opstad,</w:t>
      </w:r>
      <w:r w:rsidRPr="003F2E2C">
        <w:rPr>
          <w:rFonts w:ascii="Times New Roman" w:hAnsi="Times New Roman" w:cs="Times New Roman"/>
          <w:sz w:val="24"/>
          <w:szCs w:val="24"/>
        </w:rPr>
        <w:t xml:space="preserve"> 2014). </w:t>
      </w:r>
      <w:r w:rsidR="001204CD" w:rsidRPr="003F2E2C">
        <w:rPr>
          <w:rFonts w:ascii="Times New Roman" w:hAnsi="Times New Roman" w:cs="Times New Roman"/>
          <w:sz w:val="24"/>
          <w:szCs w:val="24"/>
        </w:rPr>
        <w:t>Köller</w:t>
      </w:r>
      <w:r w:rsidRPr="003F2E2C">
        <w:rPr>
          <w:rFonts w:ascii="Times New Roman" w:hAnsi="Times New Roman" w:cs="Times New Roman"/>
          <w:sz w:val="24"/>
          <w:szCs w:val="24"/>
        </w:rPr>
        <w:t xml:space="preserve"> (2001) suggested that academic interest may have</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positive</w:t>
      </w:r>
      <w:r w:rsidRPr="003F2E2C">
        <w:rPr>
          <w:rFonts w:ascii="Times New Roman" w:hAnsi="Times New Roman" w:cs="Times New Roman"/>
          <w:sz w:val="24"/>
          <w:szCs w:val="24"/>
        </w:rPr>
        <w:t xml:space="preserve"> effect on academic achievement </w:t>
      </w:r>
      <w:r w:rsidR="005520D6" w:rsidRPr="003F2E2C">
        <w:rPr>
          <w:rFonts w:ascii="Times New Roman" w:hAnsi="Times New Roman" w:cs="Times New Roman"/>
          <w:sz w:val="24"/>
          <w:szCs w:val="24"/>
        </w:rPr>
        <w:t>since it</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underline</w:t>
      </w:r>
      <w:r w:rsidR="00272EF8" w:rsidRPr="003F2E2C">
        <w:rPr>
          <w:rFonts w:ascii="Times New Roman" w:hAnsi="Times New Roman" w:cs="Times New Roman"/>
          <w:noProof/>
          <w:sz w:val="24"/>
          <w:szCs w:val="24"/>
        </w:rPr>
        <w:t>s</w:t>
      </w:r>
      <w:r w:rsidRPr="003F2E2C">
        <w:rPr>
          <w:rFonts w:ascii="Times New Roman" w:hAnsi="Times New Roman" w:cs="Times New Roman"/>
          <w:sz w:val="24"/>
          <w:szCs w:val="24"/>
        </w:rPr>
        <w:t xml:space="preserve"> academic choices </w:t>
      </w:r>
      <w:r w:rsidR="005520D6" w:rsidRPr="003F2E2C">
        <w:rPr>
          <w:rFonts w:ascii="Times New Roman" w:hAnsi="Times New Roman" w:cs="Times New Roman"/>
          <w:sz w:val="24"/>
          <w:szCs w:val="24"/>
        </w:rPr>
        <w:t xml:space="preserve">and </w:t>
      </w:r>
      <w:r w:rsidRPr="003F2E2C">
        <w:rPr>
          <w:rFonts w:ascii="Times New Roman" w:hAnsi="Times New Roman" w:cs="Times New Roman"/>
          <w:sz w:val="24"/>
          <w:szCs w:val="24"/>
        </w:rPr>
        <w:t xml:space="preserve">self-regulated </w:t>
      </w:r>
      <w:r w:rsidRPr="003F2E2C">
        <w:rPr>
          <w:rFonts w:ascii="Times New Roman" w:hAnsi="Times New Roman" w:cs="Times New Roman"/>
          <w:noProof/>
          <w:sz w:val="24"/>
          <w:szCs w:val="24"/>
        </w:rPr>
        <w:t>learning</w:t>
      </w:r>
      <w:r w:rsidR="00272EF8" w:rsidRPr="003F2E2C">
        <w:rPr>
          <w:rFonts w:ascii="Times New Roman" w:hAnsi="Times New Roman" w:cs="Times New Roman"/>
          <w:noProof/>
          <w:sz w:val="24"/>
          <w:szCs w:val="24"/>
        </w:rPr>
        <w:t>,</w:t>
      </w:r>
      <w:r w:rsidRPr="003F2E2C">
        <w:rPr>
          <w:rFonts w:ascii="Times New Roman" w:hAnsi="Times New Roman" w:cs="Times New Roman"/>
          <w:sz w:val="24"/>
          <w:szCs w:val="24"/>
        </w:rPr>
        <w:t xml:space="preserve"> particularly in less structured instructional settings. Thus, academic interest evokes personal control, self-determination, positive emotions and feeling of autonomy which are all actions with a likely positive effect on academic achievement. In addition, better performance is expected since interest is a mental resource which enhances learning through</w:t>
      </w:r>
      <w:r w:rsidR="00272EF8" w:rsidRPr="003F2E2C">
        <w:rPr>
          <w:rFonts w:ascii="Times New Roman" w:hAnsi="Times New Roman" w:cs="Times New Roman"/>
          <w:sz w:val="24"/>
          <w:szCs w:val="24"/>
        </w:rPr>
        <w:t xml:space="preserve"> the</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promotion</w:t>
      </w:r>
      <w:r w:rsidRPr="003F2E2C">
        <w:rPr>
          <w:rFonts w:ascii="Times New Roman" w:hAnsi="Times New Roman" w:cs="Times New Roman"/>
          <w:sz w:val="24"/>
          <w:szCs w:val="24"/>
        </w:rPr>
        <w:t xml:space="preserve"> of attention, task persistence,</w:t>
      </w:r>
      <w:r w:rsidR="00DE1D3E" w:rsidRPr="003F2E2C">
        <w:rPr>
          <w:rFonts w:ascii="Times New Roman" w:hAnsi="Times New Roman" w:cs="Times New Roman"/>
          <w:sz w:val="24"/>
          <w:szCs w:val="24"/>
        </w:rPr>
        <w:t xml:space="preserve"> recall and effort (</w:t>
      </w:r>
      <w:r w:rsidR="006947E6" w:rsidRPr="003F2E2C">
        <w:rPr>
          <w:rFonts w:ascii="Times New Roman" w:hAnsi="Times New Roman" w:cs="Times New Roman"/>
          <w:sz w:val="24"/>
          <w:szCs w:val="24"/>
        </w:rPr>
        <w:t>Ainley, Hidi, &amp; Berndorff</w:t>
      </w:r>
      <w:r w:rsidR="00843B03" w:rsidRPr="003F2E2C">
        <w:rPr>
          <w:rFonts w:ascii="Times New Roman" w:hAnsi="Times New Roman" w:cs="Times New Roman"/>
          <w:sz w:val="24"/>
          <w:szCs w:val="24"/>
        </w:rPr>
        <w:t>,</w:t>
      </w:r>
      <w:r w:rsidR="00FE46A8" w:rsidRPr="003F2E2C">
        <w:rPr>
          <w:rFonts w:ascii="Times New Roman" w:hAnsi="Times New Roman" w:cs="Times New Roman"/>
          <w:sz w:val="24"/>
          <w:szCs w:val="24"/>
        </w:rPr>
        <w:t xml:space="preserve"> 2002; Hidi &amp;</w:t>
      </w:r>
      <w:r w:rsidRPr="003F2E2C">
        <w:rPr>
          <w:rFonts w:ascii="Times New Roman" w:hAnsi="Times New Roman" w:cs="Times New Roman"/>
          <w:sz w:val="24"/>
          <w:szCs w:val="24"/>
        </w:rPr>
        <w:t xml:space="preserve"> Renninger, 2006). Empirical results on the relationship between academic interest and performance </w:t>
      </w:r>
      <w:r w:rsidR="00272EF8" w:rsidRPr="003F2E2C">
        <w:rPr>
          <w:rFonts w:ascii="Times New Roman" w:hAnsi="Times New Roman" w:cs="Times New Roman"/>
          <w:noProof/>
          <w:sz w:val="24"/>
          <w:szCs w:val="24"/>
        </w:rPr>
        <w:t>are</w:t>
      </w:r>
      <w:r w:rsidRPr="003F2E2C">
        <w:rPr>
          <w:rFonts w:ascii="Times New Roman" w:hAnsi="Times New Roman" w:cs="Times New Roman"/>
          <w:sz w:val="24"/>
          <w:szCs w:val="24"/>
        </w:rPr>
        <w:t xml:space="preserve"> inconclusive. For example, </w:t>
      </w:r>
      <w:r w:rsidR="006947E6" w:rsidRPr="003F2E2C">
        <w:rPr>
          <w:rFonts w:ascii="Times New Roman" w:hAnsi="Times New Roman" w:cs="Times New Roman"/>
          <w:sz w:val="24"/>
          <w:szCs w:val="24"/>
        </w:rPr>
        <w:t>Garkaz, Banimahd, &amp; Esmaeili,</w:t>
      </w:r>
      <w:r w:rsidR="0032368F" w:rsidRPr="003F2E2C">
        <w:rPr>
          <w:rFonts w:ascii="Times New Roman" w:hAnsi="Times New Roman" w:cs="Times New Roman"/>
          <w:sz w:val="24"/>
          <w:szCs w:val="24"/>
        </w:rPr>
        <w:t xml:space="preserve"> </w:t>
      </w:r>
      <w:r w:rsidRPr="003F2E2C">
        <w:rPr>
          <w:rFonts w:ascii="Times New Roman" w:hAnsi="Times New Roman" w:cs="Times New Roman"/>
          <w:sz w:val="24"/>
          <w:szCs w:val="24"/>
        </w:rPr>
        <w:t>(2011) and Fallen and Opstad (2014) found</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w:t>
      </w:r>
      <w:r w:rsidR="00843B03" w:rsidRPr="003F2E2C">
        <w:rPr>
          <w:rFonts w:ascii="Times New Roman" w:hAnsi="Times New Roman" w:cs="Times New Roman"/>
          <w:sz w:val="24"/>
          <w:szCs w:val="24"/>
        </w:rPr>
        <w:t>association</w:t>
      </w:r>
      <w:r w:rsidRPr="003F2E2C">
        <w:rPr>
          <w:rFonts w:ascii="Times New Roman" w:hAnsi="Times New Roman" w:cs="Times New Roman"/>
          <w:sz w:val="24"/>
          <w:szCs w:val="24"/>
        </w:rPr>
        <w:t xml:space="preserve"> between interest and performance whilst </w:t>
      </w:r>
      <w:r w:rsidR="001204CD" w:rsidRPr="003F2E2C">
        <w:rPr>
          <w:rFonts w:ascii="Times New Roman" w:hAnsi="Times New Roman" w:cs="Times New Roman"/>
          <w:sz w:val="24"/>
          <w:szCs w:val="24"/>
        </w:rPr>
        <w:t>Köller</w:t>
      </w:r>
      <w:r w:rsidRPr="003F2E2C">
        <w:rPr>
          <w:rFonts w:ascii="Times New Roman" w:hAnsi="Times New Roman" w:cs="Times New Roman"/>
          <w:sz w:val="24"/>
          <w:szCs w:val="24"/>
        </w:rPr>
        <w:t xml:space="preserve"> (2001) in a related field of </w:t>
      </w:r>
      <w:r w:rsidR="00843B03" w:rsidRPr="003F2E2C">
        <w:rPr>
          <w:rFonts w:ascii="Times New Roman" w:hAnsi="Times New Roman" w:cs="Times New Roman"/>
          <w:sz w:val="24"/>
          <w:szCs w:val="24"/>
        </w:rPr>
        <w:t>mathematics</w:t>
      </w:r>
      <w:r w:rsidRPr="003F2E2C">
        <w:rPr>
          <w:rFonts w:ascii="Times New Roman" w:hAnsi="Times New Roman" w:cs="Times New Roman"/>
          <w:sz w:val="24"/>
          <w:szCs w:val="24"/>
        </w:rPr>
        <w:t xml:space="preserve"> found no significant effect of interest on performance. It </w:t>
      </w:r>
      <w:r w:rsidRPr="003F2E2C">
        <w:rPr>
          <w:rFonts w:ascii="Times New Roman" w:hAnsi="Times New Roman" w:cs="Times New Roman"/>
          <w:noProof/>
          <w:sz w:val="24"/>
          <w:szCs w:val="24"/>
        </w:rPr>
        <w:t>can</w:t>
      </w:r>
      <w:r w:rsidR="00272EF8" w:rsidRPr="003F2E2C">
        <w:rPr>
          <w:rFonts w:ascii="Times New Roman" w:hAnsi="Times New Roman" w:cs="Times New Roman"/>
          <w:noProof/>
          <w:sz w:val="24"/>
          <w:szCs w:val="24"/>
        </w:rPr>
        <w:t>, therefore,</w:t>
      </w:r>
      <w:r w:rsidRPr="003F2E2C">
        <w:rPr>
          <w:rFonts w:ascii="Times New Roman" w:hAnsi="Times New Roman" w:cs="Times New Roman"/>
          <w:sz w:val="24"/>
          <w:szCs w:val="24"/>
        </w:rPr>
        <w:t xml:space="preserve"> be hypothesised that:</w:t>
      </w:r>
    </w:p>
    <w:p w14:paraId="78006E88" w14:textId="77777777" w:rsidR="00886399" w:rsidRPr="003F2E2C" w:rsidRDefault="00886399" w:rsidP="004F0103">
      <w:pPr>
        <w:autoSpaceDE w:val="0"/>
        <w:autoSpaceDN w:val="0"/>
        <w:adjustRightInd w:val="0"/>
        <w:spacing w:after="0" w:line="360" w:lineRule="auto"/>
        <w:ind w:firstLine="720"/>
        <w:jc w:val="both"/>
        <w:rPr>
          <w:rFonts w:ascii="Times New Roman" w:hAnsi="Times New Roman" w:cs="Times New Roman"/>
          <w:sz w:val="24"/>
          <w:szCs w:val="24"/>
        </w:rPr>
      </w:pPr>
    </w:p>
    <w:p w14:paraId="6B00D278" w14:textId="4DE904EE" w:rsidR="00161EBC" w:rsidRPr="003F2E2C" w:rsidRDefault="0013597C" w:rsidP="00161EBC">
      <w:pPr>
        <w:autoSpaceDE w:val="0"/>
        <w:autoSpaceDN w:val="0"/>
        <w:adjustRightInd w:val="0"/>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H</w:t>
      </w:r>
      <w:r w:rsidRPr="003F2E2C">
        <w:rPr>
          <w:rFonts w:ascii="Times New Roman" w:hAnsi="Times New Roman" w:cs="Times New Roman"/>
          <w:i/>
          <w:sz w:val="24"/>
          <w:szCs w:val="24"/>
          <w:vertAlign w:val="subscript"/>
        </w:rPr>
        <w:t>3</w:t>
      </w:r>
      <w:r w:rsidRPr="003F2E2C">
        <w:rPr>
          <w:rFonts w:ascii="Times New Roman" w:hAnsi="Times New Roman" w:cs="Times New Roman"/>
          <w:sz w:val="24"/>
          <w:szCs w:val="24"/>
        </w:rPr>
        <w:t xml:space="preserve"> </w:t>
      </w:r>
      <w:r w:rsidRPr="003F2E2C">
        <w:rPr>
          <w:rFonts w:ascii="Times New Roman" w:hAnsi="Times New Roman" w:cs="Times New Roman"/>
          <w:i/>
          <w:sz w:val="24"/>
          <w:szCs w:val="24"/>
        </w:rPr>
        <w:t>Academic interest is positively related to academic performance</w:t>
      </w:r>
      <w:r w:rsidR="00843B03" w:rsidRPr="003F2E2C">
        <w:rPr>
          <w:rFonts w:ascii="Times New Roman" w:hAnsi="Times New Roman" w:cs="Times New Roman"/>
          <w:i/>
          <w:sz w:val="24"/>
          <w:szCs w:val="24"/>
        </w:rPr>
        <w:t>.</w:t>
      </w:r>
    </w:p>
    <w:p w14:paraId="19973BD5" w14:textId="77777777" w:rsidR="00161EBC" w:rsidRPr="003F2E2C" w:rsidRDefault="00161EBC" w:rsidP="008E0E3E">
      <w:pPr>
        <w:autoSpaceDE w:val="0"/>
        <w:autoSpaceDN w:val="0"/>
        <w:adjustRightInd w:val="0"/>
        <w:spacing w:after="0" w:line="360" w:lineRule="auto"/>
        <w:jc w:val="both"/>
        <w:rPr>
          <w:rFonts w:ascii="Times New Roman" w:hAnsi="Times New Roman" w:cs="Times New Roman"/>
          <w:i/>
          <w:sz w:val="24"/>
          <w:szCs w:val="24"/>
        </w:rPr>
      </w:pPr>
    </w:p>
    <w:p w14:paraId="59DF2621" w14:textId="27B10118" w:rsidR="00181729" w:rsidRPr="003F2E2C" w:rsidRDefault="0013597C" w:rsidP="008E0E3E">
      <w:pPr>
        <w:autoSpaceDE w:val="0"/>
        <w:autoSpaceDN w:val="0"/>
        <w:adjustRightInd w:val="0"/>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 xml:space="preserve">3.2.4 </w:t>
      </w:r>
      <w:r w:rsidR="00007092" w:rsidRPr="003F2E2C">
        <w:rPr>
          <w:rFonts w:ascii="Times New Roman" w:hAnsi="Times New Roman" w:cs="Times New Roman"/>
          <w:i/>
          <w:sz w:val="24"/>
          <w:szCs w:val="24"/>
        </w:rPr>
        <w:t>Learn</w:t>
      </w:r>
      <w:r w:rsidR="00524F85" w:rsidRPr="003F2E2C">
        <w:rPr>
          <w:rFonts w:ascii="Times New Roman" w:hAnsi="Times New Roman" w:cs="Times New Roman"/>
          <w:i/>
          <w:sz w:val="24"/>
          <w:szCs w:val="24"/>
        </w:rPr>
        <w:t>i</w:t>
      </w:r>
      <w:r w:rsidR="00007092" w:rsidRPr="003F2E2C">
        <w:rPr>
          <w:rFonts w:ascii="Times New Roman" w:hAnsi="Times New Roman" w:cs="Times New Roman"/>
          <w:i/>
          <w:sz w:val="24"/>
          <w:szCs w:val="24"/>
        </w:rPr>
        <w:t xml:space="preserve">ng </w:t>
      </w:r>
      <w:r w:rsidRPr="003F2E2C">
        <w:rPr>
          <w:rFonts w:ascii="Times New Roman" w:hAnsi="Times New Roman" w:cs="Times New Roman"/>
          <w:i/>
          <w:sz w:val="24"/>
          <w:szCs w:val="24"/>
        </w:rPr>
        <w:t xml:space="preserve">Attitude </w:t>
      </w:r>
    </w:p>
    <w:p w14:paraId="7A77E5E4" w14:textId="2836B93A" w:rsidR="00843B03" w:rsidRPr="003F2E2C" w:rsidRDefault="0013597C" w:rsidP="00601C0D">
      <w:pPr>
        <w:autoSpaceDE w:val="0"/>
        <w:autoSpaceDN w:val="0"/>
        <w:adjustRightInd w:val="0"/>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 suggestion that learning attitude can impact significantly on academic performance is based on the effect of attitudinal factors including study effort, class attendance and study habits. Though more time spent on studies may not guarantee excellent results, demonstrating a bad attitude towards studies is likely to affect performance negatively. Students who develop better learning at</w:t>
      </w:r>
      <w:r w:rsidR="00AC3464" w:rsidRPr="003F2E2C">
        <w:rPr>
          <w:rFonts w:ascii="Times New Roman" w:hAnsi="Times New Roman" w:cs="Times New Roman"/>
          <w:sz w:val="24"/>
          <w:szCs w:val="24"/>
        </w:rPr>
        <w:t>titude by putting in extra</w:t>
      </w:r>
      <w:r w:rsidRPr="003F2E2C">
        <w:rPr>
          <w:rFonts w:ascii="Times New Roman" w:hAnsi="Times New Roman" w:cs="Times New Roman"/>
          <w:sz w:val="24"/>
          <w:szCs w:val="24"/>
        </w:rPr>
        <w:t xml:space="preserve"> effort, attend class</w:t>
      </w:r>
      <w:r w:rsidR="008F5DBB" w:rsidRPr="003F2E2C">
        <w:rPr>
          <w:rFonts w:ascii="Times New Roman" w:hAnsi="Times New Roman" w:cs="Times New Roman"/>
          <w:sz w:val="24"/>
          <w:szCs w:val="24"/>
        </w:rPr>
        <w:t>es</w:t>
      </w:r>
      <w:r w:rsidRPr="003F2E2C">
        <w:rPr>
          <w:rFonts w:ascii="Times New Roman" w:hAnsi="Times New Roman" w:cs="Times New Roman"/>
          <w:sz w:val="24"/>
          <w:szCs w:val="24"/>
        </w:rPr>
        <w:t xml:space="preserve"> regularly and adopt good study habits such as paying attention in class and taking notes </w:t>
      </w:r>
      <w:r w:rsidRPr="003F2E2C">
        <w:rPr>
          <w:rFonts w:ascii="Times New Roman" w:hAnsi="Times New Roman" w:cs="Times New Roman"/>
          <w:noProof/>
          <w:sz w:val="24"/>
          <w:szCs w:val="24"/>
        </w:rPr>
        <w:t>develop</w:t>
      </w:r>
      <w:r w:rsidRPr="003F2E2C">
        <w:rPr>
          <w:rFonts w:ascii="Times New Roman" w:hAnsi="Times New Roman" w:cs="Times New Roman"/>
          <w:sz w:val="24"/>
          <w:szCs w:val="24"/>
        </w:rPr>
        <w:t xml:space="preserve"> better study skills</w:t>
      </w:r>
      <w:r w:rsidR="00AC3464" w:rsidRPr="003F2E2C">
        <w:rPr>
          <w:rFonts w:ascii="Times New Roman" w:hAnsi="Times New Roman" w:cs="Times New Roman"/>
          <w:sz w:val="24"/>
          <w:szCs w:val="24"/>
        </w:rPr>
        <w:t>. This may</w:t>
      </w:r>
      <w:r w:rsidRPr="003F2E2C">
        <w:rPr>
          <w:rFonts w:ascii="Times New Roman" w:hAnsi="Times New Roman" w:cs="Times New Roman"/>
          <w:sz w:val="24"/>
          <w:szCs w:val="24"/>
        </w:rPr>
        <w:t xml:space="preserve"> impact on their performance</w:t>
      </w:r>
      <w:r w:rsidR="00AC3464" w:rsidRPr="003F2E2C">
        <w:rPr>
          <w:rFonts w:ascii="Times New Roman" w:hAnsi="Times New Roman" w:cs="Times New Roman"/>
          <w:sz w:val="24"/>
          <w:szCs w:val="24"/>
        </w:rPr>
        <w:t xml:space="preserve"> positively</w:t>
      </w:r>
      <w:r w:rsidRPr="003F2E2C">
        <w:rPr>
          <w:rFonts w:ascii="Times New Roman" w:hAnsi="Times New Roman" w:cs="Times New Roman"/>
          <w:sz w:val="24"/>
          <w:szCs w:val="24"/>
        </w:rPr>
        <w:t xml:space="preserve"> (Guney 2009; Noni</w:t>
      </w:r>
      <w:r w:rsidR="00FE46A8" w:rsidRPr="003F2E2C">
        <w:rPr>
          <w:rFonts w:ascii="Times New Roman" w:hAnsi="Times New Roman" w:cs="Times New Roman"/>
          <w:sz w:val="24"/>
          <w:szCs w:val="24"/>
        </w:rPr>
        <w:t xml:space="preserve">s &amp; </w:t>
      </w:r>
      <w:r w:rsidRPr="003F2E2C">
        <w:rPr>
          <w:rFonts w:ascii="Times New Roman" w:hAnsi="Times New Roman" w:cs="Times New Roman"/>
          <w:sz w:val="24"/>
          <w:szCs w:val="24"/>
        </w:rPr>
        <w:t>Hudson, 2010). Nonis and Hudson (2010) suggested that having a good learning attitude implies organisation and access to</w:t>
      </w:r>
      <w:r w:rsidR="008F5DBB" w:rsidRPr="003F2E2C">
        <w:rPr>
          <w:rFonts w:ascii="Times New Roman" w:hAnsi="Times New Roman" w:cs="Times New Roman"/>
          <w:sz w:val="24"/>
          <w:szCs w:val="24"/>
        </w:rPr>
        <w:t xml:space="preserve"> a </w:t>
      </w:r>
      <w:r w:rsidRPr="003F2E2C">
        <w:rPr>
          <w:rFonts w:ascii="Times New Roman" w:hAnsi="Times New Roman" w:cs="Times New Roman"/>
          <w:noProof/>
          <w:sz w:val="24"/>
          <w:szCs w:val="24"/>
        </w:rPr>
        <w:t>good</w:t>
      </w:r>
      <w:r w:rsidRPr="003F2E2C">
        <w:rPr>
          <w:rFonts w:ascii="Times New Roman" w:hAnsi="Times New Roman" w:cs="Times New Roman"/>
          <w:sz w:val="24"/>
          <w:szCs w:val="24"/>
        </w:rPr>
        <w:t xml:space="preserve"> set of study materials wh</w:t>
      </w:r>
      <w:r w:rsidR="008F5DBB" w:rsidRPr="003F2E2C">
        <w:rPr>
          <w:rFonts w:ascii="Times New Roman" w:hAnsi="Times New Roman" w:cs="Times New Roman"/>
          <w:sz w:val="24"/>
          <w:szCs w:val="24"/>
        </w:rPr>
        <w:t>ich coupled with effective time</w:t>
      </w:r>
      <w:r w:rsidRPr="003F2E2C">
        <w:rPr>
          <w:rFonts w:ascii="Times New Roman" w:hAnsi="Times New Roman" w:cs="Times New Roman"/>
          <w:sz w:val="24"/>
          <w:szCs w:val="24"/>
        </w:rPr>
        <w:t xml:space="preserve"> result in relatively better performance. </w:t>
      </w:r>
    </w:p>
    <w:p w14:paraId="77D441A5" w14:textId="1FEBEFCF" w:rsidR="0032368F" w:rsidRPr="003F2E2C" w:rsidRDefault="0013597C" w:rsidP="00946D98">
      <w:pPr>
        <w:autoSpaceDE w:val="0"/>
        <w:autoSpaceDN w:val="0"/>
        <w:adjustRightInd w:val="0"/>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In addition, positive learning attitude helps better understanding of learning materials, enhances thinking skill</w:t>
      </w:r>
      <w:r w:rsidR="00FE46A8" w:rsidRPr="003F2E2C">
        <w:rPr>
          <w:rFonts w:ascii="Times New Roman" w:hAnsi="Times New Roman" w:cs="Times New Roman"/>
          <w:sz w:val="24"/>
          <w:szCs w:val="24"/>
        </w:rPr>
        <w:t>s (Burke &amp;</w:t>
      </w:r>
      <w:r w:rsidR="00843B03" w:rsidRPr="003F2E2C">
        <w:rPr>
          <w:rFonts w:ascii="Times New Roman" w:hAnsi="Times New Roman" w:cs="Times New Roman"/>
          <w:sz w:val="24"/>
          <w:szCs w:val="24"/>
        </w:rPr>
        <w:t xml:space="preserve"> Williams, 2008) </w:t>
      </w:r>
      <w:r w:rsidRPr="003F2E2C">
        <w:rPr>
          <w:rFonts w:ascii="Times New Roman" w:hAnsi="Times New Roman" w:cs="Times New Roman"/>
          <w:sz w:val="24"/>
          <w:szCs w:val="24"/>
        </w:rPr>
        <w:t>and also reduces anxiety which decreases performance (Sen</w:t>
      </w:r>
      <w:r w:rsidR="00843B03" w:rsidRPr="003F2E2C">
        <w:rPr>
          <w:rFonts w:ascii="Times New Roman" w:hAnsi="Times New Roman" w:cs="Times New Roman"/>
          <w:sz w:val="24"/>
          <w:szCs w:val="24"/>
        </w:rPr>
        <w:t>,</w:t>
      </w:r>
      <w:r w:rsidRPr="003F2E2C">
        <w:rPr>
          <w:rFonts w:ascii="Times New Roman" w:hAnsi="Times New Roman" w:cs="Times New Roman"/>
          <w:sz w:val="24"/>
          <w:szCs w:val="24"/>
        </w:rPr>
        <w:t xml:space="preserve"> 2013). The effort and study habits of students </w:t>
      </w:r>
      <w:r w:rsidR="00272EF8" w:rsidRPr="003F2E2C">
        <w:rPr>
          <w:rFonts w:ascii="Times New Roman" w:hAnsi="Times New Roman" w:cs="Times New Roman"/>
          <w:noProof/>
          <w:sz w:val="24"/>
          <w:szCs w:val="24"/>
        </w:rPr>
        <w:t>are</w:t>
      </w:r>
      <w:r w:rsidRPr="003F2E2C">
        <w:rPr>
          <w:rFonts w:ascii="Times New Roman" w:hAnsi="Times New Roman" w:cs="Times New Roman"/>
          <w:sz w:val="24"/>
          <w:szCs w:val="24"/>
        </w:rPr>
        <w:t xml:space="preserve"> reported to greatly i</w:t>
      </w:r>
      <w:r w:rsidR="00BB16AB" w:rsidRPr="003F2E2C">
        <w:rPr>
          <w:rFonts w:ascii="Times New Roman" w:hAnsi="Times New Roman" w:cs="Times New Roman"/>
          <w:sz w:val="24"/>
          <w:szCs w:val="24"/>
        </w:rPr>
        <w:t xml:space="preserve">nfluence subject knowledge </w:t>
      </w:r>
      <w:r w:rsidR="008F5DBB" w:rsidRPr="003F2E2C">
        <w:rPr>
          <w:rFonts w:ascii="Times New Roman" w:hAnsi="Times New Roman" w:cs="Times New Roman"/>
          <w:sz w:val="24"/>
          <w:szCs w:val="24"/>
        </w:rPr>
        <w:t>through attainment and</w:t>
      </w:r>
      <w:r w:rsidRPr="003F2E2C">
        <w:rPr>
          <w:rFonts w:ascii="Times New Roman" w:hAnsi="Times New Roman" w:cs="Times New Roman"/>
          <w:sz w:val="24"/>
          <w:szCs w:val="24"/>
        </w:rPr>
        <w:t xml:space="preserve"> </w:t>
      </w:r>
      <w:r w:rsidR="008F5DBB" w:rsidRPr="003F2E2C">
        <w:rPr>
          <w:rFonts w:ascii="Times New Roman" w:hAnsi="Times New Roman" w:cs="Times New Roman"/>
          <w:sz w:val="24"/>
          <w:szCs w:val="24"/>
        </w:rPr>
        <w:t xml:space="preserve">structuring </w:t>
      </w:r>
      <w:r w:rsidRPr="003F2E2C">
        <w:rPr>
          <w:rFonts w:ascii="Times New Roman" w:hAnsi="Times New Roman" w:cs="Times New Roman"/>
          <w:sz w:val="24"/>
          <w:szCs w:val="24"/>
        </w:rPr>
        <w:t>new information</w:t>
      </w:r>
      <w:r w:rsidR="00946D98" w:rsidRPr="003F2E2C">
        <w:rPr>
          <w:rFonts w:ascii="Times New Roman" w:hAnsi="Times New Roman" w:cs="Times New Roman"/>
          <w:sz w:val="24"/>
          <w:szCs w:val="24"/>
        </w:rPr>
        <w:t>. These make</w:t>
      </w:r>
      <w:r w:rsidRPr="003F2E2C">
        <w:rPr>
          <w:rFonts w:ascii="Times New Roman" w:hAnsi="Times New Roman" w:cs="Times New Roman"/>
          <w:sz w:val="24"/>
          <w:szCs w:val="24"/>
        </w:rPr>
        <w:t xml:space="preserve"> the learning</w:t>
      </w:r>
      <w:r w:rsidR="00843B03" w:rsidRPr="003F2E2C">
        <w:rPr>
          <w:rFonts w:ascii="Times New Roman" w:hAnsi="Times New Roman" w:cs="Times New Roman"/>
          <w:sz w:val="24"/>
          <w:szCs w:val="24"/>
        </w:rPr>
        <w:t xml:space="preserve"> process easy (Şimşek, 2007</w:t>
      </w:r>
      <w:r w:rsidR="00D02435" w:rsidRPr="003F2E2C">
        <w:rPr>
          <w:rFonts w:ascii="Times New Roman" w:hAnsi="Times New Roman" w:cs="Times New Roman"/>
          <w:sz w:val="24"/>
          <w:szCs w:val="24"/>
        </w:rPr>
        <w:t>; Nois &amp;</w:t>
      </w:r>
      <w:r w:rsidRPr="003F2E2C">
        <w:rPr>
          <w:rFonts w:ascii="Times New Roman" w:hAnsi="Times New Roman" w:cs="Times New Roman"/>
          <w:sz w:val="24"/>
          <w:szCs w:val="24"/>
        </w:rPr>
        <w:t xml:space="preserve"> Hudson</w:t>
      </w:r>
      <w:r w:rsidR="00843B03" w:rsidRPr="003F2E2C">
        <w:rPr>
          <w:rFonts w:ascii="Times New Roman" w:hAnsi="Times New Roman" w:cs="Times New Roman"/>
          <w:sz w:val="24"/>
          <w:szCs w:val="24"/>
        </w:rPr>
        <w:t>,</w:t>
      </w:r>
      <w:r w:rsidRPr="003F2E2C">
        <w:rPr>
          <w:rFonts w:ascii="Times New Roman" w:hAnsi="Times New Roman" w:cs="Times New Roman"/>
          <w:sz w:val="24"/>
          <w:szCs w:val="24"/>
        </w:rPr>
        <w:t xml:space="preserve"> 2010) with a likely positive effect of sustained lear</w:t>
      </w:r>
      <w:r w:rsidR="00081C9D" w:rsidRPr="003F2E2C">
        <w:rPr>
          <w:rFonts w:ascii="Times New Roman" w:hAnsi="Times New Roman" w:cs="Times New Roman"/>
          <w:sz w:val="24"/>
          <w:szCs w:val="24"/>
        </w:rPr>
        <w:t xml:space="preserve">ning and performance. It has </w:t>
      </w:r>
      <w:r w:rsidRPr="003F2E2C">
        <w:rPr>
          <w:rFonts w:ascii="Times New Roman" w:hAnsi="Times New Roman" w:cs="Times New Roman"/>
          <w:sz w:val="24"/>
          <w:szCs w:val="24"/>
        </w:rPr>
        <w:t>also</w:t>
      </w:r>
      <w:r w:rsidR="00081C9D" w:rsidRPr="003F2E2C">
        <w:rPr>
          <w:rFonts w:ascii="Times New Roman" w:hAnsi="Times New Roman" w:cs="Times New Roman"/>
          <w:sz w:val="24"/>
          <w:szCs w:val="24"/>
        </w:rPr>
        <w:t xml:space="preserve"> been</w:t>
      </w:r>
      <w:r w:rsidRPr="003F2E2C">
        <w:rPr>
          <w:rFonts w:ascii="Times New Roman" w:hAnsi="Times New Roman" w:cs="Times New Roman"/>
          <w:sz w:val="24"/>
          <w:szCs w:val="24"/>
        </w:rPr>
        <w:t xml:space="preserve"> suggested that students with a good learning attitude more easily </w:t>
      </w:r>
      <w:r w:rsidRPr="003F2E2C">
        <w:rPr>
          <w:rFonts w:ascii="Times New Roman" w:hAnsi="Times New Roman" w:cs="Times New Roman"/>
          <w:noProof/>
          <w:sz w:val="24"/>
          <w:szCs w:val="24"/>
        </w:rPr>
        <w:t>accept</w:t>
      </w:r>
      <w:r w:rsidRPr="003F2E2C">
        <w:rPr>
          <w:rFonts w:ascii="Times New Roman" w:hAnsi="Times New Roman" w:cs="Times New Roman"/>
          <w:sz w:val="24"/>
          <w:szCs w:val="24"/>
        </w:rPr>
        <w:t xml:space="preserve"> tasks and get more involved in the learning process</w:t>
      </w:r>
      <w:r w:rsidR="00BB16AB" w:rsidRPr="003F2E2C">
        <w:rPr>
          <w:rFonts w:ascii="Times New Roman" w:hAnsi="Times New Roman" w:cs="Times New Roman"/>
          <w:sz w:val="24"/>
          <w:szCs w:val="24"/>
        </w:rPr>
        <w:t>. This is usually achieved</w:t>
      </w:r>
      <w:r w:rsidRPr="003F2E2C">
        <w:rPr>
          <w:rFonts w:ascii="Times New Roman" w:hAnsi="Times New Roman" w:cs="Times New Roman"/>
          <w:sz w:val="24"/>
          <w:szCs w:val="24"/>
        </w:rPr>
        <w:t xml:space="preserve"> by setting goals, acquiring new knowledge and striving for performance excellence which in turn reflect in their performance (Topala</w:t>
      </w:r>
      <w:r w:rsidR="00843B03" w:rsidRPr="003F2E2C">
        <w:rPr>
          <w:rFonts w:ascii="Times New Roman" w:hAnsi="Times New Roman" w:cs="Times New Roman"/>
          <w:sz w:val="24"/>
          <w:szCs w:val="24"/>
        </w:rPr>
        <w:t>,</w:t>
      </w:r>
      <w:r w:rsidRPr="003F2E2C">
        <w:rPr>
          <w:rFonts w:ascii="Times New Roman" w:hAnsi="Times New Roman" w:cs="Times New Roman"/>
          <w:sz w:val="24"/>
          <w:szCs w:val="24"/>
        </w:rPr>
        <w:t xml:space="preserve"> 2014). The results of previous studies on the link between learning attitude and academic performance have </w:t>
      </w:r>
      <w:r w:rsidR="00BB16AB" w:rsidRPr="003F2E2C">
        <w:rPr>
          <w:rFonts w:ascii="Times New Roman" w:hAnsi="Times New Roman" w:cs="Times New Roman"/>
          <w:sz w:val="24"/>
          <w:szCs w:val="24"/>
        </w:rPr>
        <w:t xml:space="preserve">also </w:t>
      </w:r>
      <w:r w:rsidRPr="003F2E2C">
        <w:rPr>
          <w:rFonts w:ascii="Times New Roman" w:hAnsi="Times New Roman" w:cs="Times New Roman"/>
          <w:sz w:val="24"/>
          <w:szCs w:val="24"/>
        </w:rPr>
        <w:t>been mixed. For example, Didia and Hasnat (1998) in finance and Guney (2009)</w:t>
      </w:r>
      <w:r w:rsidR="00BB16AB" w:rsidRPr="003F2E2C">
        <w:rPr>
          <w:rFonts w:ascii="Times New Roman" w:hAnsi="Times New Roman" w:cs="Times New Roman"/>
          <w:sz w:val="24"/>
          <w:szCs w:val="24"/>
        </w:rPr>
        <w:t xml:space="preserve"> in accounting</w:t>
      </w:r>
      <w:r w:rsidRPr="003F2E2C">
        <w:rPr>
          <w:rFonts w:ascii="Times New Roman" w:hAnsi="Times New Roman" w:cs="Times New Roman"/>
          <w:sz w:val="24"/>
          <w:szCs w:val="24"/>
        </w:rPr>
        <w:t xml:space="preserve"> reported</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association between learning attitude and performance but Fallan and </w:t>
      </w:r>
      <w:r w:rsidR="003E5B87" w:rsidRPr="003F2E2C">
        <w:rPr>
          <w:rFonts w:ascii="Times New Roman" w:hAnsi="Times New Roman" w:cs="Times New Roman"/>
          <w:sz w:val="24"/>
          <w:szCs w:val="24"/>
        </w:rPr>
        <w:t>Optad</w:t>
      </w:r>
      <w:r w:rsidRPr="003F2E2C">
        <w:rPr>
          <w:rFonts w:ascii="Times New Roman" w:hAnsi="Times New Roman" w:cs="Times New Roman"/>
          <w:sz w:val="24"/>
          <w:szCs w:val="24"/>
        </w:rPr>
        <w:t xml:space="preserve"> (2014) found no significant relationship between attendance and effort in management accounting with performance. It </w:t>
      </w:r>
      <w:r w:rsidRPr="003F2E2C">
        <w:rPr>
          <w:rFonts w:ascii="Times New Roman" w:hAnsi="Times New Roman" w:cs="Times New Roman"/>
          <w:noProof/>
          <w:sz w:val="24"/>
          <w:szCs w:val="24"/>
        </w:rPr>
        <w:t>can</w:t>
      </w:r>
      <w:r w:rsidR="00272EF8" w:rsidRPr="003F2E2C">
        <w:rPr>
          <w:rFonts w:ascii="Times New Roman" w:hAnsi="Times New Roman" w:cs="Times New Roman"/>
          <w:noProof/>
          <w:sz w:val="24"/>
          <w:szCs w:val="24"/>
        </w:rPr>
        <w:t>, therefore,</w:t>
      </w:r>
      <w:r w:rsidRPr="003F2E2C">
        <w:rPr>
          <w:rFonts w:ascii="Times New Roman" w:hAnsi="Times New Roman" w:cs="Times New Roman"/>
          <w:sz w:val="24"/>
          <w:szCs w:val="24"/>
        </w:rPr>
        <w:t xml:space="preserve"> be hypothesised that:</w:t>
      </w:r>
    </w:p>
    <w:p w14:paraId="65FD468C" w14:textId="77777777" w:rsidR="008F5DBB" w:rsidRPr="003F2E2C" w:rsidRDefault="008F5DBB" w:rsidP="00946D98">
      <w:pPr>
        <w:autoSpaceDE w:val="0"/>
        <w:autoSpaceDN w:val="0"/>
        <w:adjustRightInd w:val="0"/>
        <w:spacing w:after="0" w:line="360" w:lineRule="auto"/>
        <w:ind w:firstLine="720"/>
        <w:jc w:val="both"/>
        <w:rPr>
          <w:rFonts w:ascii="Times New Roman" w:hAnsi="Times New Roman" w:cs="Times New Roman"/>
          <w:sz w:val="24"/>
          <w:szCs w:val="24"/>
        </w:rPr>
      </w:pPr>
    </w:p>
    <w:p w14:paraId="41B42166" w14:textId="5C3F4C28" w:rsidR="00161EBC" w:rsidRPr="003F2E2C" w:rsidRDefault="0013597C" w:rsidP="00161EBC">
      <w:pPr>
        <w:autoSpaceDE w:val="0"/>
        <w:autoSpaceDN w:val="0"/>
        <w:adjustRightInd w:val="0"/>
        <w:spacing w:after="0" w:line="360" w:lineRule="auto"/>
        <w:jc w:val="both"/>
        <w:rPr>
          <w:rFonts w:ascii="Times New Roman" w:hAnsi="Times New Roman" w:cs="Times New Roman"/>
          <w:sz w:val="24"/>
          <w:szCs w:val="24"/>
        </w:rPr>
      </w:pPr>
      <w:r w:rsidRPr="003F2E2C">
        <w:rPr>
          <w:rFonts w:ascii="Times New Roman" w:hAnsi="Times New Roman" w:cs="Times New Roman"/>
          <w:i/>
          <w:sz w:val="24"/>
          <w:szCs w:val="24"/>
        </w:rPr>
        <w:t>H</w:t>
      </w:r>
      <w:r w:rsidRPr="003F2E2C">
        <w:rPr>
          <w:rFonts w:ascii="Times New Roman" w:hAnsi="Times New Roman" w:cs="Times New Roman"/>
          <w:i/>
          <w:sz w:val="24"/>
          <w:szCs w:val="24"/>
          <w:vertAlign w:val="subscript"/>
        </w:rPr>
        <w:t>4</w:t>
      </w:r>
      <w:r w:rsidRPr="003F2E2C">
        <w:rPr>
          <w:rFonts w:ascii="Times New Roman" w:hAnsi="Times New Roman" w:cs="Times New Roman"/>
          <w:sz w:val="24"/>
          <w:szCs w:val="24"/>
        </w:rPr>
        <w:t xml:space="preserve"> </w:t>
      </w:r>
      <w:r w:rsidRPr="003F2E2C">
        <w:rPr>
          <w:rFonts w:ascii="Times New Roman" w:hAnsi="Times New Roman" w:cs="Times New Roman"/>
          <w:i/>
          <w:sz w:val="24"/>
          <w:szCs w:val="24"/>
        </w:rPr>
        <w:t>Attitude is positively related to academic performance</w:t>
      </w:r>
      <w:r w:rsidR="00744731" w:rsidRPr="003F2E2C">
        <w:rPr>
          <w:rFonts w:ascii="Times New Roman" w:hAnsi="Times New Roman" w:cs="Times New Roman"/>
          <w:i/>
          <w:sz w:val="24"/>
          <w:szCs w:val="24"/>
        </w:rPr>
        <w:t>.</w:t>
      </w:r>
    </w:p>
    <w:p w14:paraId="36721A93" w14:textId="77777777" w:rsidR="00161EBC" w:rsidRPr="003F2E2C" w:rsidRDefault="00161EBC" w:rsidP="00161EBC">
      <w:pPr>
        <w:autoSpaceDE w:val="0"/>
        <w:autoSpaceDN w:val="0"/>
        <w:adjustRightInd w:val="0"/>
        <w:spacing w:after="0" w:line="360" w:lineRule="auto"/>
        <w:jc w:val="both"/>
        <w:rPr>
          <w:rFonts w:ascii="Times New Roman" w:hAnsi="Times New Roman" w:cs="Times New Roman"/>
          <w:sz w:val="24"/>
          <w:szCs w:val="24"/>
        </w:rPr>
      </w:pPr>
    </w:p>
    <w:p w14:paraId="52724F0B" w14:textId="77777777" w:rsidR="0070237A" w:rsidRPr="003F2E2C" w:rsidRDefault="0013597C" w:rsidP="00D15817">
      <w:pPr>
        <w:pStyle w:val="ListParagraph"/>
        <w:numPr>
          <w:ilvl w:val="0"/>
          <w:numId w:val="17"/>
        </w:numPr>
        <w:spacing w:after="0"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Research Method</w:t>
      </w:r>
    </w:p>
    <w:p w14:paraId="064F4A71" w14:textId="77777777" w:rsidR="008E0E3E" w:rsidRPr="003F2E2C" w:rsidRDefault="0013597C" w:rsidP="00B91C9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4</w:t>
      </w:r>
      <w:r w:rsidR="00B003F5" w:rsidRPr="003F2E2C">
        <w:rPr>
          <w:rFonts w:ascii="Times New Roman" w:hAnsi="Times New Roman" w:cs="Times New Roman"/>
          <w:i/>
          <w:sz w:val="24"/>
          <w:szCs w:val="24"/>
        </w:rPr>
        <w:t xml:space="preserve">.1 </w:t>
      </w:r>
      <w:r w:rsidRPr="003F2E2C">
        <w:rPr>
          <w:rFonts w:ascii="Times New Roman" w:hAnsi="Times New Roman" w:cs="Times New Roman"/>
          <w:i/>
          <w:sz w:val="24"/>
          <w:szCs w:val="24"/>
        </w:rPr>
        <w:t>Setting and sample</w:t>
      </w:r>
    </w:p>
    <w:p w14:paraId="2AE784AE" w14:textId="559C59FC" w:rsidR="008E0E3E" w:rsidRPr="003F2E2C" w:rsidRDefault="0013597C" w:rsidP="00B91C9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The population of </w:t>
      </w:r>
      <w:r w:rsidR="007478D3" w:rsidRPr="003F2E2C">
        <w:rPr>
          <w:rFonts w:ascii="Times New Roman" w:hAnsi="Times New Roman" w:cs="Times New Roman"/>
          <w:sz w:val="24"/>
          <w:szCs w:val="24"/>
        </w:rPr>
        <w:t>interest for the purposes of this</w:t>
      </w:r>
      <w:r w:rsidRPr="003F2E2C">
        <w:rPr>
          <w:rFonts w:ascii="Times New Roman" w:hAnsi="Times New Roman" w:cs="Times New Roman"/>
          <w:sz w:val="24"/>
          <w:szCs w:val="24"/>
        </w:rPr>
        <w:t xml:space="preserve"> study comprises of accounting students from selected </w:t>
      </w:r>
      <w:r w:rsidR="00B91C98" w:rsidRPr="003F2E2C">
        <w:rPr>
          <w:rFonts w:ascii="Times New Roman" w:hAnsi="Times New Roman" w:cs="Times New Roman"/>
          <w:sz w:val="24"/>
          <w:szCs w:val="24"/>
        </w:rPr>
        <w:t xml:space="preserve">secondary and tertiary education institutions </w:t>
      </w:r>
      <w:r w:rsidR="00ED4BAE" w:rsidRPr="003F2E2C">
        <w:rPr>
          <w:rFonts w:ascii="Times New Roman" w:hAnsi="Times New Roman" w:cs="Times New Roman"/>
          <w:sz w:val="24"/>
          <w:szCs w:val="24"/>
        </w:rPr>
        <w:t xml:space="preserve">in the Cape Coast </w:t>
      </w:r>
      <w:r w:rsidR="00FA7454" w:rsidRPr="003F2E2C">
        <w:rPr>
          <w:rFonts w:ascii="Times New Roman" w:hAnsi="Times New Roman" w:cs="Times New Roman"/>
          <w:sz w:val="24"/>
          <w:szCs w:val="24"/>
        </w:rPr>
        <w:t>Metropolitan area in the central region of</w:t>
      </w:r>
      <w:r w:rsidRPr="003F2E2C">
        <w:rPr>
          <w:rFonts w:ascii="Times New Roman" w:hAnsi="Times New Roman" w:cs="Times New Roman"/>
          <w:sz w:val="24"/>
          <w:szCs w:val="24"/>
        </w:rPr>
        <w:t xml:space="preserve"> Ghana. The study area hubs most of the best and oldest schools in the country, particularly at the se</w:t>
      </w:r>
      <w:r w:rsidR="00E14128" w:rsidRPr="003F2E2C">
        <w:rPr>
          <w:rFonts w:ascii="Times New Roman" w:hAnsi="Times New Roman" w:cs="Times New Roman"/>
          <w:sz w:val="24"/>
          <w:szCs w:val="24"/>
        </w:rPr>
        <w:t>condary school</w:t>
      </w:r>
      <w:r w:rsidRPr="003F2E2C">
        <w:rPr>
          <w:rFonts w:ascii="Times New Roman" w:hAnsi="Times New Roman" w:cs="Times New Roman"/>
          <w:sz w:val="24"/>
          <w:szCs w:val="24"/>
        </w:rPr>
        <w:t xml:space="preserve"> level. Five </w:t>
      </w:r>
      <w:r w:rsidR="00B91C98" w:rsidRPr="003F2E2C">
        <w:rPr>
          <w:rFonts w:ascii="Times New Roman" w:hAnsi="Times New Roman" w:cs="Times New Roman"/>
          <w:sz w:val="24"/>
          <w:szCs w:val="24"/>
        </w:rPr>
        <w:t>secondary schools (commonly known as senior high schools (SHS))</w:t>
      </w:r>
      <w:r w:rsidRPr="003F2E2C">
        <w:rPr>
          <w:rFonts w:ascii="Times New Roman" w:hAnsi="Times New Roman" w:cs="Times New Roman"/>
          <w:sz w:val="24"/>
          <w:szCs w:val="24"/>
        </w:rPr>
        <w:t xml:space="preserve"> and one </w:t>
      </w:r>
      <w:r w:rsidR="007478D3" w:rsidRPr="003F2E2C">
        <w:rPr>
          <w:rFonts w:ascii="Times New Roman" w:hAnsi="Times New Roman" w:cs="Times New Roman"/>
          <w:sz w:val="24"/>
          <w:szCs w:val="24"/>
        </w:rPr>
        <w:t>university</w:t>
      </w:r>
      <w:r w:rsidRPr="003F2E2C">
        <w:rPr>
          <w:rFonts w:ascii="Times New Roman" w:hAnsi="Times New Roman" w:cs="Times New Roman"/>
          <w:sz w:val="24"/>
          <w:szCs w:val="24"/>
        </w:rPr>
        <w:t xml:space="preserve"> were considered. To improve sample relevance and representativeness, we focused on final year business students at the </w:t>
      </w:r>
      <w:r w:rsidR="002C4E77" w:rsidRPr="003F2E2C">
        <w:rPr>
          <w:rFonts w:ascii="Times New Roman" w:hAnsi="Times New Roman" w:cs="Times New Roman"/>
          <w:sz w:val="24"/>
          <w:szCs w:val="24"/>
        </w:rPr>
        <w:t>secondary education institutions</w:t>
      </w:r>
      <w:r w:rsidRPr="003F2E2C">
        <w:rPr>
          <w:rFonts w:ascii="Times New Roman" w:hAnsi="Times New Roman" w:cs="Times New Roman"/>
          <w:sz w:val="24"/>
          <w:szCs w:val="24"/>
        </w:rPr>
        <w:t xml:space="preserve"> (these students read accounting as their major) and students at all year levels who specialise in accounting at the tertiary level. The final year students at the </w:t>
      </w:r>
      <w:r w:rsidR="002C4E77" w:rsidRPr="003F2E2C">
        <w:rPr>
          <w:rFonts w:ascii="Times New Roman" w:hAnsi="Times New Roman" w:cs="Times New Roman"/>
          <w:sz w:val="24"/>
          <w:szCs w:val="24"/>
        </w:rPr>
        <w:t>secondary education institutions</w:t>
      </w:r>
      <w:r w:rsidRPr="003F2E2C">
        <w:rPr>
          <w:rFonts w:ascii="Times New Roman" w:hAnsi="Times New Roman" w:cs="Times New Roman"/>
          <w:sz w:val="24"/>
          <w:szCs w:val="24"/>
        </w:rPr>
        <w:t xml:space="preserve"> were considered as they had enough background knowledge and academic exposure on t</w:t>
      </w:r>
      <w:r w:rsidR="007478D3" w:rsidRPr="003F2E2C">
        <w:rPr>
          <w:rFonts w:ascii="Times New Roman" w:hAnsi="Times New Roman" w:cs="Times New Roman"/>
          <w:sz w:val="24"/>
          <w:szCs w:val="24"/>
        </w:rPr>
        <w:t>he subject under investigation.</w:t>
      </w:r>
      <w:r w:rsidR="00274B6B" w:rsidRPr="003F2E2C">
        <w:rPr>
          <w:rFonts w:ascii="Times New Roman" w:hAnsi="Times New Roman" w:cs="Times New Roman"/>
          <w:sz w:val="24"/>
          <w:szCs w:val="24"/>
        </w:rPr>
        <w:t xml:space="preserve"> An effort was made</w:t>
      </w:r>
      <w:r w:rsidRPr="003F2E2C">
        <w:rPr>
          <w:rFonts w:ascii="Times New Roman" w:hAnsi="Times New Roman" w:cs="Times New Roman"/>
          <w:sz w:val="24"/>
          <w:szCs w:val="24"/>
        </w:rPr>
        <w:t xml:space="preserve"> to draw proportionate samples from each sample categ</w:t>
      </w:r>
      <w:r w:rsidR="00274B6B" w:rsidRPr="003F2E2C">
        <w:rPr>
          <w:rFonts w:ascii="Times New Roman" w:hAnsi="Times New Roman" w:cs="Times New Roman"/>
          <w:sz w:val="24"/>
          <w:szCs w:val="24"/>
        </w:rPr>
        <w:t>ory</w:t>
      </w:r>
      <w:r w:rsidRPr="003F2E2C">
        <w:rPr>
          <w:rFonts w:ascii="Times New Roman" w:hAnsi="Times New Roman" w:cs="Times New Roman"/>
          <w:sz w:val="24"/>
          <w:szCs w:val="24"/>
        </w:rPr>
        <w:t xml:space="preserve">. </w:t>
      </w:r>
    </w:p>
    <w:p w14:paraId="0ED9C076" w14:textId="638DB4B7" w:rsidR="008E0E3E" w:rsidRPr="003F2E2C" w:rsidRDefault="0013597C" w:rsidP="00FA3ECA">
      <w:pPr>
        <w:spacing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However, the adequacy of the sample size for the study was guided by the statistical analysis and techniques used to treat and examine data. For example, in order to validate our instruments, we employed both exploratory factor analysis which required a large sample size (</w:t>
      </w:r>
      <w:r w:rsidR="00274B6B" w:rsidRPr="003F2E2C">
        <w:rPr>
          <w:rFonts w:ascii="Times New Roman" w:hAnsi="Times New Roman" w:cs="Times New Roman"/>
          <w:sz w:val="24"/>
          <w:szCs w:val="24"/>
        </w:rPr>
        <w:t xml:space="preserve">Field, 2009; </w:t>
      </w:r>
      <w:r w:rsidR="00F8285C" w:rsidRPr="003F2E2C">
        <w:rPr>
          <w:rFonts w:ascii="Times New Roman" w:hAnsi="Times New Roman" w:cs="Times New Roman"/>
          <w:sz w:val="24"/>
          <w:szCs w:val="24"/>
        </w:rPr>
        <w:t>Hair, Black, Babin, &amp; Anderson,</w:t>
      </w:r>
      <w:r w:rsidRPr="003F2E2C">
        <w:rPr>
          <w:rFonts w:ascii="Times New Roman" w:hAnsi="Times New Roman" w:cs="Times New Roman"/>
          <w:sz w:val="24"/>
          <w:szCs w:val="24"/>
        </w:rPr>
        <w:t xml:space="preserve"> 2014). Similarly, given that we wanted to use ordinary least square (OLS) regression analysis for estimating the proposed model whose endogenous variable (i.e. academic performance) had many predictor variables, larger sample size became a concern (Hair et al., 2014). Given these considerations, we printed out and distributed 560 questionnaires (300 to the </w:t>
      </w:r>
      <w:r w:rsidR="002C4E77" w:rsidRPr="003F2E2C">
        <w:rPr>
          <w:rFonts w:ascii="Times New Roman" w:hAnsi="Times New Roman" w:cs="Times New Roman"/>
          <w:sz w:val="24"/>
          <w:szCs w:val="24"/>
        </w:rPr>
        <w:t>secondary education institutions</w:t>
      </w:r>
      <w:r w:rsidRPr="003F2E2C">
        <w:rPr>
          <w:rFonts w:ascii="Times New Roman" w:hAnsi="Times New Roman" w:cs="Times New Roman"/>
          <w:sz w:val="24"/>
          <w:szCs w:val="24"/>
        </w:rPr>
        <w:t xml:space="preserve"> and 260 to the tertiary </w:t>
      </w:r>
      <w:r w:rsidR="002C4E77" w:rsidRPr="003F2E2C">
        <w:rPr>
          <w:rFonts w:ascii="Times New Roman" w:hAnsi="Times New Roman" w:cs="Times New Roman"/>
          <w:sz w:val="24"/>
          <w:szCs w:val="24"/>
        </w:rPr>
        <w:t>education institution</w:t>
      </w:r>
      <w:r w:rsidR="00FA3ECA" w:rsidRPr="003F2E2C">
        <w:rPr>
          <w:rFonts w:ascii="Times New Roman" w:hAnsi="Times New Roman" w:cs="Times New Roman"/>
          <w:sz w:val="24"/>
          <w:szCs w:val="24"/>
        </w:rPr>
        <w:t xml:space="preserve">). </w:t>
      </w:r>
      <w:r w:rsidR="00E63D32" w:rsidRPr="003F2E2C">
        <w:rPr>
          <w:rFonts w:ascii="Times New Roman" w:hAnsi="Times New Roman" w:cs="Times New Roman"/>
          <w:sz w:val="24"/>
          <w:szCs w:val="24"/>
        </w:rPr>
        <w:t xml:space="preserve">The </w:t>
      </w:r>
      <w:r w:rsidR="00FA3ECA" w:rsidRPr="003F2E2C">
        <w:rPr>
          <w:rFonts w:ascii="Times New Roman" w:hAnsi="Times New Roman" w:cs="Times New Roman"/>
          <w:sz w:val="24"/>
          <w:szCs w:val="24"/>
        </w:rPr>
        <w:t xml:space="preserve">self-administered questionnaire was distributed to the students during accounting classes and lectures to ensure that only students pursuing accounting programme complete the questionnaires in an organised atmosphere without compulsion. This was done with the </w:t>
      </w:r>
      <w:r w:rsidR="00376BCE" w:rsidRPr="003F2E2C">
        <w:rPr>
          <w:rFonts w:ascii="Times New Roman" w:hAnsi="Times New Roman" w:cs="Times New Roman"/>
          <w:sz w:val="24"/>
          <w:szCs w:val="24"/>
        </w:rPr>
        <w:t>assistance</w:t>
      </w:r>
      <w:r w:rsidR="00FA3ECA" w:rsidRPr="003F2E2C">
        <w:rPr>
          <w:rFonts w:ascii="Times New Roman" w:hAnsi="Times New Roman" w:cs="Times New Roman"/>
          <w:sz w:val="24"/>
          <w:szCs w:val="24"/>
        </w:rPr>
        <w:t xml:space="preserve"> of the subject teachers and teaching assistants in the sampled institutions. </w:t>
      </w:r>
      <w:r w:rsidR="00274B6B" w:rsidRPr="003F2E2C">
        <w:rPr>
          <w:rFonts w:ascii="Times New Roman" w:hAnsi="Times New Roman" w:cs="Times New Roman"/>
          <w:sz w:val="24"/>
          <w:szCs w:val="24"/>
        </w:rPr>
        <w:t>T</w:t>
      </w:r>
      <w:r w:rsidR="00274B6B" w:rsidRPr="003F2E2C">
        <w:rPr>
          <w:rFonts w:ascii="Times New Roman" w:hAnsi="Times New Roman" w:cs="Times New Roman"/>
          <w:sz w:val="24"/>
          <w:szCs w:val="24"/>
          <w:lang w:val="en-US"/>
        </w:rPr>
        <w:t xml:space="preserve">he questionnaires were administered </w:t>
      </w:r>
      <w:r w:rsidR="00DF0745" w:rsidRPr="003F2E2C">
        <w:rPr>
          <w:rFonts w:ascii="Times New Roman" w:hAnsi="Times New Roman" w:cs="Times New Roman"/>
          <w:sz w:val="24"/>
          <w:szCs w:val="24"/>
          <w:lang w:val="en-US"/>
        </w:rPr>
        <w:t>during the third term</w:t>
      </w:r>
      <w:r w:rsidR="00274B6B" w:rsidRPr="003F2E2C">
        <w:rPr>
          <w:rFonts w:ascii="Times New Roman" w:hAnsi="Times New Roman" w:cs="Times New Roman"/>
          <w:sz w:val="24"/>
          <w:szCs w:val="24"/>
          <w:lang w:val="en-US"/>
        </w:rPr>
        <w:t xml:space="preserve"> and the second semester a</w:t>
      </w:r>
      <w:r w:rsidR="00DF0745" w:rsidRPr="003F2E2C">
        <w:rPr>
          <w:rFonts w:ascii="Times New Roman" w:hAnsi="Times New Roman" w:cs="Times New Roman"/>
          <w:sz w:val="24"/>
          <w:szCs w:val="24"/>
          <w:lang w:val="en-US"/>
        </w:rPr>
        <w:t xml:space="preserve">t the </w:t>
      </w:r>
      <w:r w:rsidR="00274B6B" w:rsidRPr="003F2E2C">
        <w:rPr>
          <w:rFonts w:ascii="Times New Roman" w:hAnsi="Times New Roman" w:cs="Times New Roman"/>
          <w:sz w:val="24"/>
          <w:szCs w:val="24"/>
          <w:lang w:val="en-US"/>
        </w:rPr>
        <w:t xml:space="preserve">secondary schools and </w:t>
      </w:r>
      <w:r w:rsidR="00DF0745" w:rsidRPr="003F2E2C">
        <w:rPr>
          <w:rFonts w:ascii="Times New Roman" w:hAnsi="Times New Roman" w:cs="Times New Roman"/>
          <w:sz w:val="24"/>
          <w:szCs w:val="24"/>
          <w:lang w:val="en-US"/>
        </w:rPr>
        <w:t>tertiary level</w:t>
      </w:r>
      <w:r w:rsidR="00274B6B" w:rsidRPr="003F2E2C">
        <w:rPr>
          <w:rFonts w:ascii="Times New Roman" w:hAnsi="Times New Roman" w:cs="Times New Roman"/>
          <w:sz w:val="24"/>
          <w:szCs w:val="24"/>
          <w:lang w:val="en-US"/>
        </w:rPr>
        <w:t xml:space="preserve"> respectively</w:t>
      </w:r>
      <w:r w:rsidR="00DF0745" w:rsidRPr="003F2E2C">
        <w:rPr>
          <w:rFonts w:ascii="Times New Roman" w:hAnsi="Times New Roman" w:cs="Times New Roman"/>
          <w:sz w:val="24"/>
          <w:szCs w:val="24"/>
          <w:lang w:val="en-US"/>
        </w:rPr>
        <w:t xml:space="preserve">. </w:t>
      </w:r>
      <w:r w:rsidR="00FA3ECA" w:rsidRPr="003F2E2C">
        <w:rPr>
          <w:rFonts w:ascii="Times New Roman" w:hAnsi="Times New Roman" w:cs="Times New Roman"/>
          <w:sz w:val="24"/>
          <w:szCs w:val="24"/>
        </w:rPr>
        <w:t xml:space="preserve">To ensure anonymity, respondents were asked not to identify themselves on the questionnaire and were further assured that data gathered was only going to be used </w:t>
      </w:r>
      <w:r w:rsidR="008D456C" w:rsidRPr="003F2E2C">
        <w:rPr>
          <w:rFonts w:ascii="Times New Roman" w:hAnsi="Times New Roman" w:cs="Times New Roman"/>
          <w:sz w:val="24"/>
          <w:szCs w:val="24"/>
        </w:rPr>
        <w:t>for academic purpose</w:t>
      </w:r>
      <w:r w:rsidR="00FA3ECA" w:rsidRPr="003F2E2C">
        <w:rPr>
          <w:rFonts w:ascii="Times New Roman" w:hAnsi="Times New Roman" w:cs="Times New Roman"/>
          <w:sz w:val="24"/>
          <w:szCs w:val="24"/>
        </w:rPr>
        <w:t xml:space="preserve">. </w:t>
      </w:r>
      <w:r w:rsidRPr="003F2E2C">
        <w:rPr>
          <w:rFonts w:ascii="Times New Roman" w:hAnsi="Times New Roman" w:cs="Times New Roman"/>
          <w:sz w:val="24"/>
          <w:szCs w:val="24"/>
        </w:rPr>
        <w:t>At the end of the field study, we were able to retrieve 517</w:t>
      </w:r>
      <w:r w:rsidR="00096775" w:rsidRPr="003F2E2C">
        <w:rPr>
          <w:rFonts w:ascii="Times New Roman" w:hAnsi="Times New Roman" w:cs="Times New Roman"/>
          <w:sz w:val="24"/>
          <w:szCs w:val="24"/>
        </w:rPr>
        <w:t xml:space="preserve"> made up of  </w:t>
      </w:r>
      <w:r w:rsidR="00096775" w:rsidRPr="003F2E2C">
        <w:rPr>
          <w:rFonts w:ascii="Times New Roman" w:hAnsi="Times New Roman" w:cs="Times New Roman"/>
          <w:sz w:val="24"/>
          <w:szCs w:val="24"/>
          <w:lang w:val="en-US"/>
        </w:rPr>
        <w:t>284 and 233 questions</w:t>
      </w:r>
      <w:r w:rsidR="0058131D" w:rsidRPr="003F2E2C">
        <w:rPr>
          <w:rFonts w:ascii="Times New Roman" w:hAnsi="Times New Roman" w:cs="Times New Roman"/>
          <w:sz w:val="24"/>
          <w:szCs w:val="24"/>
          <w:lang w:val="en-US"/>
        </w:rPr>
        <w:t xml:space="preserve"> answered by secondary</w:t>
      </w:r>
      <w:r w:rsidR="00305215" w:rsidRPr="003F2E2C">
        <w:rPr>
          <w:rFonts w:ascii="Times New Roman" w:hAnsi="Times New Roman" w:cs="Times New Roman"/>
          <w:sz w:val="24"/>
          <w:szCs w:val="24"/>
          <w:lang w:val="en-US"/>
        </w:rPr>
        <w:t xml:space="preserve"> and tertiary students respectively</w:t>
      </w:r>
      <w:r w:rsidRPr="003F2E2C">
        <w:rPr>
          <w:rFonts w:ascii="Times New Roman" w:hAnsi="Times New Roman" w:cs="Times New Roman"/>
          <w:sz w:val="24"/>
          <w:szCs w:val="24"/>
        </w:rPr>
        <w:t xml:space="preserve">. After preliminary examination of the questionnaires for substantial missing values and incompleteness, 500 was considered as effective for the study (i.e. effective response rate was 89.3%).  </w:t>
      </w:r>
    </w:p>
    <w:p w14:paraId="52B919A7" w14:textId="77777777" w:rsidR="008E0E3E" w:rsidRPr="003F2E2C" w:rsidRDefault="0013597C" w:rsidP="00161EBC">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4</w:t>
      </w:r>
      <w:r w:rsidR="00B003F5" w:rsidRPr="003F2E2C">
        <w:rPr>
          <w:rFonts w:ascii="Times New Roman" w:hAnsi="Times New Roman" w:cs="Times New Roman"/>
          <w:i/>
          <w:sz w:val="24"/>
          <w:szCs w:val="24"/>
        </w:rPr>
        <w:t xml:space="preserve">.2 </w:t>
      </w:r>
      <w:r w:rsidRPr="003F2E2C">
        <w:rPr>
          <w:rFonts w:ascii="Times New Roman" w:hAnsi="Times New Roman" w:cs="Times New Roman"/>
          <w:i/>
          <w:sz w:val="24"/>
          <w:szCs w:val="24"/>
        </w:rPr>
        <w:t>Measures and validation</w:t>
      </w:r>
    </w:p>
    <w:p w14:paraId="297768C0" w14:textId="10ED9E54" w:rsidR="009F0BF8" w:rsidRPr="003F2E2C" w:rsidRDefault="0013597C" w:rsidP="009F0BF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Obtaining measures that adequately capture their underlying constructs required us to follow two broad steps. Step one focused on identifying empirical indicators (i.e. conceptually-based observable items) to establish content/face validity (O’Leary-Kelly &amp; Vokurka, 1998). To do this, we followed a detailed prescription offered by MacKenzie, Podsakoff, &amp; Podsakoff, (2011). As explained in the subsequent paragraphs, review of literature enabled us to provide operational definitions of the concepts, which subsequently allowed us to generate item pool for each construct. Item relevance and respondents' ability to understand them is the key to obtaining quality data (Podsakoff et al. 2012). Accordingly, we engaged ten of the target respondents in short semi-structured interviews for this exercise. We were interested in how our predictor constructs could better be captured. For example, we asked them questions relating to their expectations from the accountancy profession, academic interest in accounting, attitude towards learning of accounting, and how they found themselves reading accounting now. We converted the responses obtained for each construct into statements to allow us to make a comparison with the pre-extracted items from literature. Similar or matched items/statements were retained. Next, relevant scale anchors were developed for each construct. We went back to the field and administered thirty copies of the questionnaire. This stage of the questionnaire development process mainly focused on checking the extent to which questionnaire items address concerns of clarity and relevance (Podsakoff et al. 2003</w:t>
      </w:r>
      <w:r w:rsidR="0058131D" w:rsidRPr="003F2E2C">
        <w:rPr>
          <w:rFonts w:ascii="Times New Roman" w:hAnsi="Times New Roman" w:cs="Times New Roman"/>
          <w:sz w:val="24"/>
          <w:szCs w:val="24"/>
        </w:rPr>
        <w:t>; Podsakoff et al. 2012</w:t>
      </w:r>
      <w:r w:rsidRPr="003F2E2C">
        <w:rPr>
          <w:rFonts w:ascii="Times New Roman" w:hAnsi="Times New Roman" w:cs="Times New Roman"/>
          <w:sz w:val="24"/>
          <w:szCs w:val="24"/>
        </w:rPr>
        <w:t xml:space="preserve">). This preliminary questionnaire was divided into three parts: demographics, predictors (interest, volition, attitude, and expectations), and outcome (academic performance). A review of the questionnaire received indicated that item clarity was not a major concern. Descriptive results obtained indicated that some of the items were deemed as less relevant as they had mean scores far extreme from those of the majority. The set of items included in the final questionnaire are discussed in the ensuing paragraphs. The arrangement of items in the preliminary and the final questionnaire was the same. </w:t>
      </w:r>
    </w:p>
    <w:p w14:paraId="27E61950" w14:textId="77777777" w:rsidR="005A6248" w:rsidRPr="003F2E2C" w:rsidRDefault="005A6248" w:rsidP="005A6248">
      <w:pPr>
        <w:spacing w:after="0" w:line="360" w:lineRule="auto"/>
        <w:jc w:val="both"/>
        <w:rPr>
          <w:rFonts w:ascii="Times New Roman" w:hAnsi="Times New Roman" w:cs="Times New Roman"/>
          <w:i/>
          <w:sz w:val="24"/>
          <w:szCs w:val="24"/>
        </w:rPr>
      </w:pPr>
    </w:p>
    <w:p w14:paraId="64FA59A7" w14:textId="23BD1547" w:rsidR="009F0BF8" w:rsidRPr="003F2E2C" w:rsidRDefault="0013597C" w:rsidP="005A624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4.2.1 Academic performance</w:t>
      </w:r>
    </w:p>
    <w:p w14:paraId="734E3594" w14:textId="7794F916" w:rsidR="009F0BF8" w:rsidRPr="003F2E2C" w:rsidRDefault="0013597C" w:rsidP="009F0BF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Academic performance refers to the level of examination achievement in accounting courses. This construct was captured wi</w:t>
      </w:r>
      <w:r w:rsidR="005A7568" w:rsidRPr="003F2E2C">
        <w:rPr>
          <w:rFonts w:ascii="Times New Roman" w:hAnsi="Times New Roman" w:cs="Times New Roman"/>
          <w:sz w:val="24"/>
          <w:szCs w:val="24"/>
        </w:rPr>
        <w:t>th</w:t>
      </w:r>
      <w:r w:rsidRPr="003F2E2C">
        <w:rPr>
          <w:rFonts w:ascii="Times New Roman" w:hAnsi="Times New Roman" w:cs="Times New Roman"/>
          <w:sz w:val="24"/>
          <w:szCs w:val="24"/>
        </w:rPr>
        <w:t xml:space="preserve"> four-items. Using a self-evaluation instrument to capture a construct like academic performance can lead to social desirability bias—a source of common method bias (Podsakoff et al. 2012). While using actual student grade is desirable, accessibility was a major problem in this study. As item social desirability can cause social desirability bias (Podsakoff et al. 2003), we focused on developing items that avoid</w:t>
      </w:r>
      <w:r w:rsidR="005A7568" w:rsidRPr="003F2E2C">
        <w:rPr>
          <w:rFonts w:ascii="Times New Roman" w:hAnsi="Times New Roman" w:cs="Times New Roman"/>
          <w:sz w:val="24"/>
          <w:szCs w:val="24"/>
        </w:rPr>
        <w:t>ed</w:t>
      </w:r>
      <w:r w:rsidRPr="003F2E2C">
        <w:rPr>
          <w:rFonts w:ascii="Times New Roman" w:hAnsi="Times New Roman" w:cs="Times New Roman"/>
          <w:sz w:val="24"/>
          <w:szCs w:val="24"/>
        </w:rPr>
        <w:t xml:space="preserve"> it. Specifically, our items avoided an evaluation of </w:t>
      </w:r>
      <w:r w:rsidRPr="003F2E2C">
        <w:rPr>
          <w:rFonts w:ascii="Times New Roman" w:hAnsi="Times New Roman" w:cs="Times New Roman"/>
          <w:i/>
          <w:sz w:val="24"/>
          <w:szCs w:val="24"/>
        </w:rPr>
        <w:t>absolute</w:t>
      </w:r>
      <w:r w:rsidRPr="003F2E2C">
        <w:rPr>
          <w:rFonts w:ascii="Times New Roman" w:hAnsi="Times New Roman" w:cs="Times New Roman"/>
          <w:sz w:val="24"/>
          <w:szCs w:val="24"/>
        </w:rPr>
        <w:t xml:space="preserve"> academic score. Three out of the four items requested the respondents to evaluate their (1) performance in</w:t>
      </w:r>
      <w:r w:rsidR="003315E5" w:rsidRPr="003F2E2C">
        <w:rPr>
          <w:rFonts w:ascii="Times New Roman" w:hAnsi="Times New Roman" w:cs="Times New Roman"/>
          <w:sz w:val="24"/>
          <w:szCs w:val="24"/>
        </w:rPr>
        <w:t xml:space="preserve"> accounting in relation to your </w:t>
      </w:r>
      <w:r w:rsidRPr="003F2E2C">
        <w:rPr>
          <w:rFonts w:ascii="Times New Roman" w:hAnsi="Times New Roman" w:cs="Times New Roman"/>
          <w:sz w:val="24"/>
          <w:szCs w:val="24"/>
        </w:rPr>
        <w:t xml:space="preserve">courses/subjects, (2) current performance in relation to previous performance, (3) current performance in relation to expectation, and (4) trend (decreasing/increasing) in performance. Using a seven-point scale that ranged from “extremely dissatisfied (=1) to “extremely satisfied (=7)”, the respondents were asked to indicate their satisfaction level in relation to each item statement. The scale reliability (Cronbach alpha) for the four items was .905. </w:t>
      </w:r>
    </w:p>
    <w:p w14:paraId="482AC3D5" w14:textId="77777777" w:rsidR="005A6248" w:rsidRPr="003F2E2C" w:rsidRDefault="005A6248" w:rsidP="009F0BF8">
      <w:pPr>
        <w:spacing w:after="0" w:line="360" w:lineRule="auto"/>
        <w:ind w:firstLine="720"/>
        <w:jc w:val="both"/>
        <w:rPr>
          <w:rFonts w:ascii="Times New Roman" w:hAnsi="Times New Roman" w:cs="Times New Roman"/>
          <w:i/>
          <w:sz w:val="24"/>
          <w:szCs w:val="24"/>
        </w:rPr>
      </w:pPr>
    </w:p>
    <w:p w14:paraId="1A6A6DC6" w14:textId="4320B200" w:rsidR="009F0BF8" w:rsidRPr="003F2E2C" w:rsidRDefault="0013597C" w:rsidP="005A624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4.2.2 Expectation</w:t>
      </w:r>
    </w:p>
    <w:p w14:paraId="0001F3EA" w14:textId="41F57BB5" w:rsidR="009F0BF8" w:rsidRPr="003F2E2C" w:rsidRDefault="0013597C" w:rsidP="009F0BF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Students can have several expectations regarding their programmes of study (see Arquero et al. 2009). In this study, however, we focused on those related to socio-economic motives for pursuing an accounting programme. Accordingly, we defined our expectation construct as the extent to which a student believes that the accounting profession is economically and socially rewarding. Combing insights from the interviews and prior research (Arquero et al. 2009), we relied on four items—viz., (1) the accounting profession brings one a greater prestige/respect in the society, (2) I believe the accounting profession helps one to earn good remuneration/salary, (3) Relatively, I believe reading accounting helps one to easily get work to do, and (4) I believe pursuing accounting as a profession makes one more likely to su</w:t>
      </w:r>
      <w:r w:rsidR="00503933" w:rsidRPr="003F2E2C">
        <w:rPr>
          <w:rFonts w:ascii="Times New Roman" w:hAnsi="Times New Roman" w:cs="Times New Roman"/>
          <w:sz w:val="24"/>
          <w:szCs w:val="24"/>
        </w:rPr>
        <w:t>cceed in life. To tap into this</w:t>
      </w:r>
      <w:r w:rsidRPr="003F2E2C">
        <w:rPr>
          <w:rFonts w:ascii="Times New Roman" w:hAnsi="Times New Roman" w:cs="Times New Roman"/>
          <w:sz w:val="24"/>
          <w:szCs w:val="24"/>
        </w:rPr>
        <w:t xml:space="preserve"> construct</w:t>
      </w:r>
      <w:r w:rsidR="00503933" w:rsidRPr="003F2E2C">
        <w:rPr>
          <w:rFonts w:ascii="Times New Roman" w:hAnsi="Times New Roman" w:cs="Times New Roman"/>
          <w:sz w:val="24"/>
          <w:szCs w:val="24"/>
        </w:rPr>
        <w:t>,</w:t>
      </w:r>
      <w:r w:rsidRPr="003F2E2C">
        <w:rPr>
          <w:rFonts w:ascii="Times New Roman" w:hAnsi="Times New Roman" w:cs="Times New Roman"/>
          <w:sz w:val="24"/>
          <w:szCs w:val="24"/>
        </w:rPr>
        <w:t xml:space="preserve"> a 5-point scale ranging from “not at all (=1)” to “to a largest extent (=5)” was used to measure all items. The scale reliability was .763.</w:t>
      </w:r>
    </w:p>
    <w:p w14:paraId="38561314" w14:textId="77777777" w:rsidR="005A6248" w:rsidRPr="003F2E2C" w:rsidRDefault="005A6248" w:rsidP="005A6248">
      <w:pPr>
        <w:spacing w:after="0" w:line="360" w:lineRule="auto"/>
        <w:jc w:val="both"/>
        <w:rPr>
          <w:rFonts w:ascii="Times New Roman" w:hAnsi="Times New Roman" w:cs="Times New Roman"/>
          <w:i/>
          <w:sz w:val="24"/>
          <w:szCs w:val="24"/>
        </w:rPr>
      </w:pPr>
    </w:p>
    <w:p w14:paraId="65F70736" w14:textId="7C0DCBF3" w:rsidR="009F0BF8" w:rsidRPr="003F2E2C" w:rsidRDefault="0013597C" w:rsidP="005A624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 xml:space="preserve">4.2.3 Volition </w:t>
      </w:r>
    </w:p>
    <w:p w14:paraId="50DC8D17" w14:textId="3AAF7AE0" w:rsidR="009F0BF8" w:rsidRPr="003F2E2C" w:rsidRDefault="0013597C" w:rsidP="009F0BF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Volition is defined in this study as the degree to which a student freely chooses to study accounting without coercion. Individuals with high volition have greater ability to make conscious choices or c</w:t>
      </w:r>
      <w:r w:rsidR="000020E1" w:rsidRPr="003F2E2C">
        <w:rPr>
          <w:rFonts w:ascii="Times New Roman" w:hAnsi="Times New Roman" w:cs="Times New Roman"/>
          <w:sz w:val="24"/>
          <w:szCs w:val="24"/>
        </w:rPr>
        <w:t>onvert intentions into actions</w:t>
      </w:r>
      <w:r w:rsidRPr="003F2E2C">
        <w:rPr>
          <w:rFonts w:ascii="Times New Roman" w:hAnsi="Times New Roman" w:cs="Times New Roman"/>
          <w:sz w:val="24"/>
          <w:szCs w:val="24"/>
        </w:rPr>
        <w:t>. Prior studies (e.g. Geiger &amp; Ogibly, 2000; Ahinful, Paintsil, &amp; Danquah, 2012, Dalci, Arash, &amp; Baradarani, 2013; Wen,</w:t>
      </w:r>
      <w:r w:rsidR="00BA1A9A" w:rsidRPr="003F2E2C">
        <w:rPr>
          <w:rFonts w:ascii="Times New Roman" w:hAnsi="Times New Roman" w:cs="Times New Roman"/>
          <w:sz w:val="24"/>
          <w:szCs w:val="24"/>
        </w:rPr>
        <w:t xml:space="preserve"> Hao,</w:t>
      </w:r>
      <w:r w:rsidRPr="003F2E2C">
        <w:rPr>
          <w:rFonts w:ascii="Times New Roman" w:hAnsi="Times New Roman" w:cs="Times New Roman"/>
          <w:sz w:val="24"/>
          <w:szCs w:val="24"/>
        </w:rPr>
        <w:t xml:space="preserve"> &amp; Bu, 2015) and also our interviews suggest that students' decision to read accounting may be influenced by referent groups such as parents, friends, and teachers. Accordingly, we relied on three items to assess the extent to which a respondent freely/willingly chose to study accounting. Using a 5-point scale that ranged from "strongly disagree</w:t>
      </w:r>
      <w:r w:rsidR="00503933" w:rsidRPr="003F2E2C">
        <w:rPr>
          <w:rFonts w:ascii="Times New Roman" w:hAnsi="Times New Roman" w:cs="Times New Roman"/>
          <w:sz w:val="24"/>
          <w:szCs w:val="24"/>
        </w:rPr>
        <w:t xml:space="preserve"> </w:t>
      </w:r>
      <w:r w:rsidRPr="003F2E2C">
        <w:rPr>
          <w:rFonts w:ascii="Times New Roman" w:hAnsi="Times New Roman" w:cs="Times New Roman"/>
          <w:sz w:val="24"/>
          <w:szCs w:val="24"/>
        </w:rPr>
        <w:t>(=1)” to “strongly agree</w:t>
      </w:r>
      <w:r w:rsidR="00503933"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(=5)”, the respondents were asked to rate each of </w:t>
      </w:r>
      <w:r w:rsidR="00503933" w:rsidRPr="003F2E2C">
        <w:rPr>
          <w:rFonts w:ascii="Times New Roman" w:hAnsi="Times New Roman" w:cs="Times New Roman"/>
          <w:sz w:val="24"/>
          <w:szCs w:val="24"/>
        </w:rPr>
        <w:t xml:space="preserve">the </w:t>
      </w:r>
      <w:r w:rsidRPr="003F2E2C">
        <w:rPr>
          <w:rFonts w:ascii="Times New Roman" w:hAnsi="Times New Roman" w:cs="Times New Roman"/>
          <w:sz w:val="24"/>
          <w:szCs w:val="24"/>
        </w:rPr>
        <w:t>three items: (1) I personally</w:t>
      </w:r>
      <w:r w:rsidR="00503933" w:rsidRPr="003F2E2C">
        <w:rPr>
          <w:rFonts w:ascii="Times New Roman" w:hAnsi="Times New Roman" w:cs="Times New Roman"/>
          <w:sz w:val="24"/>
          <w:szCs w:val="24"/>
        </w:rPr>
        <w:t xml:space="preserve"> chose to read accounting, (2)</w:t>
      </w:r>
      <w:r w:rsidRPr="003F2E2C">
        <w:rPr>
          <w:rFonts w:ascii="Times New Roman" w:hAnsi="Times New Roman" w:cs="Times New Roman"/>
          <w:sz w:val="24"/>
          <w:szCs w:val="24"/>
        </w:rPr>
        <w:t xml:space="preserve"> left to me alone, I’d have preferred to read other programmes other than accounting, and (3) the people around (e.g. parents, friends) influenced me to read accounting. The scale reliability was .812. </w:t>
      </w:r>
    </w:p>
    <w:p w14:paraId="37F571D9" w14:textId="77777777" w:rsidR="005A6248" w:rsidRPr="003F2E2C" w:rsidRDefault="005A6248" w:rsidP="005A6248">
      <w:pPr>
        <w:spacing w:after="0" w:line="360" w:lineRule="auto"/>
        <w:jc w:val="both"/>
        <w:rPr>
          <w:rFonts w:ascii="Times New Roman" w:hAnsi="Times New Roman" w:cs="Times New Roman"/>
          <w:i/>
          <w:sz w:val="24"/>
          <w:szCs w:val="24"/>
        </w:rPr>
      </w:pPr>
    </w:p>
    <w:p w14:paraId="381D9754" w14:textId="467CAC94" w:rsidR="009F0BF8" w:rsidRPr="003F2E2C" w:rsidRDefault="0013597C" w:rsidP="005A624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4.2.4 Academic interest</w:t>
      </w:r>
    </w:p>
    <w:p w14:paraId="138D85C5" w14:textId="0BF0561E" w:rsidR="005A6248" w:rsidRPr="003F2E2C" w:rsidRDefault="0013597C" w:rsidP="005A624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Academic interest indicates a student’s level of interest in reading accounting. Following Fallen and Opstad (2014), three items—viz., (1)</w:t>
      </w:r>
      <w:r w:rsidR="00F00EB8" w:rsidRPr="003F2E2C">
        <w:rPr>
          <w:rFonts w:ascii="Times New Roman" w:hAnsi="Times New Roman" w:cs="Times New Roman"/>
          <w:sz w:val="24"/>
          <w:szCs w:val="24"/>
        </w:rPr>
        <w:t xml:space="preserve"> personally, I do</w:t>
      </w:r>
      <w:r w:rsidR="003D4387" w:rsidRPr="003F2E2C">
        <w:rPr>
          <w:rFonts w:ascii="Times New Roman" w:hAnsi="Times New Roman" w:cs="Times New Roman"/>
          <w:sz w:val="24"/>
          <w:szCs w:val="24"/>
        </w:rPr>
        <w:t xml:space="preserve"> not consider accounting as my</w:t>
      </w:r>
      <w:r w:rsidR="00F00EB8" w:rsidRPr="003F2E2C">
        <w:rPr>
          <w:rFonts w:ascii="Times New Roman" w:hAnsi="Times New Roman" w:cs="Times New Roman"/>
          <w:sz w:val="24"/>
          <w:szCs w:val="24"/>
        </w:rPr>
        <w:t xml:space="preserve"> first option</w:t>
      </w:r>
      <w:r w:rsidRPr="003F2E2C">
        <w:rPr>
          <w:rFonts w:ascii="Times New Roman" w:hAnsi="Times New Roman" w:cs="Times New Roman"/>
          <w:sz w:val="24"/>
          <w:szCs w:val="24"/>
        </w:rPr>
        <w:t>,</w:t>
      </w:r>
      <w:r w:rsidR="00F00EB8" w:rsidRPr="003F2E2C">
        <w:rPr>
          <w:rFonts w:ascii="Times New Roman" w:hAnsi="Times New Roman" w:cs="Times New Roman"/>
          <w:sz w:val="24"/>
          <w:szCs w:val="24"/>
        </w:rPr>
        <w:t xml:space="preserve"> (2) when growing up, I’ve always wanted to read accounting,</w:t>
      </w:r>
      <w:r w:rsidRPr="003F2E2C">
        <w:rPr>
          <w:rFonts w:ascii="Times New Roman" w:hAnsi="Times New Roman" w:cs="Times New Roman"/>
          <w:sz w:val="24"/>
          <w:szCs w:val="24"/>
        </w:rPr>
        <w:t xml:space="preserve"> and (3) personally, I’ve always never enjoyed reading accounting—were used to capture academic interest. A 5-point scale that ranged from “not at all (=1)” to “to a largest extent (=5)” was used to measure all items. The scale reliability was .778. </w:t>
      </w:r>
    </w:p>
    <w:p w14:paraId="51BBBC0B" w14:textId="77777777" w:rsidR="005A6248" w:rsidRPr="003F2E2C" w:rsidRDefault="005A6248" w:rsidP="005A6248">
      <w:pPr>
        <w:spacing w:after="0" w:line="360" w:lineRule="auto"/>
        <w:jc w:val="both"/>
        <w:rPr>
          <w:rFonts w:ascii="Times New Roman" w:hAnsi="Times New Roman" w:cs="Times New Roman"/>
          <w:sz w:val="24"/>
          <w:szCs w:val="24"/>
        </w:rPr>
      </w:pPr>
    </w:p>
    <w:p w14:paraId="493624AC" w14:textId="3751A1DF" w:rsidR="009F0BF8" w:rsidRPr="003F2E2C" w:rsidRDefault="0013597C" w:rsidP="005A6248">
      <w:pPr>
        <w:spacing w:after="0" w:line="360" w:lineRule="auto"/>
        <w:jc w:val="both"/>
        <w:rPr>
          <w:rFonts w:ascii="Times New Roman" w:hAnsi="Times New Roman" w:cs="Times New Roman"/>
          <w:sz w:val="24"/>
          <w:szCs w:val="24"/>
        </w:rPr>
      </w:pPr>
      <w:r w:rsidRPr="003F2E2C">
        <w:rPr>
          <w:rFonts w:ascii="Times New Roman" w:hAnsi="Times New Roman" w:cs="Times New Roman"/>
          <w:i/>
          <w:sz w:val="24"/>
          <w:szCs w:val="24"/>
        </w:rPr>
        <w:t>4.2.5 Learning attitude</w:t>
      </w:r>
    </w:p>
    <w:p w14:paraId="21B13494" w14:textId="47FD9317" w:rsidR="005A6248" w:rsidRPr="003F2E2C" w:rsidRDefault="0013597C" w:rsidP="009F0BF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Learning attitude indicates a student's outlook toward learning of accounting. A positive outlook towards learning of accounting is reflected in attention (in terms of time, energy, and effort) to reading and acquiring new knowledge. Drawing insight from Fallen and Opstad (2014), we developed</w:t>
      </w:r>
      <w:r w:rsidR="00F00EB8" w:rsidRPr="003F2E2C">
        <w:rPr>
          <w:rFonts w:ascii="Times New Roman" w:hAnsi="Times New Roman" w:cs="Times New Roman"/>
          <w:sz w:val="24"/>
          <w:szCs w:val="24"/>
        </w:rPr>
        <w:t xml:space="preserve"> three items: (1)</w:t>
      </w:r>
      <w:r w:rsidRPr="003F2E2C">
        <w:rPr>
          <w:rFonts w:ascii="Times New Roman" w:hAnsi="Times New Roman" w:cs="Times New Roman"/>
          <w:sz w:val="24"/>
          <w:szCs w:val="24"/>
        </w:rPr>
        <w:t xml:space="preserve"> I spend a lot of time reading accounting materials (e.g. books), (2) I always want to learn something new in the field of ac</w:t>
      </w:r>
      <w:r w:rsidR="00F00EB8" w:rsidRPr="003F2E2C">
        <w:rPr>
          <w:rFonts w:ascii="Times New Roman" w:hAnsi="Times New Roman" w:cs="Times New Roman"/>
          <w:sz w:val="24"/>
          <w:szCs w:val="24"/>
        </w:rPr>
        <w:t>counting, and (3)</w:t>
      </w:r>
      <w:r w:rsidRPr="003F2E2C">
        <w:rPr>
          <w:rFonts w:ascii="Times New Roman" w:hAnsi="Times New Roman" w:cs="Times New Roman"/>
          <w:sz w:val="24"/>
          <w:szCs w:val="24"/>
        </w:rPr>
        <w:t xml:space="preserve"> I think any effort made to read accounting materials is worth it. A five-point scale that ranged from “strongly disagree (=1)” to “strongly agree (=5)” was used to measure all items. The scale reliability was .736.</w:t>
      </w:r>
    </w:p>
    <w:p w14:paraId="3D29B6A6" w14:textId="2A29D3DB" w:rsidR="009F0BF8" w:rsidRPr="003F2E2C" w:rsidRDefault="0013597C" w:rsidP="009F0BF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 </w:t>
      </w:r>
    </w:p>
    <w:p w14:paraId="574B80A6" w14:textId="7DD9FCBF" w:rsidR="008E0E3E" w:rsidRPr="003F2E2C" w:rsidRDefault="0013597C" w:rsidP="000D0A06">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Step two of the validation process involved an empirical test to establish construct validity. This required </w:t>
      </w:r>
      <w:r w:rsidR="002C4E77" w:rsidRPr="003F2E2C">
        <w:rPr>
          <w:rFonts w:ascii="Times New Roman" w:hAnsi="Times New Roman" w:cs="Times New Roman"/>
          <w:sz w:val="24"/>
          <w:szCs w:val="24"/>
        </w:rPr>
        <w:t xml:space="preserve">evaluating (1) </w:t>
      </w:r>
      <w:r w:rsidR="002C4E77" w:rsidRPr="003F2E2C">
        <w:rPr>
          <w:rFonts w:ascii="Times New Roman" w:hAnsi="Times New Roman" w:cs="Times New Roman"/>
          <w:noProof/>
          <w:sz w:val="24"/>
          <w:szCs w:val="24"/>
        </w:rPr>
        <w:t>unidimensionalit</w:t>
      </w:r>
      <w:r w:rsidR="00272EF8" w:rsidRPr="003F2E2C">
        <w:rPr>
          <w:rFonts w:ascii="Times New Roman" w:hAnsi="Times New Roman" w:cs="Times New Roman"/>
          <w:noProof/>
          <w:sz w:val="24"/>
          <w:szCs w:val="24"/>
        </w:rPr>
        <w:t>y</w:t>
      </w:r>
      <w:r w:rsidR="002C4E77" w:rsidRPr="003F2E2C">
        <w:rPr>
          <w:rFonts w:ascii="Times New Roman" w:hAnsi="Times New Roman" w:cs="Times New Roman"/>
          <w:sz w:val="24"/>
          <w:szCs w:val="24"/>
        </w:rPr>
        <w:t xml:space="preserve"> (2) convergent validity </w:t>
      </w:r>
      <w:r w:rsidRPr="003F2E2C">
        <w:rPr>
          <w:rFonts w:ascii="Times New Roman" w:hAnsi="Times New Roman" w:cs="Times New Roman"/>
          <w:sz w:val="24"/>
          <w:szCs w:val="24"/>
        </w:rPr>
        <w:t>(3) discriminant validity, (4) nomological validity and (5) reliability of the measures (O’Lea</w:t>
      </w:r>
      <w:r w:rsidR="00D02435" w:rsidRPr="003F2E2C">
        <w:rPr>
          <w:rFonts w:ascii="Times New Roman" w:hAnsi="Times New Roman" w:cs="Times New Roman"/>
          <w:sz w:val="24"/>
          <w:szCs w:val="24"/>
        </w:rPr>
        <w:t>ry-Kelly &amp;</w:t>
      </w:r>
      <w:r w:rsidRPr="003F2E2C">
        <w:rPr>
          <w:rFonts w:ascii="Times New Roman" w:hAnsi="Times New Roman" w:cs="Times New Roman"/>
          <w:sz w:val="24"/>
          <w:szCs w:val="24"/>
        </w:rPr>
        <w:t xml:space="preserve"> Vokurka, 1998; Hair et al., 2014). It became</w:t>
      </w:r>
      <w:r w:rsidR="00272EF8"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necessary</w:t>
      </w:r>
      <w:r w:rsidRPr="003F2E2C">
        <w:rPr>
          <w:rFonts w:ascii="Times New Roman" w:hAnsi="Times New Roman" w:cs="Times New Roman"/>
          <w:sz w:val="24"/>
          <w:szCs w:val="24"/>
        </w:rPr>
        <w:t xml:space="preserve"> approach to rely on exploratory factor analysis (EFA) for such tests as the measures were new (</w:t>
      </w:r>
      <w:r w:rsidRPr="003F2E2C">
        <w:rPr>
          <w:rFonts w:ascii="Times New Roman" w:hAnsi="Times New Roman" w:cs="Times New Roman"/>
          <w:noProof/>
          <w:sz w:val="24"/>
          <w:szCs w:val="24"/>
        </w:rPr>
        <w:t>MacKenzie</w:t>
      </w:r>
      <w:r w:rsidR="00A86025"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et al., 2011). We used principal component analysis as the estimation method and Varimax</w:t>
      </w:r>
      <w:r w:rsidRPr="003F2E2C">
        <w:rPr>
          <w:rFonts w:ascii="Times New Roman" w:hAnsi="Times New Roman" w:cs="Times New Roman"/>
          <w:sz w:val="24"/>
          <w:szCs w:val="24"/>
        </w:rPr>
        <w:t xml:space="preserve"> for rotation (Field, 2009). To ensure that the measures per a given construct are </w:t>
      </w:r>
      <w:r w:rsidRPr="003F2E2C">
        <w:rPr>
          <w:rFonts w:ascii="Times New Roman" w:hAnsi="Times New Roman" w:cs="Times New Roman"/>
          <w:noProof/>
          <w:sz w:val="24"/>
          <w:szCs w:val="24"/>
        </w:rPr>
        <w:t xml:space="preserve">unrelated </w:t>
      </w:r>
      <w:r w:rsidR="00272EF8" w:rsidRPr="003F2E2C">
        <w:rPr>
          <w:rFonts w:ascii="Times New Roman" w:hAnsi="Times New Roman" w:cs="Times New Roman"/>
          <w:noProof/>
          <w:sz w:val="24"/>
          <w:szCs w:val="24"/>
        </w:rPr>
        <w:t>to</w:t>
      </w:r>
      <w:r w:rsidRPr="003F2E2C">
        <w:rPr>
          <w:rFonts w:ascii="Times New Roman" w:hAnsi="Times New Roman" w:cs="Times New Roman"/>
          <w:sz w:val="24"/>
          <w:szCs w:val="24"/>
        </w:rPr>
        <w:t xml:space="preserve"> those of others and uniquely/distinctively capture only their constructs, we conducted the analysi</w:t>
      </w:r>
      <w:r w:rsidR="00E2199F" w:rsidRPr="003F2E2C">
        <w:rPr>
          <w:rFonts w:ascii="Times New Roman" w:hAnsi="Times New Roman" w:cs="Times New Roman"/>
          <w:sz w:val="24"/>
          <w:szCs w:val="24"/>
        </w:rPr>
        <w:t xml:space="preserve">s on all items </w:t>
      </w:r>
      <w:r w:rsidR="00D02435" w:rsidRPr="003F2E2C">
        <w:rPr>
          <w:rFonts w:ascii="Times New Roman" w:hAnsi="Times New Roman" w:cs="Times New Roman"/>
          <w:sz w:val="24"/>
          <w:szCs w:val="24"/>
        </w:rPr>
        <w:t>(O’Leary-Kelly &amp;</w:t>
      </w:r>
      <w:r w:rsidRPr="003F2E2C">
        <w:rPr>
          <w:rFonts w:ascii="Times New Roman" w:hAnsi="Times New Roman" w:cs="Times New Roman"/>
          <w:sz w:val="24"/>
          <w:szCs w:val="24"/>
        </w:rPr>
        <w:t xml:space="preserve"> Vokurka, 1998). For Eigenvalues above 1.00, 5 components </w:t>
      </w:r>
      <w:r w:rsidR="00503933" w:rsidRPr="003F2E2C">
        <w:rPr>
          <w:rFonts w:ascii="Times New Roman" w:hAnsi="Times New Roman" w:cs="Times New Roman"/>
          <w:sz w:val="24"/>
          <w:szCs w:val="24"/>
        </w:rPr>
        <w:t>were extracted and explained</w:t>
      </w:r>
      <w:r w:rsidRPr="003F2E2C">
        <w:rPr>
          <w:rFonts w:ascii="Times New Roman" w:hAnsi="Times New Roman" w:cs="Times New Roman"/>
          <w:sz w:val="24"/>
          <w:szCs w:val="24"/>
        </w:rPr>
        <w:t xml:space="preserve"> a total variance of 71.808%. The items loaded onto their theoretical constructs. The loadings ranged from .602 to .867. Component 1 (Performanc</w:t>
      </w:r>
      <w:r w:rsidR="002F5523" w:rsidRPr="003F2E2C">
        <w:rPr>
          <w:rFonts w:ascii="Times New Roman" w:hAnsi="Times New Roman" w:cs="Times New Roman"/>
          <w:sz w:val="24"/>
          <w:szCs w:val="24"/>
        </w:rPr>
        <w:t>e)</w:t>
      </w:r>
      <w:r w:rsidR="00AB1D97" w:rsidRPr="003F2E2C">
        <w:rPr>
          <w:rFonts w:ascii="Times New Roman" w:hAnsi="Times New Roman" w:cs="Times New Roman"/>
          <w:sz w:val="24"/>
          <w:szCs w:val="24"/>
        </w:rPr>
        <w:t>,</w:t>
      </w:r>
      <w:r w:rsidR="002F5523" w:rsidRPr="003F2E2C">
        <w:rPr>
          <w:rFonts w:ascii="Times New Roman" w:hAnsi="Times New Roman" w:cs="Times New Roman"/>
          <w:sz w:val="24"/>
          <w:szCs w:val="24"/>
        </w:rPr>
        <w:t xml:space="preserve"> 2 (Expectation)</w:t>
      </w:r>
      <w:r w:rsidR="00AB1D97" w:rsidRPr="003F2E2C">
        <w:rPr>
          <w:rFonts w:ascii="Times New Roman" w:hAnsi="Times New Roman" w:cs="Times New Roman"/>
          <w:sz w:val="24"/>
          <w:szCs w:val="24"/>
        </w:rPr>
        <w:t>,</w:t>
      </w:r>
      <w:r w:rsidR="002F5523" w:rsidRPr="003F2E2C">
        <w:rPr>
          <w:rFonts w:ascii="Times New Roman" w:hAnsi="Times New Roman" w:cs="Times New Roman"/>
          <w:sz w:val="24"/>
          <w:szCs w:val="24"/>
        </w:rPr>
        <w:t xml:space="preserve"> 3 (Volition)</w:t>
      </w:r>
      <w:r w:rsidR="00AB1D97" w:rsidRPr="003F2E2C">
        <w:rPr>
          <w:rFonts w:ascii="Times New Roman" w:hAnsi="Times New Roman" w:cs="Times New Roman"/>
          <w:sz w:val="24"/>
          <w:szCs w:val="24"/>
        </w:rPr>
        <w:t>,</w:t>
      </w:r>
      <w:r w:rsidRPr="003F2E2C">
        <w:rPr>
          <w:rFonts w:ascii="Times New Roman" w:hAnsi="Times New Roman" w:cs="Times New Roman"/>
          <w:sz w:val="24"/>
          <w:szCs w:val="24"/>
        </w:rPr>
        <w:t xml:space="preserve"> 4 (Attitude), and 5 (Interest) respectively accounted for 33.691%, 13.812%, 9.762%, 8.117%, 6.428% of the variance explained. These results, coupled with the absence of </w:t>
      </w:r>
      <w:r w:rsidR="00AB1D97" w:rsidRPr="003F2E2C">
        <w:rPr>
          <w:rFonts w:ascii="Times New Roman" w:hAnsi="Times New Roman" w:cs="Times New Roman"/>
          <w:sz w:val="24"/>
          <w:szCs w:val="24"/>
        </w:rPr>
        <w:t>cross-loading above .40 suggest</w:t>
      </w:r>
      <w:r w:rsidRPr="003F2E2C">
        <w:rPr>
          <w:rFonts w:ascii="Times New Roman" w:hAnsi="Times New Roman" w:cs="Times New Roman"/>
          <w:sz w:val="24"/>
          <w:szCs w:val="24"/>
        </w:rPr>
        <w:t xml:space="preserve"> good unidimensionality of the scales as well as convergent validity and discriminant validity (</w:t>
      </w:r>
      <w:r w:rsidR="00D02435" w:rsidRPr="003F2E2C">
        <w:rPr>
          <w:rFonts w:ascii="Times New Roman" w:hAnsi="Times New Roman" w:cs="Times New Roman"/>
          <w:sz w:val="24"/>
          <w:szCs w:val="24"/>
        </w:rPr>
        <w:t>O’Leary-Kelly &amp;</w:t>
      </w:r>
      <w:r w:rsidRPr="003F2E2C">
        <w:rPr>
          <w:rFonts w:ascii="Times New Roman" w:hAnsi="Times New Roman" w:cs="Times New Roman"/>
          <w:sz w:val="24"/>
          <w:szCs w:val="24"/>
        </w:rPr>
        <w:t xml:space="preserve"> Vokurka, 1998</w:t>
      </w:r>
      <w:r w:rsidR="00AB1D97" w:rsidRPr="003F2E2C">
        <w:rPr>
          <w:rFonts w:ascii="Times New Roman" w:hAnsi="Times New Roman" w:cs="Times New Roman"/>
          <w:sz w:val="24"/>
          <w:szCs w:val="24"/>
        </w:rPr>
        <w:t>; Hair et al., 2014</w:t>
      </w:r>
      <w:r w:rsidRPr="003F2E2C">
        <w:rPr>
          <w:rFonts w:ascii="Times New Roman" w:hAnsi="Times New Roman" w:cs="Times New Roman"/>
          <w:sz w:val="24"/>
          <w:szCs w:val="24"/>
        </w:rPr>
        <w:t>)</w:t>
      </w:r>
      <w:r w:rsidR="00AB1D97" w:rsidRPr="003F2E2C">
        <w:rPr>
          <w:rFonts w:ascii="Times New Roman" w:hAnsi="Times New Roman" w:cs="Times New Roman"/>
          <w:sz w:val="24"/>
          <w:szCs w:val="24"/>
        </w:rPr>
        <w:t xml:space="preserve">. </w:t>
      </w:r>
      <w:r w:rsidRPr="003F2E2C">
        <w:rPr>
          <w:rFonts w:ascii="Times New Roman" w:hAnsi="Times New Roman" w:cs="Times New Roman"/>
          <w:sz w:val="24"/>
          <w:szCs w:val="24"/>
        </w:rPr>
        <w:t>The KMO value was .862 and</w:t>
      </w:r>
      <w:r w:rsidRPr="003F2E2C">
        <w:rPr>
          <w:rFonts w:ascii="Times New Roman" w:hAnsi="Times New Roman" w:cs="Times New Roman"/>
          <w:noProof/>
          <w:sz w:val="24"/>
          <w:szCs w:val="24"/>
        </w:rPr>
        <w:t xml:space="preserve"> Bartlett’s</w:t>
      </w:r>
      <w:r w:rsidRPr="003F2E2C">
        <w:rPr>
          <w:rFonts w:ascii="Times New Roman" w:hAnsi="Times New Roman" w:cs="Times New Roman"/>
          <w:sz w:val="24"/>
          <w:szCs w:val="24"/>
        </w:rPr>
        <w:t xml:space="preserve"> test of </w:t>
      </w:r>
      <w:r w:rsidRPr="003F2E2C">
        <w:rPr>
          <w:rFonts w:ascii="Times New Roman" w:hAnsi="Times New Roman" w:cs="Times New Roman"/>
          <w:noProof/>
          <w:sz w:val="24"/>
          <w:szCs w:val="24"/>
        </w:rPr>
        <w:t>Sphericity</w:t>
      </w:r>
      <w:r w:rsidRPr="003F2E2C">
        <w:rPr>
          <w:rFonts w:ascii="Times New Roman" w:hAnsi="Times New Roman" w:cs="Times New Roman"/>
          <w:sz w:val="24"/>
          <w:szCs w:val="24"/>
        </w:rPr>
        <w:t xml:space="preserve"> reached statistical significance; given χ2 (DF) = 3947.165 (136), p &lt; .0001 (</w:t>
      </w:r>
      <w:r w:rsidR="00AB1D97" w:rsidRPr="003F2E2C">
        <w:rPr>
          <w:rFonts w:ascii="Times New Roman" w:hAnsi="Times New Roman" w:cs="Times New Roman"/>
          <w:sz w:val="24"/>
          <w:szCs w:val="24"/>
        </w:rPr>
        <w:t xml:space="preserve">Pallant, 2007; </w:t>
      </w:r>
      <w:r w:rsidRPr="003F2E2C">
        <w:rPr>
          <w:rFonts w:ascii="Times New Roman" w:hAnsi="Times New Roman" w:cs="Times New Roman"/>
          <w:sz w:val="24"/>
          <w:szCs w:val="24"/>
        </w:rPr>
        <w:t>Field, 2009</w:t>
      </w:r>
      <w:r w:rsidR="00417D59" w:rsidRPr="003F2E2C">
        <w:rPr>
          <w:rFonts w:ascii="Times New Roman" w:hAnsi="Times New Roman" w:cs="Times New Roman"/>
          <w:sz w:val="24"/>
          <w:szCs w:val="24"/>
        </w:rPr>
        <w:t>) which suggest</w:t>
      </w:r>
      <w:r w:rsidRPr="003F2E2C">
        <w:rPr>
          <w:rFonts w:ascii="Times New Roman" w:hAnsi="Times New Roman" w:cs="Times New Roman"/>
          <w:sz w:val="24"/>
          <w:szCs w:val="24"/>
        </w:rPr>
        <w:t xml:space="preserve"> that the data were adequate and also factorability was possible.</w:t>
      </w:r>
    </w:p>
    <w:p w14:paraId="06934FCD" w14:textId="7BDEE923" w:rsidR="008E0E3E" w:rsidRPr="003F2E2C" w:rsidRDefault="0013597C" w:rsidP="000D0A06">
      <w:pPr>
        <w:spacing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Nomological validity was assessed by examining the statistical results (i.e. correlations) against the theoretical linkages between the constructs. The results produced in Table 2 show significant correlations between constructs as specified in the study and thus lend support for nomological validity (Hair et al., 2014). Lastly, Cronbach alpha was used to assess the reliability of </w:t>
      </w:r>
      <w:r w:rsidR="00D02435" w:rsidRPr="003F2E2C">
        <w:rPr>
          <w:rFonts w:ascii="Times New Roman" w:hAnsi="Times New Roman" w:cs="Times New Roman"/>
          <w:sz w:val="24"/>
          <w:szCs w:val="24"/>
        </w:rPr>
        <w:t xml:space="preserve">the measures (O’Leary-Kelly &amp; </w:t>
      </w:r>
      <w:r w:rsidRPr="003F2E2C">
        <w:rPr>
          <w:rFonts w:ascii="Times New Roman" w:hAnsi="Times New Roman" w:cs="Times New Roman"/>
          <w:sz w:val="24"/>
          <w:szCs w:val="24"/>
        </w:rPr>
        <w:t>Vokurka, 1998). All alpha values as reported in Table 1 were above the minimum cut-off value of .</w:t>
      </w:r>
      <w:r w:rsidR="00D02435" w:rsidRPr="003F2E2C">
        <w:rPr>
          <w:rFonts w:ascii="Times New Roman" w:hAnsi="Times New Roman" w:cs="Times New Roman"/>
          <w:sz w:val="24"/>
          <w:szCs w:val="24"/>
        </w:rPr>
        <w:t xml:space="preserve">70 (Bagozzi &amp; </w:t>
      </w:r>
      <w:r w:rsidRPr="003F2E2C">
        <w:rPr>
          <w:rFonts w:ascii="Times New Roman" w:hAnsi="Times New Roman" w:cs="Times New Roman"/>
          <w:sz w:val="24"/>
          <w:szCs w:val="24"/>
        </w:rPr>
        <w:t xml:space="preserve">Yi, 2012) and therefore indicates that the scales had good internal consistency (Field, 2009). </w:t>
      </w:r>
    </w:p>
    <w:p w14:paraId="3E9E8660" w14:textId="77777777" w:rsidR="00601C0D" w:rsidRPr="003F2E2C" w:rsidRDefault="00601C0D" w:rsidP="005A6248">
      <w:pPr>
        <w:spacing w:after="0" w:line="360" w:lineRule="auto"/>
        <w:jc w:val="both"/>
        <w:rPr>
          <w:rFonts w:ascii="Times New Roman" w:hAnsi="Times New Roman" w:cs="Times New Roman"/>
          <w:i/>
          <w:sz w:val="24"/>
          <w:szCs w:val="24"/>
        </w:rPr>
      </w:pPr>
    </w:p>
    <w:p w14:paraId="2C576048" w14:textId="77777777" w:rsidR="00601C0D" w:rsidRPr="003F2E2C" w:rsidRDefault="00601C0D" w:rsidP="005A6248">
      <w:pPr>
        <w:spacing w:after="0" w:line="360" w:lineRule="auto"/>
        <w:jc w:val="both"/>
        <w:rPr>
          <w:rFonts w:ascii="Times New Roman" w:hAnsi="Times New Roman" w:cs="Times New Roman"/>
          <w:i/>
          <w:sz w:val="24"/>
          <w:szCs w:val="24"/>
        </w:rPr>
      </w:pPr>
    </w:p>
    <w:p w14:paraId="0D0E8E91" w14:textId="6295EAA3" w:rsidR="005A6248" w:rsidRPr="003F2E2C" w:rsidRDefault="0013597C" w:rsidP="005A624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4.2.6 Control variables</w:t>
      </w:r>
    </w:p>
    <w:p w14:paraId="78B86757" w14:textId="77777777" w:rsidR="00E37A00" w:rsidRPr="003F2E2C" w:rsidRDefault="0013597C" w:rsidP="000E0FA9">
      <w:pPr>
        <w:pStyle w:val="ListParagraph"/>
        <w:spacing w:after="0" w:line="360" w:lineRule="auto"/>
        <w:ind w:left="360" w:firstLine="360"/>
        <w:jc w:val="both"/>
        <w:rPr>
          <w:rFonts w:ascii="Times New Roman" w:hAnsi="Times New Roman" w:cs="Times New Roman"/>
          <w:sz w:val="24"/>
          <w:szCs w:val="24"/>
        </w:rPr>
      </w:pPr>
      <w:r w:rsidRPr="003F2E2C">
        <w:rPr>
          <w:rFonts w:ascii="Times New Roman" w:hAnsi="Times New Roman" w:cs="Times New Roman"/>
          <w:sz w:val="24"/>
          <w:szCs w:val="24"/>
        </w:rPr>
        <w:t>The study included gender (male =1, female = 0), and students level (secondary school = 1, tertiary school = 0) as covariate in the analysis.</w:t>
      </w:r>
    </w:p>
    <w:p w14:paraId="02800F9F" w14:textId="374F4FE2" w:rsidR="005A6248" w:rsidRPr="003F2E2C" w:rsidRDefault="0013597C" w:rsidP="005A6248">
      <w:pPr>
        <w:pStyle w:val="ListParagraph"/>
        <w:spacing w:after="0" w:line="360" w:lineRule="auto"/>
        <w:ind w:left="360"/>
        <w:jc w:val="both"/>
        <w:rPr>
          <w:rFonts w:ascii="Times New Roman" w:hAnsi="Times New Roman" w:cs="Times New Roman"/>
          <w:sz w:val="24"/>
          <w:szCs w:val="24"/>
        </w:rPr>
      </w:pPr>
      <w:r w:rsidRPr="003F2E2C">
        <w:rPr>
          <w:rFonts w:ascii="Times New Roman" w:hAnsi="Times New Roman" w:cs="Times New Roman"/>
          <w:sz w:val="24"/>
          <w:szCs w:val="24"/>
        </w:rPr>
        <w:t xml:space="preserve"> </w:t>
      </w:r>
    </w:p>
    <w:p w14:paraId="059ECB8C" w14:textId="77777777" w:rsidR="008E0E3E" w:rsidRPr="003F2E2C" w:rsidRDefault="0013597C" w:rsidP="000D0A06">
      <w:pPr>
        <w:pStyle w:val="ListParagraph"/>
        <w:numPr>
          <w:ilvl w:val="1"/>
          <w:numId w:val="16"/>
        </w:num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Method bias test</w:t>
      </w:r>
    </w:p>
    <w:p w14:paraId="37F37D39" w14:textId="0609A8C7" w:rsidR="008E0E3E" w:rsidRPr="003F2E2C" w:rsidRDefault="0013597C" w:rsidP="000D0A06">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Given the self-report</w:t>
      </w:r>
      <w:r w:rsidR="002F5523" w:rsidRPr="003F2E2C">
        <w:rPr>
          <w:rFonts w:ascii="Times New Roman" w:hAnsi="Times New Roman" w:cs="Times New Roman"/>
          <w:sz w:val="24"/>
          <w:szCs w:val="24"/>
        </w:rPr>
        <w:t>ed</w:t>
      </w:r>
      <w:r w:rsidRPr="003F2E2C">
        <w:rPr>
          <w:rFonts w:ascii="Times New Roman" w:hAnsi="Times New Roman" w:cs="Times New Roman"/>
          <w:sz w:val="24"/>
          <w:szCs w:val="24"/>
        </w:rPr>
        <w:t xml:space="preserve"> nature of the instrument employed in the study, it became necessary for us to conduct a test for common method bias (CMB) (Podsakoff et al., 2003). We employed Harman’s one-factor test for CMB (</w:t>
      </w:r>
      <w:r w:rsidR="00077B7D" w:rsidRPr="003F2E2C">
        <w:rPr>
          <w:rFonts w:ascii="Times New Roman" w:hAnsi="Times New Roman" w:cs="Times New Roman"/>
          <w:sz w:val="24"/>
          <w:szCs w:val="24"/>
        </w:rPr>
        <w:t>Podsak</w:t>
      </w:r>
      <w:r w:rsidR="00A90AC2" w:rsidRPr="003F2E2C">
        <w:rPr>
          <w:rFonts w:ascii="Times New Roman" w:hAnsi="Times New Roman" w:cs="Times New Roman"/>
          <w:sz w:val="24"/>
          <w:szCs w:val="24"/>
        </w:rPr>
        <w:t>off et al.</w:t>
      </w:r>
      <w:r w:rsidR="00077B7D" w:rsidRPr="003F2E2C">
        <w:rPr>
          <w:rFonts w:ascii="Times New Roman" w:hAnsi="Times New Roman" w:cs="Times New Roman"/>
          <w:sz w:val="24"/>
          <w:szCs w:val="24"/>
        </w:rPr>
        <w:t>,</w:t>
      </w:r>
      <w:r w:rsidRPr="003F2E2C">
        <w:rPr>
          <w:rFonts w:ascii="Times New Roman" w:hAnsi="Times New Roman" w:cs="Times New Roman"/>
          <w:sz w:val="24"/>
          <w:szCs w:val="24"/>
        </w:rPr>
        <w:t xml:space="preserve"> 2003). Using the unrotated factor solution, all the measures in the study were subjected to EFA and multiple distinct components (i.e. 5) emerged. The first factor accounted for 33.691% of the variance (which is far below 50% of the variance explained) which is accepted in a study like this where th</w:t>
      </w:r>
      <w:r w:rsidR="00A90AC2" w:rsidRPr="003F2E2C">
        <w:rPr>
          <w:rFonts w:ascii="Times New Roman" w:hAnsi="Times New Roman" w:cs="Times New Roman"/>
          <w:sz w:val="24"/>
          <w:szCs w:val="24"/>
        </w:rPr>
        <w:t xml:space="preserve">e constructs are correlated </w:t>
      </w:r>
      <w:r w:rsidRPr="003F2E2C">
        <w:rPr>
          <w:rFonts w:ascii="Times New Roman" w:hAnsi="Times New Roman" w:cs="Times New Roman"/>
          <w:sz w:val="24"/>
          <w:szCs w:val="24"/>
        </w:rPr>
        <w:t xml:space="preserve">conceptually. </w:t>
      </w:r>
      <w:r w:rsidRPr="003F2E2C">
        <w:rPr>
          <w:rFonts w:ascii="Times New Roman" w:hAnsi="Times New Roman" w:cs="Times New Roman"/>
          <w:noProof/>
          <w:sz w:val="24"/>
          <w:szCs w:val="24"/>
        </w:rPr>
        <w:t>We</w:t>
      </w:r>
      <w:r w:rsidR="004D3D73" w:rsidRPr="003F2E2C">
        <w:rPr>
          <w:rFonts w:ascii="Times New Roman" w:hAnsi="Times New Roman" w:cs="Times New Roman"/>
          <w:noProof/>
          <w:sz w:val="24"/>
          <w:szCs w:val="24"/>
        </w:rPr>
        <w:t>, therefore,</w:t>
      </w:r>
      <w:r w:rsidRPr="003F2E2C">
        <w:rPr>
          <w:rFonts w:ascii="Times New Roman" w:hAnsi="Times New Roman" w:cs="Times New Roman"/>
          <w:sz w:val="24"/>
          <w:szCs w:val="24"/>
        </w:rPr>
        <w:t xml:space="preserve"> concluded that CMB does not sufficiently describe our data and may not pose much threat to the study’s results and interpretations.</w:t>
      </w:r>
    </w:p>
    <w:p w14:paraId="1317B280" w14:textId="77777777" w:rsidR="000D0A06" w:rsidRPr="003F2E2C" w:rsidRDefault="000D0A06" w:rsidP="000D0A06">
      <w:pPr>
        <w:spacing w:after="0" w:line="360" w:lineRule="auto"/>
        <w:ind w:firstLine="720"/>
        <w:jc w:val="both"/>
        <w:rPr>
          <w:rFonts w:ascii="Times New Roman" w:hAnsi="Times New Roman" w:cs="Times New Roman"/>
          <w:sz w:val="24"/>
          <w:szCs w:val="24"/>
        </w:rPr>
      </w:pPr>
    </w:p>
    <w:p w14:paraId="0F279439" w14:textId="77777777" w:rsidR="000D0A06" w:rsidRPr="003F2E2C" w:rsidRDefault="0013597C" w:rsidP="000D0A06">
      <w:pPr>
        <w:spacing w:after="0" w:line="360" w:lineRule="auto"/>
        <w:ind w:firstLine="720"/>
        <w:jc w:val="center"/>
        <w:rPr>
          <w:rFonts w:ascii="Times New Roman" w:hAnsi="Times New Roman" w:cs="Times New Roman"/>
          <w:b/>
          <w:sz w:val="24"/>
          <w:szCs w:val="24"/>
        </w:rPr>
      </w:pPr>
      <w:r w:rsidRPr="003F2E2C">
        <w:rPr>
          <w:rFonts w:ascii="Times New Roman" w:hAnsi="Times New Roman" w:cs="Times New Roman"/>
          <w:b/>
          <w:sz w:val="24"/>
          <w:szCs w:val="24"/>
        </w:rPr>
        <w:t>[TABLE 1 ABOUT HERE]</w:t>
      </w:r>
    </w:p>
    <w:p w14:paraId="7C6DF943" w14:textId="77777777" w:rsidR="000D0A06" w:rsidRPr="003F2E2C" w:rsidRDefault="000D0A06" w:rsidP="000D0A06">
      <w:pPr>
        <w:spacing w:after="0" w:line="360" w:lineRule="auto"/>
        <w:ind w:firstLine="720"/>
        <w:jc w:val="both"/>
        <w:rPr>
          <w:rFonts w:ascii="Times New Roman" w:hAnsi="Times New Roman" w:cs="Times New Roman"/>
          <w:sz w:val="24"/>
          <w:szCs w:val="24"/>
        </w:rPr>
      </w:pPr>
    </w:p>
    <w:p w14:paraId="22008623" w14:textId="77777777" w:rsidR="00E648EC" w:rsidRPr="003F2E2C" w:rsidRDefault="00E648EC" w:rsidP="00E648EC">
      <w:pPr>
        <w:autoSpaceDE w:val="0"/>
        <w:autoSpaceDN w:val="0"/>
        <w:adjustRightInd w:val="0"/>
        <w:spacing w:after="0" w:line="240" w:lineRule="auto"/>
        <w:rPr>
          <w:rFonts w:ascii="Times New Roman" w:hAnsi="Times New Roman" w:cs="Times New Roman"/>
          <w:b/>
          <w:sz w:val="24"/>
          <w:szCs w:val="24"/>
        </w:rPr>
      </w:pPr>
    </w:p>
    <w:p w14:paraId="0926BDDE" w14:textId="7BE821C3" w:rsidR="00E648EC" w:rsidRPr="003F2E2C" w:rsidRDefault="0013597C" w:rsidP="000C5843">
      <w:pPr>
        <w:autoSpaceDE w:val="0"/>
        <w:autoSpaceDN w:val="0"/>
        <w:adjustRightInd w:val="0"/>
        <w:spacing w:after="0" w:line="360" w:lineRule="auto"/>
        <w:rPr>
          <w:rFonts w:ascii="Times New Roman" w:hAnsi="Times New Roman" w:cs="Times New Roman"/>
          <w:i/>
          <w:sz w:val="24"/>
          <w:szCs w:val="24"/>
        </w:rPr>
      </w:pPr>
      <w:r w:rsidRPr="003F2E2C">
        <w:rPr>
          <w:rFonts w:ascii="Times New Roman" w:hAnsi="Times New Roman" w:cs="Times New Roman"/>
          <w:i/>
          <w:sz w:val="24"/>
          <w:szCs w:val="24"/>
        </w:rPr>
        <w:t>4.4 Model specification</w:t>
      </w:r>
    </w:p>
    <w:p w14:paraId="2E4E9643" w14:textId="4465FA07" w:rsidR="00E648EC" w:rsidRPr="003F2E2C" w:rsidRDefault="0013597C" w:rsidP="000E0FA9">
      <w:pPr>
        <w:autoSpaceDE w:val="0"/>
        <w:autoSpaceDN w:val="0"/>
        <w:adjustRightInd w:val="0"/>
        <w:spacing w:after="0" w:line="360" w:lineRule="auto"/>
        <w:ind w:firstLine="720"/>
        <w:rPr>
          <w:rFonts w:ascii="Times New Roman" w:hAnsi="Times New Roman" w:cs="Times New Roman"/>
          <w:sz w:val="24"/>
          <w:szCs w:val="24"/>
        </w:rPr>
      </w:pPr>
      <w:r w:rsidRPr="003F2E2C">
        <w:rPr>
          <w:rFonts w:ascii="Times New Roman" w:hAnsi="Times New Roman" w:cs="Times New Roman"/>
          <w:sz w:val="24"/>
          <w:szCs w:val="24"/>
        </w:rPr>
        <w:t>The following model is used to test our hypotheses</w:t>
      </w:r>
      <w:r w:rsidR="00461CAC" w:rsidRPr="003F2E2C">
        <w:rPr>
          <w:rFonts w:ascii="Times New Roman" w:hAnsi="Times New Roman" w:cs="Times New Roman"/>
          <w:sz w:val="24"/>
          <w:szCs w:val="24"/>
        </w:rPr>
        <w:t xml:space="preserve"> with results being presented hierarchically</w:t>
      </w:r>
      <w:r w:rsidRPr="003F2E2C">
        <w:rPr>
          <w:rFonts w:ascii="Times New Roman" w:hAnsi="Times New Roman" w:cs="Times New Roman"/>
          <w:sz w:val="24"/>
          <w:szCs w:val="24"/>
        </w:rPr>
        <w:t>:</w:t>
      </w:r>
    </w:p>
    <w:p w14:paraId="17E74D0D" w14:textId="5F70FA98" w:rsidR="00E648EC" w:rsidRPr="003F2E2C" w:rsidRDefault="0013597C" w:rsidP="0079718F">
      <w:pPr>
        <w:spacing w:after="0" w:line="360" w:lineRule="auto"/>
        <w:rPr>
          <w:rFonts w:ascii="Times New Roman" w:hAnsi="Times New Roman" w:cs="Times New Roman"/>
          <w:sz w:val="24"/>
          <w:szCs w:val="24"/>
        </w:rPr>
      </w:pPr>
      <w:r w:rsidRPr="003F2E2C">
        <w:rPr>
          <w:rFonts w:ascii="Times New Roman" w:hAnsi="Times New Roman" w:cs="Times New Roman"/>
          <w:sz w:val="24"/>
          <w:szCs w:val="24"/>
        </w:rPr>
        <w:t>Performance = α + β</w:t>
      </w:r>
      <w:r w:rsidRPr="003F2E2C">
        <w:rPr>
          <w:rFonts w:ascii="Times New Roman" w:hAnsi="Times New Roman" w:cs="Times New Roman"/>
          <w:sz w:val="24"/>
          <w:szCs w:val="24"/>
          <w:vertAlign w:val="subscript"/>
        </w:rPr>
        <w:t>1</w:t>
      </w:r>
      <w:r w:rsidRPr="003F2E2C">
        <w:rPr>
          <w:rFonts w:ascii="Times New Roman" w:hAnsi="Times New Roman" w:cs="Times New Roman"/>
          <w:sz w:val="24"/>
          <w:szCs w:val="24"/>
        </w:rPr>
        <w:t>Gender + β</w:t>
      </w:r>
      <w:r w:rsidRPr="003F2E2C">
        <w:rPr>
          <w:rFonts w:ascii="Times New Roman" w:hAnsi="Times New Roman" w:cs="Times New Roman"/>
          <w:sz w:val="24"/>
          <w:szCs w:val="24"/>
          <w:vertAlign w:val="subscript"/>
        </w:rPr>
        <w:t>2</w:t>
      </w:r>
      <w:r w:rsidRPr="003F2E2C">
        <w:rPr>
          <w:rFonts w:ascii="Times New Roman" w:hAnsi="Times New Roman" w:cs="Times New Roman"/>
          <w:sz w:val="24"/>
          <w:szCs w:val="24"/>
        </w:rPr>
        <w:t>Level +</w:t>
      </w:r>
      <w:r w:rsidR="008670ED" w:rsidRPr="003F2E2C">
        <w:rPr>
          <w:rFonts w:ascii="Times New Roman" w:hAnsi="Times New Roman" w:cs="Times New Roman"/>
          <w:sz w:val="24"/>
          <w:szCs w:val="24"/>
        </w:rPr>
        <w:t xml:space="preserve"> β</w:t>
      </w:r>
      <w:r w:rsidR="008670ED" w:rsidRPr="003F2E2C">
        <w:rPr>
          <w:rFonts w:ascii="Times New Roman" w:hAnsi="Times New Roman" w:cs="Times New Roman"/>
          <w:sz w:val="24"/>
          <w:szCs w:val="24"/>
          <w:vertAlign w:val="subscript"/>
        </w:rPr>
        <w:t>3</w:t>
      </w:r>
      <w:r w:rsidR="008670ED" w:rsidRPr="003F2E2C">
        <w:rPr>
          <w:rFonts w:ascii="Times New Roman" w:hAnsi="Times New Roman" w:cs="Times New Roman"/>
          <w:sz w:val="24"/>
          <w:szCs w:val="24"/>
        </w:rPr>
        <w:t>Expectation +</w:t>
      </w:r>
      <w:r w:rsidRPr="003F2E2C">
        <w:rPr>
          <w:rFonts w:ascii="Times New Roman" w:hAnsi="Times New Roman" w:cs="Times New Roman"/>
          <w:sz w:val="24"/>
          <w:szCs w:val="24"/>
        </w:rPr>
        <w:t xml:space="preserve"> β</w:t>
      </w:r>
      <w:r w:rsidR="008670ED" w:rsidRPr="003F2E2C">
        <w:rPr>
          <w:rFonts w:ascii="Times New Roman" w:hAnsi="Times New Roman" w:cs="Times New Roman"/>
          <w:sz w:val="24"/>
          <w:szCs w:val="24"/>
          <w:vertAlign w:val="subscript"/>
        </w:rPr>
        <w:t>4</w:t>
      </w:r>
      <w:r w:rsidRPr="003F2E2C">
        <w:rPr>
          <w:rFonts w:ascii="Times New Roman" w:hAnsi="Times New Roman" w:cs="Times New Roman"/>
          <w:sz w:val="24"/>
          <w:szCs w:val="24"/>
        </w:rPr>
        <w:t>Volition + β</w:t>
      </w:r>
      <w:r w:rsidRPr="003F2E2C">
        <w:rPr>
          <w:rFonts w:ascii="Times New Roman" w:hAnsi="Times New Roman" w:cs="Times New Roman"/>
          <w:sz w:val="24"/>
          <w:szCs w:val="24"/>
          <w:vertAlign w:val="subscript"/>
        </w:rPr>
        <w:t>5</w:t>
      </w:r>
      <w:r w:rsidR="008670ED" w:rsidRPr="003F2E2C">
        <w:rPr>
          <w:rFonts w:ascii="Times New Roman" w:hAnsi="Times New Roman" w:cs="Times New Roman"/>
          <w:sz w:val="24"/>
          <w:szCs w:val="24"/>
          <w:vertAlign w:val="subscript"/>
        </w:rPr>
        <w:t xml:space="preserve"> </w:t>
      </w:r>
      <w:r w:rsidR="008670ED" w:rsidRPr="003F2E2C">
        <w:rPr>
          <w:rFonts w:ascii="Times New Roman" w:hAnsi="Times New Roman" w:cs="Times New Roman"/>
          <w:sz w:val="24"/>
          <w:szCs w:val="24"/>
        </w:rPr>
        <w:t>Academic I</w:t>
      </w:r>
      <w:r w:rsidRPr="003F2E2C">
        <w:rPr>
          <w:rFonts w:ascii="Times New Roman" w:hAnsi="Times New Roman" w:cs="Times New Roman"/>
          <w:sz w:val="24"/>
          <w:szCs w:val="24"/>
        </w:rPr>
        <w:t>nterest + β</w:t>
      </w:r>
      <w:r w:rsidRPr="003F2E2C">
        <w:rPr>
          <w:rFonts w:ascii="Times New Roman" w:hAnsi="Times New Roman" w:cs="Times New Roman"/>
          <w:sz w:val="24"/>
          <w:szCs w:val="24"/>
          <w:vertAlign w:val="subscript"/>
        </w:rPr>
        <w:t>6</w:t>
      </w:r>
      <w:r w:rsidR="008670ED" w:rsidRPr="003F2E2C">
        <w:rPr>
          <w:rFonts w:ascii="Times New Roman" w:hAnsi="Times New Roman" w:cs="Times New Roman"/>
          <w:sz w:val="24"/>
          <w:szCs w:val="24"/>
        </w:rPr>
        <w:t xml:space="preserve"> Learning A</w:t>
      </w:r>
      <w:r w:rsidRPr="003F2E2C">
        <w:rPr>
          <w:rFonts w:ascii="Times New Roman" w:hAnsi="Times New Roman" w:cs="Times New Roman"/>
          <w:sz w:val="24"/>
          <w:szCs w:val="24"/>
        </w:rPr>
        <w:t>ttitude + ε</w:t>
      </w:r>
    </w:p>
    <w:p w14:paraId="1F83B4DB" w14:textId="77777777" w:rsidR="00E648EC" w:rsidRPr="003F2E2C" w:rsidRDefault="00E648EC" w:rsidP="000C5843">
      <w:pPr>
        <w:autoSpaceDE w:val="0"/>
        <w:autoSpaceDN w:val="0"/>
        <w:adjustRightInd w:val="0"/>
        <w:spacing w:after="0" w:line="360" w:lineRule="auto"/>
        <w:rPr>
          <w:rFonts w:ascii="CenturyOSMTPro" w:hAnsi="CenturyOSMTPro" w:cs="CenturyOSMTPro"/>
          <w:sz w:val="12"/>
          <w:szCs w:val="12"/>
        </w:rPr>
      </w:pPr>
    </w:p>
    <w:p w14:paraId="1ABDF3D4" w14:textId="77777777" w:rsidR="00E648EC" w:rsidRPr="003F2E2C" w:rsidRDefault="00E648EC" w:rsidP="000C5843">
      <w:pPr>
        <w:autoSpaceDE w:val="0"/>
        <w:autoSpaceDN w:val="0"/>
        <w:adjustRightInd w:val="0"/>
        <w:spacing w:after="0" w:line="360" w:lineRule="auto"/>
        <w:rPr>
          <w:rFonts w:ascii="CenturyOSMTPro" w:hAnsi="CenturyOSMTPro" w:cs="CenturyOSMTPro"/>
          <w:sz w:val="12"/>
          <w:szCs w:val="12"/>
        </w:rPr>
      </w:pPr>
    </w:p>
    <w:p w14:paraId="3BC31D84" w14:textId="45198736" w:rsidR="00EC66FD"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P</w:t>
      </w:r>
      <w:r w:rsidR="00401BCF" w:rsidRPr="003F2E2C">
        <w:rPr>
          <w:rFonts w:ascii="Times New Roman" w:hAnsi="Times New Roman" w:cs="Times New Roman"/>
          <w:sz w:val="24"/>
          <w:szCs w:val="24"/>
        </w:rPr>
        <w:t>erformance</w:t>
      </w:r>
      <w:r w:rsidR="008670ED" w:rsidRPr="003F2E2C">
        <w:rPr>
          <w:rFonts w:ascii="Times New Roman" w:hAnsi="Times New Roman" w:cs="Times New Roman"/>
          <w:sz w:val="24"/>
          <w:szCs w:val="24"/>
        </w:rPr>
        <w:t xml:space="preserve"> </w:t>
      </w:r>
      <w:r w:rsidR="00665C70" w:rsidRPr="003F2E2C">
        <w:rPr>
          <w:rFonts w:ascii="Times New Roman" w:hAnsi="Times New Roman" w:cs="Times New Roman"/>
          <w:sz w:val="24"/>
          <w:szCs w:val="24"/>
        </w:rPr>
        <w:t xml:space="preserve">       </w:t>
      </w:r>
      <w:r w:rsidR="00401BCF" w:rsidRPr="003F2E2C">
        <w:rPr>
          <w:rFonts w:ascii="Times New Roman" w:hAnsi="Times New Roman" w:cs="Times New Roman"/>
          <w:sz w:val="24"/>
          <w:szCs w:val="24"/>
        </w:rPr>
        <w:t xml:space="preserve"> =</w:t>
      </w:r>
      <w:r w:rsidR="0029251A" w:rsidRPr="003F2E2C">
        <w:rPr>
          <w:rFonts w:ascii="Times New Roman" w:hAnsi="Times New Roman" w:cs="Times New Roman"/>
          <w:sz w:val="24"/>
          <w:szCs w:val="24"/>
        </w:rPr>
        <w:t xml:space="preserve"> average</w:t>
      </w:r>
      <w:r w:rsidR="00401BCF" w:rsidRPr="003F2E2C">
        <w:rPr>
          <w:rFonts w:ascii="Times New Roman" w:hAnsi="Times New Roman" w:cs="Times New Roman"/>
          <w:sz w:val="24"/>
          <w:szCs w:val="24"/>
        </w:rPr>
        <w:t xml:space="preserve"> score</w:t>
      </w:r>
      <w:r w:rsidR="0029251A" w:rsidRPr="003F2E2C">
        <w:rPr>
          <w:rFonts w:ascii="Times New Roman" w:hAnsi="Times New Roman" w:cs="Times New Roman"/>
          <w:sz w:val="24"/>
          <w:szCs w:val="24"/>
        </w:rPr>
        <w:t xml:space="preserve"> of the</w:t>
      </w:r>
      <w:r w:rsidR="00F01581" w:rsidRPr="003F2E2C">
        <w:rPr>
          <w:rFonts w:ascii="Times New Roman" w:hAnsi="Times New Roman" w:cs="Times New Roman"/>
          <w:sz w:val="24"/>
          <w:szCs w:val="24"/>
        </w:rPr>
        <w:t xml:space="preserve"> students’ assessment of</w:t>
      </w:r>
      <w:r w:rsidR="0029251A" w:rsidRPr="003F2E2C">
        <w:rPr>
          <w:rFonts w:ascii="Times New Roman" w:hAnsi="Times New Roman" w:cs="Times New Roman"/>
          <w:sz w:val="24"/>
          <w:szCs w:val="24"/>
        </w:rPr>
        <w:t xml:space="preserve"> </w:t>
      </w:r>
      <w:r w:rsidRPr="003F2E2C">
        <w:rPr>
          <w:rFonts w:ascii="Times New Roman" w:hAnsi="Times New Roman" w:cs="Times New Roman"/>
          <w:sz w:val="24"/>
          <w:szCs w:val="24"/>
        </w:rPr>
        <w:t>academic performance in</w:t>
      </w:r>
      <w:r w:rsidR="0029251A" w:rsidRPr="003F2E2C">
        <w:rPr>
          <w:rFonts w:ascii="Times New Roman" w:hAnsi="Times New Roman" w:cs="Times New Roman"/>
          <w:sz w:val="24"/>
          <w:szCs w:val="24"/>
        </w:rPr>
        <w:t xml:space="preserve"> </w:t>
      </w:r>
    </w:p>
    <w:p w14:paraId="043FBD53" w14:textId="64A80A8B" w:rsidR="00E648EC"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                      </w:t>
      </w:r>
      <w:r w:rsidR="008670ED"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 </w:t>
      </w:r>
      <w:r w:rsidR="00401BCF" w:rsidRPr="003F2E2C">
        <w:rPr>
          <w:rFonts w:ascii="Times New Roman" w:hAnsi="Times New Roman" w:cs="Times New Roman"/>
          <w:sz w:val="24"/>
          <w:szCs w:val="24"/>
        </w:rPr>
        <w:t xml:space="preserve">accounting </w:t>
      </w:r>
      <w:r w:rsidRPr="003F2E2C">
        <w:rPr>
          <w:rFonts w:ascii="Times New Roman" w:hAnsi="Times New Roman" w:cs="Times New Roman"/>
          <w:sz w:val="24"/>
          <w:szCs w:val="24"/>
        </w:rPr>
        <w:t>(with 1=extremely dissatisfied; 7=extremely satisfied)</w:t>
      </w:r>
    </w:p>
    <w:p w14:paraId="34639BEB" w14:textId="77777777" w:rsidR="00A21CF2" w:rsidRPr="003F2E2C" w:rsidRDefault="0013597C" w:rsidP="001055FB">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Gender                  = Dummy variable (</w:t>
      </w:r>
      <w:bookmarkStart w:id="12" w:name="_Hlk507154859"/>
      <w:r w:rsidRPr="003F2E2C">
        <w:rPr>
          <w:rFonts w:ascii="Times New Roman" w:hAnsi="Times New Roman" w:cs="Times New Roman"/>
          <w:sz w:val="24"/>
          <w:szCs w:val="24"/>
        </w:rPr>
        <w:t>control variable</w:t>
      </w:r>
      <w:bookmarkEnd w:id="12"/>
      <w:r w:rsidRPr="003F2E2C">
        <w:rPr>
          <w:rFonts w:ascii="Times New Roman" w:hAnsi="Times New Roman" w:cs="Times New Roman"/>
          <w:sz w:val="24"/>
          <w:szCs w:val="24"/>
        </w:rPr>
        <w:t>): 1, if the student is male and 0, if</w:t>
      </w:r>
    </w:p>
    <w:p w14:paraId="33E2209A" w14:textId="06F4021B" w:rsidR="001055FB" w:rsidRPr="003F2E2C" w:rsidRDefault="0013597C" w:rsidP="00A21CF2">
      <w:pPr>
        <w:autoSpaceDE w:val="0"/>
        <w:autoSpaceDN w:val="0"/>
        <w:adjustRightInd w:val="0"/>
        <w:spacing w:after="0" w:line="360" w:lineRule="auto"/>
        <w:ind w:left="1440"/>
        <w:rPr>
          <w:rFonts w:ascii="Times New Roman" w:hAnsi="Times New Roman" w:cs="Times New Roman"/>
          <w:sz w:val="24"/>
          <w:szCs w:val="24"/>
        </w:rPr>
      </w:pPr>
      <w:r w:rsidRPr="003F2E2C">
        <w:rPr>
          <w:rFonts w:ascii="Times New Roman" w:hAnsi="Times New Roman" w:cs="Times New Roman"/>
          <w:sz w:val="24"/>
          <w:szCs w:val="24"/>
        </w:rPr>
        <w:t xml:space="preserve">          the student is female.</w:t>
      </w:r>
    </w:p>
    <w:p w14:paraId="23EC3EE9" w14:textId="77777777" w:rsidR="00A21CF2" w:rsidRPr="003F2E2C" w:rsidRDefault="0013597C" w:rsidP="001055FB">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Level</w:t>
      </w:r>
      <w:r w:rsidRPr="003F2E2C">
        <w:rPr>
          <w:rFonts w:ascii="Times New Roman" w:hAnsi="Times New Roman" w:cs="Times New Roman"/>
          <w:sz w:val="24"/>
          <w:szCs w:val="24"/>
        </w:rPr>
        <w:tab/>
        <w:t xml:space="preserve">                  = Dummy variable (control variable): 1, if the student is studying at </w:t>
      </w:r>
    </w:p>
    <w:p w14:paraId="050983BF" w14:textId="6E09E6C2" w:rsidR="001055FB" w:rsidRPr="003F2E2C" w:rsidRDefault="0013597C" w:rsidP="00A21CF2">
      <w:pPr>
        <w:autoSpaceDE w:val="0"/>
        <w:autoSpaceDN w:val="0"/>
        <w:adjustRightInd w:val="0"/>
        <w:spacing w:after="0" w:line="360" w:lineRule="auto"/>
        <w:ind w:left="720" w:firstLine="720"/>
        <w:rPr>
          <w:rFonts w:ascii="Times New Roman" w:hAnsi="Times New Roman" w:cs="Times New Roman"/>
          <w:sz w:val="24"/>
          <w:szCs w:val="24"/>
        </w:rPr>
      </w:pPr>
      <w:r w:rsidRPr="003F2E2C">
        <w:rPr>
          <w:rFonts w:ascii="Times New Roman" w:hAnsi="Times New Roman" w:cs="Times New Roman"/>
          <w:sz w:val="24"/>
          <w:szCs w:val="24"/>
        </w:rPr>
        <w:t xml:space="preserve">          secondary; 0, otherwise</w:t>
      </w:r>
    </w:p>
    <w:p w14:paraId="03A119F0" w14:textId="4C4E236D" w:rsidR="008670ED"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Expectation            = </w:t>
      </w:r>
      <w:r w:rsidR="00B134F4" w:rsidRPr="003F2E2C">
        <w:rPr>
          <w:rFonts w:ascii="Times New Roman" w:hAnsi="Times New Roman" w:cs="Times New Roman"/>
          <w:sz w:val="24"/>
          <w:szCs w:val="24"/>
        </w:rPr>
        <w:t xml:space="preserve">average score for </w:t>
      </w:r>
      <w:r w:rsidRPr="003F2E2C">
        <w:rPr>
          <w:rFonts w:ascii="Times New Roman" w:hAnsi="Times New Roman" w:cs="Times New Roman"/>
          <w:sz w:val="24"/>
          <w:szCs w:val="24"/>
        </w:rPr>
        <w:t>future expectations from studying accounting</w:t>
      </w:r>
      <w:r w:rsidR="00B134F4" w:rsidRPr="003F2E2C">
        <w:rPr>
          <w:rFonts w:ascii="Times New Roman" w:hAnsi="Times New Roman" w:cs="Times New Roman"/>
          <w:sz w:val="24"/>
          <w:szCs w:val="24"/>
        </w:rPr>
        <w:t xml:space="preserve"> (with </w:t>
      </w:r>
    </w:p>
    <w:p w14:paraId="1C4EBA33" w14:textId="7FCE9AEC" w:rsidR="00E648EC"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                                  </w:t>
      </w:r>
      <w:r w:rsidR="00B134F4" w:rsidRPr="003F2E2C">
        <w:rPr>
          <w:rFonts w:ascii="Times New Roman" w:hAnsi="Times New Roman" w:cs="Times New Roman"/>
          <w:sz w:val="24"/>
          <w:szCs w:val="24"/>
        </w:rPr>
        <w:t>1</w:t>
      </w:r>
      <w:r w:rsidR="00A54FE7" w:rsidRPr="003F2E2C">
        <w:rPr>
          <w:rFonts w:ascii="Times New Roman" w:hAnsi="Times New Roman" w:cs="Times New Roman"/>
          <w:sz w:val="24"/>
          <w:szCs w:val="24"/>
        </w:rPr>
        <w:t xml:space="preserve"> </w:t>
      </w:r>
      <w:r w:rsidR="00B134F4" w:rsidRPr="003F2E2C">
        <w:rPr>
          <w:rFonts w:ascii="Times New Roman" w:hAnsi="Times New Roman" w:cs="Times New Roman"/>
          <w:sz w:val="24"/>
          <w:szCs w:val="24"/>
        </w:rPr>
        <w:t>=</w:t>
      </w:r>
      <w:r w:rsidR="00A54FE7" w:rsidRPr="003F2E2C">
        <w:rPr>
          <w:rFonts w:ascii="Times New Roman" w:hAnsi="Times New Roman" w:cs="Times New Roman"/>
          <w:sz w:val="24"/>
          <w:szCs w:val="24"/>
        </w:rPr>
        <w:t xml:space="preserve"> </w:t>
      </w:r>
      <w:r w:rsidR="00B134F4" w:rsidRPr="003F2E2C">
        <w:rPr>
          <w:rFonts w:ascii="Times New Roman" w:hAnsi="Times New Roman" w:cs="Times New Roman"/>
          <w:sz w:val="24"/>
          <w:szCs w:val="24"/>
        </w:rPr>
        <w:t>not at all; 5</w:t>
      </w:r>
      <w:r w:rsidR="00313A21" w:rsidRPr="003F2E2C">
        <w:rPr>
          <w:rFonts w:ascii="Times New Roman" w:hAnsi="Times New Roman" w:cs="Times New Roman"/>
          <w:sz w:val="24"/>
          <w:szCs w:val="24"/>
        </w:rPr>
        <w:t xml:space="preserve"> </w:t>
      </w:r>
      <w:r w:rsidR="00B134F4" w:rsidRPr="003F2E2C">
        <w:rPr>
          <w:rFonts w:ascii="Times New Roman" w:hAnsi="Times New Roman" w:cs="Times New Roman"/>
          <w:sz w:val="24"/>
          <w:szCs w:val="24"/>
        </w:rPr>
        <w:t>=</w:t>
      </w:r>
      <w:r w:rsidR="00313A21" w:rsidRPr="003F2E2C">
        <w:rPr>
          <w:rFonts w:ascii="Times New Roman" w:hAnsi="Times New Roman" w:cs="Times New Roman"/>
          <w:sz w:val="24"/>
          <w:szCs w:val="24"/>
        </w:rPr>
        <w:t xml:space="preserve"> </w:t>
      </w:r>
      <w:r w:rsidR="00B134F4" w:rsidRPr="003F2E2C">
        <w:rPr>
          <w:rFonts w:ascii="Times New Roman" w:hAnsi="Times New Roman" w:cs="Times New Roman"/>
          <w:sz w:val="24"/>
          <w:szCs w:val="24"/>
        </w:rPr>
        <w:t xml:space="preserve">to </w:t>
      </w:r>
      <w:r w:rsidR="00B134F4" w:rsidRPr="003F2E2C">
        <w:rPr>
          <w:rFonts w:ascii="Times New Roman" w:hAnsi="Times New Roman" w:cs="Times New Roman"/>
          <w:noProof/>
          <w:sz w:val="24"/>
          <w:szCs w:val="24"/>
        </w:rPr>
        <w:t>a largest</w:t>
      </w:r>
      <w:r w:rsidR="00B134F4" w:rsidRPr="003F2E2C">
        <w:rPr>
          <w:rFonts w:ascii="Times New Roman" w:hAnsi="Times New Roman" w:cs="Times New Roman"/>
          <w:sz w:val="24"/>
          <w:szCs w:val="24"/>
        </w:rPr>
        <w:t xml:space="preserve"> extent)</w:t>
      </w:r>
    </w:p>
    <w:p w14:paraId="1BFF920A" w14:textId="659ABDEF" w:rsidR="00575831"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Volition    </w:t>
      </w:r>
      <w:r w:rsidR="008670ED"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  = </w:t>
      </w:r>
      <w:r w:rsidR="0029251A" w:rsidRPr="003F2E2C">
        <w:rPr>
          <w:rFonts w:ascii="Times New Roman" w:hAnsi="Times New Roman" w:cs="Times New Roman"/>
          <w:sz w:val="24"/>
          <w:szCs w:val="24"/>
        </w:rPr>
        <w:t>average</w:t>
      </w:r>
      <w:r w:rsidRPr="003F2E2C">
        <w:rPr>
          <w:rFonts w:ascii="Times New Roman" w:hAnsi="Times New Roman" w:cs="Times New Roman"/>
          <w:sz w:val="24"/>
          <w:szCs w:val="24"/>
        </w:rPr>
        <w:t xml:space="preserve"> score indicating</w:t>
      </w:r>
      <w:r w:rsidR="0029251A"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the level of </w:t>
      </w:r>
      <w:r w:rsidRPr="003F2E2C">
        <w:rPr>
          <w:rFonts w:ascii="Times New Roman" w:hAnsi="Times New Roman" w:cs="Times New Roman"/>
          <w:noProof/>
          <w:sz w:val="24"/>
          <w:szCs w:val="24"/>
        </w:rPr>
        <w:t>free</w:t>
      </w:r>
      <w:r w:rsidR="004D3D73"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will</w:t>
      </w:r>
      <w:r w:rsidRPr="003F2E2C">
        <w:rPr>
          <w:rFonts w:ascii="Times New Roman" w:hAnsi="Times New Roman" w:cs="Times New Roman"/>
          <w:sz w:val="24"/>
          <w:szCs w:val="24"/>
        </w:rPr>
        <w:t xml:space="preserve"> of the student in choosing </w:t>
      </w:r>
    </w:p>
    <w:p w14:paraId="4543721F" w14:textId="1998AE7D" w:rsidR="00575831"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                   </w:t>
      </w:r>
      <w:r w:rsidR="008670ED"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  </w:t>
      </w:r>
      <w:r w:rsidR="00E648EC" w:rsidRPr="003F2E2C">
        <w:rPr>
          <w:rFonts w:ascii="Times New Roman" w:hAnsi="Times New Roman" w:cs="Times New Roman"/>
          <w:sz w:val="24"/>
          <w:szCs w:val="24"/>
        </w:rPr>
        <w:t>accounting course</w:t>
      </w:r>
      <w:r w:rsidR="00B134F4" w:rsidRPr="003F2E2C">
        <w:rPr>
          <w:rFonts w:ascii="Times New Roman" w:hAnsi="Times New Roman" w:cs="Times New Roman"/>
          <w:sz w:val="24"/>
          <w:szCs w:val="24"/>
        </w:rPr>
        <w:t xml:space="preserve"> using a </w:t>
      </w:r>
      <w:r w:rsidR="0053012C" w:rsidRPr="003F2E2C">
        <w:rPr>
          <w:rFonts w:ascii="Times New Roman" w:hAnsi="Times New Roman" w:cs="Times New Roman"/>
          <w:sz w:val="24"/>
          <w:szCs w:val="24"/>
        </w:rPr>
        <w:t xml:space="preserve">scale </w:t>
      </w:r>
      <w:r w:rsidR="008E1DB0" w:rsidRPr="003F2E2C">
        <w:rPr>
          <w:rFonts w:ascii="Times New Roman" w:hAnsi="Times New Roman" w:cs="Times New Roman"/>
          <w:sz w:val="24"/>
          <w:szCs w:val="24"/>
        </w:rPr>
        <w:t>(</w:t>
      </w:r>
      <w:r w:rsidR="0053012C" w:rsidRPr="003F2E2C">
        <w:rPr>
          <w:rFonts w:ascii="Times New Roman" w:hAnsi="Times New Roman" w:cs="Times New Roman"/>
          <w:sz w:val="24"/>
          <w:szCs w:val="24"/>
        </w:rPr>
        <w:t xml:space="preserve">with 1= strongly agree to 5 = strongly </w:t>
      </w:r>
    </w:p>
    <w:p w14:paraId="1349EDFA" w14:textId="767782D4" w:rsidR="00E648EC"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                   </w:t>
      </w:r>
      <w:r w:rsidR="008670ED"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  </w:t>
      </w:r>
      <w:r w:rsidR="0053012C" w:rsidRPr="003F2E2C">
        <w:rPr>
          <w:rFonts w:ascii="Times New Roman" w:hAnsi="Times New Roman" w:cs="Times New Roman"/>
          <w:sz w:val="24"/>
          <w:szCs w:val="24"/>
        </w:rPr>
        <w:t>disagree</w:t>
      </w:r>
      <w:r w:rsidR="008E1DB0" w:rsidRPr="003F2E2C">
        <w:rPr>
          <w:rFonts w:ascii="Times New Roman" w:hAnsi="Times New Roman" w:cs="Times New Roman"/>
          <w:sz w:val="24"/>
          <w:szCs w:val="24"/>
        </w:rPr>
        <w:t>)</w:t>
      </w:r>
    </w:p>
    <w:p w14:paraId="29F70B46" w14:textId="77777777" w:rsidR="008670ED"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Academic </w:t>
      </w:r>
      <w:r w:rsidR="00E648EC" w:rsidRPr="003F2E2C">
        <w:rPr>
          <w:rFonts w:ascii="Times New Roman" w:hAnsi="Times New Roman" w:cs="Times New Roman"/>
          <w:sz w:val="24"/>
          <w:szCs w:val="24"/>
        </w:rPr>
        <w:t>Interest</w:t>
      </w:r>
      <w:r w:rsidRPr="003F2E2C">
        <w:rPr>
          <w:rFonts w:ascii="Times New Roman" w:hAnsi="Times New Roman" w:cs="Times New Roman"/>
          <w:sz w:val="24"/>
          <w:szCs w:val="24"/>
        </w:rPr>
        <w:t xml:space="preserve"> </w:t>
      </w:r>
      <w:r w:rsidR="00E648EC" w:rsidRPr="003F2E2C">
        <w:rPr>
          <w:rFonts w:ascii="Times New Roman" w:hAnsi="Times New Roman" w:cs="Times New Roman"/>
          <w:sz w:val="24"/>
          <w:szCs w:val="24"/>
        </w:rPr>
        <w:t xml:space="preserve">= </w:t>
      </w:r>
      <w:r w:rsidR="00575831" w:rsidRPr="003F2E2C">
        <w:rPr>
          <w:rFonts w:ascii="Times New Roman" w:hAnsi="Times New Roman" w:cs="Times New Roman"/>
          <w:sz w:val="24"/>
          <w:szCs w:val="24"/>
        </w:rPr>
        <w:t xml:space="preserve">average score of measures indicating </w:t>
      </w:r>
      <w:r w:rsidR="00E648EC" w:rsidRPr="003F2E2C">
        <w:rPr>
          <w:rFonts w:ascii="Times New Roman" w:hAnsi="Times New Roman" w:cs="Times New Roman"/>
          <w:sz w:val="24"/>
          <w:szCs w:val="24"/>
        </w:rPr>
        <w:t xml:space="preserve">academic interest in accounting </w:t>
      </w:r>
      <w:r w:rsidRPr="003F2E2C">
        <w:rPr>
          <w:rFonts w:ascii="Times New Roman" w:hAnsi="Times New Roman" w:cs="Times New Roman"/>
          <w:sz w:val="24"/>
          <w:szCs w:val="24"/>
        </w:rPr>
        <w:t xml:space="preserve">  </w:t>
      </w:r>
    </w:p>
    <w:p w14:paraId="163B532F" w14:textId="0FE66687" w:rsidR="00E648EC"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                                 course</w:t>
      </w:r>
      <w:r w:rsidR="00575831" w:rsidRPr="003F2E2C">
        <w:rPr>
          <w:rFonts w:ascii="Times New Roman" w:hAnsi="Times New Roman" w:cs="Times New Roman"/>
          <w:sz w:val="24"/>
          <w:szCs w:val="24"/>
        </w:rPr>
        <w:t xml:space="preserve"> </w:t>
      </w:r>
      <w:r w:rsidR="0053012C" w:rsidRPr="003F2E2C">
        <w:rPr>
          <w:rFonts w:ascii="Times New Roman" w:hAnsi="Times New Roman" w:cs="Times New Roman"/>
          <w:sz w:val="24"/>
          <w:szCs w:val="24"/>
        </w:rPr>
        <w:t>(</w:t>
      </w:r>
      <w:r w:rsidR="00575831" w:rsidRPr="003F2E2C">
        <w:rPr>
          <w:rFonts w:ascii="Times New Roman" w:hAnsi="Times New Roman" w:cs="Times New Roman"/>
          <w:sz w:val="24"/>
          <w:szCs w:val="24"/>
        </w:rPr>
        <w:t xml:space="preserve">with </w:t>
      </w:r>
      <w:r w:rsidR="0053012C" w:rsidRPr="003F2E2C">
        <w:rPr>
          <w:rFonts w:ascii="Times New Roman" w:hAnsi="Times New Roman" w:cs="Times New Roman"/>
          <w:sz w:val="24"/>
          <w:szCs w:val="24"/>
        </w:rPr>
        <w:t>1=</w:t>
      </w:r>
      <w:r w:rsidR="00A54FE7" w:rsidRPr="003F2E2C">
        <w:rPr>
          <w:rFonts w:ascii="Times New Roman" w:hAnsi="Times New Roman" w:cs="Times New Roman"/>
          <w:sz w:val="24"/>
          <w:szCs w:val="24"/>
        </w:rPr>
        <w:t xml:space="preserve"> </w:t>
      </w:r>
      <w:r w:rsidR="0053012C" w:rsidRPr="003F2E2C">
        <w:rPr>
          <w:rFonts w:ascii="Times New Roman" w:hAnsi="Times New Roman" w:cs="Times New Roman"/>
          <w:sz w:val="24"/>
          <w:szCs w:val="24"/>
        </w:rPr>
        <w:t>not at all; 5</w:t>
      </w:r>
      <w:r w:rsidR="00A54FE7" w:rsidRPr="003F2E2C">
        <w:rPr>
          <w:rFonts w:ascii="Times New Roman" w:hAnsi="Times New Roman" w:cs="Times New Roman"/>
          <w:sz w:val="24"/>
          <w:szCs w:val="24"/>
        </w:rPr>
        <w:t xml:space="preserve"> </w:t>
      </w:r>
      <w:r w:rsidR="0053012C" w:rsidRPr="003F2E2C">
        <w:rPr>
          <w:rFonts w:ascii="Times New Roman" w:hAnsi="Times New Roman" w:cs="Times New Roman"/>
          <w:sz w:val="24"/>
          <w:szCs w:val="24"/>
        </w:rPr>
        <w:t>=</w:t>
      </w:r>
      <w:r w:rsidR="00A54FE7" w:rsidRPr="003F2E2C">
        <w:rPr>
          <w:rFonts w:ascii="Times New Roman" w:hAnsi="Times New Roman" w:cs="Times New Roman"/>
          <w:sz w:val="24"/>
          <w:szCs w:val="24"/>
        </w:rPr>
        <w:t xml:space="preserve"> </w:t>
      </w:r>
      <w:r w:rsidR="0053012C" w:rsidRPr="003F2E2C">
        <w:rPr>
          <w:rFonts w:ascii="Times New Roman" w:hAnsi="Times New Roman" w:cs="Times New Roman"/>
          <w:sz w:val="24"/>
          <w:szCs w:val="24"/>
        </w:rPr>
        <w:t xml:space="preserve">to </w:t>
      </w:r>
      <w:r w:rsidR="0053012C" w:rsidRPr="003F2E2C">
        <w:rPr>
          <w:rFonts w:ascii="Times New Roman" w:hAnsi="Times New Roman" w:cs="Times New Roman"/>
          <w:noProof/>
          <w:sz w:val="24"/>
          <w:szCs w:val="24"/>
        </w:rPr>
        <w:t>a largest</w:t>
      </w:r>
      <w:r w:rsidR="0053012C" w:rsidRPr="003F2E2C">
        <w:rPr>
          <w:rFonts w:ascii="Times New Roman" w:hAnsi="Times New Roman" w:cs="Times New Roman"/>
          <w:sz w:val="24"/>
          <w:szCs w:val="24"/>
        </w:rPr>
        <w:t xml:space="preserve"> extent)</w:t>
      </w:r>
    </w:p>
    <w:p w14:paraId="3B831D72" w14:textId="4479A274" w:rsidR="008670ED"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Learning </w:t>
      </w:r>
      <w:r w:rsidR="00E648EC" w:rsidRPr="003F2E2C">
        <w:rPr>
          <w:rFonts w:ascii="Times New Roman" w:hAnsi="Times New Roman" w:cs="Times New Roman"/>
          <w:sz w:val="24"/>
          <w:szCs w:val="24"/>
        </w:rPr>
        <w:t xml:space="preserve">Attitude = </w:t>
      </w:r>
      <w:r w:rsidR="00CC7C03" w:rsidRPr="003F2E2C">
        <w:rPr>
          <w:rFonts w:ascii="Times New Roman" w:hAnsi="Times New Roman" w:cs="Times New Roman"/>
          <w:sz w:val="24"/>
          <w:szCs w:val="24"/>
        </w:rPr>
        <w:t xml:space="preserve">average score for </w:t>
      </w:r>
      <w:r w:rsidR="00E648EC" w:rsidRPr="003F2E2C">
        <w:rPr>
          <w:rFonts w:ascii="Times New Roman" w:hAnsi="Times New Roman" w:cs="Times New Roman"/>
          <w:sz w:val="24"/>
          <w:szCs w:val="24"/>
        </w:rPr>
        <w:t>measures instituted</w:t>
      </w:r>
      <w:r w:rsidR="00912DFF" w:rsidRPr="003F2E2C">
        <w:rPr>
          <w:rFonts w:ascii="Times New Roman" w:hAnsi="Times New Roman" w:cs="Times New Roman"/>
          <w:sz w:val="24"/>
          <w:szCs w:val="24"/>
        </w:rPr>
        <w:t xml:space="preserve"> by students</w:t>
      </w:r>
      <w:r w:rsidR="00E648EC" w:rsidRPr="003F2E2C">
        <w:rPr>
          <w:rFonts w:ascii="Times New Roman" w:hAnsi="Times New Roman" w:cs="Times New Roman"/>
          <w:sz w:val="24"/>
          <w:szCs w:val="24"/>
        </w:rPr>
        <w:t xml:space="preserve"> to improve </w:t>
      </w:r>
    </w:p>
    <w:p w14:paraId="7CF2F0DC" w14:textId="424B62AF" w:rsidR="00E648EC"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 xml:space="preserve">                                academic performance</w:t>
      </w:r>
      <w:r w:rsidR="00CC7C03" w:rsidRPr="003F2E2C">
        <w:rPr>
          <w:rFonts w:ascii="Times New Roman" w:hAnsi="Times New Roman" w:cs="Times New Roman"/>
          <w:sz w:val="24"/>
          <w:szCs w:val="24"/>
        </w:rPr>
        <w:t xml:space="preserve"> (with 1= strongly agree to 5 = strongly disagree)</w:t>
      </w:r>
      <w:r w:rsidR="00912DFF" w:rsidRPr="003F2E2C">
        <w:rPr>
          <w:rFonts w:ascii="Times New Roman" w:hAnsi="Times New Roman" w:cs="Times New Roman"/>
          <w:sz w:val="24"/>
          <w:szCs w:val="24"/>
        </w:rPr>
        <w:t xml:space="preserve">.  </w:t>
      </w:r>
    </w:p>
    <w:p w14:paraId="4B7F0DD8" w14:textId="6F85DD44" w:rsidR="00E648EC" w:rsidRPr="003F2E2C" w:rsidRDefault="0013597C" w:rsidP="000C5843">
      <w:pPr>
        <w:autoSpaceDE w:val="0"/>
        <w:autoSpaceDN w:val="0"/>
        <w:adjustRightInd w:val="0"/>
        <w:spacing w:after="0" w:line="360" w:lineRule="auto"/>
        <w:rPr>
          <w:rFonts w:ascii="Times New Roman" w:hAnsi="Times New Roman" w:cs="Times New Roman"/>
          <w:sz w:val="24"/>
          <w:szCs w:val="24"/>
        </w:rPr>
      </w:pPr>
      <w:r w:rsidRPr="003F2E2C">
        <w:rPr>
          <w:rFonts w:ascii="Times New Roman" w:hAnsi="Times New Roman" w:cs="Times New Roman"/>
          <w:sz w:val="24"/>
          <w:szCs w:val="24"/>
        </w:rPr>
        <w:t>ε</w:t>
      </w:r>
      <w:r w:rsidRPr="003F2E2C">
        <w:rPr>
          <w:rFonts w:ascii="Times New Roman" w:hAnsi="Times New Roman" w:cs="Times New Roman"/>
          <w:sz w:val="24"/>
          <w:szCs w:val="24"/>
        </w:rPr>
        <w:tab/>
        <w:t xml:space="preserve">   </w:t>
      </w:r>
      <w:r w:rsidR="008670ED"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    = error terms</w:t>
      </w:r>
    </w:p>
    <w:p w14:paraId="6442E46B" w14:textId="77777777" w:rsidR="0070237A" w:rsidRPr="003F2E2C" w:rsidRDefault="0070237A" w:rsidP="000C5843">
      <w:pPr>
        <w:spacing w:after="0" w:line="360" w:lineRule="auto"/>
        <w:jc w:val="both"/>
        <w:rPr>
          <w:rFonts w:ascii="Times New Roman" w:hAnsi="Times New Roman" w:cs="Times New Roman"/>
          <w:sz w:val="24"/>
          <w:szCs w:val="24"/>
        </w:rPr>
      </w:pPr>
    </w:p>
    <w:p w14:paraId="7541CB9D" w14:textId="77777777" w:rsidR="00F17925" w:rsidRPr="003F2E2C" w:rsidRDefault="0013597C" w:rsidP="00161EBC">
      <w:pPr>
        <w:pStyle w:val="ListParagraph"/>
        <w:numPr>
          <w:ilvl w:val="0"/>
          <w:numId w:val="16"/>
        </w:numPr>
        <w:spacing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Results</w:t>
      </w:r>
    </w:p>
    <w:p w14:paraId="782D31B4" w14:textId="77777777" w:rsidR="00552C76" w:rsidRPr="003F2E2C" w:rsidRDefault="0013597C" w:rsidP="00552C76">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5.1 Descriptive Statistics</w:t>
      </w:r>
    </w:p>
    <w:p w14:paraId="78D8C757" w14:textId="448EBBDF" w:rsidR="004A64D0" w:rsidRPr="003F2E2C" w:rsidRDefault="0013597C" w:rsidP="0079718F">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Table 2</w:t>
      </w:r>
      <w:r w:rsidR="00552C76" w:rsidRPr="003F2E2C">
        <w:rPr>
          <w:rFonts w:ascii="Times New Roman" w:hAnsi="Times New Roman" w:cs="Times New Roman"/>
          <w:sz w:val="24"/>
          <w:szCs w:val="24"/>
        </w:rPr>
        <w:t xml:space="preserve"> presents the descriptive statistics of both dependent and independent variables. The academic performance score was 4.11 with wide variations in performance as indicated by the standard deviation of 1.704. The mean score for volition was 3.58. This was followed by interest (mean score 3.57) with expectation and attitude having</w:t>
      </w:r>
      <w:r w:rsidR="004D3D73" w:rsidRPr="003F2E2C">
        <w:rPr>
          <w:rFonts w:ascii="Times New Roman" w:hAnsi="Times New Roman" w:cs="Times New Roman"/>
          <w:sz w:val="24"/>
          <w:szCs w:val="24"/>
        </w:rPr>
        <w:t xml:space="preserve"> a</w:t>
      </w:r>
      <w:r w:rsidR="00552C76" w:rsidRPr="003F2E2C">
        <w:rPr>
          <w:rFonts w:ascii="Times New Roman" w:hAnsi="Times New Roman" w:cs="Times New Roman"/>
          <w:sz w:val="24"/>
          <w:szCs w:val="24"/>
        </w:rPr>
        <w:t xml:space="preserve"> </w:t>
      </w:r>
      <w:r w:rsidR="00552C76" w:rsidRPr="003F2E2C">
        <w:rPr>
          <w:rFonts w:ascii="Times New Roman" w:hAnsi="Times New Roman" w:cs="Times New Roman"/>
          <w:noProof/>
          <w:sz w:val="24"/>
          <w:szCs w:val="24"/>
        </w:rPr>
        <w:t>mean</w:t>
      </w:r>
      <w:r w:rsidR="00552C76" w:rsidRPr="003F2E2C">
        <w:rPr>
          <w:rFonts w:ascii="Times New Roman" w:hAnsi="Times New Roman" w:cs="Times New Roman"/>
          <w:sz w:val="24"/>
          <w:szCs w:val="24"/>
        </w:rPr>
        <w:t xml:space="preserve"> score of 3.48 each. These results suggest that an average participant has a relatively high interest and volition in studying accounting with appreciable attitude and expectation from the subject. These mean scores indicate that volition is</w:t>
      </w:r>
      <w:r w:rsidR="004D3D73" w:rsidRPr="003F2E2C">
        <w:rPr>
          <w:rFonts w:ascii="Times New Roman" w:hAnsi="Times New Roman" w:cs="Times New Roman"/>
          <w:sz w:val="24"/>
          <w:szCs w:val="24"/>
        </w:rPr>
        <w:t xml:space="preserve"> a</w:t>
      </w:r>
      <w:r w:rsidR="00552C76" w:rsidRPr="003F2E2C">
        <w:rPr>
          <w:rFonts w:ascii="Times New Roman" w:hAnsi="Times New Roman" w:cs="Times New Roman"/>
          <w:sz w:val="24"/>
          <w:szCs w:val="24"/>
        </w:rPr>
        <w:t xml:space="preserve"> </w:t>
      </w:r>
      <w:r w:rsidR="00552C76" w:rsidRPr="003F2E2C">
        <w:rPr>
          <w:rFonts w:ascii="Times New Roman" w:hAnsi="Times New Roman" w:cs="Times New Roman"/>
          <w:noProof/>
          <w:sz w:val="24"/>
          <w:szCs w:val="24"/>
        </w:rPr>
        <w:t>very</w:t>
      </w:r>
      <w:r w:rsidR="00552C76" w:rsidRPr="003F2E2C">
        <w:rPr>
          <w:rFonts w:ascii="Times New Roman" w:hAnsi="Times New Roman" w:cs="Times New Roman"/>
          <w:sz w:val="24"/>
          <w:szCs w:val="24"/>
        </w:rPr>
        <w:t xml:space="preserve"> important factor among accounting students when it comes to their academic performance. </w:t>
      </w:r>
    </w:p>
    <w:p w14:paraId="2F6445AC" w14:textId="77777777" w:rsidR="004A64D0" w:rsidRPr="003F2E2C" w:rsidRDefault="004A64D0" w:rsidP="0079718F">
      <w:pPr>
        <w:spacing w:after="0" w:line="360" w:lineRule="auto"/>
        <w:ind w:firstLine="720"/>
        <w:jc w:val="both"/>
        <w:rPr>
          <w:rFonts w:ascii="Times New Roman" w:hAnsi="Times New Roman" w:cs="Times New Roman"/>
          <w:sz w:val="24"/>
          <w:szCs w:val="24"/>
        </w:rPr>
      </w:pPr>
    </w:p>
    <w:p w14:paraId="34D1B512" w14:textId="77777777" w:rsidR="004A64D0" w:rsidRPr="003F2E2C" w:rsidRDefault="0013597C" w:rsidP="004A64D0">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5.2 Correlation analysis</w:t>
      </w:r>
    </w:p>
    <w:p w14:paraId="6C1C485B" w14:textId="2A520FA4" w:rsidR="004A64D0" w:rsidRPr="003F2E2C" w:rsidRDefault="0013597C" w:rsidP="0079718F">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Table 2</w:t>
      </w:r>
      <w:r w:rsidR="00BB2910" w:rsidRPr="003F2E2C">
        <w:rPr>
          <w:rFonts w:ascii="Times New Roman" w:hAnsi="Times New Roman" w:cs="Times New Roman"/>
          <w:sz w:val="24"/>
          <w:szCs w:val="24"/>
        </w:rPr>
        <w:t xml:space="preserve"> </w:t>
      </w:r>
      <w:r w:rsidRPr="003F2E2C">
        <w:rPr>
          <w:rFonts w:ascii="Times New Roman" w:hAnsi="Times New Roman" w:cs="Times New Roman"/>
          <w:sz w:val="24"/>
          <w:szCs w:val="24"/>
        </w:rPr>
        <w:t xml:space="preserve">also </w:t>
      </w:r>
      <w:r w:rsidR="00BB2910" w:rsidRPr="003F2E2C">
        <w:rPr>
          <w:rFonts w:ascii="Times New Roman" w:hAnsi="Times New Roman" w:cs="Times New Roman"/>
          <w:sz w:val="24"/>
          <w:szCs w:val="24"/>
        </w:rPr>
        <w:t xml:space="preserve">presents the results of the correlation analysis. From the results presented, there is a </w:t>
      </w:r>
      <w:r w:rsidR="00CF2CA6" w:rsidRPr="003F2E2C">
        <w:rPr>
          <w:rFonts w:ascii="Times New Roman" w:hAnsi="Times New Roman" w:cs="Times New Roman"/>
          <w:sz w:val="24"/>
          <w:szCs w:val="24"/>
        </w:rPr>
        <w:t>positive and significant</w:t>
      </w:r>
      <w:r w:rsidRPr="003F2E2C">
        <w:rPr>
          <w:rFonts w:ascii="Times New Roman" w:hAnsi="Times New Roman" w:cs="Times New Roman"/>
          <w:sz w:val="24"/>
          <w:szCs w:val="24"/>
        </w:rPr>
        <w:t xml:space="preserve"> correlation between the</w:t>
      </w:r>
      <w:r w:rsidR="00BB2910" w:rsidRPr="003F2E2C">
        <w:rPr>
          <w:rFonts w:ascii="Times New Roman" w:hAnsi="Times New Roman" w:cs="Times New Roman"/>
          <w:sz w:val="24"/>
          <w:szCs w:val="24"/>
        </w:rPr>
        <w:t xml:space="preserve"> academic performance and </w:t>
      </w:r>
      <w:r w:rsidR="002F5523" w:rsidRPr="003F2E2C">
        <w:rPr>
          <w:rFonts w:ascii="Times New Roman" w:hAnsi="Times New Roman" w:cs="Times New Roman"/>
          <w:sz w:val="24"/>
          <w:szCs w:val="24"/>
        </w:rPr>
        <w:t>level</w:t>
      </w:r>
      <w:r w:rsidR="00CF2CA6" w:rsidRPr="003F2E2C">
        <w:rPr>
          <w:rFonts w:ascii="Times New Roman" w:hAnsi="Times New Roman" w:cs="Times New Roman"/>
          <w:sz w:val="24"/>
          <w:szCs w:val="24"/>
        </w:rPr>
        <w:t xml:space="preserve"> of study</w:t>
      </w:r>
      <w:r w:rsidR="002F5523" w:rsidRPr="003F2E2C">
        <w:rPr>
          <w:rFonts w:ascii="Times New Roman" w:hAnsi="Times New Roman" w:cs="Times New Roman"/>
          <w:sz w:val="24"/>
          <w:szCs w:val="24"/>
        </w:rPr>
        <w:t xml:space="preserve">, </w:t>
      </w:r>
      <w:r w:rsidR="00CF2CA6" w:rsidRPr="003F2E2C">
        <w:rPr>
          <w:rFonts w:ascii="Times New Roman" w:hAnsi="Times New Roman" w:cs="Times New Roman"/>
          <w:sz w:val="24"/>
          <w:szCs w:val="24"/>
        </w:rPr>
        <w:t>volition, expectation, intere</w:t>
      </w:r>
      <w:r w:rsidR="003E6A57" w:rsidRPr="003F2E2C">
        <w:rPr>
          <w:rFonts w:ascii="Times New Roman" w:hAnsi="Times New Roman" w:cs="Times New Roman"/>
          <w:sz w:val="24"/>
          <w:szCs w:val="24"/>
        </w:rPr>
        <w:t>st and attitude</w:t>
      </w:r>
      <w:r w:rsidR="00CF2CA6" w:rsidRPr="003F2E2C">
        <w:rPr>
          <w:rFonts w:ascii="Times New Roman" w:hAnsi="Times New Roman" w:cs="Times New Roman"/>
          <w:sz w:val="24"/>
          <w:szCs w:val="24"/>
        </w:rPr>
        <w:t xml:space="preserve"> but a significant and negative between performance and expectation</w:t>
      </w:r>
      <w:r w:rsidR="00BB2910" w:rsidRPr="003F2E2C">
        <w:rPr>
          <w:rFonts w:ascii="Times New Roman" w:hAnsi="Times New Roman" w:cs="Times New Roman"/>
          <w:sz w:val="24"/>
          <w:szCs w:val="24"/>
        </w:rPr>
        <w:t>.</w:t>
      </w:r>
      <w:r w:rsidR="00107B85" w:rsidRPr="003F2E2C">
        <w:rPr>
          <w:rFonts w:ascii="Times New Roman" w:hAnsi="Times New Roman" w:cs="Times New Roman"/>
          <w:sz w:val="24"/>
          <w:szCs w:val="24"/>
        </w:rPr>
        <w:t xml:space="preserve"> </w:t>
      </w:r>
    </w:p>
    <w:p w14:paraId="1410BC94" w14:textId="77777777" w:rsidR="004A64D0" w:rsidRPr="003F2E2C" w:rsidRDefault="004A64D0" w:rsidP="0079718F">
      <w:pPr>
        <w:spacing w:after="0" w:line="360" w:lineRule="auto"/>
        <w:ind w:firstLine="720"/>
        <w:jc w:val="both"/>
        <w:rPr>
          <w:rFonts w:ascii="Times New Roman" w:hAnsi="Times New Roman" w:cs="Times New Roman"/>
          <w:sz w:val="24"/>
          <w:szCs w:val="24"/>
        </w:rPr>
      </w:pPr>
    </w:p>
    <w:p w14:paraId="611F346F" w14:textId="77777777" w:rsidR="004A64D0" w:rsidRPr="003F2E2C" w:rsidRDefault="0013597C" w:rsidP="004A64D0">
      <w:pPr>
        <w:spacing w:before="100" w:beforeAutospacing="1" w:after="0" w:line="240" w:lineRule="auto"/>
        <w:jc w:val="center"/>
        <w:rPr>
          <w:rFonts w:ascii="Times New Roman" w:eastAsia="Calibri" w:hAnsi="Times New Roman" w:cs="Times New Roman"/>
          <w:b/>
          <w:sz w:val="24"/>
          <w:szCs w:val="24"/>
        </w:rPr>
      </w:pPr>
      <w:r w:rsidRPr="003F2E2C">
        <w:rPr>
          <w:rFonts w:ascii="Times New Roman" w:eastAsia="Calibri" w:hAnsi="Times New Roman" w:cs="Times New Roman"/>
          <w:b/>
          <w:sz w:val="24"/>
          <w:szCs w:val="24"/>
        </w:rPr>
        <w:t>[TABLE 2 ABOUT HERE]</w:t>
      </w:r>
    </w:p>
    <w:p w14:paraId="052B68C9" w14:textId="77777777" w:rsidR="004A64D0" w:rsidRPr="003F2E2C" w:rsidRDefault="004A64D0" w:rsidP="0079718F">
      <w:pPr>
        <w:spacing w:after="0" w:line="360" w:lineRule="auto"/>
        <w:ind w:firstLine="720"/>
        <w:jc w:val="both"/>
        <w:rPr>
          <w:rFonts w:ascii="Times New Roman" w:hAnsi="Times New Roman" w:cs="Times New Roman"/>
          <w:sz w:val="24"/>
          <w:szCs w:val="24"/>
        </w:rPr>
      </w:pPr>
    </w:p>
    <w:p w14:paraId="6D5F8E0E" w14:textId="77777777" w:rsidR="004A64D0" w:rsidRPr="003F2E2C" w:rsidRDefault="004A64D0" w:rsidP="0079718F">
      <w:pPr>
        <w:spacing w:after="0" w:line="360" w:lineRule="auto"/>
        <w:ind w:firstLine="720"/>
        <w:jc w:val="both"/>
        <w:rPr>
          <w:rFonts w:ascii="Times New Roman" w:hAnsi="Times New Roman" w:cs="Times New Roman"/>
          <w:sz w:val="24"/>
          <w:szCs w:val="24"/>
        </w:rPr>
      </w:pPr>
    </w:p>
    <w:p w14:paraId="05D9A148" w14:textId="52D07FDE" w:rsidR="007F19D6" w:rsidRPr="003F2E2C" w:rsidRDefault="0013597C" w:rsidP="0079718F">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The highest correlation is between academic performance and interest, followed by attitude, volition and </w:t>
      </w:r>
      <w:r w:rsidR="0070237A" w:rsidRPr="003F2E2C">
        <w:rPr>
          <w:rFonts w:ascii="Times New Roman" w:hAnsi="Times New Roman" w:cs="Times New Roman"/>
          <w:sz w:val="24"/>
          <w:szCs w:val="24"/>
        </w:rPr>
        <w:t>expectation</w:t>
      </w:r>
      <w:r w:rsidRPr="003F2E2C">
        <w:rPr>
          <w:rFonts w:ascii="Times New Roman" w:hAnsi="Times New Roman" w:cs="Times New Roman"/>
          <w:sz w:val="24"/>
          <w:szCs w:val="24"/>
        </w:rPr>
        <w:t xml:space="preserve">. Among </w:t>
      </w:r>
      <w:r w:rsidR="00BF25F9" w:rsidRPr="003F2E2C">
        <w:rPr>
          <w:rFonts w:ascii="Times New Roman" w:hAnsi="Times New Roman" w:cs="Times New Roman"/>
          <w:sz w:val="24"/>
          <w:szCs w:val="24"/>
        </w:rPr>
        <w:t>the independent and the control variables</w:t>
      </w:r>
      <w:r w:rsidRPr="003F2E2C">
        <w:rPr>
          <w:rFonts w:ascii="Times New Roman" w:hAnsi="Times New Roman" w:cs="Times New Roman"/>
          <w:sz w:val="24"/>
          <w:szCs w:val="24"/>
        </w:rPr>
        <w:t xml:space="preserve">, the highest correlation </w:t>
      </w:r>
      <w:r w:rsidR="005807A7" w:rsidRPr="003F2E2C">
        <w:rPr>
          <w:rFonts w:ascii="Times New Roman" w:hAnsi="Times New Roman" w:cs="Times New Roman"/>
          <w:sz w:val="24"/>
          <w:szCs w:val="24"/>
        </w:rPr>
        <w:t xml:space="preserve">was </w:t>
      </w:r>
      <w:r w:rsidR="00E76013" w:rsidRPr="003F2E2C">
        <w:rPr>
          <w:rFonts w:ascii="Times New Roman" w:hAnsi="Times New Roman" w:cs="Times New Roman"/>
          <w:sz w:val="24"/>
          <w:szCs w:val="24"/>
        </w:rPr>
        <w:t>.</w:t>
      </w:r>
      <w:r w:rsidR="005807A7" w:rsidRPr="003F2E2C">
        <w:rPr>
          <w:rFonts w:ascii="Times New Roman" w:hAnsi="Times New Roman" w:cs="Times New Roman"/>
          <w:sz w:val="24"/>
          <w:szCs w:val="24"/>
        </w:rPr>
        <w:t>399, between volition and learning attitude suggesting that</w:t>
      </w:r>
      <w:r w:rsidR="00BF25F9" w:rsidRPr="003F2E2C">
        <w:rPr>
          <w:rFonts w:ascii="Times New Roman" w:hAnsi="Times New Roman" w:cs="Times New Roman"/>
          <w:sz w:val="24"/>
          <w:szCs w:val="24"/>
        </w:rPr>
        <w:t xml:space="preserve"> all the </w:t>
      </w:r>
      <w:r w:rsidR="005807A7" w:rsidRPr="003F2E2C">
        <w:rPr>
          <w:rFonts w:ascii="Times New Roman" w:hAnsi="Times New Roman" w:cs="Times New Roman"/>
          <w:sz w:val="24"/>
          <w:szCs w:val="24"/>
        </w:rPr>
        <w:t>variables were</w:t>
      </w:r>
      <w:r w:rsidR="00BF25F9" w:rsidRPr="003F2E2C">
        <w:rPr>
          <w:rFonts w:ascii="Times New Roman" w:hAnsi="Times New Roman" w:cs="Times New Roman"/>
          <w:sz w:val="24"/>
          <w:szCs w:val="24"/>
        </w:rPr>
        <w:t xml:space="preserve"> below the </w:t>
      </w:r>
      <w:r w:rsidR="006B2480" w:rsidRPr="003F2E2C">
        <w:rPr>
          <w:rFonts w:ascii="Times New Roman" w:hAnsi="Times New Roman" w:cs="Times New Roman"/>
          <w:sz w:val="24"/>
          <w:szCs w:val="24"/>
        </w:rPr>
        <w:t>.</w:t>
      </w:r>
      <w:r w:rsidR="00BF25F9" w:rsidRPr="003F2E2C">
        <w:rPr>
          <w:rFonts w:ascii="Times New Roman" w:hAnsi="Times New Roman" w:cs="Times New Roman"/>
          <w:sz w:val="24"/>
          <w:szCs w:val="24"/>
        </w:rPr>
        <w:t>70 as recommended by Pallant (2007).</w:t>
      </w:r>
      <w:r w:rsidR="006B2480" w:rsidRPr="003F2E2C">
        <w:rPr>
          <w:rFonts w:ascii="Times New Roman" w:hAnsi="Times New Roman" w:cs="Times New Roman"/>
          <w:sz w:val="24"/>
          <w:szCs w:val="24"/>
        </w:rPr>
        <w:t xml:space="preserve"> </w:t>
      </w:r>
      <w:r w:rsidRPr="003F2E2C">
        <w:rPr>
          <w:rFonts w:ascii="Times New Roman" w:hAnsi="Times New Roman" w:cs="Times New Roman"/>
          <w:sz w:val="24"/>
          <w:szCs w:val="24"/>
        </w:rPr>
        <w:t>We further conducted collinearity diagnostic test and found all variance inflation factor values to be far lower than 5 and therefore indicates that the assumption of multicollinearity was not violated in the study (Hair et al., 2014).</w:t>
      </w:r>
    </w:p>
    <w:p w14:paraId="090CF3BE" w14:textId="77777777" w:rsidR="00552C76" w:rsidRPr="003F2E2C" w:rsidRDefault="00552C76" w:rsidP="0079718F">
      <w:pPr>
        <w:spacing w:after="0" w:line="360" w:lineRule="auto"/>
        <w:ind w:firstLine="720"/>
        <w:jc w:val="both"/>
        <w:rPr>
          <w:rFonts w:ascii="Times New Roman" w:hAnsi="Times New Roman" w:cs="Times New Roman"/>
          <w:sz w:val="24"/>
          <w:szCs w:val="24"/>
        </w:rPr>
      </w:pPr>
    </w:p>
    <w:p w14:paraId="01D84AE1" w14:textId="0B66426E" w:rsidR="00B86A53" w:rsidRPr="003F2E2C" w:rsidRDefault="0013597C" w:rsidP="008C3A88">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5</w:t>
      </w:r>
      <w:r w:rsidR="00B003F5" w:rsidRPr="003F2E2C">
        <w:rPr>
          <w:rFonts w:ascii="Times New Roman" w:hAnsi="Times New Roman" w:cs="Times New Roman"/>
          <w:i/>
          <w:sz w:val="24"/>
          <w:szCs w:val="24"/>
        </w:rPr>
        <w:t>.</w:t>
      </w:r>
      <w:r w:rsidR="008C3A88" w:rsidRPr="003F2E2C">
        <w:rPr>
          <w:rFonts w:ascii="Times New Roman" w:hAnsi="Times New Roman" w:cs="Times New Roman"/>
          <w:i/>
          <w:sz w:val="24"/>
          <w:szCs w:val="24"/>
        </w:rPr>
        <w:t>3</w:t>
      </w:r>
      <w:r w:rsidR="00B003F5" w:rsidRPr="003F2E2C">
        <w:rPr>
          <w:rFonts w:ascii="Times New Roman" w:hAnsi="Times New Roman" w:cs="Times New Roman"/>
          <w:i/>
          <w:sz w:val="24"/>
          <w:szCs w:val="24"/>
        </w:rPr>
        <w:t xml:space="preserve"> </w:t>
      </w:r>
      <w:r w:rsidR="004450DE" w:rsidRPr="003F2E2C">
        <w:rPr>
          <w:rFonts w:ascii="Times New Roman" w:hAnsi="Times New Roman" w:cs="Times New Roman"/>
          <w:i/>
          <w:sz w:val="24"/>
          <w:szCs w:val="24"/>
        </w:rPr>
        <w:t>Regression</w:t>
      </w:r>
      <w:r w:rsidR="004C2AC6" w:rsidRPr="003F2E2C">
        <w:rPr>
          <w:rFonts w:ascii="Times New Roman" w:hAnsi="Times New Roman" w:cs="Times New Roman"/>
          <w:i/>
          <w:sz w:val="24"/>
          <w:szCs w:val="24"/>
        </w:rPr>
        <w:t xml:space="preserve"> Result</w:t>
      </w:r>
      <w:r w:rsidR="00B003F5" w:rsidRPr="003F2E2C">
        <w:rPr>
          <w:rFonts w:ascii="Times New Roman" w:hAnsi="Times New Roman" w:cs="Times New Roman"/>
          <w:i/>
          <w:sz w:val="24"/>
          <w:szCs w:val="24"/>
        </w:rPr>
        <w:t>s</w:t>
      </w:r>
    </w:p>
    <w:p w14:paraId="61BD5501" w14:textId="11A36F91" w:rsidR="004450DE" w:rsidRPr="003F2E2C" w:rsidRDefault="0013597C" w:rsidP="003E0317">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Table 3</w:t>
      </w:r>
      <w:r w:rsidR="006A0AD5" w:rsidRPr="003F2E2C">
        <w:rPr>
          <w:rFonts w:ascii="Times New Roman" w:hAnsi="Times New Roman" w:cs="Times New Roman"/>
          <w:sz w:val="24"/>
          <w:szCs w:val="24"/>
        </w:rPr>
        <w:t xml:space="preserve"> </w:t>
      </w:r>
      <w:r w:rsidR="00735402" w:rsidRPr="003F2E2C">
        <w:rPr>
          <w:rFonts w:ascii="Times New Roman" w:hAnsi="Times New Roman" w:cs="Times New Roman"/>
          <w:sz w:val="24"/>
          <w:szCs w:val="24"/>
        </w:rPr>
        <w:t xml:space="preserve">reports the results of the regression analysis using </w:t>
      </w:r>
      <w:r w:rsidR="00AC6455" w:rsidRPr="003F2E2C">
        <w:rPr>
          <w:rFonts w:ascii="Times New Roman" w:hAnsi="Times New Roman" w:cs="Times New Roman"/>
          <w:sz w:val="24"/>
          <w:szCs w:val="24"/>
        </w:rPr>
        <w:t>the academic performance</w:t>
      </w:r>
      <w:r w:rsidR="00665C70" w:rsidRPr="003F2E2C">
        <w:rPr>
          <w:rFonts w:ascii="Times New Roman" w:hAnsi="Times New Roman" w:cs="Times New Roman"/>
          <w:sz w:val="24"/>
          <w:szCs w:val="24"/>
        </w:rPr>
        <w:t xml:space="preserve"> </w:t>
      </w:r>
      <w:r w:rsidR="006A0AD5" w:rsidRPr="003F2E2C">
        <w:rPr>
          <w:rFonts w:ascii="Times New Roman" w:hAnsi="Times New Roman" w:cs="Times New Roman"/>
          <w:sz w:val="24"/>
          <w:szCs w:val="24"/>
        </w:rPr>
        <w:t>of accounting</w:t>
      </w:r>
      <w:r w:rsidR="00204BE9" w:rsidRPr="003F2E2C">
        <w:rPr>
          <w:rFonts w:ascii="Times New Roman" w:hAnsi="Times New Roman" w:cs="Times New Roman"/>
          <w:sz w:val="24"/>
          <w:szCs w:val="24"/>
        </w:rPr>
        <w:t xml:space="preserve"> students</w:t>
      </w:r>
      <w:r w:rsidR="00AC6455" w:rsidRPr="003F2E2C">
        <w:rPr>
          <w:rFonts w:ascii="Times New Roman" w:hAnsi="Times New Roman" w:cs="Times New Roman"/>
          <w:sz w:val="24"/>
          <w:szCs w:val="24"/>
        </w:rPr>
        <w:t xml:space="preserve"> as the dependent variable. </w:t>
      </w:r>
      <w:r w:rsidR="00AC6455" w:rsidRPr="003F2E2C">
        <w:rPr>
          <w:rFonts w:ascii="Times New Roman" w:hAnsi="Times New Roman" w:cs="Times New Roman"/>
          <w:noProof/>
          <w:sz w:val="24"/>
          <w:szCs w:val="24"/>
        </w:rPr>
        <w:t>First</w:t>
      </w:r>
      <w:r w:rsidR="004D3D73" w:rsidRPr="003F2E2C">
        <w:rPr>
          <w:rFonts w:ascii="Times New Roman" w:hAnsi="Times New Roman" w:cs="Times New Roman"/>
          <w:noProof/>
          <w:sz w:val="24"/>
          <w:szCs w:val="24"/>
        </w:rPr>
        <w:t>,</w:t>
      </w:r>
      <w:r w:rsidR="00AC6455" w:rsidRPr="003F2E2C">
        <w:rPr>
          <w:rFonts w:ascii="Times New Roman" w:hAnsi="Times New Roman" w:cs="Times New Roman"/>
          <w:sz w:val="24"/>
          <w:szCs w:val="24"/>
        </w:rPr>
        <w:t xml:space="preserve"> the background characteristics which serve as the control variables in the analysis were entered. This was followed by </w:t>
      </w:r>
      <w:r w:rsidR="00204BE9" w:rsidRPr="003F2E2C">
        <w:rPr>
          <w:rFonts w:ascii="Times New Roman" w:hAnsi="Times New Roman" w:cs="Times New Roman"/>
          <w:sz w:val="24"/>
          <w:szCs w:val="24"/>
        </w:rPr>
        <w:t xml:space="preserve">the entering of motivational, engagement and commitment </w:t>
      </w:r>
      <w:r w:rsidR="00AC6455" w:rsidRPr="003F2E2C">
        <w:rPr>
          <w:rFonts w:ascii="Times New Roman" w:hAnsi="Times New Roman" w:cs="Times New Roman"/>
          <w:sz w:val="24"/>
          <w:szCs w:val="24"/>
        </w:rPr>
        <w:t>factors</w:t>
      </w:r>
      <w:r w:rsidR="00204BE9" w:rsidRPr="003F2E2C">
        <w:rPr>
          <w:rFonts w:ascii="Times New Roman" w:hAnsi="Times New Roman" w:cs="Times New Roman"/>
          <w:sz w:val="24"/>
          <w:szCs w:val="24"/>
        </w:rPr>
        <w:t xml:space="preserve"> respectively. </w:t>
      </w:r>
      <w:r w:rsidR="00AC6455" w:rsidRPr="003F2E2C">
        <w:rPr>
          <w:rFonts w:ascii="Times New Roman" w:hAnsi="Times New Roman" w:cs="Times New Roman"/>
          <w:sz w:val="24"/>
          <w:szCs w:val="24"/>
        </w:rPr>
        <w:t>In Model 1</w:t>
      </w:r>
      <w:r w:rsidR="00790C13" w:rsidRPr="003F2E2C">
        <w:rPr>
          <w:rFonts w:ascii="Times New Roman" w:hAnsi="Times New Roman" w:cs="Times New Roman"/>
          <w:sz w:val="24"/>
          <w:szCs w:val="24"/>
        </w:rPr>
        <w:t>,</w:t>
      </w:r>
      <w:r w:rsidR="00AC6455" w:rsidRPr="003F2E2C">
        <w:rPr>
          <w:rFonts w:ascii="Times New Roman" w:hAnsi="Times New Roman" w:cs="Times New Roman"/>
          <w:sz w:val="24"/>
          <w:szCs w:val="24"/>
        </w:rPr>
        <w:t xml:space="preserve"> we examine</w:t>
      </w:r>
      <w:r w:rsidR="00826BA9" w:rsidRPr="003F2E2C">
        <w:rPr>
          <w:rFonts w:ascii="Times New Roman" w:hAnsi="Times New Roman" w:cs="Times New Roman"/>
          <w:sz w:val="24"/>
          <w:szCs w:val="24"/>
        </w:rPr>
        <w:t>d</w:t>
      </w:r>
      <w:r w:rsidR="00AC6455" w:rsidRPr="003F2E2C">
        <w:rPr>
          <w:rFonts w:ascii="Times New Roman" w:hAnsi="Times New Roman" w:cs="Times New Roman"/>
          <w:sz w:val="24"/>
          <w:szCs w:val="24"/>
        </w:rPr>
        <w:t xml:space="preserve"> the influence of gender and </w:t>
      </w:r>
      <w:r w:rsidR="006A0AD5" w:rsidRPr="003F2E2C">
        <w:rPr>
          <w:rFonts w:ascii="Times New Roman" w:hAnsi="Times New Roman" w:cs="Times New Roman"/>
          <w:sz w:val="24"/>
          <w:szCs w:val="24"/>
        </w:rPr>
        <w:t>level which are control variables</w:t>
      </w:r>
      <w:r w:rsidR="00790C13" w:rsidRPr="003F2E2C">
        <w:rPr>
          <w:rFonts w:ascii="Times New Roman" w:hAnsi="Times New Roman" w:cs="Times New Roman"/>
          <w:sz w:val="24"/>
          <w:szCs w:val="24"/>
        </w:rPr>
        <w:t>. We fo</w:t>
      </w:r>
      <w:r w:rsidR="00B46C9A" w:rsidRPr="003F2E2C">
        <w:rPr>
          <w:rFonts w:ascii="Times New Roman" w:hAnsi="Times New Roman" w:cs="Times New Roman"/>
          <w:sz w:val="24"/>
          <w:szCs w:val="24"/>
        </w:rPr>
        <w:t>und that gender and level both have</w:t>
      </w:r>
      <w:r w:rsidR="004D3D73" w:rsidRPr="003F2E2C">
        <w:rPr>
          <w:rFonts w:ascii="Times New Roman" w:hAnsi="Times New Roman" w:cs="Times New Roman"/>
          <w:sz w:val="24"/>
          <w:szCs w:val="24"/>
        </w:rPr>
        <w:t xml:space="preserve"> a</w:t>
      </w:r>
      <w:r w:rsidR="00790C13" w:rsidRPr="003F2E2C">
        <w:rPr>
          <w:rFonts w:ascii="Times New Roman" w:hAnsi="Times New Roman" w:cs="Times New Roman"/>
          <w:sz w:val="24"/>
          <w:szCs w:val="24"/>
        </w:rPr>
        <w:t xml:space="preserve"> </w:t>
      </w:r>
      <w:r w:rsidR="00790C13" w:rsidRPr="003F2E2C">
        <w:rPr>
          <w:rFonts w:ascii="Times New Roman" w:hAnsi="Times New Roman" w:cs="Times New Roman"/>
          <w:noProof/>
          <w:sz w:val="24"/>
          <w:szCs w:val="24"/>
        </w:rPr>
        <w:t>significant</w:t>
      </w:r>
      <w:r w:rsidR="00790C13" w:rsidRPr="003F2E2C">
        <w:rPr>
          <w:rFonts w:ascii="Times New Roman" w:hAnsi="Times New Roman" w:cs="Times New Roman"/>
          <w:sz w:val="24"/>
          <w:szCs w:val="24"/>
        </w:rPr>
        <w:t xml:space="preserve"> effec</w:t>
      </w:r>
      <w:r w:rsidR="00B46C9A" w:rsidRPr="003F2E2C">
        <w:rPr>
          <w:rFonts w:ascii="Times New Roman" w:hAnsi="Times New Roman" w:cs="Times New Roman"/>
          <w:sz w:val="24"/>
          <w:szCs w:val="24"/>
        </w:rPr>
        <w:t>t on performance</w:t>
      </w:r>
      <w:r w:rsidR="00790C13" w:rsidRPr="003F2E2C">
        <w:rPr>
          <w:rFonts w:ascii="Times New Roman" w:hAnsi="Times New Roman" w:cs="Times New Roman"/>
          <w:sz w:val="24"/>
          <w:szCs w:val="24"/>
        </w:rPr>
        <w:t xml:space="preserve">. </w:t>
      </w:r>
      <w:r w:rsidR="00C72673" w:rsidRPr="003F2E2C">
        <w:rPr>
          <w:rFonts w:ascii="Times New Roman" w:hAnsi="Times New Roman" w:cs="Times New Roman"/>
          <w:sz w:val="24"/>
          <w:szCs w:val="24"/>
        </w:rPr>
        <w:t>The Model explains 15.8</w:t>
      </w:r>
      <w:r w:rsidR="006A0AD5" w:rsidRPr="003F2E2C">
        <w:rPr>
          <w:rFonts w:ascii="Times New Roman" w:hAnsi="Times New Roman" w:cs="Times New Roman"/>
          <w:sz w:val="24"/>
          <w:szCs w:val="24"/>
        </w:rPr>
        <w:t xml:space="preserve">% of the performance variances. </w:t>
      </w:r>
      <w:r w:rsidR="00790C13" w:rsidRPr="003F2E2C">
        <w:rPr>
          <w:rFonts w:ascii="Times New Roman" w:hAnsi="Times New Roman" w:cs="Times New Roman"/>
          <w:sz w:val="24"/>
          <w:szCs w:val="24"/>
        </w:rPr>
        <w:t xml:space="preserve">This </w:t>
      </w:r>
      <w:r w:rsidR="00790C13" w:rsidRPr="003F2E2C">
        <w:rPr>
          <w:rFonts w:ascii="Times New Roman" w:hAnsi="Times New Roman" w:cs="Times New Roman"/>
          <w:noProof/>
          <w:sz w:val="24"/>
          <w:szCs w:val="24"/>
        </w:rPr>
        <w:t>mean</w:t>
      </w:r>
      <w:r w:rsidR="004D3D73" w:rsidRPr="003F2E2C">
        <w:rPr>
          <w:rFonts w:ascii="Times New Roman" w:hAnsi="Times New Roman" w:cs="Times New Roman"/>
          <w:noProof/>
          <w:sz w:val="24"/>
          <w:szCs w:val="24"/>
        </w:rPr>
        <w:t>s</w:t>
      </w:r>
      <w:r w:rsidR="00790C13" w:rsidRPr="003F2E2C">
        <w:rPr>
          <w:rFonts w:ascii="Times New Roman" w:hAnsi="Times New Roman" w:cs="Times New Roman"/>
          <w:sz w:val="24"/>
          <w:szCs w:val="24"/>
        </w:rPr>
        <w:t xml:space="preserve"> that m</w:t>
      </w:r>
      <w:r w:rsidR="00826BA9" w:rsidRPr="003F2E2C">
        <w:rPr>
          <w:rFonts w:ascii="Times New Roman" w:hAnsi="Times New Roman" w:cs="Times New Roman"/>
          <w:sz w:val="24"/>
          <w:szCs w:val="24"/>
        </w:rPr>
        <w:t>ale accounting students perform</w:t>
      </w:r>
      <w:r w:rsidR="00790C13" w:rsidRPr="003F2E2C">
        <w:rPr>
          <w:rFonts w:ascii="Times New Roman" w:hAnsi="Times New Roman" w:cs="Times New Roman"/>
          <w:sz w:val="24"/>
          <w:szCs w:val="24"/>
        </w:rPr>
        <w:t xml:space="preserve"> better than their female counterparts. </w:t>
      </w:r>
      <w:r w:rsidR="00204BE9" w:rsidRPr="003F2E2C">
        <w:rPr>
          <w:rFonts w:ascii="Times New Roman" w:hAnsi="Times New Roman" w:cs="Times New Roman"/>
          <w:sz w:val="24"/>
          <w:szCs w:val="24"/>
        </w:rPr>
        <w:t xml:space="preserve">The negative relationship between level and academic performance means that </w:t>
      </w:r>
      <w:r w:rsidR="00790C13" w:rsidRPr="003F2E2C">
        <w:rPr>
          <w:rFonts w:ascii="Times New Roman" w:hAnsi="Times New Roman" w:cs="Times New Roman"/>
          <w:sz w:val="24"/>
          <w:szCs w:val="24"/>
        </w:rPr>
        <w:t>tertiary level accounting students perform better than the secondary level</w:t>
      </w:r>
      <w:r w:rsidR="00003907" w:rsidRPr="003F2E2C">
        <w:rPr>
          <w:rFonts w:ascii="Times New Roman" w:hAnsi="Times New Roman" w:cs="Times New Roman"/>
          <w:sz w:val="24"/>
          <w:szCs w:val="24"/>
        </w:rPr>
        <w:t xml:space="preserve"> students</w:t>
      </w:r>
      <w:r w:rsidR="00790C13" w:rsidRPr="003F2E2C">
        <w:rPr>
          <w:rFonts w:ascii="Times New Roman" w:hAnsi="Times New Roman" w:cs="Times New Roman"/>
          <w:sz w:val="24"/>
          <w:szCs w:val="24"/>
        </w:rPr>
        <w:t xml:space="preserve">. </w:t>
      </w:r>
      <w:r w:rsidR="003265FA" w:rsidRPr="003F2E2C">
        <w:rPr>
          <w:rFonts w:ascii="Times New Roman" w:hAnsi="Times New Roman" w:cs="Times New Roman"/>
          <w:sz w:val="24"/>
          <w:szCs w:val="24"/>
        </w:rPr>
        <w:t>Mode</w:t>
      </w:r>
      <w:r w:rsidR="00B452FF" w:rsidRPr="003F2E2C">
        <w:rPr>
          <w:rFonts w:ascii="Times New Roman" w:hAnsi="Times New Roman" w:cs="Times New Roman"/>
          <w:sz w:val="24"/>
          <w:szCs w:val="24"/>
        </w:rPr>
        <w:t xml:space="preserve">l 2 included </w:t>
      </w:r>
      <w:r w:rsidR="003265FA" w:rsidRPr="003F2E2C">
        <w:rPr>
          <w:rFonts w:ascii="Times New Roman" w:hAnsi="Times New Roman" w:cs="Times New Roman"/>
          <w:sz w:val="24"/>
          <w:szCs w:val="24"/>
        </w:rPr>
        <w:t>expectation and volition as independent variab</w:t>
      </w:r>
      <w:r w:rsidR="00826BA9" w:rsidRPr="003F2E2C">
        <w:rPr>
          <w:rFonts w:ascii="Times New Roman" w:hAnsi="Times New Roman" w:cs="Times New Roman"/>
          <w:sz w:val="24"/>
          <w:szCs w:val="24"/>
        </w:rPr>
        <w:t>les to examine its effect on academic</w:t>
      </w:r>
      <w:r w:rsidR="003265FA" w:rsidRPr="003F2E2C">
        <w:rPr>
          <w:rFonts w:ascii="Times New Roman" w:hAnsi="Times New Roman" w:cs="Times New Roman"/>
          <w:sz w:val="24"/>
          <w:szCs w:val="24"/>
        </w:rPr>
        <w:t xml:space="preserve"> performance. We found positive and significant relationship</w:t>
      </w:r>
      <w:r w:rsidR="00204BE9" w:rsidRPr="003F2E2C">
        <w:rPr>
          <w:rFonts w:ascii="Times New Roman" w:hAnsi="Times New Roman" w:cs="Times New Roman"/>
          <w:sz w:val="24"/>
          <w:szCs w:val="24"/>
        </w:rPr>
        <w:t>s</w:t>
      </w:r>
      <w:r w:rsidR="003265FA" w:rsidRPr="003F2E2C">
        <w:rPr>
          <w:rFonts w:ascii="Times New Roman" w:hAnsi="Times New Roman" w:cs="Times New Roman"/>
          <w:sz w:val="24"/>
          <w:szCs w:val="24"/>
        </w:rPr>
        <w:t xml:space="preserve"> between expectation</w:t>
      </w:r>
      <w:r w:rsidR="00B452FF" w:rsidRPr="003F2E2C">
        <w:rPr>
          <w:rFonts w:ascii="Times New Roman" w:hAnsi="Times New Roman" w:cs="Times New Roman"/>
          <w:sz w:val="24"/>
          <w:szCs w:val="24"/>
        </w:rPr>
        <w:t>,</w:t>
      </w:r>
      <w:r w:rsidR="003265FA" w:rsidRPr="003F2E2C">
        <w:rPr>
          <w:rFonts w:ascii="Times New Roman" w:hAnsi="Times New Roman" w:cs="Times New Roman"/>
          <w:sz w:val="24"/>
          <w:szCs w:val="24"/>
        </w:rPr>
        <w:t xml:space="preserve"> volition</w:t>
      </w:r>
      <w:r w:rsidR="00B452FF" w:rsidRPr="003F2E2C">
        <w:rPr>
          <w:rFonts w:ascii="Times New Roman" w:hAnsi="Times New Roman" w:cs="Times New Roman"/>
          <w:sz w:val="24"/>
          <w:szCs w:val="24"/>
        </w:rPr>
        <w:t>,</w:t>
      </w:r>
      <w:r w:rsidR="003265FA" w:rsidRPr="003F2E2C">
        <w:rPr>
          <w:rFonts w:ascii="Times New Roman" w:hAnsi="Times New Roman" w:cs="Times New Roman"/>
          <w:sz w:val="24"/>
          <w:szCs w:val="24"/>
        </w:rPr>
        <w:t xml:space="preserve"> and academic performance. This implies that accounting students with high expectation in relation to their future do better academically. </w:t>
      </w:r>
      <w:r w:rsidR="00E40041" w:rsidRPr="003F2E2C">
        <w:rPr>
          <w:rFonts w:ascii="Times New Roman" w:hAnsi="Times New Roman" w:cs="Times New Roman"/>
          <w:sz w:val="24"/>
          <w:szCs w:val="24"/>
        </w:rPr>
        <w:t>T</w:t>
      </w:r>
      <w:r w:rsidR="00924F52" w:rsidRPr="003F2E2C">
        <w:rPr>
          <w:rFonts w:ascii="Times New Roman" w:hAnsi="Times New Roman" w:cs="Times New Roman"/>
          <w:sz w:val="24"/>
          <w:szCs w:val="24"/>
        </w:rPr>
        <w:t>he finding supports hypothesis 1</w:t>
      </w:r>
      <w:r w:rsidR="00DF200A" w:rsidRPr="003F2E2C">
        <w:rPr>
          <w:rFonts w:ascii="Times New Roman" w:hAnsi="Times New Roman" w:cs="Times New Roman"/>
          <w:sz w:val="24"/>
          <w:szCs w:val="24"/>
        </w:rPr>
        <w:t xml:space="preserve"> (H</w:t>
      </w:r>
      <w:r w:rsidR="00DF200A" w:rsidRPr="003F2E2C">
        <w:rPr>
          <w:rFonts w:ascii="Times New Roman" w:hAnsi="Times New Roman" w:cs="Times New Roman"/>
          <w:sz w:val="24"/>
          <w:szCs w:val="24"/>
          <w:vertAlign w:val="subscript"/>
        </w:rPr>
        <w:t>1</w:t>
      </w:r>
      <w:r w:rsidR="00DF200A" w:rsidRPr="003F2E2C">
        <w:rPr>
          <w:rFonts w:ascii="Times New Roman" w:hAnsi="Times New Roman" w:cs="Times New Roman"/>
          <w:sz w:val="24"/>
          <w:szCs w:val="24"/>
        </w:rPr>
        <w:t>)</w:t>
      </w:r>
      <w:r w:rsidR="00E40041" w:rsidRPr="003F2E2C">
        <w:rPr>
          <w:rFonts w:ascii="Times New Roman" w:hAnsi="Times New Roman" w:cs="Times New Roman"/>
          <w:sz w:val="24"/>
          <w:szCs w:val="24"/>
        </w:rPr>
        <w:t xml:space="preserve"> which states that there is</w:t>
      </w:r>
      <w:r w:rsidR="004D3D73" w:rsidRPr="003F2E2C">
        <w:rPr>
          <w:rFonts w:ascii="Times New Roman" w:hAnsi="Times New Roman" w:cs="Times New Roman"/>
          <w:sz w:val="24"/>
          <w:szCs w:val="24"/>
        </w:rPr>
        <w:t xml:space="preserve"> a</w:t>
      </w:r>
      <w:r w:rsidR="00E40041" w:rsidRPr="003F2E2C">
        <w:rPr>
          <w:rFonts w:ascii="Times New Roman" w:hAnsi="Times New Roman" w:cs="Times New Roman"/>
          <w:sz w:val="24"/>
          <w:szCs w:val="24"/>
        </w:rPr>
        <w:t xml:space="preserve"> </w:t>
      </w:r>
      <w:r w:rsidR="00E40041" w:rsidRPr="003F2E2C">
        <w:rPr>
          <w:rFonts w:ascii="Times New Roman" w:hAnsi="Times New Roman" w:cs="Times New Roman"/>
          <w:noProof/>
          <w:sz w:val="24"/>
          <w:szCs w:val="24"/>
        </w:rPr>
        <w:t>positive</w:t>
      </w:r>
      <w:r w:rsidR="00E40041" w:rsidRPr="003F2E2C">
        <w:rPr>
          <w:rFonts w:ascii="Times New Roman" w:hAnsi="Times New Roman" w:cs="Times New Roman"/>
          <w:sz w:val="24"/>
          <w:szCs w:val="24"/>
        </w:rPr>
        <w:t xml:space="preserve"> relationship between expectation and academic performance. </w:t>
      </w:r>
      <w:r w:rsidR="00204BE9" w:rsidRPr="003F2E2C">
        <w:rPr>
          <w:rFonts w:ascii="Times New Roman" w:hAnsi="Times New Roman" w:cs="Times New Roman"/>
          <w:sz w:val="24"/>
          <w:szCs w:val="24"/>
        </w:rPr>
        <w:t xml:space="preserve">Similarly, </w:t>
      </w:r>
      <w:r w:rsidR="003265FA" w:rsidRPr="003F2E2C">
        <w:rPr>
          <w:rFonts w:ascii="Times New Roman" w:hAnsi="Times New Roman" w:cs="Times New Roman"/>
          <w:sz w:val="24"/>
          <w:szCs w:val="24"/>
        </w:rPr>
        <w:t xml:space="preserve">accounting students who are </w:t>
      </w:r>
      <w:r w:rsidR="00204BE9" w:rsidRPr="003F2E2C">
        <w:rPr>
          <w:rFonts w:ascii="Times New Roman" w:hAnsi="Times New Roman" w:cs="Times New Roman"/>
          <w:sz w:val="24"/>
          <w:szCs w:val="24"/>
        </w:rPr>
        <w:t>studying</w:t>
      </w:r>
      <w:r w:rsidR="003265FA" w:rsidRPr="003F2E2C">
        <w:rPr>
          <w:rFonts w:ascii="Times New Roman" w:hAnsi="Times New Roman" w:cs="Times New Roman"/>
          <w:sz w:val="24"/>
          <w:szCs w:val="24"/>
        </w:rPr>
        <w:t xml:space="preserve"> accounting on their own volition or with minimal influence perform better.</w:t>
      </w:r>
      <w:r w:rsidR="00E40041" w:rsidRPr="003F2E2C">
        <w:rPr>
          <w:rFonts w:ascii="Times New Roman" w:hAnsi="Times New Roman" w:cs="Times New Roman"/>
          <w:sz w:val="24"/>
          <w:szCs w:val="24"/>
        </w:rPr>
        <w:t xml:space="preserve"> The positive and significant effect o</w:t>
      </w:r>
      <w:r w:rsidR="00924F52" w:rsidRPr="003F2E2C">
        <w:rPr>
          <w:rFonts w:ascii="Times New Roman" w:hAnsi="Times New Roman" w:cs="Times New Roman"/>
          <w:sz w:val="24"/>
          <w:szCs w:val="24"/>
        </w:rPr>
        <w:t xml:space="preserve">f volition </w:t>
      </w:r>
      <w:r w:rsidR="00204BE9" w:rsidRPr="003F2E2C">
        <w:rPr>
          <w:rFonts w:ascii="Times New Roman" w:hAnsi="Times New Roman" w:cs="Times New Roman"/>
          <w:sz w:val="24"/>
          <w:szCs w:val="24"/>
        </w:rPr>
        <w:t xml:space="preserve">on academic performance </w:t>
      </w:r>
      <w:r w:rsidR="00924F52" w:rsidRPr="003F2E2C">
        <w:rPr>
          <w:rFonts w:ascii="Times New Roman" w:hAnsi="Times New Roman" w:cs="Times New Roman"/>
          <w:sz w:val="24"/>
          <w:szCs w:val="24"/>
        </w:rPr>
        <w:t>offers support for H</w:t>
      </w:r>
      <w:r w:rsidR="00924F52" w:rsidRPr="003F2E2C">
        <w:rPr>
          <w:rFonts w:ascii="Times New Roman" w:hAnsi="Times New Roman" w:cs="Times New Roman"/>
          <w:sz w:val="24"/>
          <w:szCs w:val="24"/>
          <w:vertAlign w:val="subscript"/>
        </w:rPr>
        <w:t>2</w:t>
      </w:r>
      <w:r w:rsidR="006A0AD5" w:rsidRPr="003F2E2C">
        <w:rPr>
          <w:rFonts w:ascii="Times New Roman" w:hAnsi="Times New Roman" w:cs="Times New Roman"/>
          <w:sz w:val="24"/>
          <w:szCs w:val="24"/>
        </w:rPr>
        <w:t>.</w:t>
      </w:r>
      <w:r w:rsidR="003265FA" w:rsidRPr="003F2E2C">
        <w:rPr>
          <w:rFonts w:ascii="Times New Roman" w:hAnsi="Times New Roman" w:cs="Times New Roman"/>
          <w:sz w:val="24"/>
          <w:szCs w:val="24"/>
        </w:rPr>
        <w:t xml:space="preserve"> Model 3</w:t>
      </w:r>
      <w:r w:rsidR="0082024C" w:rsidRPr="003F2E2C">
        <w:rPr>
          <w:rFonts w:ascii="Times New Roman" w:hAnsi="Times New Roman" w:cs="Times New Roman"/>
          <w:sz w:val="24"/>
          <w:szCs w:val="24"/>
        </w:rPr>
        <w:t xml:space="preserve"> </w:t>
      </w:r>
      <w:r w:rsidR="003265FA" w:rsidRPr="003F2E2C">
        <w:rPr>
          <w:rFonts w:ascii="Times New Roman" w:hAnsi="Times New Roman" w:cs="Times New Roman"/>
          <w:sz w:val="24"/>
          <w:szCs w:val="24"/>
        </w:rPr>
        <w:t>too</w:t>
      </w:r>
      <w:r w:rsidR="00683260" w:rsidRPr="003F2E2C">
        <w:rPr>
          <w:rFonts w:ascii="Times New Roman" w:hAnsi="Times New Roman" w:cs="Times New Roman"/>
          <w:sz w:val="24"/>
          <w:szCs w:val="24"/>
        </w:rPr>
        <w:t>k into account</w:t>
      </w:r>
      <w:r w:rsidR="003265FA" w:rsidRPr="003F2E2C">
        <w:rPr>
          <w:rFonts w:ascii="Times New Roman" w:hAnsi="Times New Roman" w:cs="Times New Roman"/>
          <w:sz w:val="24"/>
          <w:szCs w:val="24"/>
        </w:rPr>
        <w:t xml:space="preserve"> the </w:t>
      </w:r>
      <w:r w:rsidR="00683260" w:rsidRPr="003F2E2C">
        <w:rPr>
          <w:rFonts w:ascii="Times New Roman" w:hAnsi="Times New Roman" w:cs="Times New Roman"/>
          <w:sz w:val="24"/>
          <w:szCs w:val="24"/>
        </w:rPr>
        <w:t xml:space="preserve">effect of </w:t>
      </w:r>
      <w:r w:rsidR="003265FA" w:rsidRPr="003F2E2C">
        <w:rPr>
          <w:rFonts w:ascii="Times New Roman" w:hAnsi="Times New Roman" w:cs="Times New Roman"/>
          <w:sz w:val="24"/>
          <w:szCs w:val="24"/>
        </w:rPr>
        <w:t>engagement and commitment facto</w:t>
      </w:r>
      <w:r w:rsidR="000C4AE9" w:rsidRPr="003F2E2C">
        <w:rPr>
          <w:rFonts w:ascii="Times New Roman" w:hAnsi="Times New Roman" w:cs="Times New Roman"/>
          <w:sz w:val="24"/>
          <w:szCs w:val="24"/>
        </w:rPr>
        <w:t xml:space="preserve">rs of </w:t>
      </w:r>
      <w:r w:rsidR="00683260" w:rsidRPr="003F2E2C">
        <w:rPr>
          <w:rFonts w:ascii="Times New Roman" w:hAnsi="Times New Roman" w:cs="Times New Roman"/>
          <w:sz w:val="24"/>
          <w:szCs w:val="24"/>
        </w:rPr>
        <w:t>in</w:t>
      </w:r>
      <w:r w:rsidR="003265FA" w:rsidRPr="003F2E2C">
        <w:rPr>
          <w:rFonts w:ascii="Times New Roman" w:hAnsi="Times New Roman" w:cs="Times New Roman"/>
          <w:sz w:val="24"/>
          <w:szCs w:val="24"/>
        </w:rPr>
        <w:t xml:space="preserve">terest and </w:t>
      </w:r>
      <w:r w:rsidR="00826BA9" w:rsidRPr="003F2E2C">
        <w:rPr>
          <w:rFonts w:ascii="Times New Roman" w:hAnsi="Times New Roman" w:cs="Times New Roman"/>
          <w:sz w:val="24"/>
          <w:szCs w:val="24"/>
        </w:rPr>
        <w:t xml:space="preserve">learning </w:t>
      </w:r>
      <w:r w:rsidR="003265FA" w:rsidRPr="003F2E2C">
        <w:rPr>
          <w:rFonts w:ascii="Times New Roman" w:hAnsi="Times New Roman" w:cs="Times New Roman"/>
          <w:sz w:val="24"/>
          <w:szCs w:val="24"/>
        </w:rPr>
        <w:t>attitude</w:t>
      </w:r>
      <w:r w:rsidR="00683260" w:rsidRPr="003F2E2C">
        <w:rPr>
          <w:rFonts w:ascii="Times New Roman" w:hAnsi="Times New Roman" w:cs="Times New Roman"/>
          <w:sz w:val="24"/>
          <w:szCs w:val="24"/>
        </w:rPr>
        <w:t xml:space="preserve"> on academic performance. The results indicate that academic interest has</w:t>
      </w:r>
      <w:r w:rsidR="004D3D73" w:rsidRPr="003F2E2C">
        <w:rPr>
          <w:rFonts w:ascii="Times New Roman" w:hAnsi="Times New Roman" w:cs="Times New Roman"/>
          <w:sz w:val="24"/>
          <w:szCs w:val="24"/>
        </w:rPr>
        <w:t xml:space="preserve"> a</w:t>
      </w:r>
      <w:r w:rsidR="00683260" w:rsidRPr="003F2E2C">
        <w:rPr>
          <w:rFonts w:ascii="Times New Roman" w:hAnsi="Times New Roman" w:cs="Times New Roman"/>
          <w:sz w:val="24"/>
          <w:szCs w:val="24"/>
        </w:rPr>
        <w:t xml:space="preserve"> </w:t>
      </w:r>
      <w:r w:rsidR="00683260" w:rsidRPr="003F2E2C">
        <w:rPr>
          <w:rFonts w:ascii="Times New Roman" w:hAnsi="Times New Roman" w:cs="Times New Roman"/>
          <w:noProof/>
          <w:sz w:val="24"/>
          <w:szCs w:val="24"/>
        </w:rPr>
        <w:t>positive</w:t>
      </w:r>
      <w:r w:rsidR="00683260" w:rsidRPr="003F2E2C">
        <w:rPr>
          <w:rFonts w:ascii="Times New Roman" w:hAnsi="Times New Roman" w:cs="Times New Roman"/>
          <w:sz w:val="24"/>
          <w:szCs w:val="24"/>
        </w:rPr>
        <w:t xml:space="preserve"> and significant effect on academic performance. This implies that accounting students who develop</w:t>
      </w:r>
      <w:r w:rsidR="004D3D73" w:rsidRPr="003F2E2C">
        <w:rPr>
          <w:rFonts w:ascii="Times New Roman" w:hAnsi="Times New Roman" w:cs="Times New Roman"/>
          <w:sz w:val="24"/>
          <w:szCs w:val="24"/>
        </w:rPr>
        <w:t xml:space="preserve"> an</w:t>
      </w:r>
      <w:r w:rsidR="00683260" w:rsidRPr="003F2E2C">
        <w:rPr>
          <w:rFonts w:ascii="Times New Roman" w:hAnsi="Times New Roman" w:cs="Times New Roman"/>
          <w:sz w:val="24"/>
          <w:szCs w:val="24"/>
        </w:rPr>
        <w:t xml:space="preserve"> </w:t>
      </w:r>
      <w:r w:rsidR="00683260" w:rsidRPr="003F2E2C">
        <w:rPr>
          <w:rFonts w:ascii="Times New Roman" w:hAnsi="Times New Roman" w:cs="Times New Roman"/>
          <w:noProof/>
          <w:sz w:val="24"/>
          <w:szCs w:val="24"/>
        </w:rPr>
        <w:t>interest</w:t>
      </w:r>
      <w:r w:rsidR="00683260" w:rsidRPr="003F2E2C">
        <w:rPr>
          <w:rFonts w:ascii="Times New Roman" w:hAnsi="Times New Roman" w:cs="Times New Roman"/>
          <w:sz w:val="24"/>
          <w:szCs w:val="24"/>
        </w:rPr>
        <w:t xml:space="preserve"> </w:t>
      </w:r>
      <w:r w:rsidR="00826BA9" w:rsidRPr="003F2E2C">
        <w:rPr>
          <w:rFonts w:ascii="Times New Roman" w:hAnsi="Times New Roman" w:cs="Times New Roman"/>
          <w:sz w:val="24"/>
          <w:szCs w:val="24"/>
        </w:rPr>
        <w:t>in the subject</w:t>
      </w:r>
      <w:r w:rsidR="00E40041" w:rsidRPr="003F2E2C">
        <w:rPr>
          <w:rFonts w:ascii="Times New Roman" w:hAnsi="Times New Roman" w:cs="Times New Roman"/>
          <w:sz w:val="24"/>
          <w:szCs w:val="24"/>
        </w:rPr>
        <w:t xml:space="preserve"> perform well </w:t>
      </w:r>
      <w:r w:rsidR="00924F52" w:rsidRPr="003F2E2C">
        <w:rPr>
          <w:rFonts w:ascii="Times New Roman" w:hAnsi="Times New Roman" w:cs="Times New Roman"/>
          <w:sz w:val="24"/>
          <w:szCs w:val="24"/>
        </w:rPr>
        <w:t>and offers support for H</w:t>
      </w:r>
      <w:r w:rsidR="00924F52" w:rsidRPr="003F2E2C">
        <w:rPr>
          <w:rFonts w:ascii="Times New Roman" w:hAnsi="Times New Roman" w:cs="Times New Roman"/>
          <w:sz w:val="24"/>
          <w:szCs w:val="24"/>
          <w:vertAlign w:val="subscript"/>
        </w:rPr>
        <w:t>3</w:t>
      </w:r>
      <w:r w:rsidR="00E40041" w:rsidRPr="003F2E2C">
        <w:rPr>
          <w:rFonts w:ascii="Times New Roman" w:hAnsi="Times New Roman" w:cs="Times New Roman"/>
          <w:sz w:val="24"/>
          <w:szCs w:val="24"/>
        </w:rPr>
        <w:t>.</w:t>
      </w:r>
      <w:r w:rsidR="00826BA9" w:rsidRPr="003F2E2C">
        <w:rPr>
          <w:rFonts w:ascii="Times New Roman" w:hAnsi="Times New Roman" w:cs="Times New Roman"/>
          <w:sz w:val="24"/>
          <w:szCs w:val="24"/>
        </w:rPr>
        <w:t xml:space="preserve"> Learning attitude </w:t>
      </w:r>
      <w:r w:rsidR="00683260" w:rsidRPr="003F2E2C">
        <w:rPr>
          <w:rFonts w:ascii="Times New Roman" w:hAnsi="Times New Roman" w:cs="Times New Roman"/>
          <w:sz w:val="24"/>
          <w:szCs w:val="24"/>
        </w:rPr>
        <w:t xml:space="preserve">was </w:t>
      </w:r>
      <w:r w:rsidR="00204BE9" w:rsidRPr="003F2E2C">
        <w:rPr>
          <w:rFonts w:ascii="Times New Roman" w:hAnsi="Times New Roman" w:cs="Times New Roman"/>
          <w:sz w:val="24"/>
          <w:szCs w:val="24"/>
        </w:rPr>
        <w:t xml:space="preserve">also found to have a </w:t>
      </w:r>
      <w:r w:rsidR="00683260" w:rsidRPr="003F2E2C">
        <w:rPr>
          <w:rFonts w:ascii="Times New Roman" w:hAnsi="Times New Roman" w:cs="Times New Roman"/>
          <w:sz w:val="24"/>
          <w:szCs w:val="24"/>
        </w:rPr>
        <w:t xml:space="preserve">positive and significant </w:t>
      </w:r>
      <w:r w:rsidR="00204BE9" w:rsidRPr="003F2E2C">
        <w:rPr>
          <w:rFonts w:ascii="Times New Roman" w:hAnsi="Times New Roman" w:cs="Times New Roman"/>
          <w:sz w:val="24"/>
          <w:szCs w:val="24"/>
        </w:rPr>
        <w:t>effect on</w:t>
      </w:r>
      <w:r w:rsidR="00683260" w:rsidRPr="003F2E2C">
        <w:rPr>
          <w:rFonts w:ascii="Times New Roman" w:hAnsi="Times New Roman" w:cs="Times New Roman"/>
          <w:sz w:val="24"/>
          <w:szCs w:val="24"/>
        </w:rPr>
        <w:t xml:space="preserve"> academic performance, indicating that students with a good learning attitude perform be</w:t>
      </w:r>
      <w:r w:rsidR="00826BA9" w:rsidRPr="003F2E2C">
        <w:rPr>
          <w:rFonts w:ascii="Times New Roman" w:hAnsi="Times New Roman" w:cs="Times New Roman"/>
          <w:sz w:val="24"/>
          <w:szCs w:val="24"/>
        </w:rPr>
        <w:t>tter in accounting</w:t>
      </w:r>
      <w:r w:rsidR="00683260" w:rsidRPr="003F2E2C">
        <w:rPr>
          <w:rFonts w:ascii="Times New Roman" w:hAnsi="Times New Roman" w:cs="Times New Roman"/>
          <w:sz w:val="24"/>
          <w:szCs w:val="24"/>
        </w:rPr>
        <w:t>.</w:t>
      </w:r>
      <w:r w:rsidR="00E40041" w:rsidRPr="003F2E2C">
        <w:rPr>
          <w:rFonts w:ascii="Times New Roman" w:hAnsi="Times New Roman" w:cs="Times New Roman"/>
          <w:sz w:val="24"/>
          <w:szCs w:val="24"/>
        </w:rPr>
        <w:t xml:space="preserve"> Th</w:t>
      </w:r>
      <w:r w:rsidR="00924F52" w:rsidRPr="003F2E2C">
        <w:rPr>
          <w:rFonts w:ascii="Times New Roman" w:hAnsi="Times New Roman" w:cs="Times New Roman"/>
          <w:sz w:val="24"/>
          <w:szCs w:val="24"/>
        </w:rPr>
        <w:t>is finding offers support for H</w:t>
      </w:r>
      <w:r w:rsidR="00924F52" w:rsidRPr="003F2E2C">
        <w:rPr>
          <w:rFonts w:ascii="Times New Roman" w:hAnsi="Times New Roman" w:cs="Times New Roman"/>
          <w:sz w:val="24"/>
          <w:szCs w:val="24"/>
          <w:vertAlign w:val="subscript"/>
        </w:rPr>
        <w:t>4</w:t>
      </w:r>
      <w:r w:rsidR="00E40041" w:rsidRPr="003F2E2C">
        <w:rPr>
          <w:rFonts w:ascii="Times New Roman" w:hAnsi="Times New Roman" w:cs="Times New Roman"/>
          <w:sz w:val="24"/>
          <w:szCs w:val="24"/>
        </w:rPr>
        <w:t>.</w:t>
      </w:r>
      <w:r w:rsidR="00412CB4" w:rsidRPr="003F2E2C">
        <w:rPr>
          <w:rFonts w:ascii="Times New Roman" w:hAnsi="Times New Roman" w:cs="Times New Roman"/>
          <w:sz w:val="24"/>
          <w:szCs w:val="24"/>
        </w:rPr>
        <w:t xml:space="preserve"> </w:t>
      </w:r>
      <w:r w:rsidR="00204BE9" w:rsidRPr="003F2E2C">
        <w:rPr>
          <w:rFonts w:ascii="Times New Roman" w:hAnsi="Times New Roman" w:cs="Times New Roman"/>
          <w:sz w:val="24"/>
          <w:szCs w:val="24"/>
        </w:rPr>
        <w:t>The model with all variables included</w:t>
      </w:r>
      <w:r w:rsidR="00C72673" w:rsidRPr="003F2E2C">
        <w:rPr>
          <w:rFonts w:ascii="Times New Roman" w:hAnsi="Times New Roman" w:cs="Times New Roman"/>
          <w:sz w:val="24"/>
          <w:szCs w:val="24"/>
        </w:rPr>
        <w:t xml:space="preserve"> account</w:t>
      </w:r>
      <w:r w:rsidR="00204BE9" w:rsidRPr="003F2E2C">
        <w:rPr>
          <w:rFonts w:ascii="Times New Roman" w:hAnsi="Times New Roman" w:cs="Times New Roman"/>
          <w:sz w:val="24"/>
          <w:szCs w:val="24"/>
        </w:rPr>
        <w:t>s</w:t>
      </w:r>
      <w:r w:rsidR="00C72673" w:rsidRPr="003F2E2C">
        <w:rPr>
          <w:rFonts w:ascii="Times New Roman" w:hAnsi="Times New Roman" w:cs="Times New Roman"/>
          <w:sz w:val="24"/>
          <w:szCs w:val="24"/>
        </w:rPr>
        <w:t xml:space="preserve"> for about 41 per cent of the </w:t>
      </w:r>
      <w:r w:rsidR="00F2608E" w:rsidRPr="003F2E2C">
        <w:rPr>
          <w:rFonts w:ascii="Times New Roman" w:hAnsi="Times New Roman" w:cs="Times New Roman"/>
          <w:sz w:val="24"/>
          <w:szCs w:val="24"/>
        </w:rPr>
        <w:t xml:space="preserve">academic performance variance. </w:t>
      </w:r>
    </w:p>
    <w:p w14:paraId="48625C33" w14:textId="77777777" w:rsidR="00E972E9" w:rsidRPr="003F2E2C" w:rsidRDefault="00E972E9" w:rsidP="00A06B83">
      <w:pPr>
        <w:spacing w:after="0" w:line="360" w:lineRule="auto"/>
        <w:jc w:val="both"/>
        <w:rPr>
          <w:rFonts w:ascii="Times New Roman" w:hAnsi="Times New Roman" w:cs="Times New Roman"/>
          <w:sz w:val="24"/>
          <w:szCs w:val="24"/>
        </w:rPr>
      </w:pPr>
    </w:p>
    <w:p w14:paraId="0077ECD8" w14:textId="77777777" w:rsidR="00E972E9" w:rsidRPr="003F2E2C" w:rsidRDefault="00E972E9" w:rsidP="00A06B83">
      <w:pPr>
        <w:spacing w:after="0" w:line="360" w:lineRule="auto"/>
        <w:jc w:val="both"/>
        <w:rPr>
          <w:rFonts w:ascii="Times New Roman" w:hAnsi="Times New Roman" w:cs="Times New Roman"/>
          <w:sz w:val="24"/>
          <w:szCs w:val="24"/>
        </w:rPr>
      </w:pPr>
    </w:p>
    <w:p w14:paraId="6B639692" w14:textId="66945D84" w:rsidR="00E972E9" w:rsidRPr="003F2E2C" w:rsidRDefault="0013597C" w:rsidP="00E972E9">
      <w:pPr>
        <w:spacing w:after="0" w:line="360" w:lineRule="auto"/>
        <w:jc w:val="center"/>
        <w:rPr>
          <w:rFonts w:ascii="Times New Roman" w:hAnsi="Times New Roman" w:cs="Times New Roman"/>
          <w:b/>
          <w:sz w:val="24"/>
          <w:szCs w:val="24"/>
        </w:rPr>
      </w:pPr>
      <w:r w:rsidRPr="003F2E2C">
        <w:rPr>
          <w:rFonts w:ascii="Times New Roman" w:hAnsi="Times New Roman" w:cs="Times New Roman"/>
          <w:b/>
          <w:sz w:val="24"/>
          <w:szCs w:val="24"/>
        </w:rPr>
        <w:t>[TABLE 3 ABOUT HERE]</w:t>
      </w:r>
    </w:p>
    <w:p w14:paraId="4FDC2EC4" w14:textId="77777777" w:rsidR="00E72C2E" w:rsidRPr="003F2E2C" w:rsidRDefault="00E72C2E" w:rsidP="00A06B83">
      <w:pPr>
        <w:spacing w:after="0" w:line="360" w:lineRule="auto"/>
        <w:jc w:val="both"/>
        <w:rPr>
          <w:rFonts w:ascii="Times New Roman" w:hAnsi="Times New Roman" w:cs="Times New Roman"/>
          <w:sz w:val="24"/>
          <w:szCs w:val="24"/>
        </w:rPr>
      </w:pPr>
    </w:p>
    <w:p w14:paraId="3F0781CE" w14:textId="77777777" w:rsidR="000E0FA9" w:rsidRPr="003F2E2C" w:rsidRDefault="000E0FA9" w:rsidP="00A06B83">
      <w:pPr>
        <w:spacing w:after="0" w:line="360" w:lineRule="auto"/>
        <w:jc w:val="both"/>
        <w:rPr>
          <w:rFonts w:ascii="Times New Roman" w:hAnsi="Times New Roman" w:cs="Times New Roman"/>
          <w:i/>
          <w:sz w:val="24"/>
          <w:szCs w:val="24"/>
        </w:rPr>
      </w:pPr>
    </w:p>
    <w:p w14:paraId="4CFAE91F" w14:textId="6F057286" w:rsidR="00E40041" w:rsidRPr="003F2E2C" w:rsidRDefault="0013597C" w:rsidP="00A06B83">
      <w:pPr>
        <w:spacing w:after="0" w:line="360" w:lineRule="auto"/>
        <w:jc w:val="both"/>
        <w:rPr>
          <w:rFonts w:ascii="Times New Roman" w:hAnsi="Times New Roman" w:cs="Times New Roman"/>
          <w:i/>
          <w:sz w:val="24"/>
          <w:szCs w:val="24"/>
        </w:rPr>
      </w:pPr>
      <w:r w:rsidRPr="003F2E2C">
        <w:rPr>
          <w:rFonts w:ascii="Times New Roman" w:hAnsi="Times New Roman" w:cs="Times New Roman"/>
          <w:i/>
          <w:sz w:val="24"/>
          <w:szCs w:val="24"/>
        </w:rPr>
        <w:t>5.4 Discus</w:t>
      </w:r>
      <w:r w:rsidR="002C2114" w:rsidRPr="003F2E2C">
        <w:rPr>
          <w:rFonts w:ascii="Times New Roman" w:hAnsi="Times New Roman" w:cs="Times New Roman"/>
          <w:i/>
          <w:sz w:val="24"/>
          <w:szCs w:val="24"/>
        </w:rPr>
        <w:t>s</w:t>
      </w:r>
      <w:r w:rsidRPr="003F2E2C">
        <w:rPr>
          <w:rFonts w:ascii="Times New Roman" w:hAnsi="Times New Roman" w:cs="Times New Roman"/>
          <w:i/>
          <w:sz w:val="24"/>
          <w:szCs w:val="24"/>
        </w:rPr>
        <w:t>ion</w:t>
      </w:r>
      <w:r w:rsidR="00B003F5" w:rsidRPr="003F2E2C">
        <w:rPr>
          <w:rFonts w:ascii="Times New Roman" w:hAnsi="Times New Roman" w:cs="Times New Roman"/>
          <w:i/>
          <w:sz w:val="24"/>
          <w:szCs w:val="24"/>
        </w:rPr>
        <w:t xml:space="preserve"> of Results</w:t>
      </w:r>
    </w:p>
    <w:p w14:paraId="52ADE11C" w14:textId="30701956" w:rsidR="00C20768" w:rsidRPr="003F2E2C" w:rsidRDefault="0013597C" w:rsidP="00BE79E0">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w:t>
      </w:r>
      <w:r w:rsidR="000B2B03" w:rsidRPr="003F2E2C">
        <w:rPr>
          <w:rFonts w:ascii="Times New Roman" w:hAnsi="Times New Roman" w:cs="Times New Roman"/>
          <w:sz w:val="24"/>
          <w:szCs w:val="24"/>
        </w:rPr>
        <w:t>he results of the study suggest that student</w:t>
      </w:r>
      <w:r w:rsidRPr="003F2E2C">
        <w:rPr>
          <w:rFonts w:ascii="Times New Roman" w:hAnsi="Times New Roman" w:cs="Times New Roman"/>
          <w:sz w:val="24"/>
          <w:szCs w:val="24"/>
        </w:rPr>
        <w:t>s’ expectation</w:t>
      </w:r>
      <w:r w:rsidR="000B2B03" w:rsidRPr="003F2E2C">
        <w:rPr>
          <w:rFonts w:ascii="Times New Roman" w:hAnsi="Times New Roman" w:cs="Times New Roman"/>
          <w:sz w:val="24"/>
          <w:szCs w:val="24"/>
        </w:rPr>
        <w:t xml:space="preserve"> from the accountancy profession is significant and positively related to academic performance.</w:t>
      </w:r>
      <w:r w:rsidR="00F24FDA" w:rsidRPr="003F2E2C">
        <w:rPr>
          <w:rFonts w:ascii="Times New Roman" w:hAnsi="Times New Roman" w:cs="Times New Roman"/>
          <w:sz w:val="24"/>
          <w:szCs w:val="24"/>
        </w:rPr>
        <w:t xml:space="preserve"> Our finding con</w:t>
      </w:r>
      <w:r w:rsidR="002C0C6A" w:rsidRPr="003F2E2C">
        <w:rPr>
          <w:rFonts w:ascii="Times New Roman" w:hAnsi="Times New Roman" w:cs="Times New Roman"/>
          <w:sz w:val="24"/>
          <w:szCs w:val="24"/>
        </w:rPr>
        <w:t>firms the result</w:t>
      </w:r>
      <w:r w:rsidR="00A86025" w:rsidRPr="003F2E2C">
        <w:rPr>
          <w:rFonts w:ascii="Times New Roman" w:hAnsi="Times New Roman" w:cs="Times New Roman"/>
          <w:sz w:val="24"/>
          <w:szCs w:val="24"/>
        </w:rPr>
        <w:t xml:space="preserve"> of Guney (2009</w:t>
      </w:r>
      <w:r w:rsidR="00F24FDA" w:rsidRPr="003F2E2C">
        <w:rPr>
          <w:rFonts w:ascii="Times New Roman" w:hAnsi="Times New Roman" w:cs="Times New Roman"/>
          <w:sz w:val="24"/>
          <w:szCs w:val="24"/>
        </w:rPr>
        <w:t>) who found that future career has</w:t>
      </w:r>
      <w:r w:rsidR="004D3D73" w:rsidRPr="003F2E2C">
        <w:rPr>
          <w:rFonts w:ascii="Times New Roman" w:hAnsi="Times New Roman" w:cs="Times New Roman"/>
          <w:sz w:val="24"/>
          <w:szCs w:val="24"/>
        </w:rPr>
        <w:t xml:space="preserve"> a</w:t>
      </w:r>
      <w:r w:rsidR="00F24FDA" w:rsidRPr="003F2E2C">
        <w:rPr>
          <w:rFonts w:ascii="Times New Roman" w:hAnsi="Times New Roman" w:cs="Times New Roman"/>
          <w:sz w:val="24"/>
          <w:szCs w:val="24"/>
        </w:rPr>
        <w:t xml:space="preserve"> </w:t>
      </w:r>
      <w:r w:rsidR="00F24FDA" w:rsidRPr="003F2E2C">
        <w:rPr>
          <w:rFonts w:ascii="Times New Roman" w:hAnsi="Times New Roman" w:cs="Times New Roman"/>
          <w:noProof/>
          <w:sz w:val="24"/>
          <w:szCs w:val="24"/>
        </w:rPr>
        <w:t>positive</w:t>
      </w:r>
      <w:r w:rsidR="00F24FDA" w:rsidRPr="003F2E2C">
        <w:rPr>
          <w:rFonts w:ascii="Times New Roman" w:hAnsi="Times New Roman" w:cs="Times New Roman"/>
          <w:sz w:val="24"/>
          <w:szCs w:val="24"/>
        </w:rPr>
        <w:t xml:space="preserve"> effect on academic performance. However, it is not consistent with the </w:t>
      </w:r>
      <w:r w:rsidR="00B5056B" w:rsidRPr="003F2E2C">
        <w:rPr>
          <w:rFonts w:ascii="Times New Roman" w:hAnsi="Times New Roman" w:cs="Times New Roman"/>
          <w:sz w:val="24"/>
          <w:szCs w:val="24"/>
        </w:rPr>
        <w:t>results reported by</w:t>
      </w:r>
      <w:r w:rsidR="00F24FDA" w:rsidRPr="003F2E2C">
        <w:rPr>
          <w:rFonts w:ascii="Times New Roman" w:hAnsi="Times New Roman" w:cs="Times New Roman"/>
          <w:sz w:val="24"/>
          <w:szCs w:val="24"/>
        </w:rPr>
        <w:t xml:space="preserve"> Bryne and Flood (2008)</w:t>
      </w:r>
      <w:r w:rsidR="00091B0A" w:rsidRPr="003F2E2C">
        <w:rPr>
          <w:rFonts w:ascii="Times New Roman" w:hAnsi="Times New Roman" w:cs="Times New Roman"/>
          <w:sz w:val="24"/>
          <w:szCs w:val="24"/>
        </w:rPr>
        <w:t xml:space="preserve"> and</w:t>
      </w:r>
      <w:r w:rsidR="004C0A3B" w:rsidRPr="003F2E2C">
        <w:rPr>
          <w:rFonts w:ascii="Times New Roman" w:hAnsi="Times New Roman" w:cs="Times New Roman"/>
          <w:noProof/>
          <w:sz w:val="24"/>
          <w:szCs w:val="24"/>
        </w:rPr>
        <w:t xml:space="preserve"> </w:t>
      </w:r>
      <w:r w:rsidR="002C0C6A" w:rsidRPr="003F2E2C">
        <w:rPr>
          <w:rFonts w:ascii="Times New Roman" w:hAnsi="Times New Roman" w:cs="Times New Roman"/>
          <w:sz w:val="24"/>
          <w:szCs w:val="24"/>
        </w:rPr>
        <w:t xml:space="preserve">Arquero et al. </w:t>
      </w:r>
      <w:r w:rsidR="00A86025" w:rsidRPr="003F2E2C">
        <w:rPr>
          <w:rFonts w:ascii="Times New Roman" w:hAnsi="Times New Roman" w:cs="Times New Roman"/>
          <w:sz w:val="24"/>
          <w:szCs w:val="24"/>
        </w:rPr>
        <w:fldChar w:fldCharType="begin" w:fldLock="1"/>
      </w:r>
      <w:r w:rsidR="00A86025" w:rsidRPr="003F2E2C">
        <w:rPr>
          <w:rFonts w:ascii="Times New Roman" w:hAnsi="Times New Roman" w:cs="Times New Roman"/>
          <w:sz w:val="24"/>
          <w:szCs w:val="24"/>
        </w:rPr>
        <w:instrText>ADDIN CSL_CITATION { "citationItems" : [ { "id" : "ITEM-1", "itemData" : { "DOI" : "10.1016/S1138-4891(09)70009-3", "ISSN" : "11384891", "abstract" : "Understanding the motives, expectations and preparedness of students is important for accounting educators, as they seek to develop learning environments that promote high quality learning outcomes. This paper examines these factors with a sample of entry level students on a Business and Management degree at a Spanish university. The study also explores the influence of these antecedent variables on academic performance in the first accounting module. The data were collected using a Spanish version of the MEPU questionnaire, which was developed by Byrne and Flood (2005 and 2007). The analysis revealed that students are motivated by a combination of intrinsic and vocationally-oriented factors and feel well prepared for higher education. Interest in accounting, experience of the subject at school, academic self-confidence and university access scores were all significantly correlated with performance. Some interesting gender differences were identified and variation among regular and repeating students was also examined.", "author" : [ { "dropping-particle" : "", "family" : "Arquero", "given" : "Jose L.", "non-dropping-particle" : "", "parse-names" : false, "suffix" : "" }, { "dropping-particle" : "", "family" : "Byrne", "given" : "Marann", "non-dropping-particle" : "", "parse-names" : false, "suffix" : "" }, { "dropping-particle" : "", "family" : "Flood", "given" : "Barbara", "non-dropping-particle" : "", "parse-names" : false, "suffix" : "" }, { "dropping-particle" : "", "family" : "Gonzalez", "given" : "Jose Maria", "non-dropping-particle" : "", "parse-names" : false, "suffix" : "" } ], "container-title" : "Revista de Contabilidad", "id" : "ITEM-1", "issue" : "2", "issued" : { "date-parts" : [ [ "2009" ] ] }, "page" : "279-299", "publisher" : "Elsevier", "title" : "Motives, expectations, preparedness and academic Performance: A study of students of accounting at a Spanish university", "type" : "article-journal", "volume" : "12" }, "uris" : [ "http://www.mendeley.com/documents/?uuid=aecb13c5-ef39-48e4-8204-9cd75b656f79" ] } ], "mendeley" : { "formattedCitation" : "(Arquero &lt;i&gt;et al.&lt;/i&gt;, 2009)", "manualFormatting" : "(Arquero et al. (2009)", "plainTextFormattedCitation" : "(Arquero et al., 2009)", "previouslyFormattedCitation" : "(Arquero &lt;i&gt;et al.&lt;/i&gt;, 2009)" }, "properties" : { "noteIndex" : 0 }, "schema" : "https://github.com/citation-style-language/schema/raw/master/csl-citation.json" }</w:instrText>
      </w:r>
      <w:r w:rsidR="00A86025" w:rsidRPr="003F2E2C">
        <w:rPr>
          <w:rFonts w:ascii="Times New Roman" w:hAnsi="Times New Roman" w:cs="Times New Roman"/>
          <w:sz w:val="24"/>
          <w:szCs w:val="24"/>
        </w:rPr>
        <w:fldChar w:fldCharType="separate"/>
      </w:r>
      <w:r w:rsidR="00B5056B" w:rsidRPr="003F2E2C">
        <w:rPr>
          <w:rFonts w:ascii="Times New Roman" w:hAnsi="Times New Roman" w:cs="Times New Roman"/>
          <w:noProof/>
          <w:sz w:val="24"/>
          <w:szCs w:val="24"/>
        </w:rPr>
        <w:t>(</w:t>
      </w:r>
      <w:r w:rsidR="00A86025" w:rsidRPr="003F2E2C">
        <w:rPr>
          <w:rFonts w:ascii="Times New Roman" w:hAnsi="Times New Roman" w:cs="Times New Roman"/>
          <w:noProof/>
          <w:sz w:val="24"/>
          <w:szCs w:val="24"/>
        </w:rPr>
        <w:t>2009)</w:t>
      </w:r>
      <w:r w:rsidR="00A86025" w:rsidRPr="003F2E2C">
        <w:rPr>
          <w:rFonts w:ascii="Times New Roman" w:hAnsi="Times New Roman" w:cs="Times New Roman"/>
          <w:sz w:val="24"/>
          <w:szCs w:val="24"/>
        </w:rPr>
        <w:fldChar w:fldCharType="end"/>
      </w:r>
      <w:r w:rsidRPr="003F2E2C">
        <w:rPr>
          <w:rFonts w:ascii="Times New Roman" w:hAnsi="Times New Roman" w:cs="Times New Roman"/>
          <w:sz w:val="24"/>
          <w:szCs w:val="24"/>
        </w:rPr>
        <w:t xml:space="preserve"> who </w:t>
      </w:r>
      <w:r w:rsidR="00091B0A" w:rsidRPr="003F2E2C">
        <w:rPr>
          <w:rFonts w:ascii="Times New Roman" w:hAnsi="Times New Roman" w:cs="Times New Roman"/>
          <w:sz w:val="24"/>
          <w:szCs w:val="24"/>
        </w:rPr>
        <w:t>found no association between expectation and academic performance.</w:t>
      </w:r>
      <w:r w:rsidR="000B2B03" w:rsidRPr="003F2E2C">
        <w:rPr>
          <w:rFonts w:ascii="Times New Roman" w:hAnsi="Times New Roman" w:cs="Times New Roman"/>
          <w:sz w:val="24"/>
          <w:szCs w:val="24"/>
        </w:rPr>
        <w:t xml:space="preserve"> T</w:t>
      </w:r>
      <w:r w:rsidR="00091B0A" w:rsidRPr="003F2E2C">
        <w:rPr>
          <w:rFonts w:ascii="Times New Roman" w:hAnsi="Times New Roman" w:cs="Times New Roman"/>
          <w:sz w:val="24"/>
          <w:szCs w:val="24"/>
        </w:rPr>
        <w:t>he positive link</w:t>
      </w:r>
      <w:r w:rsidR="000B2B03" w:rsidRPr="003F2E2C">
        <w:rPr>
          <w:rFonts w:ascii="Times New Roman" w:hAnsi="Times New Roman" w:cs="Times New Roman"/>
          <w:sz w:val="24"/>
          <w:szCs w:val="24"/>
        </w:rPr>
        <w:t xml:space="preserve"> implies that students</w:t>
      </w:r>
      <w:r w:rsidR="00F7080F" w:rsidRPr="003F2E2C">
        <w:rPr>
          <w:rFonts w:ascii="Times New Roman" w:hAnsi="Times New Roman" w:cs="Times New Roman"/>
          <w:sz w:val="24"/>
          <w:szCs w:val="24"/>
        </w:rPr>
        <w:t>’ academic performance is enhanced by their belief</w:t>
      </w:r>
      <w:r w:rsidR="000B2B03" w:rsidRPr="003F2E2C">
        <w:rPr>
          <w:rFonts w:ascii="Times New Roman" w:hAnsi="Times New Roman" w:cs="Times New Roman"/>
          <w:sz w:val="24"/>
          <w:szCs w:val="24"/>
        </w:rPr>
        <w:t xml:space="preserve"> that the accountancy profession </w:t>
      </w:r>
      <w:r w:rsidRPr="003F2E2C">
        <w:rPr>
          <w:rFonts w:ascii="Times New Roman" w:hAnsi="Times New Roman" w:cs="Times New Roman"/>
          <w:sz w:val="24"/>
          <w:szCs w:val="24"/>
        </w:rPr>
        <w:t>will boost</w:t>
      </w:r>
      <w:r w:rsidR="00F7080F" w:rsidRPr="003F2E2C">
        <w:rPr>
          <w:rFonts w:ascii="Times New Roman" w:hAnsi="Times New Roman" w:cs="Times New Roman"/>
          <w:sz w:val="24"/>
          <w:szCs w:val="24"/>
        </w:rPr>
        <w:t xml:space="preserve"> their</w:t>
      </w:r>
      <w:r w:rsidR="000B2B03" w:rsidRPr="003F2E2C">
        <w:rPr>
          <w:rFonts w:ascii="Times New Roman" w:hAnsi="Times New Roman" w:cs="Times New Roman"/>
          <w:sz w:val="24"/>
          <w:szCs w:val="24"/>
        </w:rPr>
        <w:t xml:space="preserve"> chances of getting a good job, good remuneration and prestige/respect from society</w:t>
      </w:r>
      <w:r w:rsidR="00F7080F" w:rsidRPr="003F2E2C">
        <w:rPr>
          <w:rFonts w:ascii="Times New Roman" w:hAnsi="Times New Roman" w:cs="Times New Roman"/>
          <w:sz w:val="24"/>
          <w:szCs w:val="24"/>
        </w:rPr>
        <w:t>.</w:t>
      </w:r>
      <w:r w:rsidR="000B2B03" w:rsidRPr="003F2E2C">
        <w:rPr>
          <w:rFonts w:ascii="Times New Roman" w:hAnsi="Times New Roman" w:cs="Times New Roman"/>
          <w:sz w:val="24"/>
          <w:szCs w:val="24"/>
        </w:rPr>
        <w:t xml:space="preserve"> </w:t>
      </w:r>
      <w:r w:rsidR="00F7080F" w:rsidRPr="003F2E2C">
        <w:rPr>
          <w:rFonts w:ascii="Times New Roman" w:hAnsi="Times New Roman" w:cs="Times New Roman"/>
          <w:sz w:val="24"/>
          <w:szCs w:val="24"/>
        </w:rPr>
        <w:t>This finding</w:t>
      </w:r>
      <w:r w:rsidR="000B2B03" w:rsidRPr="003F2E2C">
        <w:rPr>
          <w:rFonts w:ascii="Times New Roman" w:hAnsi="Times New Roman" w:cs="Times New Roman"/>
          <w:sz w:val="24"/>
          <w:szCs w:val="24"/>
        </w:rPr>
        <w:t xml:space="preserve"> </w:t>
      </w:r>
      <w:r w:rsidR="00B5056B" w:rsidRPr="003F2E2C">
        <w:rPr>
          <w:rFonts w:ascii="Times New Roman" w:hAnsi="Times New Roman" w:cs="Times New Roman"/>
          <w:sz w:val="24"/>
          <w:szCs w:val="24"/>
        </w:rPr>
        <w:t>suggest</w:t>
      </w:r>
      <w:r w:rsidR="00527442" w:rsidRPr="003F2E2C">
        <w:rPr>
          <w:rFonts w:ascii="Times New Roman" w:hAnsi="Times New Roman" w:cs="Times New Roman"/>
          <w:sz w:val="24"/>
          <w:szCs w:val="24"/>
        </w:rPr>
        <w:t>s</w:t>
      </w:r>
      <w:r w:rsidR="00B5056B" w:rsidRPr="003F2E2C">
        <w:rPr>
          <w:rFonts w:ascii="Times New Roman" w:hAnsi="Times New Roman" w:cs="Times New Roman"/>
          <w:sz w:val="24"/>
          <w:szCs w:val="24"/>
        </w:rPr>
        <w:t xml:space="preserve"> </w:t>
      </w:r>
      <w:r w:rsidR="000B2B03" w:rsidRPr="003F2E2C">
        <w:rPr>
          <w:rFonts w:ascii="Times New Roman" w:hAnsi="Times New Roman" w:cs="Times New Roman"/>
          <w:sz w:val="24"/>
          <w:szCs w:val="24"/>
        </w:rPr>
        <w:t>that student</w:t>
      </w:r>
      <w:r w:rsidR="00D653C9" w:rsidRPr="003F2E2C">
        <w:rPr>
          <w:rFonts w:ascii="Times New Roman" w:hAnsi="Times New Roman" w:cs="Times New Roman"/>
          <w:sz w:val="24"/>
          <w:szCs w:val="24"/>
        </w:rPr>
        <w:t>s’ exposure and understanding of</w:t>
      </w:r>
      <w:r w:rsidR="000B2B03" w:rsidRPr="003F2E2C">
        <w:rPr>
          <w:rFonts w:ascii="Times New Roman" w:hAnsi="Times New Roman" w:cs="Times New Roman"/>
          <w:sz w:val="24"/>
          <w:szCs w:val="24"/>
        </w:rPr>
        <w:t xml:space="preserve"> the future benefits associated with pursuing the accountancy profession matters a lot. </w:t>
      </w:r>
      <w:r w:rsidR="003F0662" w:rsidRPr="003F2E2C">
        <w:rPr>
          <w:rFonts w:ascii="Times New Roman" w:hAnsi="Times New Roman" w:cs="Times New Roman"/>
          <w:sz w:val="24"/>
          <w:szCs w:val="24"/>
        </w:rPr>
        <w:t>The result also implies that</w:t>
      </w:r>
      <w:r w:rsidR="00BC117E" w:rsidRPr="003F2E2C">
        <w:rPr>
          <w:rFonts w:ascii="Times New Roman" w:hAnsi="Times New Roman" w:cs="Times New Roman"/>
          <w:sz w:val="24"/>
          <w:szCs w:val="24"/>
        </w:rPr>
        <w:t xml:space="preserve"> expec</w:t>
      </w:r>
      <w:r w:rsidR="007E391B" w:rsidRPr="003F2E2C">
        <w:rPr>
          <w:rFonts w:ascii="Times New Roman" w:hAnsi="Times New Roman" w:cs="Times New Roman"/>
          <w:sz w:val="24"/>
          <w:szCs w:val="24"/>
        </w:rPr>
        <w:t>ta</w:t>
      </w:r>
      <w:r w:rsidR="00BC117E" w:rsidRPr="003F2E2C">
        <w:rPr>
          <w:rFonts w:ascii="Times New Roman" w:hAnsi="Times New Roman" w:cs="Times New Roman"/>
          <w:sz w:val="24"/>
          <w:szCs w:val="24"/>
        </w:rPr>
        <w:t xml:space="preserve">tion becomes conditionality for </w:t>
      </w:r>
      <w:r w:rsidR="007E391B" w:rsidRPr="003F2E2C">
        <w:rPr>
          <w:rFonts w:ascii="Times New Roman" w:hAnsi="Times New Roman" w:cs="Times New Roman"/>
          <w:sz w:val="24"/>
          <w:szCs w:val="24"/>
        </w:rPr>
        <w:t>students which may serve as a useful guide to action</w:t>
      </w:r>
      <w:r w:rsidR="002F4665" w:rsidRPr="003F2E2C">
        <w:rPr>
          <w:rFonts w:ascii="Times New Roman" w:hAnsi="Times New Roman" w:cs="Times New Roman"/>
          <w:sz w:val="24"/>
          <w:szCs w:val="24"/>
        </w:rPr>
        <w:t>.</w:t>
      </w:r>
      <w:r w:rsidR="00404FCC" w:rsidRPr="003F2E2C">
        <w:rPr>
          <w:rFonts w:ascii="Times New Roman" w:hAnsi="Times New Roman" w:cs="Times New Roman"/>
          <w:sz w:val="24"/>
          <w:szCs w:val="24"/>
        </w:rPr>
        <w:t xml:space="preserve"> This </w:t>
      </w:r>
      <w:r w:rsidR="007E391B" w:rsidRPr="003F2E2C">
        <w:rPr>
          <w:rFonts w:ascii="Times New Roman" w:hAnsi="Times New Roman" w:cs="Times New Roman"/>
          <w:sz w:val="24"/>
          <w:szCs w:val="24"/>
        </w:rPr>
        <w:t xml:space="preserve">may include developing effective strategies which should facilitate better academic performance. </w:t>
      </w:r>
      <w:r w:rsidR="003F0662" w:rsidRPr="003F2E2C">
        <w:rPr>
          <w:rFonts w:ascii="Times New Roman" w:hAnsi="Times New Roman" w:cs="Times New Roman"/>
          <w:sz w:val="24"/>
          <w:szCs w:val="24"/>
        </w:rPr>
        <w:t>Thus,</w:t>
      </w:r>
      <w:r w:rsidR="004D3D73" w:rsidRPr="003F2E2C">
        <w:rPr>
          <w:rFonts w:ascii="Times New Roman" w:hAnsi="Times New Roman" w:cs="Times New Roman"/>
          <w:sz w:val="24"/>
          <w:szCs w:val="24"/>
        </w:rPr>
        <w:t xml:space="preserve"> an</w:t>
      </w:r>
      <w:r w:rsidR="003F0662" w:rsidRPr="003F2E2C">
        <w:rPr>
          <w:rFonts w:ascii="Times New Roman" w:hAnsi="Times New Roman" w:cs="Times New Roman"/>
          <w:sz w:val="24"/>
          <w:szCs w:val="24"/>
        </w:rPr>
        <w:t xml:space="preserve"> </w:t>
      </w:r>
      <w:r w:rsidR="002945A8" w:rsidRPr="003F2E2C">
        <w:rPr>
          <w:rFonts w:ascii="Times New Roman" w:hAnsi="Times New Roman" w:cs="Times New Roman"/>
          <w:noProof/>
          <w:sz w:val="24"/>
          <w:szCs w:val="24"/>
        </w:rPr>
        <w:t>expectation</w:t>
      </w:r>
      <w:r w:rsidR="002945A8" w:rsidRPr="003F2E2C">
        <w:rPr>
          <w:rFonts w:ascii="Times New Roman" w:hAnsi="Times New Roman" w:cs="Times New Roman"/>
          <w:sz w:val="24"/>
          <w:szCs w:val="24"/>
        </w:rPr>
        <w:t xml:space="preserve"> set in motion appropriate and reasonable actions for the task at hand which can help the achievement of the desired outcome.</w:t>
      </w:r>
      <w:r w:rsidR="00AA4CB1" w:rsidRPr="003F2E2C">
        <w:rPr>
          <w:rFonts w:ascii="Times New Roman" w:hAnsi="Times New Roman" w:cs="Times New Roman"/>
          <w:sz w:val="24"/>
          <w:szCs w:val="24"/>
        </w:rPr>
        <w:t xml:space="preserve"> Also, when s</w:t>
      </w:r>
      <w:r w:rsidR="0007483A" w:rsidRPr="003F2E2C">
        <w:rPr>
          <w:rFonts w:ascii="Times New Roman" w:hAnsi="Times New Roman" w:cs="Times New Roman"/>
          <w:sz w:val="24"/>
          <w:szCs w:val="24"/>
        </w:rPr>
        <w:t xml:space="preserve">tudents </w:t>
      </w:r>
      <w:r w:rsidR="00AA4CB1" w:rsidRPr="003F2E2C">
        <w:rPr>
          <w:rFonts w:ascii="Times New Roman" w:hAnsi="Times New Roman" w:cs="Times New Roman"/>
          <w:sz w:val="24"/>
          <w:szCs w:val="24"/>
        </w:rPr>
        <w:t>have</w:t>
      </w:r>
      <w:r w:rsidR="0007483A" w:rsidRPr="003F2E2C">
        <w:rPr>
          <w:rFonts w:ascii="Times New Roman" w:hAnsi="Times New Roman" w:cs="Times New Roman"/>
          <w:sz w:val="24"/>
          <w:szCs w:val="24"/>
        </w:rPr>
        <w:t xml:space="preserve"> expec</w:t>
      </w:r>
      <w:r w:rsidR="00BE79E0" w:rsidRPr="003F2E2C">
        <w:rPr>
          <w:rFonts w:ascii="Times New Roman" w:hAnsi="Times New Roman" w:cs="Times New Roman"/>
          <w:sz w:val="24"/>
          <w:szCs w:val="24"/>
        </w:rPr>
        <w:t>ta</w:t>
      </w:r>
      <w:r w:rsidR="0007483A" w:rsidRPr="003F2E2C">
        <w:rPr>
          <w:rFonts w:ascii="Times New Roman" w:hAnsi="Times New Roman" w:cs="Times New Roman"/>
          <w:sz w:val="24"/>
          <w:szCs w:val="24"/>
        </w:rPr>
        <w:t xml:space="preserve">tions </w:t>
      </w:r>
      <w:r w:rsidR="00AA4CB1" w:rsidRPr="003F2E2C">
        <w:rPr>
          <w:rFonts w:ascii="Times New Roman" w:hAnsi="Times New Roman" w:cs="Times New Roman"/>
          <w:sz w:val="24"/>
          <w:szCs w:val="24"/>
        </w:rPr>
        <w:t>they turn to display</w:t>
      </w:r>
      <w:r w:rsidR="00BE79E0" w:rsidRPr="003F2E2C">
        <w:rPr>
          <w:rFonts w:ascii="Times New Roman" w:hAnsi="Times New Roman" w:cs="Times New Roman"/>
          <w:sz w:val="24"/>
          <w:szCs w:val="24"/>
        </w:rPr>
        <w:t xml:space="preserve"> quality, intensi</w:t>
      </w:r>
      <w:r w:rsidR="00AA4CB1" w:rsidRPr="003F2E2C">
        <w:rPr>
          <w:rFonts w:ascii="Times New Roman" w:hAnsi="Times New Roman" w:cs="Times New Roman"/>
          <w:sz w:val="24"/>
          <w:szCs w:val="24"/>
        </w:rPr>
        <w:t>ty</w:t>
      </w:r>
      <w:r w:rsidR="00BE79E0" w:rsidRPr="003F2E2C">
        <w:rPr>
          <w:rFonts w:ascii="Times New Roman" w:hAnsi="Times New Roman" w:cs="Times New Roman"/>
          <w:sz w:val="24"/>
          <w:szCs w:val="24"/>
        </w:rPr>
        <w:t xml:space="preserve"> and persistent behaviours which</w:t>
      </w:r>
      <w:r w:rsidR="0007483A" w:rsidRPr="003F2E2C">
        <w:rPr>
          <w:rFonts w:ascii="Times New Roman" w:hAnsi="Times New Roman" w:cs="Times New Roman"/>
          <w:sz w:val="24"/>
          <w:szCs w:val="24"/>
        </w:rPr>
        <w:t xml:space="preserve"> combine</w:t>
      </w:r>
      <w:r w:rsidR="00BE79E0" w:rsidRPr="003F2E2C">
        <w:rPr>
          <w:rFonts w:ascii="Times New Roman" w:hAnsi="Times New Roman" w:cs="Times New Roman"/>
          <w:sz w:val="24"/>
          <w:szCs w:val="24"/>
        </w:rPr>
        <w:t xml:space="preserve"> to shape their academic performance better. </w:t>
      </w:r>
      <w:r w:rsidR="00362FAF" w:rsidRPr="003F2E2C">
        <w:rPr>
          <w:rFonts w:ascii="Times New Roman" w:hAnsi="Times New Roman" w:cs="Times New Roman"/>
          <w:sz w:val="24"/>
          <w:szCs w:val="24"/>
        </w:rPr>
        <w:t>This may be seen in the light of expectancy theory</w:t>
      </w:r>
      <w:r w:rsidR="005C58A5" w:rsidRPr="003F2E2C">
        <w:rPr>
          <w:rFonts w:ascii="Times New Roman" w:hAnsi="Times New Roman" w:cs="Times New Roman"/>
          <w:sz w:val="24"/>
          <w:szCs w:val="24"/>
        </w:rPr>
        <w:t xml:space="preserve"> since future desired rewards ha</w:t>
      </w:r>
      <w:r w:rsidR="0006796E" w:rsidRPr="003F2E2C">
        <w:rPr>
          <w:rFonts w:ascii="Times New Roman" w:hAnsi="Times New Roman" w:cs="Times New Roman"/>
          <w:sz w:val="24"/>
          <w:szCs w:val="24"/>
        </w:rPr>
        <w:t>ve a</w:t>
      </w:r>
      <w:r w:rsidR="005C58A5" w:rsidRPr="003F2E2C">
        <w:rPr>
          <w:rFonts w:ascii="Times New Roman" w:hAnsi="Times New Roman" w:cs="Times New Roman"/>
          <w:sz w:val="24"/>
          <w:szCs w:val="24"/>
        </w:rPr>
        <w:t xml:space="preserve"> link with performance. </w:t>
      </w:r>
      <w:r w:rsidR="00DD3AD5" w:rsidRPr="003F2E2C">
        <w:rPr>
          <w:rFonts w:ascii="Times New Roman" w:hAnsi="Times New Roman" w:cs="Times New Roman"/>
          <w:sz w:val="24"/>
          <w:szCs w:val="24"/>
        </w:rPr>
        <w:t>T</w:t>
      </w:r>
      <w:r w:rsidR="00C30F9E" w:rsidRPr="003F2E2C">
        <w:rPr>
          <w:rFonts w:ascii="Times New Roman" w:hAnsi="Times New Roman" w:cs="Times New Roman"/>
          <w:sz w:val="24"/>
          <w:szCs w:val="24"/>
        </w:rPr>
        <w:t xml:space="preserve">he effect of </w:t>
      </w:r>
      <w:r w:rsidR="006B570C" w:rsidRPr="003F2E2C">
        <w:rPr>
          <w:rFonts w:ascii="Times New Roman" w:hAnsi="Times New Roman" w:cs="Times New Roman"/>
          <w:sz w:val="24"/>
          <w:szCs w:val="24"/>
        </w:rPr>
        <w:t xml:space="preserve">expectancy on performance can be explained by the high level of uncertainty avoidance in the national fabric of the Ghanaian society which increases the individual need for security. This creates the belief that good academic performance is more likely to be rewarded in the accounting profession which to some extent is the reality in Ghana. </w:t>
      </w:r>
      <w:r w:rsidR="007E391B" w:rsidRPr="003F2E2C">
        <w:rPr>
          <w:rFonts w:ascii="Times New Roman" w:hAnsi="Times New Roman" w:cs="Times New Roman"/>
          <w:sz w:val="24"/>
          <w:szCs w:val="24"/>
        </w:rPr>
        <w:t>Therefore</w:t>
      </w:r>
      <w:r w:rsidR="000B2B03" w:rsidRPr="003F2E2C">
        <w:rPr>
          <w:rFonts w:ascii="Times New Roman" w:hAnsi="Times New Roman" w:cs="Times New Roman"/>
          <w:sz w:val="24"/>
          <w:szCs w:val="24"/>
        </w:rPr>
        <w:t xml:space="preserve">, </w:t>
      </w:r>
      <w:r w:rsidR="00091B0A" w:rsidRPr="003F2E2C">
        <w:rPr>
          <w:rFonts w:ascii="Times New Roman" w:hAnsi="Times New Roman" w:cs="Times New Roman"/>
          <w:sz w:val="24"/>
          <w:szCs w:val="24"/>
        </w:rPr>
        <w:t xml:space="preserve">in line with the social capital view, family, communities and the </w:t>
      </w:r>
      <w:r w:rsidR="000B2B03" w:rsidRPr="003F2E2C">
        <w:rPr>
          <w:rFonts w:ascii="Times New Roman" w:hAnsi="Times New Roman" w:cs="Times New Roman"/>
          <w:sz w:val="24"/>
          <w:szCs w:val="24"/>
        </w:rPr>
        <w:t xml:space="preserve">educators’ ability to clearly communicate to students </w:t>
      </w:r>
      <w:r w:rsidR="00F7080F" w:rsidRPr="003F2E2C">
        <w:rPr>
          <w:rFonts w:ascii="Times New Roman" w:hAnsi="Times New Roman" w:cs="Times New Roman"/>
          <w:sz w:val="24"/>
          <w:szCs w:val="24"/>
        </w:rPr>
        <w:t xml:space="preserve">about </w:t>
      </w:r>
      <w:r w:rsidR="000B2B03" w:rsidRPr="003F2E2C">
        <w:rPr>
          <w:rFonts w:ascii="Times New Roman" w:hAnsi="Times New Roman" w:cs="Times New Roman"/>
          <w:sz w:val="24"/>
          <w:szCs w:val="24"/>
        </w:rPr>
        <w:t xml:space="preserve">the future opportunities that exist for pursuing the accountancy profession is more likely to yield positive </w:t>
      </w:r>
      <w:r w:rsidR="00F7080F" w:rsidRPr="003F2E2C">
        <w:rPr>
          <w:rFonts w:ascii="Times New Roman" w:hAnsi="Times New Roman" w:cs="Times New Roman"/>
          <w:sz w:val="24"/>
          <w:szCs w:val="24"/>
        </w:rPr>
        <w:t>out</w:t>
      </w:r>
      <w:r w:rsidR="0026325E" w:rsidRPr="003F2E2C">
        <w:rPr>
          <w:rFonts w:ascii="Times New Roman" w:hAnsi="Times New Roman" w:cs="Times New Roman"/>
          <w:sz w:val="24"/>
          <w:szCs w:val="24"/>
        </w:rPr>
        <w:t>comes</w:t>
      </w:r>
      <w:r w:rsidR="007E391B" w:rsidRPr="003F2E2C">
        <w:rPr>
          <w:rFonts w:ascii="Times New Roman" w:hAnsi="Times New Roman" w:cs="Times New Roman"/>
          <w:sz w:val="24"/>
          <w:szCs w:val="24"/>
        </w:rPr>
        <w:t xml:space="preserve"> since it creates the needed expectation which is a motivator in this regard</w:t>
      </w:r>
      <w:r w:rsidR="000B2B03" w:rsidRPr="003F2E2C">
        <w:rPr>
          <w:rFonts w:ascii="Times New Roman" w:hAnsi="Times New Roman" w:cs="Times New Roman"/>
          <w:sz w:val="24"/>
          <w:szCs w:val="24"/>
        </w:rPr>
        <w:t>.</w:t>
      </w:r>
      <w:r w:rsidR="00091B0A" w:rsidRPr="003F2E2C">
        <w:rPr>
          <w:rFonts w:ascii="Times New Roman" w:hAnsi="Times New Roman" w:cs="Times New Roman"/>
          <w:sz w:val="24"/>
          <w:szCs w:val="24"/>
        </w:rPr>
        <w:t xml:space="preserve"> </w:t>
      </w:r>
    </w:p>
    <w:p w14:paraId="6758BECB" w14:textId="2175FE16" w:rsidR="006A227B" w:rsidRPr="003F2E2C" w:rsidRDefault="0013597C" w:rsidP="00A06B83">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 </w:t>
      </w:r>
      <w:r w:rsidR="00A06B83" w:rsidRPr="003F2E2C">
        <w:rPr>
          <w:rFonts w:ascii="Times New Roman" w:hAnsi="Times New Roman" w:cs="Times New Roman"/>
          <w:sz w:val="24"/>
          <w:szCs w:val="24"/>
        </w:rPr>
        <w:t xml:space="preserve">Similarly, the </w:t>
      </w:r>
      <w:r w:rsidR="00C4686C" w:rsidRPr="003F2E2C">
        <w:rPr>
          <w:rFonts w:ascii="Times New Roman" w:hAnsi="Times New Roman" w:cs="Times New Roman"/>
          <w:sz w:val="24"/>
          <w:szCs w:val="24"/>
        </w:rPr>
        <w:t>result</w:t>
      </w:r>
      <w:r w:rsidR="003E6A57" w:rsidRPr="003F2E2C">
        <w:rPr>
          <w:rFonts w:ascii="Times New Roman" w:hAnsi="Times New Roman" w:cs="Times New Roman"/>
          <w:sz w:val="24"/>
          <w:szCs w:val="24"/>
        </w:rPr>
        <w:t xml:space="preserve"> that</w:t>
      </w:r>
      <w:r w:rsidR="005A50D6" w:rsidRPr="003F2E2C">
        <w:rPr>
          <w:rFonts w:ascii="Times New Roman" w:hAnsi="Times New Roman" w:cs="Times New Roman"/>
          <w:sz w:val="24"/>
          <w:szCs w:val="24"/>
        </w:rPr>
        <w:t xml:space="preserve"> indic</w:t>
      </w:r>
      <w:r w:rsidR="00A2713E" w:rsidRPr="003F2E2C">
        <w:rPr>
          <w:rFonts w:ascii="Times New Roman" w:hAnsi="Times New Roman" w:cs="Times New Roman"/>
          <w:sz w:val="24"/>
          <w:szCs w:val="24"/>
        </w:rPr>
        <w:t>ate</w:t>
      </w:r>
      <w:r w:rsidR="005A50D6" w:rsidRPr="003F2E2C">
        <w:rPr>
          <w:rFonts w:ascii="Times New Roman" w:hAnsi="Times New Roman" w:cs="Times New Roman"/>
          <w:sz w:val="24"/>
          <w:szCs w:val="24"/>
        </w:rPr>
        <w:t xml:space="preserve">s that volition has a statistically </w:t>
      </w:r>
      <w:r w:rsidR="00E95FEA" w:rsidRPr="003F2E2C">
        <w:rPr>
          <w:rFonts w:ascii="Times New Roman" w:hAnsi="Times New Roman" w:cs="Times New Roman"/>
          <w:sz w:val="24"/>
          <w:szCs w:val="24"/>
        </w:rPr>
        <w:t xml:space="preserve">positive and </w:t>
      </w:r>
      <w:r w:rsidR="005A50D6" w:rsidRPr="003F2E2C">
        <w:rPr>
          <w:rFonts w:ascii="Times New Roman" w:hAnsi="Times New Roman" w:cs="Times New Roman"/>
          <w:sz w:val="24"/>
          <w:szCs w:val="24"/>
        </w:rPr>
        <w:t>significant</w:t>
      </w:r>
      <w:r w:rsidR="00E95FEA" w:rsidRPr="003F2E2C">
        <w:rPr>
          <w:rFonts w:ascii="Times New Roman" w:hAnsi="Times New Roman" w:cs="Times New Roman"/>
          <w:sz w:val="24"/>
          <w:szCs w:val="24"/>
        </w:rPr>
        <w:t xml:space="preserve"> </w:t>
      </w:r>
      <w:r w:rsidR="005A50D6" w:rsidRPr="003F2E2C">
        <w:rPr>
          <w:rFonts w:ascii="Times New Roman" w:hAnsi="Times New Roman" w:cs="Times New Roman"/>
          <w:sz w:val="24"/>
          <w:szCs w:val="24"/>
        </w:rPr>
        <w:t>association with academic performance</w:t>
      </w:r>
      <w:r w:rsidR="00C4686C" w:rsidRPr="003F2E2C">
        <w:rPr>
          <w:rFonts w:ascii="Times New Roman" w:hAnsi="Times New Roman" w:cs="Times New Roman"/>
          <w:sz w:val="24"/>
          <w:szCs w:val="24"/>
        </w:rPr>
        <w:t xml:space="preserve"> </w:t>
      </w:r>
      <w:r w:rsidR="00B121E5" w:rsidRPr="003F2E2C">
        <w:rPr>
          <w:rFonts w:ascii="Times New Roman" w:hAnsi="Times New Roman" w:cs="Times New Roman"/>
          <w:sz w:val="24"/>
          <w:szCs w:val="24"/>
        </w:rPr>
        <w:t>suggest</w:t>
      </w:r>
      <w:r w:rsidR="00C4686C" w:rsidRPr="003F2E2C">
        <w:rPr>
          <w:rFonts w:ascii="Times New Roman" w:hAnsi="Times New Roman" w:cs="Times New Roman"/>
          <w:sz w:val="24"/>
          <w:szCs w:val="24"/>
        </w:rPr>
        <w:t>s</w:t>
      </w:r>
      <w:r w:rsidR="00B121E5" w:rsidRPr="003F2E2C">
        <w:rPr>
          <w:rFonts w:ascii="Times New Roman" w:hAnsi="Times New Roman" w:cs="Times New Roman"/>
          <w:sz w:val="24"/>
          <w:szCs w:val="24"/>
        </w:rPr>
        <w:t xml:space="preserve"> that where the choice of accounting programme was not imposed on a student by immediate parties but</w:t>
      </w:r>
      <w:r w:rsidR="00A2713E" w:rsidRPr="003F2E2C">
        <w:rPr>
          <w:rFonts w:ascii="Times New Roman" w:hAnsi="Times New Roman" w:cs="Times New Roman"/>
          <w:sz w:val="24"/>
          <w:szCs w:val="24"/>
        </w:rPr>
        <w:t xml:space="preserve"> is an</w:t>
      </w:r>
      <w:r w:rsidR="00B121E5" w:rsidRPr="003F2E2C">
        <w:rPr>
          <w:rFonts w:ascii="Times New Roman" w:hAnsi="Times New Roman" w:cs="Times New Roman"/>
          <w:sz w:val="24"/>
          <w:szCs w:val="24"/>
        </w:rPr>
        <w:t xml:space="preserve"> </w:t>
      </w:r>
      <w:r w:rsidR="00B121E5" w:rsidRPr="003F2E2C">
        <w:rPr>
          <w:rFonts w:ascii="Times New Roman" w:hAnsi="Times New Roman" w:cs="Times New Roman"/>
          <w:noProof/>
          <w:sz w:val="24"/>
          <w:szCs w:val="24"/>
        </w:rPr>
        <w:t>a</w:t>
      </w:r>
      <w:r w:rsidR="004D3D73" w:rsidRPr="003F2E2C">
        <w:rPr>
          <w:rFonts w:ascii="Times New Roman" w:hAnsi="Times New Roman" w:cs="Times New Roman"/>
          <w:noProof/>
          <w:sz w:val="24"/>
          <w:szCs w:val="24"/>
        </w:rPr>
        <w:t>c</w:t>
      </w:r>
      <w:r w:rsidR="00B121E5" w:rsidRPr="003F2E2C">
        <w:rPr>
          <w:rFonts w:ascii="Times New Roman" w:hAnsi="Times New Roman" w:cs="Times New Roman"/>
          <w:noProof/>
          <w:sz w:val="24"/>
          <w:szCs w:val="24"/>
        </w:rPr>
        <w:t>t</w:t>
      </w:r>
      <w:r w:rsidR="00B121E5" w:rsidRPr="003F2E2C">
        <w:rPr>
          <w:rFonts w:ascii="Times New Roman" w:hAnsi="Times New Roman" w:cs="Times New Roman"/>
          <w:sz w:val="24"/>
          <w:szCs w:val="24"/>
        </w:rPr>
        <w:t xml:space="preserve"> of </w:t>
      </w:r>
      <w:r w:rsidR="00FE165A" w:rsidRPr="003F2E2C">
        <w:rPr>
          <w:rFonts w:ascii="Times New Roman" w:hAnsi="Times New Roman" w:cs="Times New Roman"/>
          <w:sz w:val="24"/>
          <w:szCs w:val="24"/>
        </w:rPr>
        <w:t>choice</w:t>
      </w:r>
      <w:r w:rsidR="00B121E5" w:rsidRPr="003F2E2C">
        <w:rPr>
          <w:rFonts w:ascii="Times New Roman" w:hAnsi="Times New Roman" w:cs="Times New Roman"/>
          <w:sz w:val="24"/>
          <w:szCs w:val="24"/>
        </w:rPr>
        <w:t xml:space="preserve"> of the student, it is likely to have a positive imp</w:t>
      </w:r>
      <w:r w:rsidR="00FE165A" w:rsidRPr="003F2E2C">
        <w:rPr>
          <w:rFonts w:ascii="Times New Roman" w:hAnsi="Times New Roman" w:cs="Times New Roman"/>
          <w:sz w:val="24"/>
          <w:szCs w:val="24"/>
        </w:rPr>
        <w:t>act on</w:t>
      </w:r>
      <w:r w:rsidR="00857042" w:rsidRPr="003F2E2C">
        <w:rPr>
          <w:rFonts w:ascii="Times New Roman" w:hAnsi="Times New Roman" w:cs="Times New Roman"/>
          <w:sz w:val="24"/>
          <w:szCs w:val="24"/>
        </w:rPr>
        <w:t xml:space="preserve"> academic performance.</w:t>
      </w:r>
      <w:r w:rsidR="00E23E76" w:rsidRPr="003F2E2C">
        <w:rPr>
          <w:rFonts w:ascii="Times New Roman" w:hAnsi="Times New Roman" w:cs="Times New Roman"/>
          <w:sz w:val="24"/>
          <w:szCs w:val="24"/>
        </w:rPr>
        <w:t xml:space="preserve"> The finding supports our assertion that students’ volition for studying accounting is a crucial determinant of students’ academic performance. This is not surprising given the fact that </w:t>
      </w:r>
      <w:r w:rsidR="00E23E76" w:rsidRPr="003F2E2C">
        <w:rPr>
          <w:rFonts w:ascii="Times New Roman" w:hAnsi="Times New Roman" w:cs="Times New Roman"/>
          <w:noProof/>
          <w:sz w:val="24"/>
          <w:szCs w:val="24"/>
        </w:rPr>
        <w:t>once</w:t>
      </w:r>
      <w:r w:rsidR="00E23E76" w:rsidRPr="003F2E2C">
        <w:rPr>
          <w:rFonts w:ascii="Times New Roman" w:hAnsi="Times New Roman" w:cs="Times New Roman"/>
          <w:sz w:val="24"/>
          <w:szCs w:val="24"/>
        </w:rPr>
        <w:t xml:space="preserve"> an individual is allowed to </w:t>
      </w:r>
      <w:r w:rsidR="00736EA9" w:rsidRPr="003F2E2C">
        <w:rPr>
          <w:rFonts w:ascii="Times New Roman" w:hAnsi="Times New Roman" w:cs="Times New Roman"/>
          <w:sz w:val="24"/>
          <w:szCs w:val="24"/>
        </w:rPr>
        <w:t>own a</w:t>
      </w:r>
      <w:r w:rsidR="00E23E76" w:rsidRPr="003F2E2C">
        <w:rPr>
          <w:rFonts w:ascii="Times New Roman" w:hAnsi="Times New Roman" w:cs="Times New Roman"/>
          <w:sz w:val="24"/>
          <w:szCs w:val="24"/>
        </w:rPr>
        <w:t xml:space="preserve"> decision(s) which has implication for their future, their input in the decision serves as their “investment” which they may wish to protect at all cost to avoid “loss” in this case peer/social humiliation. </w:t>
      </w:r>
      <w:r w:rsidR="003C34AF" w:rsidRPr="003F2E2C">
        <w:rPr>
          <w:rFonts w:ascii="Times New Roman" w:hAnsi="Times New Roman" w:cs="Times New Roman"/>
          <w:sz w:val="24"/>
          <w:szCs w:val="24"/>
        </w:rPr>
        <w:t xml:space="preserve">Moreover, such students are motivated to perform better in a cultural certain like Ghana where “children students” making their own decisions are generally seen as non-conformers and failure is an expected outcome. </w:t>
      </w:r>
      <w:r w:rsidR="00A93026" w:rsidRPr="003F2E2C">
        <w:rPr>
          <w:rFonts w:ascii="Times New Roman" w:hAnsi="Times New Roman" w:cs="Times New Roman"/>
          <w:sz w:val="24"/>
          <w:szCs w:val="24"/>
        </w:rPr>
        <w:t xml:space="preserve">Such students are more likely to </w:t>
      </w:r>
      <w:r w:rsidR="00DA5262" w:rsidRPr="003F2E2C">
        <w:rPr>
          <w:rFonts w:ascii="Times New Roman" w:hAnsi="Times New Roman" w:cs="Times New Roman"/>
          <w:sz w:val="24"/>
          <w:szCs w:val="24"/>
        </w:rPr>
        <w:t xml:space="preserve">display academic behaviours associated with high motivation </w:t>
      </w:r>
      <w:r w:rsidR="00AA4CB1" w:rsidRPr="003F2E2C">
        <w:rPr>
          <w:rFonts w:ascii="Times New Roman" w:hAnsi="Times New Roman" w:cs="Times New Roman"/>
          <w:sz w:val="24"/>
          <w:szCs w:val="24"/>
        </w:rPr>
        <w:t xml:space="preserve">such as </w:t>
      </w:r>
      <w:r w:rsidR="00A45167" w:rsidRPr="003F2E2C">
        <w:rPr>
          <w:rFonts w:ascii="Times New Roman" w:hAnsi="Times New Roman" w:cs="Times New Roman"/>
          <w:sz w:val="24"/>
          <w:szCs w:val="24"/>
        </w:rPr>
        <w:t xml:space="preserve">spending more time on </w:t>
      </w:r>
      <w:r w:rsidR="00B07F0F" w:rsidRPr="003F2E2C">
        <w:rPr>
          <w:rFonts w:ascii="Times New Roman" w:hAnsi="Times New Roman" w:cs="Times New Roman"/>
          <w:sz w:val="24"/>
          <w:szCs w:val="24"/>
        </w:rPr>
        <w:t xml:space="preserve">academic activities </w:t>
      </w:r>
      <w:r w:rsidR="00DA5262" w:rsidRPr="003F2E2C">
        <w:rPr>
          <w:rFonts w:ascii="Times New Roman" w:hAnsi="Times New Roman" w:cs="Times New Roman"/>
          <w:sz w:val="24"/>
          <w:szCs w:val="24"/>
        </w:rPr>
        <w:t>which have</w:t>
      </w:r>
      <w:r w:rsidR="004D3D73" w:rsidRPr="003F2E2C">
        <w:rPr>
          <w:rFonts w:ascii="Times New Roman" w:hAnsi="Times New Roman" w:cs="Times New Roman"/>
          <w:sz w:val="24"/>
          <w:szCs w:val="24"/>
        </w:rPr>
        <w:t xml:space="preserve"> a</w:t>
      </w:r>
      <w:r w:rsidR="00DA5262" w:rsidRPr="003F2E2C">
        <w:rPr>
          <w:rFonts w:ascii="Times New Roman" w:hAnsi="Times New Roman" w:cs="Times New Roman"/>
          <w:sz w:val="24"/>
          <w:szCs w:val="24"/>
        </w:rPr>
        <w:t xml:space="preserve"> </w:t>
      </w:r>
      <w:r w:rsidR="00DA5262" w:rsidRPr="003F2E2C">
        <w:rPr>
          <w:rFonts w:ascii="Times New Roman" w:hAnsi="Times New Roman" w:cs="Times New Roman"/>
          <w:noProof/>
          <w:sz w:val="24"/>
          <w:szCs w:val="24"/>
        </w:rPr>
        <w:t>positive</w:t>
      </w:r>
      <w:r w:rsidR="00DA5262" w:rsidRPr="003F2E2C">
        <w:rPr>
          <w:rFonts w:ascii="Times New Roman" w:hAnsi="Times New Roman" w:cs="Times New Roman"/>
          <w:sz w:val="24"/>
          <w:szCs w:val="24"/>
        </w:rPr>
        <w:t xml:space="preserve"> effect on academic performance</w:t>
      </w:r>
      <w:r w:rsidR="003C34AF" w:rsidRPr="003F2E2C">
        <w:rPr>
          <w:rFonts w:ascii="Times New Roman" w:hAnsi="Times New Roman" w:cs="Times New Roman"/>
          <w:sz w:val="24"/>
          <w:szCs w:val="24"/>
        </w:rPr>
        <w:t xml:space="preserve"> in order to prove their point</w:t>
      </w:r>
      <w:r w:rsidR="00DA5262" w:rsidRPr="003F2E2C">
        <w:rPr>
          <w:rFonts w:ascii="Times New Roman" w:hAnsi="Times New Roman" w:cs="Times New Roman"/>
          <w:sz w:val="24"/>
          <w:szCs w:val="24"/>
        </w:rPr>
        <w:t>.</w:t>
      </w:r>
      <w:r w:rsidR="00280976" w:rsidRPr="003F2E2C">
        <w:rPr>
          <w:rFonts w:ascii="Times New Roman" w:hAnsi="Times New Roman" w:cs="Times New Roman"/>
          <w:sz w:val="24"/>
          <w:szCs w:val="24"/>
        </w:rPr>
        <w:t xml:space="preserve"> </w:t>
      </w:r>
      <w:r w:rsidR="005C58A5" w:rsidRPr="003F2E2C">
        <w:rPr>
          <w:rFonts w:ascii="Times New Roman" w:hAnsi="Times New Roman" w:cs="Times New Roman"/>
          <w:sz w:val="24"/>
          <w:szCs w:val="24"/>
        </w:rPr>
        <w:t>This result</w:t>
      </w:r>
      <w:r w:rsidR="008243F3" w:rsidRPr="003F2E2C">
        <w:rPr>
          <w:rFonts w:ascii="Times New Roman" w:hAnsi="Times New Roman" w:cs="Times New Roman"/>
          <w:sz w:val="24"/>
          <w:szCs w:val="24"/>
        </w:rPr>
        <w:t xml:space="preserve"> is an indication that </w:t>
      </w:r>
      <w:r w:rsidR="003D123B" w:rsidRPr="003F2E2C">
        <w:rPr>
          <w:rFonts w:ascii="Times New Roman" w:hAnsi="Times New Roman" w:cs="Times New Roman"/>
          <w:sz w:val="24"/>
          <w:szCs w:val="24"/>
        </w:rPr>
        <w:t xml:space="preserve">a </w:t>
      </w:r>
      <w:r w:rsidR="008243F3" w:rsidRPr="003F2E2C">
        <w:rPr>
          <w:rFonts w:ascii="Times New Roman" w:hAnsi="Times New Roman" w:cs="Times New Roman"/>
          <w:sz w:val="24"/>
          <w:szCs w:val="24"/>
        </w:rPr>
        <w:t>need for freedom in a collectivist society like Ghana</w:t>
      </w:r>
      <w:r w:rsidR="0096294B" w:rsidRPr="003F2E2C">
        <w:rPr>
          <w:rFonts w:ascii="Times New Roman" w:hAnsi="Times New Roman" w:cs="Times New Roman"/>
          <w:sz w:val="24"/>
          <w:szCs w:val="24"/>
        </w:rPr>
        <w:t xml:space="preserve"> when it comes to individual choices</w:t>
      </w:r>
      <w:r w:rsidR="008243F3" w:rsidRPr="003F2E2C">
        <w:rPr>
          <w:rFonts w:ascii="Times New Roman" w:hAnsi="Times New Roman" w:cs="Times New Roman"/>
          <w:sz w:val="24"/>
          <w:szCs w:val="24"/>
        </w:rPr>
        <w:t xml:space="preserve"> is important</w:t>
      </w:r>
      <w:r w:rsidR="003D123B" w:rsidRPr="003F2E2C">
        <w:rPr>
          <w:rFonts w:ascii="Times New Roman" w:hAnsi="Times New Roman" w:cs="Times New Roman"/>
          <w:sz w:val="24"/>
          <w:szCs w:val="24"/>
        </w:rPr>
        <w:t xml:space="preserve">. The </w:t>
      </w:r>
      <w:r w:rsidR="008243F3" w:rsidRPr="003F2E2C">
        <w:rPr>
          <w:rFonts w:ascii="Times New Roman" w:hAnsi="Times New Roman" w:cs="Times New Roman"/>
          <w:sz w:val="24"/>
          <w:szCs w:val="24"/>
        </w:rPr>
        <w:t>hierarchica</w:t>
      </w:r>
      <w:r w:rsidR="003D123B" w:rsidRPr="003F2E2C">
        <w:rPr>
          <w:rFonts w:ascii="Times New Roman" w:hAnsi="Times New Roman" w:cs="Times New Roman"/>
          <w:sz w:val="24"/>
          <w:szCs w:val="24"/>
        </w:rPr>
        <w:t>l order should not mostly be</w:t>
      </w:r>
      <w:r w:rsidR="008243F3" w:rsidRPr="003F2E2C">
        <w:rPr>
          <w:rFonts w:ascii="Times New Roman" w:hAnsi="Times New Roman" w:cs="Times New Roman"/>
          <w:sz w:val="24"/>
          <w:szCs w:val="24"/>
        </w:rPr>
        <w:t xml:space="preserve"> used to make individual</w:t>
      </w:r>
      <w:r w:rsidR="00DB13A7" w:rsidRPr="003F2E2C">
        <w:rPr>
          <w:rFonts w:ascii="Times New Roman" w:hAnsi="Times New Roman" w:cs="Times New Roman"/>
          <w:sz w:val="24"/>
          <w:szCs w:val="24"/>
        </w:rPr>
        <w:t xml:space="preserve">s </w:t>
      </w:r>
      <w:r w:rsidR="00C4686C" w:rsidRPr="003F2E2C">
        <w:rPr>
          <w:rFonts w:ascii="Times New Roman" w:hAnsi="Times New Roman" w:cs="Times New Roman"/>
          <w:sz w:val="24"/>
          <w:szCs w:val="24"/>
        </w:rPr>
        <w:t xml:space="preserve">sacrifice </w:t>
      </w:r>
      <w:r w:rsidR="00DB13A7" w:rsidRPr="003F2E2C">
        <w:rPr>
          <w:rFonts w:ascii="Times New Roman" w:hAnsi="Times New Roman" w:cs="Times New Roman"/>
          <w:sz w:val="24"/>
          <w:szCs w:val="24"/>
        </w:rPr>
        <w:t>their true choice.</w:t>
      </w:r>
      <w:r w:rsidR="008B4B15" w:rsidRPr="003F2E2C">
        <w:rPr>
          <w:rFonts w:ascii="Times New Roman" w:hAnsi="Times New Roman" w:cs="Times New Roman"/>
          <w:sz w:val="24"/>
          <w:szCs w:val="24"/>
        </w:rPr>
        <w:t xml:space="preserve"> The result further indicates that the respect and preferential treatment for the elderl</w:t>
      </w:r>
      <w:r w:rsidR="00191E22" w:rsidRPr="003F2E2C">
        <w:rPr>
          <w:rFonts w:ascii="Times New Roman" w:hAnsi="Times New Roman" w:cs="Times New Roman"/>
          <w:sz w:val="24"/>
          <w:szCs w:val="24"/>
        </w:rPr>
        <w:t>y in Ghanaian society should be used to provide relevant information to individuals but they should be allowed to make their own choice from available alternatives.</w:t>
      </w:r>
    </w:p>
    <w:p w14:paraId="0273323B" w14:textId="4E30D75D" w:rsidR="00371B4A" w:rsidRPr="003F2E2C" w:rsidRDefault="0013597C" w:rsidP="00FF1AB1">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The results </w:t>
      </w:r>
      <w:r w:rsidR="00A06B83" w:rsidRPr="003F2E2C">
        <w:rPr>
          <w:rFonts w:ascii="Times New Roman" w:hAnsi="Times New Roman" w:cs="Times New Roman"/>
          <w:sz w:val="24"/>
          <w:szCs w:val="24"/>
        </w:rPr>
        <w:t>which</w:t>
      </w:r>
      <w:r w:rsidR="00857042" w:rsidRPr="003F2E2C">
        <w:rPr>
          <w:rFonts w:ascii="Times New Roman" w:hAnsi="Times New Roman" w:cs="Times New Roman"/>
          <w:sz w:val="24"/>
          <w:szCs w:val="24"/>
        </w:rPr>
        <w:t xml:space="preserve"> </w:t>
      </w:r>
      <w:r w:rsidR="00B5056B" w:rsidRPr="003F2E2C">
        <w:rPr>
          <w:rFonts w:ascii="Times New Roman" w:hAnsi="Times New Roman" w:cs="Times New Roman"/>
          <w:sz w:val="24"/>
          <w:szCs w:val="24"/>
        </w:rPr>
        <w:t xml:space="preserve">also </w:t>
      </w:r>
      <w:r w:rsidR="00857042" w:rsidRPr="003F2E2C">
        <w:rPr>
          <w:rFonts w:ascii="Times New Roman" w:hAnsi="Times New Roman" w:cs="Times New Roman"/>
          <w:sz w:val="24"/>
          <w:szCs w:val="24"/>
        </w:rPr>
        <w:t>show that accounting students</w:t>
      </w:r>
      <w:r w:rsidR="007F7D9E" w:rsidRPr="003F2E2C">
        <w:rPr>
          <w:rFonts w:ascii="Times New Roman" w:hAnsi="Times New Roman" w:cs="Times New Roman"/>
          <w:sz w:val="24"/>
          <w:szCs w:val="24"/>
        </w:rPr>
        <w:t>’ level of academic interest</w:t>
      </w:r>
      <w:r w:rsidR="00857042" w:rsidRPr="003F2E2C">
        <w:rPr>
          <w:rFonts w:ascii="Times New Roman" w:hAnsi="Times New Roman" w:cs="Times New Roman"/>
          <w:sz w:val="24"/>
          <w:szCs w:val="24"/>
        </w:rPr>
        <w:t xml:space="preserve"> is significant and positively associated with academic performance</w:t>
      </w:r>
      <w:r w:rsidR="006C3AE7" w:rsidRPr="003F2E2C">
        <w:rPr>
          <w:rFonts w:ascii="Times New Roman" w:hAnsi="Times New Roman" w:cs="Times New Roman"/>
          <w:sz w:val="24"/>
          <w:szCs w:val="24"/>
        </w:rPr>
        <w:t xml:space="preserve"> is consistent with the</w:t>
      </w:r>
      <w:r w:rsidR="00612116" w:rsidRPr="003F2E2C">
        <w:rPr>
          <w:rFonts w:ascii="Times New Roman" w:hAnsi="Times New Roman" w:cs="Times New Roman"/>
          <w:sz w:val="24"/>
          <w:szCs w:val="24"/>
        </w:rPr>
        <w:t xml:space="preserve"> finding</w:t>
      </w:r>
      <w:r w:rsidR="006C3AE7" w:rsidRPr="003F2E2C">
        <w:rPr>
          <w:rFonts w:ascii="Times New Roman" w:hAnsi="Times New Roman" w:cs="Times New Roman"/>
          <w:sz w:val="24"/>
          <w:szCs w:val="24"/>
        </w:rPr>
        <w:t>s</w:t>
      </w:r>
      <w:r w:rsidR="00626A56" w:rsidRPr="003F2E2C">
        <w:rPr>
          <w:rFonts w:ascii="Times New Roman" w:hAnsi="Times New Roman" w:cs="Times New Roman"/>
          <w:sz w:val="24"/>
          <w:szCs w:val="24"/>
        </w:rPr>
        <w:t xml:space="preserve"> of</w:t>
      </w:r>
      <w:r w:rsidR="00D02435" w:rsidRPr="003F2E2C">
        <w:rPr>
          <w:rFonts w:ascii="Times New Roman" w:hAnsi="Times New Roman" w:cs="Times New Roman"/>
          <w:sz w:val="24"/>
          <w:szCs w:val="24"/>
        </w:rPr>
        <w:t xml:space="preserve"> previous research (Gracia &amp;</w:t>
      </w:r>
      <w:r w:rsidR="006A227B" w:rsidRPr="003F2E2C">
        <w:rPr>
          <w:rFonts w:ascii="Times New Roman" w:hAnsi="Times New Roman" w:cs="Times New Roman"/>
          <w:sz w:val="24"/>
          <w:szCs w:val="24"/>
        </w:rPr>
        <w:t xml:space="preserve"> </w:t>
      </w:r>
      <w:r w:rsidR="00626A56" w:rsidRPr="003F2E2C">
        <w:rPr>
          <w:rFonts w:ascii="Times New Roman" w:hAnsi="Times New Roman" w:cs="Times New Roman"/>
          <w:sz w:val="24"/>
          <w:szCs w:val="24"/>
        </w:rPr>
        <w:t>Jenkins, 2003;</w:t>
      </w:r>
      <w:r w:rsidR="00D02435" w:rsidRPr="003F2E2C">
        <w:rPr>
          <w:rFonts w:ascii="Times New Roman" w:hAnsi="Times New Roman" w:cs="Times New Roman"/>
          <w:sz w:val="24"/>
          <w:szCs w:val="24"/>
        </w:rPr>
        <w:t xml:space="preserve"> Fallan &amp;</w:t>
      </w:r>
      <w:r w:rsidR="00612116" w:rsidRPr="003F2E2C">
        <w:rPr>
          <w:rFonts w:ascii="Times New Roman" w:hAnsi="Times New Roman" w:cs="Times New Roman"/>
          <w:sz w:val="24"/>
          <w:szCs w:val="24"/>
        </w:rPr>
        <w:t xml:space="preserve"> </w:t>
      </w:r>
      <w:r w:rsidR="003E5B87" w:rsidRPr="003F2E2C">
        <w:rPr>
          <w:rFonts w:ascii="Times New Roman" w:hAnsi="Times New Roman" w:cs="Times New Roman"/>
          <w:sz w:val="24"/>
          <w:szCs w:val="24"/>
        </w:rPr>
        <w:t>Optad</w:t>
      </w:r>
      <w:r w:rsidR="00612116" w:rsidRPr="003F2E2C">
        <w:rPr>
          <w:rFonts w:ascii="Times New Roman" w:hAnsi="Times New Roman" w:cs="Times New Roman"/>
          <w:sz w:val="24"/>
          <w:szCs w:val="24"/>
        </w:rPr>
        <w:t>, 2014).</w:t>
      </w:r>
      <w:r w:rsidR="00DA5262" w:rsidRPr="003F2E2C">
        <w:rPr>
          <w:rFonts w:ascii="Times New Roman" w:hAnsi="Times New Roman" w:cs="Times New Roman"/>
          <w:sz w:val="24"/>
          <w:szCs w:val="24"/>
        </w:rPr>
        <w:t xml:space="preserve"> </w:t>
      </w:r>
      <w:r w:rsidR="00C70584" w:rsidRPr="003F2E2C">
        <w:rPr>
          <w:rFonts w:ascii="Times New Roman" w:hAnsi="Times New Roman" w:cs="Times New Roman"/>
          <w:sz w:val="24"/>
          <w:szCs w:val="24"/>
        </w:rPr>
        <w:t xml:space="preserve">A possible reason could be that students with high level of interest in the subject </w:t>
      </w:r>
      <w:r w:rsidR="00AA4CB1" w:rsidRPr="003F2E2C">
        <w:rPr>
          <w:rFonts w:ascii="Times New Roman" w:hAnsi="Times New Roman" w:cs="Times New Roman"/>
          <w:sz w:val="24"/>
          <w:szCs w:val="24"/>
        </w:rPr>
        <w:t>resort to self-regulated learning and</w:t>
      </w:r>
      <w:r w:rsidR="00FF1AB1" w:rsidRPr="003F2E2C">
        <w:rPr>
          <w:rFonts w:ascii="Times New Roman" w:hAnsi="Times New Roman" w:cs="Times New Roman"/>
          <w:sz w:val="24"/>
          <w:szCs w:val="24"/>
        </w:rPr>
        <w:t xml:space="preserve"> are</w:t>
      </w:r>
      <w:r w:rsidR="00AA4CB1" w:rsidRPr="003F2E2C">
        <w:rPr>
          <w:rFonts w:ascii="Times New Roman" w:hAnsi="Times New Roman" w:cs="Times New Roman"/>
          <w:sz w:val="24"/>
          <w:szCs w:val="24"/>
        </w:rPr>
        <w:t xml:space="preserve"> more likely to </w:t>
      </w:r>
      <w:r w:rsidR="00087DC8" w:rsidRPr="003F2E2C">
        <w:rPr>
          <w:rFonts w:ascii="Times New Roman" w:hAnsi="Times New Roman" w:cs="Times New Roman"/>
          <w:sz w:val="24"/>
          <w:szCs w:val="24"/>
        </w:rPr>
        <w:t xml:space="preserve">read advanced course materials which improve their academic knowledge level </w:t>
      </w:r>
      <w:r w:rsidR="00EC0B13" w:rsidRPr="003F2E2C">
        <w:rPr>
          <w:rFonts w:ascii="Times New Roman" w:hAnsi="Times New Roman" w:cs="Times New Roman"/>
          <w:sz w:val="24"/>
          <w:szCs w:val="24"/>
        </w:rPr>
        <w:t>as a result of</w:t>
      </w:r>
      <w:r w:rsidR="00087DC8" w:rsidRPr="003F2E2C">
        <w:rPr>
          <w:rFonts w:ascii="Times New Roman" w:hAnsi="Times New Roman" w:cs="Times New Roman"/>
          <w:sz w:val="24"/>
          <w:szCs w:val="24"/>
        </w:rPr>
        <w:t xml:space="preserve"> deeper</w:t>
      </w:r>
      <w:r w:rsidR="00EC0B13" w:rsidRPr="003F2E2C">
        <w:rPr>
          <w:rFonts w:ascii="Times New Roman" w:hAnsi="Times New Roman" w:cs="Times New Roman"/>
          <w:sz w:val="24"/>
          <w:szCs w:val="24"/>
        </w:rPr>
        <w:t xml:space="preserve"> understanding obtained</w:t>
      </w:r>
      <w:r w:rsidR="00087DC8" w:rsidRPr="003F2E2C">
        <w:rPr>
          <w:rFonts w:ascii="Times New Roman" w:hAnsi="Times New Roman" w:cs="Times New Roman"/>
          <w:sz w:val="24"/>
          <w:szCs w:val="24"/>
        </w:rPr>
        <w:t>.</w:t>
      </w:r>
      <w:r w:rsidR="00C70584" w:rsidRPr="003F2E2C">
        <w:rPr>
          <w:rFonts w:ascii="Times New Roman" w:hAnsi="Times New Roman" w:cs="Times New Roman"/>
          <w:sz w:val="24"/>
          <w:szCs w:val="24"/>
        </w:rPr>
        <w:t xml:space="preserve"> </w:t>
      </w:r>
      <w:r w:rsidR="00FF1AB1" w:rsidRPr="003F2E2C">
        <w:rPr>
          <w:rFonts w:ascii="Times New Roman" w:hAnsi="Times New Roman" w:cs="Times New Roman"/>
          <w:sz w:val="24"/>
          <w:szCs w:val="24"/>
        </w:rPr>
        <w:t xml:space="preserve">Certainly, </w:t>
      </w:r>
      <w:r w:rsidR="00076F87" w:rsidRPr="003F2E2C">
        <w:rPr>
          <w:rFonts w:ascii="Times New Roman" w:hAnsi="Times New Roman" w:cs="Times New Roman"/>
          <w:sz w:val="24"/>
          <w:szCs w:val="24"/>
        </w:rPr>
        <w:t>students opting to read accounting</w:t>
      </w:r>
      <w:r w:rsidR="00EB2196" w:rsidRPr="003F2E2C">
        <w:rPr>
          <w:rFonts w:ascii="Times New Roman" w:hAnsi="Times New Roman" w:cs="Times New Roman"/>
          <w:sz w:val="24"/>
          <w:szCs w:val="24"/>
        </w:rPr>
        <w:t xml:space="preserve"> and</w:t>
      </w:r>
      <w:r w:rsidR="00076F87" w:rsidRPr="003F2E2C">
        <w:rPr>
          <w:rFonts w:ascii="Times New Roman" w:hAnsi="Times New Roman" w:cs="Times New Roman"/>
          <w:sz w:val="24"/>
          <w:szCs w:val="24"/>
        </w:rPr>
        <w:t xml:space="preserve"> find</w:t>
      </w:r>
      <w:r w:rsidR="00EB2196" w:rsidRPr="003F2E2C">
        <w:rPr>
          <w:rFonts w:ascii="Times New Roman" w:hAnsi="Times New Roman" w:cs="Times New Roman"/>
          <w:sz w:val="24"/>
          <w:szCs w:val="24"/>
        </w:rPr>
        <w:t>ing it enjoyable may develop</w:t>
      </w:r>
      <w:r w:rsidR="00076F87" w:rsidRPr="003F2E2C">
        <w:rPr>
          <w:rFonts w:ascii="Times New Roman" w:hAnsi="Times New Roman" w:cs="Times New Roman"/>
          <w:sz w:val="24"/>
          <w:szCs w:val="24"/>
        </w:rPr>
        <w:t xml:space="preserve"> their interest and effor</w:t>
      </w:r>
      <w:r w:rsidR="00EB2196" w:rsidRPr="003F2E2C">
        <w:rPr>
          <w:rFonts w:ascii="Times New Roman" w:hAnsi="Times New Roman" w:cs="Times New Roman"/>
          <w:sz w:val="24"/>
          <w:szCs w:val="24"/>
        </w:rPr>
        <w:t>t</w:t>
      </w:r>
      <w:r w:rsidR="00076F87" w:rsidRPr="003F2E2C">
        <w:rPr>
          <w:rFonts w:ascii="Times New Roman" w:hAnsi="Times New Roman" w:cs="Times New Roman"/>
          <w:sz w:val="24"/>
          <w:szCs w:val="24"/>
        </w:rPr>
        <w:t xml:space="preserve"> in the subject</w:t>
      </w:r>
      <w:r w:rsidR="00E57C40" w:rsidRPr="003F2E2C">
        <w:rPr>
          <w:rFonts w:ascii="Times New Roman" w:hAnsi="Times New Roman" w:cs="Times New Roman"/>
          <w:sz w:val="24"/>
          <w:szCs w:val="24"/>
        </w:rPr>
        <w:t>. This</w:t>
      </w:r>
      <w:r w:rsidR="00076F87" w:rsidRPr="003F2E2C">
        <w:rPr>
          <w:rFonts w:ascii="Times New Roman" w:hAnsi="Times New Roman" w:cs="Times New Roman"/>
          <w:sz w:val="24"/>
          <w:szCs w:val="24"/>
        </w:rPr>
        <w:t xml:space="preserve"> leads them to seek better understanding and intellectual </w:t>
      </w:r>
      <w:r w:rsidR="00530A8D" w:rsidRPr="003F2E2C">
        <w:rPr>
          <w:rFonts w:ascii="Times New Roman" w:hAnsi="Times New Roman" w:cs="Times New Roman"/>
          <w:sz w:val="24"/>
          <w:szCs w:val="24"/>
        </w:rPr>
        <w:t>development</w:t>
      </w:r>
      <w:r w:rsidR="00C965CB" w:rsidRPr="003F2E2C">
        <w:rPr>
          <w:rFonts w:ascii="Times New Roman" w:hAnsi="Times New Roman" w:cs="Times New Roman"/>
          <w:sz w:val="24"/>
          <w:szCs w:val="24"/>
        </w:rPr>
        <w:t xml:space="preserve"> </w:t>
      </w:r>
      <w:r w:rsidR="00530A8D" w:rsidRPr="003F2E2C">
        <w:rPr>
          <w:rFonts w:ascii="Times New Roman" w:hAnsi="Times New Roman" w:cs="Times New Roman"/>
          <w:sz w:val="24"/>
          <w:szCs w:val="24"/>
        </w:rPr>
        <w:t>in</w:t>
      </w:r>
      <w:r w:rsidR="00076F87" w:rsidRPr="003F2E2C">
        <w:rPr>
          <w:rFonts w:ascii="Times New Roman" w:hAnsi="Times New Roman" w:cs="Times New Roman"/>
          <w:sz w:val="24"/>
          <w:szCs w:val="24"/>
        </w:rPr>
        <w:t xml:space="preserve"> the chosen programme</w:t>
      </w:r>
      <w:r w:rsidR="00E57C40" w:rsidRPr="003F2E2C">
        <w:rPr>
          <w:rFonts w:ascii="Times New Roman" w:hAnsi="Times New Roman" w:cs="Times New Roman"/>
          <w:sz w:val="24"/>
          <w:szCs w:val="24"/>
        </w:rPr>
        <w:t xml:space="preserve">. This </w:t>
      </w:r>
      <w:r w:rsidRPr="003F2E2C">
        <w:rPr>
          <w:rFonts w:ascii="Times New Roman" w:hAnsi="Times New Roman" w:cs="Times New Roman"/>
          <w:sz w:val="24"/>
          <w:szCs w:val="24"/>
        </w:rPr>
        <w:t>i</w:t>
      </w:r>
      <w:r w:rsidR="00EB2196" w:rsidRPr="003F2E2C">
        <w:rPr>
          <w:rFonts w:ascii="Times New Roman" w:hAnsi="Times New Roman" w:cs="Times New Roman"/>
          <w:sz w:val="24"/>
          <w:szCs w:val="24"/>
        </w:rPr>
        <w:t>mpacts on their academic performance</w:t>
      </w:r>
      <w:r w:rsidRPr="003F2E2C">
        <w:rPr>
          <w:rFonts w:ascii="Times New Roman" w:hAnsi="Times New Roman" w:cs="Times New Roman"/>
          <w:sz w:val="24"/>
          <w:szCs w:val="24"/>
        </w:rPr>
        <w:t xml:space="preserve"> since </w:t>
      </w:r>
      <w:r w:rsidR="00D83944" w:rsidRPr="003F2E2C">
        <w:rPr>
          <w:rFonts w:ascii="Times New Roman" w:hAnsi="Times New Roman" w:cs="Times New Roman"/>
          <w:sz w:val="24"/>
          <w:szCs w:val="24"/>
        </w:rPr>
        <w:t>interest allows one to engage</w:t>
      </w:r>
      <w:r w:rsidRPr="003F2E2C">
        <w:rPr>
          <w:rFonts w:ascii="Times New Roman" w:hAnsi="Times New Roman" w:cs="Times New Roman"/>
          <w:sz w:val="24"/>
          <w:szCs w:val="24"/>
        </w:rPr>
        <w:t xml:space="preserve"> and commit to the subject. </w:t>
      </w:r>
      <w:r w:rsidR="00FF1AB1" w:rsidRPr="003F2E2C">
        <w:rPr>
          <w:rFonts w:ascii="Times New Roman" w:hAnsi="Times New Roman" w:cs="Times New Roman"/>
          <w:sz w:val="24"/>
          <w:szCs w:val="24"/>
        </w:rPr>
        <w:t>Moreover,</w:t>
      </w:r>
      <w:r w:rsidR="0013282E" w:rsidRPr="003F2E2C">
        <w:rPr>
          <w:rFonts w:ascii="Times New Roman" w:hAnsi="Times New Roman" w:cs="Times New Roman"/>
          <w:sz w:val="24"/>
          <w:szCs w:val="24"/>
        </w:rPr>
        <w:t xml:space="preserve"> </w:t>
      </w:r>
      <w:r w:rsidR="00961AFC" w:rsidRPr="003F2E2C">
        <w:rPr>
          <w:rFonts w:ascii="Times New Roman" w:hAnsi="Times New Roman" w:cs="Times New Roman"/>
          <w:sz w:val="24"/>
          <w:szCs w:val="24"/>
        </w:rPr>
        <w:t>since</w:t>
      </w:r>
      <w:r w:rsidR="00940F61" w:rsidRPr="003F2E2C">
        <w:rPr>
          <w:rFonts w:ascii="Times New Roman" w:hAnsi="Times New Roman" w:cs="Times New Roman"/>
          <w:sz w:val="24"/>
          <w:szCs w:val="24"/>
        </w:rPr>
        <w:t xml:space="preserve"> interest is a mental resource, </w:t>
      </w:r>
      <w:r w:rsidR="0013282E" w:rsidRPr="003F2E2C">
        <w:rPr>
          <w:rFonts w:ascii="Times New Roman" w:hAnsi="Times New Roman" w:cs="Times New Roman"/>
          <w:sz w:val="24"/>
          <w:szCs w:val="24"/>
        </w:rPr>
        <w:t>students with subject interest may focus all their attention</w:t>
      </w:r>
      <w:r w:rsidR="00961AFC" w:rsidRPr="003F2E2C">
        <w:rPr>
          <w:rFonts w:ascii="Times New Roman" w:hAnsi="Times New Roman" w:cs="Times New Roman"/>
          <w:sz w:val="24"/>
          <w:szCs w:val="24"/>
        </w:rPr>
        <w:t>, work longer</w:t>
      </w:r>
      <w:r w:rsidR="0013282E" w:rsidRPr="003F2E2C">
        <w:rPr>
          <w:rFonts w:ascii="Times New Roman" w:hAnsi="Times New Roman" w:cs="Times New Roman"/>
          <w:sz w:val="24"/>
          <w:szCs w:val="24"/>
        </w:rPr>
        <w:t xml:space="preserve"> and persist at accounting task given even in the face</w:t>
      </w:r>
      <w:r w:rsidR="00961AFC" w:rsidRPr="003F2E2C">
        <w:rPr>
          <w:rFonts w:ascii="Times New Roman" w:hAnsi="Times New Roman" w:cs="Times New Roman"/>
          <w:sz w:val="24"/>
          <w:szCs w:val="24"/>
        </w:rPr>
        <w:t xml:space="preserve"> of</w:t>
      </w:r>
      <w:r w:rsidR="0013282E" w:rsidRPr="003F2E2C">
        <w:rPr>
          <w:rFonts w:ascii="Times New Roman" w:hAnsi="Times New Roman" w:cs="Times New Roman"/>
          <w:sz w:val="24"/>
          <w:szCs w:val="24"/>
        </w:rPr>
        <w:t xml:space="preserve"> difficulties</w:t>
      </w:r>
      <w:r w:rsidR="00961AFC" w:rsidRPr="003F2E2C">
        <w:rPr>
          <w:rFonts w:ascii="Times New Roman" w:hAnsi="Times New Roman" w:cs="Times New Roman"/>
          <w:sz w:val="24"/>
          <w:szCs w:val="24"/>
        </w:rPr>
        <w:t>.</w:t>
      </w:r>
      <w:r w:rsidR="00BB7CBF" w:rsidRPr="003F2E2C">
        <w:rPr>
          <w:rFonts w:ascii="Times New Roman" w:hAnsi="Times New Roman" w:cs="Times New Roman"/>
          <w:bCs/>
          <w:sz w:val="24"/>
          <w:szCs w:val="24"/>
        </w:rPr>
        <w:t xml:space="preserve"> From</w:t>
      </w:r>
      <w:r w:rsidR="00DE0931" w:rsidRPr="003F2E2C">
        <w:rPr>
          <w:rFonts w:ascii="Times New Roman" w:hAnsi="Times New Roman" w:cs="Times New Roman"/>
          <w:bCs/>
          <w:sz w:val="24"/>
          <w:szCs w:val="24"/>
        </w:rPr>
        <w:t xml:space="preserve"> the interest theory</w:t>
      </w:r>
      <w:r w:rsidR="00BB7CBF" w:rsidRPr="003F2E2C">
        <w:rPr>
          <w:rFonts w:ascii="Times New Roman" w:hAnsi="Times New Roman" w:cs="Times New Roman"/>
          <w:bCs/>
          <w:sz w:val="24"/>
          <w:szCs w:val="24"/>
        </w:rPr>
        <w:t xml:space="preserve"> perspective</w:t>
      </w:r>
      <w:r w:rsidR="00DE0931" w:rsidRPr="003F2E2C">
        <w:rPr>
          <w:rFonts w:ascii="Times New Roman" w:hAnsi="Times New Roman" w:cs="Times New Roman"/>
          <w:bCs/>
          <w:sz w:val="24"/>
          <w:szCs w:val="24"/>
        </w:rPr>
        <w:t xml:space="preserve">, </w:t>
      </w:r>
      <w:r w:rsidR="00940F61" w:rsidRPr="003F2E2C">
        <w:rPr>
          <w:rFonts w:ascii="Times New Roman" w:hAnsi="Times New Roman" w:cs="Times New Roman"/>
          <w:bCs/>
          <w:sz w:val="24"/>
          <w:szCs w:val="24"/>
        </w:rPr>
        <w:t>this develops from the</w:t>
      </w:r>
      <w:r w:rsidR="00BB7CBF" w:rsidRPr="003F2E2C">
        <w:rPr>
          <w:rFonts w:ascii="Times New Roman" w:hAnsi="Times New Roman" w:cs="Times New Roman"/>
          <w:bCs/>
          <w:sz w:val="24"/>
          <w:szCs w:val="24"/>
        </w:rPr>
        <w:t xml:space="preserve"> specific relationship between the person and the activity of interest such that the interest activity becomes unavoidable and also</w:t>
      </w:r>
      <w:r w:rsidR="00B8105C" w:rsidRPr="003F2E2C">
        <w:rPr>
          <w:rFonts w:ascii="Times New Roman" w:hAnsi="Times New Roman" w:cs="Times New Roman"/>
          <w:bCs/>
          <w:sz w:val="24"/>
          <w:szCs w:val="24"/>
        </w:rPr>
        <w:t xml:space="preserve"> realisable (Schiefele et al.</w:t>
      </w:r>
      <w:r w:rsidR="00BB7CBF" w:rsidRPr="003F2E2C">
        <w:rPr>
          <w:rFonts w:ascii="Times New Roman" w:hAnsi="Times New Roman" w:cs="Times New Roman"/>
          <w:bCs/>
          <w:sz w:val="24"/>
          <w:szCs w:val="24"/>
        </w:rPr>
        <w:t xml:space="preserve">, 1983). </w:t>
      </w:r>
      <w:r w:rsidR="00961AFC" w:rsidRPr="003F2E2C">
        <w:rPr>
          <w:rFonts w:ascii="Times New Roman" w:hAnsi="Times New Roman" w:cs="Times New Roman"/>
          <w:sz w:val="24"/>
          <w:szCs w:val="24"/>
        </w:rPr>
        <w:t xml:space="preserve">This </w:t>
      </w:r>
      <w:r w:rsidR="0013282E" w:rsidRPr="003F2E2C">
        <w:rPr>
          <w:rFonts w:ascii="Times New Roman" w:hAnsi="Times New Roman" w:cs="Times New Roman"/>
          <w:sz w:val="24"/>
          <w:szCs w:val="24"/>
        </w:rPr>
        <w:t>promotes</w:t>
      </w:r>
      <w:r w:rsidR="00FF1AB1" w:rsidRPr="003F2E2C">
        <w:rPr>
          <w:rFonts w:ascii="Times New Roman" w:hAnsi="Times New Roman" w:cs="Times New Roman"/>
          <w:sz w:val="24"/>
          <w:szCs w:val="24"/>
        </w:rPr>
        <w:t xml:space="preserve"> learning </w:t>
      </w:r>
      <w:r w:rsidR="00961AFC" w:rsidRPr="003F2E2C">
        <w:rPr>
          <w:rFonts w:ascii="Times New Roman" w:hAnsi="Times New Roman" w:cs="Times New Roman"/>
          <w:sz w:val="24"/>
          <w:szCs w:val="24"/>
        </w:rPr>
        <w:t>which invariably may en</w:t>
      </w:r>
      <w:r w:rsidR="00FF1AB1" w:rsidRPr="003F2E2C">
        <w:rPr>
          <w:rFonts w:ascii="Times New Roman" w:hAnsi="Times New Roman" w:cs="Times New Roman"/>
          <w:sz w:val="24"/>
          <w:szCs w:val="24"/>
        </w:rPr>
        <w:t>h</w:t>
      </w:r>
      <w:r w:rsidR="00961AFC" w:rsidRPr="003F2E2C">
        <w:rPr>
          <w:rFonts w:ascii="Times New Roman" w:hAnsi="Times New Roman" w:cs="Times New Roman"/>
          <w:sz w:val="24"/>
          <w:szCs w:val="24"/>
        </w:rPr>
        <w:t>a</w:t>
      </w:r>
      <w:r w:rsidR="00FF1AB1" w:rsidRPr="003F2E2C">
        <w:rPr>
          <w:rFonts w:ascii="Times New Roman" w:hAnsi="Times New Roman" w:cs="Times New Roman"/>
          <w:sz w:val="24"/>
          <w:szCs w:val="24"/>
        </w:rPr>
        <w:t>nce academic performance</w:t>
      </w:r>
      <w:r w:rsidR="0013282E" w:rsidRPr="003F2E2C">
        <w:rPr>
          <w:rFonts w:ascii="Times New Roman" w:hAnsi="Times New Roman" w:cs="Times New Roman"/>
          <w:sz w:val="24"/>
          <w:szCs w:val="24"/>
        </w:rPr>
        <w:t>.</w:t>
      </w:r>
      <w:r w:rsidR="00FF1AB1" w:rsidRPr="003F2E2C">
        <w:rPr>
          <w:rFonts w:ascii="Times New Roman" w:hAnsi="Times New Roman" w:cs="Times New Roman"/>
          <w:sz w:val="24"/>
          <w:szCs w:val="24"/>
        </w:rPr>
        <w:t xml:space="preserve"> </w:t>
      </w:r>
    </w:p>
    <w:p w14:paraId="5622B094" w14:textId="4DEF7023" w:rsidR="000B2B03" w:rsidRPr="003F2E2C" w:rsidRDefault="0013597C" w:rsidP="00A06B83">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The result</w:t>
      </w:r>
      <w:r w:rsidR="00371B4A" w:rsidRPr="003F2E2C">
        <w:rPr>
          <w:rFonts w:ascii="Times New Roman" w:hAnsi="Times New Roman" w:cs="Times New Roman"/>
          <w:sz w:val="24"/>
          <w:szCs w:val="24"/>
        </w:rPr>
        <w:t xml:space="preserve"> which also indicates that</w:t>
      </w:r>
      <w:r w:rsidR="00530A8D" w:rsidRPr="003F2E2C">
        <w:rPr>
          <w:rFonts w:ascii="Times New Roman" w:hAnsi="Times New Roman" w:cs="Times New Roman"/>
          <w:sz w:val="24"/>
          <w:szCs w:val="24"/>
        </w:rPr>
        <w:t xml:space="preserve"> attitude is significant and positively associated with academic performance</w:t>
      </w:r>
      <w:r w:rsidR="00564F5F" w:rsidRPr="003F2E2C">
        <w:rPr>
          <w:rFonts w:ascii="Times New Roman" w:hAnsi="Times New Roman" w:cs="Times New Roman"/>
          <w:sz w:val="24"/>
          <w:szCs w:val="24"/>
        </w:rPr>
        <w:t xml:space="preserve"> may be a reflection of how positive learning attitude such as class attendance, making effort at learning new things and spending</w:t>
      </w:r>
      <w:r w:rsidR="00912A95" w:rsidRPr="003F2E2C">
        <w:rPr>
          <w:rFonts w:ascii="Times New Roman" w:hAnsi="Times New Roman" w:cs="Times New Roman"/>
          <w:sz w:val="24"/>
          <w:szCs w:val="24"/>
        </w:rPr>
        <w:t xml:space="preserve"> time on your books may subsequently influence academic </w:t>
      </w:r>
      <w:r w:rsidR="0012742B" w:rsidRPr="003F2E2C">
        <w:rPr>
          <w:rFonts w:ascii="Times New Roman" w:hAnsi="Times New Roman" w:cs="Times New Roman"/>
          <w:sz w:val="24"/>
          <w:szCs w:val="24"/>
        </w:rPr>
        <w:t>performance</w:t>
      </w:r>
      <w:r w:rsidR="00912A95" w:rsidRPr="003F2E2C">
        <w:rPr>
          <w:rFonts w:ascii="Times New Roman" w:hAnsi="Times New Roman" w:cs="Times New Roman"/>
          <w:sz w:val="24"/>
          <w:szCs w:val="24"/>
        </w:rPr>
        <w:t>.</w:t>
      </w:r>
      <w:r w:rsidR="00530A8D" w:rsidRPr="003F2E2C">
        <w:rPr>
          <w:rFonts w:ascii="Times New Roman" w:hAnsi="Times New Roman" w:cs="Times New Roman"/>
          <w:sz w:val="24"/>
          <w:szCs w:val="24"/>
        </w:rPr>
        <w:t xml:space="preserve"> </w:t>
      </w:r>
      <w:r w:rsidR="00180970" w:rsidRPr="003F2E2C">
        <w:rPr>
          <w:rFonts w:ascii="Times New Roman" w:hAnsi="Times New Roman" w:cs="Times New Roman"/>
          <w:sz w:val="24"/>
          <w:szCs w:val="24"/>
        </w:rPr>
        <w:t xml:space="preserve">It has been suggested that students who show such learning attitude usually engage in deep </w:t>
      </w:r>
      <w:r w:rsidR="00C451C8" w:rsidRPr="003F2E2C">
        <w:rPr>
          <w:rFonts w:ascii="Times New Roman" w:hAnsi="Times New Roman" w:cs="Times New Roman"/>
          <w:sz w:val="24"/>
          <w:szCs w:val="24"/>
        </w:rPr>
        <w:t>learning which positi</w:t>
      </w:r>
      <w:r w:rsidR="0012742B" w:rsidRPr="003F2E2C">
        <w:rPr>
          <w:rFonts w:ascii="Times New Roman" w:hAnsi="Times New Roman" w:cs="Times New Roman"/>
          <w:sz w:val="24"/>
          <w:szCs w:val="24"/>
        </w:rPr>
        <w:t xml:space="preserve">vely </w:t>
      </w:r>
      <w:r w:rsidR="0012742B" w:rsidRPr="003F2E2C">
        <w:rPr>
          <w:rFonts w:ascii="Times New Roman" w:hAnsi="Times New Roman" w:cs="Times New Roman"/>
          <w:noProof/>
          <w:sz w:val="24"/>
          <w:szCs w:val="24"/>
        </w:rPr>
        <w:t>affect</w:t>
      </w:r>
      <w:r w:rsidR="004D3D73" w:rsidRPr="003F2E2C">
        <w:rPr>
          <w:rFonts w:ascii="Times New Roman" w:hAnsi="Times New Roman" w:cs="Times New Roman"/>
          <w:noProof/>
          <w:sz w:val="24"/>
          <w:szCs w:val="24"/>
        </w:rPr>
        <w:t>s</w:t>
      </w:r>
      <w:r w:rsidR="0012742B" w:rsidRPr="003F2E2C">
        <w:rPr>
          <w:rFonts w:ascii="Times New Roman" w:hAnsi="Times New Roman" w:cs="Times New Roman"/>
          <w:sz w:val="24"/>
          <w:szCs w:val="24"/>
        </w:rPr>
        <w:t xml:space="preserve"> academic performance</w:t>
      </w:r>
      <w:r w:rsidR="00752C3C" w:rsidRPr="003F2E2C">
        <w:rPr>
          <w:rFonts w:ascii="Times New Roman" w:hAnsi="Times New Roman" w:cs="Times New Roman"/>
          <w:sz w:val="24"/>
          <w:szCs w:val="24"/>
        </w:rPr>
        <w:t xml:space="preserve">. </w:t>
      </w:r>
      <w:r w:rsidR="00D41A2B" w:rsidRPr="003F2E2C">
        <w:rPr>
          <w:rFonts w:ascii="Times New Roman" w:hAnsi="Times New Roman" w:cs="Times New Roman"/>
          <w:sz w:val="24"/>
          <w:szCs w:val="24"/>
        </w:rPr>
        <w:t>A</w:t>
      </w:r>
      <w:r w:rsidR="003133A4" w:rsidRPr="003F2E2C">
        <w:rPr>
          <w:rFonts w:ascii="Times New Roman" w:hAnsi="Times New Roman" w:cs="Times New Roman"/>
          <w:sz w:val="24"/>
          <w:szCs w:val="24"/>
        </w:rPr>
        <w:t>nother possible reason could be that good learning attitude results in</w:t>
      </w:r>
      <w:r w:rsidR="004D3D73" w:rsidRPr="003F2E2C">
        <w:rPr>
          <w:rFonts w:ascii="Times New Roman" w:hAnsi="Times New Roman" w:cs="Times New Roman"/>
          <w:sz w:val="24"/>
          <w:szCs w:val="24"/>
        </w:rPr>
        <w:t xml:space="preserve"> the</w:t>
      </w:r>
      <w:r w:rsidR="003133A4" w:rsidRPr="003F2E2C">
        <w:rPr>
          <w:rFonts w:ascii="Times New Roman" w:hAnsi="Times New Roman" w:cs="Times New Roman"/>
          <w:sz w:val="24"/>
          <w:szCs w:val="24"/>
        </w:rPr>
        <w:t xml:space="preserve"> </w:t>
      </w:r>
      <w:r w:rsidR="003133A4" w:rsidRPr="003F2E2C">
        <w:rPr>
          <w:rFonts w:ascii="Times New Roman" w:hAnsi="Times New Roman" w:cs="Times New Roman"/>
          <w:noProof/>
          <w:sz w:val="24"/>
          <w:szCs w:val="24"/>
        </w:rPr>
        <w:t>better</w:t>
      </w:r>
      <w:r w:rsidR="003133A4" w:rsidRPr="003F2E2C">
        <w:rPr>
          <w:rFonts w:ascii="Times New Roman" w:hAnsi="Times New Roman" w:cs="Times New Roman"/>
          <w:sz w:val="24"/>
          <w:szCs w:val="24"/>
        </w:rPr>
        <w:t xml:space="preserve"> organisation of relevant learning materials which helps reduce anxiety especially in critical moments such</w:t>
      </w:r>
      <w:r w:rsidR="00D41A2B" w:rsidRPr="003F2E2C">
        <w:rPr>
          <w:rFonts w:ascii="Times New Roman" w:hAnsi="Times New Roman" w:cs="Times New Roman"/>
          <w:sz w:val="24"/>
          <w:szCs w:val="24"/>
        </w:rPr>
        <w:t xml:space="preserve"> as examination period which affects performance badly.</w:t>
      </w:r>
      <w:r w:rsidR="003133A4" w:rsidRPr="003F2E2C">
        <w:rPr>
          <w:rFonts w:ascii="Times New Roman" w:hAnsi="Times New Roman" w:cs="Times New Roman"/>
          <w:sz w:val="24"/>
          <w:szCs w:val="24"/>
        </w:rPr>
        <w:t xml:space="preserve"> </w:t>
      </w:r>
      <w:r w:rsidR="00B100A6" w:rsidRPr="003F2E2C">
        <w:rPr>
          <w:rFonts w:ascii="Times New Roman" w:hAnsi="Times New Roman" w:cs="Times New Roman"/>
          <w:sz w:val="24"/>
          <w:szCs w:val="24"/>
        </w:rPr>
        <w:t xml:space="preserve">It can be </w:t>
      </w:r>
      <w:r w:rsidR="00E57C40" w:rsidRPr="003F2E2C">
        <w:rPr>
          <w:rFonts w:ascii="Times New Roman" w:hAnsi="Times New Roman" w:cs="Times New Roman"/>
          <w:sz w:val="24"/>
          <w:szCs w:val="24"/>
        </w:rPr>
        <w:t>concluded</w:t>
      </w:r>
      <w:r w:rsidR="00681711" w:rsidRPr="003F2E2C">
        <w:rPr>
          <w:rFonts w:ascii="Times New Roman" w:hAnsi="Times New Roman" w:cs="Times New Roman"/>
          <w:sz w:val="24"/>
          <w:szCs w:val="24"/>
        </w:rPr>
        <w:t xml:space="preserve"> </w:t>
      </w:r>
      <w:r w:rsidR="00E57C40" w:rsidRPr="003F2E2C">
        <w:rPr>
          <w:rFonts w:ascii="Times New Roman" w:hAnsi="Times New Roman" w:cs="Times New Roman"/>
          <w:sz w:val="24"/>
          <w:szCs w:val="24"/>
        </w:rPr>
        <w:t xml:space="preserve">from the </w:t>
      </w:r>
      <w:r w:rsidR="00681711" w:rsidRPr="003F2E2C">
        <w:rPr>
          <w:rFonts w:ascii="Times New Roman" w:hAnsi="Times New Roman" w:cs="Times New Roman"/>
          <w:sz w:val="24"/>
          <w:szCs w:val="24"/>
        </w:rPr>
        <w:t>results of this study</w:t>
      </w:r>
      <w:r w:rsidR="000A7F8A" w:rsidRPr="003F2E2C">
        <w:rPr>
          <w:rFonts w:ascii="Times New Roman" w:hAnsi="Times New Roman" w:cs="Times New Roman"/>
          <w:sz w:val="24"/>
          <w:szCs w:val="24"/>
        </w:rPr>
        <w:t xml:space="preserve"> that</w:t>
      </w:r>
      <w:r w:rsidR="00681711" w:rsidRPr="003F2E2C">
        <w:rPr>
          <w:rFonts w:ascii="Times New Roman" w:hAnsi="Times New Roman" w:cs="Times New Roman"/>
          <w:sz w:val="24"/>
          <w:szCs w:val="24"/>
        </w:rPr>
        <w:t xml:space="preserve"> good learning attitude involving</w:t>
      </w:r>
      <w:r w:rsidR="004D3D73" w:rsidRPr="003F2E2C">
        <w:rPr>
          <w:rFonts w:ascii="Times New Roman" w:hAnsi="Times New Roman" w:cs="Times New Roman"/>
          <w:sz w:val="24"/>
          <w:szCs w:val="24"/>
        </w:rPr>
        <w:t xml:space="preserve"> the</w:t>
      </w:r>
      <w:r w:rsidR="00681711" w:rsidRPr="003F2E2C">
        <w:rPr>
          <w:rFonts w:ascii="Times New Roman" w:hAnsi="Times New Roman" w:cs="Times New Roman"/>
          <w:sz w:val="24"/>
          <w:szCs w:val="24"/>
        </w:rPr>
        <w:t xml:space="preserve"> </w:t>
      </w:r>
      <w:r w:rsidR="00681711" w:rsidRPr="003F2E2C">
        <w:rPr>
          <w:rFonts w:ascii="Times New Roman" w:hAnsi="Times New Roman" w:cs="Times New Roman"/>
          <w:noProof/>
          <w:sz w:val="24"/>
          <w:szCs w:val="24"/>
        </w:rPr>
        <w:t>adoption</w:t>
      </w:r>
      <w:r w:rsidR="00681711" w:rsidRPr="003F2E2C">
        <w:rPr>
          <w:rFonts w:ascii="Times New Roman" w:hAnsi="Times New Roman" w:cs="Times New Roman"/>
          <w:sz w:val="24"/>
          <w:szCs w:val="24"/>
        </w:rPr>
        <w:t xml:space="preserve"> of good study habits can lead to improved academic performance.</w:t>
      </w:r>
      <w:r w:rsidR="000A7F8A" w:rsidRPr="003F2E2C">
        <w:rPr>
          <w:rFonts w:ascii="Times New Roman" w:hAnsi="Times New Roman" w:cs="Times New Roman"/>
          <w:sz w:val="24"/>
          <w:szCs w:val="24"/>
        </w:rPr>
        <w:t xml:space="preserve"> The adoption of good attitude clearly demonstrates the behavioural intention of the student to exert effort to attain a certain level of performance (Ajzen, 2011).</w:t>
      </w:r>
      <w:r w:rsidR="00681711" w:rsidRPr="003F2E2C">
        <w:rPr>
          <w:rFonts w:ascii="Times New Roman" w:hAnsi="Times New Roman" w:cs="Times New Roman"/>
          <w:sz w:val="24"/>
          <w:szCs w:val="24"/>
        </w:rPr>
        <w:t xml:space="preserve"> </w:t>
      </w:r>
      <w:r w:rsidR="00FB65BD" w:rsidRPr="003F2E2C">
        <w:rPr>
          <w:rFonts w:ascii="Times New Roman" w:hAnsi="Times New Roman" w:cs="Times New Roman"/>
          <w:sz w:val="24"/>
          <w:szCs w:val="24"/>
        </w:rPr>
        <w:t xml:space="preserve">The high level of positive attitude in the Ghanaian society may support this finding since such an attitude may facilitate effective self-directed learning which may help meet the perceived behaviour expected by society. </w:t>
      </w:r>
      <w:r w:rsidR="00461065" w:rsidRPr="003F2E2C">
        <w:rPr>
          <w:rFonts w:ascii="Times New Roman" w:hAnsi="Times New Roman" w:cs="Times New Roman"/>
          <w:sz w:val="24"/>
          <w:szCs w:val="24"/>
        </w:rPr>
        <w:t>Th</w:t>
      </w:r>
      <w:r w:rsidR="00B5056B" w:rsidRPr="003F2E2C">
        <w:rPr>
          <w:rFonts w:ascii="Times New Roman" w:hAnsi="Times New Roman" w:cs="Times New Roman"/>
          <w:sz w:val="24"/>
          <w:szCs w:val="24"/>
        </w:rPr>
        <w:t>e</w:t>
      </w:r>
      <w:r w:rsidR="00461065" w:rsidRPr="003F2E2C">
        <w:rPr>
          <w:rFonts w:ascii="Times New Roman" w:hAnsi="Times New Roman" w:cs="Times New Roman"/>
          <w:sz w:val="24"/>
          <w:szCs w:val="24"/>
        </w:rPr>
        <w:t xml:space="preserve"> finding of the c</w:t>
      </w:r>
      <w:r w:rsidR="001F6A5F" w:rsidRPr="003F2E2C">
        <w:rPr>
          <w:rFonts w:ascii="Times New Roman" w:hAnsi="Times New Roman" w:cs="Times New Roman"/>
          <w:sz w:val="24"/>
          <w:szCs w:val="24"/>
        </w:rPr>
        <w:t>ur</w:t>
      </w:r>
      <w:r w:rsidRPr="003F2E2C">
        <w:rPr>
          <w:rFonts w:ascii="Times New Roman" w:hAnsi="Times New Roman" w:cs="Times New Roman"/>
          <w:sz w:val="24"/>
          <w:szCs w:val="24"/>
        </w:rPr>
        <w:t>rent study supports those</w:t>
      </w:r>
      <w:r w:rsidR="001F6A5F" w:rsidRPr="003F2E2C">
        <w:rPr>
          <w:rFonts w:ascii="Times New Roman" w:hAnsi="Times New Roman" w:cs="Times New Roman"/>
          <w:sz w:val="24"/>
          <w:szCs w:val="24"/>
        </w:rPr>
        <w:t xml:space="preserve"> of Naser and Peel (1998) and</w:t>
      </w:r>
      <w:r w:rsidR="00461065" w:rsidRPr="003F2E2C">
        <w:rPr>
          <w:rFonts w:ascii="Times New Roman" w:hAnsi="Times New Roman" w:cs="Times New Roman"/>
          <w:sz w:val="24"/>
          <w:szCs w:val="24"/>
        </w:rPr>
        <w:t xml:space="preserve"> Guney (200</w:t>
      </w:r>
      <w:r w:rsidR="00A86025" w:rsidRPr="003F2E2C">
        <w:rPr>
          <w:rFonts w:ascii="Times New Roman" w:hAnsi="Times New Roman" w:cs="Times New Roman"/>
          <w:sz w:val="24"/>
          <w:szCs w:val="24"/>
        </w:rPr>
        <w:t>9</w:t>
      </w:r>
      <w:r w:rsidR="00461065" w:rsidRPr="003F2E2C">
        <w:rPr>
          <w:rFonts w:ascii="Times New Roman" w:hAnsi="Times New Roman" w:cs="Times New Roman"/>
          <w:sz w:val="24"/>
          <w:szCs w:val="24"/>
        </w:rPr>
        <w:t>) w</w:t>
      </w:r>
      <w:r w:rsidR="00E57C40" w:rsidRPr="003F2E2C">
        <w:rPr>
          <w:rFonts w:ascii="Times New Roman" w:hAnsi="Times New Roman" w:cs="Times New Roman"/>
          <w:sz w:val="24"/>
          <w:szCs w:val="24"/>
        </w:rPr>
        <w:t>hich suggest</w:t>
      </w:r>
      <w:r w:rsidR="00461065" w:rsidRPr="003F2E2C">
        <w:rPr>
          <w:rFonts w:ascii="Times New Roman" w:hAnsi="Times New Roman" w:cs="Times New Roman"/>
          <w:sz w:val="24"/>
          <w:szCs w:val="24"/>
        </w:rPr>
        <w:t xml:space="preserve"> that good attitude by accounting students in relation to class attendance has</w:t>
      </w:r>
      <w:r w:rsidR="004D3D73" w:rsidRPr="003F2E2C">
        <w:rPr>
          <w:rFonts w:ascii="Times New Roman" w:hAnsi="Times New Roman" w:cs="Times New Roman"/>
          <w:sz w:val="24"/>
          <w:szCs w:val="24"/>
        </w:rPr>
        <w:t xml:space="preserve"> a</w:t>
      </w:r>
      <w:r w:rsidR="00461065" w:rsidRPr="003F2E2C">
        <w:rPr>
          <w:rFonts w:ascii="Times New Roman" w:hAnsi="Times New Roman" w:cs="Times New Roman"/>
          <w:sz w:val="24"/>
          <w:szCs w:val="24"/>
        </w:rPr>
        <w:t xml:space="preserve"> </w:t>
      </w:r>
      <w:r w:rsidR="00461065" w:rsidRPr="003F2E2C">
        <w:rPr>
          <w:rFonts w:ascii="Times New Roman" w:hAnsi="Times New Roman" w:cs="Times New Roman"/>
          <w:noProof/>
          <w:sz w:val="24"/>
          <w:szCs w:val="24"/>
        </w:rPr>
        <w:t>positive</w:t>
      </w:r>
      <w:r w:rsidR="00461065" w:rsidRPr="003F2E2C">
        <w:rPr>
          <w:rFonts w:ascii="Times New Roman" w:hAnsi="Times New Roman" w:cs="Times New Roman"/>
          <w:sz w:val="24"/>
          <w:szCs w:val="24"/>
        </w:rPr>
        <w:t xml:space="preserve"> association with academic performance. </w:t>
      </w:r>
    </w:p>
    <w:p w14:paraId="0B35CE7B" w14:textId="103287DD" w:rsidR="00D17E8C" w:rsidRPr="003F2E2C" w:rsidRDefault="0013597C" w:rsidP="00D17E8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Finally, </w:t>
      </w:r>
      <w:r w:rsidR="00B01ADF" w:rsidRPr="003F2E2C">
        <w:rPr>
          <w:rFonts w:ascii="Times New Roman" w:hAnsi="Times New Roman" w:cs="Times New Roman"/>
          <w:sz w:val="24"/>
          <w:szCs w:val="24"/>
        </w:rPr>
        <w:t>our</w:t>
      </w:r>
      <w:r w:rsidRPr="003F2E2C">
        <w:rPr>
          <w:rFonts w:ascii="Times New Roman" w:hAnsi="Times New Roman" w:cs="Times New Roman"/>
          <w:sz w:val="24"/>
          <w:szCs w:val="24"/>
        </w:rPr>
        <w:t xml:space="preserve"> control variables </w:t>
      </w:r>
      <w:r w:rsidR="00B01ADF" w:rsidRPr="003F2E2C">
        <w:rPr>
          <w:rFonts w:ascii="Times New Roman" w:hAnsi="Times New Roman" w:cs="Times New Roman"/>
          <w:sz w:val="24"/>
          <w:szCs w:val="24"/>
        </w:rPr>
        <w:t xml:space="preserve">also </w:t>
      </w:r>
      <w:r w:rsidRPr="003F2E2C">
        <w:rPr>
          <w:rFonts w:ascii="Times New Roman" w:hAnsi="Times New Roman" w:cs="Times New Roman"/>
          <w:sz w:val="24"/>
          <w:szCs w:val="24"/>
        </w:rPr>
        <w:t>have</w:t>
      </w:r>
      <w:r w:rsidR="004D3D73"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association with academic performance. Gender of</w:t>
      </w:r>
      <w:r w:rsidR="00022438" w:rsidRPr="003F2E2C">
        <w:rPr>
          <w:rFonts w:ascii="Times New Roman" w:hAnsi="Times New Roman" w:cs="Times New Roman"/>
          <w:sz w:val="24"/>
          <w:szCs w:val="24"/>
        </w:rPr>
        <w:t xml:space="preserve"> </w:t>
      </w:r>
      <w:r w:rsidR="00D32B7F" w:rsidRPr="003F2E2C">
        <w:rPr>
          <w:rFonts w:ascii="Times New Roman" w:hAnsi="Times New Roman" w:cs="Times New Roman"/>
          <w:sz w:val="24"/>
          <w:szCs w:val="24"/>
        </w:rPr>
        <w:t>student</w:t>
      </w:r>
      <w:r w:rsidR="00022438" w:rsidRPr="003F2E2C">
        <w:rPr>
          <w:rFonts w:ascii="Times New Roman" w:hAnsi="Times New Roman" w:cs="Times New Roman"/>
          <w:sz w:val="24"/>
          <w:szCs w:val="24"/>
        </w:rPr>
        <w:t>s</w:t>
      </w:r>
      <w:r w:rsidR="00D32B7F" w:rsidRPr="003F2E2C">
        <w:rPr>
          <w:rFonts w:ascii="Times New Roman" w:hAnsi="Times New Roman" w:cs="Times New Roman"/>
          <w:sz w:val="24"/>
          <w:szCs w:val="24"/>
        </w:rPr>
        <w:t xml:space="preserve"> has</w:t>
      </w:r>
      <w:r w:rsidR="004D3D73" w:rsidRPr="003F2E2C">
        <w:rPr>
          <w:rFonts w:ascii="Times New Roman" w:hAnsi="Times New Roman" w:cs="Times New Roman"/>
          <w:sz w:val="24"/>
          <w:szCs w:val="24"/>
        </w:rPr>
        <w:t xml:space="preserve"> a</w:t>
      </w:r>
      <w:r w:rsidR="00D32B7F" w:rsidRPr="003F2E2C">
        <w:rPr>
          <w:rFonts w:ascii="Times New Roman" w:hAnsi="Times New Roman" w:cs="Times New Roman"/>
          <w:sz w:val="24"/>
          <w:szCs w:val="24"/>
        </w:rPr>
        <w:t xml:space="preserve"> </w:t>
      </w:r>
      <w:r w:rsidR="00D32B7F"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association with academic performance. </w:t>
      </w:r>
      <w:r w:rsidR="009371E2" w:rsidRPr="003F2E2C">
        <w:rPr>
          <w:rFonts w:ascii="Times New Roman" w:hAnsi="Times New Roman" w:cs="Times New Roman"/>
          <w:sz w:val="24"/>
          <w:szCs w:val="24"/>
        </w:rPr>
        <w:t>This is consistent with</w:t>
      </w:r>
      <w:r w:rsidR="00022438" w:rsidRPr="003F2E2C">
        <w:rPr>
          <w:rFonts w:ascii="Times New Roman" w:hAnsi="Times New Roman" w:cs="Times New Roman"/>
          <w:sz w:val="24"/>
          <w:szCs w:val="24"/>
        </w:rPr>
        <w:t xml:space="preserve"> the result</w:t>
      </w:r>
      <w:r w:rsidR="006007A9" w:rsidRPr="003F2E2C">
        <w:rPr>
          <w:rFonts w:ascii="Times New Roman" w:hAnsi="Times New Roman" w:cs="Times New Roman"/>
          <w:sz w:val="24"/>
          <w:szCs w:val="24"/>
        </w:rPr>
        <w:t xml:space="preserve"> reported by </w:t>
      </w:r>
      <w:r w:rsidR="009371E2" w:rsidRPr="003F2E2C">
        <w:rPr>
          <w:rFonts w:ascii="Times New Roman" w:hAnsi="Times New Roman" w:cs="Times New Roman"/>
          <w:sz w:val="24"/>
          <w:szCs w:val="24"/>
        </w:rPr>
        <w:t>Arthur and Everaert</w:t>
      </w:r>
      <w:r w:rsidR="009371E2" w:rsidRPr="003F2E2C">
        <w:rPr>
          <w:rFonts w:ascii="Times New Roman" w:hAnsi="Times New Roman" w:cs="Times New Roman" w:hint="eastAsia"/>
          <w:sz w:val="24"/>
          <w:szCs w:val="24"/>
        </w:rPr>
        <w:t xml:space="preserve"> </w:t>
      </w:r>
      <w:r w:rsidR="009371E2" w:rsidRPr="003F2E2C">
        <w:rPr>
          <w:rFonts w:ascii="Times New Roman" w:hAnsi="Times New Roman" w:cs="Times New Roman"/>
          <w:sz w:val="24"/>
          <w:szCs w:val="24"/>
        </w:rPr>
        <w:t>(</w:t>
      </w:r>
      <w:r w:rsidR="009371E2" w:rsidRPr="003F2E2C">
        <w:rPr>
          <w:rFonts w:ascii="Times New Roman" w:hAnsi="Times New Roman" w:cs="Times New Roman" w:hint="eastAsia"/>
          <w:sz w:val="24"/>
          <w:szCs w:val="24"/>
        </w:rPr>
        <w:t>2012</w:t>
      </w:r>
      <w:r w:rsidR="006007A9" w:rsidRPr="003F2E2C">
        <w:rPr>
          <w:rFonts w:ascii="Times New Roman" w:hAnsi="Times New Roman" w:cs="Times New Roman"/>
          <w:sz w:val="24"/>
          <w:szCs w:val="24"/>
        </w:rPr>
        <w:t>)</w:t>
      </w:r>
      <w:r w:rsidR="0081612D" w:rsidRPr="003F2E2C">
        <w:rPr>
          <w:rFonts w:ascii="Times New Roman" w:hAnsi="Times New Roman" w:cs="Times New Roman"/>
          <w:sz w:val="24"/>
          <w:szCs w:val="24"/>
        </w:rPr>
        <w:t xml:space="preserve"> but contrary to the </w:t>
      </w:r>
      <w:r w:rsidR="006007A9" w:rsidRPr="003F2E2C">
        <w:rPr>
          <w:rFonts w:ascii="Times New Roman" w:hAnsi="Times New Roman" w:cs="Times New Roman"/>
          <w:sz w:val="24"/>
          <w:szCs w:val="24"/>
        </w:rPr>
        <w:t>no</w:t>
      </w:r>
      <w:r w:rsidR="0081612D" w:rsidRPr="003F2E2C">
        <w:rPr>
          <w:rFonts w:ascii="Times New Roman" w:hAnsi="Times New Roman" w:cs="Times New Roman"/>
          <w:sz w:val="24"/>
          <w:szCs w:val="24"/>
        </w:rPr>
        <w:t>n-significant association</w:t>
      </w:r>
      <w:r w:rsidR="006007A9" w:rsidRPr="003F2E2C">
        <w:rPr>
          <w:rFonts w:ascii="Times New Roman" w:hAnsi="Times New Roman" w:cs="Times New Roman"/>
          <w:sz w:val="24"/>
          <w:szCs w:val="24"/>
        </w:rPr>
        <w:t xml:space="preserve"> between gender and academic performance found by </w:t>
      </w:r>
      <w:r w:rsidR="00A86025" w:rsidRPr="003F2E2C">
        <w:rPr>
          <w:rFonts w:ascii="Times New Roman" w:hAnsi="Times New Roman" w:cs="Times New Roman"/>
          <w:sz w:val="24"/>
          <w:szCs w:val="24"/>
        </w:rPr>
        <w:t>Foga</w:t>
      </w:r>
      <w:r w:rsidR="009371E2" w:rsidRPr="003F2E2C">
        <w:rPr>
          <w:rFonts w:ascii="Times New Roman" w:hAnsi="Times New Roman" w:cs="Times New Roman"/>
          <w:sz w:val="24"/>
          <w:szCs w:val="24"/>
        </w:rPr>
        <w:t xml:space="preserve">rty and Goldwater (2010) and Fallan and </w:t>
      </w:r>
      <w:r w:rsidR="003E5B87" w:rsidRPr="003F2E2C">
        <w:rPr>
          <w:rFonts w:ascii="Times New Roman" w:hAnsi="Times New Roman" w:cs="Times New Roman"/>
          <w:sz w:val="24"/>
          <w:szCs w:val="24"/>
        </w:rPr>
        <w:t>Optad</w:t>
      </w:r>
      <w:r w:rsidR="0081612D" w:rsidRPr="003F2E2C">
        <w:rPr>
          <w:rFonts w:ascii="Times New Roman" w:hAnsi="Times New Roman" w:cs="Times New Roman"/>
          <w:sz w:val="24"/>
          <w:szCs w:val="24"/>
        </w:rPr>
        <w:t xml:space="preserve"> </w:t>
      </w:r>
      <w:r w:rsidR="009371E2" w:rsidRPr="003F2E2C">
        <w:rPr>
          <w:rFonts w:ascii="Times New Roman" w:hAnsi="Times New Roman" w:cs="Times New Roman"/>
          <w:sz w:val="24"/>
          <w:szCs w:val="24"/>
        </w:rPr>
        <w:t>(</w:t>
      </w:r>
      <w:r w:rsidR="0081612D" w:rsidRPr="003F2E2C">
        <w:rPr>
          <w:rFonts w:ascii="Times New Roman" w:hAnsi="Times New Roman" w:cs="Times New Roman"/>
          <w:sz w:val="24"/>
          <w:szCs w:val="24"/>
        </w:rPr>
        <w:t>2014</w:t>
      </w:r>
      <w:r w:rsidR="006007A9" w:rsidRPr="003F2E2C">
        <w:rPr>
          <w:rFonts w:ascii="Times New Roman" w:hAnsi="Times New Roman" w:cs="Times New Roman"/>
          <w:sz w:val="24"/>
          <w:szCs w:val="24"/>
        </w:rPr>
        <w:t xml:space="preserve">). </w:t>
      </w:r>
      <w:r w:rsidR="00651999" w:rsidRPr="003F2E2C">
        <w:rPr>
          <w:rFonts w:ascii="Times New Roman" w:hAnsi="Times New Roman" w:cs="Times New Roman"/>
          <w:sz w:val="24"/>
          <w:szCs w:val="24"/>
        </w:rPr>
        <w:t>Also,</w:t>
      </w:r>
      <w:r w:rsidR="006007A9" w:rsidRPr="003F2E2C">
        <w:rPr>
          <w:rFonts w:ascii="Times New Roman" w:hAnsi="Times New Roman" w:cs="Times New Roman"/>
          <w:sz w:val="24"/>
          <w:szCs w:val="24"/>
        </w:rPr>
        <w:t xml:space="preserve"> the level of study has</w:t>
      </w:r>
      <w:r w:rsidR="004D3D73" w:rsidRPr="003F2E2C">
        <w:rPr>
          <w:rFonts w:ascii="Times New Roman" w:hAnsi="Times New Roman" w:cs="Times New Roman"/>
          <w:sz w:val="24"/>
          <w:szCs w:val="24"/>
        </w:rPr>
        <w:t xml:space="preserve"> a</w:t>
      </w:r>
      <w:r w:rsidR="006007A9" w:rsidRPr="003F2E2C">
        <w:rPr>
          <w:rFonts w:ascii="Times New Roman" w:hAnsi="Times New Roman" w:cs="Times New Roman"/>
          <w:sz w:val="24"/>
          <w:szCs w:val="24"/>
        </w:rPr>
        <w:t xml:space="preserve"> </w:t>
      </w:r>
      <w:r w:rsidR="006007A9" w:rsidRPr="003F2E2C">
        <w:rPr>
          <w:rFonts w:ascii="Times New Roman" w:hAnsi="Times New Roman" w:cs="Times New Roman"/>
          <w:noProof/>
          <w:sz w:val="24"/>
          <w:szCs w:val="24"/>
        </w:rPr>
        <w:t>significant</w:t>
      </w:r>
      <w:r w:rsidR="006007A9" w:rsidRPr="003F2E2C">
        <w:rPr>
          <w:rFonts w:ascii="Times New Roman" w:hAnsi="Times New Roman" w:cs="Times New Roman"/>
          <w:sz w:val="24"/>
          <w:szCs w:val="24"/>
        </w:rPr>
        <w:t xml:space="preserve"> and positive relationship with academic performance</w:t>
      </w:r>
      <w:r w:rsidR="00134B07" w:rsidRPr="003F2E2C">
        <w:rPr>
          <w:rFonts w:ascii="Times New Roman" w:hAnsi="Times New Roman" w:cs="Times New Roman"/>
          <w:sz w:val="24"/>
          <w:szCs w:val="24"/>
        </w:rPr>
        <w:t xml:space="preserve">. </w:t>
      </w:r>
      <w:r w:rsidR="00651999" w:rsidRPr="003F2E2C">
        <w:rPr>
          <w:rFonts w:ascii="Times New Roman" w:hAnsi="Times New Roman" w:cs="Times New Roman"/>
          <w:sz w:val="24"/>
          <w:szCs w:val="24"/>
        </w:rPr>
        <w:t>Thus,</w:t>
      </w:r>
      <w:r w:rsidR="00134B07" w:rsidRPr="003F2E2C">
        <w:rPr>
          <w:rFonts w:ascii="Times New Roman" w:hAnsi="Times New Roman" w:cs="Times New Roman"/>
          <w:sz w:val="24"/>
          <w:szCs w:val="24"/>
        </w:rPr>
        <w:t xml:space="preserve"> studying at the tertiary level has much impact on academic performance</w:t>
      </w:r>
      <w:r w:rsidR="00CD7E14" w:rsidRPr="003F2E2C">
        <w:rPr>
          <w:rFonts w:ascii="Times New Roman" w:hAnsi="Times New Roman" w:cs="Times New Roman"/>
          <w:sz w:val="24"/>
          <w:szCs w:val="24"/>
        </w:rPr>
        <w:t xml:space="preserve"> which may be due to “academic maturity”</w:t>
      </w:r>
      <w:r w:rsidRPr="003F2E2C">
        <w:rPr>
          <w:rFonts w:ascii="Times New Roman" w:hAnsi="Times New Roman" w:cs="Times New Roman"/>
          <w:sz w:val="24"/>
          <w:szCs w:val="24"/>
        </w:rPr>
        <w:t>.</w:t>
      </w:r>
    </w:p>
    <w:p w14:paraId="5B169F00" w14:textId="6499A619" w:rsidR="00D17E8C" w:rsidRPr="003F2E2C" w:rsidRDefault="0013597C" w:rsidP="00B01ADF">
      <w:pPr>
        <w:spacing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We </w:t>
      </w:r>
      <w:r w:rsidR="00B01ADF" w:rsidRPr="003F2E2C">
        <w:rPr>
          <w:rFonts w:ascii="Times New Roman" w:hAnsi="Times New Roman" w:cs="Times New Roman"/>
          <w:sz w:val="24"/>
          <w:szCs w:val="24"/>
        </w:rPr>
        <w:t>then</w:t>
      </w:r>
      <w:r w:rsidRPr="003F2E2C">
        <w:rPr>
          <w:rFonts w:ascii="Times New Roman" w:hAnsi="Times New Roman" w:cs="Times New Roman"/>
          <w:sz w:val="24"/>
          <w:szCs w:val="24"/>
        </w:rPr>
        <w:t xml:space="preserve"> divided our sample into two sub-samples on the basis of</w:t>
      </w:r>
      <w:r w:rsidR="004D3D73" w:rsidRPr="003F2E2C">
        <w:rPr>
          <w:rFonts w:ascii="Times New Roman" w:hAnsi="Times New Roman" w:cs="Times New Roman"/>
          <w:sz w:val="24"/>
          <w:szCs w:val="24"/>
        </w:rPr>
        <w:t xml:space="preserve"> the</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level</w:t>
      </w:r>
      <w:r w:rsidRPr="003F2E2C">
        <w:rPr>
          <w:rFonts w:ascii="Times New Roman" w:hAnsi="Times New Roman" w:cs="Times New Roman"/>
          <w:sz w:val="24"/>
          <w:szCs w:val="24"/>
        </w:rPr>
        <w:t xml:space="preserve"> of study (i</w:t>
      </w:r>
      <w:r w:rsidR="00B01ADF" w:rsidRPr="003F2E2C">
        <w:rPr>
          <w:rFonts w:ascii="Times New Roman" w:hAnsi="Times New Roman" w:cs="Times New Roman"/>
          <w:sz w:val="24"/>
          <w:szCs w:val="24"/>
        </w:rPr>
        <w:t>.</w:t>
      </w:r>
      <w:r w:rsidRPr="003F2E2C">
        <w:rPr>
          <w:rFonts w:ascii="Times New Roman" w:hAnsi="Times New Roman" w:cs="Times New Roman"/>
          <w:sz w:val="24"/>
          <w:szCs w:val="24"/>
        </w:rPr>
        <w:t>e</w:t>
      </w:r>
      <w:r w:rsidR="00B01ADF" w:rsidRPr="003F2E2C">
        <w:rPr>
          <w:rFonts w:ascii="Times New Roman" w:hAnsi="Times New Roman" w:cs="Times New Roman"/>
          <w:sz w:val="24"/>
          <w:szCs w:val="24"/>
        </w:rPr>
        <w:t>.</w:t>
      </w:r>
      <w:r w:rsidRPr="003F2E2C">
        <w:rPr>
          <w:rFonts w:ascii="Times New Roman" w:hAnsi="Times New Roman" w:cs="Times New Roman"/>
          <w:sz w:val="24"/>
          <w:szCs w:val="24"/>
        </w:rPr>
        <w:t xml:space="preserve"> secondary or tertiary institution). The purpose of this division was to examine the impact of the independent variables on secondary and tertiary students separately. The results of the sub-sample analysis from Table 4 indicate that academic interest and learning attitude have</w:t>
      </w:r>
      <w:r w:rsidR="004D3D73"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statistically</w:t>
      </w:r>
      <w:r w:rsidRPr="003F2E2C">
        <w:rPr>
          <w:rFonts w:ascii="Times New Roman" w:hAnsi="Times New Roman" w:cs="Times New Roman"/>
          <w:sz w:val="24"/>
          <w:szCs w:val="24"/>
        </w:rPr>
        <w:t xml:space="preserve"> significant relationship with academic performance at both secondary and tertiary levels. However, volition and expectation have</w:t>
      </w:r>
      <w:r w:rsidR="004D3D73"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different</w:t>
      </w:r>
      <w:r w:rsidRPr="003F2E2C">
        <w:rPr>
          <w:rFonts w:ascii="Times New Roman" w:hAnsi="Times New Roman" w:cs="Times New Roman"/>
          <w:sz w:val="24"/>
          <w:szCs w:val="24"/>
        </w:rPr>
        <w:t xml:space="preserve"> effect at both levels of study. While expectation was only significantly positive at</w:t>
      </w:r>
      <w:r w:rsidR="004D3D73" w:rsidRPr="003F2E2C">
        <w:rPr>
          <w:rFonts w:ascii="Times New Roman" w:hAnsi="Times New Roman" w:cs="Times New Roman"/>
          <w:sz w:val="24"/>
          <w:szCs w:val="24"/>
        </w:rPr>
        <w:t xml:space="preserve"> the</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secondary</w:t>
      </w:r>
      <w:r w:rsidRPr="003F2E2C">
        <w:rPr>
          <w:rFonts w:ascii="Times New Roman" w:hAnsi="Times New Roman" w:cs="Times New Roman"/>
          <w:sz w:val="24"/>
          <w:szCs w:val="24"/>
        </w:rPr>
        <w:t xml:space="preserve"> level; volition was significant only at the tertiary level.</w:t>
      </w:r>
    </w:p>
    <w:p w14:paraId="24CF7F83" w14:textId="6C678999" w:rsidR="00D17E8C" w:rsidRPr="003F2E2C" w:rsidRDefault="0013597C" w:rsidP="00D17E8C">
      <w:pPr>
        <w:spacing w:line="360" w:lineRule="auto"/>
        <w:jc w:val="center"/>
        <w:rPr>
          <w:rFonts w:ascii="Times New Roman" w:hAnsi="Times New Roman" w:cs="Times New Roman"/>
          <w:b/>
          <w:sz w:val="24"/>
          <w:szCs w:val="24"/>
        </w:rPr>
      </w:pPr>
      <w:r w:rsidRPr="003F2E2C">
        <w:rPr>
          <w:rFonts w:ascii="Times New Roman" w:hAnsi="Times New Roman" w:cs="Times New Roman"/>
          <w:b/>
          <w:sz w:val="24"/>
          <w:szCs w:val="24"/>
        </w:rPr>
        <w:t xml:space="preserve"> [TABLE 4 ABOUT HERE]</w:t>
      </w:r>
    </w:p>
    <w:p w14:paraId="1FE2C293" w14:textId="77777777" w:rsidR="008B707E" w:rsidRPr="003F2E2C" w:rsidRDefault="008B707E" w:rsidP="00D17E8C">
      <w:pPr>
        <w:spacing w:line="360" w:lineRule="auto"/>
        <w:jc w:val="both"/>
        <w:rPr>
          <w:rFonts w:ascii="Times New Roman" w:hAnsi="Times New Roman" w:cs="Times New Roman"/>
          <w:sz w:val="24"/>
          <w:szCs w:val="24"/>
        </w:rPr>
      </w:pPr>
    </w:p>
    <w:p w14:paraId="1E8F4E05" w14:textId="2C5CC44C" w:rsidR="00D17E8C" w:rsidRPr="003F2E2C" w:rsidRDefault="0013597C" w:rsidP="000E0FA9">
      <w:pPr>
        <w:spacing w:line="360" w:lineRule="auto"/>
        <w:ind w:firstLine="360"/>
        <w:jc w:val="both"/>
        <w:rPr>
          <w:rFonts w:ascii="Times New Roman" w:hAnsi="Times New Roman" w:cs="Times New Roman"/>
          <w:sz w:val="24"/>
          <w:szCs w:val="24"/>
        </w:rPr>
      </w:pPr>
      <w:r w:rsidRPr="003F2E2C">
        <w:rPr>
          <w:rFonts w:ascii="Times New Roman" w:hAnsi="Times New Roman" w:cs="Times New Roman"/>
          <w:sz w:val="24"/>
          <w:szCs w:val="24"/>
        </w:rPr>
        <w:t>This may indicate that at second</w:t>
      </w:r>
      <w:r w:rsidR="00E328E3" w:rsidRPr="003F2E2C">
        <w:rPr>
          <w:rFonts w:ascii="Times New Roman" w:hAnsi="Times New Roman" w:cs="Times New Roman"/>
          <w:sz w:val="24"/>
          <w:szCs w:val="24"/>
        </w:rPr>
        <w:t>ary</w:t>
      </w:r>
      <w:r w:rsidRPr="003F2E2C">
        <w:rPr>
          <w:rFonts w:ascii="Times New Roman" w:hAnsi="Times New Roman" w:cs="Times New Roman"/>
          <w:sz w:val="24"/>
          <w:szCs w:val="24"/>
        </w:rPr>
        <w:t xml:space="preserve"> level accounting students may have very high expectation about the fu</w:t>
      </w:r>
      <w:r w:rsidR="007C461A" w:rsidRPr="003F2E2C">
        <w:rPr>
          <w:rFonts w:ascii="Times New Roman" w:hAnsi="Times New Roman" w:cs="Times New Roman"/>
          <w:sz w:val="24"/>
          <w:szCs w:val="24"/>
        </w:rPr>
        <w:t>ture due to their programme. T</w:t>
      </w:r>
      <w:r w:rsidRPr="003F2E2C">
        <w:rPr>
          <w:rFonts w:ascii="Times New Roman" w:hAnsi="Times New Roman" w:cs="Times New Roman"/>
          <w:sz w:val="24"/>
          <w:szCs w:val="24"/>
        </w:rPr>
        <w:t>his has</w:t>
      </w:r>
      <w:r w:rsidR="004D3D73"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w:t>
      </w:r>
      <w:r w:rsidRPr="003F2E2C">
        <w:rPr>
          <w:rFonts w:ascii="Times New Roman" w:hAnsi="Times New Roman" w:cs="Times New Roman"/>
          <w:sz w:val="24"/>
          <w:szCs w:val="24"/>
        </w:rPr>
        <w:t xml:space="preserve"> effect on their academic performance but guidance in course choice is important since volition has no significant effect on academic performance. </w:t>
      </w:r>
      <w:r w:rsidR="00F27E59" w:rsidRPr="003F2E2C">
        <w:rPr>
          <w:rFonts w:ascii="Times New Roman" w:hAnsi="Times New Roman" w:cs="Times New Roman"/>
          <w:sz w:val="24"/>
          <w:szCs w:val="24"/>
        </w:rPr>
        <w:t>T</w:t>
      </w:r>
      <w:r w:rsidR="00A07455" w:rsidRPr="003F2E2C">
        <w:rPr>
          <w:rFonts w:ascii="Times New Roman" w:hAnsi="Times New Roman" w:cs="Times New Roman"/>
          <w:sz w:val="24"/>
          <w:szCs w:val="24"/>
        </w:rPr>
        <w:t xml:space="preserve">he insignificant effect of volition at the secondary level may also be attributed to strict Ghanaian culture of </w:t>
      </w:r>
      <w:r w:rsidR="00052F22" w:rsidRPr="003F2E2C">
        <w:rPr>
          <w:rFonts w:ascii="Times New Roman" w:hAnsi="Times New Roman" w:cs="Times New Roman"/>
          <w:sz w:val="24"/>
          <w:szCs w:val="24"/>
        </w:rPr>
        <w:t>parent/guar</w:t>
      </w:r>
      <w:r w:rsidR="00F27E59" w:rsidRPr="003F2E2C">
        <w:rPr>
          <w:rFonts w:ascii="Times New Roman" w:hAnsi="Times New Roman" w:cs="Times New Roman"/>
          <w:sz w:val="24"/>
          <w:szCs w:val="24"/>
        </w:rPr>
        <w:t>d</w:t>
      </w:r>
      <w:r w:rsidR="00052F22" w:rsidRPr="003F2E2C">
        <w:rPr>
          <w:rFonts w:ascii="Times New Roman" w:hAnsi="Times New Roman" w:cs="Times New Roman"/>
          <w:sz w:val="24"/>
          <w:szCs w:val="24"/>
        </w:rPr>
        <w:t>i</w:t>
      </w:r>
      <w:r w:rsidR="00F27E59" w:rsidRPr="003F2E2C">
        <w:rPr>
          <w:rFonts w:ascii="Times New Roman" w:hAnsi="Times New Roman" w:cs="Times New Roman"/>
          <w:sz w:val="24"/>
          <w:szCs w:val="24"/>
        </w:rPr>
        <w:t xml:space="preserve">an having greater input in course choices at this level. However, this influence decreases as one moves up the educational ladder which may increase </w:t>
      </w:r>
      <w:r w:rsidR="00732054" w:rsidRPr="003F2E2C">
        <w:rPr>
          <w:rFonts w:ascii="Times New Roman" w:hAnsi="Times New Roman" w:cs="Times New Roman"/>
          <w:sz w:val="24"/>
          <w:szCs w:val="24"/>
        </w:rPr>
        <w:t xml:space="preserve">the impact of </w:t>
      </w:r>
      <w:r w:rsidR="00F27E59" w:rsidRPr="003F2E2C">
        <w:rPr>
          <w:rFonts w:ascii="Times New Roman" w:hAnsi="Times New Roman" w:cs="Times New Roman"/>
          <w:sz w:val="24"/>
          <w:szCs w:val="24"/>
        </w:rPr>
        <w:t>volition at the tertiary.</w:t>
      </w:r>
      <w:r w:rsidR="00A07455" w:rsidRPr="003F2E2C">
        <w:rPr>
          <w:rFonts w:ascii="Times New Roman" w:hAnsi="Times New Roman" w:cs="Times New Roman"/>
          <w:sz w:val="24"/>
          <w:szCs w:val="24"/>
        </w:rPr>
        <w:t xml:space="preserve"> </w:t>
      </w:r>
      <w:r w:rsidRPr="003F2E2C">
        <w:rPr>
          <w:rFonts w:ascii="Times New Roman" w:hAnsi="Times New Roman" w:cs="Times New Roman"/>
          <w:sz w:val="24"/>
          <w:szCs w:val="24"/>
        </w:rPr>
        <w:t>On the other hand, tertiary accounting students’ expectation might have decr</w:t>
      </w:r>
      <w:r w:rsidR="00B47C38" w:rsidRPr="003F2E2C">
        <w:rPr>
          <w:rFonts w:ascii="Times New Roman" w:hAnsi="Times New Roman" w:cs="Times New Roman"/>
          <w:sz w:val="24"/>
          <w:szCs w:val="24"/>
        </w:rPr>
        <w:t>eased due to</w:t>
      </w:r>
      <w:r w:rsidR="004D3D73" w:rsidRPr="003F2E2C">
        <w:rPr>
          <w:rFonts w:ascii="Times New Roman" w:hAnsi="Times New Roman" w:cs="Times New Roman"/>
          <w:sz w:val="24"/>
          <w:szCs w:val="24"/>
        </w:rPr>
        <w:t xml:space="preserve"> the</w:t>
      </w:r>
      <w:r w:rsidR="00B47C38" w:rsidRPr="003F2E2C">
        <w:rPr>
          <w:rFonts w:ascii="Times New Roman" w:hAnsi="Times New Roman" w:cs="Times New Roman"/>
          <w:sz w:val="24"/>
          <w:szCs w:val="24"/>
        </w:rPr>
        <w:t xml:space="preserve"> </w:t>
      </w:r>
      <w:r w:rsidR="00B47C38" w:rsidRPr="003F2E2C">
        <w:rPr>
          <w:rFonts w:ascii="Times New Roman" w:hAnsi="Times New Roman" w:cs="Times New Roman"/>
          <w:noProof/>
          <w:sz w:val="24"/>
          <w:szCs w:val="24"/>
        </w:rPr>
        <w:t>acquisition</w:t>
      </w:r>
      <w:r w:rsidR="00B47C38" w:rsidRPr="003F2E2C">
        <w:rPr>
          <w:rFonts w:ascii="Times New Roman" w:hAnsi="Times New Roman" w:cs="Times New Roman"/>
          <w:sz w:val="24"/>
          <w:szCs w:val="24"/>
        </w:rPr>
        <w:t xml:space="preserve"> of</w:t>
      </w:r>
      <w:r w:rsidR="00F27E59" w:rsidRPr="003F2E2C">
        <w:rPr>
          <w:rFonts w:ascii="Times New Roman" w:hAnsi="Times New Roman" w:cs="Times New Roman"/>
          <w:sz w:val="24"/>
          <w:szCs w:val="24"/>
        </w:rPr>
        <w:t xml:space="preserve"> </w:t>
      </w:r>
      <w:r w:rsidR="00B47C38" w:rsidRPr="003F2E2C">
        <w:rPr>
          <w:rFonts w:ascii="Times New Roman" w:hAnsi="Times New Roman" w:cs="Times New Roman"/>
          <w:sz w:val="24"/>
          <w:szCs w:val="24"/>
        </w:rPr>
        <w:t>unfavourable</w:t>
      </w:r>
      <w:r w:rsidRPr="003F2E2C">
        <w:rPr>
          <w:rFonts w:ascii="Times New Roman" w:hAnsi="Times New Roman" w:cs="Times New Roman"/>
          <w:sz w:val="24"/>
          <w:szCs w:val="24"/>
        </w:rPr>
        <w:t xml:space="preserve"> information</w:t>
      </w:r>
      <w:r w:rsidR="00B47C38" w:rsidRPr="003F2E2C">
        <w:rPr>
          <w:rFonts w:ascii="Times New Roman" w:hAnsi="Times New Roman" w:cs="Times New Roman"/>
          <w:sz w:val="24"/>
          <w:szCs w:val="24"/>
        </w:rPr>
        <w:t xml:space="preserve"> relating</w:t>
      </w:r>
      <w:r w:rsidRPr="003F2E2C">
        <w:rPr>
          <w:rFonts w:ascii="Times New Roman" w:hAnsi="Times New Roman" w:cs="Times New Roman"/>
          <w:sz w:val="24"/>
          <w:szCs w:val="24"/>
        </w:rPr>
        <w:t xml:space="preserve"> to </w:t>
      </w:r>
      <w:r w:rsidR="00B47C38" w:rsidRPr="003F2E2C">
        <w:rPr>
          <w:rFonts w:ascii="Times New Roman" w:hAnsi="Times New Roman" w:cs="Times New Roman"/>
          <w:sz w:val="24"/>
          <w:szCs w:val="24"/>
        </w:rPr>
        <w:t xml:space="preserve">the </w:t>
      </w:r>
      <w:r w:rsidRPr="003F2E2C">
        <w:rPr>
          <w:rFonts w:ascii="Times New Roman" w:hAnsi="Times New Roman" w:cs="Times New Roman"/>
          <w:sz w:val="24"/>
          <w:szCs w:val="24"/>
        </w:rPr>
        <w:t>accounting profession both from real case studies and academic practitioners</w:t>
      </w:r>
      <w:r w:rsidR="00B7311C" w:rsidRPr="003F2E2C">
        <w:rPr>
          <w:rFonts w:ascii="Times New Roman" w:hAnsi="Times New Roman" w:cs="Times New Roman"/>
          <w:sz w:val="24"/>
          <w:szCs w:val="24"/>
        </w:rPr>
        <w:t xml:space="preserve"> which might </w:t>
      </w:r>
      <w:r w:rsidR="00B47C38" w:rsidRPr="003F2E2C">
        <w:rPr>
          <w:rFonts w:ascii="Times New Roman" w:hAnsi="Times New Roman" w:cs="Times New Roman"/>
          <w:sz w:val="24"/>
          <w:szCs w:val="24"/>
        </w:rPr>
        <w:t>have</w:t>
      </w:r>
      <w:r w:rsidR="00B7311C" w:rsidRPr="003F2E2C">
        <w:rPr>
          <w:rFonts w:ascii="Times New Roman" w:hAnsi="Times New Roman" w:cs="Times New Roman"/>
          <w:sz w:val="24"/>
          <w:szCs w:val="24"/>
        </w:rPr>
        <w:t xml:space="preserve"> been</w:t>
      </w:r>
      <w:r w:rsidR="00B47C38" w:rsidRPr="003F2E2C">
        <w:rPr>
          <w:rFonts w:ascii="Times New Roman" w:hAnsi="Times New Roman" w:cs="Times New Roman"/>
          <w:sz w:val="24"/>
          <w:szCs w:val="24"/>
        </w:rPr>
        <w:t xml:space="preserve"> </w:t>
      </w:r>
      <w:r w:rsidR="00B7311C" w:rsidRPr="003F2E2C">
        <w:rPr>
          <w:rFonts w:ascii="Times New Roman" w:hAnsi="Times New Roman" w:cs="Times New Roman"/>
          <w:sz w:val="24"/>
          <w:szCs w:val="24"/>
        </w:rPr>
        <w:t>un</w:t>
      </w:r>
      <w:r w:rsidR="00B47C38" w:rsidRPr="003F2E2C">
        <w:rPr>
          <w:rFonts w:ascii="Times New Roman" w:hAnsi="Times New Roman" w:cs="Times New Roman"/>
          <w:sz w:val="24"/>
          <w:szCs w:val="24"/>
        </w:rPr>
        <w:t>known to them earlier</w:t>
      </w:r>
      <w:r w:rsidRPr="003F2E2C">
        <w:rPr>
          <w:rFonts w:ascii="Times New Roman" w:hAnsi="Times New Roman" w:cs="Times New Roman"/>
          <w:sz w:val="24"/>
          <w:szCs w:val="24"/>
        </w:rPr>
        <w:t xml:space="preserve">. However, the effect of volition </w:t>
      </w:r>
      <w:r w:rsidR="00A83A9D" w:rsidRPr="003F2E2C">
        <w:rPr>
          <w:rFonts w:ascii="Times New Roman" w:hAnsi="Times New Roman" w:cs="Times New Roman"/>
          <w:sz w:val="24"/>
          <w:szCs w:val="24"/>
        </w:rPr>
        <w:t xml:space="preserve">on academic performance </w:t>
      </w:r>
      <w:r w:rsidRPr="003F2E2C">
        <w:rPr>
          <w:rFonts w:ascii="Times New Roman" w:hAnsi="Times New Roman" w:cs="Times New Roman"/>
          <w:sz w:val="24"/>
          <w:szCs w:val="24"/>
        </w:rPr>
        <w:t>is significant</w:t>
      </w:r>
      <w:r w:rsidR="00A83A9D" w:rsidRPr="003F2E2C">
        <w:rPr>
          <w:rFonts w:ascii="Times New Roman" w:hAnsi="Times New Roman" w:cs="Times New Roman"/>
          <w:sz w:val="24"/>
          <w:szCs w:val="24"/>
        </w:rPr>
        <w:t>. This may</w:t>
      </w:r>
      <w:r w:rsidR="00B7311C" w:rsidRPr="003F2E2C">
        <w:rPr>
          <w:rFonts w:ascii="Times New Roman" w:hAnsi="Times New Roman" w:cs="Times New Roman"/>
          <w:sz w:val="24"/>
          <w:szCs w:val="24"/>
        </w:rPr>
        <w:t xml:space="preserve"> be as a result of t</w:t>
      </w:r>
      <w:r w:rsidR="003706E3" w:rsidRPr="003F2E2C">
        <w:rPr>
          <w:rFonts w:ascii="Times New Roman" w:hAnsi="Times New Roman" w:cs="Times New Roman"/>
          <w:sz w:val="24"/>
          <w:szCs w:val="24"/>
        </w:rPr>
        <w:t>he</w:t>
      </w:r>
      <w:r w:rsidR="00A83A9D" w:rsidRPr="003F2E2C">
        <w:rPr>
          <w:rFonts w:ascii="Times New Roman" w:hAnsi="Times New Roman" w:cs="Times New Roman"/>
          <w:sz w:val="24"/>
          <w:szCs w:val="24"/>
        </w:rPr>
        <w:t xml:space="preserve"> lessening of </w:t>
      </w:r>
      <w:r w:rsidR="00B7311C" w:rsidRPr="003F2E2C">
        <w:rPr>
          <w:rFonts w:ascii="Times New Roman" w:hAnsi="Times New Roman" w:cs="Times New Roman"/>
          <w:sz w:val="24"/>
          <w:szCs w:val="24"/>
        </w:rPr>
        <w:t xml:space="preserve">the </w:t>
      </w:r>
      <w:r w:rsidR="00A83A9D" w:rsidRPr="003F2E2C">
        <w:rPr>
          <w:rFonts w:ascii="Times New Roman" w:hAnsi="Times New Roman" w:cs="Times New Roman"/>
          <w:sz w:val="24"/>
          <w:szCs w:val="24"/>
        </w:rPr>
        <w:t xml:space="preserve">Ghanaian control culture which </w:t>
      </w:r>
      <w:r w:rsidR="00A83A9D" w:rsidRPr="003F2E2C">
        <w:rPr>
          <w:rFonts w:ascii="Times New Roman" w:hAnsi="Times New Roman" w:cs="Times New Roman"/>
          <w:noProof/>
          <w:sz w:val="24"/>
          <w:szCs w:val="24"/>
        </w:rPr>
        <w:t>make</w:t>
      </w:r>
      <w:r w:rsidR="00540DC5" w:rsidRPr="003F2E2C">
        <w:rPr>
          <w:rFonts w:ascii="Times New Roman" w:hAnsi="Times New Roman" w:cs="Times New Roman"/>
          <w:noProof/>
          <w:sz w:val="24"/>
          <w:szCs w:val="24"/>
        </w:rPr>
        <w:t>s</w:t>
      </w:r>
      <w:r w:rsidR="00A83A9D" w:rsidRPr="003F2E2C">
        <w:rPr>
          <w:rFonts w:ascii="Times New Roman" w:hAnsi="Times New Roman" w:cs="Times New Roman"/>
          <w:sz w:val="24"/>
          <w:szCs w:val="24"/>
        </w:rPr>
        <w:t xml:space="preserve"> the Ghanaian accounting students get the</w:t>
      </w:r>
      <w:r w:rsidR="003706E3" w:rsidRPr="003F2E2C">
        <w:rPr>
          <w:rFonts w:ascii="Times New Roman" w:hAnsi="Times New Roman" w:cs="Times New Roman"/>
          <w:sz w:val="24"/>
          <w:szCs w:val="24"/>
        </w:rPr>
        <w:t xml:space="preserve"> feel of being in charge of important future decisions</w:t>
      </w:r>
      <w:r w:rsidR="00B7311C" w:rsidRPr="003F2E2C">
        <w:rPr>
          <w:rFonts w:ascii="Times New Roman" w:hAnsi="Times New Roman" w:cs="Times New Roman"/>
          <w:sz w:val="24"/>
          <w:szCs w:val="24"/>
        </w:rPr>
        <w:t>. T</w:t>
      </w:r>
      <w:r w:rsidRPr="003F2E2C">
        <w:rPr>
          <w:rFonts w:ascii="Times New Roman" w:hAnsi="Times New Roman" w:cs="Times New Roman"/>
          <w:sz w:val="24"/>
          <w:szCs w:val="24"/>
        </w:rPr>
        <w:t>he feel of</w:t>
      </w:r>
      <w:r w:rsidR="00A83A9D" w:rsidRPr="003F2E2C">
        <w:rPr>
          <w:rFonts w:ascii="Times New Roman" w:hAnsi="Times New Roman" w:cs="Times New Roman"/>
          <w:sz w:val="24"/>
          <w:szCs w:val="24"/>
        </w:rPr>
        <w:t xml:space="preserve"> academic maturity and the need to</w:t>
      </w:r>
      <w:r w:rsidRPr="003F2E2C">
        <w:rPr>
          <w:rFonts w:ascii="Times New Roman" w:hAnsi="Times New Roman" w:cs="Times New Roman"/>
          <w:sz w:val="24"/>
          <w:szCs w:val="24"/>
        </w:rPr>
        <w:t xml:space="preserve"> avoi</w:t>
      </w:r>
      <w:r w:rsidR="00A83A9D" w:rsidRPr="003F2E2C">
        <w:rPr>
          <w:rFonts w:ascii="Times New Roman" w:hAnsi="Times New Roman" w:cs="Times New Roman"/>
          <w:sz w:val="24"/>
          <w:szCs w:val="24"/>
        </w:rPr>
        <w:t>d</w:t>
      </w:r>
      <w:r w:rsidR="006B6B45" w:rsidRPr="003F2E2C">
        <w:rPr>
          <w:rFonts w:ascii="Times New Roman" w:hAnsi="Times New Roman" w:cs="Times New Roman"/>
          <w:sz w:val="24"/>
          <w:szCs w:val="24"/>
        </w:rPr>
        <w:t xml:space="preserve"> </w:t>
      </w:r>
      <w:r w:rsidR="006B6B45" w:rsidRPr="003F2E2C">
        <w:rPr>
          <w:rFonts w:ascii="Times New Roman" w:hAnsi="Times New Roman" w:cs="Times New Roman"/>
          <w:noProof/>
          <w:sz w:val="24"/>
          <w:szCs w:val="24"/>
        </w:rPr>
        <w:t>social</w:t>
      </w:r>
      <w:r w:rsidR="006B6B45" w:rsidRPr="003F2E2C">
        <w:rPr>
          <w:rFonts w:ascii="Times New Roman" w:hAnsi="Times New Roman" w:cs="Times New Roman"/>
          <w:sz w:val="24"/>
          <w:szCs w:val="24"/>
        </w:rPr>
        <w:t xml:space="preserve"> humiliation</w:t>
      </w:r>
      <w:r w:rsidR="00FD6701" w:rsidRPr="003F2E2C">
        <w:rPr>
          <w:rFonts w:ascii="Times New Roman" w:hAnsi="Times New Roman" w:cs="Times New Roman"/>
          <w:sz w:val="24"/>
          <w:szCs w:val="24"/>
        </w:rPr>
        <w:t xml:space="preserve"> of being seen as a failure in handling his/her own affairs</w:t>
      </w:r>
      <w:r w:rsidR="003C4053" w:rsidRPr="003F2E2C">
        <w:rPr>
          <w:rFonts w:ascii="Times New Roman" w:hAnsi="Times New Roman" w:cs="Times New Roman"/>
          <w:sz w:val="24"/>
          <w:szCs w:val="24"/>
        </w:rPr>
        <w:t xml:space="preserve"> may be contributing to</w:t>
      </w:r>
      <w:r w:rsidR="00B7311C" w:rsidRPr="003F2E2C">
        <w:rPr>
          <w:rFonts w:ascii="Times New Roman" w:hAnsi="Times New Roman" w:cs="Times New Roman"/>
          <w:sz w:val="24"/>
          <w:szCs w:val="24"/>
        </w:rPr>
        <w:t xml:space="preserve"> this result.</w:t>
      </w:r>
      <w:r w:rsidR="006B6B45" w:rsidRPr="003F2E2C">
        <w:rPr>
          <w:rFonts w:ascii="Times New Roman" w:hAnsi="Times New Roman" w:cs="Times New Roman"/>
          <w:sz w:val="24"/>
          <w:szCs w:val="24"/>
        </w:rPr>
        <w:t xml:space="preserve"> </w:t>
      </w:r>
      <w:r w:rsidR="00B01ADF" w:rsidRPr="003F2E2C">
        <w:rPr>
          <w:rFonts w:ascii="Times New Roman" w:hAnsi="Times New Roman" w:cs="Times New Roman"/>
          <w:noProof/>
          <w:sz w:val="24"/>
          <w:szCs w:val="24"/>
        </w:rPr>
        <w:t>A</w:t>
      </w:r>
      <w:r w:rsidR="000E25CE" w:rsidRPr="003F2E2C">
        <w:rPr>
          <w:rFonts w:ascii="Times New Roman" w:hAnsi="Times New Roman" w:cs="Times New Roman"/>
          <w:noProof/>
          <w:sz w:val="24"/>
          <w:szCs w:val="24"/>
        </w:rPr>
        <w:t>lso</w:t>
      </w:r>
      <w:r w:rsidR="004D3D73" w:rsidRPr="003F2E2C">
        <w:rPr>
          <w:rFonts w:ascii="Times New Roman" w:hAnsi="Times New Roman" w:cs="Times New Roman"/>
          <w:noProof/>
          <w:sz w:val="24"/>
          <w:szCs w:val="24"/>
        </w:rPr>
        <w:t>,</w:t>
      </w:r>
      <w:r w:rsidR="000E25CE" w:rsidRPr="003F2E2C">
        <w:rPr>
          <w:rFonts w:ascii="Times New Roman" w:hAnsi="Times New Roman" w:cs="Times New Roman"/>
          <w:sz w:val="24"/>
          <w:szCs w:val="24"/>
        </w:rPr>
        <w:t xml:space="preserve"> </w:t>
      </w:r>
      <w:r w:rsidRPr="003F2E2C">
        <w:rPr>
          <w:rFonts w:ascii="Times New Roman" w:hAnsi="Times New Roman" w:cs="Times New Roman"/>
          <w:sz w:val="24"/>
          <w:szCs w:val="24"/>
        </w:rPr>
        <w:t>gender only has significant influence among accounting students at the secondary level. This may suggest that at the tertiary level, the culturally stereotype notion of females being lesser of the two genders in need of education might have given way to equality and ability.</w:t>
      </w:r>
    </w:p>
    <w:p w14:paraId="446314EF" w14:textId="77777777" w:rsidR="00371B4A" w:rsidRPr="003F2E2C" w:rsidRDefault="00371B4A" w:rsidP="00371B4A">
      <w:pPr>
        <w:spacing w:after="0" w:line="360" w:lineRule="auto"/>
        <w:jc w:val="both"/>
        <w:rPr>
          <w:rFonts w:ascii="Times New Roman" w:hAnsi="Times New Roman" w:cs="Times New Roman"/>
          <w:b/>
          <w:sz w:val="24"/>
          <w:szCs w:val="24"/>
        </w:rPr>
      </w:pPr>
    </w:p>
    <w:p w14:paraId="34547B1F" w14:textId="77777777" w:rsidR="006760B6" w:rsidRPr="003F2E2C" w:rsidRDefault="0013597C" w:rsidP="00161EBC">
      <w:pPr>
        <w:pStyle w:val="ListParagraph"/>
        <w:numPr>
          <w:ilvl w:val="0"/>
          <w:numId w:val="16"/>
        </w:numPr>
        <w:spacing w:line="360" w:lineRule="auto"/>
        <w:jc w:val="both"/>
        <w:rPr>
          <w:rFonts w:ascii="Times New Roman" w:hAnsi="Times New Roman" w:cs="Times New Roman"/>
          <w:b/>
          <w:sz w:val="24"/>
          <w:szCs w:val="24"/>
        </w:rPr>
      </w:pPr>
      <w:r w:rsidRPr="003F2E2C">
        <w:rPr>
          <w:rFonts w:ascii="Times New Roman" w:hAnsi="Times New Roman" w:cs="Times New Roman"/>
          <w:b/>
          <w:sz w:val="24"/>
          <w:szCs w:val="24"/>
        </w:rPr>
        <w:t xml:space="preserve">Summary </w:t>
      </w:r>
      <w:r w:rsidR="002F06F5" w:rsidRPr="003F2E2C">
        <w:rPr>
          <w:rFonts w:ascii="Times New Roman" w:hAnsi="Times New Roman" w:cs="Times New Roman"/>
          <w:b/>
          <w:sz w:val="24"/>
          <w:szCs w:val="24"/>
        </w:rPr>
        <w:t>and Conclusion</w:t>
      </w:r>
    </w:p>
    <w:p w14:paraId="7B7C82EF" w14:textId="231EBA4B" w:rsidR="00711BBC" w:rsidRPr="003F2E2C" w:rsidRDefault="0013597C" w:rsidP="00F84F8A">
      <w:pPr>
        <w:spacing w:after="0" w:line="360" w:lineRule="auto"/>
        <w:ind w:firstLine="360"/>
        <w:jc w:val="both"/>
        <w:rPr>
          <w:rFonts w:ascii="Times New Roman" w:hAnsi="Times New Roman" w:cs="Times New Roman"/>
          <w:sz w:val="24"/>
          <w:szCs w:val="24"/>
        </w:rPr>
      </w:pPr>
      <w:r w:rsidRPr="003F2E2C">
        <w:rPr>
          <w:rFonts w:ascii="Times New Roman" w:hAnsi="Times New Roman" w:cs="Times New Roman"/>
          <w:sz w:val="24"/>
          <w:szCs w:val="24"/>
        </w:rPr>
        <w:t xml:space="preserve">The objective of the study was to investigate the </w:t>
      </w:r>
      <w:r w:rsidR="00F84F8A" w:rsidRPr="003F2E2C">
        <w:rPr>
          <w:rFonts w:ascii="Times New Roman" w:hAnsi="Times New Roman" w:cs="Times New Roman"/>
          <w:sz w:val="24"/>
          <w:szCs w:val="24"/>
        </w:rPr>
        <w:t>determinants of academic</w:t>
      </w:r>
      <w:r w:rsidRPr="003F2E2C">
        <w:rPr>
          <w:rFonts w:ascii="Times New Roman" w:hAnsi="Times New Roman" w:cs="Times New Roman"/>
          <w:sz w:val="24"/>
          <w:szCs w:val="24"/>
        </w:rPr>
        <w:t xml:space="preserve"> performance of </w:t>
      </w:r>
      <w:r w:rsidR="00B01ADF" w:rsidRPr="003F2E2C">
        <w:rPr>
          <w:rFonts w:ascii="Times New Roman" w:hAnsi="Times New Roman" w:cs="Times New Roman"/>
          <w:sz w:val="24"/>
          <w:szCs w:val="24"/>
        </w:rPr>
        <w:t xml:space="preserve">Ghanaian </w:t>
      </w:r>
      <w:r w:rsidR="00F77660" w:rsidRPr="003F2E2C">
        <w:rPr>
          <w:rFonts w:ascii="Times New Roman" w:hAnsi="Times New Roman" w:cs="Times New Roman"/>
          <w:sz w:val="24"/>
          <w:szCs w:val="24"/>
        </w:rPr>
        <w:t>secondary and tertiary</w:t>
      </w:r>
      <w:r w:rsidR="00B01ADF"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ccounting students. </w:t>
      </w:r>
      <w:r w:rsidR="00145AB7" w:rsidRPr="003F2E2C">
        <w:rPr>
          <w:rFonts w:ascii="Times New Roman" w:hAnsi="Times New Roman" w:cs="Times New Roman"/>
          <w:sz w:val="24"/>
          <w:szCs w:val="24"/>
        </w:rPr>
        <w:t xml:space="preserve">The results from the regression analysis indicate that </w:t>
      </w:r>
      <w:r w:rsidRPr="003F2E2C">
        <w:rPr>
          <w:rFonts w:ascii="Times New Roman" w:hAnsi="Times New Roman" w:cs="Times New Roman"/>
          <w:sz w:val="24"/>
          <w:szCs w:val="24"/>
        </w:rPr>
        <w:t>accounting</w:t>
      </w:r>
      <w:r w:rsidR="00145AB7" w:rsidRPr="003F2E2C">
        <w:rPr>
          <w:rFonts w:ascii="Times New Roman" w:hAnsi="Times New Roman" w:cs="Times New Roman"/>
          <w:sz w:val="24"/>
          <w:szCs w:val="24"/>
        </w:rPr>
        <w:t xml:space="preserve"> students’ expectation </w:t>
      </w:r>
      <w:r w:rsidRPr="003F2E2C">
        <w:rPr>
          <w:rFonts w:ascii="Times New Roman" w:hAnsi="Times New Roman" w:cs="Times New Roman"/>
          <w:sz w:val="24"/>
          <w:szCs w:val="24"/>
        </w:rPr>
        <w:t xml:space="preserve">and volition have </w:t>
      </w:r>
      <w:r w:rsidR="00B01ADF" w:rsidRPr="003F2E2C">
        <w:rPr>
          <w:rFonts w:ascii="Times New Roman" w:hAnsi="Times New Roman" w:cs="Times New Roman"/>
          <w:sz w:val="24"/>
          <w:szCs w:val="24"/>
        </w:rPr>
        <w:t xml:space="preserve">a </w:t>
      </w:r>
      <w:r w:rsidRPr="003F2E2C">
        <w:rPr>
          <w:rFonts w:ascii="Times New Roman" w:hAnsi="Times New Roman" w:cs="Times New Roman"/>
          <w:sz w:val="24"/>
          <w:szCs w:val="24"/>
        </w:rPr>
        <w:t>significant</w:t>
      </w:r>
      <w:r w:rsidR="002C31D6" w:rsidRPr="003F2E2C">
        <w:rPr>
          <w:rFonts w:ascii="Times New Roman" w:hAnsi="Times New Roman" w:cs="Times New Roman"/>
          <w:sz w:val="24"/>
          <w:szCs w:val="24"/>
        </w:rPr>
        <w:t xml:space="preserve"> positive</w:t>
      </w:r>
      <w:r w:rsidRPr="003F2E2C">
        <w:rPr>
          <w:rFonts w:ascii="Times New Roman" w:hAnsi="Times New Roman" w:cs="Times New Roman"/>
          <w:sz w:val="24"/>
          <w:szCs w:val="24"/>
        </w:rPr>
        <w:t xml:space="preserve"> association with academic performance. </w:t>
      </w:r>
      <w:r w:rsidR="002540FB" w:rsidRPr="003F2E2C">
        <w:rPr>
          <w:rFonts w:ascii="Times New Roman" w:hAnsi="Times New Roman" w:cs="Times New Roman"/>
          <w:sz w:val="24"/>
          <w:szCs w:val="24"/>
        </w:rPr>
        <w:t xml:space="preserve">However, the effect of expectation and volition differ at the secondary and tertiary levels of study.  </w:t>
      </w:r>
      <w:r w:rsidRPr="003F2E2C">
        <w:rPr>
          <w:rFonts w:ascii="Times New Roman" w:hAnsi="Times New Roman" w:cs="Times New Roman"/>
          <w:sz w:val="24"/>
          <w:szCs w:val="24"/>
        </w:rPr>
        <w:t xml:space="preserve">Our results </w:t>
      </w:r>
      <w:r w:rsidR="00280976" w:rsidRPr="003F2E2C">
        <w:rPr>
          <w:rFonts w:ascii="Times New Roman" w:hAnsi="Times New Roman" w:cs="Times New Roman"/>
          <w:sz w:val="24"/>
          <w:szCs w:val="24"/>
        </w:rPr>
        <w:t xml:space="preserve">also indicate that interest and learning </w:t>
      </w:r>
      <w:r w:rsidRPr="003F2E2C">
        <w:rPr>
          <w:rFonts w:ascii="Times New Roman" w:hAnsi="Times New Roman" w:cs="Times New Roman"/>
          <w:sz w:val="24"/>
          <w:szCs w:val="24"/>
        </w:rPr>
        <w:t>attitude have</w:t>
      </w:r>
      <w:r w:rsidR="004D3D73" w:rsidRPr="003F2E2C">
        <w:rPr>
          <w:rFonts w:ascii="Times New Roman" w:hAnsi="Times New Roman" w:cs="Times New Roman"/>
          <w:sz w:val="24"/>
          <w:szCs w:val="24"/>
        </w:rPr>
        <w:t xml:space="preserve"> a</w:t>
      </w:r>
      <w:r w:rsidRPr="003F2E2C">
        <w:rPr>
          <w:rFonts w:ascii="Times New Roman" w:hAnsi="Times New Roman" w:cs="Times New Roman"/>
          <w:sz w:val="24"/>
          <w:szCs w:val="24"/>
        </w:rPr>
        <w:t xml:space="preserve"> </w:t>
      </w:r>
      <w:r w:rsidRPr="003F2E2C">
        <w:rPr>
          <w:rFonts w:ascii="Times New Roman" w:hAnsi="Times New Roman" w:cs="Times New Roman"/>
          <w:noProof/>
          <w:sz w:val="24"/>
          <w:szCs w:val="24"/>
        </w:rPr>
        <w:t>significantly</w:t>
      </w:r>
      <w:r w:rsidRPr="003F2E2C">
        <w:rPr>
          <w:rFonts w:ascii="Times New Roman" w:hAnsi="Times New Roman" w:cs="Times New Roman"/>
          <w:sz w:val="24"/>
          <w:szCs w:val="24"/>
        </w:rPr>
        <w:t xml:space="preserve"> positive association with academic performance.</w:t>
      </w:r>
      <w:r w:rsidR="00FF754C" w:rsidRPr="003F2E2C">
        <w:rPr>
          <w:rFonts w:ascii="Times New Roman" w:hAnsi="Times New Roman" w:cs="Times New Roman"/>
          <w:sz w:val="24"/>
          <w:szCs w:val="24"/>
        </w:rPr>
        <w:t xml:space="preserve"> The results provide much insight into the determinants of accounting students’ academic performance</w:t>
      </w:r>
      <w:r w:rsidR="00B26434" w:rsidRPr="003F2E2C">
        <w:rPr>
          <w:rFonts w:ascii="Times New Roman" w:hAnsi="Times New Roman" w:cs="Times New Roman"/>
          <w:sz w:val="24"/>
          <w:szCs w:val="24"/>
        </w:rPr>
        <w:t xml:space="preserve"> in Ghana</w:t>
      </w:r>
      <w:r w:rsidR="00FF754C" w:rsidRPr="003F2E2C">
        <w:rPr>
          <w:rFonts w:ascii="Times New Roman" w:hAnsi="Times New Roman" w:cs="Times New Roman"/>
          <w:sz w:val="24"/>
          <w:szCs w:val="24"/>
        </w:rPr>
        <w:t xml:space="preserve">. </w:t>
      </w:r>
    </w:p>
    <w:p w14:paraId="424FB9CB" w14:textId="69C78503" w:rsidR="006B1AAD" w:rsidRPr="003F2E2C" w:rsidRDefault="0013597C" w:rsidP="00C15426">
      <w:pPr>
        <w:spacing w:after="0" w:line="360" w:lineRule="auto"/>
        <w:ind w:firstLine="360"/>
        <w:jc w:val="both"/>
        <w:rPr>
          <w:rFonts w:ascii="Times New Roman" w:hAnsi="Times New Roman" w:cs="Times New Roman"/>
          <w:sz w:val="24"/>
          <w:szCs w:val="24"/>
        </w:rPr>
      </w:pPr>
      <w:r w:rsidRPr="003F2E2C">
        <w:rPr>
          <w:rFonts w:ascii="Times New Roman" w:hAnsi="Times New Roman" w:cs="Times New Roman"/>
          <w:sz w:val="24"/>
          <w:szCs w:val="24"/>
        </w:rPr>
        <w:t xml:space="preserve"> </w:t>
      </w:r>
      <w:r w:rsidR="00FE4975" w:rsidRPr="003F2E2C">
        <w:rPr>
          <w:rFonts w:ascii="Times New Roman" w:hAnsi="Times New Roman" w:cs="Times New Roman"/>
          <w:sz w:val="24"/>
          <w:szCs w:val="24"/>
        </w:rPr>
        <w:t>The results of the study demonstrate that in order to improve</w:t>
      </w:r>
      <w:r w:rsidR="000805E1" w:rsidRPr="003F2E2C">
        <w:rPr>
          <w:rFonts w:ascii="Times New Roman" w:hAnsi="Times New Roman" w:cs="Times New Roman"/>
          <w:sz w:val="24"/>
          <w:szCs w:val="24"/>
        </w:rPr>
        <w:t xml:space="preserve"> Ghanaian</w:t>
      </w:r>
      <w:r w:rsidR="00FE4975" w:rsidRPr="003F2E2C">
        <w:rPr>
          <w:rFonts w:ascii="Times New Roman" w:hAnsi="Times New Roman" w:cs="Times New Roman"/>
          <w:sz w:val="24"/>
          <w:szCs w:val="24"/>
        </w:rPr>
        <w:t xml:space="preserve"> accounting</w:t>
      </w:r>
      <w:r w:rsidR="00B26434" w:rsidRPr="003F2E2C">
        <w:rPr>
          <w:rFonts w:ascii="Times New Roman" w:hAnsi="Times New Roman" w:cs="Times New Roman"/>
          <w:sz w:val="24"/>
          <w:szCs w:val="24"/>
        </w:rPr>
        <w:t xml:space="preserve"> students’ academic performance,</w:t>
      </w:r>
      <w:r w:rsidR="00FE4975" w:rsidRPr="003F2E2C">
        <w:rPr>
          <w:rFonts w:ascii="Times New Roman" w:hAnsi="Times New Roman" w:cs="Times New Roman"/>
          <w:sz w:val="24"/>
          <w:szCs w:val="24"/>
        </w:rPr>
        <w:t xml:space="preserve"> </w:t>
      </w:r>
      <w:r w:rsidR="000805E1" w:rsidRPr="003F2E2C">
        <w:rPr>
          <w:rFonts w:ascii="Times New Roman" w:hAnsi="Times New Roman" w:cs="Times New Roman"/>
          <w:sz w:val="24"/>
          <w:szCs w:val="24"/>
        </w:rPr>
        <w:t>the Ghana Education Service</w:t>
      </w:r>
      <w:r w:rsidR="00FE4975" w:rsidRPr="003F2E2C">
        <w:rPr>
          <w:rFonts w:ascii="Times New Roman" w:hAnsi="Times New Roman" w:cs="Times New Roman"/>
          <w:sz w:val="24"/>
          <w:szCs w:val="24"/>
        </w:rPr>
        <w:t>, professional bodies</w:t>
      </w:r>
      <w:r w:rsidR="000805E1" w:rsidRPr="003F2E2C">
        <w:rPr>
          <w:rFonts w:ascii="Times New Roman" w:hAnsi="Times New Roman" w:cs="Times New Roman"/>
          <w:sz w:val="24"/>
          <w:szCs w:val="24"/>
        </w:rPr>
        <w:t xml:space="preserve"> such ICAG and ACCA</w:t>
      </w:r>
      <w:r w:rsidR="00FE4975" w:rsidRPr="003F2E2C">
        <w:rPr>
          <w:rFonts w:ascii="Times New Roman" w:hAnsi="Times New Roman" w:cs="Times New Roman"/>
          <w:sz w:val="24"/>
          <w:szCs w:val="24"/>
        </w:rPr>
        <w:t>, family and society should clearly explain the opportunities and prospects which are there for accounting professionals</w:t>
      </w:r>
      <w:r w:rsidR="00C340FE" w:rsidRPr="003F2E2C">
        <w:rPr>
          <w:rFonts w:ascii="Times New Roman" w:hAnsi="Times New Roman" w:cs="Times New Roman"/>
          <w:sz w:val="24"/>
          <w:szCs w:val="24"/>
        </w:rPr>
        <w:t xml:space="preserve"> to </w:t>
      </w:r>
      <w:r w:rsidR="00EE5353" w:rsidRPr="003F2E2C">
        <w:rPr>
          <w:rFonts w:ascii="Times New Roman" w:hAnsi="Times New Roman" w:cs="Times New Roman"/>
          <w:sz w:val="24"/>
          <w:szCs w:val="24"/>
        </w:rPr>
        <w:t>students</w:t>
      </w:r>
      <w:r w:rsidR="00FE4975" w:rsidRPr="003F2E2C">
        <w:rPr>
          <w:rFonts w:ascii="Times New Roman" w:hAnsi="Times New Roman" w:cs="Times New Roman"/>
          <w:sz w:val="24"/>
          <w:szCs w:val="24"/>
        </w:rPr>
        <w:t>. This will help create</w:t>
      </w:r>
      <w:r w:rsidR="004D3D73" w:rsidRPr="003F2E2C">
        <w:rPr>
          <w:rFonts w:ascii="Times New Roman" w:hAnsi="Times New Roman" w:cs="Times New Roman"/>
          <w:sz w:val="24"/>
          <w:szCs w:val="24"/>
        </w:rPr>
        <w:t xml:space="preserve"> a</w:t>
      </w:r>
      <w:r w:rsidR="00FE4975" w:rsidRPr="003F2E2C">
        <w:rPr>
          <w:rFonts w:ascii="Times New Roman" w:hAnsi="Times New Roman" w:cs="Times New Roman"/>
          <w:sz w:val="24"/>
          <w:szCs w:val="24"/>
        </w:rPr>
        <w:t xml:space="preserve"> </w:t>
      </w:r>
      <w:r w:rsidR="00FE4975" w:rsidRPr="003F2E2C">
        <w:rPr>
          <w:rFonts w:ascii="Times New Roman" w:hAnsi="Times New Roman" w:cs="Times New Roman"/>
          <w:noProof/>
          <w:sz w:val="24"/>
          <w:szCs w:val="24"/>
        </w:rPr>
        <w:t>valid</w:t>
      </w:r>
      <w:r w:rsidR="00FE4975" w:rsidRPr="003F2E2C">
        <w:rPr>
          <w:rFonts w:ascii="Times New Roman" w:hAnsi="Times New Roman" w:cs="Times New Roman"/>
          <w:sz w:val="24"/>
          <w:szCs w:val="24"/>
        </w:rPr>
        <w:t xml:space="preserve"> </w:t>
      </w:r>
      <w:r w:rsidR="00FE4975" w:rsidRPr="003F2E2C">
        <w:rPr>
          <w:rFonts w:ascii="Times New Roman" w:hAnsi="Times New Roman" w:cs="Times New Roman"/>
          <w:noProof/>
          <w:sz w:val="24"/>
          <w:szCs w:val="24"/>
        </w:rPr>
        <w:t>expectation among</w:t>
      </w:r>
      <w:r w:rsidR="00FE4975" w:rsidRPr="003F2E2C">
        <w:rPr>
          <w:rFonts w:ascii="Times New Roman" w:hAnsi="Times New Roman" w:cs="Times New Roman"/>
          <w:sz w:val="24"/>
          <w:szCs w:val="24"/>
        </w:rPr>
        <w:t xml:space="preserve"> the students </w:t>
      </w:r>
      <w:r w:rsidR="00F836A0" w:rsidRPr="003F2E2C">
        <w:rPr>
          <w:rFonts w:ascii="Times New Roman" w:hAnsi="Times New Roman" w:cs="Times New Roman"/>
          <w:sz w:val="24"/>
          <w:szCs w:val="24"/>
        </w:rPr>
        <w:t xml:space="preserve">since </w:t>
      </w:r>
      <w:r w:rsidR="00F836A0" w:rsidRPr="003F2E2C">
        <w:rPr>
          <w:rFonts w:ascii="Times New Roman" w:hAnsi="Times New Roman" w:cs="Times New Roman"/>
          <w:noProof/>
          <w:sz w:val="24"/>
          <w:szCs w:val="24"/>
        </w:rPr>
        <w:t>expectation</w:t>
      </w:r>
      <w:r w:rsidR="00F836A0" w:rsidRPr="003F2E2C">
        <w:rPr>
          <w:rFonts w:ascii="Times New Roman" w:hAnsi="Times New Roman" w:cs="Times New Roman"/>
          <w:sz w:val="24"/>
          <w:szCs w:val="24"/>
        </w:rPr>
        <w:t xml:space="preserve"> is about realities. </w:t>
      </w:r>
      <w:r w:rsidR="00F836A0" w:rsidRPr="003F2E2C">
        <w:rPr>
          <w:rFonts w:ascii="Times New Roman" w:hAnsi="Times New Roman" w:cs="Times New Roman"/>
          <w:noProof/>
          <w:sz w:val="24"/>
          <w:szCs w:val="24"/>
        </w:rPr>
        <w:t>This</w:t>
      </w:r>
      <w:r w:rsidR="004D3D73" w:rsidRPr="003F2E2C">
        <w:rPr>
          <w:rFonts w:ascii="Times New Roman" w:hAnsi="Times New Roman" w:cs="Times New Roman"/>
          <w:noProof/>
          <w:sz w:val="24"/>
          <w:szCs w:val="24"/>
        </w:rPr>
        <w:t>, in turn,</w:t>
      </w:r>
      <w:r w:rsidR="00F836A0" w:rsidRPr="003F2E2C">
        <w:rPr>
          <w:rFonts w:ascii="Times New Roman" w:hAnsi="Times New Roman" w:cs="Times New Roman"/>
          <w:sz w:val="24"/>
          <w:szCs w:val="24"/>
        </w:rPr>
        <w:t xml:space="preserve"> will motivate the</w:t>
      </w:r>
      <w:r w:rsidR="00517CAA" w:rsidRPr="003F2E2C">
        <w:rPr>
          <w:rFonts w:ascii="Times New Roman" w:hAnsi="Times New Roman" w:cs="Times New Roman"/>
          <w:sz w:val="24"/>
          <w:szCs w:val="24"/>
        </w:rPr>
        <w:t>m to achieve academic success</w:t>
      </w:r>
      <w:r w:rsidR="00F836A0" w:rsidRPr="003F2E2C">
        <w:rPr>
          <w:rFonts w:ascii="Times New Roman" w:hAnsi="Times New Roman" w:cs="Times New Roman"/>
          <w:sz w:val="24"/>
          <w:szCs w:val="24"/>
        </w:rPr>
        <w:t xml:space="preserve">. </w:t>
      </w:r>
      <w:r w:rsidR="00F836A0" w:rsidRPr="003F2E2C">
        <w:rPr>
          <w:rFonts w:ascii="Times New Roman" w:hAnsi="Times New Roman" w:cs="Times New Roman"/>
          <w:noProof/>
          <w:sz w:val="24"/>
          <w:szCs w:val="24"/>
        </w:rPr>
        <w:t>Also</w:t>
      </w:r>
      <w:r w:rsidR="004D3D73" w:rsidRPr="003F2E2C">
        <w:rPr>
          <w:rFonts w:ascii="Times New Roman" w:hAnsi="Times New Roman" w:cs="Times New Roman"/>
          <w:noProof/>
          <w:sz w:val="24"/>
          <w:szCs w:val="24"/>
        </w:rPr>
        <w:t>,</w:t>
      </w:r>
      <w:r w:rsidR="00EE5353" w:rsidRPr="003F2E2C">
        <w:rPr>
          <w:rFonts w:ascii="Times New Roman" w:hAnsi="Times New Roman" w:cs="Times New Roman"/>
          <w:sz w:val="24"/>
          <w:szCs w:val="24"/>
        </w:rPr>
        <w:t xml:space="preserve"> the</w:t>
      </w:r>
      <w:r w:rsidR="00F836A0" w:rsidRPr="003F2E2C">
        <w:rPr>
          <w:rFonts w:ascii="Times New Roman" w:hAnsi="Times New Roman" w:cs="Times New Roman"/>
          <w:sz w:val="24"/>
          <w:szCs w:val="24"/>
        </w:rPr>
        <w:t xml:space="preserve"> finding of</w:t>
      </w:r>
      <w:r w:rsidR="004D3D73" w:rsidRPr="003F2E2C">
        <w:rPr>
          <w:rFonts w:ascii="Times New Roman" w:hAnsi="Times New Roman" w:cs="Times New Roman"/>
          <w:sz w:val="24"/>
          <w:szCs w:val="24"/>
        </w:rPr>
        <w:t xml:space="preserve"> a</w:t>
      </w:r>
      <w:r w:rsidR="00F836A0" w:rsidRPr="003F2E2C">
        <w:rPr>
          <w:rFonts w:ascii="Times New Roman" w:hAnsi="Times New Roman" w:cs="Times New Roman"/>
          <w:sz w:val="24"/>
          <w:szCs w:val="24"/>
        </w:rPr>
        <w:t xml:space="preserve"> </w:t>
      </w:r>
      <w:r w:rsidR="00F836A0" w:rsidRPr="003F2E2C">
        <w:rPr>
          <w:rFonts w:ascii="Times New Roman" w:hAnsi="Times New Roman" w:cs="Times New Roman"/>
          <w:noProof/>
          <w:sz w:val="24"/>
          <w:szCs w:val="24"/>
        </w:rPr>
        <w:t>positive</w:t>
      </w:r>
      <w:r w:rsidR="00F836A0" w:rsidRPr="003F2E2C">
        <w:rPr>
          <w:rFonts w:ascii="Times New Roman" w:hAnsi="Times New Roman" w:cs="Times New Roman"/>
          <w:sz w:val="24"/>
          <w:szCs w:val="24"/>
        </w:rPr>
        <w:t xml:space="preserve"> and significant relationship between volition and academic performance indicates that students should have a greater say in determining their caree</w:t>
      </w:r>
      <w:r w:rsidR="00EE5353" w:rsidRPr="003F2E2C">
        <w:rPr>
          <w:rFonts w:ascii="Times New Roman" w:hAnsi="Times New Roman" w:cs="Times New Roman"/>
          <w:sz w:val="24"/>
          <w:szCs w:val="24"/>
        </w:rPr>
        <w:t>r paths and subjects</w:t>
      </w:r>
      <w:r w:rsidR="00F836A0" w:rsidRPr="003F2E2C">
        <w:rPr>
          <w:rFonts w:ascii="Times New Roman" w:hAnsi="Times New Roman" w:cs="Times New Roman"/>
          <w:sz w:val="24"/>
          <w:szCs w:val="24"/>
        </w:rPr>
        <w:t xml:space="preserve"> they want to study.</w:t>
      </w:r>
      <w:r w:rsidR="00C15426" w:rsidRPr="003F2E2C">
        <w:rPr>
          <w:rFonts w:ascii="Times New Roman" w:hAnsi="Times New Roman" w:cs="Times New Roman"/>
          <w:sz w:val="24"/>
          <w:szCs w:val="24"/>
        </w:rPr>
        <w:t xml:space="preserve"> </w:t>
      </w:r>
      <w:r w:rsidR="000647A8" w:rsidRPr="003F2E2C">
        <w:rPr>
          <w:rFonts w:ascii="Times New Roman" w:hAnsi="Times New Roman" w:cs="Times New Roman"/>
          <w:sz w:val="24"/>
          <w:szCs w:val="24"/>
        </w:rPr>
        <w:t xml:space="preserve">However, expectation and volition may have </w:t>
      </w:r>
      <w:r w:rsidR="000647A8" w:rsidRPr="003F2E2C">
        <w:rPr>
          <w:rFonts w:ascii="Times New Roman" w:hAnsi="Times New Roman" w:cs="Times New Roman"/>
          <w:noProof/>
          <w:sz w:val="24"/>
          <w:szCs w:val="24"/>
        </w:rPr>
        <w:t>a different</w:t>
      </w:r>
      <w:r w:rsidR="000647A8" w:rsidRPr="003F2E2C">
        <w:rPr>
          <w:rFonts w:ascii="Times New Roman" w:hAnsi="Times New Roman" w:cs="Times New Roman"/>
          <w:sz w:val="24"/>
          <w:szCs w:val="24"/>
        </w:rPr>
        <w:t xml:space="preserve"> effect at both secondary and tertiary levels, which need to be considered in decision-making. The significance of volition suggests the need for circumspection in the culture of superior dictatorship in</w:t>
      </w:r>
      <w:r w:rsidR="00C340FE" w:rsidRPr="003F2E2C">
        <w:rPr>
          <w:rFonts w:ascii="Times New Roman" w:hAnsi="Times New Roman" w:cs="Times New Roman"/>
          <w:sz w:val="24"/>
          <w:szCs w:val="24"/>
        </w:rPr>
        <w:t xml:space="preserve"> the </w:t>
      </w:r>
      <w:r w:rsidR="000647A8" w:rsidRPr="003F2E2C">
        <w:rPr>
          <w:rFonts w:ascii="Times New Roman" w:hAnsi="Times New Roman" w:cs="Times New Roman"/>
          <w:noProof/>
          <w:sz w:val="24"/>
          <w:szCs w:val="24"/>
        </w:rPr>
        <w:t>choice</w:t>
      </w:r>
      <w:r w:rsidR="000647A8" w:rsidRPr="003F2E2C">
        <w:rPr>
          <w:rFonts w:ascii="Times New Roman" w:hAnsi="Times New Roman" w:cs="Times New Roman"/>
          <w:sz w:val="24"/>
          <w:szCs w:val="24"/>
        </w:rPr>
        <w:t xml:space="preserve"> of</w:t>
      </w:r>
      <w:r w:rsidR="00C340FE" w:rsidRPr="003F2E2C">
        <w:rPr>
          <w:rFonts w:ascii="Times New Roman" w:hAnsi="Times New Roman" w:cs="Times New Roman"/>
          <w:sz w:val="24"/>
          <w:szCs w:val="24"/>
        </w:rPr>
        <w:t xml:space="preserve"> </w:t>
      </w:r>
      <w:r w:rsidR="000647A8" w:rsidRPr="003F2E2C">
        <w:rPr>
          <w:rFonts w:ascii="Times New Roman" w:hAnsi="Times New Roman" w:cs="Times New Roman"/>
          <w:noProof/>
          <w:sz w:val="24"/>
          <w:szCs w:val="24"/>
        </w:rPr>
        <w:t>a programme</w:t>
      </w:r>
      <w:r w:rsidR="000647A8" w:rsidRPr="003F2E2C">
        <w:rPr>
          <w:rFonts w:ascii="Times New Roman" w:hAnsi="Times New Roman" w:cs="Times New Roman"/>
          <w:sz w:val="24"/>
          <w:szCs w:val="24"/>
        </w:rPr>
        <w:t xml:space="preserve"> of </w:t>
      </w:r>
      <w:r w:rsidR="000647A8" w:rsidRPr="003F2E2C">
        <w:rPr>
          <w:rFonts w:ascii="Times New Roman" w:hAnsi="Times New Roman" w:cs="Times New Roman"/>
          <w:noProof/>
          <w:sz w:val="24"/>
          <w:szCs w:val="24"/>
        </w:rPr>
        <w:t>study</w:t>
      </w:r>
      <w:r w:rsidR="004D3D73" w:rsidRPr="003F2E2C">
        <w:rPr>
          <w:rFonts w:ascii="Times New Roman" w:hAnsi="Times New Roman" w:cs="Times New Roman"/>
          <w:noProof/>
          <w:sz w:val="24"/>
          <w:szCs w:val="24"/>
        </w:rPr>
        <w:t>,</w:t>
      </w:r>
      <w:r w:rsidR="000647A8" w:rsidRPr="003F2E2C">
        <w:rPr>
          <w:rFonts w:ascii="Times New Roman" w:hAnsi="Times New Roman" w:cs="Times New Roman"/>
          <w:sz w:val="24"/>
          <w:szCs w:val="24"/>
        </w:rPr>
        <w:t xml:space="preserve"> especially at the tertiary level. </w:t>
      </w:r>
      <w:r w:rsidR="002C31D6" w:rsidRPr="003F2E2C">
        <w:rPr>
          <w:rFonts w:ascii="Times New Roman" w:hAnsi="Times New Roman" w:cs="Times New Roman"/>
          <w:sz w:val="24"/>
          <w:szCs w:val="24"/>
        </w:rPr>
        <w:t>The study again shows</w:t>
      </w:r>
      <w:r w:rsidR="004D3D73" w:rsidRPr="003F2E2C">
        <w:rPr>
          <w:rFonts w:ascii="Times New Roman" w:hAnsi="Times New Roman" w:cs="Times New Roman"/>
          <w:sz w:val="24"/>
          <w:szCs w:val="24"/>
        </w:rPr>
        <w:t xml:space="preserve"> a</w:t>
      </w:r>
      <w:r w:rsidR="00BA1236" w:rsidRPr="003F2E2C">
        <w:rPr>
          <w:rFonts w:ascii="Times New Roman" w:hAnsi="Times New Roman" w:cs="Times New Roman"/>
          <w:sz w:val="24"/>
          <w:szCs w:val="24"/>
        </w:rPr>
        <w:t xml:space="preserve"> </w:t>
      </w:r>
      <w:r w:rsidR="00BA1236" w:rsidRPr="003F2E2C">
        <w:rPr>
          <w:rFonts w:ascii="Times New Roman" w:hAnsi="Times New Roman" w:cs="Times New Roman"/>
          <w:noProof/>
          <w:sz w:val="24"/>
          <w:szCs w:val="24"/>
        </w:rPr>
        <w:t>significant</w:t>
      </w:r>
      <w:r w:rsidR="00BA1236" w:rsidRPr="003F2E2C">
        <w:rPr>
          <w:rFonts w:ascii="Times New Roman" w:hAnsi="Times New Roman" w:cs="Times New Roman"/>
          <w:sz w:val="24"/>
          <w:szCs w:val="24"/>
        </w:rPr>
        <w:t xml:space="preserve"> </w:t>
      </w:r>
      <w:r w:rsidR="00BA1236" w:rsidRPr="003F2E2C">
        <w:rPr>
          <w:rFonts w:ascii="Times New Roman" w:hAnsi="Times New Roman" w:cs="Times New Roman"/>
          <w:noProof/>
          <w:sz w:val="24"/>
          <w:szCs w:val="24"/>
        </w:rPr>
        <w:t>effect of</w:t>
      </w:r>
      <w:r w:rsidR="00BA1236" w:rsidRPr="003F2E2C">
        <w:rPr>
          <w:rFonts w:ascii="Times New Roman" w:hAnsi="Times New Roman" w:cs="Times New Roman"/>
          <w:sz w:val="24"/>
          <w:szCs w:val="24"/>
        </w:rPr>
        <w:t xml:space="preserve"> interest and attitude to learning on academic performance which </w:t>
      </w:r>
      <w:r w:rsidR="00BA1236" w:rsidRPr="003F2E2C">
        <w:rPr>
          <w:rFonts w:ascii="Times New Roman" w:hAnsi="Times New Roman" w:cs="Times New Roman"/>
          <w:noProof/>
          <w:sz w:val="24"/>
          <w:szCs w:val="24"/>
        </w:rPr>
        <w:t>indicate</w:t>
      </w:r>
      <w:r w:rsidR="00BA1236" w:rsidRPr="003F2E2C">
        <w:rPr>
          <w:rFonts w:ascii="Times New Roman" w:hAnsi="Times New Roman" w:cs="Times New Roman"/>
          <w:sz w:val="24"/>
          <w:szCs w:val="24"/>
        </w:rPr>
        <w:t xml:space="preserve">s that aside students' </w:t>
      </w:r>
      <w:r w:rsidR="00B46C9A" w:rsidRPr="003F2E2C">
        <w:rPr>
          <w:rFonts w:ascii="Times New Roman" w:hAnsi="Times New Roman" w:cs="Times New Roman"/>
          <w:sz w:val="24"/>
          <w:szCs w:val="24"/>
        </w:rPr>
        <w:t>motivational</w:t>
      </w:r>
      <w:r w:rsidR="00BA1236" w:rsidRPr="003F2E2C">
        <w:rPr>
          <w:rFonts w:ascii="Times New Roman" w:hAnsi="Times New Roman" w:cs="Times New Roman"/>
          <w:sz w:val="24"/>
          <w:szCs w:val="24"/>
        </w:rPr>
        <w:t xml:space="preserve"> factors, engagement and commitment factors are equally important in determining academic performance.</w:t>
      </w:r>
      <w:r w:rsidR="00F614C9" w:rsidRPr="003F2E2C">
        <w:rPr>
          <w:rFonts w:ascii="Times New Roman" w:hAnsi="Times New Roman" w:cs="Times New Roman"/>
          <w:sz w:val="24"/>
          <w:szCs w:val="24"/>
        </w:rPr>
        <w:t xml:space="preserve"> </w:t>
      </w:r>
    </w:p>
    <w:p w14:paraId="5BE77DDA" w14:textId="0A4D2362" w:rsidR="00925DFC" w:rsidRPr="003F2E2C" w:rsidRDefault="0013597C" w:rsidP="00925DFC">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Despite the valuable insight provided by the study, there are several limitations which must be considered when interpreting the results.</w:t>
      </w:r>
      <w:r w:rsidR="00621972" w:rsidRPr="003F2E2C">
        <w:rPr>
          <w:rFonts w:ascii="Times New Roman" w:hAnsi="Times New Roman" w:cs="Times New Roman"/>
          <w:sz w:val="24"/>
          <w:szCs w:val="24"/>
        </w:rPr>
        <w:t xml:space="preserve"> The current study involves only endogenous factors affecting students’ academic performance</w:t>
      </w:r>
      <w:r w:rsidR="00AA7662" w:rsidRPr="003F2E2C">
        <w:rPr>
          <w:rFonts w:ascii="Times New Roman" w:hAnsi="Times New Roman" w:cs="Times New Roman"/>
          <w:sz w:val="24"/>
          <w:szCs w:val="24"/>
        </w:rPr>
        <w:t>. H</w:t>
      </w:r>
      <w:r w:rsidR="00621972" w:rsidRPr="003F2E2C">
        <w:rPr>
          <w:rFonts w:ascii="Times New Roman" w:hAnsi="Times New Roman" w:cs="Times New Roman"/>
          <w:sz w:val="24"/>
          <w:szCs w:val="24"/>
        </w:rPr>
        <w:t>owever, it is well acknowledged that there</w:t>
      </w:r>
      <w:r w:rsidR="00AA7662" w:rsidRPr="003F2E2C">
        <w:rPr>
          <w:rFonts w:ascii="Times New Roman" w:hAnsi="Times New Roman" w:cs="Times New Roman"/>
          <w:sz w:val="24"/>
          <w:szCs w:val="24"/>
        </w:rPr>
        <w:t xml:space="preserve"> are</w:t>
      </w:r>
      <w:r w:rsidR="00621972" w:rsidRPr="003F2E2C">
        <w:rPr>
          <w:rFonts w:ascii="Times New Roman" w:hAnsi="Times New Roman" w:cs="Times New Roman"/>
          <w:sz w:val="24"/>
          <w:szCs w:val="24"/>
        </w:rPr>
        <w:t xml:space="preserve"> exogenous factors which equally affect </w:t>
      </w:r>
      <w:r w:rsidR="00B84F28" w:rsidRPr="003F2E2C">
        <w:rPr>
          <w:rFonts w:ascii="Times New Roman" w:hAnsi="Times New Roman" w:cs="Times New Roman"/>
          <w:sz w:val="24"/>
          <w:szCs w:val="24"/>
        </w:rPr>
        <w:t>students’</w:t>
      </w:r>
      <w:r w:rsidR="00621972" w:rsidRPr="003F2E2C">
        <w:rPr>
          <w:rFonts w:ascii="Times New Roman" w:hAnsi="Times New Roman" w:cs="Times New Roman"/>
          <w:sz w:val="24"/>
          <w:szCs w:val="24"/>
        </w:rPr>
        <w:t xml:space="preserve"> academic performance </w:t>
      </w:r>
      <w:r w:rsidR="00B84F28" w:rsidRPr="003F2E2C">
        <w:rPr>
          <w:rFonts w:ascii="Times New Roman" w:hAnsi="Times New Roman" w:cs="Times New Roman"/>
          <w:sz w:val="24"/>
          <w:szCs w:val="24"/>
        </w:rPr>
        <w:t>s</w:t>
      </w:r>
      <w:r w:rsidR="00AA7662" w:rsidRPr="003F2E2C">
        <w:rPr>
          <w:rFonts w:ascii="Times New Roman" w:hAnsi="Times New Roman" w:cs="Times New Roman"/>
          <w:sz w:val="24"/>
          <w:szCs w:val="24"/>
        </w:rPr>
        <w:t xml:space="preserve">uch as the quality of teaching and </w:t>
      </w:r>
      <w:r w:rsidR="00B84F28" w:rsidRPr="003F2E2C">
        <w:rPr>
          <w:rFonts w:ascii="Times New Roman" w:hAnsi="Times New Roman" w:cs="Times New Roman"/>
          <w:sz w:val="24"/>
          <w:szCs w:val="24"/>
        </w:rPr>
        <w:t>residential facilities</w:t>
      </w:r>
      <w:r w:rsidR="00AA7662" w:rsidRPr="003F2E2C">
        <w:rPr>
          <w:rFonts w:ascii="Times New Roman" w:hAnsi="Times New Roman" w:cs="Times New Roman"/>
          <w:sz w:val="24"/>
          <w:szCs w:val="24"/>
        </w:rPr>
        <w:t xml:space="preserve"> (Guney, 200</w:t>
      </w:r>
      <w:r w:rsidR="00D02435" w:rsidRPr="003F2E2C">
        <w:rPr>
          <w:rFonts w:ascii="Times New Roman" w:hAnsi="Times New Roman" w:cs="Times New Roman"/>
          <w:sz w:val="24"/>
          <w:szCs w:val="24"/>
        </w:rPr>
        <w:t>9; Jansen &amp;</w:t>
      </w:r>
      <w:r w:rsidR="00A86025" w:rsidRPr="003F2E2C">
        <w:rPr>
          <w:rFonts w:ascii="Times New Roman" w:hAnsi="Times New Roman" w:cs="Times New Roman"/>
          <w:sz w:val="24"/>
          <w:szCs w:val="24"/>
        </w:rPr>
        <w:t xml:space="preserve"> D</w:t>
      </w:r>
      <w:r w:rsidR="00AA7662" w:rsidRPr="003F2E2C">
        <w:rPr>
          <w:rFonts w:ascii="Times New Roman" w:hAnsi="Times New Roman" w:cs="Times New Roman"/>
          <w:sz w:val="24"/>
          <w:szCs w:val="24"/>
        </w:rPr>
        <w:t>e Villiers, 2016)</w:t>
      </w:r>
      <w:r w:rsidR="00B84F28" w:rsidRPr="003F2E2C">
        <w:rPr>
          <w:rFonts w:ascii="Times New Roman" w:hAnsi="Times New Roman" w:cs="Times New Roman"/>
          <w:sz w:val="24"/>
          <w:szCs w:val="24"/>
        </w:rPr>
        <w:t>. Therefore, future studies sh</w:t>
      </w:r>
      <w:r w:rsidR="00AA7662" w:rsidRPr="003F2E2C">
        <w:rPr>
          <w:rFonts w:ascii="Times New Roman" w:hAnsi="Times New Roman" w:cs="Times New Roman"/>
          <w:sz w:val="24"/>
          <w:szCs w:val="24"/>
        </w:rPr>
        <w:t xml:space="preserve">ould examine the effect of </w:t>
      </w:r>
      <w:r w:rsidR="004D06F8" w:rsidRPr="003F2E2C">
        <w:rPr>
          <w:rFonts w:ascii="Times New Roman" w:hAnsi="Times New Roman" w:cs="Times New Roman"/>
          <w:sz w:val="24"/>
          <w:szCs w:val="24"/>
        </w:rPr>
        <w:t>exogenous</w:t>
      </w:r>
      <w:r w:rsidR="00B84F28" w:rsidRPr="003F2E2C">
        <w:rPr>
          <w:rFonts w:ascii="Times New Roman" w:hAnsi="Times New Roman" w:cs="Times New Roman"/>
          <w:sz w:val="24"/>
          <w:szCs w:val="24"/>
        </w:rPr>
        <w:t xml:space="preserve"> factors on </w:t>
      </w:r>
      <w:r w:rsidR="004D3D73" w:rsidRPr="003F2E2C">
        <w:rPr>
          <w:rFonts w:ascii="Times New Roman" w:hAnsi="Times New Roman" w:cs="Times New Roman"/>
          <w:sz w:val="24"/>
          <w:szCs w:val="24"/>
        </w:rPr>
        <w:t>the</w:t>
      </w:r>
      <w:r w:rsidR="00AA7662" w:rsidRPr="003F2E2C">
        <w:rPr>
          <w:rFonts w:ascii="Times New Roman" w:hAnsi="Times New Roman" w:cs="Times New Roman"/>
          <w:sz w:val="24"/>
          <w:szCs w:val="24"/>
        </w:rPr>
        <w:t xml:space="preserve"> </w:t>
      </w:r>
      <w:r w:rsidR="00B84F28" w:rsidRPr="003F2E2C">
        <w:rPr>
          <w:rFonts w:ascii="Times New Roman" w:hAnsi="Times New Roman" w:cs="Times New Roman"/>
          <w:noProof/>
          <w:sz w:val="24"/>
          <w:szCs w:val="24"/>
        </w:rPr>
        <w:t>academic</w:t>
      </w:r>
      <w:r w:rsidR="00B84F28" w:rsidRPr="003F2E2C">
        <w:rPr>
          <w:rFonts w:ascii="Times New Roman" w:hAnsi="Times New Roman" w:cs="Times New Roman"/>
          <w:sz w:val="24"/>
          <w:szCs w:val="24"/>
        </w:rPr>
        <w:t xml:space="preserve"> performance of accounting students. </w:t>
      </w:r>
      <w:r w:rsidR="00356B6A" w:rsidRPr="003F2E2C">
        <w:rPr>
          <w:rFonts w:ascii="Times New Roman" w:hAnsi="Times New Roman" w:cs="Times New Roman"/>
          <w:sz w:val="24"/>
          <w:szCs w:val="24"/>
        </w:rPr>
        <w:t>Also, t</w:t>
      </w:r>
      <w:r w:rsidR="00822045" w:rsidRPr="003F2E2C">
        <w:rPr>
          <w:rFonts w:ascii="Times New Roman" w:hAnsi="Times New Roman" w:cs="Times New Roman"/>
          <w:sz w:val="24"/>
          <w:szCs w:val="24"/>
        </w:rPr>
        <w:t xml:space="preserve">he variables are constructed from questions answered by a single source and are based on his/her perception. This may raise issues associated with self-reporting data such as consistency seeking, self-enhancement, and self-presentation which may affect the reliability and validity of the data. To reduce such limitations, the questionnaire design avoided leading words and questions relating to the dependent variable was placed at the end. From the statistical methods employed, we found no evidence of bias in the data. In addition, </w:t>
      </w:r>
      <w:r w:rsidR="00356B6A" w:rsidRPr="003F2E2C">
        <w:rPr>
          <w:rFonts w:ascii="Times New Roman" w:hAnsi="Times New Roman" w:cs="Times New Roman"/>
          <w:sz w:val="24"/>
          <w:szCs w:val="24"/>
        </w:rPr>
        <w:t xml:space="preserve">the </w:t>
      </w:r>
      <w:r w:rsidR="00822045" w:rsidRPr="003F2E2C">
        <w:rPr>
          <w:rFonts w:ascii="Times New Roman" w:hAnsi="Times New Roman" w:cs="Times New Roman"/>
          <w:sz w:val="24"/>
          <w:szCs w:val="24"/>
        </w:rPr>
        <w:t>survey data collected was analysed quantitatively which may confine valuable individual insight that could have been gained. Future studies should, therefore, employ a qualitative approach to investigate the determinants of academic performance from an individual student's perspective</w:t>
      </w:r>
      <w:r w:rsidR="00356B6A" w:rsidRPr="003F2E2C">
        <w:rPr>
          <w:rFonts w:ascii="Times New Roman" w:hAnsi="Times New Roman" w:cs="Times New Roman"/>
          <w:sz w:val="24"/>
          <w:szCs w:val="24"/>
        </w:rPr>
        <w:t>. Again, t</w:t>
      </w:r>
      <w:r w:rsidR="001B0081" w:rsidRPr="003F2E2C">
        <w:rPr>
          <w:rFonts w:ascii="Times New Roman" w:hAnsi="Times New Roman" w:cs="Times New Roman"/>
          <w:sz w:val="24"/>
          <w:szCs w:val="24"/>
        </w:rPr>
        <w:t xml:space="preserve">he current study </w:t>
      </w:r>
      <w:r w:rsidR="00376DC3" w:rsidRPr="003F2E2C">
        <w:rPr>
          <w:rFonts w:ascii="Times New Roman" w:hAnsi="Times New Roman" w:cs="Times New Roman"/>
          <w:sz w:val="24"/>
          <w:szCs w:val="24"/>
        </w:rPr>
        <w:t>examines</w:t>
      </w:r>
      <w:r w:rsidR="00AA7662" w:rsidRPr="003F2E2C">
        <w:rPr>
          <w:rFonts w:ascii="Times New Roman" w:hAnsi="Times New Roman" w:cs="Times New Roman"/>
          <w:sz w:val="24"/>
          <w:szCs w:val="24"/>
        </w:rPr>
        <w:t xml:space="preserve"> the</w:t>
      </w:r>
      <w:r w:rsidR="001B0081" w:rsidRPr="003F2E2C">
        <w:rPr>
          <w:rFonts w:ascii="Times New Roman" w:hAnsi="Times New Roman" w:cs="Times New Roman"/>
          <w:sz w:val="24"/>
          <w:szCs w:val="24"/>
        </w:rPr>
        <w:t xml:space="preserve"> </w:t>
      </w:r>
      <w:r w:rsidR="00897E13" w:rsidRPr="003F2E2C">
        <w:rPr>
          <w:rFonts w:ascii="Times New Roman" w:hAnsi="Times New Roman" w:cs="Times New Roman"/>
          <w:sz w:val="24"/>
          <w:szCs w:val="24"/>
        </w:rPr>
        <w:t>influence of the variables</w:t>
      </w:r>
      <w:r w:rsidR="001B0081" w:rsidRPr="003F2E2C">
        <w:rPr>
          <w:rFonts w:ascii="Times New Roman" w:hAnsi="Times New Roman" w:cs="Times New Roman"/>
          <w:sz w:val="24"/>
          <w:szCs w:val="24"/>
        </w:rPr>
        <w:t xml:space="preserve"> on academic</w:t>
      </w:r>
      <w:r w:rsidR="00897E13" w:rsidRPr="003F2E2C">
        <w:rPr>
          <w:rFonts w:ascii="Times New Roman" w:hAnsi="Times New Roman" w:cs="Times New Roman"/>
          <w:sz w:val="24"/>
          <w:szCs w:val="24"/>
        </w:rPr>
        <w:t xml:space="preserve"> performance among only </w:t>
      </w:r>
      <w:r w:rsidR="001B0081" w:rsidRPr="003F2E2C">
        <w:rPr>
          <w:rFonts w:ascii="Times New Roman" w:hAnsi="Times New Roman" w:cs="Times New Roman"/>
          <w:sz w:val="24"/>
          <w:szCs w:val="24"/>
        </w:rPr>
        <w:t>secondar</w:t>
      </w:r>
      <w:r w:rsidR="004D3015" w:rsidRPr="003F2E2C">
        <w:rPr>
          <w:rFonts w:ascii="Times New Roman" w:hAnsi="Times New Roman" w:cs="Times New Roman"/>
          <w:sz w:val="24"/>
          <w:szCs w:val="24"/>
        </w:rPr>
        <w:t>y and university</w:t>
      </w:r>
      <w:r w:rsidR="001B0081" w:rsidRPr="003F2E2C">
        <w:rPr>
          <w:rFonts w:ascii="Times New Roman" w:hAnsi="Times New Roman" w:cs="Times New Roman"/>
          <w:sz w:val="24"/>
          <w:szCs w:val="24"/>
        </w:rPr>
        <w:t xml:space="preserve"> </w:t>
      </w:r>
      <w:r w:rsidR="004D3015" w:rsidRPr="003F2E2C">
        <w:rPr>
          <w:rFonts w:ascii="Times New Roman" w:hAnsi="Times New Roman" w:cs="Times New Roman"/>
          <w:sz w:val="24"/>
          <w:szCs w:val="24"/>
        </w:rPr>
        <w:t xml:space="preserve">accounting </w:t>
      </w:r>
      <w:r w:rsidR="001B0081" w:rsidRPr="003F2E2C">
        <w:rPr>
          <w:rFonts w:ascii="Times New Roman" w:hAnsi="Times New Roman" w:cs="Times New Roman"/>
          <w:sz w:val="24"/>
          <w:szCs w:val="24"/>
        </w:rPr>
        <w:t>students</w:t>
      </w:r>
      <w:r w:rsidR="00897E13" w:rsidRPr="003F2E2C">
        <w:rPr>
          <w:rFonts w:ascii="Times New Roman" w:hAnsi="Times New Roman" w:cs="Times New Roman"/>
          <w:sz w:val="24"/>
          <w:szCs w:val="24"/>
        </w:rPr>
        <w:t>. It is possible that the influence of these factors may differ among professional accountancy students.</w:t>
      </w:r>
      <w:r w:rsidR="001B0081" w:rsidRPr="003F2E2C">
        <w:rPr>
          <w:rFonts w:ascii="Times New Roman" w:hAnsi="Times New Roman" w:cs="Times New Roman"/>
          <w:sz w:val="24"/>
          <w:szCs w:val="24"/>
        </w:rPr>
        <w:t xml:space="preserve"> </w:t>
      </w:r>
    </w:p>
    <w:p w14:paraId="62A1028E" w14:textId="7E85066F" w:rsidR="003623DF" w:rsidRPr="003F2E2C" w:rsidRDefault="0013597C" w:rsidP="000647A8">
      <w:pPr>
        <w:spacing w:after="0" w:line="360" w:lineRule="auto"/>
        <w:ind w:firstLine="720"/>
        <w:jc w:val="both"/>
        <w:rPr>
          <w:rFonts w:ascii="Times New Roman" w:hAnsi="Times New Roman" w:cs="Times New Roman"/>
          <w:sz w:val="24"/>
          <w:szCs w:val="24"/>
        </w:rPr>
      </w:pPr>
      <w:r w:rsidRPr="003F2E2C">
        <w:rPr>
          <w:rFonts w:ascii="Times New Roman" w:hAnsi="Times New Roman" w:cs="Times New Roman"/>
          <w:sz w:val="24"/>
          <w:szCs w:val="24"/>
        </w:rPr>
        <w:t xml:space="preserve">In spite of the above limitations, </w:t>
      </w:r>
      <w:r w:rsidR="00C214CD" w:rsidRPr="003F2E2C">
        <w:rPr>
          <w:rFonts w:ascii="Times New Roman" w:hAnsi="Times New Roman" w:cs="Times New Roman"/>
          <w:sz w:val="24"/>
          <w:szCs w:val="24"/>
        </w:rPr>
        <w:t xml:space="preserve">the results suggest that the overall effect of motivation, engagement and commitment factors on accounting students’ performance in </w:t>
      </w:r>
      <w:r w:rsidR="004742A1" w:rsidRPr="003F2E2C">
        <w:rPr>
          <w:rFonts w:ascii="Times New Roman" w:hAnsi="Times New Roman" w:cs="Times New Roman"/>
          <w:sz w:val="24"/>
          <w:szCs w:val="24"/>
        </w:rPr>
        <w:t>Ghana is not different from those</w:t>
      </w:r>
      <w:r w:rsidR="00C214CD" w:rsidRPr="003F2E2C">
        <w:rPr>
          <w:rFonts w:ascii="Times New Roman" w:hAnsi="Times New Roman" w:cs="Times New Roman"/>
          <w:sz w:val="24"/>
          <w:szCs w:val="24"/>
        </w:rPr>
        <w:t xml:space="preserve"> found in matured economies. However, </w:t>
      </w:r>
      <w:r w:rsidR="00ED7BDB" w:rsidRPr="003F2E2C">
        <w:rPr>
          <w:rFonts w:ascii="Times New Roman" w:hAnsi="Times New Roman" w:cs="Times New Roman"/>
          <w:sz w:val="24"/>
          <w:szCs w:val="24"/>
        </w:rPr>
        <w:t>this study still makes</w:t>
      </w:r>
      <w:r w:rsidR="004D3D73" w:rsidRPr="003F2E2C">
        <w:rPr>
          <w:rFonts w:ascii="Times New Roman" w:hAnsi="Times New Roman" w:cs="Times New Roman"/>
          <w:sz w:val="24"/>
          <w:szCs w:val="24"/>
        </w:rPr>
        <w:t xml:space="preserve"> an</w:t>
      </w:r>
      <w:r w:rsidR="00ED7BDB" w:rsidRPr="003F2E2C">
        <w:rPr>
          <w:rFonts w:ascii="Times New Roman" w:hAnsi="Times New Roman" w:cs="Times New Roman"/>
          <w:sz w:val="24"/>
          <w:szCs w:val="24"/>
        </w:rPr>
        <w:t xml:space="preserve"> </w:t>
      </w:r>
      <w:r w:rsidR="00ED7BDB" w:rsidRPr="003F2E2C">
        <w:rPr>
          <w:rFonts w:ascii="Times New Roman" w:hAnsi="Times New Roman" w:cs="Times New Roman"/>
          <w:noProof/>
          <w:sz w:val="24"/>
          <w:szCs w:val="24"/>
        </w:rPr>
        <w:t>important</w:t>
      </w:r>
      <w:r w:rsidR="00ED7BDB" w:rsidRPr="003F2E2C">
        <w:rPr>
          <w:rFonts w:ascii="Times New Roman" w:hAnsi="Times New Roman" w:cs="Times New Roman"/>
          <w:sz w:val="24"/>
          <w:szCs w:val="24"/>
        </w:rPr>
        <w:t xml:space="preserve"> contribution to existing literature because </w:t>
      </w:r>
      <w:r w:rsidR="00C214CD" w:rsidRPr="003F2E2C">
        <w:rPr>
          <w:rFonts w:ascii="Times New Roman" w:hAnsi="Times New Roman" w:cs="Times New Roman"/>
          <w:sz w:val="24"/>
          <w:szCs w:val="24"/>
        </w:rPr>
        <w:t>further analysis suggests that the effect of motivational factors (expectation and volition) differs at both secondary and tertiary</w:t>
      </w:r>
      <w:r w:rsidR="00DA3AFC" w:rsidRPr="003F2E2C">
        <w:rPr>
          <w:rFonts w:ascii="Times New Roman" w:hAnsi="Times New Roman" w:cs="Times New Roman"/>
          <w:sz w:val="24"/>
          <w:szCs w:val="24"/>
        </w:rPr>
        <w:t xml:space="preserve"> levels</w:t>
      </w:r>
      <w:r w:rsidR="00C214CD" w:rsidRPr="003F2E2C">
        <w:rPr>
          <w:rFonts w:ascii="Times New Roman" w:hAnsi="Times New Roman" w:cs="Times New Roman"/>
          <w:sz w:val="24"/>
          <w:szCs w:val="24"/>
        </w:rPr>
        <w:t xml:space="preserve">. From the results, </w:t>
      </w:r>
      <w:r w:rsidR="00C214CD" w:rsidRPr="003F2E2C">
        <w:rPr>
          <w:rFonts w:ascii="Times New Roman" w:hAnsi="Times New Roman" w:cs="Times New Roman"/>
          <w:noProof/>
          <w:sz w:val="24"/>
          <w:szCs w:val="24"/>
        </w:rPr>
        <w:t>expectation</w:t>
      </w:r>
      <w:r w:rsidR="00C214CD" w:rsidRPr="003F2E2C">
        <w:rPr>
          <w:rFonts w:ascii="Times New Roman" w:hAnsi="Times New Roman" w:cs="Times New Roman"/>
          <w:sz w:val="24"/>
          <w:szCs w:val="24"/>
        </w:rPr>
        <w:t xml:space="preserve"> seems to be</w:t>
      </w:r>
      <w:r w:rsidR="004D3D73" w:rsidRPr="003F2E2C">
        <w:rPr>
          <w:rFonts w:ascii="Times New Roman" w:hAnsi="Times New Roman" w:cs="Times New Roman"/>
          <w:sz w:val="24"/>
          <w:szCs w:val="24"/>
        </w:rPr>
        <w:t xml:space="preserve"> an</w:t>
      </w:r>
      <w:r w:rsidR="00C214CD" w:rsidRPr="003F2E2C">
        <w:rPr>
          <w:rFonts w:ascii="Times New Roman" w:hAnsi="Times New Roman" w:cs="Times New Roman"/>
          <w:sz w:val="24"/>
          <w:szCs w:val="24"/>
        </w:rPr>
        <w:t xml:space="preserve"> </w:t>
      </w:r>
      <w:r w:rsidR="00C214CD" w:rsidRPr="003F2E2C">
        <w:rPr>
          <w:rFonts w:ascii="Times New Roman" w:hAnsi="Times New Roman" w:cs="Times New Roman"/>
          <w:noProof/>
          <w:sz w:val="24"/>
          <w:szCs w:val="24"/>
        </w:rPr>
        <w:t>effective</w:t>
      </w:r>
      <w:r w:rsidR="00C214CD" w:rsidRPr="003F2E2C">
        <w:rPr>
          <w:rFonts w:ascii="Times New Roman" w:hAnsi="Times New Roman" w:cs="Times New Roman"/>
          <w:sz w:val="24"/>
          <w:szCs w:val="24"/>
        </w:rPr>
        <w:t xml:space="preserve"> motivator at the secondary level while volition is more effective at tertiary level.</w:t>
      </w:r>
      <w:r w:rsidR="00DA3AFC" w:rsidRPr="003F2E2C">
        <w:rPr>
          <w:rFonts w:ascii="Times New Roman" w:hAnsi="Times New Roman" w:cs="Times New Roman"/>
          <w:sz w:val="24"/>
          <w:szCs w:val="24"/>
        </w:rPr>
        <w:t xml:space="preserve"> While</w:t>
      </w:r>
      <w:r w:rsidR="004742A1" w:rsidRPr="003F2E2C">
        <w:rPr>
          <w:rFonts w:ascii="Times New Roman" w:hAnsi="Times New Roman" w:cs="Times New Roman"/>
          <w:sz w:val="24"/>
          <w:szCs w:val="24"/>
        </w:rPr>
        <w:t>s</w:t>
      </w:r>
      <w:r w:rsidR="00DA3AFC" w:rsidRPr="003F2E2C">
        <w:rPr>
          <w:rFonts w:ascii="Times New Roman" w:hAnsi="Times New Roman" w:cs="Times New Roman"/>
          <w:sz w:val="24"/>
          <w:szCs w:val="24"/>
        </w:rPr>
        <w:t xml:space="preserve"> there seem to be some generic effect of expectation at tertiary level irrespective of developed or developing country (see Bryrne</w:t>
      </w:r>
      <w:r w:rsidR="00D02435" w:rsidRPr="003F2E2C">
        <w:rPr>
          <w:rFonts w:ascii="Times New Roman" w:hAnsi="Times New Roman" w:cs="Times New Roman"/>
          <w:sz w:val="24"/>
          <w:szCs w:val="24"/>
        </w:rPr>
        <w:t xml:space="preserve"> &amp;</w:t>
      </w:r>
      <w:r w:rsidR="00DA3AFC" w:rsidRPr="003F2E2C">
        <w:rPr>
          <w:rFonts w:ascii="Times New Roman" w:hAnsi="Times New Roman" w:cs="Times New Roman"/>
          <w:sz w:val="24"/>
          <w:szCs w:val="24"/>
        </w:rPr>
        <w:t xml:space="preserve"> Flood 2008),</w:t>
      </w:r>
      <w:r w:rsidR="00C96DB9" w:rsidRPr="003F2E2C">
        <w:rPr>
          <w:rFonts w:ascii="Times New Roman" w:hAnsi="Times New Roman" w:cs="Times New Roman"/>
          <w:sz w:val="24"/>
          <w:szCs w:val="24"/>
        </w:rPr>
        <w:t xml:space="preserve"> </w:t>
      </w:r>
      <w:r w:rsidR="00DA3AFC" w:rsidRPr="003F2E2C">
        <w:rPr>
          <w:rFonts w:ascii="Times New Roman" w:hAnsi="Times New Roman" w:cs="Times New Roman"/>
          <w:sz w:val="24"/>
          <w:szCs w:val="24"/>
        </w:rPr>
        <w:t>t</w:t>
      </w:r>
      <w:r w:rsidR="00C214CD" w:rsidRPr="003F2E2C">
        <w:rPr>
          <w:rFonts w:ascii="Times New Roman" w:hAnsi="Times New Roman" w:cs="Times New Roman"/>
          <w:sz w:val="24"/>
          <w:szCs w:val="24"/>
        </w:rPr>
        <w:t xml:space="preserve">his would </w:t>
      </w:r>
      <w:r w:rsidR="00DA3AFC" w:rsidRPr="003F2E2C">
        <w:rPr>
          <w:rFonts w:ascii="Times New Roman" w:hAnsi="Times New Roman" w:cs="Times New Roman"/>
          <w:sz w:val="24"/>
          <w:szCs w:val="24"/>
        </w:rPr>
        <w:t>suggest</w:t>
      </w:r>
      <w:r w:rsidR="00C214CD" w:rsidRPr="003F2E2C">
        <w:rPr>
          <w:rFonts w:ascii="Times New Roman" w:hAnsi="Times New Roman" w:cs="Times New Roman"/>
          <w:sz w:val="24"/>
          <w:szCs w:val="24"/>
        </w:rPr>
        <w:t xml:space="preserve"> that some </w:t>
      </w:r>
      <w:r w:rsidR="00C214CD" w:rsidRPr="003F2E2C">
        <w:rPr>
          <w:rFonts w:ascii="Times New Roman" w:hAnsi="Times New Roman" w:cs="Times New Roman"/>
          <w:noProof/>
          <w:sz w:val="24"/>
          <w:szCs w:val="24"/>
        </w:rPr>
        <w:t>context</w:t>
      </w:r>
      <w:r w:rsidR="004D3D73" w:rsidRPr="003F2E2C">
        <w:rPr>
          <w:rFonts w:ascii="Times New Roman" w:hAnsi="Times New Roman" w:cs="Times New Roman"/>
          <w:noProof/>
          <w:sz w:val="24"/>
          <w:szCs w:val="24"/>
        </w:rPr>
        <w:t>-</w:t>
      </w:r>
      <w:r w:rsidR="00C214CD" w:rsidRPr="003F2E2C">
        <w:rPr>
          <w:rFonts w:ascii="Times New Roman" w:hAnsi="Times New Roman" w:cs="Times New Roman"/>
          <w:noProof/>
          <w:sz w:val="24"/>
          <w:szCs w:val="24"/>
        </w:rPr>
        <w:t>specific</w:t>
      </w:r>
      <w:r w:rsidR="00C214CD" w:rsidRPr="003F2E2C">
        <w:rPr>
          <w:rFonts w:ascii="Times New Roman" w:hAnsi="Times New Roman" w:cs="Times New Roman"/>
          <w:sz w:val="24"/>
          <w:szCs w:val="24"/>
        </w:rPr>
        <w:t xml:space="preserve"> variables such as culture may be very important when it comes to how academic performance of Ghanaian accounting students at the various levels is influenced by motivational factors. This gives some support to the call to understand</w:t>
      </w:r>
      <w:r w:rsidR="00540DC5" w:rsidRPr="003F2E2C">
        <w:rPr>
          <w:rFonts w:ascii="Times New Roman" w:hAnsi="Times New Roman" w:cs="Times New Roman"/>
          <w:sz w:val="24"/>
          <w:szCs w:val="24"/>
        </w:rPr>
        <w:t xml:space="preserve"> the</w:t>
      </w:r>
      <w:r w:rsidR="00C214CD" w:rsidRPr="003F2E2C">
        <w:rPr>
          <w:rFonts w:ascii="Times New Roman" w:hAnsi="Times New Roman" w:cs="Times New Roman"/>
          <w:sz w:val="24"/>
          <w:szCs w:val="24"/>
        </w:rPr>
        <w:t xml:space="preserve"> </w:t>
      </w:r>
      <w:r w:rsidR="00C214CD" w:rsidRPr="003F2E2C">
        <w:rPr>
          <w:rFonts w:ascii="Times New Roman" w:hAnsi="Times New Roman" w:cs="Times New Roman"/>
          <w:noProof/>
          <w:sz w:val="24"/>
          <w:szCs w:val="24"/>
        </w:rPr>
        <w:t>academic</w:t>
      </w:r>
      <w:r w:rsidR="00C214CD" w:rsidRPr="003F2E2C">
        <w:rPr>
          <w:rFonts w:ascii="Times New Roman" w:hAnsi="Times New Roman" w:cs="Times New Roman"/>
          <w:sz w:val="24"/>
          <w:szCs w:val="24"/>
        </w:rPr>
        <w:t xml:space="preserve"> performance of accounting students in the context of the study</w:t>
      </w:r>
      <w:r w:rsidR="00E06550" w:rsidRPr="003F2E2C">
        <w:rPr>
          <w:rFonts w:ascii="Times New Roman" w:hAnsi="Times New Roman" w:cs="Times New Roman"/>
          <w:sz w:val="24"/>
          <w:szCs w:val="24"/>
        </w:rPr>
        <w:t>’s</w:t>
      </w:r>
      <w:r w:rsidR="00C214CD" w:rsidRPr="003F2E2C">
        <w:rPr>
          <w:rFonts w:ascii="Times New Roman" w:hAnsi="Times New Roman" w:cs="Times New Roman"/>
          <w:sz w:val="24"/>
          <w:szCs w:val="24"/>
        </w:rPr>
        <w:t xml:space="preserve"> environment and hence the validity of international studies results in the local context must be analysed with great care (</w:t>
      </w:r>
      <w:r w:rsidR="00D02435" w:rsidRPr="003F2E2C">
        <w:rPr>
          <w:rFonts w:ascii="Times New Roman" w:hAnsi="Times New Roman" w:cs="Times New Roman"/>
          <w:sz w:val="24"/>
          <w:szCs w:val="24"/>
        </w:rPr>
        <w:t>Jansen &amp;</w:t>
      </w:r>
      <w:r w:rsidR="000647A8" w:rsidRPr="003F2E2C">
        <w:rPr>
          <w:rFonts w:ascii="Times New Roman" w:hAnsi="Times New Roman" w:cs="Times New Roman"/>
          <w:sz w:val="24"/>
          <w:szCs w:val="24"/>
        </w:rPr>
        <w:t xml:space="preserve"> De Villiers, 2016</w:t>
      </w:r>
      <w:r w:rsidR="00C214CD" w:rsidRPr="003F2E2C">
        <w:rPr>
          <w:rFonts w:ascii="Times New Roman" w:hAnsi="Times New Roman" w:cs="Times New Roman"/>
          <w:sz w:val="24"/>
          <w:szCs w:val="24"/>
        </w:rPr>
        <w:t>). Therefore, the dynamics of motivating accounting students’ academic performance in a developing country with diverse cultural background</w:t>
      </w:r>
      <w:r w:rsidR="00ED7BDB" w:rsidRPr="003F2E2C">
        <w:rPr>
          <w:rFonts w:ascii="Times New Roman" w:hAnsi="Times New Roman" w:cs="Times New Roman"/>
          <w:sz w:val="24"/>
          <w:szCs w:val="24"/>
        </w:rPr>
        <w:t>s</w:t>
      </w:r>
      <w:r w:rsidR="00C214CD" w:rsidRPr="003F2E2C">
        <w:rPr>
          <w:rFonts w:ascii="Times New Roman" w:hAnsi="Times New Roman" w:cs="Times New Roman"/>
          <w:sz w:val="24"/>
          <w:szCs w:val="24"/>
        </w:rPr>
        <w:t xml:space="preserve"> may demand a different approach compared to</w:t>
      </w:r>
      <w:r w:rsidR="00540DC5" w:rsidRPr="003F2E2C">
        <w:rPr>
          <w:rFonts w:ascii="Times New Roman" w:hAnsi="Times New Roman" w:cs="Times New Roman"/>
          <w:sz w:val="24"/>
          <w:szCs w:val="24"/>
        </w:rPr>
        <w:t xml:space="preserve"> a</w:t>
      </w:r>
      <w:r w:rsidR="00C214CD" w:rsidRPr="003F2E2C">
        <w:rPr>
          <w:rFonts w:ascii="Times New Roman" w:hAnsi="Times New Roman" w:cs="Times New Roman"/>
          <w:sz w:val="24"/>
          <w:szCs w:val="24"/>
        </w:rPr>
        <w:t xml:space="preserve"> </w:t>
      </w:r>
      <w:r w:rsidR="00C214CD" w:rsidRPr="003F2E2C">
        <w:rPr>
          <w:rFonts w:ascii="Times New Roman" w:hAnsi="Times New Roman" w:cs="Times New Roman"/>
          <w:noProof/>
          <w:sz w:val="24"/>
          <w:szCs w:val="24"/>
        </w:rPr>
        <w:t>developed</w:t>
      </w:r>
      <w:r w:rsidR="00C214CD" w:rsidRPr="003F2E2C">
        <w:rPr>
          <w:rFonts w:ascii="Times New Roman" w:hAnsi="Times New Roman" w:cs="Times New Roman"/>
          <w:sz w:val="24"/>
          <w:szCs w:val="24"/>
        </w:rPr>
        <w:t xml:space="preserve"> country.</w:t>
      </w:r>
      <w:r w:rsidR="000647A8" w:rsidRPr="003F2E2C">
        <w:rPr>
          <w:rFonts w:ascii="Times New Roman" w:hAnsi="Times New Roman" w:cs="Times New Roman"/>
          <w:sz w:val="24"/>
          <w:szCs w:val="24"/>
        </w:rPr>
        <w:t xml:space="preserve"> </w:t>
      </w:r>
      <w:r w:rsidR="00EB0E49" w:rsidRPr="003F2E2C">
        <w:rPr>
          <w:rFonts w:ascii="Times New Roman" w:hAnsi="Times New Roman" w:cs="Times New Roman"/>
          <w:sz w:val="24"/>
          <w:szCs w:val="24"/>
        </w:rPr>
        <w:t>This provides new evidence in relation to the effect of motivational factors on accounting students at secondary and tertiary educational levels.</w:t>
      </w:r>
    </w:p>
    <w:p w14:paraId="5116DF82" w14:textId="77777777" w:rsidR="004742A1" w:rsidRPr="003F2E2C" w:rsidRDefault="0013597C" w:rsidP="003B3F81">
      <w:pPr>
        <w:spacing w:after="0" w:line="360" w:lineRule="auto"/>
        <w:ind w:firstLine="720"/>
        <w:jc w:val="both"/>
        <w:rPr>
          <w:rFonts w:ascii="AdvPSPLT" w:hAnsi="AdvPSPLT" w:cs="AdvPSPLT"/>
          <w:lang w:val="en-US"/>
        </w:rPr>
      </w:pPr>
      <w:r w:rsidRPr="003F2E2C">
        <w:rPr>
          <w:rFonts w:ascii="Times New Roman" w:hAnsi="Times New Roman" w:cs="Times New Roman"/>
          <w:sz w:val="24"/>
          <w:szCs w:val="24"/>
        </w:rPr>
        <w:t>T</w:t>
      </w:r>
      <w:r w:rsidR="00E86AF1" w:rsidRPr="003F2E2C">
        <w:rPr>
          <w:rFonts w:ascii="Times New Roman" w:hAnsi="Times New Roman" w:cs="Times New Roman"/>
          <w:sz w:val="24"/>
          <w:szCs w:val="24"/>
        </w:rPr>
        <w:t xml:space="preserve">he findings </w:t>
      </w:r>
      <w:r w:rsidR="008A699E" w:rsidRPr="003F2E2C">
        <w:rPr>
          <w:rFonts w:ascii="Times New Roman" w:hAnsi="Times New Roman" w:cs="Times New Roman"/>
          <w:sz w:val="24"/>
          <w:szCs w:val="24"/>
        </w:rPr>
        <w:t xml:space="preserve">provide </w:t>
      </w:r>
      <w:r w:rsidR="00C62A31" w:rsidRPr="003F2E2C">
        <w:rPr>
          <w:rFonts w:ascii="Times New Roman" w:hAnsi="Times New Roman" w:cs="Times New Roman"/>
          <w:sz w:val="24"/>
          <w:szCs w:val="24"/>
        </w:rPr>
        <w:t xml:space="preserve">accounting </w:t>
      </w:r>
      <w:r w:rsidR="008A699E" w:rsidRPr="003F2E2C">
        <w:rPr>
          <w:rFonts w:ascii="Times New Roman" w:hAnsi="Times New Roman" w:cs="Times New Roman"/>
          <w:sz w:val="24"/>
          <w:szCs w:val="24"/>
        </w:rPr>
        <w:t xml:space="preserve">educational authorities with the needed insights to improve academic performance at these levels which in turn will </w:t>
      </w:r>
      <w:r w:rsidR="001E5B30" w:rsidRPr="003F2E2C">
        <w:rPr>
          <w:rFonts w:ascii="Times New Roman" w:hAnsi="Times New Roman" w:cs="Times New Roman"/>
          <w:sz w:val="24"/>
          <w:szCs w:val="24"/>
        </w:rPr>
        <w:t>help increase the number of</w:t>
      </w:r>
      <w:r w:rsidR="00897E13" w:rsidRPr="003F2E2C">
        <w:rPr>
          <w:rFonts w:ascii="Times New Roman" w:hAnsi="Times New Roman" w:cs="Times New Roman"/>
          <w:sz w:val="24"/>
          <w:szCs w:val="24"/>
        </w:rPr>
        <w:t xml:space="preserve"> accounting professionals on the Ghanaian job market which currently </w:t>
      </w:r>
      <w:r w:rsidR="009142B1" w:rsidRPr="003F2E2C">
        <w:rPr>
          <w:rFonts w:ascii="Times New Roman" w:hAnsi="Times New Roman" w:cs="Times New Roman"/>
          <w:sz w:val="24"/>
          <w:szCs w:val="24"/>
        </w:rPr>
        <w:t>needs</w:t>
      </w:r>
      <w:r w:rsidR="001E5B30" w:rsidRPr="003F2E2C">
        <w:rPr>
          <w:rFonts w:ascii="Times New Roman" w:hAnsi="Times New Roman" w:cs="Times New Roman"/>
          <w:sz w:val="24"/>
          <w:szCs w:val="24"/>
        </w:rPr>
        <w:t xml:space="preserve"> about</w:t>
      </w:r>
      <w:r w:rsidR="00897E13" w:rsidRPr="003F2E2C">
        <w:rPr>
          <w:rFonts w:ascii="Times New Roman" w:hAnsi="Times New Roman" w:cs="Times New Roman"/>
          <w:sz w:val="24"/>
          <w:szCs w:val="24"/>
        </w:rPr>
        <w:t xml:space="preserve"> 2000</w:t>
      </w:r>
      <w:r w:rsidR="0093138D" w:rsidRPr="003F2E2C">
        <w:rPr>
          <w:rFonts w:ascii="Times New Roman" w:hAnsi="Times New Roman" w:cs="Times New Roman"/>
          <w:sz w:val="24"/>
          <w:szCs w:val="24"/>
        </w:rPr>
        <w:t xml:space="preserve"> accountants</w:t>
      </w:r>
      <w:r w:rsidR="00897E13" w:rsidRPr="003F2E2C">
        <w:rPr>
          <w:rFonts w:ascii="Times New Roman" w:hAnsi="Times New Roman" w:cs="Times New Roman"/>
          <w:sz w:val="24"/>
          <w:szCs w:val="24"/>
        </w:rPr>
        <w:t xml:space="preserve"> annually</w:t>
      </w:r>
      <w:r w:rsidR="005D651C" w:rsidRPr="003F2E2C">
        <w:rPr>
          <w:rFonts w:ascii="Times New Roman" w:hAnsi="Times New Roman" w:cs="Times New Roman"/>
          <w:sz w:val="24"/>
          <w:szCs w:val="24"/>
        </w:rPr>
        <w:t xml:space="preserve"> (ACCA, 2006)</w:t>
      </w:r>
      <w:r w:rsidR="00897E13" w:rsidRPr="003F2E2C">
        <w:rPr>
          <w:rFonts w:ascii="Times New Roman" w:hAnsi="Times New Roman" w:cs="Times New Roman"/>
          <w:sz w:val="24"/>
          <w:szCs w:val="24"/>
        </w:rPr>
        <w:t>.</w:t>
      </w:r>
      <w:r w:rsidR="001171C0" w:rsidRPr="003F2E2C">
        <w:rPr>
          <w:rFonts w:ascii="Times New Roman" w:hAnsi="Times New Roman" w:cs="Times New Roman"/>
          <w:sz w:val="24"/>
          <w:szCs w:val="24"/>
        </w:rPr>
        <w:t xml:space="preserve"> </w:t>
      </w:r>
      <w:r w:rsidR="009142B1" w:rsidRPr="003F2E2C">
        <w:rPr>
          <w:rFonts w:ascii="Times New Roman" w:hAnsi="Times New Roman" w:cs="Times New Roman"/>
          <w:noProof/>
          <w:sz w:val="24"/>
          <w:szCs w:val="24"/>
        </w:rPr>
        <w:t>Also</w:t>
      </w:r>
      <w:r w:rsidR="00540DC5" w:rsidRPr="003F2E2C">
        <w:rPr>
          <w:rFonts w:ascii="Times New Roman" w:hAnsi="Times New Roman" w:cs="Times New Roman"/>
          <w:noProof/>
          <w:sz w:val="24"/>
          <w:szCs w:val="24"/>
        </w:rPr>
        <w:t>,</w:t>
      </w:r>
      <w:r w:rsidR="001171C0" w:rsidRPr="003F2E2C">
        <w:rPr>
          <w:rFonts w:ascii="Times New Roman" w:hAnsi="Times New Roman" w:cs="Times New Roman"/>
          <w:sz w:val="24"/>
          <w:szCs w:val="24"/>
        </w:rPr>
        <w:t xml:space="preserve"> parents/guardians, families and all other educational stakeholders with interest in promoting accounting education</w:t>
      </w:r>
      <w:r w:rsidR="009B2A4C" w:rsidRPr="003F2E2C">
        <w:rPr>
          <w:rFonts w:ascii="Times New Roman" w:hAnsi="Times New Roman" w:cs="Times New Roman"/>
          <w:sz w:val="24"/>
          <w:szCs w:val="24"/>
        </w:rPr>
        <w:t>/professionals should dwell more on future expectation of being accounting professional but reduce the level of student volition at the secondary level to improve academic performance</w:t>
      </w:r>
      <w:r w:rsidR="009142B1" w:rsidRPr="003F2E2C">
        <w:rPr>
          <w:rFonts w:ascii="Times New Roman" w:hAnsi="Times New Roman" w:cs="Times New Roman"/>
          <w:sz w:val="24"/>
          <w:szCs w:val="24"/>
        </w:rPr>
        <w:t xml:space="preserve">. However, at the tertiary </w:t>
      </w:r>
      <w:r w:rsidR="009142B1" w:rsidRPr="003F2E2C">
        <w:rPr>
          <w:rFonts w:ascii="Times New Roman" w:hAnsi="Times New Roman" w:cs="Times New Roman"/>
          <w:noProof/>
          <w:sz w:val="24"/>
          <w:szCs w:val="24"/>
        </w:rPr>
        <w:t>level</w:t>
      </w:r>
      <w:r w:rsidR="00540DC5" w:rsidRPr="003F2E2C">
        <w:rPr>
          <w:rFonts w:ascii="Times New Roman" w:hAnsi="Times New Roman" w:cs="Times New Roman"/>
          <w:noProof/>
          <w:sz w:val="24"/>
          <w:szCs w:val="24"/>
        </w:rPr>
        <w:t>,</w:t>
      </w:r>
      <w:r w:rsidR="009142B1" w:rsidRPr="003F2E2C">
        <w:rPr>
          <w:rFonts w:ascii="Times New Roman" w:hAnsi="Times New Roman" w:cs="Times New Roman"/>
          <w:sz w:val="24"/>
          <w:szCs w:val="24"/>
        </w:rPr>
        <w:t xml:space="preserve"> we recommend</w:t>
      </w:r>
      <w:r w:rsidR="00540DC5" w:rsidRPr="003F2E2C">
        <w:rPr>
          <w:rFonts w:ascii="Times New Roman" w:hAnsi="Times New Roman" w:cs="Times New Roman"/>
          <w:sz w:val="24"/>
          <w:szCs w:val="24"/>
        </w:rPr>
        <w:t xml:space="preserve"> an</w:t>
      </w:r>
      <w:r w:rsidR="009142B1" w:rsidRPr="003F2E2C">
        <w:rPr>
          <w:rFonts w:ascii="Times New Roman" w:hAnsi="Times New Roman" w:cs="Times New Roman"/>
          <w:sz w:val="24"/>
          <w:szCs w:val="24"/>
        </w:rPr>
        <w:t xml:space="preserve"> </w:t>
      </w:r>
      <w:r w:rsidR="009142B1" w:rsidRPr="003F2E2C">
        <w:rPr>
          <w:rFonts w:ascii="Times New Roman" w:hAnsi="Times New Roman" w:cs="Times New Roman"/>
          <w:noProof/>
          <w:sz w:val="24"/>
          <w:szCs w:val="24"/>
        </w:rPr>
        <w:t>increased</w:t>
      </w:r>
      <w:r w:rsidR="009142B1" w:rsidRPr="003F2E2C">
        <w:rPr>
          <w:rFonts w:ascii="Times New Roman" w:hAnsi="Times New Roman" w:cs="Times New Roman"/>
          <w:sz w:val="24"/>
          <w:szCs w:val="24"/>
        </w:rPr>
        <w:t xml:space="preserve"> level of volition and</w:t>
      </w:r>
      <w:r w:rsidR="00540DC5" w:rsidRPr="003F2E2C">
        <w:rPr>
          <w:rFonts w:ascii="Times New Roman" w:hAnsi="Times New Roman" w:cs="Times New Roman"/>
          <w:sz w:val="24"/>
          <w:szCs w:val="24"/>
        </w:rPr>
        <w:t xml:space="preserve"> a</w:t>
      </w:r>
      <w:r w:rsidR="009142B1" w:rsidRPr="003F2E2C">
        <w:rPr>
          <w:rFonts w:ascii="Times New Roman" w:hAnsi="Times New Roman" w:cs="Times New Roman"/>
          <w:sz w:val="24"/>
          <w:szCs w:val="24"/>
        </w:rPr>
        <w:t xml:space="preserve"> </w:t>
      </w:r>
      <w:r w:rsidR="009142B1" w:rsidRPr="003F2E2C">
        <w:rPr>
          <w:rFonts w:ascii="Times New Roman" w:hAnsi="Times New Roman" w:cs="Times New Roman"/>
          <w:noProof/>
          <w:sz w:val="24"/>
          <w:szCs w:val="24"/>
        </w:rPr>
        <w:t>lesser</w:t>
      </w:r>
      <w:r w:rsidR="009142B1" w:rsidRPr="003F2E2C">
        <w:rPr>
          <w:rFonts w:ascii="Times New Roman" w:hAnsi="Times New Roman" w:cs="Times New Roman"/>
          <w:sz w:val="24"/>
          <w:szCs w:val="24"/>
        </w:rPr>
        <w:t xml:space="preserve"> emphasis on expectation as a way of improving</w:t>
      </w:r>
      <w:r w:rsidR="00540DC5" w:rsidRPr="003F2E2C">
        <w:rPr>
          <w:rFonts w:ascii="Times New Roman" w:hAnsi="Times New Roman" w:cs="Times New Roman"/>
          <w:sz w:val="24"/>
          <w:szCs w:val="24"/>
        </w:rPr>
        <w:t xml:space="preserve"> the</w:t>
      </w:r>
      <w:r w:rsidR="009142B1" w:rsidRPr="003F2E2C">
        <w:rPr>
          <w:rFonts w:ascii="Times New Roman" w:hAnsi="Times New Roman" w:cs="Times New Roman"/>
          <w:sz w:val="24"/>
          <w:szCs w:val="24"/>
        </w:rPr>
        <w:t xml:space="preserve"> </w:t>
      </w:r>
      <w:r w:rsidR="009142B1" w:rsidRPr="003F2E2C">
        <w:rPr>
          <w:rFonts w:ascii="Times New Roman" w:hAnsi="Times New Roman" w:cs="Times New Roman"/>
          <w:noProof/>
          <w:sz w:val="24"/>
          <w:szCs w:val="24"/>
        </w:rPr>
        <w:t>academic</w:t>
      </w:r>
      <w:r w:rsidRPr="003F2E2C">
        <w:rPr>
          <w:rFonts w:ascii="Times New Roman" w:hAnsi="Times New Roman" w:cs="Times New Roman"/>
          <w:sz w:val="24"/>
          <w:szCs w:val="24"/>
        </w:rPr>
        <w:t xml:space="preserve"> performance of </w:t>
      </w:r>
      <w:r w:rsidR="009142B1" w:rsidRPr="003F2E2C">
        <w:rPr>
          <w:rFonts w:ascii="Times New Roman" w:hAnsi="Times New Roman" w:cs="Times New Roman"/>
          <w:sz w:val="24"/>
          <w:szCs w:val="24"/>
        </w:rPr>
        <w:t>students.</w:t>
      </w:r>
      <w:r w:rsidR="00D53440" w:rsidRPr="003F2E2C">
        <w:rPr>
          <w:rFonts w:ascii="Times New Roman" w:hAnsi="Times New Roman" w:cs="Times New Roman"/>
          <w:sz w:val="24"/>
          <w:szCs w:val="24"/>
        </w:rPr>
        <w:t xml:space="preserve"> So far as quantity is important so also is the quality of accounting graduates. In this respect, there is a need to increase the number of lecturers/teachers to improve the deteriorating student-teacher/lecturer rat</w:t>
      </w:r>
      <w:r w:rsidRPr="003F2E2C">
        <w:rPr>
          <w:rFonts w:ascii="Times New Roman" w:hAnsi="Times New Roman" w:cs="Times New Roman"/>
          <w:sz w:val="24"/>
          <w:szCs w:val="24"/>
        </w:rPr>
        <w:t>io to an acceptable norm. Also, ICAG</w:t>
      </w:r>
      <w:r w:rsidR="00D53440" w:rsidRPr="003F2E2C">
        <w:rPr>
          <w:rFonts w:ascii="Times New Roman" w:hAnsi="Times New Roman" w:cs="Times New Roman"/>
          <w:sz w:val="24"/>
          <w:szCs w:val="24"/>
        </w:rPr>
        <w:t xml:space="preserve"> should collaborate with tertiary institutions in the area of curriculum development to ensure that relevant and current materials and topics are being delivered to students. It should also develop relevant CPD program</w:t>
      </w:r>
      <w:r w:rsidRPr="003F2E2C">
        <w:rPr>
          <w:rFonts w:ascii="Times New Roman" w:hAnsi="Times New Roman" w:cs="Times New Roman"/>
          <w:sz w:val="24"/>
          <w:szCs w:val="24"/>
        </w:rPr>
        <w:t>me</w:t>
      </w:r>
      <w:r w:rsidR="00D53440" w:rsidRPr="003F2E2C">
        <w:rPr>
          <w:rFonts w:ascii="Times New Roman" w:hAnsi="Times New Roman" w:cs="Times New Roman"/>
          <w:sz w:val="24"/>
          <w:szCs w:val="24"/>
        </w:rPr>
        <w:t>s for training accounting instructors to stimulate innovation and diversity in teaching.</w:t>
      </w:r>
      <w:r w:rsidR="003B3F81" w:rsidRPr="003F2E2C">
        <w:rPr>
          <w:rFonts w:ascii="AdvPSPLT" w:hAnsi="AdvPSPLT" w:cs="AdvPSPLT"/>
          <w:lang w:val="en-US"/>
        </w:rPr>
        <w:t xml:space="preserve"> </w:t>
      </w:r>
    </w:p>
    <w:p w14:paraId="6B9C7D26" w14:textId="44CEEAEA" w:rsidR="003B3F81" w:rsidRPr="003F2E2C" w:rsidRDefault="0013597C" w:rsidP="003B3F81">
      <w:pPr>
        <w:spacing w:after="0" w:line="360" w:lineRule="auto"/>
        <w:ind w:firstLine="720"/>
        <w:jc w:val="both"/>
        <w:rPr>
          <w:rFonts w:ascii="Times New Roman" w:hAnsi="Times New Roman" w:cs="Times New Roman"/>
          <w:sz w:val="24"/>
          <w:szCs w:val="24"/>
          <w:lang w:val="en-US"/>
        </w:rPr>
      </w:pPr>
      <w:r w:rsidRPr="003F2E2C">
        <w:rPr>
          <w:rFonts w:ascii="AdvPSPLT" w:hAnsi="AdvPSPLT" w:cs="AdvPSPLT"/>
          <w:lang w:val="en-US"/>
        </w:rPr>
        <w:t>Again, i</w:t>
      </w:r>
      <w:r w:rsidRPr="003F2E2C">
        <w:rPr>
          <w:rFonts w:ascii="Times New Roman" w:hAnsi="Times New Roman" w:cs="Times New Roman"/>
          <w:sz w:val="24"/>
          <w:szCs w:val="24"/>
          <w:lang w:val="en-US"/>
        </w:rPr>
        <w:t xml:space="preserve">n an effort to create valid expectation among accounting students through provision of relevant information, mention must also be made of the future challenges of the accounting profession which include </w:t>
      </w:r>
      <w:r w:rsidRPr="003F2E2C">
        <w:rPr>
          <w:rFonts w:ascii="Times New Roman" w:hAnsi="Times New Roman" w:cs="Times New Roman"/>
          <w:sz w:val="24"/>
          <w:szCs w:val="24"/>
        </w:rPr>
        <w:t>increasing usage of smart and digital technology, globalization effect on reporting and disclosure standards as well as new forms of regulation (ACCA, 2016; Islam, 2017). Students should, however, be encouraged to appreciate the opportunities these challenges bring once they improve their performance and knowledge in the usage of smart and digital technologies, international reporting and tax regimes as well as socio-environmental reporting (Islam, 2017). The educational stakeholders should also put in place measures to encourage the teaching and learning of cloud computing, digital technologies, big</w:t>
      </w:r>
      <w:r w:rsidRPr="003F2E2C">
        <w:rPr>
          <w:rFonts w:ascii="Times New Roman" w:hAnsi="Times New Roman" w:cs="Times New Roman"/>
          <w:b/>
          <w:bCs/>
          <w:sz w:val="24"/>
          <w:szCs w:val="24"/>
        </w:rPr>
        <w:t xml:space="preserve"> </w:t>
      </w:r>
      <w:r w:rsidRPr="003F2E2C">
        <w:rPr>
          <w:rFonts w:ascii="Times New Roman" w:hAnsi="Times New Roman" w:cs="Times New Roman"/>
          <w:bCs/>
          <w:sz w:val="24"/>
          <w:szCs w:val="24"/>
        </w:rPr>
        <w:t>data analytics,</w:t>
      </w:r>
      <w:r w:rsidRPr="003F2E2C">
        <w:rPr>
          <w:rFonts w:ascii="Times New Roman" w:hAnsi="Times New Roman" w:cs="Times New Roman"/>
          <w:sz w:val="24"/>
          <w:szCs w:val="24"/>
        </w:rPr>
        <w:t xml:space="preserve"> environmental and integrated reporting among accounting students to enhance their performance in these areas and job opportunities globally.  </w:t>
      </w:r>
    </w:p>
    <w:p w14:paraId="6D7A1E4D" w14:textId="77777777" w:rsidR="003B3F81" w:rsidRPr="003F2E2C" w:rsidRDefault="003B3F81" w:rsidP="003B3F81">
      <w:pPr>
        <w:spacing w:after="0" w:line="360" w:lineRule="auto"/>
        <w:ind w:firstLine="720"/>
        <w:jc w:val="both"/>
        <w:rPr>
          <w:rFonts w:ascii="Times New Roman" w:hAnsi="Times New Roman" w:cs="Times New Roman"/>
          <w:sz w:val="24"/>
          <w:szCs w:val="24"/>
          <w:lang w:val="en-US"/>
        </w:rPr>
      </w:pPr>
    </w:p>
    <w:p w14:paraId="3D3BD426" w14:textId="77777777" w:rsidR="00971FE2" w:rsidRPr="003F2E2C" w:rsidRDefault="00971FE2" w:rsidP="00971FE2">
      <w:pPr>
        <w:spacing w:before="150" w:after="105" w:line="240" w:lineRule="auto"/>
        <w:outlineLvl w:val="0"/>
        <w:rPr>
          <w:b/>
          <w:noProof/>
        </w:rPr>
      </w:pPr>
    </w:p>
    <w:p w14:paraId="4AE1EA15" w14:textId="77777777" w:rsidR="00971FE2" w:rsidRPr="003F2E2C" w:rsidRDefault="00971FE2" w:rsidP="00971FE2">
      <w:pPr>
        <w:spacing w:before="150" w:after="105" w:line="240" w:lineRule="auto"/>
        <w:outlineLvl w:val="0"/>
        <w:rPr>
          <w:b/>
          <w:noProof/>
        </w:rPr>
      </w:pPr>
    </w:p>
    <w:p w14:paraId="2E5DC107" w14:textId="776A7A47" w:rsidR="00971FE2" w:rsidRPr="003F2E2C" w:rsidRDefault="00971FE2" w:rsidP="00971FE2">
      <w:pPr>
        <w:spacing w:before="150" w:after="105" w:line="240" w:lineRule="auto"/>
        <w:outlineLvl w:val="0"/>
        <w:rPr>
          <w:b/>
          <w:noProof/>
        </w:rPr>
      </w:pPr>
      <w:r w:rsidRPr="003F2E2C">
        <w:rPr>
          <w:b/>
          <w:noProof/>
        </w:rPr>
        <w:t>Word Count: Total 14, 926</w:t>
      </w:r>
    </w:p>
    <w:p w14:paraId="5DC2E8C8" w14:textId="77777777" w:rsidR="00971FE2" w:rsidRPr="003F2E2C" w:rsidRDefault="00971FE2" w:rsidP="00971FE2">
      <w:pPr>
        <w:spacing w:before="150" w:after="105" w:line="240" w:lineRule="auto"/>
        <w:outlineLvl w:val="0"/>
        <w:rPr>
          <w:b/>
          <w:noProof/>
        </w:rPr>
      </w:pPr>
    </w:p>
    <w:p w14:paraId="19692630" w14:textId="77777777" w:rsidR="00971FE2" w:rsidRPr="003F2E2C" w:rsidRDefault="00971FE2" w:rsidP="00971FE2">
      <w:pPr>
        <w:spacing w:before="150" w:after="105" w:line="240" w:lineRule="auto"/>
        <w:outlineLvl w:val="0"/>
        <w:rPr>
          <w:b/>
          <w:noProof/>
        </w:rPr>
      </w:pPr>
      <w:r w:rsidRPr="003F2E2C">
        <w:rPr>
          <w:b/>
          <w:noProof/>
        </w:rPr>
        <w:t>Disclosure statement</w:t>
      </w:r>
    </w:p>
    <w:p w14:paraId="71EAB7A2" w14:textId="77777777" w:rsidR="00971FE2" w:rsidRPr="003F2E2C" w:rsidRDefault="00971FE2" w:rsidP="00971FE2">
      <w:pPr>
        <w:spacing w:before="150" w:after="105" w:line="240" w:lineRule="auto"/>
        <w:outlineLvl w:val="0"/>
        <w:rPr>
          <w:noProof/>
        </w:rPr>
      </w:pPr>
      <w:r w:rsidRPr="003F2E2C">
        <w:rPr>
          <w:noProof/>
        </w:rPr>
        <w:t>No potential conflict of interest was reported by the authors.</w:t>
      </w:r>
    </w:p>
    <w:p w14:paraId="2A94B152" w14:textId="77777777" w:rsidR="00917896" w:rsidRPr="003F2E2C" w:rsidRDefault="00917896" w:rsidP="00917896">
      <w:pPr>
        <w:spacing w:before="150" w:after="105" w:line="240" w:lineRule="auto"/>
        <w:outlineLvl w:val="0"/>
        <w:rPr>
          <w:noProof/>
        </w:rPr>
      </w:pPr>
    </w:p>
    <w:p w14:paraId="68119CA4" w14:textId="77777777" w:rsidR="00917896" w:rsidRPr="003F2E2C" w:rsidRDefault="00917896" w:rsidP="00917896">
      <w:pPr>
        <w:spacing w:before="150" w:after="105" w:line="240" w:lineRule="auto"/>
        <w:outlineLvl w:val="0"/>
        <w:rPr>
          <w:noProof/>
        </w:rPr>
      </w:pPr>
    </w:p>
    <w:p w14:paraId="5D6022E0" w14:textId="420F8296" w:rsidR="00917896" w:rsidRPr="003F2E2C" w:rsidRDefault="00917896" w:rsidP="00917896">
      <w:pPr>
        <w:spacing w:before="150" w:after="105" w:line="240" w:lineRule="auto"/>
        <w:outlineLvl w:val="0"/>
        <w:rPr>
          <w:rFonts w:ascii="Times New Roman" w:hAnsi="Times New Roman" w:cs="Times New Roman"/>
          <w:b/>
          <w:noProof/>
          <w:sz w:val="24"/>
          <w:szCs w:val="24"/>
        </w:rPr>
      </w:pPr>
      <w:r w:rsidRPr="003F2E2C">
        <w:rPr>
          <w:noProof/>
        </w:rPr>
        <w:fldChar w:fldCharType="begin" w:fldLock="1"/>
      </w:r>
      <w:r w:rsidRPr="003F2E2C">
        <w:rPr>
          <w:noProof/>
        </w:rPr>
        <w:instrText xml:space="preserve">ADDIN Mendeley Bibliography CSL_BIBLIOGRAPHY </w:instrText>
      </w:r>
      <w:r w:rsidRPr="003F2E2C">
        <w:rPr>
          <w:noProof/>
        </w:rPr>
        <w:fldChar w:fldCharType="separate"/>
      </w:r>
      <w:r w:rsidRPr="003F2E2C">
        <w:rPr>
          <w:rFonts w:ascii="Times New Roman" w:hAnsi="Times New Roman" w:cs="Times New Roman"/>
          <w:b/>
          <w:sz w:val="24"/>
          <w:szCs w:val="24"/>
        </w:rPr>
        <w:t xml:space="preserve"> </w:t>
      </w:r>
      <w:r w:rsidRPr="003F2E2C">
        <w:rPr>
          <w:rFonts w:ascii="Times New Roman" w:hAnsi="Times New Roman" w:cs="Times New Roman"/>
          <w:b/>
          <w:noProof/>
          <w:sz w:val="24"/>
          <w:szCs w:val="24"/>
        </w:rPr>
        <w:t>References</w:t>
      </w:r>
    </w:p>
    <w:p w14:paraId="688FDD9A" w14:textId="77777777" w:rsidR="00F96BF4"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ACCA (2016). "Professional accountants – the future: Drivers of change and future skills", Available from: </w:t>
      </w:r>
      <w:r w:rsidR="00F96BF4" w:rsidRPr="003F2E2C">
        <w:rPr>
          <w:rFonts w:ascii="Times New Roman" w:hAnsi="Times New Roman" w:cs="Times New Roman"/>
          <w:noProof/>
          <w:sz w:val="24"/>
          <w:szCs w:val="24"/>
        </w:rPr>
        <w:t>h</w:t>
      </w:r>
      <w:r w:rsidRPr="003F2E2C">
        <w:rPr>
          <w:rFonts w:ascii="Times New Roman" w:hAnsi="Times New Roman" w:cs="Times New Roman"/>
          <w:noProof/>
          <w:sz w:val="24"/>
          <w:szCs w:val="24"/>
        </w:rPr>
        <w:t>ttps://www.accaglobal.com/content/dam/ACCA_Global/Technical/</w:t>
      </w:r>
    </w:p>
    <w:p w14:paraId="4C26DF70" w14:textId="7FA7EF2F"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Future/pi-highlights-professional-accountants-the-future.pdf [Accessed 28 January, 2019].</w:t>
      </w:r>
    </w:p>
    <w:p w14:paraId="0A56B364"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fldChar w:fldCharType="begin" w:fldLock="1"/>
      </w:r>
      <w:r w:rsidRPr="003F2E2C">
        <w:rPr>
          <w:rFonts w:ascii="Times New Roman" w:hAnsi="Times New Roman" w:cs="Times New Roman"/>
          <w:noProof/>
          <w:sz w:val="24"/>
          <w:szCs w:val="24"/>
        </w:rPr>
        <w:instrText xml:space="preserve">ADDIN Mendeley Bibliography CSL_BIBLIOGRAPHY </w:instrText>
      </w:r>
      <w:r w:rsidRPr="003F2E2C">
        <w:rPr>
          <w:rFonts w:ascii="Times New Roman" w:hAnsi="Times New Roman" w:cs="Times New Roman"/>
          <w:noProof/>
          <w:sz w:val="24"/>
          <w:szCs w:val="24"/>
        </w:rPr>
        <w:fldChar w:fldCharType="separate"/>
      </w:r>
      <w:r w:rsidRPr="003F2E2C">
        <w:rPr>
          <w:rFonts w:ascii="Times New Roman" w:hAnsi="Times New Roman" w:cs="Times New Roman"/>
          <w:noProof/>
          <w:sz w:val="24"/>
          <w:szCs w:val="24"/>
        </w:rPr>
        <w:t>ACCA, (2006). "2,000 accountants needed annually". Available at: www.ghanaweb.com/GhanaHomePage/NewsArchive/artikel.php?ID=103243 (accessed 2 January 2017).</w:t>
      </w:r>
    </w:p>
    <w:p w14:paraId="3B2CC5CA"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Adu-Gyamfi, S., Donkoh, W. J., &amp; Addo, A. A. (2013). ''Educational Reforms in Ghana: Past and Present'', Journal of Education and Human Development, 5(3), 158-172.</w:t>
      </w:r>
    </w:p>
    <w:p w14:paraId="3FACB4A5"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Ahinful, G.S., Paintsil R.O., &amp;  Danquah J.B. (2012). "Factors influencing the choice of accounting as a major in Ghanaian Universities", Journal of Education and Practice, 3(15), 101-105.</w:t>
      </w:r>
    </w:p>
    <w:p w14:paraId="5F9AE4BF" w14:textId="19EFA56D"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Ainley, M., Hidi, S., &amp; Berndorff, D. (2002).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Interest, learning, and the psychological processes that mediate their relationship</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Journal of Educational Psychology, 94, 545–561.</w:t>
      </w:r>
    </w:p>
    <w:p w14:paraId="5446662D" w14:textId="30699F11" w:rsidR="00917896" w:rsidRPr="003F2E2C" w:rsidRDefault="00917896" w:rsidP="00917896">
      <w:pPr>
        <w:spacing w:before="150" w:after="105" w:line="240" w:lineRule="auto"/>
        <w:outlineLvl w:val="0"/>
        <w:rPr>
          <w:rFonts w:ascii="Times New Roman" w:hAnsi="Times New Roman" w:cs="Times New Roman"/>
          <w:bCs/>
          <w:noProof/>
          <w:sz w:val="24"/>
          <w:szCs w:val="24"/>
        </w:rPr>
      </w:pPr>
      <w:r w:rsidRPr="003F2E2C">
        <w:rPr>
          <w:rFonts w:ascii="Times New Roman" w:hAnsi="Times New Roman" w:cs="Times New Roman"/>
          <w:bCs/>
          <w:noProof/>
          <w:sz w:val="24"/>
          <w:szCs w:val="24"/>
        </w:rPr>
        <w:t xml:space="preserve">Ajzen, I. (2011). </w:t>
      </w:r>
      <w:r w:rsidR="00F96BF4" w:rsidRPr="003F2E2C">
        <w:rPr>
          <w:rFonts w:ascii="Times New Roman" w:hAnsi="Times New Roman" w:cs="Times New Roman"/>
          <w:bCs/>
          <w:noProof/>
          <w:sz w:val="24"/>
          <w:szCs w:val="24"/>
        </w:rPr>
        <w:t>''</w:t>
      </w:r>
      <w:r w:rsidRPr="003F2E2C">
        <w:rPr>
          <w:rFonts w:ascii="Times New Roman" w:hAnsi="Times New Roman" w:cs="Times New Roman"/>
          <w:bCs/>
          <w:noProof/>
          <w:sz w:val="24"/>
          <w:szCs w:val="24"/>
        </w:rPr>
        <w:t>Job Satisfaction, Effort, and Performance: A Reasoned Action Perspective</w:t>
      </w:r>
      <w:r w:rsidR="00F96BF4" w:rsidRPr="003F2E2C">
        <w:rPr>
          <w:rFonts w:ascii="Times New Roman" w:hAnsi="Times New Roman" w:cs="Times New Roman"/>
          <w:bCs/>
          <w:noProof/>
          <w:sz w:val="24"/>
          <w:szCs w:val="24"/>
        </w:rPr>
        <w:t>'',</w:t>
      </w:r>
      <w:r w:rsidRPr="003F2E2C">
        <w:rPr>
          <w:rFonts w:ascii="Times New Roman" w:hAnsi="Times New Roman" w:cs="Times New Roman"/>
          <w:noProof/>
          <w:sz w:val="24"/>
          <w:szCs w:val="24"/>
        </w:rPr>
        <w:t xml:space="preserve"> </w:t>
      </w:r>
      <w:r w:rsidRPr="003F2E2C">
        <w:rPr>
          <w:rFonts w:ascii="Times New Roman" w:hAnsi="Times New Roman" w:cs="Times New Roman"/>
          <w:bCs/>
          <w:noProof/>
          <w:sz w:val="24"/>
          <w:szCs w:val="24"/>
        </w:rPr>
        <w:t>Contemporary Economic, 5(4), 32-43.</w:t>
      </w:r>
    </w:p>
    <w:p w14:paraId="2BCAB0AE"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Ajzen, I. (1985), “From intentions to action: a theory of planned behavior”, in Kuhl, J. and Beckmenn, J. (Eds), Action Control: From Cognition to Behavior, Springer Verlag, New York, NY, pp. 11-39.</w:t>
      </w:r>
    </w:p>
    <w:p w14:paraId="19E8BF02" w14:textId="246F96AE" w:rsidR="00917896" w:rsidRPr="003F2E2C" w:rsidRDefault="00F96BF4"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Ajzen, I. (1988).</w:t>
      </w:r>
      <w:r w:rsidR="00917896"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w:t>
      </w:r>
      <w:r w:rsidR="00917896" w:rsidRPr="003F2E2C">
        <w:rPr>
          <w:rFonts w:ascii="Times New Roman" w:hAnsi="Times New Roman" w:cs="Times New Roman"/>
          <w:noProof/>
          <w:sz w:val="24"/>
          <w:szCs w:val="24"/>
        </w:rPr>
        <w:t>Attitudes, Personality and Behaviour</w:t>
      </w:r>
      <w:r w:rsidRPr="003F2E2C">
        <w:rPr>
          <w:rFonts w:ascii="Times New Roman" w:hAnsi="Times New Roman" w:cs="Times New Roman"/>
          <w:noProof/>
          <w:sz w:val="24"/>
          <w:szCs w:val="24"/>
        </w:rPr>
        <w:t>''</w:t>
      </w:r>
      <w:r w:rsidR="00917896" w:rsidRPr="003F2E2C">
        <w:rPr>
          <w:rFonts w:ascii="Times New Roman" w:hAnsi="Times New Roman" w:cs="Times New Roman"/>
          <w:noProof/>
          <w:sz w:val="24"/>
          <w:szCs w:val="24"/>
        </w:rPr>
        <w:t xml:space="preserve">, The Dorsey Press, Chicago, IL. </w:t>
      </w:r>
    </w:p>
    <w:p w14:paraId="10F46142" w14:textId="39B570C3"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Ajzen, I., &amp; Fishbein, M. (1980).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Understanding attitudes and predicting social behavior</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Englewood Cliffs, NJ:Prentice-Hall.</w:t>
      </w:r>
    </w:p>
    <w:p w14:paraId="0A43D6EE"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Alexander, K. L., Doris, R ., Entwisle, D. R., &amp; Bedinger, S. D. (1994)."When Expectations Work : Race and Socioeconomic Differences in School Performance", Social Psychology, 57(4), 283–299.</w:t>
      </w:r>
    </w:p>
    <w:p w14:paraId="6799138B"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Allen, C.L., (2004). “Business students’ perception of the image of accounting”, Managerial</w:t>
      </w:r>
    </w:p>
    <w:p w14:paraId="768FA657"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Auditing Journal, 19(2), 235-258.</w:t>
      </w:r>
    </w:p>
    <w:p w14:paraId="4F6B30A7" w14:textId="686FF602"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Alquist, J. L., Ainsworth, S. E., Baumeister, R. F., Daly, M., &amp; Stillman, T. F. (2015).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making of might-have-beens: Effects of free will belief on counterfactual thinking</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Personality and Social Psychology Bulletin, 41(2), 268–283.</w:t>
      </w:r>
    </w:p>
    <w:p w14:paraId="654B166E"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Arquero, J. L., Byrne, M., Flood, B., &amp; Gonzalez, J. M. (2009). "Motives, expectations, preparedness and academic Performance: A study of students of accounting at a Spanish university’, Revista de Contabilidad", Revista de Contabilidad-Spanish Accounting Review, 12(2), 279–300. </w:t>
      </w:r>
    </w:p>
    <w:p w14:paraId="34300847"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Arthur, N., &amp; Everaert, P. (2012). "Gender and Performance in Accounting Examinations: Exploring the Impact of Examination Format", Accounting Education, 21(5), 471–487.</w:t>
      </w:r>
    </w:p>
    <w:p w14:paraId="31BA6748"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Awayiga, J. Y., Onumah, J. M., &amp;Tsamenyi, M. (2010). "Knowledge and Skills Development of Accounting Graduates: The Perceptions of Graduates and Employers in Ghana", Accounting Education, 19(1–2), 139–158.</w:t>
      </w:r>
    </w:p>
    <w:p w14:paraId="571906AD"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Bagozzi, P. R., &amp; Yi, Y. (2012). "Specification, evaluation, and interpretation of structural equation models", Academy of Marketing Science, 40(1), 8–34. </w:t>
      </w:r>
    </w:p>
    <w:p w14:paraId="76220CA9"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p>
    <w:p w14:paraId="134CAC3A" w14:textId="410660A0"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Bandura, A. (1986).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Social Foundations of Thought and Action</w:t>
      </w:r>
      <w:r w:rsidR="00F96BF4"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Englewood Cliffs, NJ: Prentice Ha</w:t>
      </w:r>
      <w:r w:rsidR="00F96BF4" w:rsidRPr="003F2E2C">
        <w:rPr>
          <w:rFonts w:ascii="Times New Roman" w:hAnsi="Times New Roman" w:cs="Times New Roman"/>
          <w:noProof/>
          <w:sz w:val="24"/>
          <w:szCs w:val="24"/>
        </w:rPr>
        <w:t>ll</w:t>
      </w:r>
      <w:r w:rsidRPr="003F2E2C">
        <w:rPr>
          <w:rFonts w:ascii="Times New Roman" w:hAnsi="Times New Roman" w:cs="Times New Roman"/>
          <w:noProof/>
          <w:sz w:val="24"/>
          <w:szCs w:val="24"/>
        </w:rPr>
        <w:t>.</w:t>
      </w:r>
    </w:p>
    <w:p w14:paraId="7F77F838" w14:textId="3D6C7E56"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Bakre, O. M., &amp; Lauwo, S. (2016).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Critical Perspectives on Accounting Privatisation and accountability in a ‘ crony capitalist ’ Nigerian state</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Critical Perspectives on Accounting, 39, 45–58.</w:t>
      </w:r>
    </w:p>
    <w:p w14:paraId="387A83AA"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Bunce, L., Baird, A., &amp; Jones, S. E. (2016). "The student-as-consumer approach in higher education and its effects on academic performance", Studies in Higher Education, Online, </w:t>
      </w:r>
    </w:p>
    <w:p w14:paraId="4F19EC65" w14:textId="7BC5D6DA"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Burke, L., &amp; Joanne, M. W. (2008).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Developing Young Thinkers: An intervention aimed to enhance children’s thinking skills</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Thinking Skills and Creativity, 3,104-124.</w:t>
      </w:r>
    </w:p>
    <w:p w14:paraId="308EBE27"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Byrne, M., &amp; Flood, B. (2008). "Examining the relationships among background variables and academic performance of first-year accounting students at an Irish University", Journal of Accounting Education", Journal of Accounting Education, 26(4), 202–212. </w:t>
      </w:r>
    </w:p>
    <w:p w14:paraId="6F21A160"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Byrne, M., &amp;  Flood, B. (2005). "A study of accounting students’ motives, expectations and preparedness for higher education", Journal of Further and Higher Education, 29(2), 111-124.</w:t>
      </w:r>
    </w:p>
    <w:p w14:paraId="38949577"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Chisholm, L., &amp; Leyendecker, R. (2008). ''Curriculum reform in post-1990s Sub-Saharan</w:t>
      </w:r>
    </w:p>
    <w:p w14:paraId="3736C67B"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Africa'', International Journal of Educational Development, 28(2), 195–205.</w:t>
      </w:r>
    </w:p>
    <w:p w14:paraId="1BB44301" w14:textId="4E14458E"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Clarke, M., Yang, L. H., &amp; Harmon, D. (2018).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Internationalisation of Irish Higher Education</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 study commissioned by the Higher Education Authority of Ireland.</w:t>
      </w:r>
    </w:p>
    <w:p w14:paraId="2C9FBC2A" w14:textId="4C046079"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 Dalci, I.,  Arash, H., &amp; Baradarani, T.S. (2013).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Factors that influence Iranian students’ decision to choose accounting major</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Journal of Accounting in Emerging Economies, 3(2), 145–163. </w:t>
      </w:r>
    </w:p>
    <w:p w14:paraId="402E39D4" w14:textId="55BF8556" w:rsidR="00917896" w:rsidRPr="003F2E2C" w:rsidRDefault="00F96BF4"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Deaño et al.</w:t>
      </w:r>
      <w:r w:rsidR="00917896" w:rsidRPr="003F2E2C">
        <w:rPr>
          <w:rFonts w:ascii="Times New Roman" w:hAnsi="Times New Roman" w:cs="Times New Roman"/>
          <w:noProof/>
          <w:sz w:val="24"/>
          <w:szCs w:val="24"/>
        </w:rPr>
        <w:t xml:space="preserve"> (2015). "Propiedades psicométricas del Cuestionario de Percepciones Académicas para la evaluación de las expectativas de los estudiantes de primer año en Enseñanza Superior ", Anales de Psicologia, 31(1), 280–289. </w:t>
      </w:r>
    </w:p>
    <w:p w14:paraId="38769E81" w14:textId="0D05AC1A"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 De Lange, P., &amp; Mavondo, F. (2004).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Gender and motivational differences in approaches to learning by a cohort of open learning students</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Accounting Education: An International Journal, 13(4), 431–448. </w:t>
      </w:r>
    </w:p>
    <w:p w14:paraId="061B7313" w14:textId="037F25F8"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Didia, D., &amp; Hasnat, B. (1998). "The determinants of performance in the univeresity introductory finance course", Financial Practice and Education, 1, 102-107.</w:t>
      </w:r>
    </w:p>
    <w:p w14:paraId="1CD20CD5" w14:textId="1462C944"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Diniz, A. M., Alfonso, S., Araújo, A. M., Deaño, M., Costa, A. R., Conde, Â., &amp; Almeida, L. S. (2016). "Gender differences in first-year college students’ academic expectations", Studies in Higher Education, online.</w:t>
      </w:r>
    </w:p>
    <w:p w14:paraId="41430D36"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Donald, J. (1999). "Motivation for higher-order learning. New Directions for Teaching and Learning", 78(2), 27-35.</w:t>
      </w:r>
    </w:p>
    <w:p w14:paraId="445EB58C"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p>
    <w:p w14:paraId="0067890A" w14:textId="08311FC5" w:rsidR="00917896" w:rsidRPr="003F2E2C" w:rsidRDefault="00F96BF4"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Duff, A. (2004).</w:t>
      </w:r>
      <w:r w:rsidR="00917896" w:rsidRPr="003F2E2C">
        <w:rPr>
          <w:rFonts w:ascii="Times New Roman" w:hAnsi="Times New Roman" w:cs="Times New Roman"/>
          <w:noProof/>
          <w:sz w:val="24"/>
          <w:szCs w:val="24"/>
        </w:rPr>
        <w:t xml:space="preserve"> "Understanding academic performance and progression of first-year accounting and business economics undergraduates: The role of approaches to learning and prior academic achievement", Accounting Education, 13(4), 409–430. </w:t>
      </w:r>
    </w:p>
    <w:p w14:paraId="1F00FB8F"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Duff, A., &amp; Mladenovic, R. (2015). "Antecedents and consequences of accounting students’ approaches to learning: A cluster analytic approach", British Accounting Review, 47(3), 321–338. </w:t>
      </w:r>
    </w:p>
    <w:p w14:paraId="03BF55E6"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Easterby-Smith, M., Thorpe, R, Jackson, P., and Lowe, A.(2008). ''Management research'' (3</w:t>
      </w:r>
      <w:r w:rsidRPr="003F2E2C">
        <w:rPr>
          <w:rFonts w:ascii="Times New Roman" w:hAnsi="Times New Roman" w:cs="Times New Roman"/>
          <w:noProof/>
          <w:sz w:val="24"/>
          <w:szCs w:val="24"/>
          <w:vertAlign w:val="superscript"/>
          <w:lang w:val="en-US"/>
        </w:rPr>
        <w:t>rd</w:t>
      </w:r>
      <w:r w:rsidRPr="003F2E2C">
        <w:rPr>
          <w:rFonts w:ascii="Times New Roman" w:hAnsi="Times New Roman" w:cs="Times New Roman"/>
          <w:noProof/>
          <w:sz w:val="24"/>
          <w:szCs w:val="24"/>
          <w:lang w:val="en-US"/>
        </w:rPr>
        <w:t xml:space="preserve"> ed). London: SAGE</w:t>
      </w:r>
    </w:p>
    <w:p w14:paraId="5E4F1C37"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Evans, M. (2000). "Planning for the transition to tertiary study: A literature review", Journal of Institutional Research, 9(1), 1–13. </w:t>
      </w:r>
    </w:p>
    <w:p w14:paraId="1BFA44A5" w14:textId="493C58EE"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Examiner Report, (2015).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West Africa Examination Council Resumé of the chief examiners’ reports on the business subjects</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Available from:https://www.waecgh.org/ Portals/0/ PDF/ Business15.pdf (Accessed 1 November, 2017).</w:t>
      </w:r>
    </w:p>
    <w:p w14:paraId="6B283F89" w14:textId="633514B1"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Examiner Report, (2016). </w:t>
      </w:r>
      <w:r w:rsidR="00F96BF4" w:rsidRPr="003F2E2C">
        <w:rPr>
          <w:rFonts w:ascii="Times New Roman" w:hAnsi="Times New Roman" w:cs="Times New Roman"/>
          <w:noProof/>
          <w:sz w:val="24"/>
          <w:szCs w:val="24"/>
        </w:rPr>
        <w:t>''</w:t>
      </w:r>
      <w:r w:rsidRPr="003F2E2C">
        <w:rPr>
          <w:rFonts w:ascii="Times New Roman" w:hAnsi="Times New Roman" w:cs="Times New Roman"/>
          <w:noProof/>
          <w:sz w:val="24"/>
          <w:szCs w:val="24"/>
        </w:rPr>
        <w:t>West Africa Examination Council Resumé of the chief examiners’ reports on the business subjects</w:t>
      </w:r>
      <w:r w:rsidR="00F96BF4"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Available from: https://www.waecgh.org/ Portals/ 0/ PDF/ Business12.pdf (Accessed 1 November, 2017).</w:t>
      </w:r>
    </w:p>
    <w:p w14:paraId="021A638F"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Fallan, L., &amp; Opstad, L. (2014). "Beyond Gender Performance in Accounting: Does Personality Distinction Matter?", Accounting Education: An International Journal, 23(4), 343–361.</w:t>
      </w:r>
    </w:p>
    <w:p w14:paraId="05186C35" w14:textId="45C24068"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Fazey, D., &amp; Fazey, J. (2001). ''The potential for autonomy in learning: Perceptions of competence, motivation and locus of control in first-year undergraduate students'', Studies in Higher Education, 26(3), 345–361. </w:t>
      </w:r>
    </w:p>
    <w:p w14:paraId="1FCF01C0" w14:textId="6870B935"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Feldman, G. Chandrashekar, S. P., &amp; Wong, K. F. E. (2016).''The freedom to excel: Belief in free will predicts better academic performance'', Personality and Individual Differences, 90, 377–383.</w:t>
      </w:r>
    </w:p>
    <w:p w14:paraId="322CA985" w14:textId="6FDD3F68"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Feldman, G., Baumeister, R. F. &amp; Wong, K. F. E. (2014).''Free will is about choosing: The link between choice and the belief in free will'', Journal of Experimental Social Psychology, 55, 239–245</w:t>
      </w:r>
    </w:p>
    <w:p w14:paraId="49308150" w14:textId="09725142"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Ferdinand, E. (2016).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Koforidua Technical University sacks 150 student</w:t>
      </w:r>
      <w:r w:rsidR="007E336E" w:rsidRPr="003F2E2C">
        <w:rPr>
          <w:rFonts w:ascii="Times New Roman" w:hAnsi="Times New Roman" w:cs="Times New Roman"/>
          <w:noProof/>
          <w:sz w:val="24"/>
          <w:szCs w:val="24"/>
        </w:rPr>
        <w:t>s for poor academic performance'',</w:t>
      </w:r>
      <w:r w:rsidR="00F96BF4" w:rsidRPr="003F2E2C">
        <w:rPr>
          <w:rFonts w:ascii="Times New Roman" w:hAnsi="Times New Roman" w:cs="Times New Roman"/>
          <w:noProof/>
          <w:sz w:val="24"/>
          <w:szCs w:val="24"/>
        </w:rPr>
        <w:t xml:space="preserve"> Available from:</w:t>
      </w:r>
      <w:r w:rsidRPr="003F2E2C">
        <w:rPr>
          <w:rFonts w:ascii="Times New Roman" w:hAnsi="Times New Roman" w:cs="Times New Roman"/>
          <w:noProof/>
          <w:sz w:val="24"/>
          <w:szCs w:val="24"/>
        </w:rPr>
        <w:t xml:space="preserve"> http://educationghana.net/koforidua-technical-university-sacks-160-students-for-poor-academic-performance (Accesses 8 November, 2017).</w:t>
      </w:r>
    </w:p>
    <w:p w14:paraId="2ACF599F" w14:textId="29C964E9"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Field, A. (2009).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Discovering Statistics using SPSS</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3rd ed., California, Sage.</w:t>
      </w:r>
    </w:p>
    <w:p w14:paraId="01396489" w14:textId="58394842"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Fisher, R., &amp; Murphy, V. (1995). "A pariah profession? Some student perceptions of accounting and accountancy", Studies in Higher Education, 20(1), 45-58.</w:t>
      </w:r>
    </w:p>
    <w:p w14:paraId="5635B0E7" w14:textId="4DCE7671"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Fogarty, T. J., &amp; Goldwater, P. M. (2010). "Beyond just desserts: The gendered nature of the connection between effort and achievement for accounting students", Journal of Accounting Education,  28(1), 1–12. </w:t>
      </w:r>
    </w:p>
    <w:p w14:paraId="64D077E7"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Foong, S-Y., &amp; Khoo, C-H. (2015). "Attitude, learning environment and current knowledge enhancement of accounting students in Malaysia", Journal of Accounting in Emerging Economies, 5(2), 202-221.</w:t>
      </w:r>
    </w:p>
    <w:p w14:paraId="2C94C351" w14:textId="37CB4256"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Gardiner, K.M. (1998)</w:t>
      </w:r>
      <w:r w:rsidR="007E336E" w:rsidRPr="003F2E2C">
        <w:rPr>
          <w:rFonts w:ascii="Times New Roman" w:hAnsi="Times New Roman" w:cs="Times New Roman"/>
          <w:noProof/>
          <w:sz w:val="24"/>
          <w:szCs w:val="24"/>
          <w:lang w:val="en-US"/>
        </w:rPr>
        <w:t>.</w:t>
      </w:r>
      <w:r w:rsidRPr="003F2E2C">
        <w:rPr>
          <w:rFonts w:ascii="Times New Roman" w:hAnsi="Times New Roman" w:cs="Times New Roman"/>
          <w:noProof/>
          <w:sz w:val="24"/>
          <w:szCs w:val="24"/>
          <w:lang w:val="en-US"/>
        </w:rPr>
        <w:t xml:space="preserve"> </w:t>
      </w:r>
      <w:r w:rsidR="007E336E" w:rsidRPr="003F2E2C">
        <w:rPr>
          <w:rFonts w:ascii="Times New Roman" w:hAnsi="Times New Roman" w:cs="Times New Roman"/>
          <w:noProof/>
          <w:sz w:val="24"/>
          <w:szCs w:val="24"/>
          <w:lang w:val="en-US"/>
        </w:rPr>
        <w:t>''</w:t>
      </w:r>
      <w:r w:rsidRPr="003F2E2C">
        <w:rPr>
          <w:rFonts w:ascii="Times New Roman" w:hAnsi="Times New Roman" w:cs="Times New Roman"/>
          <w:noProof/>
          <w:sz w:val="24"/>
          <w:szCs w:val="24"/>
          <w:lang w:val="en-US"/>
        </w:rPr>
        <w:t xml:space="preserve">Managing in different cultures: The case of Ghana. In: Towers, B. ed. </w:t>
      </w:r>
      <w:r w:rsidRPr="003F2E2C">
        <w:rPr>
          <w:rFonts w:ascii="Times New Roman" w:hAnsi="Times New Roman" w:cs="Times New Roman"/>
          <w:iCs/>
          <w:noProof/>
          <w:sz w:val="24"/>
          <w:szCs w:val="24"/>
          <w:lang w:val="en-US"/>
        </w:rPr>
        <w:t>The Handbook of Human Resource Management</w:t>
      </w:r>
      <w:r w:rsidR="007E336E" w:rsidRPr="003F2E2C">
        <w:rPr>
          <w:rFonts w:ascii="Times New Roman" w:hAnsi="Times New Roman" w:cs="Times New Roman"/>
          <w:iCs/>
          <w:noProof/>
          <w:sz w:val="24"/>
          <w:szCs w:val="24"/>
          <w:lang w:val="en-US"/>
        </w:rPr>
        <w:t>''</w:t>
      </w:r>
      <w:r w:rsidRPr="003F2E2C">
        <w:rPr>
          <w:rFonts w:ascii="Times New Roman" w:hAnsi="Times New Roman" w:cs="Times New Roman"/>
          <w:i/>
          <w:iCs/>
          <w:noProof/>
          <w:sz w:val="24"/>
          <w:szCs w:val="24"/>
          <w:lang w:val="en-US"/>
        </w:rPr>
        <w:t xml:space="preserve">, </w:t>
      </w:r>
      <w:r w:rsidRPr="003F2E2C">
        <w:rPr>
          <w:rFonts w:ascii="Times New Roman" w:hAnsi="Times New Roman" w:cs="Times New Roman"/>
          <w:noProof/>
          <w:sz w:val="24"/>
          <w:szCs w:val="24"/>
          <w:lang w:val="en-US"/>
        </w:rPr>
        <w:t>2nd ed. Oxford, Blackwell Publishing Ltd.</w:t>
      </w:r>
    </w:p>
    <w:p w14:paraId="6215D191"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Garkaz, M., Banimahd, B., &amp; Esmaeili, H. (2011). "Factors affecting accounting students’ performance: The case of students at the Islamic Azad university", Procedia - Social and Behavioral Sciences, (29),  122–128. </w:t>
      </w:r>
    </w:p>
    <w:p w14:paraId="27838634" w14:textId="459E3E5E"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Geiger, M. A., &amp; Cooper, A. E. (1995).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Predicting Academic Performance: The Impact of Expectancy and Needs Theory</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The Journal of Experimental Education, 63(3),  251-262.</w:t>
      </w:r>
    </w:p>
    <w:p w14:paraId="18728CCE" w14:textId="7BB166AD"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Geiger, M. A., &amp; Ogilby, S. M. (2000). "The first course in accounting: students’ perceptions and their effect on the decision to major in accounting" Journal of Accounting Education, 18(2), 63-78.</w:t>
      </w:r>
    </w:p>
    <w:p w14:paraId="7D906937"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Gervedink, C. J. N., Pieters, M. J., &amp; Voogt, J. M. (2013). ''Influence of culture on curriculum development in Ghana: an undervalued factor?''', Journal of Curriculum Studies, 45(2), 225-250</w:t>
      </w:r>
    </w:p>
    <w:p w14:paraId="28214D88" w14:textId="56577BF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rPr>
        <w:t xml:space="preserve">Ghana Integrity Initiative (2011).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Voice of the People Survey</w:t>
      </w:r>
      <w:r w:rsidR="007E336E"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 xml:space="preserve"> Available from: http://www.tighana.org/giipages/publication/voiceofthethepeoplesurvey.pdf [Accessed on 2 February, 2019].</w:t>
      </w:r>
    </w:p>
    <w:p w14:paraId="20A81946" w14:textId="02AAB836"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Ghana News Agency (GNA) (2014).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Falling educational standards in Ghana is a perception- Prof Amedahe</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Available from: http://www.ghananewsagency.org/education/falling-educational-standards-in-ghana-is-a-perception-prof-amedahe-73531 (Accesses 8 November, 2017).</w:t>
      </w:r>
    </w:p>
    <w:p w14:paraId="6BDE551D"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Ghana Statistical Service (GSS) (2018).''Ghana Living Standard Survey Round 7: Poverty trends in Ghana 2005-2017'', Available from: http://www.statsghana.gov.gh/gssmain/fileUp load/pressrelease/Poverty%20Profile%20Report_2005%20-%202017.pdf [Accessed on March 4, 2018].</w:t>
      </w:r>
    </w:p>
    <w:p w14:paraId="4B742CB3"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Gibney, A., Moore, N., Murphy, F., &amp; O’Sullivan, S. (2011). "The first semester of university life; “will I be able to manage it at all?", Higher Education, 62(3), 351–366.</w:t>
      </w:r>
    </w:p>
    <w:p w14:paraId="42E3AFE9" w14:textId="4DE74DCA"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Glasser, W. (1998).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Choice Theory: A New Psychology of Personal Freedom</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New York, NY: HarperCollins. </w:t>
      </w:r>
    </w:p>
    <w:p w14:paraId="33E0522A"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Gracia, L., &amp; Jenkins, E. (2002). "An exploration of student failure on an undergraduate accounting programme of study", Accounting Education, 11(1), 93–107. </w:t>
      </w:r>
    </w:p>
    <w:p w14:paraId="3FBCEAE7" w14:textId="43FB9497" w:rsidR="00917896" w:rsidRPr="003F2E2C" w:rsidRDefault="007E336E"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Greve, W. (2001).</w:t>
      </w:r>
      <w:r w:rsidR="00917896"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w:t>
      </w:r>
      <w:r w:rsidR="00917896" w:rsidRPr="003F2E2C">
        <w:rPr>
          <w:rFonts w:ascii="Times New Roman" w:hAnsi="Times New Roman" w:cs="Times New Roman"/>
          <w:noProof/>
          <w:sz w:val="24"/>
          <w:szCs w:val="24"/>
        </w:rPr>
        <w:t>Traps and gaps in action explanation: Theoretical problems of a psychology of human action</w:t>
      </w:r>
      <w:r w:rsidRPr="003F2E2C">
        <w:rPr>
          <w:rFonts w:ascii="Times New Roman" w:hAnsi="Times New Roman" w:cs="Times New Roman"/>
          <w:noProof/>
          <w:sz w:val="24"/>
          <w:szCs w:val="24"/>
        </w:rPr>
        <w:t>'',</w:t>
      </w:r>
      <w:r w:rsidR="00917896" w:rsidRPr="003F2E2C">
        <w:rPr>
          <w:rFonts w:ascii="Times New Roman" w:hAnsi="Times New Roman" w:cs="Times New Roman"/>
          <w:noProof/>
          <w:sz w:val="24"/>
          <w:szCs w:val="24"/>
        </w:rPr>
        <w:t xml:space="preserve"> Psychological Review, 108(2), 435-451.</w:t>
      </w:r>
    </w:p>
    <w:p w14:paraId="4D8C6AFF"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Guney, Y. (2009). "Exogenous and Endogenous Factors Influencing Students' Performance in Undergraduate Accounting Modules", Accounting Education: An International Journal, 18(1) 51–73. </w:t>
      </w:r>
    </w:p>
    <w:p w14:paraId="1EF192A1" w14:textId="207155C6"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Hair Jr. F. J., Black, C. W., Babin, J. B., &amp; Anderson, E. R. (2014).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Multivariate Data Analysis</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7</w:t>
      </w:r>
      <w:r w:rsidRPr="003F2E2C">
        <w:rPr>
          <w:rFonts w:ascii="Times New Roman" w:hAnsi="Times New Roman" w:cs="Times New Roman"/>
          <w:noProof/>
          <w:sz w:val="24"/>
          <w:szCs w:val="24"/>
          <w:vertAlign w:val="superscript"/>
        </w:rPr>
        <w:t>th</w:t>
      </w:r>
      <w:r w:rsidRPr="003F2E2C">
        <w:rPr>
          <w:rFonts w:ascii="Times New Roman" w:hAnsi="Times New Roman" w:cs="Times New Roman"/>
          <w:noProof/>
          <w:sz w:val="24"/>
          <w:szCs w:val="24"/>
        </w:rPr>
        <w:t xml:space="preserve"> ed., Edinburgh Gata, Harlow, Pearson.</w:t>
      </w:r>
    </w:p>
    <w:p w14:paraId="3492E3BC"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Hassandoust, F., Logeswaran, R., &amp; Kazerouni, M.F. (2011).“Behavioral factors influencing virtual knowledge sharing: theory of reasoned action”, Journal of Applied Research in Higher Education, 3(2), 116-134.</w:t>
      </w:r>
    </w:p>
    <w:p w14:paraId="02377473" w14:textId="11F0A6BC"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Hofstede Insights (2018)</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Country Comparison</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https://www.hofstede-insights.com/country-comparison/ghana/-(Accessed 6 November, 2018).</w:t>
      </w:r>
    </w:p>
    <w:p w14:paraId="247B0864" w14:textId="0D9DD078"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Hidi, S. (1990).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Interest and its contribution as a mental resource for learning</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Review of Educational Research, 60, 549–571. </w:t>
      </w:r>
    </w:p>
    <w:p w14:paraId="1EFDA90B" w14:textId="07EC9339"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Hidi, S., &amp; Renninger, K. A. (2006).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four-phase model of interest development</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Educational Psychologist, 41, 111–127.</w:t>
      </w:r>
    </w:p>
    <w:p w14:paraId="044AC4C5" w14:textId="5B0C78E6"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Institute of Chartered Accountants Ghana (</w:t>
      </w:r>
      <w:r w:rsidR="007E336E" w:rsidRPr="003F2E2C">
        <w:rPr>
          <w:rFonts w:ascii="Times New Roman" w:hAnsi="Times New Roman" w:cs="Times New Roman"/>
          <w:noProof/>
          <w:sz w:val="24"/>
          <w:szCs w:val="24"/>
        </w:rPr>
        <w:t>ICAG) Examiner’s Report, (2016).</w:t>
      </w:r>
      <w:r w:rsidRPr="003F2E2C">
        <w:rPr>
          <w:rFonts w:ascii="Times New Roman" w:hAnsi="Times New Roman" w:cs="Times New Roman"/>
          <w:noProof/>
          <w:sz w:val="24"/>
          <w:szCs w:val="24"/>
        </w:rPr>
        <w:t xml:space="preserve">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May 2016 professional examination, examiner’s report, questions and answers</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http://icagh. Com /newsite/past-questions-and-suggested-solutions-(Accessed 6 November, 2017).</w:t>
      </w:r>
    </w:p>
    <w:p w14:paraId="436B6EC4" w14:textId="25218004"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Institute of Chartered Accountants Ghana (ICAG) (2019).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Registration and exemption policy</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Available from: https://icagh.com/newsite/students/students-registration [Accessed 2 March, 2019]</w:t>
      </w:r>
    </w:p>
    <w:p w14:paraId="0B852DB2"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Islam, A. M. (2017). ''Future of Accounting Profession: Three Major Changes and Implications for Teaching and Research'', Available from: https://www.ifac.org/global-knowledge-gateway/business-reporting/discussion/future-accounting-profession-three-major [Accessed  27 February, 2019].</w:t>
      </w:r>
    </w:p>
    <w:p w14:paraId="0F36CD00"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Jackling, B., &amp; Anderson, A. (1998). "Study mode, general ability and performance in accounting: a research note", Accounting Education, 7(1), 65–73. </w:t>
      </w:r>
    </w:p>
    <w:p w14:paraId="4463297B"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Jackson, T. (2004). ''HRM in developing countries'', In: Harzing, A. &amp; Ruysseveldt, J.V. eds. International Human Resource Management, 2nd ed., London, SAGE Publications Ltd</w:t>
      </w:r>
    </w:p>
    <w:p w14:paraId="2B3B1B2B"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Jansen, J., &amp; De Villiers, C. (2016). "Determinants of student performance in an accounting degree programme", SA Journal of Accounting Research, 30(1), 1–28. </w:t>
      </w:r>
    </w:p>
    <w:p w14:paraId="158DFF0A"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Kealey, D. J., et al. (2005). ''Re-examining the role of training in contributing to international</w:t>
      </w:r>
    </w:p>
    <w:p w14:paraId="037DE1E0"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project success: a literature review and an outline of a new model training</w:t>
      </w:r>
    </w:p>
    <w:p w14:paraId="66C745B1" w14:textId="03ECFECA"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program'', International Journal of Intercultural Relations, 29(3), 289–316.</w:t>
      </w:r>
    </w:p>
    <w:p w14:paraId="1D59747E" w14:textId="3C9B117B"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Kelly, P., &amp; Moogan, Y. (2012).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Culture Shock and HE Performance</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Implications for Teaching. Higher Education Quarterly 66(1), 24–46. </w:t>
      </w:r>
    </w:p>
    <w:p w14:paraId="4959893B" w14:textId="4EAEF0DA"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Köller, O., Baumert, J., &amp; Schnabel, K. (2001). </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Does Interest Matter? The Relationship between Academic Interest and Achievement in Mathematics</w:t>
      </w:r>
      <w:r w:rsidR="007E336E" w:rsidRPr="003F2E2C">
        <w:rPr>
          <w:rFonts w:ascii="Times New Roman" w:hAnsi="Times New Roman" w:cs="Times New Roman"/>
          <w:noProof/>
          <w:sz w:val="24"/>
          <w:szCs w:val="24"/>
        </w:rPr>
        <w:t>''</w:t>
      </w:r>
      <w:r w:rsidRPr="003F2E2C">
        <w:rPr>
          <w:rFonts w:ascii="Times New Roman" w:hAnsi="Times New Roman" w:cs="Times New Roman"/>
          <w:noProof/>
          <w:sz w:val="24"/>
          <w:szCs w:val="24"/>
        </w:rPr>
        <w:t>, Journal for Research in Mathematics Education, 32(5), 448-470.</w:t>
      </w:r>
    </w:p>
    <w:p w14:paraId="118AFA4C" w14:textId="7FEA7915"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LeFebvre, R &amp; Franke, V. (2013). ''Culture Matters: Individualism vs. Collectivism in Conflict Decision-Making'', Societies, 3, 128–146.</w:t>
      </w:r>
    </w:p>
    <w:p w14:paraId="6C9A4648" w14:textId="671AEBEF"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Lepper, M. (1988). "Motivational considerations in the study of instruction, Cognition and Instruction", 5(4), 289-309.</w:t>
      </w:r>
    </w:p>
    <w:p w14:paraId="5F84336D" w14:textId="3322A6F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Levin, J., &amp; Milgrom, P. (2004). </w:t>
      </w:r>
      <w:r w:rsidR="007E336E" w:rsidRPr="003F2E2C">
        <w:rPr>
          <w:rFonts w:ascii="Times New Roman" w:hAnsi="Times New Roman" w:cs="Times New Roman"/>
          <w:noProof/>
          <w:sz w:val="24"/>
          <w:szCs w:val="24"/>
        </w:rPr>
        <w:t>''Introduction to Choice Theory'',</w:t>
      </w:r>
      <w:r w:rsidRPr="003F2E2C">
        <w:rPr>
          <w:rFonts w:ascii="Times New Roman" w:hAnsi="Times New Roman" w:cs="Times New Roman"/>
          <w:noProof/>
          <w:sz w:val="24"/>
          <w:szCs w:val="24"/>
        </w:rPr>
        <w:t xml:space="preserve"> https://web.stanford.edu/~jdlevin/Econ%20202/Choice%20Theory.pdf (Accessed 5 September, 2018).</w:t>
      </w:r>
    </w:p>
    <w:p w14:paraId="6DB5C545" w14:textId="4A9C90B1"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Lowe, D., &amp; Simons, K. (1997).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Factors influencing choice of business majors – Some additional evidence: A research note</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Accounting Education, 6(1), 39–45. </w:t>
      </w:r>
    </w:p>
    <w:p w14:paraId="715DDEC0"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p>
    <w:p w14:paraId="1C975403" w14:textId="2C494BD2"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MacKenzie, S. B., Podsakoff, P. M., &amp; Podsakoff, N.P. (2011). "Construct measurement and validation procedures in MIS and behavioural research: integrating new and existing techniques", MIS Quarterly, 35(2), 293-334.</w:t>
      </w:r>
    </w:p>
    <w:p w14:paraId="3E0E440F" w14:textId="20CDCF70"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Maksy, M. M., &amp; Zheng, L. (2008). "Factors associated with student performance in advanced accounting and auditing", Accounting Research Journal, 21(1), 16–32. </w:t>
      </w:r>
    </w:p>
    <w:p w14:paraId="4455C80B"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Meheus, J. (1999). 'The Positivists' Approach to Scientific Discovery". Philosophica, 64(2), 81- 108.</w:t>
      </w:r>
    </w:p>
    <w:p w14:paraId="29E82A9C" w14:textId="17C62633"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Marton, F., &amp; Saljo, R. (1976).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On qualitative differences in learning—ii outcome as a function of the learner's conception of the task</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British Journal of Educational Psychology, 46, 115–127.</w:t>
      </w:r>
    </w:p>
    <w:p w14:paraId="4AB769A1"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Muttakin, M. B., &amp; Subramaniam, N. (2015). "Firm ownership and board characteristics: Do they matter for corporate social responsibility disclosure of Indian companies?", Sustainability Accounting, Management and Policy Journal, 6(2), 138–165. </w:t>
      </w:r>
    </w:p>
    <w:p w14:paraId="795C1FD9"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Naser, K., &amp; Peel, M. J. (1998). "An exploratory study of the impact of intervening variables on student performance in a Principles of Accounting course", Accounting Education, 7(3), 209–223. </w:t>
      </w:r>
    </w:p>
    <w:p w14:paraId="29E30F23" w14:textId="0266B1BE"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Nietzsche, F. (1966).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Beyond good and evil</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Basic Writings of Nietzsche (179–1968.435). </w:t>
      </w:r>
    </w:p>
    <w:p w14:paraId="5650FBC0" w14:textId="60E5CE89"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Nonis, S. A., &amp; Hudson, G. I. (2010).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Performance of College Students: Impact</w:t>
      </w:r>
      <w:r w:rsidR="0013597C" w:rsidRPr="003F2E2C">
        <w:rPr>
          <w:rFonts w:ascii="Times New Roman" w:hAnsi="Times New Roman" w:cs="Times New Roman"/>
          <w:noProof/>
          <w:sz w:val="24"/>
          <w:szCs w:val="24"/>
        </w:rPr>
        <w:t xml:space="preserve"> of Study Time and Study Habits'',</w:t>
      </w:r>
      <w:r w:rsidRPr="003F2E2C">
        <w:rPr>
          <w:rFonts w:ascii="Times New Roman" w:hAnsi="Times New Roman" w:cs="Times New Roman"/>
          <w:noProof/>
          <w:sz w:val="24"/>
          <w:szCs w:val="24"/>
        </w:rPr>
        <w:t xml:space="preserve"> Journal of Education for Business, 85(4), 229–238.</w:t>
      </w:r>
    </w:p>
    <w:p w14:paraId="7A1C6FE5" w14:textId="602354E3"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Nyambegera, S.M. (2002). ''Ethnicity and human resource management practice in sub-Saharan Africa: The relevance of the managing diversity discourse''</w:t>
      </w:r>
      <w:r w:rsidR="0013597C" w:rsidRPr="003F2E2C">
        <w:rPr>
          <w:rFonts w:ascii="Times New Roman" w:hAnsi="Times New Roman" w:cs="Times New Roman"/>
          <w:noProof/>
          <w:sz w:val="24"/>
          <w:szCs w:val="24"/>
          <w:lang w:val="en-US"/>
        </w:rPr>
        <w:t>,</w:t>
      </w:r>
      <w:r w:rsidRPr="003F2E2C">
        <w:rPr>
          <w:rFonts w:ascii="Times New Roman" w:hAnsi="Times New Roman" w:cs="Times New Roman"/>
          <w:noProof/>
          <w:sz w:val="24"/>
          <w:szCs w:val="24"/>
          <w:lang w:val="en-US"/>
        </w:rPr>
        <w:t xml:space="preserve"> </w:t>
      </w:r>
      <w:r w:rsidRPr="003F2E2C">
        <w:rPr>
          <w:rFonts w:ascii="Times New Roman" w:hAnsi="Times New Roman" w:cs="Times New Roman"/>
          <w:iCs/>
          <w:noProof/>
          <w:sz w:val="24"/>
          <w:szCs w:val="24"/>
          <w:lang w:val="en-US"/>
        </w:rPr>
        <w:t>International Journal of Human Resource Management</w:t>
      </w:r>
      <w:r w:rsidRPr="003F2E2C">
        <w:rPr>
          <w:rFonts w:ascii="Times New Roman" w:hAnsi="Times New Roman" w:cs="Times New Roman"/>
          <w:noProof/>
          <w:sz w:val="24"/>
          <w:szCs w:val="24"/>
          <w:lang w:val="en-US"/>
        </w:rPr>
        <w:t>, 13(7), 1077-1090</w:t>
      </w:r>
    </w:p>
    <w:p w14:paraId="2FFDA8BE" w14:textId="77777777"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Ofori-Attah, K. D. (2006). ''The British and curriculum development in West-Africa: a</w:t>
      </w:r>
    </w:p>
    <w:p w14:paraId="62AB0EB4" w14:textId="57AFEC6A"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historical discourse''. International Review of Education, 52(5), 409–423.</w:t>
      </w:r>
    </w:p>
    <w:p w14:paraId="166943C3" w14:textId="33EC5A14"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Okudzeto, E., Mariki, W. A.,</w:t>
      </w:r>
      <w:r w:rsidR="0013597C" w:rsidRPr="003F2E2C">
        <w:rPr>
          <w:rFonts w:ascii="Times New Roman" w:hAnsi="Times New Roman" w:cs="Times New Roman"/>
          <w:noProof/>
          <w:sz w:val="24"/>
          <w:szCs w:val="24"/>
        </w:rPr>
        <w:t xml:space="preserve"> Paepe, G. De, and Sedegah, K. (</w:t>
      </w:r>
      <w:r w:rsidRPr="003F2E2C">
        <w:rPr>
          <w:rFonts w:ascii="Times New Roman" w:hAnsi="Times New Roman" w:cs="Times New Roman"/>
          <w:noProof/>
          <w:sz w:val="24"/>
          <w:szCs w:val="24"/>
        </w:rPr>
        <w:t>2014</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Ghana 2014</w:t>
      </w:r>
      <w:r w:rsidR="0013597C" w:rsidRPr="003F2E2C">
        <w:rPr>
          <w:rFonts w:ascii="Times New Roman" w:hAnsi="Times New Roman" w:cs="Times New Roman"/>
          <w:noProof/>
          <w:sz w:val="24"/>
          <w:szCs w:val="24"/>
        </w:rPr>
        <w:t>'',</w:t>
      </w:r>
      <w:r w:rsidR="00CB0583" w:rsidRPr="003F2E2C">
        <w:rPr>
          <w:rFonts w:ascii="Times New Roman" w:hAnsi="Times New Roman" w:cs="Times New Roman"/>
          <w:noProof/>
          <w:sz w:val="24"/>
          <w:szCs w:val="24"/>
        </w:rPr>
        <w:t xml:space="preserve"> Africa</w:t>
      </w:r>
      <w:r w:rsidRPr="003F2E2C">
        <w:rPr>
          <w:rFonts w:ascii="Times New Roman" w:hAnsi="Times New Roman" w:cs="Times New Roman"/>
          <w:noProof/>
          <w:sz w:val="24"/>
          <w:szCs w:val="24"/>
        </w:rPr>
        <w:t>Economic Outlook.</w:t>
      </w:r>
    </w:p>
    <w:p w14:paraId="00BCF1FA" w14:textId="0B4A81AB"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O'Leary-Kelly, S. W.,  &amp; Vokurka, R. J. (1998). "The empirical assessment of construct validity", Journal of Operations Management, 16, 387-405.</w:t>
      </w:r>
    </w:p>
    <w:p w14:paraId="517D1D24" w14:textId="44E6D489"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Oppong, N. Y. (2013). ''Towards African Work Orientations: Guide from Hofstede’s Cultural Dimensions'', European Journal of Business and Management, 5(20), 203-211.</w:t>
      </w:r>
    </w:p>
    <w:p w14:paraId="24E83A2E" w14:textId="015D8905" w:rsidR="00917896" w:rsidRPr="003F2E2C" w:rsidRDefault="00917896" w:rsidP="00917896">
      <w:pPr>
        <w:spacing w:before="150" w:after="105" w:line="240" w:lineRule="auto"/>
        <w:outlineLvl w:val="0"/>
        <w:rPr>
          <w:rFonts w:ascii="Times New Roman" w:hAnsi="Times New Roman" w:cs="Times New Roman"/>
          <w:noProof/>
          <w:sz w:val="24"/>
          <w:szCs w:val="24"/>
          <w:lang w:val="en-US"/>
        </w:rPr>
      </w:pPr>
      <w:r w:rsidRPr="003F2E2C">
        <w:rPr>
          <w:rFonts w:ascii="Times New Roman" w:hAnsi="Times New Roman" w:cs="Times New Roman"/>
          <w:noProof/>
          <w:sz w:val="24"/>
          <w:szCs w:val="24"/>
          <w:lang w:val="en-US"/>
        </w:rPr>
        <w:t xml:space="preserve">Oppong, C. (2006). ''Familial roles and social transformations: Older men and women in sub-Saharan Africa'', </w:t>
      </w:r>
      <w:r w:rsidRPr="003F2E2C">
        <w:rPr>
          <w:rFonts w:ascii="Times New Roman" w:hAnsi="Times New Roman" w:cs="Times New Roman"/>
          <w:i/>
          <w:iCs/>
          <w:noProof/>
          <w:sz w:val="24"/>
          <w:szCs w:val="24"/>
          <w:lang w:val="en-US"/>
        </w:rPr>
        <w:t xml:space="preserve">Research on Ageing, </w:t>
      </w:r>
      <w:r w:rsidRPr="003F2E2C">
        <w:rPr>
          <w:rFonts w:ascii="Times New Roman" w:hAnsi="Times New Roman" w:cs="Times New Roman"/>
          <w:noProof/>
          <w:sz w:val="24"/>
          <w:szCs w:val="24"/>
          <w:lang w:val="en-US"/>
        </w:rPr>
        <w:t>28(6), 654-668</w:t>
      </w:r>
    </w:p>
    <w:p w14:paraId="0FCF63BF" w14:textId="4C347B71"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Pallant, J. (2007).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SPSS survival manual, a step by step guide to data analysis using SPSS for windows</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3</w:t>
      </w:r>
      <w:r w:rsidRPr="003F2E2C">
        <w:rPr>
          <w:rFonts w:ascii="Times New Roman" w:hAnsi="Times New Roman" w:cs="Times New Roman"/>
          <w:noProof/>
          <w:sz w:val="24"/>
          <w:szCs w:val="24"/>
          <w:vertAlign w:val="superscript"/>
        </w:rPr>
        <w:t>rd</w:t>
      </w:r>
      <w:r w:rsidRPr="003F2E2C">
        <w:rPr>
          <w:rFonts w:ascii="Times New Roman" w:hAnsi="Times New Roman" w:cs="Times New Roman"/>
          <w:noProof/>
          <w:sz w:val="24"/>
          <w:szCs w:val="24"/>
        </w:rPr>
        <w:t xml:space="preserve"> ed., Berkshire England, McGraw-Hill House. </w:t>
      </w:r>
    </w:p>
    <w:p w14:paraId="2232545B" w14:textId="6D7F9F7C"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Paulsen, M., &amp; Gentry, J. (1995). "Motivation, learning strategies, and academic performance: A study of the college finance classroom</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Financial Practice and Education, 5(1), 78-90.</w:t>
      </w:r>
    </w:p>
    <w:p w14:paraId="7FDAE2D9"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p>
    <w:p w14:paraId="55C03161" w14:textId="47BCB588"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Podsakoff, P. M., MacKenzie, S. B., &amp; Podsakoff, N. P. (2012).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Sources of method bias in social science research and recommendations on how to control it</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Annual Review of Psychology, 63, 539-569.</w:t>
      </w:r>
    </w:p>
    <w:p w14:paraId="4B91A365" w14:textId="0F31895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Podsakoff, P. M., MacKenzie, S. B., Lee, J.-Y., &amp; Podsakoff, N. P. (2003).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Common method biases in behavioral research: a critical review of the literature and recommended remedies</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The Journal of Applied Psychology, 88(5), 879-903.</w:t>
      </w:r>
    </w:p>
    <w:p w14:paraId="138ED824" w14:textId="0ED98A0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Rawson, M. (2000).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Learning </w:t>
      </w:r>
      <w:r w:rsidR="0013597C" w:rsidRPr="003F2E2C">
        <w:rPr>
          <w:rFonts w:ascii="Times New Roman" w:hAnsi="Times New Roman" w:cs="Times New Roman"/>
          <w:noProof/>
          <w:sz w:val="24"/>
          <w:szCs w:val="24"/>
        </w:rPr>
        <w:t>to learn: More than a skill set'',</w:t>
      </w:r>
      <w:r w:rsidRPr="003F2E2C">
        <w:rPr>
          <w:rFonts w:ascii="Times New Roman" w:hAnsi="Times New Roman" w:cs="Times New Roman"/>
          <w:noProof/>
          <w:sz w:val="24"/>
          <w:szCs w:val="24"/>
        </w:rPr>
        <w:t xml:space="preserve"> Studies in Higher Education, 25(2), 225–238.</w:t>
      </w:r>
    </w:p>
    <w:p w14:paraId="1B0F304D" w14:textId="7C7A44C7" w:rsidR="00917896" w:rsidRPr="003F2E2C" w:rsidRDefault="00917896" w:rsidP="00917896">
      <w:pPr>
        <w:spacing w:before="150" w:after="105" w:line="240" w:lineRule="auto"/>
        <w:outlineLvl w:val="0"/>
        <w:rPr>
          <w:rFonts w:ascii="Times New Roman" w:hAnsi="Times New Roman" w:cs="Times New Roman"/>
          <w:bCs/>
          <w:noProof/>
          <w:sz w:val="24"/>
          <w:szCs w:val="24"/>
          <w:lang w:val="en-US"/>
        </w:rPr>
      </w:pPr>
      <w:r w:rsidRPr="003F2E2C">
        <w:rPr>
          <w:rFonts w:ascii="Times New Roman" w:hAnsi="Times New Roman" w:cs="Times New Roman"/>
          <w:bCs/>
          <w:noProof/>
          <w:sz w:val="24"/>
          <w:szCs w:val="24"/>
          <w:lang w:val="en-US"/>
        </w:rPr>
        <w:t>Rogan, J., &amp; Aldous, C. (2005). ''Relationships between the constructs of a theory of curriculum</w:t>
      </w:r>
      <w:r w:rsidR="0013597C" w:rsidRPr="003F2E2C">
        <w:rPr>
          <w:rFonts w:ascii="Times New Roman" w:hAnsi="Times New Roman" w:cs="Times New Roman"/>
          <w:bCs/>
          <w:noProof/>
          <w:sz w:val="24"/>
          <w:szCs w:val="24"/>
          <w:lang w:val="en-US"/>
        </w:rPr>
        <w:t xml:space="preserve"> </w:t>
      </w:r>
      <w:r w:rsidRPr="003F2E2C">
        <w:rPr>
          <w:rFonts w:ascii="Times New Roman" w:hAnsi="Times New Roman" w:cs="Times New Roman"/>
          <w:bCs/>
          <w:noProof/>
          <w:sz w:val="24"/>
          <w:szCs w:val="24"/>
          <w:lang w:val="en-US"/>
        </w:rPr>
        <w:t>implementation'', Journal of Research in Science Teaching, 42(3), 313–336.</w:t>
      </w:r>
    </w:p>
    <w:p w14:paraId="7BDBD2D7" w14:textId="3FEDA40B"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bCs/>
          <w:noProof/>
          <w:sz w:val="24"/>
          <w:szCs w:val="24"/>
        </w:rPr>
        <w:t>ROSC, (2014).</w:t>
      </w:r>
      <w:r w:rsidRPr="003F2E2C">
        <w:rPr>
          <w:rFonts w:ascii="Times New Roman" w:hAnsi="Times New Roman" w:cs="Times New Roman"/>
          <w:b/>
          <w:bCs/>
          <w:noProof/>
          <w:sz w:val="24"/>
          <w:szCs w:val="24"/>
        </w:rPr>
        <w:t xml:space="preserve"> </w:t>
      </w:r>
      <w:r w:rsidR="0013597C" w:rsidRPr="003F2E2C">
        <w:rPr>
          <w:rFonts w:ascii="Times New Roman" w:hAnsi="Times New Roman" w:cs="Times New Roman"/>
          <w:b/>
          <w:bCs/>
          <w:noProof/>
          <w:sz w:val="24"/>
          <w:szCs w:val="24"/>
        </w:rPr>
        <w:t>''</w:t>
      </w:r>
      <w:r w:rsidRPr="003F2E2C">
        <w:rPr>
          <w:rFonts w:ascii="Times New Roman" w:hAnsi="Times New Roman" w:cs="Times New Roman"/>
          <w:noProof/>
          <w:sz w:val="24"/>
          <w:szCs w:val="24"/>
        </w:rPr>
        <w:t>Republic of Ghana Report on the Observance of Standards and Codes – Accounting and Auditing (ROSC A&amp;A)</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Available from:https://openknowledge.world</w:t>
      </w:r>
      <w:r w:rsidR="0013597C"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bank.org/handle/10986/25726 (Accessed 6 November, 2017).</w:t>
      </w:r>
    </w:p>
    <w:p w14:paraId="2EEA1916" w14:textId="14345C7D"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Schiefele, H., Krapp, A.,  Prenzel, M., Heiland, A., &amp; Kasten, H. (1983)</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Principles of an Educational Theory of Interest</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Paper presented at the 7th Biennial Meeting of the International Society for the Study of Behavioral Development, Munich, West Germany, July 31 - August 4,1983</w:t>
      </w:r>
    </w:p>
    <w:p w14:paraId="23C2B1F9" w14:textId="0E2137F8"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Schiefele, U. (1996).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Topic interest, text representation, and quality of experience</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Contemporary Educational Psychology, 21(1), 3–18.</w:t>
      </w:r>
    </w:p>
    <w:p w14:paraId="484C3303" w14:textId="65928859"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Sen, S. H. (2013).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attitudes of university students towards learning</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Procedia - Social and Behavioral Sciences, 83, 947-953.</w:t>
      </w:r>
    </w:p>
    <w:p w14:paraId="7D350732" w14:textId="280DB945"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Şimşek, N.(2007).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Alternative Approaches for Learning to Learn</w:t>
      </w:r>
      <w:r w:rsidR="0013597C"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Öğrenmeyi Ö</w:t>
      </w:r>
      <w:r w:rsidR="0013597C" w:rsidRPr="003F2E2C">
        <w:rPr>
          <w:rFonts w:ascii="Times New Roman" w:hAnsi="Times New Roman" w:cs="Times New Roman"/>
          <w:noProof/>
          <w:sz w:val="24"/>
          <w:szCs w:val="24"/>
        </w:rPr>
        <w:t>ğrenmede Alternatif Yaklaşımlar</w:t>
      </w:r>
      <w:r w:rsidRPr="003F2E2C">
        <w:rPr>
          <w:rFonts w:ascii="Times New Roman" w:hAnsi="Times New Roman" w:cs="Times New Roman"/>
          <w:noProof/>
          <w:sz w:val="24"/>
          <w:szCs w:val="24"/>
        </w:rPr>
        <w:t>, Asil Publishing.</w:t>
      </w:r>
    </w:p>
    <w:p w14:paraId="6161ADE4" w14:textId="56641196"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Stenhoff, D. M., Davey, B. J., &amp; Lignugaris, K, B. (2008). </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effects of choice on</w:t>
      </w:r>
      <w:r w:rsidR="00CB0583"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assignment completion and percent correct by a high school student with a learning</w:t>
      </w:r>
      <w:r w:rsidR="00CB0583" w:rsidRPr="003F2E2C">
        <w:rPr>
          <w:rFonts w:ascii="Times New Roman" w:hAnsi="Times New Roman" w:cs="Times New Roman"/>
          <w:noProof/>
          <w:sz w:val="24"/>
          <w:szCs w:val="24"/>
        </w:rPr>
        <w:t xml:space="preserve"> </w:t>
      </w:r>
      <w:r w:rsidRPr="003F2E2C">
        <w:rPr>
          <w:rFonts w:ascii="Times New Roman" w:hAnsi="Times New Roman" w:cs="Times New Roman"/>
          <w:noProof/>
          <w:sz w:val="24"/>
          <w:szCs w:val="24"/>
        </w:rPr>
        <w:t>disability</w:t>
      </w:r>
      <w:r w:rsidR="0013597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w:t>
      </w:r>
      <w:r w:rsidRPr="003F2E2C">
        <w:rPr>
          <w:rFonts w:ascii="Times New Roman" w:hAnsi="Times New Roman" w:cs="Times New Roman"/>
          <w:iCs/>
          <w:noProof/>
          <w:sz w:val="24"/>
          <w:szCs w:val="24"/>
        </w:rPr>
        <w:t>Education and Treatment of Children, 3</w:t>
      </w:r>
      <w:r w:rsidRPr="003F2E2C">
        <w:rPr>
          <w:rFonts w:ascii="Times New Roman" w:hAnsi="Times New Roman" w:cs="Times New Roman"/>
          <w:i/>
          <w:iCs/>
          <w:noProof/>
          <w:sz w:val="24"/>
          <w:szCs w:val="24"/>
        </w:rPr>
        <w:t>1</w:t>
      </w:r>
      <w:r w:rsidRPr="003F2E2C">
        <w:rPr>
          <w:rFonts w:ascii="Times New Roman" w:hAnsi="Times New Roman" w:cs="Times New Roman"/>
          <w:noProof/>
          <w:sz w:val="24"/>
          <w:szCs w:val="24"/>
        </w:rPr>
        <w:t xml:space="preserve">(2), 203-211. </w:t>
      </w:r>
    </w:p>
    <w:p w14:paraId="1EE010E5" w14:textId="6B3D1BAE" w:rsidR="00917896" w:rsidRPr="003F2E2C" w:rsidRDefault="00917896" w:rsidP="00917896">
      <w:pPr>
        <w:spacing w:before="150" w:after="105" w:line="240" w:lineRule="auto"/>
        <w:outlineLvl w:val="0"/>
        <w:rPr>
          <w:rFonts w:ascii="Times New Roman" w:hAnsi="Times New Roman" w:cs="Times New Roman"/>
          <w:bCs/>
          <w:noProof/>
          <w:sz w:val="24"/>
          <w:szCs w:val="24"/>
        </w:rPr>
      </w:pPr>
      <w:r w:rsidRPr="003F2E2C">
        <w:rPr>
          <w:rFonts w:ascii="Times New Roman" w:hAnsi="Times New Roman" w:cs="Times New Roman"/>
          <w:bCs/>
          <w:noProof/>
          <w:sz w:val="24"/>
          <w:szCs w:val="24"/>
        </w:rPr>
        <w:t xml:space="preserve">Stillman et al. (2010). </w:t>
      </w:r>
      <w:r w:rsidR="005D060C" w:rsidRPr="003F2E2C">
        <w:rPr>
          <w:rFonts w:ascii="Times New Roman" w:hAnsi="Times New Roman" w:cs="Times New Roman"/>
          <w:bCs/>
          <w:noProof/>
          <w:sz w:val="24"/>
          <w:szCs w:val="24"/>
        </w:rPr>
        <w:t>''</w:t>
      </w:r>
      <w:r w:rsidRPr="003F2E2C">
        <w:rPr>
          <w:rFonts w:ascii="Times New Roman" w:hAnsi="Times New Roman" w:cs="Times New Roman"/>
          <w:bCs/>
          <w:noProof/>
          <w:sz w:val="24"/>
          <w:szCs w:val="24"/>
        </w:rPr>
        <w:t>Personal Philosophy and Personnel Achievement: Belief in Free Will Predicts Better Job Performance</w:t>
      </w:r>
      <w:r w:rsidR="005D060C" w:rsidRPr="003F2E2C">
        <w:rPr>
          <w:rFonts w:ascii="Times New Roman" w:hAnsi="Times New Roman" w:cs="Times New Roman"/>
          <w:bCs/>
          <w:noProof/>
          <w:sz w:val="24"/>
          <w:szCs w:val="24"/>
        </w:rPr>
        <w:t>'',</w:t>
      </w:r>
      <w:r w:rsidRPr="003F2E2C">
        <w:rPr>
          <w:rFonts w:ascii="Times New Roman" w:hAnsi="Times New Roman" w:cs="Times New Roman"/>
          <w:noProof/>
          <w:sz w:val="24"/>
          <w:szCs w:val="24"/>
        </w:rPr>
        <w:t xml:space="preserve"> </w:t>
      </w:r>
      <w:r w:rsidRPr="003F2E2C">
        <w:rPr>
          <w:rFonts w:ascii="Times New Roman" w:hAnsi="Times New Roman" w:cs="Times New Roman"/>
          <w:bCs/>
          <w:noProof/>
          <w:sz w:val="24"/>
          <w:szCs w:val="24"/>
        </w:rPr>
        <w:t>Social Psychological and Personality Science 1(1) 43-50.</w:t>
      </w:r>
    </w:p>
    <w:p w14:paraId="10A36962" w14:textId="4AA26E1D"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Stillman, T. F., Baumeister, R. F., &amp; Mele, A. R. (2011).</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Free will in everyday life: Autobiographical acco</w:t>
      </w:r>
      <w:r w:rsidR="005D060C" w:rsidRPr="003F2E2C">
        <w:rPr>
          <w:rFonts w:ascii="Times New Roman" w:hAnsi="Times New Roman" w:cs="Times New Roman"/>
          <w:noProof/>
          <w:sz w:val="24"/>
          <w:szCs w:val="24"/>
        </w:rPr>
        <w:t>unts of free and unfree actions'',</w:t>
      </w:r>
      <w:r w:rsidRPr="003F2E2C">
        <w:rPr>
          <w:rFonts w:ascii="Times New Roman" w:hAnsi="Times New Roman" w:cs="Times New Roman"/>
          <w:noProof/>
          <w:sz w:val="24"/>
          <w:szCs w:val="24"/>
        </w:rPr>
        <w:t xml:space="preserve"> Philosophical Psychology, 24(3), 381–394.</w:t>
      </w:r>
    </w:p>
    <w:p w14:paraId="0EAA0E69" w14:textId="76CB7AEF"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Tay, S. R. (1994). </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Students' Performance in Economics: Does the Norm Hold across Cultural and Institutional Settings?</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The Journal of Economic Education, 25(4), 291-301.</w:t>
      </w:r>
    </w:p>
    <w:p w14:paraId="2DC58255" w14:textId="70F4FDD5" w:rsidR="00917896"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Topala, I. (2014). </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Attitudes towards Academic Learning and Learning Satisfaction in Adult Students</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 Procedia - Social and Behavioral Sciences, 142, 227–234.</w:t>
      </w:r>
    </w:p>
    <w:p w14:paraId="7E073D0C" w14:textId="683CF60E" w:rsidR="00917896" w:rsidRPr="003F2E2C" w:rsidRDefault="009D4A19" w:rsidP="00917896">
      <w:pPr>
        <w:spacing w:before="150" w:after="105" w:line="240" w:lineRule="auto"/>
        <w:outlineLvl w:val="0"/>
        <w:rPr>
          <w:rFonts w:ascii="Times New Roman" w:hAnsi="Times New Roman" w:cs="Times New Roman"/>
          <w:noProof/>
          <w:sz w:val="24"/>
          <w:szCs w:val="24"/>
        </w:rPr>
      </w:pPr>
      <w:r w:rsidRPr="009D4A19">
        <w:rPr>
          <w:rFonts w:ascii="Times New Roman" w:hAnsi="Times New Roman" w:cs="Times New Roman"/>
          <w:noProof/>
          <w:sz w:val="24"/>
          <w:szCs w:val="24"/>
        </w:rPr>
        <w:t>Da</w:t>
      </w:r>
      <w:r>
        <w:rPr>
          <w:rFonts w:ascii="Times New Roman" w:hAnsi="Times New Roman" w:cs="Times New Roman"/>
          <w:noProof/>
          <w:sz w:val="24"/>
          <w:szCs w:val="24"/>
        </w:rPr>
        <w:t xml:space="preserve"> </w:t>
      </w:r>
      <w:r w:rsidRPr="009D4A19">
        <w:rPr>
          <w:rFonts w:ascii="Times New Roman" w:hAnsi="Times New Roman" w:cs="Times New Roman"/>
          <w:noProof/>
          <w:sz w:val="24"/>
          <w:szCs w:val="24"/>
        </w:rPr>
        <w:t>Silva-Knapton,</w:t>
      </w:r>
      <w:r>
        <w:rPr>
          <w:rFonts w:ascii="Times New Roman" w:hAnsi="Times New Roman" w:cs="Times New Roman"/>
          <w:noProof/>
          <w:sz w:val="24"/>
          <w:szCs w:val="24"/>
        </w:rPr>
        <w:t xml:space="preserve"> L., </w:t>
      </w:r>
      <w:r w:rsidRPr="009D4A19">
        <w:rPr>
          <w:rFonts w:ascii="Times New Roman" w:hAnsi="Times New Roman" w:cs="Times New Roman"/>
          <w:noProof/>
          <w:sz w:val="24"/>
          <w:szCs w:val="24"/>
        </w:rPr>
        <w:t>Goeler,</w:t>
      </w:r>
      <w:r>
        <w:rPr>
          <w:rFonts w:ascii="Times New Roman" w:hAnsi="Times New Roman" w:cs="Times New Roman"/>
          <w:noProof/>
          <w:sz w:val="24"/>
          <w:szCs w:val="24"/>
        </w:rPr>
        <w:t xml:space="preserve"> J., </w:t>
      </w:r>
      <w:r w:rsidRPr="009D4A19">
        <w:rPr>
          <w:rFonts w:ascii="Times New Roman" w:hAnsi="Times New Roman" w:cs="Times New Roman"/>
          <w:noProof/>
          <w:sz w:val="24"/>
          <w:szCs w:val="24"/>
        </w:rPr>
        <w:t xml:space="preserve"> Muley,</w:t>
      </w:r>
      <w:r>
        <w:rPr>
          <w:rFonts w:ascii="Times New Roman" w:hAnsi="Times New Roman" w:cs="Times New Roman"/>
          <w:noProof/>
          <w:sz w:val="24"/>
          <w:szCs w:val="24"/>
        </w:rPr>
        <w:t xml:space="preserve"> D. and </w:t>
      </w:r>
      <w:r w:rsidRPr="009D4A19">
        <w:rPr>
          <w:rFonts w:ascii="Times New Roman" w:hAnsi="Times New Roman" w:cs="Times New Roman"/>
          <w:noProof/>
          <w:sz w:val="24"/>
          <w:szCs w:val="24"/>
        </w:rPr>
        <w:t>Tracy</w:t>
      </w:r>
      <w:r>
        <w:rPr>
          <w:rFonts w:ascii="Times New Roman" w:hAnsi="Times New Roman" w:cs="Times New Roman"/>
          <w:noProof/>
          <w:sz w:val="24"/>
          <w:szCs w:val="24"/>
        </w:rPr>
        <w:t xml:space="preserve">, </w:t>
      </w:r>
      <w:r w:rsidR="00917896" w:rsidRPr="003F2E2C">
        <w:rPr>
          <w:rFonts w:ascii="Times New Roman" w:hAnsi="Times New Roman" w:cs="Times New Roman"/>
          <w:noProof/>
          <w:sz w:val="24"/>
          <w:szCs w:val="24"/>
        </w:rPr>
        <w:t xml:space="preserve">S. (2017). </w:t>
      </w:r>
      <w:r w:rsidR="005D060C" w:rsidRPr="003F2E2C">
        <w:rPr>
          <w:rFonts w:ascii="Times New Roman" w:hAnsi="Times New Roman" w:cs="Times New Roman"/>
          <w:noProof/>
          <w:sz w:val="24"/>
          <w:szCs w:val="24"/>
        </w:rPr>
        <w:t>''</w:t>
      </w:r>
      <w:r w:rsidR="00917896" w:rsidRPr="003F2E2C">
        <w:rPr>
          <w:rFonts w:ascii="Times New Roman" w:hAnsi="Times New Roman" w:cs="Times New Roman"/>
          <w:noProof/>
          <w:sz w:val="24"/>
          <w:szCs w:val="24"/>
        </w:rPr>
        <w:t>Personalizing Learning and Promoting Student Engagement Through Choice Theory</w:t>
      </w:r>
      <w:r w:rsidR="005D060C" w:rsidRPr="003F2E2C">
        <w:rPr>
          <w:rFonts w:ascii="Times New Roman" w:hAnsi="Times New Roman" w:cs="Times New Roman"/>
          <w:noProof/>
          <w:sz w:val="24"/>
          <w:szCs w:val="24"/>
        </w:rPr>
        <w:t>'',</w:t>
      </w:r>
      <w:r w:rsidR="00917896" w:rsidRPr="003F2E2C">
        <w:rPr>
          <w:rFonts w:ascii="Times New Roman" w:hAnsi="Times New Roman" w:cs="Times New Roman"/>
          <w:noProof/>
          <w:sz w:val="24"/>
          <w:szCs w:val="24"/>
        </w:rPr>
        <w:t xml:space="preserve"> </w:t>
      </w:r>
      <w:hyperlink r:id="rId8" w:history="1">
        <w:r w:rsidRPr="009D4A19">
          <w:rPr>
            <w:rStyle w:val="Hyperlink"/>
            <w:rFonts w:ascii="Times New Roman" w:hAnsi="Times New Roman" w:cs="Times New Roman"/>
            <w:noProof/>
            <w:sz w:val="24"/>
            <w:szCs w:val="24"/>
          </w:rPr>
          <w:t>https://www.cabe.org/uploaded/Convention/2017/HANDOUTS/A2_Personalizing_Learning_and_Promoting_Student_Engagment_through_Choice_Theory.pdf</w:t>
        </w:r>
      </w:hyperlink>
      <w:r>
        <w:rPr>
          <w:rFonts w:ascii="Times New Roman" w:hAnsi="Times New Roman" w:cs="Times New Roman"/>
          <w:noProof/>
          <w:sz w:val="24"/>
          <w:szCs w:val="24"/>
        </w:rPr>
        <w:t>.</w:t>
      </w:r>
      <w:r w:rsidR="00917896" w:rsidRPr="003F2E2C">
        <w:rPr>
          <w:rFonts w:ascii="Times New Roman" w:hAnsi="Times New Roman" w:cs="Times New Roman"/>
          <w:noProof/>
          <w:sz w:val="24"/>
          <w:szCs w:val="24"/>
        </w:rPr>
        <w:t xml:space="preserve"> (Accessed 1 September, 2018)</w:t>
      </w:r>
    </w:p>
    <w:p w14:paraId="64948F38" w14:textId="786CFD6D" w:rsidR="00C81C9D" w:rsidRPr="003F2E2C" w:rsidRDefault="00C81C9D" w:rsidP="00C81C9D">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 xml:space="preserve">UNESCO (2019). </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Education and culture</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Available from: http://uis.unesco.org/en/country/ gh?theme=culture </w:t>
      </w:r>
      <w:r w:rsidRPr="003F2E2C">
        <w:rPr>
          <w:rFonts w:ascii="Times New Roman" w:hAnsi="Times New Roman" w:cs="Times New Roman"/>
          <w:noProof/>
          <w:sz w:val="24"/>
          <w:szCs w:val="24"/>
          <w:u w:val="single"/>
        </w:rPr>
        <w:t>http://www.statsghana.gov.gh/</w:t>
      </w:r>
      <w:r w:rsidRPr="003F2E2C">
        <w:rPr>
          <w:rFonts w:ascii="Times New Roman" w:hAnsi="Times New Roman" w:cs="Times New Roman"/>
          <w:noProof/>
          <w:sz w:val="24"/>
          <w:szCs w:val="24"/>
        </w:rPr>
        <w:t xml:space="preserve"> [Accessed 23 February, 2019]</w:t>
      </w:r>
    </w:p>
    <w:p w14:paraId="194335A8" w14:textId="77777777" w:rsidR="00C81C9D" w:rsidRPr="003F2E2C" w:rsidRDefault="00C81C9D" w:rsidP="00917896">
      <w:pPr>
        <w:spacing w:before="150" w:after="105" w:line="240" w:lineRule="auto"/>
        <w:outlineLvl w:val="0"/>
        <w:rPr>
          <w:rFonts w:ascii="Times New Roman" w:hAnsi="Times New Roman" w:cs="Times New Roman"/>
          <w:bCs/>
          <w:noProof/>
          <w:sz w:val="24"/>
          <w:szCs w:val="24"/>
        </w:rPr>
      </w:pPr>
    </w:p>
    <w:p w14:paraId="76BDF88E" w14:textId="2838738C"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bCs/>
          <w:noProof/>
          <w:sz w:val="24"/>
          <w:szCs w:val="24"/>
        </w:rPr>
        <w:t>Verhallen, T. M.</w:t>
      </w:r>
      <w:r w:rsidR="005D060C" w:rsidRPr="003F2E2C">
        <w:rPr>
          <w:rFonts w:ascii="Times New Roman" w:hAnsi="Times New Roman" w:cs="Times New Roman"/>
          <w:bCs/>
          <w:noProof/>
          <w:sz w:val="24"/>
          <w:szCs w:val="24"/>
        </w:rPr>
        <w:t xml:space="preserve"> </w:t>
      </w:r>
      <w:r w:rsidRPr="003F2E2C">
        <w:rPr>
          <w:rFonts w:ascii="Times New Roman" w:hAnsi="Times New Roman" w:cs="Times New Roman"/>
          <w:bCs/>
          <w:noProof/>
          <w:sz w:val="24"/>
          <w:szCs w:val="24"/>
        </w:rPr>
        <w:t xml:space="preserve">M. (1984). </w:t>
      </w:r>
      <w:r w:rsidR="005D060C" w:rsidRPr="003F2E2C">
        <w:rPr>
          <w:rFonts w:ascii="Times New Roman" w:hAnsi="Times New Roman" w:cs="Times New Roman"/>
          <w:bCs/>
          <w:noProof/>
          <w:sz w:val="24"/>
          <w:szCs w:val="24"/>
        </w:rPr>
        <w:t>''</w:t>
      </w:r>
      <w:r w:rsidRPr="003F2E2C">
        <w:rPr>
          <w:rFonts w:ascii="Times New Roman" w:hAnsi="Times New Roman" w:cs="Times New Roman"/>
          <w:bCs/>
          <w:noProof/>
          <w:sz w:val="24"/>
          <w:szCs w:val="24"/>
        </w:rPr>
        <w:t>Attitude Theory and Behavioral Costs</w:t>
      </w:r>
      <w:r w:rsidR="005D060C" w:rsidRPr="003F2E2C">
        <w:rPr>
          <w:rFonts w:ascii="Times New Roman" w:hAnsi="Times New Roman" w:cs="Times New Roman"/>
          <w:bCs/>
          <w:noProof/>
          <w:sz w:val="24"/>
          <w:szCs w:val="24"/>
        </w:rPr>
        <w:t>'',</w:t>
      </w:r>
      <w:r w:rsidRPr="003F2E2C">
        <w:rPr>
          <w:rFonts w:ascii="Times New Roman" w:hAnsi="Times New Roman" w:cs="Times New Roman"/>
          <w:bCs/>
          <w:noProof/>
          <w:sz w:val="24"/>
          <w:szCs w:val="24"/>
        </w:rPr>
        <w:t xml:space="preserve"> Journal of Economic Psychology 5, 273-249.</w:t>
      </w:r>
    </w:p>
    <w:p w14:paraId="10B91683" w14:textId="7D37F9C9"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Vroom, V. H.</w:t>
      </w:r>
      <w:r w:rsidR="005D060C" w:rsidRPr="003F2E2C">
        <w:rPr>
          <w:rFonts w:ascii="Times New Roman" w:hAnsi="Times New Roman" w:cs="Times New Roman"/>
          <w:noProof/>
          <w:sz w:val="24"/>
          <w:szCs w:val="24"/>
        </w:rPr>
        <w:t xml:space="preserve"> (1964). ''</w:t>
      </w:r>
      <w:r w:rsidRPr="003F2E2C">
        <w:rPr>
          <w:rFonts w:ascii="Times New Roman" w:hAnsi="Times New Roman" w:cs="Times New Roman"/>
          <w:noProof/>
          <w:sz w:val="24"/>
          <w:szCs w:val="24"/>
        </w:rPr>
        <w:t>Work and motivation</w:t>
      </w:r>
      <w:r w:rsidR="005D060C" w:rsidRPr="003F2E2C">
        <w:rPr>
          <w:rFonts w:ascii="Times New Roman" w:hAnsi="Times New Roman" w:cs="Times New Roman"/>
          <w:noProof/>
          <w:sz w:val="24"/>
          <w:szCs w:val="24"/>
        </w:rPr>
        <w:t>'', New York: Wiley</w:t>
      </w:r>
      <w:r w:rsidRPr="003F2E2C">
        <w:rPr>
          <w:rFonts w:ascii="Times New Roman" w:hAnsi="Times New Roman" w:cs="Times New Roman"/>
          <w:noProof/>
          <w:sz w:val="24"/>
          <w:szCs w:val="24"/>
        </w:rPr>
        <w:t>.</w:t>
      </w:r>
    </w:p>
    <w:p w14:paraId="73EDF9FB" w14:textId="5EFB621C" w:rsidR="00917896" w:rsidRPr="003F2E2C" w:rsidRDefault="00917896" w:rsidP="00917896">
      <w:pPr>
        <w:spacing w:before="150" w:after="105" w:line="240" w:lineRule="auto"/>
        <w:outlineLvl w:val="0"/>
        <w:rPr>
          <w:rFonts w:ascii="Times New Roman" w:hAnsi="Times New Roman" w:cs="Times New Roman"/>
          <w:noProof/>
          <w:sz w:val="24"/>
          <w:szCs w:val="24"/>
        </w:rPr>
      </w:pPr>
      <w:bookmarkStart w:id="13" w:name="_Hlk529790486"/>
      <w:r w:rsidRPr="003F2E2C">
        <w:rPr>
          <w:rFonts w:ascii="Times New Roman" w:hAnsi="Times New Roman" w:cs="Times New Roman"/>
          <w:bCs/>
          <w:noProof/>
          <w:sz w:val="24"/>
          <w:szCs w:val="24"/>
        </w:rPr>
        <w:t>Wanous, P. J., Keon, L. T., &amp; Latack</w:t>
      </w:r>
      <w:bookmarkEnd w:id="13"/>
      <w:r w:rsidRPr="003F2E2C">
        <w:rPr>
          <w:rFonts w:ascii="Times New Roman" w:hAnsi="Times New Roman" w:cs="Times New Roman"/>
          <w:bCs/>
          <w:noProof/>
          <w:sz w:val="24"/>
          <w:szCs w:val="24"/>
        </w:rPr>
        <w:t xml:space="preserve">, C. J. (1983). </w:t>
      </w:r>
      <w:r w:rsidR="005D060C" w:rsidRPr="003F2E2C">
        <w:rPr>
          <w:rFonts w:ascii="Times New Roman" w:hAnsi="Times New Roman" w:cs="Times New Roman"/>
          <w:bCs/>
          <w:noProof/>
          <w:sz w:val="24"/>
          <w:szCs w:val="24"/>
        </w:rPr>
        <w:t>''</w:t>
      </w:r>
      <w:r w:rsidRPr="003F2E2C">
        <w:rPr>
          <w:rFonts w:ascii="Times New Roman" w:hAnsi="Times New Roman" w:cs="Times New Roman"/>
          <w:bCs/>
          <w:noProof/>
          <w:sz w:val="24"/>
          <w:szCs w:val="24"/>
        </w:rPr>
        <w:t>Expectancy Theory and Occupational/Organizati</w:t>
      </w:r>
      <w:r w:rsidR="005D060C" w:rsidRPr="003F2E2C">
        <w:rPr>
          <w:rFonts w:ascii="Times New Roman" w:hAnsi="Times New Roman" w:cs="Times New Roman"/>
          <w:bCs/>
          <w:noProof/>
          <w:sz w:val="24"/>
          <w:szCs w:val="24"/>
        </w:rPr>
        <w:t>onal Choices: A Review and Test'',</w:t>
      </w:r>
      <w:r w:rsidRPr="003F2E2C">
        <w:rPr>
          <w:rFonts w:ascii="Times New Roman" w:hAnsi="Times New Roman" w:cs="Times New Roman"/>
          <w:noProof/>
          <w:sz w:val="24"/>
          <w:szCs w:val="24"/>
        </w:rPr>
        <w:t xml:space="preserve"> </w:t>
      </w:r>
      <w:r w:rsidRPr="003F2E2C">
        <w:rPr>
          <w:rFonts w:ascii="Times New Roman" w:hAnsi="Times New Roman" w:cs="Times New Roman"/>
          <w:bCs/>
          <w:noProof/>
          <w:sz w:val="24"/>
          <w:szCs w:val="24"/>
        </w:rPr>
        <w:t>Organizational Behavior and Human Performance 32, 66-86.</w:t>
      </w:r>
    </w:p>
    <w:p w14:paraId="7D467409" w14:textId="16F5C02F"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Wegner, D.M. (2003). </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The mind's best trick: How we experience conscious will</w:t>
      </w:r>
      <w:r w:rsidR="005D060C" w:rsidRPr="003F2E2C">
        <w:rPr>
          <w:rFonts w:ascii="Times New Roman" w:hAnsi="Times New Roman" w:cs="Times New Roman"/>
          <w:noProof/>
          <w:sz w:val="24"/>
          <w:szCs w:val="24"/>
        </w:rPr>
        <w:t>'',</w:t>
      </w:r>
      <w:r w:rsidRPr="003F2E2C">
        <w:rPr>
          <w:rFonts w:ascii="Times New Roman" w:hAnsi="Times New Roman" w:cs="Times New Roman"/>
          <w:noProof/>
          <w:sz w:val="24"/>
          <w:szCs w:val="24"/>
        </w:rPr>
        <w:t xml:space="preserve"> Trends in Cognitive Science, 7, 65-69.</w:t>
      </w:r>
    </w:p>
    <w:p w14:paraId="7D18B5C5"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t>Wen, L., Hao, Q., &amp; Bu, D. (2015), "Understanding the intentions of accounting students in China to pursue Certified Public Accountant Designation", Accounting Education: an international journal, 24(4), 341–359.</w:t>
      </w:r>
    </w:p>
    <w:p w14:paraId="38025215"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p>
    <w:p w14:paraId="4C13D1DC" w14:textId="77777777" w:rsidR="00917896" w:rsidRPr="003F2E2C" w:rsidRDefault="00917896" w:rsidP="00917896">
      <w:pPr>
        <w:spacing w:before="150" w:after="105" w:line="240" w:lineRule="auto"/>
        <w:outlineLvl w:val="0"/>
        <w:rPr>
          <w:rFonts w:ascii="Times New Roman" w:hAnsi="Times New Roman" w:cs="Times New Roman"/>
          <w:noProof/>
          <w:sz w:val="24"/>
          <w:szCs w:val="24"/>
        </w:rPr>
      </w:pPr>
      <w:r w:rsidRPr="003F2E2C">
        <w:rPr>
          <w:rFonts w:ascii="Times New Roman" w:hAnsi="Times New Roman" w:cs="Times New Roman"/>
          <w:noProof/>
          <w:sz w:val="24"/>
          <w:szCs w:val="24"/>
        </w:rPr>
        <w:fldChar w:fldCharType="end"/>
      </w:r>
      <w:r w:rsidRPr="003F2E2C">
        <w:rPr>
          <w:rFonts w:ascii="Times New Roman" w:hAnsi="Times New Roman" w:cs="Times New Roman"/>
          <w:noProof/>
          <w:sz w:val="24"/>
          <w:szCs w:val="24"/>
        </w:rPr>
        <w:fldChar w:fldCharType="end"/>
      </w:r>
    </w:p>
    <w:p w14:paraId="2F66C3C8" w14:textId="77777777" w:rsidR="00917896" w:rsidRPr="003F2E2C" w:rsidRDefault="00917896" w:rsidP="00917896">
      <w:pPr>
        <w:spacing w:before="150" w:after="105" w:line="240" w:lineRule="auto"/>
        <w:outlineLvl w:val="0"/>
        <w:rPr>
          <w:rFonts w:ascii="Times New Roman" w:eastAsia="Calibri" w:hAnsi="Times New Roman" w:cs="Times New Roman"/>
          <w:b/>
          <w:sz w:val="20"/>
          <w:szCs w:val="20"/>
        </w:rPr>
      </w:pPr>
    </w:p>
    <w:p w14:paraId="1471A7DA"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b/>
          <w:sz w:val="20"/>
          <w:szCs w:val="20"/>
        </w:rPr>
      </w:pPr>
    </w:p>
    <w:p w14:paraId="674101A7" w14:textId="376687DA" w:rsidR="00917896" w:rsidRPr="003F2E2C" w:rsidRDefault="00917896" w:rsidP="00917896">
      <w:pPr>
        <w:autoSpaceDE w:val="0"/>
        <w:autoSpaceDN w:val="0"/>
        <w:adjustRightInd w:val="0"/>
        <w:spacing w:after="0" w:line="240" w:lineRule="auto"/>
        <w:rPr>
          <w:rFonts w:ascii="Times New Roman" w:eastAsia="Calibri" w:hAnsi="Times New Roman" w:cs="Times New Roman"/>
          <w:b/>
          <w:sz w:val="20"/>
          <w:szCs w:val="20"/>
        </w:rPr>
      </w:pPr>
    </w:p>
    <w:p w14:paraId="73767941" w14:textId="546D1C72"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78E935A0" w14:textId="0452C37D"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76223972" w14:textId="02E4F480"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248481C8" w14:textId="3D8B2672"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1E4EBC22" w14:textId="238C4FCF"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58DE7DE2" w14:textId="2DEA5D1A"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13026B11" w14:textId="433F2456"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861C82A" w14:textId="1F32D795"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7C8530EA" w14:textId="6E2C5D8B"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370D7E61" w14:textId="6CE47EAF"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14DCEBB3" w14:textId="1B97C2FE"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28203DC0" w14:textId="244DD9C0"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59A77124" w14:textId="5D1EC979"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1240F30" w14:textId="065976A4"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312933AB" w14:textId="21E3F2E0"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40E93A8A" w14:textId="323DDDFE"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A7A2C13" w14:textId="6C6E93D1"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929B502" w14:textId="6363A9D9"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177E6AB" w14:textId="3402DC5F"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CCCF490" w14:textId="3F204CFE"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55368237" w14:textId="2EB8801E"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7717BF69" w14:textId="4646340A"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E475048" w14:textId="7C53C768"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3515E747" w14:textId="434D19D0"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7FE410BB" w14:textId="233BC4B8"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46F69D16" w14:textId="67961B75"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4A84C52" w14:textId="2340E744"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BF4EAFB" w14:textId="7D9F437C"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1ECD71E" w14:textId="5A1157A8"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65CB1D4" w14:textId="4A922ACE"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4810AA2" w14:textId="7B4BE49C"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298E3879" w14:textId="419A5569"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58CB77E2" w14:textId="7C3EA36D"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0A10786C" w14:textId="61B2AED5"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1EEA0DCD" w14:textId="447D6A0A"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67EEDE9E" w14:textId="43BBB9DC" w:rsidR="00917896" w:rsidRPr="003F2E2C" w:rsidRDefault="00917896" w:rsidP="00917896">
      <w:pPr>
        <w:autoSpaceDE w:val="0"/>
        <w:autoSpaceDN w:val="0"/>
        <w:adjustRightInd w:val="0"/>
        <w:spacing w:after="0" w:line="240" w:lineRule="auto"/>
        <w:rPr>
          <w:rFonts w:ascii="Times New Roman" w:eastAsia="Calibri" w:hAnsi="Times New Roman" w:cs="Times New Roman"/>
          <w:b/>
          <w:sz w:val="20"/>
          <w:szCs w:val="20"/>
        </w:rPr>
      </w:pPr>
    </w:p>
    <w:p w14:paraId="13D5F2AF" w14:textId="77777777" w:rsidR="00CB0583" w:rsidRPr="003F2E2C" w:rsidRDefault="00CB0583" w:rsidP="00917896">
      <w:pPr>
        <w:autoSpaceDE w:val="0"/>
        <w:autoSpaceDN w:val="0"/>
        <w:adjustRightInd w:val="0"/>
        <w:spacing w:after="0" w:line="240" w:lineRule="auto"/>
        <w:rPr>
          <w:rFonts w:ascii="Times New Roman" w:eastAsia="Calibri" w:hAnsi="Times New Roman" w:cs="Times New Roman"/>
          <w:b/>
          <w:sz w:val="20"/>
          <w:szCs w:val="20"/>
        </w:rPr>
      </w:pPr>
    </w:p>
    <w:p w14:paraId="51DF4643"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b/>
          <w:sz w:val="20"/>
          <w:szCs w:val="20"/>
        </w:rPr>
      </w:pPr>
      <w:r w:rsidRPr="003F2E2C">
        <w:rPr>
          <w:rFonts w:ascii="Times New Roman" w:eastAsia="Calibri" w:hAnsi="Times New Roman" w:cs="Times New Roman"/>
          <w:b/>
          <w:sz w:val="20"/>
          <w:szCs w:val="20"/>
        </w:rPr>
        <w:t xml:space="preserve">Table 1. Validity results </w:t>
      </w:r>
    </w:p>
    <w:tbl>
      <w:tblPr>
        <w:tblW w:w="9292"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151"/>
        <w:gridCol w:w="716"/>
        <w:gridCol w:w="711"/>
        <w:gridCol w:w="568"/>
        <w:gridCol w:w="568"/>
        <w:gridCol w:w="578"/>
      </w:tblGrid>
      <w:tr w:rsidR="003F2E2C" w:rsidRPr="003F2E2C" w14:paraId="3DB86997" w14:textId="77777777" w:rsidTr="0013597C">
        <w:trPr>
          <w:cantSplit/>
          <w:trHeight w:val="116"/>
        </w:trPr>
        <w:tc>
          <w:tcPr>
            <w:tcW w:w="6151" w:type="dxa"/>
            <w:vMerge w:val="restart"/>
            <w:shd w:val="clear" w:color="auto" w:fill="FFFFFF"/>
          </w:tcPr>
          <w:p w14:paraId="7D9763A2" w14:textId="77777777" w:rsidR="00917896" w:rsidRPr="003F2E2C" w:rsidRDefault="00917896" w:rsidP="00917896">
            <w:pPr>
              <w:autoSpaceDE w:val="0"/>
              <w:autoSpaceDN w:val="0"/>
              <w:adjustRightInd w:val="0"/>
              <w:spacing w:after="0" w:line="24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Measures</w:t>
            </w:r>
          </w:p>
        </w:tc>
        <w:tc>
          <w:tcPr>
            <w:tcW w:w="3141" w:type="dxa"/>
            <w:gridSpan w:val="5"/>
            <w:tcBorders>
              <w:bottom w:val="single" w:sz="4" w:space="0" w:color="auto"/>
            </w:tcBorders>
            <w:shd w:val="clear" w:color="auto" w:fill="FFFFFF"/>
          </w:tcPr>
          <w:p w14:paraId="33D64240" w14:textId="77777777" w:rsidR="00917896" w:rsidRPr="003F2E2C" w:rsidRDefault="00917896" w:rsidP="00917896">
            <w:pPr>
              <w:autoSpaceDE w:val="0"/>
              <w:autoSpaceDN w:val="0"/>
              <w:adjustRightInd w:val="0"/>
              <w:spacing w:after="0" w:line="240" w:lineRule="auto"/>
              <w:ind w:left="60" w:right="60"/>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           Component</w:t>
            </w:r>
          </w:p>
        </w:tc>
      </w:tr>
      <w:tr w:rsidR="003F2E2C" w:rsidRPr="003F2E2C" w14:paraId="30638CD5" w14:textId="77777777" w:rsidTr="0013597C">
        <w:trPr>
          <w:cantSplit/>
          <w:trHeight w:val="129"/>
        </w:trPr>
        <w:tc>
          <w:tcPr>
            <w:tcW w:w="6151" w:type="dxa"/>
            <w:vMerge/>
            <w:shd w:val="clear" w:color="auto" w:fill="FFFFFF"/>
          </w:tcPr>
          <w:p w14:paraId="66B7A59D"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sz w:val="20"/>
                <w:szCs w:val="20"/>
              </w:rPr>
            </w:pPr>
          </w:p>
        </w:tc>
        <w:tc>
          <w:tcPr>
            <w:tcW w:w="716" w:type="dxa"/>
            <w:tcBorders>
              <w:top w:val="single" w:sz="4" w:space="0" w:color="auto"/>
              <w:bottom w:val="single" w:sz="4" w:space="0" w:color="auto"/>
            </w:tcBorders>
            <w:shd w:val="clear" w:color="auto" w:fill="FFFFFF"/>
            <w:vAlign w:val="center"/>
          </w:tcPr>
          <w:p w14:paraId="2E59571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711" w:type="dxa"/>
            <w:tcBorders>
              <w:top w:val="single" w:sz="4" w:space="0" w:color="auto"/>
              <w:bottom w:val="single" w:sz="4" w:space="0" w:color="auto"/>
            </w:tcBorders>
            <w:shd w:val="clear" w:color="auto" w:fill="FFFFFF"/>
            <w:vAlign w:val="center"/>
          </w:tcPr>
          <w:p w14:paraId="347006F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w:t>
            </w:r>
          </w:p>
        </w:tc>
        <w:tc>
          <w:tcPr>
            <w:tcW w:w="568" w:type="dxa"/>
            <w:tcBorders>
              <w:top w:val="single" w:sz="4" w:space="0" w:color="auto"/>
              <w:bottom w:val="single" w:sz="4" w:space="0" w:color="auto"/>
            </w:tcBorders>
            <w:shd w:val="clear" w:color="auto" w:fill="FFFFFF"/>
            <w:vAlign w:val="center"/>
          </w:tcPr>
          <w:p w14:paraId="48C92A1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3</w:t>
            </w:r>
          </w:p>
        </w:tc>
        <w:tc>
          <w:tcPr>
            <w:tcW w:w="568" w:type="dxa"/>
            <w:tcBorders>
              <w:top w:val="single" w:sz="4" w:space="0" w:color="auto"/>
              <w:bottom w:val="single" w:sz="4" w:space="0" w:color="auto"/>
            </w:tcBorders>
            <w:shd w:val="clear" w:color="auto" w:fill="FFFFFF"/>
            <w:vAlign w:val="center"/>
          </w:tcPr>
          <w:p w14:paraId="6860C32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4</w:t>
            </w:r>
          </w:p>
        </w:tc>
        <w:tc>
          <w:tcPr>
            <w:tcW w:w="578" w:type="dxa"/>
            <w:tcBorders>
              <w:top w:val="single" w:sz="4" w:space="0" w:color="auto"/>
              <w:bottom w:val="single" w:sz="4" w:space="0" w:color="auto"/>
            </w:tcBorders>
            <w:shd w:val="clear" w:color="auto" w:fill="FFFFFF"/>
            <w:vAlign w:val="center"/>
          </w:tcPr>
          <w:p w14:paraId="632C2A6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5</w:t>
            </w:r>
          </w:p>
        </w:tc>
      </w:tr>
      <w:tr w:rsidR="003F2E2C" w:rsidRPr="003F2E2C" w14:paraId="72A1B5E3" w14:textId="77777777" w:rsidTr="0013597C">
        <w:trPr>
          <w:cantSplit/>
          <w:trHeight w:val="137"/>
        </w:trPr>
        <w:tc>
          <w:tcPr>
            <w:tcW w:w="6151" w:type="dxa"/>
            <w:shd w:val="clear" w:color="auto" w:fill="FFFFFF"/>
            <w:vAlign w:val="center"/>
          </w:tcPr>
          <w:p w14:paraId="761E91EE" w14:textId="77777777" w:rsidR="00917896" w:rsidRPr="003F2E2C" w:rsidRDefault="00917896" w:rsidP="00917896">
            <w:pPr>
              <w:tabs>
                <w:tab w:val="left" w:pos="2204"/>
              </w:tabs>
              <w:spacing w:after="0" w:line="240" w:lineRule="auto"/>
              <w:ind w:left="67"/>
              <w:rPr>
                <w:rFonts w:ascii="Times New Roman" w:eastAsia="Calibri" w:hAnsi="Times New Roman" w:cs="Times New Roman"/>
                <w:i/>
                <w:sz w:val="20"/>
                <w:szCs w:val="20"/>
              </w:rPr>
            </w:pPr>
            <w:r w:rsidRPr="003F2E2C">
              <w:rPr>
                <w:rFonts w:ascii="Times New Roman" w:eastAsia="Calibri" w:hAnsi="Times New Roman" w:cs="Times New Roman"/>
                <w:i/>
                <w:sz w:val="20"/>
                <w:szCs w:val="20"/>
              </w:rPr>
              <w:t>Expectations (1=not at all; 5=to a largest extent) [CA= .763</w:t>
            </w:r>
          </w:p>
        </w:tc>
        <w:tc>
          <w:tcPr>
            <w:tcW w:w="716" w:type="dxa"/>
            <w:shd w:val="clear" w:color="auto" w:fill="FFFFFF"/>
            <w:vAlign w:val="center"/>
          </w:tcPr>
          <w:p w14:paraId="0DD14D6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711" w:type="dxa"/>
            <w:shd w:val="clear" w:color="auto" w:fill="FFFFFF"/>
            <w:vAlign w:val="center"/>
          </w:tcPr>
          <w:p w14:paraId="3193184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shd w:val="clear" w:color="auto" w:fill="FFFFFF"/>
            <w:vAlign w:val="center"/>
          </w:tcPr>
          <w:p w14:paraId="7317F81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shd w:val="clear" w:color="auto" w:fill="FFFFFF"/>
            <w:vAlign w:val="center"/>
          </w:tcPr>
          <w:p w14:paraId="7994A9E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i/>
                <w:sz w:val="20"/>
                <w:szCs w:val="20"/>
              </w:rPr>
            </w:pPr>
          </w:p>
        </w:tc>
        <w:tc>
          <w:tcPr>
            <w:tcW w:w="578" w:type="dxa"/>
            <w:shd w:val="clear" w:color="auto" w:fill="FFFFFF"/>
            <w:vAlign w:val="center"/>
          </w:tcPr>
          <w:p w14:paraId="5747A56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r>
      <w:tr w:rsidR="003F2E2C" w:rsidRPr="003F2E2C" w14:paraId="002CDDF2" w14:textId="77777777" w:rsidTr="0013597C">
        <w:trPr>
          <w:cantSplit/>
          <w:trHeight w:val="76"/>
        </w:trPr>
        <w:tc>
          <w:tcPr>
            <w:tcW w:w="6151" w:type="dxa"/>
            <w:shd w:val="clear" w:color="auto" w:fill="FFFFFF"/>
            <w:vAlign w:val="center"/>
          </w:tcPr>
          <w:p w14:paraId="40CBB243" w14:textId="77777777" w:rsidR="00917896" w:rsidRPr="003F2E2C" w:rsidRDefault="00917896" w:rsidP="00917896">
            <w:pPr>
              <w:numPr>
                <w:ilvl w:val="0"/>
                <w:numId w:val="8"/>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The accounting profession brings one a greater prestige/respect in the society</w:t>
            </w:r>
          </w:p>
        </w:tc>
        <w:tc>
          <w:tcPr>
            <w:tcW w:w="716" w:type="dxa"/>
            <w:shd w:val="clear" w:color="auto" w:fill="FFFFFF"/>
            <w:vAlign w:val="center"/>
          </w:tcPr>
          <w:p w14:paraId="61828449"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.043</w:t>
            </w:r>
          </w:p>
        </w:tc>
        <w:tc>
          <w:tcPr>
            <w:tcW w:w="711" w:type="dxa"/>
            <w:shd w:val="clear" w:color="auto" w:fill="FFFFFF"/>
            <w:vAlign w:val="center"/>
          </w:tcPr>
          <w:p w14:paraId="6719DD7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.758</w:t>
            </w:r>
          </w:p>
        </w:tc>
        <w:tc>
          <w:tcPr>
            <w:tcW w:w="568" w:type="dxa"/>
            <w:shd w:val="clear" w:color="auto" w:fill="FFFFFF"/>
            <w:vAlign w:val="center"/>
          </w:tcPr>
          <w:p w14:paraId="66518B6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.184</w:t>
            </w:r>
          </w:p>
        </w:tc>
        <w:tc>
          <w:tcPr>
            <w:tcW w:w="568" w:type="dxa"/>
            <w:shd w:val="clear" w:color="auto" w:fill="FFFFFF"/>
            <w:vAlign w:val="center"/>
          </w:tcPr>
          <w:p w14:paraId="615E97B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.131</w:t>
            </w:r>
          </w:p>
        </w:tc>
        <w:tc>
          <w:tcPr>
            <w:tcW w:w="578" w:type="dxa"/>
            <w:shd w:val="clear" w:color="auto" w:fill="FFFFFF"/>
            <w:vAlign w:val="center"/>
          </w:tcPr>
          <w:p w14:paraId="04EFD78D"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.016</w:t>
            </w:r>
          </w:p>
        </w:tc>
      </w:tr>
      <w:tr w:rsidR="003F2E2C" w:rsidRPr="003F2E2C" w14:paraId="3B368429" w14:textId="77777777" w:rsidTr="0013597C">
        <w:trPr>
          <w:cantSplit/>
          <w:trHeight w:val="247"/>
        </w:trPr>
        <w:tc>
          <w:tcPr>
            <w:tcW w:w="6151" w:type="dxa"/>
            <w:shd w:val="clear" w:color="auto" w:fill="FFFFFF"/>
            <w:vAlign w:val="center"/>
          </w:tcPr>
          <w:p w14:paraId="544B3659" w14:textId="77777777" w:rsidR="00917896" w:rsidRPr="003F2E2C" w:rsidRDefault="00917896" w:rsidP="00917896">
            <w:pPr>
              <w:numPr>
                <w:ilvl w:val="0"/>
                <w:numId w:val="8"/>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I believe the accounting profession helps one to earn good remuneration/salary</w:t>
            </w:r>
          </w:p>
        </w:tc>
        <w:tc>
          <w:tcPr>
            <w:tcW w:w="716" w:type="dxa"/>
            <w:shd w:val="clear" w:color="auto" w:fill="FFFFFF"/>
            <w:vAlign w:val="center"/>
          </w:tcPr>
          <w:p w14:paraId="6470DF5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-.055</w:t>
            </w:r>
          </w:p>
        </w:tc>
        <w:tc>
          <w:tcPr>
            <w:tcW w:w="711" w:type="dxa"/>
            <w:shd w:val="clear" w:color="auto" w:fill="FFFFFF"/>
            <w:vAlign w:val="center"/>
          </w:tcPr>
          <w:p w14:paraId="5934906D"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.828</w:t>
            </w:r>
          </w:p>
        </w:tc>
        <w:tc>
          <w:tcPr>
            <w:tcW w:w="568" w:type="dxa"/>
            <w:shd w:val="clear" w:color="auto" w:fill="FFFFFF"/>
            <w:vAlign w:val="center"/>
          </w:tcPr>
          <w:p w14:paraId="5095898D"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.024</w:t>
            </w:r>
          </w:p>
        </w:tc>
        <w:tc>
          <w:tcPr>
            <w:tcW w:w="568" w:type="dxa"/>
            <w:shd w:val="clear" w:color="auto" w:fill="FFFFFF"/>
            <w:vAlign w:val="center"/>
          </w:tcPr>
          <w:p w14:paraId="13CACBE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.097</w:t>
            </w:r>
          </w:p>
        </w:tc>
        <w:tc>
          <w:tcPr>
            <w:tcW w:w="578" w:type="dxa"/>
            <w:shd w:val="clear" w:color="auto" w:fill="FFFFFF"/>
            <w:vAlign w:val="center"/>
          </w:tcPr>
          <w:p w14:paraId="65FD230D"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.069</w:t>
            </w:r>
          </w:p>
        </w:tc>
      </w:tr>
      <w:tr w:rsidR="003F2E2C" w:rsidRPr="003F2E2C" w14:paraId="387FCFAE" w14:textId="77777777" w:rsidTr="0013597C">
        <w:trPr>
          <w:cantSplit/>
          <w:trHeight w:val="247"/>
        </w:trPr>
        <w:tc>
          <w:tcPr>
            <w:tcW w:w="6151" w:type="dxa"/>
            <w:shd w:val="clear" w:color="auto" w:fill="FFFFFF"/>
            <w:vAlign w:val="center"/>
          </w:tcPr>
          <w:p w14:paraId="3578FBF3" w14:textId="77777777" w:rsidR="00917896" w:rsidRPr="003F2E2C" w:rsidRDefault="00917896" w:rsidP="00917896">
            <w:pPr>
              <w:numPr>
                <w:ilvl w:val="0"/>
                <w:numId w:val="8"/>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Relatively, I believe reading accounting helps one to easily get work to do</w:t>
            </w:r>
          </w:p>
        </w:tc>
        <w:tc>
          <w:tcPr>
            <w:tcW w:w="716" w:type="dxa"/>
            <w:shd w:val="clear" w:color="auto" w:fill="FFFFFF"/>
            <w:vAlign w:val="center"/>
          </w:tcPr>
          <w:p w14:paraId="7D66780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.169</w:t>
            </w:r>
          </w:p>
        </w:tc>
        <w:tc>
          <w:tcPr>
            <w:tcW w:w="711" w:type="dxa"/>
            <w:shd w:val="clear" w:color="auto" w:fill="FFFFFF"/>
            <w:vAlign w:val="center"/>
          </w:tcPr>
          <w:p w14:paraId="5F18CF0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.775</w:t>
            </w:r>
          </w:p>
        </w:tc>
        <w:tc>
          <w:tcPr>
            <w:tcW w:w="568" w:type="dxa"/>
            <w:shd w:val="clear" w:color="auto" w:fill="FFFFFF"/>
            <w:vAlign w:val="center"/>
          </w:tcPr>
          <w:p w14:paraId="55CB623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-.013</w:t>
            </w:r>
          </w:p>
        </w:tc>
        <w:tc>
          <w:tcPr>
            <w:tcW w:w="568" w:type="dxa"/>
            <w:shd w:val="clear" w:color="auto" w:fill="FFFFFF"/>
            <w:vAlign w:val="center"/>
          </w:tcPr>
          <w:p w14:paraId="7683989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.088</w:t>
            </w:r>
          </w:p>
        </w:tc>
        <w:tc>
          <w:tcPr>
            <w:tcW w:w="578" w:type="dxa"/>
            <w:shd w:val="clear" w:color="auto" w:fill="FFFFFF"/>
            <w:vAlign w:val="center"/>
          </w:tcPr>
          <w:p w14:paraId="3180E28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.048</w:t>
            </w:r>
          </w:p>
        </w:tc>
      </w:tr>
      <w:tr w:rsidR="003F2E2C" w:rsidRPr="003F2E2C" w14:paraId="183E58ED" w14:textId="77777777" w:rsidTr="0013597C">
        <w:trPr>
          <w:cantSplit/>
          <w:trHeight w:val="247"/>
        </w:trPr>
        <w:tc>
          <w:tcPr>
            <w:tcW w:w="6151" w:type="dxa"/>
            <w:shd w:val="clear" w:color="auto" w:fill="FFFFFF"/>
            <w:vAlign w:val="center"/>
          </w:tcPr>
          <w:p w14:paraId="1A4F103E" w14:textId="77777777" w:rsidR="00917896" w:rsidRPr="003F2E2C" w:rsidRDefault="00917896" w:rsidP="00917896">
            <w:pPr>
              <w:numPr>
                <w:ilvl w:val="0"/>
                <w:numId w:val="8"/>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I believe pursuing accounting as a profession makes one more likely to succeed in life</w:t>
            </w:r>
            <w:r w:rsidRPr="003F2E2C">
              <w:rPr>
                <w:rFonts w:ascii="Times New Roman" w:eastAsia="Calibri" w:hAnsi="Times New Roman" w:cs="Times New Roman"/>
                <w:sz w:val="20"/>
                <w:szCs w:val="20"/>
                <w:vertAlign w:val="superscript"/>
              </w:rPr>
              <w:t>2</w:t>
            </w:r>
          </w:p>
        </w:tc>
        <w:tc>
          <w:tcPr>
            <w:tcW w:w="716" w:type="dxa"/>
            <w:shd w:val="clear" w:color="auto" w:fill="FFFFFF"/>
            <w:vAlign w:val="center"/>
          </w:tcPr>
          <w:p w14:paraId="662EDFAE"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.116</w:t>
            </w:r>
          </w:p>
        </w:tc>
        <w:tc>
          <w:tcPr>
            <w:tcW w:w="711" w:type="dxa"/>
            <w:shd w:val="clear" w:color="auto" w:fill="FFFFFF"/>
            <w:vAlign w:val="center"/>
          </w:tcPr>
          <w:p w14:paraId="2F48092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.792</w:t>
            </w:r>
          </w:p>
        </w:tc>
        <w:tc>
          <w:tcPr>
            <w:tcW w:w="568" w:type="dxa"/>
            <w:shd w:val="clear" w:color="auto" w:fill="FFFFFF"/>
            <w:vAlign w:val="center"/>
          </w:tcPr>
          <w:p w14:paraId="7993E91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-.039</w:t>
            </w:r>
          </w:p>
        </w:tc>
        <w:tc>
          <w:tcPr>
            <w:tcW w:w="568" w:type="dxa"/>
            <w:shd w:val="clear" w:color="auto" w:fill="FFFFFF"/>
            <w:vAlign w:val="center"/>
          </w:tcPr>
          <w:p w14:paraId="3A61317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.098</w:t>
            </w:r>
          </w:p>
        </w:tc>
        <w:tc>
          <w:tcPr>
            <w:tcW w:w="578" w:type="dxa"/>
            <w:shd w:val="clear" w:color="auto" w:fill="FFFFFF"/>
            <w:vAlign w:val="center"/>
          </w:tcPr>
          <w:p w14:paraId="3DB307C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.052</w:t>
            </w:r>
          </w:p>
        </w:tc>
      </w:tr>
      <w:tr w:rsidR="003F2E2C" w:rsidRPr="003F2E2C" w14:paraId="49ABD584" w14:textId="77777777" w:rsidTr="0013597C">
        <w:trPr>
          <w:cantSplit/>
          <w:trHeight w:val="129"/>
        </w:trPr>
        <w:tc>
          <w:tcPr>
            <w:tcW w:w="6151" w:type="dxa"/>
            <w:shd w:val="clear" w:color="auto" w:fill="FFFFFF"/>
            <w:vAlign w:val="center"/>
          </w:tcPr>
          <w:p w14:paraId="2AE64AB3" w14:textId="77777777" w:rsidR="00917896" w:rsidRPr="003F2E2C" w:rsidRDefault="00917896" w:rsidP="00917896">
            <w:pPr>
              <w:tabs>
                <w:tab w:val="left" w:pos="2204"/>
              </w:tabs>
              <w:spacing w:after="0" w:line="240" w:lineRule="auto"/>
              <w:rPr>
                <w:rFonts w:ascii="Times New Roman" w:eastAsia="Calibri" w:hAnsi="Times New Roman" w:cs="Times New Roman"/>
                <w:i/>
                <w:sz w:val="20"/>
                <w:szCs w:val="20"/>
              </w:rPr>
            </w:pPr>
            <w:r w:rsidRPr="003F2E2C">
              <w:rPr>
                <w:rFonts w:ascii="Times New Roman" w:eastAsia="Calibri" w:hAnsi="Times New Roman" w:cs="Times New Roman"/>
                <w:i/>
                <w:sz w:val="20"/>
                <w:szCs w:val="20"/>
              </w:rPr>
              <w:t>Volition (1=strongly disagree; 5=strongly agree) [CA= .812]</w:t>
            </w:r>
          </w:p>
        </w:tc>
        <w:tc>
          <w:tcPr>
            <w:tcW w:w="716" w:type="dxa"/>
            <w:shd w:val="clear" w:color="auto" w:fill="FFFFFF"/>
            <w:vAlign w:val="center"/>
          </w:tcPr>
          <w:p w14:paraId="5FCC7D42"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711" w:type="dxa"/>
            <w:shd w:val="clear" w:color="auto" w:fill="FFFFFF"/>
            <w:vAlign w:val="center"/>
          </w:tcPr>
          <w:p w14:paraId="42EE2AB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shd w:val="clear" w:color="auto" w:fill="FFFFFF"/>
            <w:vAlign w:val="center"/>
          </w:tcPr>
          <w:p w14:paraId="45E96AD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shd w:val="clear" w:color="auto" w:fill="FFFFFF"/>
            <w:vAlign w:val="center"/>
          </w:tcPr>
          <w:p w14:paraId="26B5D64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78" w:type="dxa"/>
            <w:shd w:val="clear" w:color="auto" w:fill="FFFFFF"/>
            <w:vAlign w:val="center"/>
          </w:tcPr>
          <w:p w14:paraId="28EA903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i/>
                <w:sz w:val="20"/>
                <w:szCs w:val="20"/>
              </w:rPr>
            </w:pPr>
          </w:p>
        </w:tc>
      </w:tr>
      <w:tr w:rsidR="003F2E2C" w:rsidRPr="003F2E2C" w14:paraId="04F4D0F3" w14:textId="77777777" w:rsidTr="0013597C">
        <w:trPr>
          <w:cantSplit/>
          <w:trHeight w:val="129"/>
        </w:trPr>
        <w:tc>
          <w:tcPr>
            <w:tcW w:w="6151" w:type="dxa"/>
            <w:shd w:val="clear" w:color="auto" w:fill="FFFFFF"/>
            <w:vAlign w:val="center"/>
          </w:tcPr>
          <w:p w14:paraId="602AF7A0" w14:textId="77777777" w:rsidR="00917896" w:rsidRPr="003F2E2C" w:rsidRDefault="00917896" w:rsidP="00917896">
            <w:pPr>
              <w:numPr>
                <w:ilvl w:val="0"/>
                <w:numId w:val="6"/>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I personally chose to read accounting</w:t>
            </w:r>
          </w:p>
        </w:tc>
        <w:tc>
          <w:tcPr>
            <w:tcW w:w="716" w:type="dxa"/>
            <w:shd w:val="clear" w:color="auto" w:fill="FFFFFF"/>
            <w:vAlign w:val="center"/>
          </w:tcPr>
          <w:p w14:paraId="6B6AAAA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.225</w:t>
            </w:r>
          </w:p>
        </w:tc>
        <w:tc>
          <w:tcPr>
            <w:tcW w:w="711" w:type="dxa"/>
            <w:shd w:val="clear" w:color="auto" w:fill="FFFFFF"/>
            <w:vAlign w:val="center"/>
          </w:tcPr>
          <w:p w14:paraId="7622FB8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.176</w:t>
            </w:r>
          </w:p>
        </w:tc>
        <w:tc>
          <w:tcPr>
            <w:tcW w:w="568" w:type="dxa"/>
            <w:shd w:val="clear" w:color="auto" w:fill="FFFFFF"/>
            <w:vAlign w:val="center"/>
          </w:tcPr>
          <w:p w14:paraId="3719335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.775</w:t>
            </w:r>
          </w:p>
        </w:tc>
        <w:tc>
          <w:tcPr>
            <w:tcW w:w="568" w:type="dxa"/>
            <w:shd w:val="clear" w:color="auto" w:fill="FFFFFF"/>
            <w:vAlign w:val="center"/>
          </w:tcPr>
          <w:p w14:paraId="5CD3E985"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.296</w:t>
            </w:r>
          </w:p>
        </w:tc>
        <w:tc>
          <w:tcPr>
            <w:tcW w:w="578" w:type="dxa"/>
            <w:shd w:val="clear" w:color="auto" w:fill="FFFFFF"/>
            <w:vAlign w:val="center"/>
          </w:tcPr>
          <w:p w14:paraId="48B28DC0"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.084</w:t>
            </w:r>
          </w:p>
        </w:tc>
      </w:tr>
      <w:tr w:rsidR="003F2E2C" w:rsidRPr="003F2E2C" w14:paraId="6544D3DB" w14:textId="77777777" w:rsidTr="0013597C">
        <w:trPr>
          <w:cantSplit/>
          <w:trHeight w:val="247"/>
        </w:trPr>
        <w:tc>
          <w:tcPr>
            <w:tcW w:w="6151" w:type="dxa"/>
            <w:shd w:val="clear" w:color="auto" w:fill="FFFFFF"/>
            <w:vAlign w:val="center"/>
          </w:tcPr>
          <w:p w14:paraId="3F00B7B8" w14:textId="77777777" w:rsidR="00917896" w:rsidRPr="003F2E2C" w:rsidRDefault="00917896" w:rsidP="00917896">
            <w:pPr>
              <w:numPr>
                <w:ilvl w:val="0"/>
                <w:numId w:val="6"/>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Left to me alone, I’d have preferred to read other programmes other than accounting</w:t>
            </w:r>
            <w:r w:rsidRPr="003F2E2C">
              <w:rPr>
                <w:rFonts w:ascii="Times New Roman" w:eastAsia="Calibri" w:hAnsi="Times New Roman" w:cs="Times New Roman"/>
                <w:sz w:val="20"/>
                <w:szCs w:val="20"/>
                <w:vertAlign w:val="superscript"/>
              </w:rPr>
              <w:t>1</w:t>
            </w:r>
          </w:p>
        </w:tc>
        <w:tc>
          <w:tcPr>
            <w:tcW w:w="716" w:type="dxa"/>
            <w:shd w:val="clear" w:color="auto" w:fill="FFFFFF"/>
            <w:vAlign w:val="center"/>
          </w:tcPr>
          <w:p w14:paraId="1994E59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.192</w:t>
            </w:r>
          </w:p>
        </w:tc>
        <w:tc>
          <w:tcPr>
            <w:tcW w:w="711" w:type="dxa"/>
            <w:shd w:val="clear" w:color="auto" w:fill="FFFFFF"/>
            <w:vAlign w:val="center"/>
          </w:tcPr>
          <w:p w14:paraId="003879D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.031</w:t>
            </w:r>
          </w:p>
        </w:tc>
        <w:tc>
          <w:tcPr>
            <w:tcW w:w="568" w:type="dxa"/>
            <w:shd w:val="clear" w:color="auto" w:fill="FFFFFF"/>
            <w:vAlign w:val="center"/>
          </w:tcPr>
          <w:p w14:paraId="11A8135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.795</w:t>
            </w:r>
          </w:p>
        </w:tc>
        <w:tc>
          <w:tcPr>
            <w:tcW w:w="568" w:type="dxa"/>
            <w:shd w:val="clear" w:color="auto" w:fill="FFFFFF"/>
            <w:vAlign w:val="center"/>
          </w:tcPr>
          <w:p w14:paraId="77FAB45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.185</w:t>
            </w:r>
          </w:p>
        </w:tc>
        <w:tc>
          <w:tcPr>
            <w:tcW w:w="578" w:type="dxa"/>
            <w:shd w:val="clear" w:color="auto" w:fill="FFFFFF"/>
            <w:vAlign w:val="center"/>
          </w:tcPr>
          <w:p w14:paraId="67E55D9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.197</w:t>
            </w:r>
          </w:p>
        </w:tc>
      </w:tr>
      <w:tr w:rsidR="003F2E2C" w:rsidRPr="003F2E2C" w14:paraId="363D490F" w14:textId="77777777" w:rsidTr="0013597C">
        <w:trPr>
          <w:cantSplit/>
          <w:trHeight w:val="247"/>
        </w:trPr>
        <w:tc>
          <w:tcPr>
            <w:tcW w:w="6151" w:type="dxa"/>
            <w:shd w:val="clear" w:color="auto" w:fill="FFFFFF"/>
            <w:vAlign w:val="center"/>
          </w:tcPr>
          <w:p w14:paraId="1C805C84" w14:textId="77777777" w:rsidR="00917896" w:rsidRPr="003F2E2C" w:rsidRDefault="00917896" w:rsidP="00917896">
            <w:pPr>
              <w:numPr>
                <w:ilvl w:val="0"/>
                <w:numId w:val="6"/>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The people around (e.g. parents, friends) influenced me to read accounting</w:t>
            </w:r>
            <w:r w:rsidRPr="003F2E2C">
              <w:rPr>
                <w:rFonts w:ascii="Times New Roman" w:eastAsia="Calibri" w:hAnsi="Times New Roman" w:cs="Times New Roman"/>
                <w:sz w:val="20"/>
                <w:szCs w:val="20"/>
                <w:vertAlign w:val="superscript"/>
              </w:rPr>
              <w:t>1</w:t>
            </w:r>
          </w:p>
        </w:tc>
        <w:tc>
          <w:tcPr>
            <w:tcW w:w="716" w:type="dxa"/>
            <w:tcBorders>
              <w:bottom w:val="nil"/>
            </w:tcBorders>
            <w:shd w:val="clear" w:color="auto" w:fill="FFFFFF"/>
            <w:vAlign w:val="center"/>
          </w:tcPr>
          <w:p w14:paraId="0369F34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.070</w:t>
            </w:r>
          </w:p>
        </w:tc>
        <w:tc>
          <w:tcPr>
            <w:tcW w:w="711" w:type="dxa"/>
            <w:tcBorders>
              <w:bottom w:val="nil"/>
            </w:tcBorders>
            <w:shd w:val="clear" w:color="auto" w:fill="FFFFFF"/>
            <w:vAlign w:val="center"/>
          </w:tcPr>
          <w:p w14:paraId="12A6643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-.035</w:t>
            </w:r>
          </w:p>
        </w:tc>
        <w:tc>
          <w:tcPr>
            <w:tcW w:w="568" w:type="dxa"/>
            <w:tcBorders>
              <w:bottom w:val="nil"/>
            </w:tcBorders>
            <w:shd w:val="clear" w:color="auto" w:fill="FFFFFF"/>
            <w:vAlign w:val="center"/>
          </w:tcPr>
          <w:p w14:paraId="145ED2F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.849</w:t>
            </w:r>
          </w:p>
        </w:tc>
        <w:tc>
          <w:tcPr>
            <w:tcW w:w="568" w:type="dxa"/>
            <w:tcBorders>
              <w:bottom w:val="nil"/>
            </w:tcBorders>
            <w:shd w:val="clear" w:color="auto" w:fill="FFFFFF"/>
            <w:vAlign w:val="center"/>
          </w:tcPr>
          <w:p w14:paraId="14D030C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.013</w:t>
            </w:r>
          </w:p>
        </w:tc>
        <w:tc>
          <w:tcPr>
            <w:tcW w:w="578" w:type="dxa"/>
            <w:tcBorders>
              <w:bottom w:val="nil"/>
            </w:tcBorders>
            <w:shd w:val="clear" w:color="auto" w:fill="FFFFFF"/>
            <w:vAlign w:val="center"/>
          </w:tcPr>
          <w:p w14:paraId="11EC6DC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.089</w:t>
            </w:r>
          </w:p>
        </w:tc>
      </w:tr>
      <w:tr w:rsidR="003F2E2C" w:rsidRPr="003F2E2C" w14:paraId="0FEDE5A5" w14:textId="77777777" w:rsidTr="0013597C">
        <w:trPr>
          <w:cantSplit/>
          <w:trHeight w:val="129"/>
        </w:trPr>
        <w:tc>
          <w:tcPr>
            <w:tcW w:w="6151" w:type="dxa"/>
            <w:shd w:val="clear" w:color="auto" w:fill="FFFFFF"/>
          </w:tcPr>
          <w:p w14:paraId="68289A64"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i/>
                <w:sz w:val="20"/>
                <w:szCs w:val="20"/>
              </w:rPr>
            </w:pPr>
            <w:r w:rsidRPr="003F2E2C">
              <w:rPr>
                <w:rFonts w:ascii="Times New Roman" w:eastAsia="Calibri" w:hAnsi="Times New Roman" w:cs="Times New Roman"/>
                <w:i/>
                <w:sz w:val="20"/>
                <w:szCs w:val="20"/>
              </w:rPr>
              <w:t>Academic Interest (1=not at all; 5=to a largest extent) [CA= .778]</w:t>
            </w:r>
          </w:p>
        </w:tc>
        <w:tc>
          <w:tcPr>
            <w:tcW w:w="716" w:type="dxa"/>
            <w:tcBorders>
              <w:top w:val="nil"/>
              <w:bottom w:val="nil"/>
            </w:tcBorders>
            <w:shd w:val="clear" w:color="auto" w:fill="FFFFFF"/>
          </w:tcPr>
          <w:p w14:paraId="78B7D54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711" w:type="dxa"/>
            <w:tcBorders>
              <w:top w:val="nil"/>
              <w:bottom w:val="nil"/>
            </w:tcBorders>
            <w:shd w:val="clear" w:color="auto" w:fill="FFFFFF"/>
          </w:tcPr>
          <w:p w14:paraId="3F7DF4A9"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tcBorders>
              <w:top w:val="nil"/>
              <w:bottom w:val="nil"/>
            </w:tcBorders>
            <w:shd w:val="clear" w:color="auto" w:fill="FFFFFF"/>
          </w:tcPr>
          <w:p w14:paraId="5E1FD89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tcBorders>
              <w:top w:val="nil"/>
              <w:bottom w:val="nil"/>
            </w:tcBorders>
            <w:shd w:val="clear" w:color="auto" w:fill="FFFFFF"/>
          </w:tcPr>
          <w:p w14:paraId="06C46FC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78" w:type="dxa"/>
            <w:tcBorders>
              <w:top w:val="nil"/>
              <w:bottom w:val="nil"/>
            </w:tcBorders>
            <w:shd w:val="clear" w:color="auto" w:fill="FFFFFF"/>
          </w:tcPr>
          <w:p w14:paraId="3901AA45"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r>
      <w:tr w:rsidR="003F2E2C" w:rsidRPr="003F2E2C" w14:paraId="4C94230C" w14:textId="77777777" w:rsidTr="0013597C">
        <w:trPr>
          <w:cantSplit/>
          <w:trHeight w:val="122"/>
        </w:trPr>
        <w:tc>
          <w:tcPr>
            <w:tcW w:w="6151" w:type="dxa"/>
            <w:shd w:val="clear" w:color="auto" w:fill="FFFFFF"/>
            <w:vAlign w:val="center"/>
          </w:tcPr>
          <w:p w14:paraId="348FB6D8" w14:textId="77777777" w:rsidR="00917896" w:rsidRPr="003F2E2C" w:rsidRDefault="00917896" w:rsidP="00917896">
            <w:pPr>
              <w:numPr>
                <w:ilvl w:val="0"/>
                <w:numId w:val="5"/>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When growing up, I’ve always wanted to read accounting </w:t>
            </w:r>
          </w:p>
        </w:tc>
        <w:tc>
          <w:tcPr>
            <w:tcW w:w="716" w:type="dxa"/>
            <w:tcBorders>
              <w:top w:val="nil"/>
            </w:tcBorders>
            <w:shd w:val="clear" w:color="auto" w:fill="FFFFFF"/>
            <w:vAlign w:val="center"/>
          </w:tcPr>
          <w:p w14:paraId="0866566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.256</w:t>
            </w:r>
          </w:p>
        </w:tc>
        <w:tc>
          <w:tcPr>
            <w:tcW w:w="711" w:type="dxa"/>
            <w:tcBorders>
              <w:top w:val="nil"/>
            </w:tcBorders>
            <w:shd w:val="clear" w:color="auto" w:fill="FFFFFF"/>
            <w:vAlign w:val="center"/>
          </w:tcPr>
          <w:p w14:paraId="590CC63E"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.029</w:t>
            </w:r>
          </w:p>
        </w:tc>
        <w:tc>
          <w:tcPr>
            <w:tcW w:w="568" w:type="dxa"/>
            <w:tcBorders>
              <w:top w:val="nil"/>
            </w:tcBorders>
            <w:shd w:val="clear" w:color="auto" w:fill="FFFFFF"/>
            <w:vAlign w:val="center"/>
          </w:tcPr>
          <w:p w14:paraId="5A1E0DC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.038</w:t>
            </w:r>
          </w:p>
        </w:tc>
        <w:tc>
          <w:tcPr>
            <w:tcW w:w="568" w:type="dxa"/>
            <w:tcBorders>
              <w:top w:val="nil"/>
            </w:tcBorders>
            <w:shd w:val="clear" w:color="auto" w:fill="FFFFFF"/>
            <w:vAlign w:val="center"/>
          </w:tcPr>
          <w:p w14:paraId="4E03F35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.042</w:t>
            </w:r>
          </w:p>
        </w:tc>
        <w:tc>
          <w:tcPr>
            <w:tcW w:w="578" w:type="dxa"/>
            <w:tcBorders>
              <w:top w:val="nil"/>
            </w:tcBorders>
            <w:shd w:val="clear" w:color="auto" w:fill="FFFFFF"/>
            <w:vAlign w:val="center"/>
          </w:tcPr>
          <w:p w14:paraId="089B659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.837</w:t>
            </w:r>
          </w:p>
        </w:tc>
      </w:tr>
      <w:tr w:rsidR="003F2E2C" w:rsidRPr="003F2E2C" w14:paraId="6962E49B" w14:textId="77777777" w:rsidTr="0013597C">
        <w:trPr>
          <w:cantSplit/>
          <w:trHeight w:val="129"/>
        </w:trPr>
        <w:tc>
          <w:tcPr>
            <w:tcW w:w="6151" w:type="dxa"/>
            <w:shd w:val="clear" w:color="auto" w:fill="FFFFFF"/>
            <w:vAlign w:val="center"/>
          </w:tcPr>
          <w:p w14:paraId="6A11661D" w14:textId="77777777" w:rsidR="00917896" w:rsidRPr="003F2E2C" w:rsidRDefault="00917896" w:rsidP="00917896">
            <w:pPr>
              <w:numPr>
                <w:ilvl w:val="0"/>
                <w:numId w:val="5"/>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Personally, I do not have interest in reading accounting</w:t>
            </w:r>
            <w:r w:rsidRPr="003F2E2C">
              <w:rPr>
                <w:rFonts w:ascii="Times New Roman" w:eastAsia="Calibri" w:hAnsi="Times New Roman" w:cs="Times New Roman"/>
                <w:sz w:val="20"/>
                <w:szCs w:val="20"/>
                <w:vertAlign w:val="superscript"/>
              </w:rPr>
              <w:t>1</w:t>
            </w:r>
            <w:r w:rsidRPr="003F2E2C">
              <w:rPr>
                <w:rFonts w:ascii="Times New Roman" w:eastAsia="Calibri" w:hAnsi="Times New Roman" w:cs="Times New Roman"/>
                <w:sz w:val="20"/>
                <w:szCs w:val="20"/>
              </w:rPr>
              <w:t xml:space="preserve"> </w:t>
            </w:r>
          </w:p>
        </w:tc>
        <w:tc>
          <w:tcPr>
            <w:tcW w:w="716" w:type="dxa"/>
            <w:shd w:val="clear" w:color="auto" w:fill="FFFFFF"/>
            <w:vAlign w:val="center"/>
          </w:tcPr>
          <w:p w14:paraId="38874FC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.318</w:t>
            </w:r>
          </w:p>
        </w:tc>
        <w:tc>
          <w:tcPr>
            <w:tcW w:w="711" w:type="dxa"/>
            <w:shd w:val="clear" w:color="auto" w:fill="FFFFFF"/>
            <w:vAlign w:val="center"/>
          </w:tcPr>
          <w:p w14:paraId="3A0D99E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.142</w:t>
            </w:r>
          </w:p>
        </w:tc>
        <w:tc>
          <w:tcPr>
            <w:tcW w:w="568" w:type="dxa"/>
            <w:shd w:val="clear" w:color="auto" w:fill="FFFFFF"/>
            <w:vAlign w:val="center"/>
          </w:tcPr>
          <w:p w14:paraId="36D62DB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.262</w:t>
            </w:r>
          </w:p>
        </w:tc>
        <w:tc>
          <w:tcPr>
            <w:tcW w:w="568" w:type="dxa"/>
            <w:shd w:val="clear" w:color="auto" w:fill="FFFFFF"/>
            <w:vAlign w:val="center"/>
          </w:tcPr>
          <w:p w14:paraId="51A5073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.239</w:t>
            </w:r>
          </w:p>
        </w:tc>
        <w:tc>
          <w:tcPr>
            <w:tcW w:w="578" w:type="dxa"/>
            <w:shd w:val="clear" w:color="auto" w:fill="FFFFFF"/>
            <w:vAlign w:val="center"/>
          </w:tcPr>
          <w:p w14:paraId="4313CB1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.602</w:t>
            </w:r>
          </w:p>
        </w:tc>
      </w:tr>
      <w:tr w:rsidR="003F2E2C" w:rsidRPr="003F2E2C" w14:paraId="29FBA71C" w14:textId="77777777" w:rsidTr="0013597C">
        <w:trPr>
          <w:cantSplit/>
          <w:trHeight w:val="129"/>
        </w:trPr>
        <w:tc>
          <w:tcPr>
            <w:tcW w:w="6151" w:type="dxa"/>
            <w:shd w:val="clear" w:color="auto" w:fill="FFFFFF"/>
            <w:vAlign w:val="center"/>
          </w:tcPr>
          <w:p w14:paraId="11E8F171" w14:textId="77777777" w:rsidR="00917896" w:rsidRPr="003F2E2C" w:rsidRDefault="00917896" w:rsidP="00917896">
            <w:pPr>
              <w:numPr>
                <w:ilvl w:val="0"/>
                <w:numId w:val="5"/>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Personally, I’ve always never enjoyed reading accounting</w:t>
            </w:r>
            <w:r w:rsidRPr="003F2E2C">
              <w:rPr>
                <w:rFonts w:ascii="Times New Roman" w:eastAsia="Calibri" w:hAnsi="Times New Roman" w:cs="Times New Roman"/>
                <w:sz w:val="20"/>
                <w:szCs w:val="20"/>
                <w:vertAlign w:val="superscript"/>
              </w:rPr>
              <w:t>1</w:t>
            </w:r>
            <w:r w:rsidRPr="003F2E2C">
              <w:rPr>
                <w:rFonts w:ascii="Times New Roman" w:eastAsia="Calibri" w:hAnsi="Times New Roman" w:cs="Times New Roman"/>
                <w:sz w:val="20"/>
                <w:szCs w:val="20"/>
              </w:rPr>
              <w:t xml:space="preserve"> </w:t>
            </w:r>
          </w:p>
        </w:tc>
        <w:tc>
          <w:tcPr>
            <w:tcW w:w="716" w:type="dxa"/>
            <w:shd w:val="clear" w:color="auto" w:fill="FFFFFF"/>
            <w:vAlign w:val="center"/>
          </w:tcPr>
          <w:p w14:paraId="30833B7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.118</w:t>
            </w:r>
          </w:p>
        </w:tc>
        <w:tc>
          <w:tcPr>
            <w:tcW w:w="711" w:type="dxa"/>
            <w:shd w:val="clear" w:color="auto" w:fill="FFFFFF"/>
            <w:vAlign w:val="center"/>
          </w:tcPr>
          <w:p w14:paraId="358C2B2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.057</w:t>
            </w:r>
          </w:p>
        </w:tc>
        <w:tc>
          <w:tcPr>
            <w:tcW w:w="568" w:type="dxa"/>
            <w:shd w:val="clear" w:color="auto" w:fill="FFFFFF"/>
            <w:vAlign w:val="center"/>
          </w:tcPr>
          <w:p w14:paraId="5D604D7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.154</w:t>
            </w:r>
          </w:p>
        </w:tc>
        <w:tc>
          <w:tcPr>
            <w:tcW w:w="568" w:type="dxa"/>
            <w:shd w:val="clear" w:color="auto" w:fill="FFFFFF"/>
            <w:vAlign w:val="center"/>
          </w:tcPr>
          <w:p w14:paraId="5289717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.053</w:t>
            </w:r>
          </w:p>
        </w:tc>
        <w:tc>
          <w:tcPr>
            <w:tcW w:w="578" w:type="dxa"/>
            <w:shd w:val="clear" w:color="auto" w:fill="FFFFFF"/>
            <w:vAlign w:val="center"/>
          </w:tcPr>
          <w:p w14:paraId="7DD3309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.871</w:t>
            </w:r>
          </w:p>
        </w:tc>
      </w:tr>
      <w:tr w:rsidR="003F2E2C" w:rsidRPr="003F2E2C" w14:paraId="65E0D385" w14:textId="77777777" w:rsidTr="0013597C">
        <w:trPr>
          <w:cantSplit/>
          <w:trHeight w:val="129"/>
        </w:trPr>
        <w:tc>
          <w:tcPr>
            <w:tcW w:w="6151" w:type="dxa"/>
            <w:shd w:val="clear" w:color="auto" w:fill="FFFFFF"/>
            <w:vAlign w:val="center"/>
          </w:tcPr>
          <w:p w14:paraId="3646B510" w14:textId="77777777" w:rsidR="00917896" w:rsidRPr="003F2E2C" w:rsidRDefault="00917896" w:rsidP="00917896">
            <w:pPr>
              <w:tabs>
                <w:tab w:val="left" w:pos="2204"/>
              </w:tabs>
              <w:spacing w:after="0" w:line="240" w:lineRule="auto"/>
              <w:rPr>
                <w:rFonts w:ascii="Times New Roman" w:eastAsia="Calibri" w:hAnsi="Times New Roman" w:cs="Times New Roman"/>
                <w:i/>
                <w:sz w:val="20"/>
                <w:szCs w:val="20"/>
              </w:rPr>
            </w:pPr>
            <w:r w:rsidRPr="003F2E2C">
              <w:rPr>
                <w:rFonts w:ascii="Times New Roman" w:eastAsia="Calibri" w:hAnsi="Times New Roman" w:cs="Times New Roman"/>
                <w:i/>
                <w:sz w:val="20"/>
                <w:szCs w:val="20"/>
              </w:rPr>
              <w:t>Learning Attitude (1=strongly disagree; 5=strongly disagree) [CA= .736]</w:t>
            </w:r>
          </w:p>
        </w:tc>
        <w:tc>
          <w:tcPr>
            <w:tcW w:w="716" w:type="dxa"/>
            <w:shd w:val="clear" w:color="auto" w:fill="FFFFFF"/>
            <w:vAlign w:val="center"/>
          </w:tcPr>
          <w:p w14:paraId="519D0320"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711" w:type="dxa"/>
            <w:shd w:val="clear" w:color="auto" w:fill="FFFFFF"/>
            <w:vAlign w:val="center"/>
          </w:tcPr>
          <w:p w14:paraId="0F8DB41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shd w:val="clear" w:color="auto" w:fill="FFFFFF"/>
            <w:vAlign w:val="center"/>
          </w:tcPr>
          <w:p w14:paraId="4A42016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i/>
                <w:sz w:val="20"/>
                <w:szCs w:val="20"/>
              </w:rPr>
            </w:pPr>
          </w:p>
        </w:tc>
        <w:tc>
          <w:tcPr>
            <w:tcW w:w="568" w:type="dxa"/>
            <w:shd w:val="clear" w:color="auto" w:fill="FFFFFF"/>
            <w:vAlign w:val="center"/>
          </w:tcPr>
          <w:p w14:paraId="613C0D8D"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78" w:type="dxa"/>
            <w:shd w:val="clear" w:color="auto" w:fill="FFFFFF"/>
            <w:vAlign w:val="center"/>
          </w:tcPr>
          <w:p w14:paraId="57E0CB3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r>
      <w:tr w:rsidR="003F2E2C" w:rsidRPr="003F2E2C" w14:paraId="429BB963" w14:textId="77777777" w:rsidTr="0013597C">
        <w:trPr>
          <w:cantSplit/>
          <w:trHeight w:val="254"/>
        </w:trPr>
        <w:tc>
          <w:tcPr>
            <w:tcW w:w="6151" w:type="dxa"/>
            <w:shd w:val="clear" w:color="auto" w:fill="FFFFFF"/>
            <w:vAlign w:val="center"/>
          </w:tcPr>
          <w:p w14:paraId="7D1F8DA6" w14:textId="77777777" w:rsidR="00917896" w:rsidRPr="003F2E2C" w:rsidRDefault="00917896" w:rsidP="00917896">
            <w:pPr>
              <w:numPr>
                <w:ilvl w:val="0"/>
                <w:numId w:val="9"/>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I spend a lot of time reading accounting materials (e.g. books)</w:t>
            </w:r>
          </w:p>
        </w:tc>
        <w:tc>
          <w:tcPr>
            <w:tcW w:w="716" w:type="dxa"/>
            <w:shd w:val="clear" w:color="auto" w:fill="FFFFFF"/>
            <w:vAlign w:val="center"/>
          </w:tcPr>
          <w:p w14:paraId="3E8A0E9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.255</w:t>
            </w:r>
          </w:p>
        </w:tc>
        <w:tc>
          <w:tcPr>
            <w:tcW w:w="711" w:type="dxa"/>
            <w:shd w:val="clear" w:color="auto" w:fill="FFFFFF"/>
            <w:vAlign w:val="center"/>
          </w:tcPr>
          <w:p w14:paraId="515DB4D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.089</w:t>
            </w:r>
          </w:p>
        </w:tc>
        <w:tc>
          <w:tcPr>
            <w:tcW w:w="568" w:type="dxa"/>
            <w:shd w:val="clear" w:color="auto" w:fill="FFFFFF"/>
            <w:vAlign w:val="center"/>
          </w:tcPr>
          <w:p w14:paraId="12F009C8"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.028</w:t>
            </w:r>
          </w:p>
        </w:tc>
        <w:tc>
          <w:tcPr>
            <w:tcW w:w="568" w:type="dxa"/>
            <w:shd w:val="clear" w:color="auto" w:fill="FFFFFF"/>
            <w:vAlign w:val="center"/>
          </w:tcPr>
          <w:p w14:paraId="1DB3F76E"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.799</w:t>
            </w:r>
          </w:p>
        </w:tc>
        <w:tc>
          <w:tcPr>
            <w:tcW w:w="578" w:type="dxa"/>
            <w:shd w:val="clear" w:color="auto" w:fill="FFFFFF"/>
            <w:vAlign w:val="center"/>
          </w:tcPr>
          <w:p w14:paraId="1C27EC2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.015</w:t>
            </w:r>
          </w:p>
        </w:tc>
      </w:tr>
      <w:tr w:rsidR="003F2E2C" w:rsidRPr="003F2E2C" w14:paraId="18DD3195" w14:textId="77777777" w:rsidTr="0013597C">
        <w:trPr>
          <w:cantSplit/>
          <w:trHeight w:val="122"/>
        </w:trPr>
        <w:tc>
          <w:tcPr>
            <w:tcW w:w="6151" w:type="dxa"/>
            <w:shd w:val="clear" w:color="auto" w:fill="FFFFFF"/>
            <w:vAlign w:val="center"/>
          </w:tcPr>
          <w:p w14:paraId="6B23D24B" w14:textId="77777777" w:rsidR="00917896" w:rsidRPr="003F2E2C" w:rsidRDefault="00917896" w:rsidP="00917896">
            <w:pPr>
              <w:numPr>
                <w:ilvl w:val="0"/>
                <w:numId w:val="9"/>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I always want to learn something new in the field of accounting</w:t>
            </w:r>
          </w:p>
        </w:tc>
        <w:tc>
          <w:tcPr>
            <w:tcW w:w="716" w:type="dxa"/>
            <w:shd w:val="clear" w:color="auto" w:fill="FFFFFF"/>
            <w:vAlign w:val="center"/>
          </w:tcPr>
          <w:p w14:paraId="5847847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.197</w:t>
            </w:r>
          </w:p>
        </w:tc>
        <w:tc>
          <w:tcPr>
            <w:tcW w:w="711" w:type="dxa"/>
            <w:shd w:val="clear" w:color="auto" w:fill="FFFFFF"/>
            <w:vAlign w:val="center"/>
          </w:tcPr>
          <w:p w14:paraId="4AB11DB2"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.105</w:t>
            </w:r>
          </w:p>
        </w:tc>
        <w:tc>
          <w:tcPr>
            <w:tcW w:w="568" w:type="dxa"/>
            <w:shd w:val="clear" w:color="auto" w:fill="FFFFFF"/>
            <w:vAlign w:val="center"/>
          </w:tcPr>
          <w:p w14:paraId="07CD216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.197</w:t>
            </w:r>
          </w:p>
        </w:tc>
        <w:tc>
          <w:tcPr>
            <w:tcW w:w="568" w:type="dxa"/>
            <w:shd w:val="clear" w:color="auto" w:fill="FFFFFF"/>
            <w:vAlign w:val="center"/>
          </w:tcPr>
          <w:p w14:paraId="63879AA0"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.788</w:t>
            </w:r>
          </w:p>
        </w:tc>
        <w:tc>
          <w:tcPr>
            <w:tcW w:w="578" w:type="dxa"/>
            <w:shd w:val="clear" w:color="auto" w:fill="FFFFFF"/>
            <w:vAlign w:val="center"/>
          </w:tcPr>
          <w:p w14:paraId="6443D207"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.130</w:t>
            </w:r>
          </w:p>
        </w:tc>
      </w:tr>
      <w:tr w:rsidR="003F2E2C" w:rsidRPr="003F2E2C" w14:paraId="409F0995" w14:textId="77777777" w:rsidTr="0013597C">
        <w:trPr>
          <w:cantSplit/>
          <w:trHeight w:val="247"/>
        </w:trPr>
        <w:tc>
          <w:tcPr>
            <w:tcW w:w="6151" w:type="dxa"/>
            <w:shd w:val="clear" w:color="auto" w:fill="FFFFFF"/>
            <w:vAlign w:val="center"/>
          </w:tcPr>
          <w:p w14:paraId="78C3EF33" w14:textId="77777777" w:rsidR="00917896" w:rsidRPr="003F2E2C" w:rsidRDefault="00917896" w:rsidP="00917896">
            <w:pPr>
              <w:numPr>
                <w:ilvl w:val="0"/>
                <w:numId w:val="9"/>
              </w:numPr>
              <w:tabs>
                <w:tab w:val="left" w:pos="2204"/>
              </w:tabs>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I think any effort made to read accounting materials is worth it</w:t>
            </w:r>
          </w:p>
        </w:tc>
        <w:tc>
          <w:tcPr>
            <w:tcW w:w="716" w:type="dxa"/>
            <w:shd w:val="clear" w:color="auto" w:fill="FFFFFF"/>
            <w:vAlign w:val="center"/>
          </w:tcPr>
          <w:p w14:paraId="0FBC821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.049</w:t>
            </w:r>
          </w:p>
        </w:tc>
        <w:tc>
          <w:tcPr>
            <w:tcW w:w="711" w:type="dxa"/>
            <w:shd w:val="clear" w:color="auto" w:fill="FFFFFF"/>
            <w:vAlign w:val="center"/>
          </w:tcPr>
          <w:p w14:paraId="4DD6C0D5"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.220</w:t>
            </w:r>
          </w:p>
        </w:tc>
        <w:tc>
          <w:tcPr>
            <w:tcW w:w="568" w:type="dxa"/>
            <w:shd w:val="clear" w:color="auto" w:fill="FFFFFF"/>
            <w:vAlign w:val="center"/>
          </w:tcPr>
          <w:p w14:paraId="42B0927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.188</w:t>
            </w:r>
          </w:p>
        </w:tc>
        <w:tc>
          <w:tcPr>
            <w:tcW w:w="568" w:type="dxa"/>
            <w:shd w:val="clear" w:color="auto" w:fill="FFFFFF"/>
            <w:vAlign w:val="center"/>
          </w:tcPr>
          <w:p w14:paraId="0AF0502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.693</w:t>
            </w:r>
          </w:p>
        </w:tc>
        <w:tc>
          <w:tcPr>
            <w:tcW w:w="578" w:type="dxa"/>
            <w:shd w:val="clear" w:color="auto" w:fill="FFFFFF"/>
            <w:vAlign w:val="center"/>
          </w:tcPr>
          <w:p w14:paraId="403EB47E"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.096</w:t>
            </w:r>
          </w:p>
        </w:tc>
      </w:tr>
      <w:tr w:rsidR="003F2E2C" w:rsidRPr="003F2E2C" w14:paraId="5AAF35C0" w14:textId="77777777" w:rsidTr="0013597C">
        <w:trPr>
          <w:cantSplit/>
          <w:trHeight w:val="254"/>
        </w:trPr>
        <w:tc>
          <w:tcPr>
            <w:tcW w:w="6151" w:type="dxa"/>
            <w:shd w:val="clear" w:color="auto" w:fill="FFFFFF"/>
            <w:vAlign w:val="center"/>
          </w:tcPr>
          <w:p w14:paraId="303F81BB" w14:textId="77777777" w:rsidR="00917896" w:rsidRPr="003F2E2C" w:rsidRDefault="00917896" w:rsidP="00917896">
            <w:pPr>
              <w:spacing w:after="0" w:line="240" w:lineRule="auto"/>
              <w:ind w:left="72"/>
              <w:rPr>
                <w:rFonts w:ascii="Times New Roman" w:eastAsia="Calibri" w:hAnsi="Times New Roman" w:cs="Times New Roman"/>
                <w:i/>
                <w:sz w:val="20"/>
                <w:szCs w:val="20"/>
              </w:rPr>
            </w:pPr>
            <w:r w:rsidRPr="003F2E2C">
              <w:rPr>
                <w:rFonts w:ascii="Times New Roman" w:eastAsia="Calibri" w:hAnsi="Times New Roman" w:cs="Times New Roman"/>
                <w:i/>
                <w:sz w:val="20"/>
                <w:szCs w:val="20"/>
              </w:rPr>
              <w:t xml:space="preserve">Performance (1=extremely dissatisfied; 7=extremely satisfied) [CA=   </w:t>
            </w:r>
          </w:p>
          <w:p w14:paraId="0F60AC4B" w14:textId="77777777" w:rsidR="00917896" w:rsidRPr="003F2E2C" w:rsidRDefault="00917896" w:rsidP="00917896">
            <w:pPr>
              <w:spacing w:after="0" w:line="240" w:lineRule="auto"/>
              <w:ind w:left="72"/>
              <w:rPr>
                <w:rFonts w:ascii="Times New Roman" w:eastAsia="Calibri" w:hAnsi="Times New Roman" w:cs="Times New Roman"/>
                <w:i/>
                <w:sz w:val="20"/>
                <w:szCs w:val="20"/>
              </w:rPr>
            </w:pPr>
            <w:r w:rsidRPr="003F2E2C">
              <w:rPr>
                <w:rFonts w:ascii="Times New Roman" w:eastAsia="Calibri" w:hAnsi="Times New Roman" w:cs="Times New Roman"/>
                <w:i/>
                <w:sz w:val="20"/>
                <w:szCs w:val="20"/>
              </w:rPr>
              <w:t xml:space="preserve">       .905]</w:t>
            </w:r>
          </w:p>
        </w:tc>
        <w:tc>
          <w:tcPr>
            <w:tcW w:w="716" w:type="dxa"/>
            <w:shd w:val="clear" w:color="auto" w:fill="FFFFFF"/>
            <w:vAlign w:val="center"/>
          </w:tcPr>
          <w:p w14:paraId="0ABE660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711" w:type="dxa"/>
            <w:shd w:val="clear" w:color="auto" w:fill="FFFFFF"/>
            <w:vAlign w:val="center"/>
          </w:tcPr>
          <w:p w14:paraId="455DF26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i/>
                <w:sz w:val="20"/>
                <w:szCs w:val="20"/>
              </w:rPr>
            </w:pPr>
          </w:p>
        </w:tc>
        <w:tc>
          <w:tcPr>
            <w:tcW w:w="568" w:type="dxa"/>
            <w:shd w:val="clear" w:color="auto" w:fill="FFFFFF"/>
            <w:vAlign w:val="center"/>
          </w:tcPr>
          <w:p w14:paraId="4028AED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68" w:type="dxa"/>
            <w:shd w:val="clear" w:color="auto" w:fill="FFFFFF"/>
            <w:vAlign w:val="center"/>
          </w:tcPr>
          <w:p w14:paraId="73C9012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c>
          <w:tcPr>
            <w:tcW w:w="578" w:type="dxa"/>
            <w:shd w:val="clear" w:color="auto" w:fill="FFFFFF"/>
            <w:vAlign w:val="center"/>
          </w:tcPr>
          <w:p w14:paraId="013EA0E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i/>
                <w:sz w:val="20"/>
                <w:szCs w:val="20"/>
              </w:rPr>
            </w:pPr>
          </w:p>
        </w:tc>
      </w:tr>
      <w:tr w:rsidR="003F2E2C" w:rsidRPr="003F2E2C" w14:paraId="2E32F396" w14:textId="77777777" w:rsidTr="0013597C">
        <w:trPr>
          <w:cantSplit/>
          <w:trHeight w:val="129"/>
        </w:trPr>
        <w:tc>
          <w:tcPr>
            <w:tcW w:w="6151" w:type="dxa"/>
            <w:shd w:val="clear" w:color="auto" w:fill="FFFFFF"/>
            <w:vAlign w:val="center"/>
          </w:tcPr>
          <w:p w14:paraId="0EADE850" w14:textId="77777777" w:rsidR="00917896" w:rsidRPr="003F2E2C" w:rsidRDefault="00917896" w:rsidP="00917896">
            <w:pPr>
              <w:numPr>
                <w:ilvl w:val="0"/>
                <w:numId w:val="7"/>
              </w:numPr>
              <w:autoSpaceDE w:val="0"/>
              <w:autoSpaceDN w:val="0"/>
              <w:adjustRightInd w:val="0"/>
              <w:spacing w:before="100" w:beforeAutospacing="1" w:after="0" w:afterAutospacing="1" w:line="240" w:lineRule="auto"/>
              <w:ind w:left="446"/>
              <w:contextualSpacing/>
              <w:jc w:val="both"/>
              <w:rPr>
                <w:rFonts w:ascii="Times New Roman" w:eastAsia="Calibri" w:hAnsi="Times New Roman" w:cs="Times New Roman"/>
                <w:sz w:val="20"/>
                <w:szCs w:val="20"/>
                <w:lang w:val="en-US"/>
              </w:rPr>
            </w:pPr>
            <w:r w:rsidRPr="003F2E2C">
              <w:rPr>
                <w:rFonts w:ascii="Times New Roman" w:eastAsia="Calibri" w:hAnsi="Times New Roman" w:cs="Times New Roman"/>
                <w:sz w:val="20"/>
                <w:szCs w:val="20"/>
                <w:lang w:val="en-US"/>
              </w:rPr>
              <w:t>Performance in accounting in relation to that of courses/subjects</w:t>
            </w:r>
          </w:p>
        </w:tc>
        <w:tc>
          <w:tcPr>
            <w:tcW w:w="716" w:type="dxa"/>
            <w:shd w:val="clear" w:color="auto" w:fill="FFFFFF"/>
            <w:vAlign w:val="center"/>
          </w:tcPr>
          <w:p w14:paraId="40B5F0A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.769</w:t>
            </w:r>
          </w:p>
        </w:tc>
        <w:tc>
          <w:tcPr>
            <w:tcW w:w="711" w:type="dxa"/>
            <w:shd w:val="clear" w:color="auto" w:fill="FFFFFF"/>
            <w:vAlign w:val="center"/>
          </w:tcPr>
          <w:p w14:paraId="1EDEC56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.132</w:t>
            </w:r>
          </w:p>
        </w:tc>
        <w:tc>
          <w:tcPr>
            <w:tcW w:w="568" w:type="dxa"/>
            <w:shd w:val="clear" w:color="auto" w:fill="FFFFFF"/>
            <w:vAlign w:val="center"/>
          </w:tcPr>
          <w:p w14:paraId="634724B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.186</w:t>
            </w:r>
          </w:p>
        </w:tc>
        <w:tc>
          <w:tcPr>
            <w:tcW w:w="568" w:type="dxa"/>
            <w:shd w:val="clear" w:color="auto" w:fill="FFFFFF"/>
            <w:vAlign w:val="center"/>
          </w:tcPr>
          <w:p w14:paraId="3B58010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.204</w:t>
            </w:r>
          </w:p>
        </w:tc>
        <w:tc>
          <w:tcPr>
            <w:tcW w:w="578" w:type="dxa"/>
            <w:shd w:val="clear" w:color="auto" w:fill="FFFFFF"/>
            <w:vAlign w:val="center"/>
          </w:tcPr>
          <w:p w14:paraId="3A2B679E"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.189</w:t>
            </w:r>
          </w:p>
        </w:tc>
      </w:tr>
      <w:tr w:rsidR="003F2E2C" w:rsidRPr="003F2E2C" w14:paraId="0E1CBF45" w14:textId="77777777" w:rsidTr="0013597C">
        <w:trPr>
          <w:cantSplit/>
          <w:trHeight w:val="122"/>
        </w:trPr>
        <w:tc>
          <w:tcPr>
            <w:tcW w:w="6151" w:type="dxa"/>
            <w:shd w:val="clear" w:color="auto" w:fill="FFFFFF"/>
            <w:vAlign w:val="center"/>
          </w:tcPr>
          <w:p w14:paraId="73B79D80" w14:textId="77777777" w:rsidR="00917896" w:rsidRPr="003F2E2C" w:rsidRDefault="00917896" w:rsidP="00917896">
            <w:pPr>
              <w:numPr>
                <w:ilvl w:val="0"/>
                <w:numId w:val="7"/>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Current performance in accounting in relation to previous ones</w:t>
            </w:r>
          </w:p>
        </w:tc>
        <w:tc>
          <w:tcPr>
            <w:tcW w:w="716" w:type="dxa"/>
            <w:shd w:val="clear" w:color="auto" w:fill="FFFFFF"/>
            <w:vAlign w:val="center"/>
          </w:tcPr>
          <w:p w14:paraId="662239CC"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.867</w:t>
            </w:r>
          </w:p>
        </w:tc>
        <w:tc>
          <w:tcPr>
            <w:tcW w:w="711" w:type="dxa"/>
            <w:shd w:val="clear" w:color="auto" w:fill="FFFFFF"/>
            <w:vAlign w:val="center"/>
          </w:tcPr>
          <w:p w14:paraId="4A104284"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.084</w:t>
            </w:r>
          </w:p>
        </w:tc>
        <w:tc>
          <w:tcPr>
            <w:tcW w:w="568" w:type="dxa"/>
            <w:shd w:val="clear" w:color="auto" w:fill="FFFFFF"/>
            <w:vAlign w:val="center"/>
          </w:tcPr>
          <w:p w14:paraId="6CD4A202"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.131</w:t>
            </w:r>
          </w:p>
        </w:tc>
        <w:tc>
          <w:tcPr>
            <w:tcW w:w="568" w:type="dxa"/>
            <w:shd w:val="clear" w:color="auto" w:fill="FFFFFF"/>
            <w:vAlign w:val="center"/>
          </w:tcPr>
          <w:p w14:paraId="345821AF"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.089</w:t>
            </w:r>
          </w:p>
        </w:tc>
        <w:tc>
          <w:tcPr>
            <w:tcW w:w="578" w:type="dxa"/>
            <w:shd w:val="clear" w:color="auto" w:fill="FFFFFF"/>
            <w:vAlign w:val="center"/>
          </w:tcPr>
          <w:p w14:paraId="3411134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.193</w:t>
            </w:r>
          </w:p>
        </w:tc>
      </w:tr>
      <w:tr w:rsidR="003F2E2C" w:rsidRPr="003F2E2C" w14:paraId="48855225" w14:textId="77777777" w:rsidTr="0013597C">
        <w:trPr>
          <w:cantSplit/>
          <w:trHeight w:val="41"/>
        </w:trPr>
        <w:tc>
          <w:tcPr>
            <w:tcW w:w="6151" w:type="dxa"/>
            <w:shd w:val="clear" w:color="auto" w:fill="FFFFFF"/>
            <w:vAlign w:val="center"/>
          </w:tcPr>
          <w:p w14:paraId="7FE269F1" w14:textId="77777777" w:rsidR="00917896" w:rsidRPr="003F2E2C" w:rsidRDefault="00917896" w:rsidP="00917896">
            <w:pPr>
              <w:numPr>
                <w:ilvl w:val="0"/>
                <w:numId w:val="7"/>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The trend (i.e., increasing or decreasing) in performance in accounting</w:t>
            </w:r>
          </w:p>
        </w:tc>
        <w:tc>
          <w:tcPr>
            <w:tcW w:w="716" w:type="dxa"/>
            <w:shd w:val="clear" w:color="auto" w:fill="FFFFFF"/>
            <w:vAlign w:val="center"/>
          </w:tcPr>
          <w:p w14:paraId="2C074561"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.844</w:t>
            </w:r>
          </w:p>
        </w:tc>
        <w:tc>
          <w:tcPr>
            <w:tcW w:w="711" w:type="dxa"/>
            <w:shd w:val="clear" w:color="auto" w:fill="FFFFFF"/>
            <w:vAlign w:val="center"/>
          </w:tcPr>
          <w:p w14:paraId="2DFD5369"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.056</w:t>
            </w:r>
          </w:p>
        </w:tc>
        <w:tc>
          <w:tcPr>
            <w:tcW w:w="568" w:type="dxa"/>
            <w:shd w:val="clear" w:color="auto" w:fill="FFFFFF"/>
            <w:vAlign w:val="center"/>
          </w:tcPr>
          <w:p w14:paraId="6A75AD52"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.097</w:t>
            </w:r>
          </w:p>
        </w:tc>
        <w:tc>
          <w:tcPr>
            <w:tcW w:w="568" w:type="dxa"/>
            <w:shd w:val="clear" w:color="auto" w:fill="FFFFFF"/>
            <w:vAlign w:val="center"/>
          </w:tcPr>
          <w:p w14:paraId="3F871C40"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.214</w:t>
            </w:r>
          </w:p>
        </w:tc>
        <w:tc>
          <w:tcPr>
            <w:tcW w:w="578" w:type="dxa"/>
            <w:shd w:val="clear" w:color="auto" w:fill="FFFFFF"/>
            <w:vAlign w:val="center"/>
          </w:tcPr>
          <w:p w14:paraId="3D538796"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.172</w:t>
            </w:r>
          </w:p>
        </w:tc>
      </w:tr>
      <w:tr w:rsidR="003F2E2C" w:rsidRPr="003F2E2C" w14:paraId="220B17A8" w14:textId="77777777" w:rsidTr="0013597C">
        <w:trPr>
          <w:cantSplit/>
          <w:trHeight w:val="247"/>
        </w:trPr>
        <w:tc>
          <w:tcPr>
            <w:tcW w:w="6151" w:type="dxa"/>
            <w:shd w:val="clear" w:color="auto" w:fill="FFFFFF"/>
            <w:vAlign w:val="center"/>
          </w:tcPr>
          <w:p w14:paraId="3DAD2850" w14:textId="77777777" w:rsidR="00917896" w:rsidRPr="003F2E2C" w:rsidRDefault="00917896" w:rsidP="00917896">
            <w:pPr>
              <w:numPr>
                <w:ilvl w:val="0"/>
                <w:numId w:val="7"/>
              </w:numPr>
              <w:spacing w:before="100" w:beforeAutospacing="1" w:after="0" w:afterAutospacing="1" w:line="240" w:lineRule="auto"/>
              <w:ind w:left="446"/>
              <w:contextualSpacing/>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The current performance in accounting in relation to the expectations set for it</w:t>
            </w:r>
          </w:p>
        </w:tc>
        <w:tc>
          <w:tcPr>
            <w:tcW w:w="716" w:type="dxa"/>
            <w:shd w:val="clear" w:color="auto" w:fill="FFFFFF"/>
            <w:vAlign w:val="center"/>
          </w:tcPr>
          <w:p w14:paraId="36F05ADB"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b/>
                <w:sz w:val="20"/>
                <w:szCs w:val="20"/>
              </w:rPr>
            </w:pPr>
            <w:r w:rsidRPr="003F2E2C">
              <w:rPr>
                <w:rFonts w:ascii="Times New Roman" w:eastAsia="Calibri" w:hAnsi="Times New Roman" w:cs="Times New Roman"/>
                <w:b/>
                <w:sz w:val="20"/>
                <w:szCs w:val="20"/>
              </w:rPr>
              <w:t>.865</w:t>
            </w:r>
          </w:p>
        </w:tc>
        <w:tc>
          <w:tcPr>
            <w:tcW w:w="711" w:type="dxa"/>
            <w:shd w:val="clear" w:color="auto" w:fill="FFFFFF"/>
            <w:vAlign w:val="center"/>
          </w:tcPr>
          <w:p w14:paraId="3DDA5C9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.048</w:t>
            </w:r>
          </w:p>
        </w:tc>
        <w:tc>
          <w:tcPr>
            <w:tcW w:w="568" w:type="dxa"/>
            <w:shd w:val="clear" w:color="auto" w:fill="FFFFFF"/>
            <w:vAlign w:val="center"/>
          </w:tcPr>
          <w:p w14:paraId="7D1E4525"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.117</w:t>
            </w:r>
          </w:p>
        </w:tc>
        <w:tc>
          <w:tcPr>
            <w:tcW w:w="568" w:type="dxa"/>
            <w:shd w:val="clear" w:color="auto" w:fill="FFFFFF"/>
            <w:vAlign w:val="center"/>
          </w:tcPr>
          <w:p w14:paraId="0D4FA32A"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.106</w:t>
            </w:r>
          </w:p>
        </w:tc>
        <w:tc>
          <w:tcPr>
            <w:tcW w:w="578" w:type="dxa"/>
            <w:shd w:val="clear" w:color="auto" w:fill="FFFFFF"/>
            <w:vAlign w:val="center"/>
          </w:tcPr>
          <w:p w14:paraId="43334C83" w14:textId="77777777" w:rsidR="00917896" w:rsidRPr="003F2E2C" w:rsidRDefault="00917896" w:rsidP="00917896">
            <w:pPr>
              <w:autoSpaceDE w:val="0"/>
              <w:autoSpaceDN w:val="0"/>
              <w:adjustRightInd w:val="0"/>
              <w:spacing w:after="0" w:line="24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.127</w:t>
            </w:r>
          </w:p>
        </w:tc>
      </w:tr>
      <w:tr w:rsidR="003F2E2C" w:rsidRPr="003F2E2C" w14:paraId="47431233" w14:textId="77777777" w:rsidTr="0013597C">
        <w:trPr>
          <w:cantSplit/>
          <w:trHeight w:val="137"/>
        </w:trPr>
        <w:tc>
          <w:tcPr>
            <w:tcW w:w="6151" w:type="dxa"/>
            <w:shd w:val="clear" w:color="auto" w:fill="FFFFFF"/>
            <w:vAlign w:val="center"/>
          </w:tcPr>
          <w:p w14:paraId="1E97483F" w14:textId="77777777" w:rsidR="00917896" w:rsidRPr="003F2E2C" w:rsidRDefault="00917896" w:rsidP="00917896">
            <w:pPr>
              <w:spacing w:after="0" w:line="240" w:lineRule="auto"/>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Eigenvalues </w:t>
            </w:r>
          </w:p>
        </w:tc>
        <w:tc>
          <w:tcPr>
            <w:tcW w:w="716" w:type="dxa"/>
            <w:shd w:val="clear" w:color="auto" w:fill="FFFFFF"/>
            <w:vAlign w:val="center"/>
          </w:tcPr>
          <w:p w14:paraId="2CBB65EA" w14:textId="77777777" w:rsidR="00917896" w:rsidRPr="003F2E2C" w:rsidRDefault="00917896" w:rsidP="00917896">
            <w:pPr>
              <w:spacing w:after="0"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5.727</w:t>
            </w:r>
          </w:p>
        </w:tc>
        <w:tc>
          <w:tcPr>
            <w:tcW w:w="711" w:type="dxa"/>
            <w:shd w:val="clear" w:color="auto" w:fill="FFFFFF"/>
            <w:vAlign w:val="center"/>
          </w:tcPr>
          <w:p w14:paraId="2C41915C"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2.348</w:t>
            </w:r>
          </w:p>
        </w:tc>
        <w:tc>
          <w:tcPr>
            <w:tcW w:w="568" w:type="dxa"/>
            <w:shd w:val="clear" w:color="auto" w:fill="FFFFFF"/>
            <w:vAlign w:val="center"/>
          </w:tcPr>
          <w:p w14:paraId="6A72379B"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1.659</w:t>
            </w:r>
          </w:p>
        </w:tc>
        <w:tc>
          <w:tcPr>
            <w:tcW w:w="568" w:type="dxa"/>
            <w:shd w:val="clear" w:color="auto" w:fill="FFFFFF"/>
            <w:vAlign w:val="center"/>
          </w:tcPr>
          <w:p w14:paraId="3ACC368F"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1.380</w:t>
            </w:r>
          </w:p>
        </w:tc>
        <w:tc>
          <w:tcPr>
            <w:tcW w:w="578" w:type="dxa"/>
            <w:shd w:val="clear" w:color="auto" w:fill="FFFFFF"/>
            <w:vAlign w:val="center"/>
          </w:tcPr>
          <w:p w14:paraId="4755F273"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1.093</w:t>
            </w:r>
          </w:p>
        </w:tc>
      </w:tr>
      <w:tr w:rsidR="003F2E2C" w:rsidRPr="003F2E2C" w14:paraId="3A2143D1" w14:textId="77777777" w:rsidTr="0013597C">
        <w:trPr>
          <w:cantSplit/>
          <w:trHeight w:val="129"/>
        </w:trPr>
        <w:tc>
          <w:tcPr>
            <w:tcW w:w="6151" w:type="dxa"/>
            <w:shd w:val="clear" w:color="auto" w:fill="FFFFFF"/>
            <w:vAlign w:val="center"/>
          </w:tcPr>
          <w:p w14:paraId="731E01FF" w14:textId="77777777" w:rsidR="00917896" w:rsidRPr="003F2E2C" w:rsidRDefault="00917896" w:rsidP="00917896">
            <w:pPr>
              <w:spacing w:after="0" w:line="240" w:lineRule="auto"/>
              <w:rPr>
                <w:rFonts w:ascii="Times New Roman" w:eastAsia="Calibri" w:hAnsi="Times New Roman" w:cs="Times New Roman"/>
                <w:sz w:val="20"/>
                <w:szCs w:val="20"/>
              </w:rPr>
            </w:pPr>
            <w:r w:rsidRPr="003F2E2C">
              <w:rPr>
                <w:rFonts w:ascii="Times New Roman" w:eastAsia="Calibri" w:hAnsi="Times New Roman" w:cs="Times New Roman"/>
                <w:sz w:val="20"/>
                <w:szCs w:val="20"/>
              </w:rPr>
              <w:t>Variance explained</w:t>
            </w:r>
          </w:p>
        </w:tc>
        <w:tc>
          <w:tcPr>
            <w:tcW w:w="716" w:type="dxa"/>
            <w:shd w:val="clear" w:color="auto" w:fill="FFFFFF"/>
            <w:vAlign w:val="center"/>
          </w:tcPr>
          <w:p w14:paraId="613F7AD0"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33.691</w:t>
            </w:r>
          </w:p>
        </w:tc>
        <w:tc>
          <w:tcPr>
            <w:tcW w:w="711" w:type="dxa"/>
            <w:shd w:val="clear" w:color="auto" w:fill="FFFFFF"/>
            <w:vAlign w:val="center"/>
          </w:tcPr>
          <w:p w14:paraId="5B575C0C"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13.812</w:t>
            </w:r>
          </w:p>
        </w:tc>
        <w:tc>
          <w:tcPr>
            <w:tcW w:w="568" w:type="dxa"/>
            <w:shd w:val="clear" w:color="auto" w:fill="FFFFFF"/>
            <w:vAlign w:val="center"/>
          </w:tcPr>
          <w:p w14:paraId="41731412"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9.762</w:t>
            </w:r>
          </w:p>
        </w:tc>
        <w:tc>
          <w:tcPr>
            <w:tcW w:w="568" w:type="dxa"/>
            <w:shd w:val="clear" w:color="auto" w:fill="FFFFFF"/>
            <w:vAlign w:val="center"/>
          </w:tcPr>
          <w:p w14:paraId="76D5DCF7"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8.117</w:t>
            </w:r>
          </w:p>
        </w:tc>
        <w:tc>
          <w:tcPr>
            <w:tcW w:w="578" w:type="dxa"/>
            <w:shd w:val="clear" w:color="auto" w:fill="FFFFFF"/>
            <w:vAlign w:val="center"/>
          </w:tcPr>
          <w:p w14:paraId="058AD530" w14:textId="77777777" w:rsidR="00917896" w:rsidRPr="003F2E2C" w:rsidRDefault="00917896" w:rsidP="00917896">
            <w:pPr>
              <w:spacing w:before="100" w:beforeAutospacing="1" w:after="100" w:afterAutospacing="1" w:line="240" w:lineRule="auto"/>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6.428</w:t>
            </w:r>
          </w:p>
        </w:tc>
      </w:tr>
    </w:tbl>
    <w:p w14:paraId="2933774D" w14:textId="77777777" w:rsidR="00917896" w:rsidRPr="003F2E2C" w:rsidRDefault="00917896" w:rsidP="00917896">
      <w:pPr>
        <w:spacing w:after="100" w:afterAutospacing="1" w:line="240" w:lineRule="auto"/>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Notes: </w:t>
      </w:r>
      <w:r w:rsidRPr="003F2E2C">
        <w:rPr>
          <w:rFonts w:ascii="Times New Roman" w:eastAsia="Calibri" w:hAnsi="Times New Roman" w:cs="Times New Roman"/>
          <w:sz w:val="20"/>
          <w:szCs w:val="20"/>
          <w:vertAlign w:val="superscript"/>
        </w:rPr>
        <w:t>1</w:t>
      </w:r>
      <w:r w:rsidRPr="003F2E2C">
        <w:rPr>
          <w:rFonts w:ascii="Times New Roman" w:eastAsia="Calibri" w:hAnsi="Times New Roman" w:cs="Times New Roman"/>
          <w:sz w:val="20"/>
          <w:szCs w:val="20"/>
        </w:rPr>
        <w:t>reversed worded; CA=Scale reliability (Cronbach alpha)</w:t>
      </w:r>
    </w:p>
    <w:p w14:paraId="36749EAA" w14:textId="77777777" w:rsidR="00917896" w:rsidRPr="003F2E2C" w:rsidRDefault="00917896" w:rsidP="00917896">
      <w:pPr>
        <w:spacing w:before="100" w:beforeAutospacing="1" w:after="0" w:line="240" w:lineRule="auto"/>
        <w:jc w:val="both"/>
        <w:rPr>
          <w:rFonts w:ascii="Times New Roman" w:eastAsia="Calibri" w:hAnsi="Times New Roman" w:cs="Times New Roman"/>
          <w:sz w:val="24"/>
          <w:szCs w:val="24"/>
        </w:rPr>
      </w:pPr>
      <w:r w:rsidRPr="003F2E2C">
        <w:rPr>
          <w:rFonts w:ascii="Times New Roman" w:eastAsia="Calibri" w:hAnsi="Times New Roman" w:cs="Times New Roman"/>
          <w:sz w:val="24"/>
          <w:szCs w:val="24"/>
        </w:rPr>
        <w:t>Table 2. Correlation and descriptive analyses results</w:t>
      </w:r>
    </w:p>
    <w:p w14:paraId="32F7A37E"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sz w:val="24"/>
          <w:szCs w:val="24"/>
        </w:rPr>
      </w:pPr>
    </w:p>
    <w:tbl>
      <w:tblPr>
        <w:tblW w:w="9282"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21"/>
        <w:gridCol w:w="2137"/>
        <w:gridCol w:w="813"/>
        <w:gridCol w:w="814"/>
        <w:gridCol w:w="814"/>
        <w:gridCol w:w="713"/>
        <w:gridCol w:w="713"/>
        <w:gridCol w:w="814"/>
        <w:gridCol w:w="616"/>
        <w:gridCol w:w="713"/>
        <w:gridCol w:w="814"/>
      </w:tblGrid>
      <w:tr w:rsidR="003F2E2C" w:rsidRPr="003F2E2C" w14:paraId="46D14D13" w14:textId="77777777" w:rsidTr="0013597C">
        <w:trPr>
          <w:cantSplit/>
          <w:trHeight w:val="387"/>
        </w:trPr>
        <w:tc>
          <w:tcPr>
            <w:tcW w:w="2458" w:type="dxa"/>
            <w:gridSpan w:val="2"/>
            <w:tcBorders>
              <w:top w:val="single" w:sz="4" w:space="0" w:color="auto"/>
              <w:left w:val="nil"/>
              <w:bottom w:val="nil"/>
              <w:right w:val="nil"/>
            </w:tcBorders>
            <w:shd w:val="clear" w:color="auto" w:fill="FFFFFF"/>
            <w:hideMark/>
          </w:tcPr>
          <w:p w14:paraId="6147FA67"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Variables:</w:t>
            </w:r>
          </w:p>
        </w:tc>
        <w:tc>
          <w:tcPr>
            <w:tcW w:w="813" w:type="dxa"/>
            <w:tcBorders>
              <w:top w:val="single" w:sz="4" w:space="0" w:color="auto"/>
              <w:left w:val="nil"/>
              <w:bottom w:val="single" w:sz="4" w:space="0" w:color="auto"/>
              <w:right w:val="nil"/>
            </w:tcBorders>
            <w:shd w:val="clear" w:color="auto" w:fill="FFFFFF"/>
            <w:hideMark/>
          </w:tcPr>
          <w:p w14:paraId="215E3542"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814" w:type="dxa"/>
            <w:tcBorders>
              <w:top w:val="single" w:sz="4" w:space="0" w:color="auto"/>
              <w:left w:val="nil"/>
              <w:bottom w:val="single" w:sz="4" w:space="0" w:color="auto"/>
              <w:right w:val="nil"/>
            </w:tcBorders>
            <w:shd w:val="clear" w:color="auto" w:fill="FFFFFF"/>
            <w:hideMark/>
          </w:tcPr>
          <w:p w14:paraId="362DF7C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2</w:t>
            </w:r>
          </w:p>
        </w:tc>
        <w:tc>
          <w:tcPr>
            <w:tcW w:w="814" w:type="dxa"/>
            <w:tcBorders>
              <w:top w:val="single" w:sz="4" w:space="0" w:color="auto"/>
              <w:left w:val="nil"/>
              <w:bottom w:val="single" w:sz="4" w:space="0" w:color="auto"/>
              <w:right w:val="nil"/>
            </w:tcBorders>
            <w:shd w:val="clear" w:color="auto" w:fill="FFFFFF"/>
            <w:hideMark/>
          </w:tcPr>
          <w:p w14:paraId="1C8735C2"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w:t>
            </w:r>
          </w:p>
        </w:tc>
        <w:tc>
          <w:tcPr>
            <w:tcW w:w="713" w:type="dxa"/>
            <w:tcBorders>
              <w:top w:val="single" w:sz="4" w:space="0" w:color="auto"/>
              <w:left w:val="nil"/>
              <w:bottom w:val="single" w:sz="4" w:space="0" w:color="auto"/>
              <w:right w:val="nil"/>
            </w:tcBorders>
            <w:shd w:val="clear" w:color="auto" w:fill="FFFFFF"/>
            <w:hideMark/>
          </w:tcPr>
          <w:p w14:paraId="0A260A4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4</w:t>
            </w:r>
          </w:p>
        </w:tc>
        <w:tc>
          <w:tcPr>
            <w:tcW w:w="713" w:type="dxa"/>
            <w:tcBorders>
              <w:top w:val="single" w:sz="4" w:space="0" w:color="auto"/>
              <w:left w:val="nil"/>
              <w:bottom w:val="single" w:sz="4" w:space="0" w:color="auto"/>
              <w:right w:val="nil"/>
            </w:tcBorders>
            <w:shd w:val="clear" w:color="auto" w:fill="FFFFFF"/>
            <w:hideMark/>
          </w:tcPr>
          <w:p w14:paraId="70640A9F"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5</w:t>
            </w:r>
          </w:p>
        </w:tc>
        <w:tc>
          <w:tcPr>
            <w:tcW w:w="814" w:type="dxa"/>
            <w:tcBorders>
              <w:top w:val="single" w:sz="4" w:space="0" w:color="auto"/>
              <w:left w:val="nil"/>
              <w:bottom w:val="single" w:sz="4" w:space="0" w:color="auto"/>
              <w:right w:val="nil"/>
            </w:tcBorders>
            <w:shd w:val="clear" w:color="auto" w:fill="FFFFFF"/>
            <w:hideMark/>
          </w:tcPr>
          <w:p w14:paraId="48F859A4"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6</w:t>
            </w:r>
          </w:p>
        </w:tc>
        <w:tc>
          <w:tcPr>
            <w:tcW w:w="616" w:type="dxa"/>
            <w:tcBorders>
              <w:top w:val="single" w:sz="4" w:space="0" w:color="auto"/>
              <w:left w:val="nil"/>
              <w:bottom w:val="single" w:sz="4" w:space="0" w:color="auto"/>
              <w:right w:val="nil"/>
            </w:tcBorders>
            <w:shd w:val="clear" w:color="auto" w:fill="FFFFFF"/>
            <w:hideMark/>
          </w:tcPr>
          <w:p w14:paraId="7A93C75C"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7</w:t>
            </w:r>
          </w:p>
        </w:tc>
        <w:tc>
          <w:tcPr>
            <w:tcW w:w="713" w:type="dxa"/>
            <w:tcBorders>
              <w:top w:val="single" w:sz="4" w:space="0" w:color="auto"/>
              <w:left w:val="nil"/>
              <w:bottom w:val="single" w:sz="4" w:space="0" w:color="auto"/>
              <w:right w:val="nil"/>
            </w:tcBorders>
            <w:shd w:val="clear" w:color="auto" w:fill="FFFFFF"/>
            <w:hideMark/>
          </w:tcPr>
          <w:p w14:paraId="12540C03" w14:textId="77777777" w:rsidR="00917896" w:rsidRPr="003F2E2C" w:rsidRDefault="00917896" w:rsidP="00917896">
            <w:pPr>
              <w:autoSpaceDE w:val="0"/>
              <w:autoSpaceDN w:val="0"/>
              <w:adjustRightInd w:val="0"/>
              <w:spacing w:after="0" w:line="36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Mean</w:t>
            </w:r>
          </w:p>
        </w:tc>
        <w:tc>
          <w:tcPr>
            <w:tcW w:w="814" w:type="dxa"/>
            <w:tcBorders>
              <w:top w:val="single" w:sz="4" w:space="0" w:color="auto"/>
              <w:left w:val="nil"/>
              <w:bottom w:val="single" w:sz="4" w:space="0" w:color="auto"/>
              <w:right w:val="nil"/>
            </w:tcBorders>
            <w:shd w:val="clear" w:color="auto" w:fill="FFFFFF"/>
            <w:hideMark/>
          </w:tcPr>
          <w:p w14:paraId="3D5D7EAB" w14:textId="77777777" w:rsidR="00917896" w:rsidRPr="003F2E2C" w:rsidRDefault="00917896" w:rsidP="00917896">
            <w:pPr>
              <w:autoSpaceDE w:val="0"/>
              <w:autoSpaceDN w:val="0"/>
              <w:adjustRightInd w:val="0"/>
              <w:spacing w:after="0" w:line="360" w:lineRule="auto"/>
              <w:ind w:left="60" w:right="60"/>
              <w:jc w:val="center"/>
              <w:rPr>
                <w:rFonts w:ascii="Times New Roman" w:eastAsia="Calibri" w:hAnsi="Times New Roman" w:cs="Times New Roman"/>
                <w:sz w:val="20"/>
                <w:szCs w:val="20"/>
              </w:rPr>
            </w:pPr>
            <w:r w:rsidRPr="003F2E2C">
              <w:rPr>
                <w:rFonts w:ascii="Times New Roman" w:eastAsia="Calibri" w:hAnsi="Times New Roman" w:cs="Times New Roman"/>
                <w:sz w:val="20"/>
                <w:szCs w:val="20"/>
              </w:rPr>
              <w:t>SD</w:t>
            </w:r>
          </w:p>
        </w:tc>
      </w:tr>
      <w:tr w:rsidR="003F2E2C" w:rsidRPr="003F2E2C" w14:paraId="679F5314" w14:textId="77777777" w:rsidTr="0013597C">
        <w:trPr>
          <w:cantSplit/>
          <w:trHeight w:val="370"/>
        </w:trPr>
        <w:tc>
          <w:tcPr>
            <w:tcW w:w="321" w:type="dxa"/>
            <w:tcBorders>
              <w:top w:val="nil"/>
              <w:left w:val="nil"/>
              <w:bottom w:val="nil"/>
              <w:right w:val="nil"/>
            </w:tcBorders>
            <w:shd w:val="clear" w:color="auto" w:fill="FFFFFF"/>
            <w:vAlign w:val="center"/>
            <w:hideMark/>
          </w:tcPr>
          <w:p w14:paraId="66869B68"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2136" w:type="dxa"/>
            <w:tcBorders>
              <w:top w:val="nil"/>
              <w:left w:val="nil"/>
              <w:bottom w:val="nil"/>
              <w:right w:val="nil"/>
            </w:tcBorders>
            <w:shd w:val="clear" w:color="auto" w:fill="FFFFFF"/>
            <w:vAlign w:val="center"/>
            <w:hideMark/>
          </w:tcPr>
          <w:p w14:paraId="5504C5E3"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Performance </w:t>
            </w:r>
          </w:p>
        </w:tc>
        <w:tc>
          <w:tcPr>
            <w:tcW w:w="813" w:type="dxa"/>
            <w:tcBorders>
              <w:top w:val="single" w:sz="4" w:space="0" w:color="auto"/>
              <w:left w:val="nil"/>
              <w:bottom w:val="nil"/>
              <w:right w:val="nil"/>
            </w:tcBorders>
            <w:shd w:val="clear" w:color="auto" w:fill="FFFFFF"/>
            <w:vAlign w:val="center"/>
            <w:hideMark/>
          </w:tcPr>
          <w:p w14:paraId="33287EE4"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814" w:type="dxa"/>
            <w:tcBorders>
              <w:top w:val="single" w:sz="4" w:space="0" w:color="auto"/>
              <w:left w:val="nil"/>
              <w:bottom w:val="nil"/>
              <w:right w:val="nil"/>
            </w:tcBorders>
            <w:shd w:val="clear" w:color="auto" w:fill="FFFFFF"/>
            <w:vAlign w:val="center"/>
          </w:tcPr>
          <w:p w14:paraId="3398BA1C"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814" w:type="dxa"/>
            <w:tcBorders>
              <w:top w:val="single" w:sz="4" w:space="0" w:color="auto"/>
              <w:left w:val="nil"/>
              <w:bottom w:val="nil"/>
              <w:right w:val="nil"/>
            </w:tcBorders>
            <w:shd w:val="clear" w:color="auto" w:fill="FFFFFF"/>
            <w:vAlign w:val="center"/>
          </w:tcPr>
          <w:p w14:paraId="0528906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single" w:sz="4" w:space="0" w:color="auto"/>
              <w:left w:val="nil"/>
              <w:bottom w:val="nil"/>
              <w:right w:val="nil"/>
            </w:tcBorders>
            <w:shd w:val="clear" w:color="auto" w:fill="FFFFFF"/>
            <w:vAlign w:val="center"/>
          </w:tcPr>
          <w:p w14:paraId="0037824E"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single" w:sz="4" w:space="0" w:color="auto"/>
              <w:left w:val="nil"/>
              <w:bottom w:val="nil"/>
              <w:right w:val="nil"/>
            </w:tcBorders>
            <w:shd w:val="clear" w:color="auto" w:fill="FFFFFF"/>
            <w:vAlign w:val="center"/>
          </w:tcPr>
          <w:p w14:paraId="6C8E8C20"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814" w:type="dxa"/>
            <w:tcBorders>
              <w:top w:val="single" w:sz="4" w:space="0" w:color="auto"/>
              <w:left w:val="nil"/>
              <w:bottom w:val="nil"/>
              <w:right w:val="nil"/>
            </w:tcBorders>
            <w:shd w:val="clear" w:color="auto" w:fill="FFFFFF"/>
            <w:vAlign w:val="center"/>
          </w:tcPr>
          <w:p w14:paraId="33A2A4C2"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616" w:type="dxa"/>
            <w:tcBorders>
              <w:top w:val="single" w:sz="4" w:space="0" w:color="auto"/>
              <w:left w:val="nil"/>
              <w:bottom w:val="nil"/>
              <w:right w:val="nil"/>
            </w:tcBorders>
            <w:shd w:val="clear" w:color="auto" w:fill="FFFFFF"/>
            <w:vAlign w:val="center"/>
          </w:tcPr>
          <w:p w14:paraId="0197756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single" w:sz="4" w:space="0" w:color="auto"/>
              <w:left w:val="nil"/>
              <w:bottom w:val="nil"/>
              <w:right w:val="nil"/>
            </w:tcBorders>
            <w:shd w:val="clear" w:color="auto" w:fill="FFFFFF"/>
            <w:hideMark/>
          </w:tcPr>
          <w:p w14:paraId="2A7EC7FB"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4.11</w:t>
            </w:r>
          </w:p>
        </w:tc>
        <w:tc>
          <w:tcPr>
            <w:tcW w:w="814" w:type="dxa"/>
            <w:tcBorders>
              <w:top w:val="single" w:sz="4" w:space="0" w:color="auto"/>
              <w:left w:val="nil"/>
              <w:bottom w:val="nil"/>
              <w:right w:val="nil"/>
            </w:tcBorders>
            <w:shd w:val="clear" w:color="auto" w:fill="FFFFFF"/>
            <w:hideMark/>
          </w:tcPr>
          <w:p w14:paraId="5CCAB56F"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1.704</w:t>
            </w:r>
          </w:p>
        </w:tc>
      </w:tr>
      <w:tr w:rsidR="003F2E2C" w:rsidRPr="003F2E2C" w14:paraId="5C6F0706" w14:textId="77777777" w:rsidTr="0013597C">
        <w:trPr>
          <w:cantSplit/>
          <w:trHeight w:val="387"/>
        </w:trPr>
        <w:tc>
          <w:tcPr>
            <w:tcW w:w="321" w:type="dxa"/>
            <w:tcBorders>
              <w:top w:val="nil"/>
              <w:left w:val="nil"/>
              <w:bottom w:val="nil"/>
              <w:right w:val="nil"/>
            </w:tcBorders>
            <w:shd w:val="clear" w:color="auto" w:fill="FFFFFF"/>
            <w:vAlign w:val="center"/>
            <w:hideMark/>
          </w:tcPr>
          <w:p w14:paraId="66431010"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2</w:t>
            </w:r>
          </w:p>
        </w:tc>
        <w:tc>
          <w:tcPr>
            <w:tcW w:w="2136" w:type="dxa"/>
            <w:tcBorders>
              <w:top w:val="nil"/>
              <w:left w:val="nil"/>
              <w:bottom w:val="nil"/>
              <w:right w:val="nil"/>
            </w:tcBorders>
            <w:shd w:val="clear" w:color="auto" w:fill="FFFFFF"/>
            <w:vAlign w:val="center"/>
            <w:hideMark/>
          </w:tcPr>
          <w:p w14:paraId="35CC21EF"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Gender</w:t>
            </w:r>
            <w:r w:rsidRPr="003F2E2C">
              <w:rPr>
                <w:rFonts w:ascii="Times New Roman" w:eastAsia="Calibri" w:hAnsi="Times New Roman" w:cs="Times New Roman"/>
                <w:sz w:val="20"/>
                <w:szCs w:val="20"/>
                <w:vertAlign w:val="superscript"/>
              </w:rPr>
              <w:t>1</w:t>
            </w:r>
          </w:p>
        </w:tc>
        <w:tc>
          <w:tcPr>
            <w:tcW w:w="813" w:type="dxa"/>
            <w:tcBorders>
              <w:top w:val="nil"/>
              <w:left w:val="nil"/>
              <w:bottom w:val="nil"/>
              <w:right w:val="nil"/>
            </w:tcBorders>
            <w:shd w:val="clear" w:color="auto" w:fill="FFFFFF"/>
            <w:vAlign w:val="center"/>
            <w:hideMark/>
          </w:tcPr>
          <w:p w14:paraId="733EABC8"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.256</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46510F5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814" w:type="dxa"/>
            <w:tcBorders>
              <w:top w:val="nil"/>
              <w:left w:val="nil"/>
              <w:bottom w:val="nil"/>
              <w:right w:val="nil"/>
            </w:tcBorders>
            <w:shd w:val="clear" w:color="auto" w:fill="FFFFFF"/>
            <w:vAlign w:val="center"/>
          </w:tcPr>
          <w:p w14:paraId="2EC5736A"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vAlign w:val="center"/>
          </w:tcPr>
          <w:p w14:paraId="67E96CF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vAlign w:val="center"/>
          </w:tcPr>
          <w:p w14:paraId="010545AD"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814" w:type="dxa"/>
            <w:tcBorders>
              <w:top w:val="nil"/>
              <w:left w:val="nil"/>
              <w:bottom w:val="nil"/>
              <w:right w:val="nil"/>
            </w:tcBorders>
            <w:shd w:val="clear" w:color="auto" w:fill="FFFFFF"/>
            <w:vAlign w:val="center"/>
          </w:tcPr>
          <w:p w14:paraId="424EB572"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616" w:type="dxa"/>
            <w:tcBorders>
              <w:top w:val="nil"/>
              <w:left w:val="nil"/>
              <w:bottom w:val="nil"/>
              <w:right w:val="nil"/>
            </w:tcBorders>
            <w:shd w:val="clear" w:color="auto" w:fill="FFFFFF"/>
            <w:vAlign w:val="center"/>
          </w:tcPr>
          <w:p w14:paraId="6093A7B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hideMark/>
          </w:tcPr>
          <w:p w14:paraId="1B95D97F"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.54</w:t>
            </w:r>
          </w:p>
        </w:tc>
        <w:tc>
          <w:tcPr>
            <w:tcW w:w="814" w:type="dxa"/>
            <w:tcBorders>
              <w:top w:val="nil"/>
              <w:left w:val="nil"/>
              <w:bottom w:val="nil"/>
              <w:right w:val="nil"/>
            </w:tcBorders>
            <w:shd w:val="clear" w:color="auto" w:fill="FFFFFF"/>
            <w:hideMark/>
          </w:tcPr>
          <w:p w14:paraId="5EC59196"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.499</w:t>
            </w:r>
          </w:p>
        </w:tc>
      </w:tr>
      <w:tr w:rsidR="003F2E2C" w:rsidRPr="003F2E2C" w14:paraId="56BCEBF1" w14:textId="77777777" w:rsidTr="0013597C">
        <w:trPr>
          <w:cantSplit/>
          <w:trHeight w:val="387"/>
        </w:trPr>
        <w:tc>
          <w:tcPr>
            <w:tcW w:w="321" w:type="dxa"/>
            <w:tcBorders>
              <w:top w:val="nil"/>
              <w:left w:val="nil"/>
              <w:bottom w:val="nil"/>
              <w:right w:val="nil"/>
            </w:tcBorders>
            <w:shd w:val="clear" w:color="auto" w:fill="FFFFFF"/>
            <w:vAlign w:val="center"/>
            <w:hideMark/>
          </w:tcPr>
          <w:p w14:paraId="2A6D61B9"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3</w:t>
            </w:r>
          </w:p>
        </w:tc>
        <w:tc>
          <w:tcPr>
            <w:tcW w:w="2136" w:type="dxa"/>
            <w:tcBorders>
              <w:top w:val="nil"/>
              <w:left w:val="nil"/>
              <w:bottom w:val="nil"/>
              <w:right w:val="nil"/>
            </w:tcBorders>
            <w:shd w:val="clear" w:color="auto" w:fill="FFFFFF"/>
            <w:vAlign w:val="center"/>
            <w:hideMark/>
          </w:tcPr>
          <w:p w14:paraId="414AC94E"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Level</w:t>
            </w:r>
            <w:r w:rsidRPr="003F2E2C">
              <w:rPr>
                <w:rFonts w:ascii="Times New Roman" w:eastAsia="Calibri" w:hAnsi="Times New Roman" w:cs="Times New Roman"/>
                <w:sz w:val="20"/>
                <w:szCs w:val="20"/>
                <w:vertAlign w:val="superscript"/>
              </w:rPr>
              <w:t>1</w:t>
            </w:r>
          </w:p>
        </w:tc>
        <w:tc>
          <w:tcPr>
            <w:tcW w:w="813" w:type="dxa"/>
            <w:tcBorders>
              <w:top w:val="nil"/>
              <w:left w:val="nil"/>
              <w:bottom w:val="nil"/>
              <w:right w:val="nil"/>
            </w:tcBorders>
            <w:shd w:val="clear" w:color="auto" w:fill="FFFFFF"/>
            <w:vAlign w:val="center"/>
            <w:hideMark/>
          </w:tcPr>
          <w:p w14:paraId="6D1979AB"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-.337</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055D8824"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-.142</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703C79A8"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713" w:type="dxa"/>
            <w:tcBorders>
              <w:top w:val="nil"/>
              <w:left w:val="nil"/>
              <w:bottom w:val="nil"/>
              <w:right w:val="nil"/>
            </w:tcBorders>
            <w:shd w:val="clear" w:color="auto" w:fill="FFFFFF"/>
            <w:vAlign w:val="center"/>
          </w:tcPr>
          <w:p w14:paraId="5B142528"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vAlign w:val="center"/>
          </w:tcPr>
          <w:p w14:paraId="2EE24494"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814" w:type="dxa"/>
            <w:tcBorders>
              <w:top w:val="nil"/>
              <w:left w:val="nil"/>
              <w:bottom w:val="nil"/>
              <w:right w:val="nil"/>
            </w:tcBorders>
            <w:shd w:val="clear" w:color="auto" w:fill="FFFFFF"/>
            <w:vAlign w:val="center"/>
          </w:tcPr>
          <w:p w14:paraId="396D9B7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616" w:type="dxa"/>
            <w:tcBorders>
              <w:top w:val="nil"/>
              <w:left w:val="nil"/>
              <w:bottom w:val="nil"/>
              <w:right w:val="nil"/>
            </w:tcBorders>
            <w:shd w:val="clear" w:color="auto" w:fill="FFFFFF"/>
            <w:vAlign w:val="center"/>
          </w:tcPr>
          <w:p w14:paraId="3CF1D27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hideMark/>
          </w:tcPr>
          <w:p w14:paraId="2423D57B"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.60</w:t>
            </w:r>
          </w:p>
        </w:tc>
        <w:tc>
          <w:tcPr>
            <w:tcW w:w="814" w:type="dxa"/>
            <w:tcBorders>
              <w:top w:val="nil"/>
              <w:left w:val="nil"/>
              <w:bottom w:val="nil"/>
              <w:right w:val="nil"/>
            </w:tcBorders>
            <w:shd w:val="clear" w:color="auto" w:fill="FFFFFF"/>
            <w:hideMark/>
          </w:tcPr>
          <w:p w14:paraId="0DC196A5"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.490</w:t>
            </w:r>
          </w:p>
        </w:tc>
      </w:tr>
      <w:tr w:rsidR="003F2E2C" w:rsidRPr="003F2E2C" w14:paraId="4A0D8352" w14:textId="77777777" w:rsidTr="0013597C">
        <w:trPr>
          <w:cantSplit/>
          <w:trHeight w:val="387"/>
        </w:trPr>
        <w:tc>
          <w:tcPr>
            <w:tcW w:w="321" w:type="dxa"/>
            <w:tcBorders>
              <w:top w:val="nil"/>
              <w:left w:val="nil"/>
              <w:bottom w:val="nil"/>
              <w:right w:val="nil"/>
            </w:tcBorders>
            <w:shd w:val="clear" w:color="auto" w:fill="FFFFFF"/>
            <w:vAlign w:val="center"/>
            <w:hideMark/>
          </w:tcPr>
          <w:p w14:paraId="28B458A4"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4</w:t>
            </w:r>
          </w:p>
        </w:tc>
        <w:tc>
          <w:tcPr>
            <w:tcW w:w="2136" w:type="dxa"/>
            <w:tcBorders>
              <w:top w:val="nil"/>
              <w:left w:val="nil"/>
              <w:bottom w:val="nil"/>
              <w:right w:val="nil"/>
            </w:tcBorders>
            <w:shd w:val="clear" w:color="auto" w:fill="FFFFFF"/>
            <w:vAlign w:val="center"/>
            <w:hideMark/>
          </w:tcPr>
          <w:p w14:paraId="29B9481F"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Expectation</w:t>
            </w:r>
          </w:p>
        </w:tc>
        <w:tc>
          <w:tcPr>
            <w:tcW w:w="813" w:type="dxa"/>
            <w:tcBorders>
              <w:top w:val="nil"/>
              <w:left w:val="nil"/>
              <w:bottom w:val="nil"/>
              <w:right w:val="nil"/>
            </w:tcBorders>
            <w:shd w:val="clear" w:color="auto" w:fill="FFFFFF"/>
            <w:vAlign w:val="center"/>
            <w:hideMark/>
          </w:tcPr>
          <w:p w14:paraId="44109E1C"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.220</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4C8E71A3"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.015</w:t>
            </w:r>
          </w:p>
        </w:tc>
        <w:tc>
          <w:tcPr>
            <w:tcW w:w="814" w:type="dxa"/>
            <w:tcBorders>
              <w:top w:val="nil"/>
              <w:left w:val="nil"/>
              <w:bottom w:val="nil"/>
              <w:right w:val="nil"/>
            </w:tcBorders>
            <w:shd w:val="clear" w:color="auto" w:fill="FFFFFF"/>
            <w:vAlign w:val="center"/>
            <w:hideMark/>
          </w:tcPr>
          <w:p w14:paraId="0FAA4F69"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-.017</w:t>
            </w:r>
          </w:p>
        </w:tc>
        <w:tc>
          <w:tcPr>
            <w:tcW w:w="713" w:type="dxa"/>
            <w:tcBorders>
              <w:top w:val="nil"/>
              <w:left w:val="nil"/>
              <w:bottom w:val="nil"/>
              <w:right w:val="nil"/>
            </w:tcBorders>
            <w:shd w:val="clear" w:color="auto" w:fill="FFFFFF"/>
            <w:vAlign w:val="center"/>
            <w:hideMark/>
          </w:tcPr>
          <w:p w14:paraId="13B536C7"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713" w:type="dxa"/>
            <w:tcBorders>
              <w:top w:val="nil"/>
              <w:left w:val="nil"/>
              <w:bottom w:val="nil"/>
              <w:right w:val="nil"/>
            </w:tcBorders>
            <w:shd w:val="clear" w:color="auto" w:fill="FFFFFF"/>
            <w:vAlign w:val="center"/>
          </w:tcPr>
          <w:p w14:paraId="2A033CA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814" w:type="dxa"/>
            <w:tcBorders>
              <w:top w:val="nil"/>
              <w:left w:val="nil"/>
              <w:bottom w:val="nil"/>
              <w:right w:val="nil"/>
            </w:tcBorders>
            <w:shd w:val="clear" w:color="auto" w:fill="FFFFFF"/>
            <w:vAlign w:val="center"/>
          </w:tcPr>
          <w:p w14:paraId="593A634D"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616" w:type="dxa"/>
            <w:tcBorders>
              <w:top w:val="nil"/>
              <w:left w:val="nil"/>
              <w:bottom w:val="nil"/>
              <w:right w:val="nil"/>
            </w:tcBorders>
            <w:shd w:val="clear" w:color="auto" w:fill="FFFFFF"/>
            <w:vAlign w:val="center"/>
          </w:tcPr>
          <w:p w14:paraId="30006740"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hideMark/>
          </w:tcPr>
          <w:p w14:paraId="1A85D9C5"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3.48</w:t>
            </w:r>
          </w:p>
        </w:tc>
        <w:tc>
          <w:tcPr>
            <w:tcW w:w="814" w:type="dxa"/>
            <w:tcBorders>
              <w:top w:val="nil"/>
              <w:left w:val="nil"/>
              <w:bottom w:val="nil"/>
              <w:right w:val="nil"/>
            </w:tcBorders>
            <w:shd w:val="clear" w:color="auto" w:fill="FFFFFF"/>
            <w:hideMark/>
          </w:tcPr>
          <w:p w14:paraId="1C00140A"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.988</w:t>
            </w:r>
          </w:p>
        </w:tc>
      </w:tr>
      <w:tr w:rsidR="003F2E2C" w:rsidRPr="003F2E2C" w14:paraId="0B2B59B6" w14:textId="77777777" w:rsidTr="0013597C">
        <w:trPr>
          <w:cantSplit/>
          <w:trHeight w:val="387"/>
        </w:trPr>
        <w:tc>
          <w:tcPr>
            <w:tcW w:w="321" w:type="dxa"/>
            <w:tcBorders>
              <w:top w:val="nil"/>
              <w:left w:val="nil"/>
              <w:bottom w:val="nil"/>
              <w:right w:val="nil"/>
            </w:tcBorders>
            <w:shd w:val="clear" w:color="auto" w:fill="FFFFFF"/>
            <w:vAlign w:val="center"/>
            <w:hideMark/>
          </w:tcPr>
          <w:p w14:paraId="0373C9C5"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5</w:t>
            </w:r>
          </w:p>
        </w:tc>
        <w:tc>
          <w:tcPr>
            <w:tcW w:w="2136" w:type="dxa"/>
            <w:tcBorders>
              <w:top w:val="nil"/>
              <w:left w:val="nil"/>
              <w:bottom w:val="nil"/>
              <w:right w:val="nil"/>
            </w:tcBorders>
            <w:shd w:val="clear" w:color="auto" w:fill="FFFFFF"/>
            <w:vAlign w:val="center"/>
            <w:hideMark/>
          </w:tcPr>
          <w:p w14:paraId="0C102A0A"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Volition</w:t>
            </w:r>
          </w:p>
        </w:tc>
        <w:tc>
          <w:tcPr>
            <w:tcW w:w="813" w:type="dxa"/>
            <w:tcBorders>
              <w:top w:val="nil"/>
              <w:left w:val="nil"/>
              <w:bottom w:val="nil"/>
              <w:right w:val="nil"/>
            </w:tcBorders>
            <w:shd w:val="clear" w:color="auto" w:fill="FFFFFF"/>
            <w:vAlign w:val="center"/>
            <w:hideMark/>
          </w:tcPr>
          <w:p w14:paraId="63298032"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.377</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4A27F1B4"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.064</w:t>
            </w:r>
          </w:p>
        </w:tc>
        <w:tc>
          <w:tcPr>
            <w:tcW w:w="814" w:type="dxa"/>
            <w:tcBorders>
              <w:top w:val="nil"/>
              <w:left w:val="nil"/>
              <w:bottom w:val="nil"/>
              <w:right w:val="nil"/>
            </w:tcBorders>
            <w:shd w:val="clear" w:color="auto" w:fill="FFFFFF"/>
            <w:vAlign w:val="center"/>
            <w:hideMark/>
          </w:tcPr>
          <w:p w14:paraId="797063AC"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-.110</w:t>
            </w:r>
            <w:r w:rsidRPr="003F2E2C">
              <w:rPr>
                <w:rFonts w:ascii="Times New Roman" w:eastAsia="Calibri" w:hAnsi="Times New Roman" w:cs="Times New Roman"/>
                <w:sz w:val="20"/>
                <w:szCs w:val="20"/>
                <w:vertAlign w:val="superscript"/>
              </w:rPr>
              <w:t>*</w:t>
            </w:r>
          </w:p>
        </w:tc>
        <w:tc>
          <w:tcPr>
            <w:tcW w:w="713" w:type="dxa"/>
            <w:tcBorders>
              <w:top w:val="nil"/>
              <w:left w:val="nil"/>
              <w:bottom w:val="nil"/>
              <w:right w:val="nil"/>
            </w:tcBorders>
            <w:shd w:val="clear" w:color="auto" w:fill="FFFFFF"/>
            <w:vAlign w:val="center"/>
            <w:hideMark/>
          </w:tcPr>
          <w:p w14:paraId="67ACC328"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.155</w:t>
            </w:r>
            <w:r w:rsidRPr="003F2E2C">
              <w:rPr>
                <w:rFonts w:ascii="Times New Roman" w:eastAsia="Calibri" w:hAnsi="Times New Roman" w:cs="Times New Roman"/>
                <w:sz w:val="20"/>
                <w:szCs w:val="20"/>
                <w:vertAlign w:val="superscript"/>
              </w:rPr>
              <w:t>**</w:t>
            </w:r>
          </w:p>
        </w:tc>
        <w:tc>
          <w:tcPr>
            <w:tcW w:w="713" w:type="dxa"/>
            <w:tcBorders>
              <w:top w:val="nil"/>
              <w:left w:val="nil"/>
              <w:bottom w:val="nil"/>
              <w:right w:val="nil"/>
            </w:tcBorders>
            <w:shd w:val="clear" w:color="auto" w:fill="FFFFFF"/>
            <w:vAlign w:val="center"/>
            <w:hideMark/>
          </w:tcPr>
          <w:p w14:paraId="69C7B12B"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814" w:type="dxa"/>
            <w:tcBorders>
              <w:top w:val="nil"/>
              <w:left w:val="nil"/>
              <w:bottom w:val="nil"/>
              <w:right w:val="nil"/>
            </w:tcBorders>
            <w:shd w:val="clear" w:color="auto" w:fill="FFFFFF"/>
            <w:vAlign w:val="center"/>
          </w:tcPr>
          <w:p w14:paraId="2CE49E15"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616" w:type="dxa"/>
            <w:tcBorders>
              <w:top w:val="nil"/>
              <w:left w:val="nil"/>
              <w:bottom w:val="nil"/>
              <w:right w:val="nil"/>
            </w:tcBorders>
            <w:shd w:val="clear" w:color="auto" w:fill="FFFFFF"/>
            <w:vAlign w:val="center"/>
          </w:tcPr>
          <w:p w14:paraId="59914ED7"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hideMark/>
          </w:tcPr>
          <w:p w14:paraId="368A6553"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3.58</w:t>
            </w:r>
          </w:p>
        </w:tc>
        <w:tc>
          <w:tcPr>
            <w:tcW w:w="814" w:type="dxa"/>
            <w:tcBorders>
              <w:top w:val="nil"/>
              <w:left w:val="nil"/>
              <w:bottom w:val="nil"/>
              <w:right w:val="nil"/>
            </w:tcBorders>
            <w:shd w:val="clear" w:color="auto" w:fill="FFFFFF"/>
            <w:hideMark/>
          </w:tcPr>
          <w:p w14:paraId="765DE51C"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.994</w:t>
            </w:r>
          </w:p>
        </w:tc>
      </w:tr>
      <w:tr w:rsidR="003F2E2C" w:rsidRPr="003F2E2C" w14:paraId="68A829D9" w14:textId="77777777" w:rsidTr="0013597C">
        <w:trPr>
          <w:cantSplit/>
          <w:trHeight w:val="387"/>
        </w:trPr>
        <w:tc>
          <w:tcPr>
            <w:tcW w:w="321" w:type="dxa"/>
            <w:tcBorders>
              <w:top w:val="nil"/>
              <w:left w:val="nil"/>
              <w:bottom w:val="nil"/>
              <w:right w:val="nil"/>
            </w:tcBorders>
            <w:shd w:val="clear" w:color="auto" w:fill="FFFFFF"/>
            <w:vAlign w:val="center"/>
            <w:hideMark/>
          </w:tcPr>
          <w:p w14:paraId="191D5C62"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6</w:t>
            </w:r>
          </w:p>
        </w:tc>
        <w:tc>
          <w:tcPr>
            <w:tcW w:w="2136" w:type="dxa"/>
            <w:tcBorders>
              <w:top w:val="nil"/>
              <w:left w:val="nil"/>
              <w:bottom w:val="nil"/>
              <w:right w:val="nil"/>
            </w:tcBorders>
            <w:shd w:val="clear" w:color="auto" w:fill="FFFFFF"/>
            <w:vAlign w:val="center"/>
            <w:hideMark/>
          </w:tcPr>
          <w:p w14:paraId="166DD719"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Academic Interest </w:t>
            </w:r>
          </w:p>
        </w:tc>
        <w:tc>
          <w:tcPr>
            <w:tcW w:w="813" w:type="dxa"/>
            <w:tcBorders>
              <w:top w:val="nil"/>
              <w:left w:val="nil"/>
              <w:bottom w:val="nil"/>
              <w:right w:val="nil"/>
            </w:tcBorders>
            <w:shd w:val="clear" w:color="auto" w:fill="FFFFFF"/>
            <w:vAlign w:val="center"/>
            <w:hideMark/>
          </w:tcPr>
          <w:p w14:paraId="0EE1961A"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.491</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7F4829E0"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.127</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0E7B6CB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-.113</w:t>
            </w:r>
            <w:r w:rsidRPr="003F2E2C">
              <w:rPr>
                <w:rFonts w:ascii="Times New Roman" w:eastAsia="Calibri" w:hAnsi="Times New Roman" w:cs="Times New Roman"/>
                <w:sz w:val="20"/>
                <w:szCs w:val="20"/>
                <w:vertAlign w:val="superscript"/>
              </w:rPr>
              <w:t>*</w:t>
            </w:r>
          </w:p>
        </w:tc>
        <w:tc>
          <w:tcPr>
            <w:tcW w:w="713" w:type="dxa"/>
            <w:tcBorders>
              <w:top w:val="nil"/>
              <w:left w:val="nil"/>
              <w:bottom w:val="nil"/>
              <w:right w:val="nil"/>
            </w:tcBorders>
            <w:shd w:val="clear" w:color="auto" w:fill="FFFFFF"/>
            <w:vAlign w:val="center"/>
            <w:hideMark/>
          </w:tcPr>
          <w:p w14:paraId="30056E9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.193</w:t>
            </w:r>
            <w:r w:rsidRPr="003F2E2C">
              <w:rPr>
                <w:rFonts w:ascii="Times New Roman" w:eastAsia="Calibri" w:hAnsi="Times New Roman" w:cs="Times New Roman"/>
                <w:sz w:val="20"/>
                <w:szCs w:val="20"/>
                <w:vertAlign w:val="superscript"/>
              </w:rPr>
              <w:t>**</w:t>
            </w:r>
          </w:p>
        </w:tc>
        <w:tc>
          <w:tcPr>
            <w:tcW w:w="713" w:type="dxa"/>
            <w:tcBorders>
              <w:top w:val="nil"/>
              <w:left w:val="nil"/>
              <w:bottom w:val="nil"/>
              <w:right w:val="nil"/>
            </w:tcBorders>
            <w:shd w:val="clear" w:color="auto" w:fill="FFFFFF"/>
            <w:vAlign w:val="center"/>
            <w:hideMark/>
          </w:tcPr>
          <w:p w14:paraId="5B703161"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.384</w:t>
            </w:r>
            <w:r w:rsidRPr="003F2E2C">
              <w:rPr>
                <w:rFonts w:ascii="Times New Roman" w:eastAsia="Calibri" w:hAnsi="Times New Roman" w:cs="Times New Roman"/>
                <w:sz w:val="20"/>
                <w:szCs w:val="20"/>
                <w:vertAlign w:val="superscript"/>
              </w:rPr>
              <w:t>**</w:t>
            </w:r>
          </w:p>
        </w:tc>
        <w:tc>
          <w:tcPr>
            <w:tcW w:w="814" w:type="dxa"/>
            <w:tcBorders>
              <w:top w:val="nil"/>
              <w:left w:val="nil"/>
              <w:bottom w:val="nil"/>
              <w:right w:val="nil"/>
            </w:tcBorders>
            <w:shd w:val="clear" w:color="auto" w:fill="FFFFFF"/>
            <w:vAlign w:val="center"/>
            <w:hideMark/>
          </w:tcPr>
          <w:p w14:paraId="7A233B9D"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616" w:type="dxa"/>
            <w:tcBorders>
              <w:top w:val="nil"/>
              <w:left w:val="nil"/>
              <w:bottom w:val="nil"/>
              <w:right w:val="nil"/>
            </w:tcBorders>
            <w:shd w:val="clear" w:color="auto" w:fill="FFFFFF"/>
            <w:vAlign w:val="center"/>
          </w:tcPr>
          <w:p w14:paraId="34B2ED06"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p>
        </w:tc>
        <w:tc>
          <w:tcPr>
            <w:tcW w:w="713" w:type="dxa"/>
            <w:tcBorders>
              <w:top w:val="nil"/>
              <w:left w:val="nil"/>
              <w:bottom w:val="nil"/>
              <w:right w:val="nil"/>
            </w:tcBorders>
            <w:shd w:val="clear" w:color="auto" w:fill="FFFFFF"/>
            <w:hideMark/>
          </w:tcPr>
          <w:p w14:paraId="4F3BC3BD"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3.57</w:t>
            </w:r>
          </w:p>
        </w:tc>
        <w:tc>
          <w:tcPr>
            <w:tcW w:w="814" w:type="dxa"/>
            <w:tcBorders>
              <w:top w:val="nil"/>
              <w:left w:val="nil"/>
              <w:bottom w:val="nil"/>
              <w:right w:val="nil"/>
            </w:tcBorders>
            <w:shd w:val="clear" w:color="auto" w:fill="FFFFFF"/>
            <w:hideMark/>
          </w:tcPr>
          <w:p w14:paraId="42D10B38"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.929</w:t>
            </w:r>
          </w:p>
        </w:tc>
      </w:tr>
      <w:tr w:rsidR="003F2E2C" w:rsidRPr="003F2E2C" w14:paraId="744B1E46" w14:textId="77777777" w:rsidTr="0013597C">
        <w:trPr>
          <w:cantSplit/>
          <w:trHeight w:val="387"/>
        </w:trPr>
        <w:tc>
          <w:tcPr>
            <w:tcW w:w="321" w:type="dxa"/>
            <w:tcBorders>
              <w:top w:val="nil"/>
              <w:left w:val="nil"/>
              <w:bottom w:val="single" w:sz="4" w:space="0" w:color="auto"/>
              <w:right w:val="nil"/>
            </w:tcBorders>
            <w:shd w:val="clear" w:color="auto" w:fill="FFFFFF"/>
            <w:vAlign w:val="center"/>
            <w:hideMark/>
          </w:tcPr>
          <w:p w14:paraId="165A671D"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20"/>
              </w:rPr>
              <w:t>7</w:t>
            </w:r>
          </w:p>
        </w:tc>
        <w:tc>
          <w:tcPr>
            <w:tcW w:w="2136" w:type="dxa"/>
            <w:tcBorders>
              <w:top w:val="nil"/>
              <w:left w:val="nil"/>
              <w:bottom w:val="single" w:sz="4" w:space="0" w:color="auto"/>
              <w:right w:val="nil"/>
            </w:tcBorders>
            <w:shd w:val="clear" w:color="auto" w:fill="FFFFFF"/>
            <w:vAlign w:val="center"/>
            <w:hideMark/>
          </w:tcPr>
          <w:p w14:paraId="253291FD"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Learning Attitude</w:t>
            </w:r>
          </w:p>
        </w:tc>
        <w:tc>
          <w:tcPr>
            <w:tcW w:w="813" w:type="dxa"/>
            <w:tcBorders>
              <w:top w:val="nil"/>
              <w:left w:val="nil"/>
              <w:bottom w:val="single" w:sz="4" w:space="0" w:color="auto"/>
              <w:right w:val="nil"/>
            </w:tcBorders>
            <w:shd w:val="clear" w:color="auto" w:fill="FFFFFF"/>
            <w:vAlign w:val="center"/>
            <w:hideMark/>
          </w:tcPr>
          <w:p w14:paraId="20175135"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.423</w:t>
            </w:r>
            <w:r w:rsidRPr="003F2E2C">
              <w:rPr>
                <w:rFonts w:ascii="Times New Roman" w:eastAsia="Calibri" w:hAnsi="Times New Roman" w:cs="Times New Roman"/>
                <w:sz w:val="20"/>
                <w:szCs w:val="20"/>
                <w:vertAlign w:val="superscript"/>
              </w:rPr>
              <w:t>**</w:t>
            </w:r>
          </w:p>
        </w:tc>
        <w:tc>
          <w:tcPr>
            <w:tcW w:w="814" w:type="dxa"/>
            <w:tcBorders>
              <w:top w:val="nil"/>
              <w:left w:val="nil"/>
              <w:bottom w:val="single" w:sz="4" w:space="0" w:color="auto"/>
              <w:right w:val="nil"/>
            </w:tcBorders>
            <w:shd w:val="clear" w:color="auto" w:fill="FFFFFF"/>
            <w:vAlign w:val="center"/>
            <w:hideMark/>
          </w:tcPr>
          <w:p w14:paraId="39931DDE"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.125</w:t>
            </w:r>
            <w:r w:rsidRPr="003F2E2C">
              <w:rPr>
                <w:rFonts w:ascii="Times New Roman" w:eastAsia="Calibri" w:hAnsi="Times New Roman" w:cs="Times New Roman"/>
                <w:sz w:val="20"/>
                <w:szCs w:val="20"/>
                <w:vertAlign w:val="superscript"/>
              </w:rPr>
              <w:t>**</w:t>
            </w:r>
          </w:p>
        </w:tc>
        <w:tc>
          <w:tcPr>
            <w:tcW w:w="814" w:type="dxa"/>
            <w:tcBorders>
              <w:top w:val="nil"/>
              <w:left w:val="nil"/>
              <w:bottom w:val="single" w:sz="4" w:space="0" w:color="auto"/>
              <w:right w:val="nil"/>
            </w:tcBorders>
            <w:shd w:val="clear" w:color="auto" w:fill="FFFFFF"/>
            <w:vAlign w:val="center"/>
            <w:hideMark/>
          </w:tcPr>
          <w:p w14:paraId="5BEDAFA7"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-.224</w:t>
            </w:r>
            <w:r w:rsidRPr="003F2E2C">
              <w:rPr>
                <w:rFonts w:ascii="Times New Roman" w:eastAsia="Calibri" w:hAnsi="Times New Roman" w:cs="Times New Roman"/>
                <w:sz w:val="20"/>
                <w:szCs w:val="20"/>
                <w:vertAlign w:val="superscript"/>
              </w:rPr>
              <w:t>**</w:t>
            </w:r>
          </w:p>
        </w:tc>
        <w:tc>
          <w:tcPr>
            <w:tcW w:w="713" w:type="dxa"/>
            <w:tcBorders>
              <w:top w:val="nil"/>
              <w:left w:val="nil"/>
              <w:bottom w:val="single" w:sz="4" w:space="0" w:color="auto"/>
              <w:right w:val="nil"/>
            </w:tcBorders>
            <w:shd w:val="clear" w:color="auto" w:fill="FFFFFF"/>
            <w:vAlign w:val="center"/>
            <w:hideMark/>
          </w:tcPr>
          <w:p w14:paraId="487889FC"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.325</w:t>
            </w:r>
            <w:r w:rsidRPr="003F2E2C">
              <w:rPr>
                <w:rFonts w:ascii="Times New Roman" w:eastAsia="Calibri" w:hAnsi="Times New Roman" w:cs="Times New Roman"/>
                <w:sz w:val="20"/>
                <w:szCs w:val="20"/>
                <w:vertAlign w:val="superscript"/>
              </w:rPr>
              <w:t>**</w:t>
            </w:r>
          </w:p>
        </w:tc>
        <w:tc>
          <w:tcPr>
            <w:tcW w:w="713" w:type="dxa"/>
            <w:tcBorders>
              <w:top w:val="nil"/>
              <w:left w:val="nil"/>
              <w:bottom w:val="single" w:sz="4" w:space="0" w:color="auto"/>
              <w:right w:val="nil"/>
            </w:tcBorders>
            <w:shd w:val="clear" w:color="auto" w:fill="FFFFFF"/>
            <w:vAlign w:val="center"/>
            <w:hideMark/>
          </w:tcPr>
          <w:p w14:paraId="53526D1A"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.399</w:t>
            </w:r>
            <w:r w:rsidRPr="003F2E2C">
              <w:rPr>
                <w:rFonts w:ascii="Times New Roman" w:eastAsia="Calibri" w:hAnsi="Times New Roman" w:cs="Times New Roman"/>
                <w:sz w:val="20"/>
                <w:szCs w:val="20"/>
                <w:vertAlign w:val="superscript"/>
              </w:rPr>
              <w:t>**</w:t>
            </w:r>
          </w:p>
        </w:tc>
        <w:tc>
          <w:tcPr>
            <w:tcW w:w="814" w:type="dxa"/>
            <w:tcBorders>
              <w:top w:val="nil"/>
              <w:left w:val="nil"/>
              <w:bottom w:val="single" w:sz="4" w:space="0" w:color="auto"/>
              <w:right w:val="nil"/>
            </w:tcBorders>
            <w:shd w:val="clear" w:color="auto" w:fill="FFFFFF"/>
            <w:vAlign w:val="center"/>
            <w:hideMark/>
          </w:tcPr>
          <w:p w14:paraId="1C304F25"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.317</w:t>
            </w:r>
            <w:r w:rsidRPr="003F2E2C">
              <w:rPr>
                <w:rFonts w:ascii="Times New Roman" w:eastAsia="Calibri" w:hAnsi="Times New Roman" w:cs="Times New Roman"/>
                <w:sz w:val="20"/>
                <w:szCs w:val="20"/>
                <w:vertAlign w:val="superscript"/>
              </w:rPr>
              <w:t>**</w:t>
            </w:r>
          </w:p>
        </w:tc>
        <w:tc>
          <w:tcPr>
            <w:tcW w:w="616" w:type="dxa"/>
            <w:tcBorders>
              <w:top w:val="nil"/>
              <w:left w:val="nil"/>
              <w:bottom w:val="single" w:sz="4" w:space="0" w:color="auto"/>
              <w:right w:val="nil"/>
            </w:tcBorders>
            <w:shd w:val="clear" w:color="auto" w:fill="FFFFFF"/>
            <w:vAlign w:val="center"/>
            <w:hideMark/>
          </w:tcPr>
          <w:p w14:paraId="045909F9" w14:textId="77777777" w:rsidR="00917896" w:rsidRPr="003F2E2C" w:rsidRDefault="00917896" w:rsidP="00917896">
            <w:pPr>
              <w:autoSpaceDE w:val="0"/>
              <w:autoSpaceDN w:val="0"/>
              <w:adjustRightInd w:val="0"/>
              <w:spacing w:after="0" w:line="360" w:lineRule="auto"/>
              <w:ind w:left="60" w:right="60"/>
              <w:rPr>
                <w:rFonts w:ascii="Times New Roman" w:eastAsia="Calibri" w:hAnsi="Times New Roman" w:cs="Times New Roman"/>
                <w:sz w:val="20"/>
                <w:szCs w:val="20"/>
              </w:rPr>
            </w:pPr>
            <w:r w:rsidRPr="003F2E2C">
              <w:rPr>
                <w:rFonts w:ascii="Times New Roman" w:eastAsia="Calibri" w:hAnsi="Times New Roman" w:cs="Times New Roman"/>
                <w:sz w:val="20"/>
                <w:szCs w:val="20"/>
              </w:rPr>
              <w:t>1</w:t>
            </w:r>
          </w:p>
        </w:tc>
        <w:tc>
          <w:tcPr>
            <w:tcW w:w="713" w:type="dxa"/>
            <w:tcBorders>
              <w:top w:val="nil"/>
              <w:left w:val="nil"/>
              <w:bottom w:val="single" w:sz="4" w:space="0" w:color="auto"/>
              <w:right w:val="nil"/>
            </w:tcBorders>
            <w:shd w:val="clear" w:color="auto" w:fill="FFFFFF"/>
            <w:hideMark/>
          </w:tcPr>
          <w:p w14:paraId="66E04C87"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3.48</w:t>
            </w:r>
          </w:p>
        </w:tc>
        <w:tc>
          <w:tcPr>
            <w:tcW w:w="814" w:type="dxa"/>
            <w:tcBorders>
              <w:top w:val="nil"/>
              <w:left w:val="nil"/>
              <w:bottom w:val="single" w:sz="4" w:space="0" w:color="auto"/>
              <w:right w:val="nil"/>
            </w:tcBorders>
            <w:shd w:val="clear" w:color="auto" w:fill="FFFFFF"/>
            <w:hideMark/>
          </w:tcPr>
          <w:p w14:paraId="45E4C44A" w14:textId="77777777" w:rsidR="00917896" w:rsidRPr="003F2E2C" w:rsidRDefault="00917896" w:rsidP="00917896">
            <w:pPr>
              <w:autoSpaceDE w:val="0"/>
              <w:autoSpaceDN w:val="0"/>
              <w:adjustRightInd w:val="0"/>
              <w:spacing w:after="0" w:line="360" w:lineRule="auto"/>
              <w:ind w:left="60" w:right="60"/>
              <w:jc w:val="right"/>
              <w:rPr>
                <w:rFonts w:ascii="Times New Roman" w:eastAsia="Calibri" w:hAnsi="Times New Roman" w:cs="Times New Roman"/>
                <w:sz w:val="20"/>
                <w:szCs w:val="20"/>
              </w:rPr>
            </w:pPr>
            <w:r w:rsidRPr="003F2E2C">
              <w:rPr>
                <w:rFonts w:ascii="Times New Roman" w:eastAsia="Calibri" w:hAnsi="Times New Roman" w:cs="Times New Roman"/>
                <w:sz w:val="20"/>
                <w:szCs w:val="18"/>
              </w:rPr>
              <w:t>.988</w:t>
            </w:r>
          </w:p>
        </w:tc>
      </w:tr>
    </w:tbl>
    <w:p w14:paraId="00D56A01" w14:textId="77777777" w:rsidR="00917896" w:rsidRPr="003F2E2C" w:rsidRDefault="00917896" w:rsidP="00917896">
      <w:pPr>
        <w:autoSpaceDE w:val="0"/>
        <w:autoSpaceDN w:val="0"/>
        <w:adjustRightInd w:val="0"/>
        <w:spacing w:after="100" w:afterAutospacing="1" w:line="240" w:lineRule="auto"/>
        <w:jc w:val="both"/>
        <w:rPr>
          <w:rFonts w:ascii="Times New Roman" w:eastAsia="Calibri" w:hAnsi="Times New Roman" w:cs="Times New Roman"/>
          <w:sz w:val="20"/>
          <w:szCs w:val="20"/>
        </w:rPr>
      </w:pPr>
      <w:r w:rsidRPr="003F2E2C">
        <w:rPr>
          <w:rFonts w:ascii="Times New Roman" w:eastAsia="Calibri" w:hAnsi="Times New Roman" w:cs="Times New Roman"/>
          <w:sz w:val="20"/>
          <w:szCs w:val="20"/>
        </w:rPr>
        <w:t xml:space="preserve">Notes; </w:t>
      </w:r>
      <w:r w:rsidRPr="003F2E2C">
        <w:rPr>
          <w:rFonts w:ascii="Times New Roman" w:eastAsia="Calibri" w:hAnsi="Times New Roman" w:cs="Times New Roman"/>
          <w:sz w:val="20"/>
          <w:szCs w:val="20"/>
          <w:vertAlign w:val="superscript"/>
        </w:rPr>
        <w:t>*</w:t>
      </w:r>
      <w:r w:rsidRPr="003F2E2C">
        <w:rPr>
          <w:rFonts w:ascii="Times New Roman" w:eastAsia="Calibri" w:hAnsi="Times New Roman" w:cs="Times New Roman"/>
          <w:sz w:val="20"/>
          <w:szCs w:val="20"/>
        </w:rPr>
        <w:t xml:space="preserve">p &lt; .05 (2-tailed); </w:t>
      </w:r>
      <w:r w:rsidRPr="003F2E2C">
        <w:rPr>
          <w:rFonts w:ascii="Times New Roman" w:eastAsia="Calibri" w:hAnsi="Times New Roman" w:cs="Times New Roman"/>
          <w:sz w:val="20"/>
          <w:szCs w:val="20"/>
          <w:vertAlign w:val="superscript"/>
        </w:rPr>
        <w:t>**</w:t>
      </w:r>
      <w:r w:rsidRPr="003F2E2C">
        <w:rPr>
          <w:rFonts w:ascii="Times New Roman" w:eastAsia="Calibri" w:hAnsi="Times New Roman" w:cs="Times New Roman"/>
          <w:sz w:val="20"/>
          <w:szCs w:val="20"/>
        </w:rPr>
        <w:t xml:space="preserve">p &lt; .01 (2-tailed); </w:t>
      </w:r>
      <w:r w:rsidRPr="003F2E2C">
        <w:rPr>
          <w:rFonts w:ascii="Times New Roman" w:eastAsia="Calibri" w:hAnsi="Times New Roman" w:cs="Times New Roman"/>
          <w:sz w:val="20"/>
          <w:szCs w:val="20"/>
          <w:vertAlign w:val="superscript"/>
        </w:rPr>
        <w:t>1</w:t>
      </w:r>
      <w:r w:rsidRPr="003F2E2C">
        <w:rPr>
          <w:rFonts w:ascii="Times New Roman" w:eastAsia="Calibri" w:hAnsi="Times New Roman" w:cs="Times New Roman"/>
          <w:sz w:val="20"/>
          <w:szCs w:val="20"/>
        </w:rPr>
        <w:t>dummy variables (gender: male=1; female =0; level: SHS=1; tertiary=0)</w:t>
      </w:r>
    </w:p>
    <w:p w14:paraId="5FC68071" w14:textId="77777777" w:rsidR="00CB0583" w:rsidRPr="003F2E2C" w:rsidRDefault="00CB0583" w:rsidP="00917896">
      <w:pPr>
        <w:spacing w:before="100" w:beforeAutospacing="1" w:after="0" w:line="240" w:lineRule="auto"/>
        <w:jc w:val="both"/>
        <w:rPr>
          <w:rFonts w:ascii="Times New Roman" w:eastAsia="Calibri" w:hAnsi="Times New Roman" w:cs="Times New Roman"/>
          <w:b/>
          <w:sz w:val="24"/>
          <w:szCs w:val="24"/>
        </w:rPr>
      </w:pPr>
    </w:p>
    <w:p w14:paraId="16506489" w14:textId="5FC9E797" w:rsidR="00917896" w:rsidRPr="003F2E2C" w:rsidRDefault="00917896" w:rsidP="00917896">
      <w:pPr>
        <w:spacing w:before="100" w:beforeAutospacing="1" w:after="0" w:line="240" w:lineRule="auto"/>
        <w:jc w:val="both"/>
        <w:rPr>
          <w:rFonts w:ascii="Times New Roman" w:eastAsia="Calibri" w:hAnsi="Times New Roman" w:cs="Times New Roman"/>
          <w:b/>
          <w:sz w:val="24"/>
          <w:szCs w:val="24"/>
        </w:rPr>
      </w:pPr>
      <w:r w:rsidRPr="003F2E2C">
        <w:rPr>
          <w:rFonts w:ascii="Times New Roman" w:eastAsia="Calibri" w:hAnsi="Times New Roman" w:cs="Times New Roman"/>
          <w:b/>
          <w:sz w:val="24"/>
          <w:szCs w:val="24"/>
        </w:rPr>
        <w:t xml:space="preserve">Table 3. Regression analysis results </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701"/>
        <w:gridCol w:w="1706"/>
        <w:gridCol w:w="1980"/>
        <w:gridCol w:w="1224"/>
      </w:tblGrid>
      <w:tr w:rsidR="003F2E2C" w:rsidRPr="003F2E2C" w14:paraId="5B5CDF35" w14:textId="77777777" w:rsidTr="0013597C">
        <w:tc>
          <w:tcPr>
            <w:tcW w:w="2405" w:type="dxa"/>
          </w:tcPr>
          <w:p w14:paraId="252D89C7" w14:textId="77777777" w:rsidR="00917896" w:rsidRPr="003F2E2C" w:rsidRDefault="00917896" w:rsidP="00917896">
            <w:pPr>
              <w:autoSpaceDE w:val="0"/>
              <w:autoSpaceDN w:val="0"/>
              <w:adjustRightInd w:val="0"/>
              <w:rPr>
                <w:rFonts w:eastAsia="Calibri"/>
                <w:sz w:val="20"/>
                <w:szCs w:val="20"/>
              </w:rPr>
            </w:pPr>
          </w:p>
        </w:tc>
        <w:tc>
          <w:tcPr>
            <w:tcW w:w="5387" w:type="dxa"/>
            <w:gridSpan w:val="3"/>
            <w:tcBorders>
              <w:top w:val="single" w:sz="4" w:space="0" w:color="auto"/>
              <w:bottom w:val="single" w:sz="4" w:space="0" w:color="auto"/>
            </w:tcBorders>
          </w:tcPr>
          <w:p w14:paraId="5F0B6A80"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Standardised estimates (t-values)</w:t>
            </w:r>
          </w:p>
        </w:tc>
        <w:tc>
          <w:tcPr>
            <w:tcW w:w="1224" w:type="dxa"/>
            <w:vMerge w:val="restart"/>
            <w:vAlign w:val="center"/>
          </w:tcPr>
          <w:p w14:paraId="54019278" w14:textId="77777777" w:rsidR="00917896" w:rsidRPr="003F2E2C" w:rsidRDefault="00917896" w:rsidP="00917896">
            <w:pPr>
              <w:autoSpaceDE w:val="0"/>
              <w:autoSpaceDN w:val="0"/>
              <w:adjustRightInd w:val="0"/>
              <w:spacing w:beforeAutospacing="1" w:afterAutospacing="1"/>
              <w:rPr>
                <w:rFonts w:eastAsia="Calibri"/>
                <w:sz w:val="20"/>
                <w:szCs w:val="20"/>
              </w:rPr>
            </w:pPr>
            <w:r w:rsidRPr="003F2E2C">
              <w:rPr>
                <w:rFonts w:eastAsia="Calibri"/>
                <w:sz w:val="20"/>
                <w:szCs w:val="20"/>
              </w:rPr>
              <w:t>VIF</w:t>
            </w:r>
          </w:p>
        </w:tc>
      </w:tr>
      <w:tr w:rsidR="003F2E2C" w:rsidRPr="003F2E2C" w14:paraId="24DBD7FE" w14:textId="77777777" w:rsidTr="0013597C">
        <w:tc>
          <w:tcPr>
            <w:tcW w:w="2405" w:type="dxa"/>
          </w:tcPr>
          <w:p w14:paraId="14EBD763"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Predictors:</w:t>
            </w:r>
          </w:p>
        </w:tc>
        <w:tc>
          <w:tcPr>
            <w:tcW w:w="1701" w:type="dxa"/>
            <w:tcBorders>
              <w:top w:val="single" w:sz="4" w:space="0" w:color="auto"/>
              <w:bottom w:val="single" w:sz="4" w:space="0" w:color="auto"/>
            </w:tcBorders>
          </w:tcPr>
          <w:p w14:paraId="36B2B05B"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Model 1</w:t>
            </w:r>
          </w:p>
        </w:tc>
        <w:tc>
          <w:tcPr>
            <w:tcW w:w="1706" w:type="dxa"/>
            <w:tcBorders>
              <w:top w:val="single" w:sz="4" w:space="0" w:color="auto"/>
              <w:bottom w:val="single" w:sz="4" w:space="0" w:color="auto"/>
            </w:tcBorders>
          </w:tcPr>
          <w:p w14:paraId="0024602A"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Model 2</w:t>
            </w:r>
          </w:p>
        </w:tc>
        <w:tc>
          <w:tcPr>
            <w:tcW w:w="1980" w:type="dxa"/>
            <w:tcBorders>
              <w:top w:val="single" w:sz="4" w:space="0" w:color="auto"/>
              <w:bottom w:val="single" w:sz="4" w:space="0" w:color="auto"/>
            </w:tcBorders>
          </w:tcPr>
          <w:p w14:paraId="0E89DB37"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Model 3</w:t>
            </w:r>
          </w:p>
        </w:tc>
        <w:tc>
          <w:tcPr>
            <w:tcW w:w="1224" w:type="dxa"/>
            <w:vMerge/>
            <w:tcBorders>
              <w:bottom w:val="single" w:sz="4" w:space="0" w:color="auto"/>
            </w:tcBorders>
          </w:tcPr>
          <w:p w14:paraId="59AB8A0C" w14:textId="77777777" w:rsidR="00917896" w:rsidRPr="003F2E2C" w:rsidRDefault="00917896" w:rsidP="00917896">
            <w:pPr>
              <w:autoSpaceDE w:val="0"/>
              <w:autoSpaceDN w:val="0"/>
              <w:adjustRightInd w:val="0"/>
              <w:rPr>
                <w:rFonts w:eastAsia="Calibri"/>
                <w:sz w:val="20"/>
                <w:szCs w:val="20"/>
              </w:rPr>
            </w:pPr>
          </w:p>
        </w:tc>
      </w:tr>
      <w:tr w:rsidR="003F2E2C" w:rsidRPr="003F2E2C" w14:paraId="23E0C682" w14:textId="77777777" w:rsidTr="0013597C">
        <w:tc>
          <w:tcPr>
            <w:tcW w:w="2405" w:type="dxa"/>
          </w:tcPr>
          <w:p w14:paraId="20F9EAF7"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Gender</w:t>
            </w:r>
          </w:p>
        </w:tc>
        <w:tc>
          <w:tcPr>
            <w:tcW w:w="1701" w:type="dxa"/>
            <w:tcBorders>
              <w:top w:val="single" w:sz="4" w:space="0" w:color="auto"/>
            </w:tcBorders>
          </w:tcPr>
          <w:p w14:paraId="2EB7C858" w14:textId="77777777" w:rsidR="00917896" w:rsidRPr="003F2E2C" w:rsidRDefault="00917896" w:rsidP="00917896">
            <w:pPr>
              <w:autoSpaceDE w:val="0"/>
              <w:autoSpaceDN w:val="0"/>
              <w:adjustRightInd w:val="0"/>
              <w:rPr>
                <w:rFonts w:eastAsia="Calibri"/>
                <w:sz w:val="20"/>
                <w:szCs w:val="20"/>
                <w:vertAlign w:val="superscript"/>
              </w:rPr>
            </w:pPr>
            <w:r w:rsidRPr="003F2E2C">
              <w:rPr>
                <w:rFonts w:eastAsia="Calibri"/>
                <w:sz w:val="20"/>
                <w:szCs w:val="20"/>
              </w:rPr>
              <w:t xml:space="preserve">.213 (5.111) </w:t>
            </w:r>
            <w:r w:rsidRPr="003F2E2C">
              <w:rPr>
                <w:rFonts w:eastAsia="Calibri"/>
                <w:sz w:val="20"/>
                <w:szCs w:val="20"/>
                <w:vertAlign w:val="superscript"/>
              </w:rPr>
              <w:t>**</w:t>
            </w:r>
          </w:p>
        </w:tc>
        <w:tc>
          <w:tcPr>
            <w:tcW w:w="1706" w:type="dxa"/>
            <w:tcBorders>
              <w:top w:val="single" w:sz="4" w:space="0" w:color="auto"/>
            </w:tcBorders>
          </w:tcPr>
          <w:p w14:paraId="5B8D9DCD"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.195 (5.110)</w:t>
            </w:r>
            <w:r w:rsidRPr="003F2E2C">
              <w:rPr>
                <w:rFonts w:eastAsia="Calibri"/>
                <w:sz w:val="20"/>
                <w:szCs w:val="20"/>
                <w:vertAlign w:val="superscript"/>
              </w:rPr>
              <w:t xml:space="preserve"> **</w:t>
            </w:r>
          </w:p>
        </w:tc>
        <w:tc>
          <w:tcPr>
            <w:tcW w:w="1980" w:type="dxa"/>
            <w:tcBorders>
              <w:top w:val="single" w:sz="4" w:space="0" w:color="auto"/>
            </w:tcBorders>
          </w:tcPr>
          <w:p w14:paraId="62EBA666"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.152 (4.316)</w:t>
            </w:r>
            <w:r w:rsidRPr="003F2E2C">
              <w:rPr>
                <w:rFonts w:eastAsia="Calibri"/>
                <w:sz w:val="20"/>
                <w:szCs w:val="20"/>
                <w:vertAlign w:val="superscript"/>
              </w:rPr>
              <w:t xml:space="preserve"> **</w:t>
            </w:r>
          </w:p>
        </w:tc>
        <w:tc>
          <w:tcPr>
            <w:tcW w:w="1224" w:type="dxa"/>
            <w:tcBorders>
              <w:top w:val="single" w:sz="4" w:space="0" w:color="auto"/>
            </w:tcBorders>
          </w:tcPr>
          <w:p w14:paraId="055B8A99"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1.039</w:t>
            </w:r>
          </w:p>
        </w:tc>
      </w:tr>
      <w:tr w:rsidR="003F2E2C" w:rsidRPr="003F2E2C" w14:paraId="530049FE" w14:textId="77777777" w:rsidTr="0013597C">
        <w:tc>
          <w:tcPr>
            <w:tcW w:w="2405" w:type="dxa"/>
          </w:tcPr>
          <w:p w14:paraId="012C222D"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Level</w:t>
            </w:r>
          </w:p>
        </w:tc>
        <w:tc>
          <w:tcPr>
            <w:tcW w:w="1701" w:type="dxa"/>
          </w:tcPr>
          <w:p w14:paraId="1527CDA0"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-.307 (-7.374)</w:t>
            </w:r>
            <w:r w:rsidRPr="003F2E2C">
              <w:rPr>
                <w:rFonts w:eastAsia="Calibri"/>
                <w:sz w:val="20"/>
                <w:szCs w:val="20"/>
                <w:vertAlign w:val="superscript"/>
              </w:rPr>
              <w:t xml:space="preserve"> **</w:t>
            </w:r>
          </w:p>
        </w:tc>
        <w:tc>
          <w:tcPr>
            <w:tcW w:w="1706" w:type="dxa"/>
          </w:tcPr>
          <w:p w14:paraId="33082C39"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-.272 (-7.101)</w:t>
            </w:r>
            <w:r w:rsidRPr="003F2E2C">
              <w:rPr>
                <w:rFonts w:eastAsia="Calibri"/>
                <w:sz w:val="20"/>
                <w:szCs w:val="20"/>
                <w:vertAlign w:val="superscript"/>
              </w:rPr>
              <w:t xml:space="preserve"> **</w:t>
            </w:r>
          </w:p>
        </w:tc>
        <w:tc>
          <w:tcPr>
            <w:tcW w:w="1980" w:type="dxa"/>
          </w:tcPr>
          <w:p w14:paraId="5B95556B"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-.224 (-6.262)</w:t>
            </w:r>
            <w:r w:rsidRPr="003F2E2C">
              <w:rPr>
                <w:rFonts w:eastAsia="Calibri"/>
                <w:sz w:val="20"/>
                <w:szCs w:val="20"/>
                <w:vertAlign w:val="superscript"/>
              </w:rPr>
              <w:t xml:space="preserve"> **</w:t>
            </w:r>
          </w:p>
        </w:tc>
        <w:tc>
          <w:tcPr>
            <w:tcW w:w="1224" w:type="dxa"/>
          </w:tcPr>
          <w:p w14:paraId="0AFACFBD"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1.074</w:t>
            </w:r>
          </w:p>
        </w:tc>
      </w:tr>
      <w:tr w:rsidR="003F2E2C" w:rsidRPr="003F2E2C" w14:paraId="35B0EF6B" w14:textId="77777777" w:rsidTr="0013597C">
        <w:tc>
          <w:tcPr>
            <w:tcW w:w="2405" w:type="dxa"/>
          </w:tcPr>
          <w:p w14:paraId="4D23884A" w14:textId="77777777" w:rsidR="00917896" w:rsidRPr="003F2E2C" w:rsidRDefault="00917896" w:rsidP="00917896">
            <w:pPr>
              <w:autoSpaceDE w:val="0"/>
              <w:autoSpaceDN w:val="0"/>
              <w:adjustRightInd w:val="0"/>
              <w:rPr>
                <w:rFonts w:eastAsia="Calibri"/>
                <w:sz w:val="20"/>
                <w:szCs w:val="20"/>
              </w:rPr>
            </w:pPr>
          </w:p>
        </w:tc>
        <w:tc>
          <w:tcPr>
            <w:tcW w:w="1701" w:type="dxa"/>
          </w:tcPr>
          <w:p w14:paraId="673051C0" w14:textId="77777777" w:rsidR="00917896" w:rsidRPr="003F2E2C" w:rsidRDefault="00917896" w:rsidP="00917896">
            <w:pPr>
              <w:autoSpaceDE w:val="0"/>
              <w:autoSpaceDN w:val="0"/>
              <w:adjustRightInd w:val="0"/>
              <w:rPr>
                <w:rFonts w:eastAsia="Calibri"/>
                <w:sz w:val="20"/>
                <w:szCs w:val="20"/>
              </w:rPr>
            </w:pPr>
          </w:p>
        </w:tc>
        <w:tc>
          <w:tcPr>
            <w:tcW w:w="1706" w:type="dxa"/>
          </w:tcPr>
          <w:p w14:paraId="43BD2EE8" w14:textId="77777777" w:rsidR="00917896" w:rsidRPr="003F2E2C" w:rsidRDefault="00917896" w:rsidP="00917896">
            <w:pPr>
              <w:autoSpaceDE w:val="0"/>
              <w:autoSpaceDN w:val="0"/>
              <w:adjustRightInd w:val="0"/>
              <w:rPr>
                <w:rFonts w:eastAsia="Calibri"/>
                <w:sz w:val="20"/>
                <w:szCs w:val="20"/>
              </w:rPr>
            </w:pPr>
          </w:p>
        </w:tc>
        <w:tc>
          <w:tcPr>
            <w:tcW w:w="1980" w:type="dxa"/>
          </w:tcPr>
          <w:p w14:paraId="4BBD534C" w14:textId="77777777" w:rsidR="00917896" w:rsidRPr="003F2E2C" w:rsidRDefault="00917896" w:rsidP="00917896">
            <w:pPr>
              <w:autoSpaceDE w:val="0"/>
              <w:autoSpaceDN w:val="0"/>
              <w:adjustRightInd w:val="0"/>
              <w:rPr>
                <w:rFonts w:eastAsia="Calibri"/>
                <w:sz w:val="20"/>
                <w:szCs w:val="20"/>
              </w:rPr>
            </w:pPr>
          </w:p>
        </w:tc>
        <w:tc>
          <w:tcPr>
            <w:tcW w:w="1224" w:type="dxa"/>
          </w:tcPr>
          <w:p w14:paraId="39315C5B" w14:textId="77777777" w:rsidR="00917896" w:rsidRPr="003F2E2C" w:rsidRDefault="00917896" w:rsidP="00917896">
            <w:pPr>
              <w:autoSpaceDE w:val="0"/>
              <w:autoSpaceDN w:val="0"/>
              <w:adjustRightInd w:val="0"/>
              <w:rPr>
                <w:rFonts w:eastAsia="Calibri"/>
                <w:sz w:val="20"/>
                <w:szCs w:val="20"/>
              </w:rPr>
            </w:pPr>
          </w:p>
        </w:tc>
      </w:tr>
      <w:tr w:rsidR="003F2E2C" w:rsidRPr="003F2E2C" w14:paraId="42E5B3E3" w14:textId="77777777" w:rsidTr="0013597C">
        <w:tc>
          <w:tcPr>
            <w:tcW w:w="2405" w:type="dxa"/>
          </w:tcPr>
          <w:p w14:paraId="5FDDA5F9"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 xml:space="preserve">Expectation </w:t>
            </w:r>
          </w:p>
        </w:tc>
        <w:tc>
          <w:tcPr>
            <w:tcW w:w="1701" w:type="dxa"/>
          </w:tcPr>
          <w:p w14:paraId="553533F2" w14:textId="77777777" w:rsidR="00917896" w:rsidRPr="003F2E2C" w:rsidRDefault="00917896" w:rsidP="00917896">
            <w:pPr>
              <w:autoSpaceDE w:val="0"/>
              <w:autoSpaceDN w:val="0"/>
              <w:adjustRightInd w:val="0"/>
              <w:rPr>
                <w:rFonts w:eastAsia="Calibri"/>
                <w:sz w:val="20"/>
                <w:szCs w:val="20"/>
              </w:rPr>
            </w:pPr>
          </w:p>
        </w:tc>
        <w:tc>
          <w:tcPr>
            <w:tcW w:w="1706" w:type="dxa"/>
          </w:tcPr>
          <w:p w14:paraId="7516B9BB"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.310 (8.042)</w:t>
            </w:r>
            <w:r w:rsidRPr="003F2E2C">
              <w:rPr>
                <w:rFonts w:eastAsia="Calibri"/>
                <w:sz w:val="20"/>
                <w:szCs w:val="20"/>
                <w:vertAlign w:val="superscript"/>
              </w:rPr>
              <w:t xml:space="preserve"> **</w:t>
            </w:r>
          </w:p>
        </w:tc>
        <w:tc>
          <w:tcPr>
            <w:tcW w:w="1980" w:type="dxa"/>
          </w:tcPr>
          <w:p w14:paraId="03E02D94"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.139 (3.534)</w:t>
            </w:r>
            <w:r w:rsidRPr="003F2E2C">
              <w:rPr>
                <w:rFonts w:eastAsia="Calibri"/>
                <w:sz w:val="20"/>
                <w:szCs w:val="20"/>
                <w:vertAlign w:val="superscript"/>
              </w:rPr>
              <w:t xml:space="preserve"> **</w:t>
            </w:r>
          </w:p>
        </w:tc>
        <w:tc>
          <w:tcPr>
            <w:tcW w:w="1224" w:type="dxa"/>
          </w:tcPr>
          <w:p w14:paraId="4A4136F2"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1.305</w:t>
            </w:r>
          </w:p>
        </w:tc>
      </w:tr>
      <w:tr w:rsidR="003F2E2C" w:rsidRPr="003F2E2C" w14:paraId="57C9DC21" w14:textId="77777777" w:rsidTr="0013597C">
        <w:tc>
          <w:tcPr>
            <w:tcW w:w="2405" w:type="dxa"/>
          </w:tcPr>
          <w:p w14:paraId="0132DA5E"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Volition</w:t>
            </w:r>
          </w:p>
        </w:tc>
        <w:tc>
          <w:tcPr>
            <w:tcW w:w="1701" w:type="dxa"/>
          </w:tcPr>
          <w:p w14:paraId="16F005E4" w14:textId="77777777" w:rsidR="00917896" w:rsidRPr="003F2E2C" w:rsidRDefault="00917896" w:rsidP="00917896">
            <w:pPr>
              <w:autoSpaceDE w:val="0"/>
              <w:autoSpaceDN w:val="0"/>
              <w:adjustRightInd w:val="0"/>
              <w:rPr>
                <w:rFonts w:eastAsia="Calibri"/>
                <w:sz w:val="20"/>
                <w:szCs w:val="20"/>
              </w:rPr>
            </w:pPr>
          </w:p>
        </w:tc>
        <w:tc>
          <w:tcPr>
            <w:tcW w:w="1706" w:type="dxa"/>
          </w:tcPr>
          <w:p w14:paraId="111EC91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.164 (4.281)</w:t>
            </w:r>
            <w:r w:rsidRPr="003F2E2C">
              <w:rPr>
                <w:rFonts w:eastAsia="Calibri"/>
                <w:sz w:val="20"/>
                <w:szCs w:val="20"/>
                <w:vertAlign w:val="superscript"/>
              </w:rPr>
              <w:t xml:space="preserve"> **</w:t>
            </w:r>
          </w:p>
        </w:tc>
        <w:tc>
          <w:tcPr>
            <w:tcW w:w="1980" w:type="dxa"/>
          </w:tcPr>
          <w:p w14:paraId="6514F40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.074 (2.021)</w:t>
            </w:r>
            <w:r w:rsidRPr="003F2E2C">
              <w:rPr>
                <w:rFonts w:eastAsia="Calibri"/>
                <w:sz w:val="20"/>
                <w:szCs w:val="20"/>
                <w:vertAlign w:val="superscript"/>
              </w:rPr>
              <w:t xml:space="preserve"> *</w:t>
            </w:r>
          </w:p>
        </w:tc>
        <w:tc>
          <w:tcPr>
            <w:tcW w:w="1224" w:type="dxa"/>
          </w:tcPr>
          <w:p w14:paraId="6FE24DA6"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1.133</w:t>
            </w:r>
          </w:p>
        </w:tc>
      </w:tr>
      <w:tr w:rsidR="003F2E2C" w:rsidRPr="003F2E2C" w14:paraId="430E114F" w14:textId="77777777" w:rsidTr="0013597C">
        <w:tc>
          <w:tcPr>
            <w:tcW w:w="2405" w:type="dxa"/>
          </w:tcPr>
          <w:p w14:paraId="760EBD8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Academic interest</w:t>
            </w:r>
          </w:p>
        </w:tc>
        <w:tc>
          <w:tcPr>
            <w:tcW w:w="1701" w:type="dxa"/>
          </w:tcPr>
          <w:p w14:paraId="2E8987DC" w14:textId="77777777" w:rsidR="00917896" w:rsidRPr="003F2E2C" w:rsidRDefault="00917896" w:rsidP="00917896">
            <w:pPr>
              <w:autoSpaceDE w:val="0"/>
              <w:autoSpaceDN w:val="0"/>
              <w:adjustRightInd w:val="0"/>
              <w:rPr>
                <w:rFonts w:eastAsia="Calibri"/>
                <w:sz w:val="20"/>
                <w:szCs w:val="20"/>
              </w:rPr>
            </w:pPr>
          </w:p>
        </w:tc>
        <w:tc>
          <w:tcPr>
            <w:tcW w:w="1706" w:type="dxa"/>
          </w:tcPr>
          <w:p w14:paraId="6D2DD62A" w14:textId="77777777" w:rsidR="00917896" w:rsidRPr="003F2E2C" w:rsidRDefault="00917896" w:rsidP="00917896">
            <w:pPr>
              <w:autoSpaceDE w:val="0"/>
              <w:autoSpaceDN w:val="0"/>
              <w:adjustRightInd w:val="0"/>
              <w:rPr>
                <w:rFonts w:eastAsia="Calibri"/>
                <w:sz w:val="20"/>
                <w:szCs w:val="20"/>
              </w:rPr>
            </w:pPr>
          </w:p>
        </w:tc>
        <w:tc>
          <w:tcPr>
            <w:tcW w:w="1980" w:type="dxa"/>
          </w:tcPr>
          <w:p w14:paraId="127E01E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.325 (8.434)</w:t>
            </w:r>
            <w:r w:rsidRPr="003F2E2C">
              <w:rPr>
                <w:rFonts w:eastAsia="Calibri"/>
                <w:sz w:val="20"/>
                <w:szCs w:val="20"/>
                <w:vertAlign w:val="superscript"/>
              </w:rPr>
              <w:t xml:space="preserve"> **</w:t>
            </w:r>
          </w:p>
        </w:tc>
        <w:tc>
          <w:tcPr>
            <w:tcW w:w="1224" w:type="dxa"/>
          </w:tcPr>
          <w:p w14:paraId="071B72C1"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1.244</w:t>
            </w:r>
          </w:p>
        </w:tc>
      </w:tr>
      <w:tr w:rsidR="003F2E2C" w:rsidRPr="003F2E2C" w14:paraId="74CEB7A4" w14:textId="77777777" w:rsidTr="0013597C">
        <w:tc>
          <w:tcPr>
            <w:tcW w:w="2405" w:type="dxa"/>
          </w:tcPr>
          <w:p w14:paraId="0DBACA36"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Learning attitude</w:t>
            </w:r>
          </w:p>
        </w:tc>
        <w:tc>
          <w:tcPr>
            <w:tcW w:w="1701" w:type="dxa"/>
          </w:tcPr>
          <w:p w14:paraId="51EC2A2C" w14:textId="77777777" w:rsidR="00917896" w:rsidRPr="003F2E2C" w:rsidRDefault="00917896" w:rsidP="00917896">
            <w:pPr>
              <w:autoSpaceDE w:val="0"/>
              <w:autoSpaceDN w:val="0"/>
              <w:adjustRightInd w:val="0"/>
              <w:rPr>
                <w:rFonts w:eastAsia="Calibri"/>
                <w:sz w:val="20"/>
                <w:szCs w:val="20"/>
              </w:rPr>
            </w:pPr>
          </w:p>
        </w:tc>
        <w:tc>
          <w:tcPr>
            <w:tcW w:w="1706" w:type="dxa"/>
          </w:tcPr>
          <w:p w14:paraId="6C1AA86F" w14:textId="77777777" w:rsidR="00917896" w:rsidRPr="003F2E2C" w:rsidRDefault="00917896" w:rsidP="00917896">
            <w:pPr>
              <w:autoSpaceDE w:val="0"/>
              <w:autoSpaceDN w:val="0"/>
              <w:adjustRightInd w:val="0"/>
              <w:rPr>
                <w:rFonts w:eastAsia="Calibri"/>
                <w:sz w:val="20"/>
                <w:szCs w:val="20"/>
              </w:rPr>
            </w:pPr>
          </w:p>
        </w:tc>
        <w:tc>
          <w:tcPr>
            <w:tcW w:w="1980" w:type="dxa"/>
          </w:tcPr>
          <w:p w14:paraId="55BC8AFB"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.170 (4.155)</w:t>
            </w:r>
            <w:r w:rsidRPr="003F2E2C">
              <w:rPr>
                <w:rFonts w:eastAsia="Calibri"/>
                <w:sz w:val="20"/>
                <w:szCs w:val="20"/>
                <w:vertAlign w:val="superscript"/>
              </w:rPr>
              <w:t xml:space="preserve"> **</w:t>
            </w:r>
          </w:p>
        </w:tc>
        <w:tc>
          <w:tcPr>
            <w:tcW w:w="1224" w:type="dxa"/>
          </w:tcPr>
          <w:p w14:paraId="3D2CA550"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1.398</w:t>
            </w:r>
          </w:p>
        </w:tc>
      </w:tr>
      <w:tr w:rsidR="003F2E2C" w:rsidRPr="003F2E2C" w14:paraId="37801387" w14:textId="77777777" w:rsidTr="0013597C">
        <w:tc>
          <w:tcPr>
            <w:tcW w:w="2405" w:type="dxa"/>
          </w:tcPr>
          <w:p w14:paraId="3967F6A7" w14:textId="77777777" w:rsidR="00917896" w:rsidRPr="003F2E2C" w:rsidRDefault="00917896" w:rsidP="00917896">
            <w:pPr>
              <w:autoSpaceDE w:val="0"/>
              <w:autoSpaceDN w:val="0"/>
              <w:adjustRightInd w:val="0"/>
              <w:rPr>
                <w:rFonts w:eastAsia="Calibri"/>
                <w:sz w:val="20"/>
                <w:szCs w:val="20"/>
              </w:rPr>
            </w:pPr>
          </w:p>
        </w:tc>
        <w:tc>
          <w:tcPr>
            <w:tcW w:w="1701" w:type="dxa"/>
          </w:tcPr>
          <w:p w14:paraId="646E4A0B" w14:textId="77777777" w:rsidR="00917896" w:rsidRPr="003F2E2C" w:rsidRDefault="00917896" w:rsidP="00917896">
            <w:pPr>
              <w:autoSpaceDE w:val="0"/>
              <w:autoSpaceDN w:val="0"/>
              <w:adjustRightInd w:val="0"/>
              <w:rPr>
                <w:rFonts w:eastAsia="Calibri"/>
                <w:sz w:val="20"/>
                <w:szCs w:val="20"/>
              </w:rPr>
            </w:pPr>
          </w:p>
        </w:tc>
        <w:tc>
          <w:tcPr>
            <w:tcW w:w="1706" w:type="dxa"/>
          </w:tcPr>
          <w:p w14:paraId="761B7EFB" w14:textId="77777777" w:rsidR="00917896" w:rsidRPr="003F2E2C" w:rsidRDefault="00917896" w:rsidP="00917896">
            <w:pPr>
              <w:autoSpaceDE w:val="0"/>
              <w:autoSpaceDN w:val="0"/>
              <w:adjustRightInd w:val="0"/>
              <w:rPr>
                <w:rFonts w:eastAsia="Calibri"/>
                <w:sz w:val="20"/>
                <w:szCs w:val="20"/>
              </w:rPr>
            </w:pPr>
          </w:p>
        </w:tc>
        <w:tc>
          <w:tcPr>
            <w:tcW w:w="1980" w:type="dxa"/>
          </w:tcPr>
          <w:p w14:paraId="17E34E1C" w14:textId="77777777" w:rsidR="00917896" w:rsidRPr="003F2E2C" w:rsidRDefault="00917896" w:rsidP="00917896">
            <w:pPr>
              <w:autoSpaceDE w:val="0"/>
              <w:autoSpaceDN w:val="0"/>
              <w:adjustRightInd w:val="0"/>
              <w:rPr>
                <w:rFonts w:eastAsia="Calibri"/>
                <w:sz w:val="20"/>
                <w:szCs w:val="20"/>
              </w:rPr>
            </w:pPr>
          </w:p>
        </w:tc>
        <w:tc>
          <w:tcPr>
            <w:tcW w:w="1224" w:type="dxa"/>
          </w:tcPr>
          <w:p w14:paraId="06384372" w14:textId="77777777" w:rsidR="00917896" w:rsidRPr="003F2E2C" w:rsidRDefault="00917896" w:rsidP="00917896">
            <w:pPr>
              <w:autoSpaceDE w:val="0"/>
              <w:autoSpaceDN w:val="0"/>
              <w:adjustRightInd w:val="0"/>
              <w:rPr>
                <w:rFonts w:eastAsia="Calibri"/>
                <w:sz w:val="20"/>
                <w:szCs w:val="20"/>
              </w:rPr>
            </w:pPr>
          </w:p>
        </w:tc>
      </w:tr>
      <w:tr w:rsidR="003F2E2C" w:rsidRPr="003F2E2C" w14:paraId="1E538C07" w14:textId="77777777" w:rsidTr="0013597C">
        <w:tc>
          <w:tcPr>
            <w:tcW w:w="2405" w:type="dxa"/>
          </w:tcPr>
          <w:p w14:paraId="4779F4D7"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 R</w:t>
            </w:r>
            <w:r w:rsidRPr="003F2E2C">
              <w:rPr>
                <w:rFonts w:eastAsia="Calibri"/>
                <w:sz w:val="20"/>
                <w:szCs w:val="20"/>
                <w:vertAlign w:val="superscript"/>
              </w:rPr>
              <w:t>2</w:t>
            </w:r>
          </w:p>
        </w:tc>
        <w:tc>
          <w:tcPr>
            <w:tcW w:w="1701" w:type="dxa"/>
          </w:tcPr>
          <w:p w14:paraId="2CB2AAEE"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.158</w:t>
            </w:r>
          </w:p>
        </w:tc>
        <w:tc>
          <w:tcPr>
            <w:tcW w:w="1706" w:type="dxa"/>
          </w:tcPr>
          <w:p w14:paraId="5D544998"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.137</w:t>
            </w:r>
          </w:p>
        </w:tc>
        <w:tc>
          <w:tcPr>
            <w:tcW w:w="1980" w:type="dxa"/>
          </w:tcPr>
          <w:p w14:paraId="059843F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.120</w:t>
            </w:r>
          </w:p>
        </w:tc>
        <w:tc>
          <w:tcPr>
            <w:tcW w:w="1224" w:type="dxa"/>
          </w:tcPr>
          <w:p w14:paraId="3D73CB85" w14:textId="77777777" w:rsidR="00917896" w:rsidRPr="003F2E2C" w:rsidRDefault="00917896" w:rsidP="00917896">
            <w:pPr>
              <w:autoSpaceDE w:val="0"/>
              <w:autoSpaceDN w:val="0"/>
              <w:adjustRightInd w:val="0"/>
              <w:rPr>
                <w:rFonts w:eastAsia="Calibri"/>
                <w:sz w:val="20"/>
                <w:szCs w:val="20"/>
              </w:rPr>
            </w:pPr>
          </w:p>
        </w:tc>
      </w:tr>
      <w:tr w:rsidR="003F2E2C" w:rsidRPr="003F2E2C" w14:paraId="461EEF15" w14:textId="77777777" w:rsidTr="0013597C">
        <w:tc>
          <w:tcPr>
            <w:tcW w:w="2405" w:type="dxa"/>
          </w:tcPr>
          <w:p w14:paraId="062FB2CD"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Adjusted R</w:t>
            </w:r>
            <w:r w:rsidRPr="003F2E2C">
              <w:rPr>
                <w:rFonts w:eastAsia="Calibri"/>
                <w:sz w:val="20"/>
                <w:szCs w:val="20"/>
                <w:vertAlign w:val="superscript"/>
              </w:rPr>
              <w:t>2</w:t>
            </w:r>
          </w:p>
        </w:tc>
        <w:tc>
          <w:tcPr>
            <w:tcW w:w="1701" w:type="dxa"/>
          </w:tcPr>
          <w:p w14:paraId="6EEB162C"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.154</w:t>
            </w:r>
          </w:p>
        </w:tc>
        <w:tc>
          <w:tcPr>
            <w:tcW w:w="1706" w:type="dxa"/>
          </w:tcPr>
          <w:p w14:paraId="4BBE7C90"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.289</w:t>
            </w:r>
          </w:p>
        </w:tc>
        <w:tc>
          <w:tcPr>
            <w:tcW w:w="1980" w:type="dxa"/>
          </w:tcPr>
          <w:p w14:paraId="65BD6D69"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.407</w:t>
            </w:r>
          </w:p>
        </w:tc>
        <w:tc>
          <w:tcPr>
            <w:tcW w:w="1224" w:type="dxa"/>
          </w:tcPr>
          <w:p w14:paraId="2F1B51D4" w14:textId="77777777" w:rsidR="00917896" w:rsidRPr="003F2E2C" w:rsidRDefault="00917896" w:rsidP="00917896">
            <w:pPr>
              <w:autoSpaceDE w:val="0"/>
              <w:autoSpaceDN w:val="0"/>
              <w:adjustRightInd w:val="0"/>
              <w:rPr>
                <w:rFonts w:eastAsia="Calibri"/>
                <w:sz w:val="20"/>
                <w:szCs w:val="20"/>
              </w:rPr>
            </w:pPr>
          </w:p>
        </w:tc>
      </w:tr>
      <w:tr w:rsidR="003F2E2C" w:rsidRPr="003F2E2C" w14:paraId="4C23E552" w14:textId="77777777" w:rsidTr="0013597C">
        <w:tc>
          <w:tcPr>
            <w:tcW w:w="2405" w:type="dxa"/>
          </w:tcPr>
          <w:p w14:paraId="2BC6D3E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 F-statistics</w:t>
            </w:r>
          </w:p>
        </w:tc>
        <w:tc>
          <w:tcPr>
            <w:tcW w:w="1701" w:type="dxa"/>
          </w:tcPr>
          <w:p w14:paraId="05BBB4D0"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46.487</w:t>
            </w:r>
            <w:r w:rsidRPr="003F2E2C">
              <w:rPr>
                <w:rFonts w:eastAsia="Calibri"/>
                <w:sz w:val="20"/>
                <w:szCs w:val="20"/>
                <w:vertAlign w:val="superscript"/>
              </w:rPr>
              <w:t>**</w:t>
            </w:r>
          </w:p>
        </w:tc>
        <w:tc>
          <w:tcPr>
            <w:tcW w:w="1706" w:type="dxa"/>
          </w:tcPr>
          <w:p w14:paraId="0D144105"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47.928</w:t>
            </w:r>
            <w:r w:rsidRPr="003F2E2C">
              <w:rPr>
                <w:rFonts w:eastAsia="Calibri"/>
                <w:sz w:val="20"/>
                <w:szCs w:val="20"/>
                <w:vertAlign w:val="superscript"/>
              </w:rPr>
              <w:t>**</w:t>
            </w:r>
          </w:p>
        </w:tc>
        <w:tc>
          <w:tcPr>
            <w:tcW w:w="1980" w:type="dxa"/>
          </w:tcPr>
          <w:p w14:paraId="5D0F0BCC" w14:textId="77777777" w:rsidR="00917896" w:rsidRPr="003F2E2C" w:rsidRDefault="00917896" w:rsidP="00917896">
            <w:pPr>
              <w:autoSpaceDE w:val="0"/>
              <w:autoSpaceDN w:val="0"/>
              <w:adjustRightInd w:val="0"/>
              <w:rPr>
                <w:rFonts w:eastAsia="Calibri"/>
                <w:sz w:val="20"/>
                <w:szCs w:val="20"/>
                <w:vertAlign w:val="superscript"/>
              </w:rPr>
            </w:pPr>
            <w:r w:rsidRPr="003F2E2C">
              <w:rPr>
                <w:rFonts w:eastAsia="Calibri"/>
                <w:sz w:val="20"/>
                <w:szCs w:val="20"/>
              </w:rPr>
              <w:t>50.197</w:t>
            </w:r>
            <w:r w:rsidRPr="003F2E2C">
              <w:rPr>
                <w:rFonts w:eastAsia="Calibri"/>
                <w:sz w:val="20"/>
                <w:szCs w:val="20"/>
                <w:vertAlign w:val="superscript"/>
              </w:rPr>
              <w:t>**</w:t>
            </w:r>
          </w:p>
        </w:tc>
        <w:tc>
          <w:tcPr>
            <w:tcW w:w="1224" w:type="dxa"/>
          </w:tcPr>
          <w:p w14:paraId="254466AE" w14:textId="77777777" w:rsidR="00917896" w:rsidRPr="003F2E2C" w:rsidRDefault="00917896" w:rsidP="00917896">
            <w:pPr>
              <w:autoSpaceDE w:val="0"/>
              <w:autoSpaceDN w:val="0"/>
              <w:adjustRightInd w:val="0"/>
              <w:rPr>
                <w:rFonts w:eastAsia="Calibri"/>
                <w:sz w:val="20"/>
                <w:szCs w:val="20"/>
              </w:rPr>
            </w:pPr>
          </w:p>
        </w:tc>
      </w:tr>
      <w:tr w:rsidR="003F2E2C" w:rsidRPr="003F2E2C" w14:paraId="33906FB9" w14:textId="77777777" w:rsidTr="0013597C">
        <w:tc>
          <w:tcPr>
            <w:tcW w:w="2405" w:type="dxa"/>
          </w:tcPr>
          <w:p w14:paraId="182158E7"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DF</w:t>
            </w:r>
          </w:p>
        </w:tc>
        <w:tc>
          <w:tcPr>
            <w:tcW w:w="1701" w:type="dxa"/>
          </w:tcPr>
          <w:p w14:paraId="525C4ECA"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496</w:t>
            </w:r>
          </w:p>
        </w:tc>
        <w:tc>
          <w:tcPr>
            <w:tcW w:w="1706" w:type="dxa"/>
          </w:tcPr>
          <w:p w14:paraId="3A47700D"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494</w:t>
            </w:r>
          </w:p>
        </w:tc>
        <w:tc>
          <w:tcPr>
            <w:tcW w:w="1980" w:type="dxa"/>
          </w:tcPr>
          <w:p w14:paraId="61A2864D" w14:textId="77777777" w:rsidR="00917896" w:rsidRPr="003F2E2C" w:rsidRDefault="00917896" w:rsidP="00917896">
            <w:pPr>
              <w:autoSpaceDE w:val="0"/>
              <w:autoSpaceDN w:val="0"/>
              <w:adjustRightInd w:val="0"/>
              <w:rPr>
                <w:rFonts w:eastAsia="Calibri"/>
                <w:sz w:val="20"/>
                <w:szCs w:val="20"/>
              </w:rPr>
            </w:pPr>
            <w:r w:rsidRPr="003F2E2C">
              <w:rPr>
                <w:rFonts w:eastAsia="Calibri"/>
                <w:sz w:val="20"/>
                <w:szCs w:val="20"/>
              </w:rPr>
              <w:t>492</w:t>
            </w:r>
          </w:p>
        </w:tc>
        <w:tc>
          <w:tcPr>
            <w:tcW w:w="1224" w:type="dxa"/>
          </w:tcPr>
          <w:p w14:paraId="3307212C" w14:textId="77777777" w:rsidR="00917896" w:rsidRPr="003F2E2C" w:rsidRDefault="00917896" w:rsidP="00917896">
            <w:pPr>
              <w:autoSpaceDE w:val="0"/>
              <w:autoSpaceDN w:val="0"/>
              <w:adjustRightInd w:val="0"/>
              <w:rPr>
                <w:rFonts w:eastAsia="Calibri"/>
                <w:sz w:val="20"/>
                <w:szCs w:val="20"/>
              </w:rPr>
            </w:pPr>
          </w:p>
        </w:tc>
      </w:tr>
    </w:tbl>
    <w:p w14:paraId="471AE4C6"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sz w:val="24"/>
          <w:szCs w:val="24"/>
        </w:rPr>
      </w:pPr>
      <w:r w:rsidRPr="003F2E2C">
        <w:rPr>
          <w:rFonts w:ascii="Times New Roman" w:eastAsia="Calibri" w:hAnsi="Times New Roman" w:cs="Times New Roman"/>
          <w:sz w:val="20"/>
          <w:szCs w:val="20"/>
        </w:rPr>
        <w:t>Notes:</w:t>
      </w:r>
      <w:r w:rsidRPr="003F2E2C">
        <w:rPr>
          <w:rFonts w:ascii="Times New Roman" w:eastAsia="Calibri" w:hAnsi="Times New Roman" w:cs="Times New Roman"/>
          <w:sz w:val="20"/>
          <w:szCs w:val="20"/>
          <w:vertAlign w:val="superscript"/>
        </w:rPr>
        <w:t xml:space="preserve"> </w:t>
      </w:r>
      <w:r w:rsidRPr="003F2E2C">
        <w:rPr>
          <w:rFonts w:ascii="Times New Roman" w:eastAsia="Calibri" w:hAnsi="Times New Roman" w:cs="Times New Roman"/>
          <w:sz w:val="20"/>
          <w:szCs w:val="20"/>
        </w:rPr>
        <w:t xml:space="preserve"> dependent variable: academic performance; </w:t>
      </w:r>
      <w:r w:rsidRPr="003F2E2C">
        <w:rPr>
          <w:rFonts w:ascii="Times New Roman" w:eastAsia="Calibri" w:hAnsi="Times New Roman" w:cs="Times New Roman"/>
          <w:sz w:val="20"/>
          <w:szCs w:val="20"/>
          <w:vertAlign w:val="superscript"/>
        </w:rPr>
        <w:t>*</w:t>
      </w:r>
      <w:r w:rsidRPr="003F2E2C">
        <w:rPr>
          <w:rFonts w:ascii="Times New Roman" w:eastAsia="Calibri" w:hAnsi="Times New Roman" w:cs="Times New Roman"/>
          <w:sz w:val="20"/>
          <w:szCs w:val="20"/>
        </w:rPr>
        <w:t xml:space="preserve">p &lt; .05 (2-tailed); </w:t>
      </w:r>
      <w:r w:rsidRPr="003F2E2C">
        <w:rPr>
          <w:rFonts w:ascii="Times New Roman" w:eastAsia="Calibri" w:hAnsi="Times New Roman" w:cs="Times New Roman"/>
          <w:sz w:val="20"/>
          <w:szCs w:val="20"/>
          <w:vertAlign w:val="superscript"/>
        </w:rPr>
        <w:t>**</w:t>
      </w:r>
      <w:r w:rsidRPr="003F2E2C">
        <w:rPr>
          <w:rFonts w:ascii="Times New Roman" w:eastAsia="Calibri" w:hAnsi="Times New Roman" w:cs="Times New Roman"/>
          <w:sz w:val="20"/>
          <w:szCs w:val="20"/>
        </w:rPr>
        <w:t>p &lt; .01 (2-tailed)</w:t>
      </w:r>
    </w:p>
    <w:p w14:paraId="6DC74E3A" w14:textId="77777777" w:rsidR="00917896" w:rsidRPr="003F2E2C" w:rsidRDefault="00917896" w:rsidP="00917896">
      <w:pPr>
        <w:spacing w:line="360" w:lineRule="auto"/>
        <w:jc w:val="both"/>
        <w:rPr>
          <w:rFonts w:ascii="Times New Roman" w:hAnsi="Times New Roman" w:cs="Times New Roman"/>
          <w:noProof/>
          <w:sz w:val="24"/>
          <w:szCs w:val="24"/>
        </w:rPr>
      </w:pPr>
    </w:p>
    <w:p w14:paraId="12110028" w14:textId="77777777" w:rsidR="00917896" w:rsidRPr="003F2E2C" w:rsidRDefault="00917896" w:rsidP="00917896">
      <w:pPr>
        <w:spacing w:line="360" w:lineRule="auto"/>
        <w:jc w:val="both"/>
        <w:rPr>
          <w:rFonts w:ascii="Times New Roman" w:hAnsi="Times New Roman" w:cs="Times New Roman"/>
          <w:noProof/>
          <w:sz w:val="24"/>
          <w:szCs w:val="24"/>
        </w:rPr>
      </w:pPr>
    </w:p>
    <w:p w14:paraId="313FC664" w14:textId="77777777" w:rsidR="00917896" w:rsidRPr="003F2E2C" w:rsidRDefault="00917896" w:rsidP="00917896">
      <w:pPr>
        <w:spacing w:before="100" w:beforeAutospacing="1" w:after="0" w:line="240" w:lineRule="auto"/>
        <w:rPr>
          <w:rFonts w:ascii="Times New Roman" w:eastAsia="Calibri" w:hAnsi="Times New Roman" w:cs="Times New Roman"/>
          <w:sz w:val="24"/>
          <w:szCs w:val="24"/>
          <w:u w:val="single"/>
        </w:rPr>
      </w:pPr>
      <w:r w:rsidRPr="003F2E2C">
        <w:rPr>
          <w:rFonts w:ascii="Times New Roman" w:eastAsia="Calibri" w:hAnsi="Times New Roman" w:cs="Times New Roman"/>
          <w:b/>
          <w:sz w:val="24"/>
          <w:szCs w:val="24"/>
        </w:rPr>
        <w:t>Table 4. Regression analysis results by level of study</w:t>
      </w:r>
      <w:r w:rsidRPr="003F2E2C">
        <w:rPr>
          <w:rFonts w:ascii="Times New Roman" w:eastAsia="Calibri" w:hAnsi="Times New Roman" w:cs="Times New Roman"/>
          <w:sz w:val="24"/>
          <w:szCs w:val="24"/>
          <w:u w:val="single"/>
        </w:rPr>
        <w:t xml:space="preserve"> </w:t>
      </w:r>
      <w:r w:rsidRPr="003F2E2C">
        <w:rPr>
          <w:rFonts w:ascii="Times New Roman" w:eastAsia="Calibri" w:hAnsi="Times New Roman" w:cs="Times New Roman"/>
          <w:sz w:val="24"/>
          <w:szCs w:val="24"/>
        </w:rPr>
        <w:t>____________________________________________________________________</w:t>
      </w:r>
      <w:r w:rsidRPr="003F2E2C">
        <w:rPr>
          <w:rFonts w:ascii="Times New Roman" w:eastAsia="Calibri" w:hAnsi="Times New Roman" w:cs="Times New Roman"/>
          <w:sz w:val="24"/>
          <w:szCs w:val="24"/>
          <w:u w:val="single"/>
        </w:rPr>
        <w:t xml:space="preserve"> </w:t>
      </w:r>
    </w:p>
    <w:tbl>
      <w:tblPr>
        <w:tblStyle w:val="TableGrid11"/>
        <w:tblW w:w="0" w:type="auto"/>
        <w:tblLook w:val="04A0" w:firstRow="1" w:lastRow="0" w:firstColumn="1" w:lastColumn="0" w:noHBand="0" w:noVBand="1"/>
      </w:tblPr>
      <w:tblGrid>
        <w:gridCol w:w="2091"/>
        <w:gridCol w:w="3127"/>
        <w:gridCol w:w="3537"/>
      </w:tblGrid>
      <w:tr w:rsidR="003F2E2C" w:rsidRPr="003F2E2C" w14:paraId="60387CDD" w14:textId="77777777" w:rsidTr="0013597C">
        <w:trPr>
          <w:gridAfter w:val="1"/>
          <w:wAfter w:w="3537" w:type="dxa"/>
        </w:trPr>
        <w:tc>
          <w:tcPr>
            <w:tcW w:w="2091" w:type="dxa"/>
            <w:tcBorders>
              <w:top w:val="nil"/>
              <w:left w:val="nil"/>
              <w:bottom w:val="nil"/>
              <w:right w:val="nil"/>
            </w:tcBorders>
          </w:tcPr>
          <w:p w14:paraId="76AAA538" w14:textId="77777777" w:rsidR="00917896" w:rsidRPr="003F2E2C" w:rsidRDefault="00917896" w:rsidP="00917896">
            <w:pPr>
              <w:rPr>
                <w:rFonts w:eastAsia="Calibri"/>
                <w:sz w:val="20"/>
                <w:szCs w:val="24"/>
              </w:rPr>
            </w:pPr>
          </w:p>
        </w:tc>
        <w:tc>
          <w:tcPr>
            <w:tcW w:w="3127" w:type="dxa"/>
            <w:tcBorders>
              <w:top w:val="nil"/>
              <w:left w:val="nil"/>
              <w:bottom w:val="single" w:sz="4" w:space="0" w:color="auto"/>
              <w:right w:val="nil"/>
            </w:tcBorders>
          </w:tcPr>
          <w:p w14:paraId="0B914CB5" w14:textId="77777777" w:rsidR="00917896" w:rsidRPr="003F2E2C" w:rsidRDefault="00917896" w:rsidP="00917896">
            <w:pPr>
              <w:rPr>
                <w:rFonts w:eastAsia="Calibri"/>
                <w:sz w:val="20"/>
                <w:szCs w:val="24"/>
              </w:rPr>
            </w:pPr>
            <w:r w:rsidRPr="003F2E2C">
              <w:rPr>
                <w:rFonts w:eastAsia="Calibri"/>
                <w:sz w:val="20"/>
                <w:szCs w:val="24"/>
              </w:rPr>
              <w:t>Standardised estimates (t-values)</w:t>
            </w:r>
          </w:p>
        </w:tc>
      </w:tr>
      <w:tr w:rsidR="003F2E2C" w:rsidRPr="003F2E2C" w14:paraId="2663D7E5" w14:textId="77777777" w:rsidTr="0013597C">
        <w:tc>
          <w:tcPr>
            <w:tcW w:w="2091" w:type="dxa"/>
            <w:tcBorders>
              <w:top w:val="nil"/>
              <w:left w:val="nil"/>
              <w:bottom w:val="nil"/>
              <w:right w:val="nil"/>
            </w:tcBorders>
          </w:tcPr>
          <w:p w14:paraId="721B2491" w14:textId="77777777" w:rsidR="00917896" w:rsidRPr="003F2E2C" w:rsidRDefault="00917896" w:rsidP="00917896">
            <w:pPr>
              <w:rPr>
                <w:rFonts w:eastAsia="Calibri"/>
                <w:sz w:val="20"/>
                <w:szCs w:val="24"/>
              </w:rPr>
            </w:pPr>
          </w:p>
        </w:tc>
        <w:tc>
          <w:tcPr>
            <w:tcW w:w="3127" w:type="dxa"/>
            <w:tcBorders>
              <w:top w:val="single" w:sz="4" w:space="0" w:color="auto"/>
              <w:left w:val="nil"/>
              <w:bottom w:val="single" w:sz="4" w:space="0" w:color="auto"/>
              <w:right w:val="nil"/>
            </w:tcBorders>
          </w:tcPr>
          <w:p w14:paraId="1656B94D" w14:textId="77777777" w:rsidR="00917896" w:rsidRPr="003F2E2C" w:rsidRDefault="00917896" w:rsidP="00917896">
            <w:pPr>
              <w:rPr>
                <w:rFonts w:eastAsia="Calibri"/>
                <w:sz w:val="20"/>
                <w:szCs w:val="24"/>
              </w:rPr>
            </w:pPr>
            <w:r w:rsidRPr="003F2E2C">
              <w:rPr>
                <w:rFonts w:eastAsia="Calibri"/>
                <w:sz w:val="20"/>
                <w:szCs w:val="24"/>
              </w:rPr>
              <w:t>Secondary</w:t>
            </w:r>
          </w:p>
        </w:tc>
        <w:tc>
          <w:tcPr>
            <w:tcW w:w="3537" w:type="dxa"/>
            <w:tcBorders>
              <w:top w:val="single" w:sz="4" w:space="0" w:color="auto"/>
              <w:left w:val="nil"/>
              <w:bottom w:val="single" w:sz="4" w:space="0" w:color="auto"/>
              <w:right w:val="nil"/>
            </w:tcBorders>
          </w:tcPr>
          <w:p w14:paraId="180F84BC" w14:textId="77777777" w:rsidR="00917896" w:rsidRPr="003F2E2C" w:rsidRDefault="00917896" w:rsidP="00917896">
            <w:pPr>
              <w:rPr>
                <w:rFonts w:eastAsia="Calibri"/>
                <w:sz w:val="20"/>
                <w:szCs w:val="24"/>
              </w:rPr>
            </w:pPr>
            <w:r w:rsidRPr="003F2E2C">
              <w:rPr>
                <w:rFonts w:eastAsia="Calibri"/>
                <w:sz w:val="20"/>
                <w:szCs w:val="24"/>
              </w:rPr>
              <w:t>Tertiary</w:t>
            </w:r>
          </w:p>
        </w:tc>
      </w:tr>
      <w:tr w:rsidR="003F2E2C" w:rsidRPr="003F2E2C" w14:paraId="7A5722A3" w14:textId="77777777" w:rsidTr="0013597C">
        <w:tc>
          <w:tcPr>
            <w:tcW w:w="2091" w:type="dxa"/>
            <w:tcBorders>
              <w:top w:val="nil"/>
              <w:left w:val="nil"/>
              <w:bottom w:val="nil"/>
              <w:right w:val="nil"/>
            </w:tcBorders>
          </w:tcPr>
          <w:p w14:paraId="5F5E3D7D" w14:textId="77777777" w:rsidR="00917896" w:rsidRPr="003F2E2C" w:rsidRDefault="00917896" w:rsidP="00917896">
            <w:pPr>
              <w:rPr>
                <w:rFonts w:eastAsia="Calibri"/>
                <w:sz w:val="20"/>
                <w:szCs w:val="24"/>
              </w:rPr>
            </w:pPr>
            <w:r w:rsidRPr="003F2E2C">
              <w:rPr>
                <w:rFonts w:eastAsia="Calibri"/>
                <w:sz w:val="20"/>
                <w:szCs w:val="24"/>
              </w:rPr>
              <w:t>Gender</w:t>
            </w:r>
          </w:p>
        </w:tc>
        <w:tc>
          <w:tcPr>
            <w:tcW w:w="3127" w:type="dxa"/>
            <w:tcBorders>
              <w:top w:val="single" w:sz="4" w:space="0" w:color="auto"/>
              <w:left w:val="nil"/>
              <w:bottom w:val="nil"/>
              <w:right w:val="nil"/>
            </w:tcBorders>
          </w:tcPr>
          <w:p w14:paraId="3D69C152" w14:textId="77777777" w:rsidR="00917896" w:rsidRPr="003F2E2C" w:rsidRDefault="00917896" w:rsidP="00917896">
            <w:pPr>
              <w:rPr>
                <w:rFonts w:eastAsia="Calibri"/>
                <w:sz w:val="20"/>
                <w:szCs w:val="24"/>
              </w:rPr>
            </w:pPr>
            <w:r w:rsidRPr="003F2E2C">
              <w:rPr>
                <w:rFonts w:eastAsia="Calibri"/>
                <w:sz w:val="20"/>
                <w:szCs w:val="24"/>
              </w:rPr>
              <w:t>.238 (5.054)</w:t>
            </w:r>
            <w:r w:rsidRPr="003F2E2C">
              <w:rPr>
                <w:rFonts w:eastAsia="Calibri"/>
                <w:sz w:val="20"/>
                <w:szCs w:val="24"/>
                <w:vertAlign w:val="superscript"/>
              </w:rPr>
              <w:t xml:space="preserve"> **</w:t>
            </w:r>
          </w:p>
        </w:tc>
        <w:tc>
          <w:tcPr>
            <w:tcW w:w="3537" w:type="dxa"/>
            <w:tcBorders>
              <w:top w:val="single" w:sz="4" w:space="0" w:color="auto"/>
              <w:left w:val="nil"/>
              <w:bottom w:val="nil"/>
              <w:right w:val="nil"/>
            </w:tcBorders>
          </w:tcPr>
          <w:p w14:paraId="1D2A499F" w14:textId="77777777" w:rsidR="00917896" w:rsidRPr="003F2E2C" w:rsidRDefault="00917896" w:rsidP="00917896">
            <w:pPr>
              <w:rPr>
                <w:rFonts w:eastAsia="Calibri"/>
                <w:sz w:val="20"/>
                <w:szCs w:val="24"/>
              </w:rPr>
            </w:pPr>
            <w:r w:rsidRPr="003F2E2C">
              <w:rPr>
                <w:rFonts w:eastAsia="Calibri"/>
                <w:sz w:val="20"/>
                <w:szCs w:val="24"/>
              </w:rPr>
              <w:t>.030 (.506)</w:t>
            </w:r>
          </w:p>
        </w:tc>
      </w:tr>
      <w:tr w:rsidR="003F2E2C" w:rsidRPr="003F2E2C" w14:paraId="1196AC98" w14:textId="77777777" w:rsidTr="0013597C">
        <w:tc>
          <w:tcPr>
            <w:tcW w:w="2091" w:type="dxa"/>
            <w:tcBorders>
              <w:top w:val="nil"/>
              <w:left w:val="nil"/>
              <w:bottom w:val="nil"/>
              <w:right w:val="nil"/>
            </w:tcBorders>
          </w:tcPr>
          <w:p w14:paraId="7BD8CB29" w14:textId="77777777" w:rsidR="00917896" w:rsidRPr="003F2E2C" w:rsidRDefault="00917896" w:rsidP="00917896">
            <w:pPr>
              <w:rPr>
                <w:rFonts w:eastAsia="Calibri"/>
                <w:sz w:val="20"/>
                <w:szCs w:val="24"/>
              </w:rPr>
            </w:pPr>
          </w:p>
        </w:tc>
        <w:tc>
          <w:tcPr>
            <w:tcW w:w="3127" w:type="dxa"/>
            <w:tcBorders>
              <w:top w:val="nil"/>
              <w:left w:val="nil"/>
              <w:bottom w:val="nil"/>
              <w:right w:val="nil"/>
            </w:tcBorders>
          </w:tcPr>
          <w:p w14:paraId="46F6DF27" w14:textId="77777777" w:rsidR="00917896" w:rsidRPr="003F2E2C" w:rsidRDefault="00917896" w:rsidP="00917896">
            <w:pPr>
              <w:rPr>
                <w:rFonts w:eastAsia="Calibri"/>
                <w:sz w:val="20"/>
                <w:szCs w:val="24"/>
              </w:rPr>
            </w:pPr>
          </w:p>
        </w:tc>
        <w:tc>
          <w:tcPr>
            <w:tcW w:w="3537" w:type="dxa"/>
            <w:tcBorders>
              <w:top w:val="nil"/>
              <w:left w:val="nil"/>
              <w:bottom w:val="nil"/>
              <w:right w:val="nil"/>
            </w:tcBorders>
          </w:tcPr>
          <w:p w14:paraId="07DBAD5E" w14:textId="77777777" w:rsidR="00917896" w:rsidRPr="003F2E2C" w:rsidRDefault="00917896" w:rsidP="00917896">
            <w:pPr>
              <w:rPr>
                <w:rFonts w:eastAsia="Calibri"/>
                <w:sz w:val="20"/>
                <w:szCs w:val="24"/>
              </w:rPr>
            </w:pPr>
          </w:p>
        </w:tc>
      </w:tr>
      <w:tr w:rsidR="003F2E2C" w:rsidRPr="003F2E2C" w14:paraId="2D4D5767" w14:textId="77777777" w:rsidTr="0013597C">
        <w:tc>
          <w:tcPr>
            <w:tcW w:w="2091" w:type="dxa"/>
            <w:tcBorders>
              <w:top w:val="nil"/>
              <w:left w:val="nil"/>
              <w:bottom w:val="nil"/>
              <w:right w:val="nil"/>
            </w:tcBorders>
          </w:tcPr>
          <w:p w14:paraId="5C67F498" w14:textId="77777777" w:rsidR="00917896" w:rsidRPr="003F2E2C" w:rsidRDefault="00917896" w:rsidP="00917896">
            <w:pPr>
              <w:rPr>
                <w:rFonts w:eastAsia="Calibri"/>
                <w:sz w:val="20"/>
                <w:szCs w:val="24"/>
              </w:rPr>
            </w:pPr>
            <w:r w:rsidRPr="003F2E2C">
              <w:rPr>
                <w:rFonts w:eastAsia="Calibri"/>
                <w:sz w:val="20"/>
                <w:szCs w:val="20"/>
              </w:rPr>
              <w:t xml:space="preserve">Expectation </w:t>
            </w:r>
          </w:p>
        </w:tc>
        <w:tc>
          <w:tcPr>
            <w:tcW w:w="3127" w:type="dxa"/>
            <w:tcBorders>
              <w:top w:val="nil"/>
              <w:left w:val="nil"/>
              <w:bottom w:val="nil"/>
              <w:right w:val="nil"/>
            </w:tcBorders>
          </w:tcPr>
          <w:p w14:paraId="1B1F5FF6" w14:textId="77777777" w:rsidR="00917896" w:rsidRPr="003F2E2C" w:rsidRDefault="00917896" w:rsidP="00917896">
            <w:pPr>
              <w:rPr>
                <w:rFonts w:eastAsia="Calibri"/>
                <w:sz w:val="20"/>
                <w:szCs w:val="24"/>
              </w:rPr>
            </w:pPr>
            <w:r w:rsidRPr="003F2E2C">
              <w:rPr>
                <w:rFonts w:eastAsia="Calibri"/>
                <w:sz w:val="20"/>
                <w:szCs w:val="24"/>
              </w:rPr>
              <w:t>.175 (3.387)</w:t>
            </w:r>
            <w:r w:rsidRPr="003F2E2C">
              <w:rPr>
                <w:rFonts w:eastAsia="Calibri"/>
                <w:sz w:val="20"/>
                <w:szCs w:val="24"/>
                <w:vertAlign w:val="superscript"/>
              </w:rPr>
              <w:t xml:space="preserve"> **</w:t>
            </w:r>
          </w:p>
        </w:tc>
        <w:tc>
          <w:tcPr>
            <w:tcW w:w="3537" w:type="dxa"/>
            <w:tcBorders>
              <w:top w:val="nil"/>
              <w:left w:val="nil"/>
              <w:bottom w:val="nil"/>
              <w:right w:val="nil"/>
            </w:tcBorders>
          </w:tcPr>
          <w:p w14:paraId="1DB113B2" w14:textId="77777777" w:rsidR="00917896" w:rsidRPr="003F2E2C" w:rsidRDefault="00917896" w:rsidP="00917896">
            <w:pPr>
              <w:rPr>
                <w:rFonts w:eastAsia="Calibri"/>
                <w:sz w:val="20"/>
                <w:szCs w:val="24"/>
                <w:vertAlign w:val="superscript"/>
              </w:rPr>
            </w:pPr>
            <w:r w:rsidRPr="003F2E2C">
              <w:rPr>
                <w:rFonts w:eastAsia="Calibri"/>
                <w:sz w:val="20"/>
                <w:szCs w:val="24"/>
              </w:rPr>
              <w:t xml:space="preserve">.128 (1.848) </w:t>
            </w:r>
          </w:p>
        </w:tc>
      </w:tr>
      <w:tr w:rsidR="003F2E2C" w:rsidRPr="003F2E2C" w14:paraId="28E16E2A" w14:textId="77777777" w:rsidTr="0013597C">
        <w:tc>
          <w:tcPr>
            <w:tcW w:w="2091" w:type="dxa"/>
            <w:tcBorders>
              <w:top w:val="nil"/>
              <w:left w:val="nil"/>
              <w:bottom w:val="nil"/>
              <w:right w:val="nil"/>
            </w:tcBorders>
          </w:tcPr>
          <w:p w14:paraId="0B1EC5B1" w14:textId="77777777" w:rsidR="00917896" w:rsidRPr="003F2E2C" w:rsidRDefault="00917896" w:rsidP="00917896">
            <w:pPr>
              <w:rPr>
                <w:rFonts w:eastAsia="Calibri"/>
                <w:sz w:val="20"/>
                <w:szCs w:val="24"/>
              </w:rPr>
            </w:pPr>
            <w:r w:rsidRPr="003F2E2C">
              <w:rPr>
                <w:rFonts w:eastAsia="Calibri"/>
                <w:sz w:val="20"/>
                <w:szCs w:val="20"/>
              </w:rPr>
              <w:t>Volition</w:t>
            </w:r>
          </w:p>
        </w:tc>
        <w:tc>
          <w:tcPr>
            <w:tcW w:w="3127" w:type="dxa"/>
            <w:tcBorders>
              <w:top w:val="nil"/>
              <w:left w:val="nil"/>
              <w:bottom w:val="nil"/>
              <w:right w:val="nil"/>
            </w:tcBorders>
          </w:tcPr>
          <w:p w14:paraId="3692BE6A" w14:textId="77777777" w:rsidR="00917896" w:rsidRPr="003F2E2C" w:rsidRDefault="00917896" w:rsidP="00917896">
            <w:pPr>
              <w:rPr>
                <w:rFonts w:eastAsia="Calibri"/>
                <w:sz w:val="20"/>
                <w:szCs w:val="24"/>
              </w:rPr>
            </w:pPr>
            <w:r w:rsidRPr="003F2E2C">
              <w:rPr>
                <w:rFonts w:eastAsia="Calibri"/>
                <w:sz w:val="20"/>
                <w:szCs w:val="24"/>
              </w:rPr>
              <w:t>-.006 (-.127)</w:t>
            </w:r>
          </w:p>
        </w:tc>
        <w:tc>
          <w:tcPr>
            <w:tcW w:w="3537" w:type="dxa"/>
            <w:tcBorders>
              <w:top w:val="nil"/>
              <w:left w:val="nil"/>
              <w:bottom w:val="nil"/>
              <w:right w:val="nil"/>
            </w:tcBorders>
          </w:tcPr>
          <w:p w14:paraId="369FBB4E" w14:textId="77777777" w:rsidR="00917896" w:rsidRPr="003F2E2C" w:rsidRDefault="00917896" w:rsidP="00917896">
            <w:pPr>
              <w:rPr>
                <w:rFonts w:eastAsia="Calibri"/>
                <w:sz w:val="20"/>
                <w:szCs w:val="24"/>
                <w:vertAlign w:val="superscript"/>
              </w:rPr>
            </w:pPr>
            <w:r w:rsidRPr="003F2E2C">
              <w:rPr>
                <w:rFonts w:eastAsia="Calibri"/>
                <w:sz w:val="20"/>
                <w:szCs w:val="24"/>
              </w:rPr>
              <w:t xml:space="preserve">.204 (3.305) </w:t>
            </w:r>
            <w:r w:rsidRPr="003F2E2C">
              <w:rPr>
                <w:rFonts w:eastAsia="Calibri"/>
                <w:sz w:val="20"/>
                <w:szCs w:val="24"/>
                <w:vertAlign w:val="superscript"/>
              </w:rPr>
              <w:t>**</w:t>
            </w:r>
          </w:p>
        </w:tc>
      </w:tr>
      <w:tr w:rsidR="003F2E2C" w:rsidRPr="003F2E2C" w14:paraId="5DF36BEF" w14:textId="77777777" w:rsidTr="0013597C">
        <w:tc>
          <w:tcPr>
            <w:tcW w:w="2091" w:type="dxa"/>
            <w:tcBorders>
              <w:top w:val="nil"/>
              <w:left w:val="nil"/>
              <w:bottom w:val="nil"/>
              <w:right w:val="nil"/>
            </w:tcBorders>
          </w:tcPr>
          <w:p w14:paraId="6B4BF807" w14:textId="77777777" w:rsidR="00917896" w:rsidRPr="003F2E2C" w:rsidRDefault="00917896" w:rsidP="00917896">
            <w:pPr>
              <w:rPr>
                <w:rFonts w:eastAsia="Calibri"/>
                <w:sz w:val="20"/>
                <w:szCs w:val="24"/>
              </w:rPr>
            </w:pPr>
            <w:r w:rsidRPr="003F2E2C">
              <w:rPr>
                <w:rFonts w:eastAsia="Calibri"/>
                <w:sz w:val="20"/>
                <w:szCs w:val="20"/>
              </w:rPr>
              <w:t>Academic interest</w:t>
            </w:r>
          </w:p>
        </w:tc>
        <w:tc>
          <w:tcPr>
            <w:tcW w:w="3127" w:type="dxa"/>
            <w:tcBorders>
              <w:top w:val="nil"/>
              <w:left w:val="nil"/>
              <w:bottom w:val="nil"/>
              <w:right w:val="nil"/>
            </w:tcBorders>
          </w:tcPr>
          <w:p w14:paraId="5C771C47" w14:textId="77777777" w:rsidR="00917896" w:rsidRPr="003F2E2C" w:rsidRDefault="00917896" w:rsidP="00917896">
            <w:pPr>
              <w:rPr>
                <w:rFonts w:eastAsia="Calibri"/>
                <w:sz w:val="20"/>
                <w:szCs w:val="24"/>
              </w:rPr>
            </w:pPr>
            <w:r w:rsidRPr="003F2E2C">
              <w:rPr>
                <w:rFonts w:eastAsia="Calibri"/>
                <w:sz w:val="20"/>
                <w:szCs w:val="24"/>
              </w:rPr>
              <w:t>.352 (6.855)</w:t>
            </w:r>
            <w:r w:rsidRPr="003F2E2C">
              <w:rPr>
                <w:rFonts w:eastAsia="Calibri"/>
                <w:sz w:val="20"/>
                <w:szCs w:val="24"/>
                <w:vertAlign w:val="superscript"/>
              </w:rPr>
              <w:t xml:space="preserve"> **</w:t>
            </w:r>
          </w:p>
        </w:tc>
        <w:tc>
          <w:tcPr>
            <w:tcW w:w="3537" w:type="dxa"/>
            <w:tcBorders>
              <w:top w:val="nil"/>
              <w:left w:val="nil"/>
              <w:bottom w:val="nil"/>
              <w:right w:val="nil"/>
            </w:tcBorders>
          </w:tcPr>
          <w:p w14:paraId="6084B3D2" w14:textId="77777777" w:rsidR="00917896" w:rsidRPr="003F2E2C" w:rsidRDefault="00917896" w:rsidP="00917896">
            <w:pPr>
              <w:rPr>
                <w:rFonts w:eastAsia="Calibri"/>
                <w:sz w:val="20"/>
                <w:szCs w:val="24"/>
              </w:rPr>
            </w:pPr>
            <w:r w:rsidRPr="003F2E2C">
              <w:rPr>
                <w:rFonts w:eastAsia="Calibri"/>
                <w:sz w:val="20"/>
                <w:szCs w:val="24"/>
              </w:rPr>
              <w:t>.322 (4.891)</w:t>
            </w:r>
            <w:r w:rsidRPr="003F2E2C">
              <w:rPr>
                <w:rFonts w:eastAsia="Calibri"/>
                <w:sz w:val="20"/>
                <w:szCs w:val="24"/>
                <w:vertAlign w:val="superscript"/>
              </w:rPr>
              <w:t xml:space="preserve"> **</w:t>
            </w:r>
          </w:p>
        </w:tc>
      </w:tr>
      <w:tr w:rsidR="003F2E2C" w:rsidRPr="003F2E2C" w14:paraId="092F8343" w14:textId="77777777" w:rsidTr="0013597C">
        <w:tc>
          <w:tcPr>
            <w:tcW w:w="2091" w:type="dxa"/>
            <w:tcBorders>
              <w:top w:val="nil"/>
              <w:left w:val="nil"/>
              <w:bottom w:val="nil"/>
              <w:right w:val="nil"/>
            </w:tcBorders>
          </w:tcPr>
          <w:p w14:paraId="5E809833" w14:textId="77777777" w:rsidR="00917896" w:rsidRPr="003F2E2C" w:rsidRDefault="00917896" w:rsidP="00917896">
            <w:pPr>
              <w:rPr>
                <w:rFonts w:eastAsia="Calibri"/>
                <w:sz w:val="20"/>
                <w:szCs w:val="24"/>
              </w:rPr>
            </w:pPr>
            <w:r w:rsidRPr="003F2E2C">
              <w:rPr>
                <w:rFonts w:eastAsia="Calibri"/>
                <w:sz w:val="20"/>
                <w:szCs w:val="20"/>
              </w:rPr>
              <w:t>Learning attitude</w:t>
            </w:r>
          </w:p>
        </w:tc>
        <w:tc>
          <w:tcPr>
            <w:tcW w:w="3127" w:type="dxa"/>
            <w:tcBorders>
              <w:top w:val="nil"/>
              <w:left w:val="nil"/>
              <w:bottom w:val="nil"/>
              <w:right w:val="nil"/>
            </w:tcBorders>
          </w:tcPr>
          <w:p w14:paraId="065BB758" w14:textId="77777777" w:rsidR="00917896" w:rsidRPr="003F2E2C" w:rsidRDefault="00917896" w:rsidP="00917896">
            <w:pPr>
              <w:rPr>
                <w:rFonts w:eastAsia="Calibri"/>
                <w:sz w:val="20"/>
                <w:szCs w:val="24"/>
              </w:rPr>
            </w:pPr>
            <w:r w:rsidRPr="003F2E2C">
              <w:rPr>
                <w:rFonts w:eastAsia="Calibri"/>
                <w:sz w:val="20"/>
                <w:szCs w:val="24"/>
              </w:rPr>
              <w:t>.175 (3.276)</w:t>
            </w:r>
            <w:r w:rsidRPr="003F2E2C">
              <w:rPr>
                <w:rFonts w:eastAsia="Calibri"/>
                <w:sz w:val="20"/>
                <w:szCs w:val="24"/>
                <w:vertAlign w:val="superscript"/>
              </w:rPr>
              <w:t xml:space="preserve"> **</w:t>
            </w:r>
          </w:p>
        </w:tc>
        <w:tc>
          <w:tcPr>
            <w:tcW w:w="3537" w:type="dxa"/>
            <w:tcBorders>
              <w:top w:val="nil"/>
              <w:left w:val="nil"/>
              <w:bottom w:val="nil"/>
              <w:right w:val="nil"/>
            </w:tcBorders>
          </w:tcPr>
          <w:p w14:paraId="07956425" w14:textId="77777777" w:rsidR="00917896" w:rsidRPr="003F2E2C" w:rsidRDefault="00917896" w:rsidP="00917896">
            <w:pPr>
              <w:rPr>
                <w:rFonts w:eastAsia="Calibri"/>
                <w:sz w:val="20"/>
                <w:szCs w:val="24"/>
              </w:rPr>
            </w:pPr>
            <w:r w:rsidRPr="003F2E2C">
              <w:rPr>
                <w:rFonts w:eastAsia="Calibri"/>
                <w:sz w:val="20"/>
                <w:szCs w:val="24"/>
              </w:rPr>
              <w:t>.205 (3.016)</w:t>
            </w:r>
            <w:r w:rsidRPr="003F2E2C">
              <w:rPr>
                <w:rFonts w:eastAsia="Calibri"/>
                <w:sz w:val="20"/>
                <w:szCs w:val="24"/>
                <w:vertAlign w:val="superscript"/>
              </w:rPr>
              <w:t xml:space="preserve"> **</w:t>
            </w:r>
          </w:p>
        </w:tc>
      </w:tr>
      <w:tr w:rsidR="003F2E2C" w:rsidRPr="003F2E2C" w14:paraId="35D7F96F" w14:textId="77777777" w:rsidTr="0013597C">
        <w:tc>
          <w:tcPr>
            <w:tcW w:w="2091" w:type="dxa"/>
            <w:tcBorders>
              <w:top w:val="nil"/>
              <w:left w:val="nil"/>
              <w:bottom w:val="nil"/>
              <w:right w:val="nil"/>
            </w:tcBorders>
          </w:tcPr>
          <w:p w14:paraId="7ECB4E12" w14:textId="77777777" w:rsidR="00917896" w:rsidRPr="003F2E2C" w:rsidRDefault="00917896" w:rsidP="00917896">
            <w:pPr>
              <w:rPr>
                <w:rFonts w:eastAsia="Calibri"/>
                <w:sz w:val="20"/>
                <w:szCs w:val="24"/>
              </w:rPr>
            </w:pPr>
          </w:p>
        </w:tc>
        <w:tc>
          <w:tcPr>
            <w:tcW w:w="3127" w:type="dxa"/>
            <w:tcBorders>
              <w:top w:val="nil"/>
              <w:left w:val="nil"/>
              <w:bottom w:val="nil"/>
              <w:right w:val="nil"/>
            </w:tcBorders>
          </w:tcPr>
          <w:p w14:paraId="587EF33C" w14:textId="77777777" w:rsidR="00917896" w:rsidRPr="003F2E2C" w:rsidRDefault="00917896" w:rsidP="00917896">
            <w:pPr>
              <w:rPr>
                <w:rFonts w:eastAsia="Calibri"/>
                <w:sz w:val="20"/>
                <w:szCs w:val="24"/>
              </w:rPr>
            </w:pPr>
          </w:p>
        </w:tc>
        <w:tc>
          <w:tcPr>
            <w:tcW w:w="3537" w:type="dxa"/>
            <w:tcBorders>
              <w:top w:val="nil"/>
              <w:left w:val="nil"/>
              <w:bottom w:val="nil"/>
              <w:right w:val="nil"/>
            </w:tcBorders>
          </w:tcPr>
          <w:p w14:paraId="194637D1" w14:textId="77777777" w:rsidR="00917896" w:rsidRPr="003F2E2C" w:rsidRDefault="00917896" w:rsidP="00917896">
            <w:pPr>
              <w:rPr>
                <w:rFonts w:eastAsia="Calibri"/>
                <w:sz w:val="20"/>
                <w:szCs w:val="24"/>
              </w:rPr>
            </w:pPr>
          </w:p>
        </w:tc>
      </w:tr>
      <w:tr w:rsidR="003F2E2C" w:rsidRPr="003F2E2C" w14:paraId="7DC7D678" w14:textId="77777777" w:rsidTr="0013597C">
        <w:tc>
          <w:tcPr>
            <w:tcW w:w="2091" w:type="dxa"/>
            <w:tcBorders>
              <w:top w:val="nil"/>
              <w:left w:val="nil"/>
              <w:bottom w:val="nil"/>
              <w:right w:val="nil"/>
            </w:tcBorders>
          </w:tcPr>
          <w:p w14:paraId="3988ED1E" w14:textId="77777777" w:rsidR="00917896" w:rsidRPr="003F2E2C" w:rsidRDefault="00917896" w:rsidP="00917896">
            <w:pPr>
              <w:rPr>
                <w:rFonts w:eastAsia="Calibri"/>
                <w:sz w:val="20"/>
                <w:szCs w:val="24"/>
              </w:rPr>
            </w:pPr>
            <w:r w:rsidRPr="003F2E2C">
              <w:rPr>
                <w:rFonts w:eastAsia="Calibri"/>
                <w:sz w:val="20"/>
                <w:szCs w:val="24"/>
              </w:rPr>
              <w:t>R</w:t>
            </w:r>
            <w:r w:rsidRPr="003F2E2C">
              <w:rPr>
                <w:rFonts w:eastAsia="Calibri"/>
                <w:sz w:val="20"/>
                <w:szCs w:val="24"/>
                <w:vertAlign w:val="superscript"/>
              </w:rPr>
              <w:t>2</w:t>
            </w:r>
          </w:p>
        </w:tc>
        <w:tc>
          <w:tcPr>
            <w:tcW w:w="3127" w:type="dxa"/>
            <w:tcBorders>
              <w:top w:val="nil"/>
              <w:left w:val="nil"/>
              <w:bottom w:val="nil"/>
              <w:right w:val="nil"/>
            </w:tcBorders>
          </w:tcPr>
          <w:p w14:paraId="54FD70EA" w14:textId="77777777" w:rsidR="00917896" w:rsidRPr="003F2E2C" w:rsidRDefault="00917896" w:rsidP="00917896">
            <w:pPr>
              <w:rPr>
                <w:rFonts w:eastAsia="Calibri"/>
                <w:sz w:val="20"/>
                <w:szCs w:val="24"/>
              </w:rPr>
            </w:pPr>
            <w:r w:rsidRPr="003F2E2C">
              <w:rPr>
                <w:rFonts w:eastAsia="Calibri"/>
                <w:sz w:val="20"/>
                <w:szCs w:val="24"/>
              </w:rPr>
              <w:t>.362</w:t>
            </w:r>
          </w:p>
        </w:tc>
        <w:tc>
          <w:tcPr>
            <w:tcW w:w="3537" w:type="dxa"/>
            <w:tcBorders>
              <w:top w:val="nil"/>
              <w:left w:val="nil"/>
              <w:bottom w:val="nil"/>
              <w:right w:val="nil"/>
            </w:tcBorders>
          </w:tcPr>
          <w:p w14:paraId="19E192C2" w14:textId="77777777" w:rsidR="00917896" w:rsidRPr="003F2E2C" w:rsidRDefault="00917896" w:rsidP="00917896">
            <w:pPr>
              <w:rPr>
                <w:rFonts w:eastAsia="Calibri"/>
                <w:sz w:val="20"/>
                <w:szCs w:val="24"/>
              </w:rPr>
            </w:pPr>
            <w:r w:rsidRPr="003F2E2C">
              <w:rPr>
                <w:rFonts w:eastAsia="Calibri"/>
                <w:sz w:val="20"/>
                <w:szCs w:val="24"/>
              </w:rPr>
              <w:t>.362</w:t>
            </w:r>
          </w:p>
        </w:tc>
      </w:tr>
      <w:tr w:rsidR="003F2E2C" w:rsidRPr="003F2E2C" w14:paraId="3C92BBC4" w14:textId="77777777" w:rsidTr="0013597C">
        <w:tc>
          <w:tcPr>
            <w:tcW w:w="2091" w:type="dxa"/>
            <w:tcBorders>
              <w:top w:val="nil"/>
              <w:left w:val="nil"/>
              <w:bottom w:val="nil"/>
              <w:right w:val="nil"/>
            </w:tcBorders>
          </w:tcPr>
          <w:p w14:paraId="767BAA0F" w14:textId="77777777" w:rsidR="00917896" w:rsidRPr="003F2E2C" w:rsidRDefault="00917896" w:rsidP="00917896">
            <w:pPr>
              <w:rPr>
                <w:rFonts w:eastAsia="Calibri"/>
                <w:sz w:val="20"/>
                <w:szCs w:val="24"/>
              </w:rPr>
            </w:pPr>
            <w:r w:rsidRPr="003F2E2C">
              <w:rPr>
                <w:rFonts w:eastAsia="Calibri"/>
                <w:sz w:val="20"/>
                <w:szCs w:val="24"/>
              </w:rPr>
              <w:t>Adjusted R</w:t>
            </w:r>
            <w:r w:rsidRPr="003F2E2C">
              <w:rPr>
                <w:rFonts w:eastAsia="Calibri"/>
                <w:sz w:val="20"/>
                <w:szCs w:val="24"/>
                <w:vertAlign w:val="superscript"/>
              </w:rPr>
              <w:t>2</w:t>
            </w:r>
          </w:p>
        </w:tc>
        <w:tc>
          <w:tcPr>
            <w:tcW w:w="3127" w:type="dxa"/>
            <w:tcBorders>
              <w:top w:val="nil"/>
              <w:left w:val="nil"/>
              <w:bottom w:val="nil"/>
              <w:right w:val="nil"/>
            </w:tcBorders>
          </w:tcPr>
          <w:p w14:paraId="0137F405" w14:textId="77777777" w:rsidR="00917896" w:rsidRPr="003F2E2C" w:rsidRDefault="00917896" w:rsidP="00917896">
            <w:pPr>
              <w:rPr>
                <w:rFonts w:eastAsia="Calibri"/>
                <w:sz w:val="20"/>
                <w:szCs w:val="24"/>
              </w:rPr>
            </w:pPr>
            <w:r w:rsidRPr="003F2E2C">
              <w:rPr>
                <w:rFonts w:eastAsia="Calibri"/>
                <w:sz w:val="20"/>
                <w:szCs w:val="24"/>
              </w:rPr>
              <w:t>.351</w:t>
            </w:r>
          </w:p>
        </w:tc>
        <w:tc>
          <w:tcPr>
            <w:tcW w:w="3537" w:type="dxa"/>
            <w:tcBorders>
              <w:top w:val="nil"/>
              <w:left w:val="nil"/>
              <w:bottom w:val="nil"/>
              <w:right w:val="nil"/>
            </w:tcBorders>
          </w:tcPr>
          <w:p w14:paraId="5A990CF3" w14:textId="77777777" w:rsidR="00917896" w:rsidRPr="003F2E2C" w:rsidRDefault="00917896" w:rsidP="00917896">
            <w:pPr>
              <w:rPr>
                <w:rFonts w:eastAsia="Calibri"/>
                <w:sz w:val="20"/>
                <w:szCs w:val="24"/>
              </w:rPr>
            </w:pPr>
            <w:r w:rsidRPr="003F2E2C">
              <w:rPr>
                <w:rFonts w:eastAsia="Calibri"/>
                <w:sz w:val="20"/>
                <w:szCs w:val="24"/>
              </w:rPr>
              <w:t>.345</w:t>
            </w:r>
          </w:p>
        </w:tc>
      </w:tr>
      <w:tr w:rsidR="003F2E2C" w:rsidRPr="003F2E2C" w14:paraId="7BA7775F" w14:textId="77777777" w:rsidTr="0013597C">
        <w:tc>
          <w:tcPr>
            <w:tcW w:w="2091" w:type="dxa"/>
            <w:tcBorders>
              <w:top w:val="nil"/>
              <w:left w:val="nil"/>
              <w:bottom w:val="nil"/>
              <w:right w:val="nil"/>
            </w:tcBorders>
          </w:tcPr>
          <w:p w14:paraId="643A2C50" w14:textId="77777777" w:rsidR="00917896" w:rsidRPr="003F2E2C" w:rsidRDefault="00917896" w:rsidP="00917896">
            <w:pPr>
              <w:rPr>
                <w:rFonts w:eastAsia="Calibri"/>
                <w:sz w:val="20"/>
                <w:szCs w:val="24"/>
              </w:rPr>
            </w:pPr>
            <w:r w:rsidRPr="003F2E2C">
              <w:rPr>
                <w:rFonts w:eastAsia="Calibri"/>
                <w:sz w:val="20"/>
                <w:szCs w:val="24"/>
              </w:rPr>
              <w:t>F-statistics</w:t>
            </w:r>
          </w:p>
        </w:tc>
        <w:tc>
          <w:tcPr>
            <w:tcW w:w="3127" w:type="dxa"/>
            <w:tcBorders>
              <w:top w:val="nil"/>
              <w:left w:val="nil"/>
              <w:bottom w:val="nil"/>
              <w:right w:val="nil"/>
            </w:tcBorders>
          </w:tcPr>
          <w:p w14:paraId="26C2D84C" w14:textId="77777777" w:rsidR="00917896" w:rsidRPr="003F2E2C" w:rsidRDefault="00917896" w:rsidP="00917896">
            <w:pPr>
              <w:rPr>
                <w:rFonts w:eastAsia="Calibri"/>
                <w:sz w:val="20"/>
                <w:szCs w:val="24"/>
              </w:rPr>
            </w:pPr>
            <w:r w:rsidRPr="003F2E2C">
              <w:rPr>
                <w:rFonts w:eastAsia="Calibri"/>
                <w:sz w:val="20"/>
                <w:szCs w:val="24"/>
              </w:rPr>
              <w:t>33.244</w:t>
            </w:r>
            <w:r w:rsidRPr="003F2E2C">
              <w:rPr>
                <w:rFonts w:eastAsia="Calibri"/>
                <w:sz w:val="20"/>
                <w:szCs w:val="24"/>
                <w:vertAlign w:val="superscript"/>
              </w:rPr>
              <w:t>**</w:t>
            </w:r>
          </w:p>
        </w:tc>
        <w:tc>
          <w:tcPr>
            <w:tcW w:w="3537" w:type="dxa"/>
            <w:tcBorders>
              <w:top w:val="nil"/>
              <w:left w:val="nil"/>
              <w:bottom w:val="nil"/>
              <w:right w:val="nil"/>
            </w:tcBorders>
          </w:tcPr>
          <w:p w14:paraId="1BF0B048" w14:textId="77777777" w:rsidR="00917896" w:rsidRPr="003F2E2C" w:rsidRDefault="00917896" w:rsidP="00917896">
            <w:pPr>
              <w:rPr>
                <w:rFonts w:eastAsia="Calibri"/>
                <w:sz w:val="20"/>
                <w:szCs w:val="24"/>
              </w:rPr>
            </w:pPr>
            <w:r w:rsidRPr="003F2E2C">
              <w:rPr>
                <w:rFonts w:eastAsia="Calibri"/>
                <w:sz w:val="20"/>
                <w:szCs w:val="24"/>
              </w:rPr>
              <w:t>21.990</w:t>
            </w:r>
            <w:r w:rsidRPr="003F2E2C">
              <w:rPr>
                <w:rFonts w:eastAsia="Calibri"/>
                <w:sz w:val="20"/>
                <w:szCs w:val="24"/>
                <w:vertAlign w:val="superscript"/>
              </w:rPr>
              <w:t>**</w:t>
            </w:r>
          </w:p>
        </w:tc>
      </w:tr>
      <w:tr w:rsidR="003F2E2C" w:rsidRPr="003F2E2C" w14:paraId="040E5C14" w14:textId="77777777" w:rsidTr="0013597C">
        <w:tc>
          <w:tcPr>
            <w:tcW w:w="2091" w:type="dxa"/>
            <w:tcBorders>
              <w:top w:val="nil"/>
              <w:left w:val="nil"/>
              <w:bottom w:val="single" w:sz="4" w:space="0" w:color="auto"/>
              <w:right w:val="nil"/>
            </w:tcBorders>
          </w:tcPr>
          <w:p w14:paraId="629B60B6" w14:textId="77777777" w:rsidR="00917896" w:rsidRPr="003F2E2C" w:rsidRDefault="00917896" w:rsidP="00917896">
            <w:pPr>
              <w:rPr>
                <w:rFonts w:eastAsia="Calibri"/>
                <w:sz w:val="20"/>
                <w:szCs w:val="24"/>
              </w:rPr>
            </w:pPr>
            <w:r w:rsidRPr="003F2E2C">
              <w:rPr>
                <w:rFonts w:eastAsia="Calibri"/>
                <w:sz w:val="20"/>
                <w:szCs w:val="24"/>
              </w:rPr>
              <w:t>DF</w:t>
            </w:r>
          </w:p>
        </w:tc>
        <w:tc>
          <w:tcPr>
            <w:tcW w:w="3127" w:type="dxa"/>
            <w:tcBorders>
              <w:top w:val="nil"/>
              <w:left w:val="nil"/>
              <w:bottom w:val="single" w:sz="4" w:space="0" w:color="auto"/>
              <w:right w:val="nil"/>
            </w:tcBorders>
          </w:tcPr>
          <w:p w14:paraId="7DDA00DA" w14:textId="77777777" w:rsidR="00917896" w:rsidRPr="003F2E2C" w:rsidRDefault="00917896" w:rsidP="00917896">
            <w:pPr>
              <w:rPr>
                <w:rFonts w:eastAsia="Calibri"/>
                <w:sz w:val="20"/>
                <w:szCs w:val="24"/>
              </w:rPr>
            </w:pPr>
            <w:r w:rsidRPr="003F2E2C">
              <w:rPr>
                <w:rFonts w:eastAsia="Calibri"/>
                <w:sz w:val="20"/>
                <w:szCs w:val="24"/>
              </w:rPr>
              <w:t>293</w:t>
            </w:r>
          </w:p>
        </w:tc>
        <w:tc>
          <w:tcPr>
            <w:tcW w:w="3537" w:type="dxa"/>
            <w:tcBorders>
              <w:top w:val="nil"/>
              <w:left w:val="nil"/>
              <w:bottom w:val="single" w:sz="4" w:space="0" w:color="auto"/>
              <w:right w:val="nil"/>
            </w:tcBorders>
          </w:tcPr>
          <w:p w14:paraId="2F5FAA20" w14:textId="77777777" w:rsidR="00917896" w:rsidRPr="003F2E2C" w:rsidRDefault="00917896" w:rsidP="00917896">
            <w:pPr>
              <w:rPr>
                <w:rFonts w:eastAsia="Calibri"/>
                <w:sz w:val="20"/>
                <w:szCs w:val="24"/>
              </w:rPr>
            </w:pPr>
            <w:r w:rsidRPr="003F2E2C">
              <w:rPr>
                <w:rFonts w:eastAsia="Calibri"/>
                <w:sz w:val="20"/>
                <w:szCs w:val="24"/>
              </w:rPr>
              <w:t>194</w:t>
            </w:r>
          </w:p>
        </w:tc>
      </w:tr>
    </w:tbl>
    <w:p w14:paraId="35EF2590" w14:textId="77777777" w:rsidR="00917896" w:rsidRPr="003F2E2C" w:rsidRDefault="00917896" w:rsidP="00917896">
      <w:pPr>
        <w:autoSpaceDE w:val="0"/>
        <w:autoSpaceDN w:val="0"/>
        <w:adjustRightInd w:val="0"/>
        <w:spacing w:after="0" w:line="240" w:lineRule="auto"/>
        <w:rPr>
          <w:rFonts w:ascii="Times New Roman" w:eastAsia="Calibri" w:hAnsi="Times New Roman" w:cs="Times New Roman"/>
          <w:sz w:val="24"/>
          <w:szCs w:val="24"/>
        </w:rPr>
      </w:pPr>
      <w:r w:rsidRPr="003F2E2C">
        <w:rPr>
          <w:rFonts w:ascii="Times New Roman" w:eastAsia="Calibri" w:hAnsi="Times New Roman" w:cs="Times New Roman"/>
          <w:sz w:val="20"/>
          <w:szCs w:val="20"/>
        </w:rPr>
        <w:t>Notes:</w:t>
      </w:r>
      <w:r w:rsidRPr="003F2E2C">
        <w:rPr>
          <w:rFonts w:ascii="Times New Roman" w:eastAsia="Calibri" w:hAnsi="Times New Roman" w:cs="Times New Roman"/>
          <w:sz w:val="20"/>
          <w:szCs w:val="20"/>
          <w:vertAlign w:val="superscript"/>
        </w:rPr>
        <w:t xml:space="preserve"> </w:t>
      </w:r>
      <w:r w:rsidRPr="003F2E2C">
        <w:rPr>
          <w:rFonts w:ascii="Times New Roman" w:eastAsia="Calibri" w:hAnsi="Times New Roman" w:cs="Times New Roman"/>
          <w:sz w:val="20"/>
          <w:szCs w:val="20"/>
        </w:rPr>
        <w:t xml:space="preserve"> dependent variable: academic performance; </w:t>
      </w:r>
      <w:r w:rsidRPr="003F2E2C">
        <w:rPr>
          <w:rFonts w:ascii="Times New Roman" w:eastAsia="Calibri" w:hAnsi="Times New Roman" w:cs="Times New Roman"/>
          <w:sz w:val="20"/>
          <w:szCs w:val="20"/>
          <w:vertAlign w:val="superscript"/>
        </w:rPr>
        <w:t>*</w:t>
      </w:r>
      <w:r w:rsidRPr="003F2E2C">
        <w:rPr>
          <w:rFonts w:ascii="Times New Roman" w:eastAsia="Calibri" w:hAnsi="Times New Roman" w:cs="Times New Roman"/>
          <w:sz w:val="20"/>
          <w:szCs w:val="20"/>
        </w:rPr>
        <w:t xml:space="preserve">p &lt; .05 (2-tailed); </w:t>
      </w:r>
      <w:r w:rsidRPr="003F2E2C">
        <w:rPr>
          <w:rFonts w:ascii="Times New Roman" w:eastAsia="Calibri" w:hAnsi="Times New Roman" w:cs="Times New Roman"/>
          <w:sz w:val="20"/>
          <w:szCs w:val="20"/>
          <w:vertAlign w:val="superscript"/>
        </w:rPr>
        <w:t>**</w:t>
      </w:r>
      <w:r w:rsidRPr="003F2E2C">
        <w:rPr>
          <w:rFonts w:ascii="Times New Roman" w:eastAsia="Calibri" w:hAnsi="Times New Roman" w:cs="Times New Roman"/>
          <w:sz w:val="20"/>
          <w:szCs w:val="20"/>
        </w:rPr>
        <w:t>p &lt; .01 (2-tailed)</w:t>
      </w:r>
    </w:p>
    <w:p w14:paraId="3280C4EE" w14:textId="77777777" w:rsidR="00917896" w:rsidRPr="003F2E2C" w:rsidRDefault="00917896" w:rsidP="00917896">
      <w:pPr>
        <w:spacing w:line="360" w:lineRule="auto"/>
        <w:jc w:val="both"/>
        <w:rPr>
          <w:rFonts w:ascii="Times New Roman" w:hAnsi="Times New Roman" w:cs="Times New Roman"/>
          <w:noProof/>
          <w:sz w:val="24"/>
          <w:szCs w:val="24"/>
        </w:rPr>
      </w:pPr>
    </w:p>
    <w:p w14:paraId="110F9A1B" w14:textId="77777777" w:rsidR="00917896" w:rsidRPr="003F2E2C" w:rsidRDefault="00917896" w:rsidP="00917896">
      <w:pPr>
        <w:spacing w:line="360" w:lineRule="auto"/>
        <w:jc w:val="both"/>
        <w:rPr>
          <w:rFonts w:ascii="Times New Roman" w:hAnsi="Times New Roman" w:cs="Times New Roman"/>
          <w:noProof/>
          <w:sz w:val="24"/>
          <w:szCs w:val="24"/>
        </w:rPr>
      </w:pPr>
    </w:p>
    <w:p w14:paraId="1E97C7C4" w14:textId="77777777" w:rsidR="00917896" w:rsidRPr="003F2E2C" w:rsidRDefault="00917896" w:rsidP="00917896">
      <w:pPr>
        <w:spacing w:line="360" w:lineRule="auto"/>
        <w:jc w:val="both"/>
        <w:rPr>
          <w:rFonts w:ascii="Times New Roman" w:hAnsi="Times New Roman" w:cs="Times New Roman"/>
          <w:noProof/>
          <w:sz w:val="24"/>
          <w:szCs w:val="24"/>
        </w:rPr>
      </w:pPr>
    </w:p>
    <w:p w14:paraId="3FD76865" w14:textId="77777777" w:rsidR="00917896" w:rsidRPr="003F2E2C" w:rsidRDefault="00917896" w:rsidP="00917896">
      <w:pPr>
        <w:spacing w:line="360" w:lineRule="auto"/>
        <w:jc w:val="both"/>
        <w:rPr>
          <w:rFonts w:ascii="Times New Roman" w:hAnsi="Times New Roman" w:cs="Times New Roman"/>
          <w:noProof/>
          <w:sz w:val="24"/>
          <w:szCs w:val="24"/>
        </w:rPr>
      </w:pPr>
    </w:p>
    <w:p w14:paraId="73F50700" w14:textId="77777777" w:rsidR="00CB0583" w:rsidRPr="003F2E2C" w:rsidRDefault="00CB0583" w:rsidP="00917896">
      <w:pPr>
        <w:spacing w:line="360" w:lineRule="auto"/>
        <w:jc w:val="both"/>
        <w:rPr>
          <w:rFonts w:ascii="Times New Roman" w:hAnsi="Times New Roman" w:cs="Times New Roman"/>
          <w:b/>
          <w:bCs/>
          <w:noProof/>
          <w:sz w:val="24"/>
          <w:szCs w:val="24"/>
        </w:rPr>
      </w:pPr>
    </w:p>
    <w:p w14:paraId="451118D9" w14:textId="77777777" w:rsidR="00CB0583" w:rsidRPr="003F2E2C" w:rsidRDefault="00CB0583" w:rsidP="00917896">
      <w:pPr>
        <w:spacing w:line="360" w:lineRule="auto"/>
        <w:jc w:val="both"/>
        <w:rPr>
          <w:rFonts w:ascii="Times New Roman" w:hAnsi="Times New Roman" w:cs="Times New Roman"/>
          <w:b/>
          <w:bCs/>
          <w:noProof/>
          <w:sz w:val="24"/>
          <w:szCs w:val="24"/>
        </w:rPr>
      </w:pPr>
    </w:p>
    <w:p w14:paraId="1987D9FF" w14:textId="77777777" w:rsidR="00CB0583" w:rsidRPr="003F2E2C" w:rsidRDefault="00CB0583" w:rsidP="00917896">
      <w:pPr>
        <w:spacing w:line="360" w:lineRule="auto"/>
        <w:jc w:val="both"/>
        <w:rPr>
          <w:rFonts w:ascii="Times New Roman" w:hAnsi="Times New Roman" w:cs="Times New Roman"/>
          <w:b/>
          <w:bCs/>
          <w:noProof/>
          <w:sz w:val="24"/>
          <w:szCs w:val="24"/>
        </w:rPr>
      </w:pPr>
    </w:p>
    <w:p w14:paraId="61AAC51C" w14:textId="77777777" w:rsidR="00CB0583" w:rsidRPr="003F2E2C" w:rsidRDefault="00CB0583" w:rsidP="00917896">
      <w:pPr>
        <w:spacing w:line="360" w:lineRule="auto"/>
        <w:jc w:val="both"/>
        <w:rPr>
          <w:rFonts w:ascii="Times New Roman" w:hAnsi="Times New Roman" w:cs="Times New Roman"/>
          <w:b/>
          <w:bCs/>
          <w:noProof/>
          <w:sz w:val="24"/>
          <w:szCs w:val="24"/>
        </w:rPr>
      </w:pPr>
    </w:p>
    <w:p w14:paraId="45CCBB64" w14:textId="72BCF03E" w:rsidR="00917896" w:rsidRPr="003F2E2C" w:rsidRDefault="00917896" w:rsidP="00917896">
      <w:pPr>
        <w:spacing w:line="360" w:lineRule="auto"/>
        <w:jc w:val="both"/>
        <w:rPr>
          <w:rFonts w:ascii="Times New Roman" w:hAnsi="Times New Roman" w:cs="Times New Roman"/>
          <w:b/>
          <w:bCs/>
          <w:noProof/>
          <w:sz w:val="24"/>
          <w:szCs w:val="24"/>
        </w:rPr>
      </w:pPr>
      <w:r w:rsidRPr="003F2E2C">
        <w:rPr>
          <w:rFonts w:ascii="Times New Roman" w:hAnsi="Times New Roman" w:cs="Times New Roman"/>
          <w:b/>
          <w:bCs/>
          <w:noProof/>
          <w:sz w:val="24"/>
          <w:szCs w:val="24"/>
        </w:rPr>
        <w:t xml:space="preserve">Survey instrument </w:t>
      </w:r>
    </w:p>
    <w:p w14:paraId="5A3DB6DB" w14:textId="77777777" w:rsidR="00917896" w:rsidRPr="003F2E2C" w:rsidRDefault="00917896" w:rsidP="00917896">
      <w:pPr>
        <w:spacing w:line="360" w:lineRule="auto"/>
        <w:jc w:val="both"/>
        <w:rPr>
          <w:rFonts w:ascii="Times New Roman" w:hAnsi="Times New Roman" w:cs="Times New Roman"/>
          <w:noProof/>
          <w:sz w:val="24"/>
          <w:szCs w:val="24"/>
        </w:rPr>
      </w:pPr>
      <w:r w:rsidRPr="003F2E2C">
        <w:rPr>
          <w:rFonts w:ascii="Times New Roman" w:hAnsi="Times New Roman" w:cs="Times New Roman"/>
          <w:b/>
          <w:bCs/>
          <w:noProof/>
          <w:sz w:val="24"/>
          <w:szCs w:val="24"/>
        </w:rPr>
        <w:t xml:space="preserve">Dear student, </w:t>
      </w:r>
    </w:p>
    <w:p w14:paraId="0C9CCCFF" w14:textId="306B5CE0" w:rsidR="00917896" w:rsidRPr="003F2E2C" w:rsidRDefault="00917896" w:rsidP="00917896">
      <w:pPr>
        <w:spacing w:line="360" w:lineRule="auto"/>
        <w:jc w:val="both"/>
        <w:rPr>
          <w:rFonts w:ascii="Times New Roman" w:hAnsi="Times New Roman" w:cs="Times New Roman"/>
          <w:b/>
          <w:bCs/>
          <w:noProof/>
          <w:sz w:val="20"/>
          <w:szCs w:val="20"/>
        </w:rPr>
      </w:pPr>
      <w:r w:rsidRPr="003F2E2C">
        <w:rPr>
          <w:rFonts w:ascii="Times New Roman" w:hAnsi="Times New Roman" w:cs="Times New Roman"/>
          <w:noProof/>
          <w:sz w:val="20"/>
          <w:szCs w:val="20"/>
        </w:rPr>
        <w:t xml:space="preserve">Thank you for accepting to participate in this study. This study seeks to </w:t>
      </w:r>
      <w:r w:rsidRPr="003F2E2C">
        <w:rPr>
          <w:rFonts w:ascii="Times New Roman" w:hAnsi="Times New Roman" w:cs="Times New Roman"/>
          <w:b/>
          <w:noProof/>
          <w:sz w:val="20"/>
          <w:szCs w:val="20"/>
        </w:rPr>
        <w:t xml:space="preserve">assess the </w:t>
      </w:r>
      <w:r w:rsidRPr="003F2E2C">
        <w:rPr>
          <w:rFonts w:ascii="Times New Roman" w:hAnsi="Times New Roman" w:cs="Times New Roman"/>
          <w:b/>
          <w:bCs/>
          <w:noProof/>
          <w:sz w:val="20"/>
          <w:szCs w:val="20"/>
        </w:rPr>
        <w:t xml:space="preserve">academic performance of accounting students in secondary and tertiary education institutions in Ghana. </w:t>
      </w:r>
      <w:r w:rsidRPr="003F2E2C">
        <w:rPr>
          <w:rFonts w:ascii="Times New Roman" w:hAnsi="Times New Roman" w:cs="Times New Roman"/>
          <w:noProof/>
          <w:sz w:val="20"/>
          <w:szCs w:val="20"/>
        </w:rPr>
        <w:t xml:space="preserve">The data collected will be used for academic purposes only. Hence, objective responses provided will highly be appreciated. It is kindly requested that you take your time to provide responses to all items on the questionnaire in order </w:t>
      </w:r>
      <w:r w:rsidR="00FA5E11" w:rsidRPr="003F2E2C">
        <w:rPr>
          <w:rFonts w:ascii="Times New Roman" w:hAnsi="Times New Roman" w:cs="Times New Roman"/>
          <w:noProof/>
          <w:sz w:val="20"/>
          <w:szCs w:val="20"/>
        </w:rPr>
        <w:t>to improve the</w:t>
      </w:r>
      <w:r w:rsidRPr="003F2E2C">
        <w:rPr>
          <w:rFonts w:ascii="Times New Roman" w:hAnsi="Times New Roman" w:cs="Times New Roman"/>
          <w:noProof/>
          <w:sz w:val="20"/>
          <w:szCs w:val="20"/>
        </w:rPr>
        <w:t xml:space="preserve"> quality of the study. Please note that participation is voluntary and you are free to stop at anytime if you do not want to continue. Thank you once again.</w:t>
      </w:r>
    </w:p>
    <w:p w14:paraId="76711984"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Section A: Respondent’s Background Information</w:t>
      </w:r>
    </w:p>
    <w:p w14:paraId="6BECD6B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1. Gender</w:t>
      </w:r>
      <w:r w:rsidRPr="003F2E2C">
        <w:rPr>
          <w:rFonts w:ascii="Times New Roman" w:hAnsi="Times New Roman" w:cs="Times New Roman"/>
          <w:noProof/>
          <w:sz w:val="20"/>
          <w:szCs w:val="20"/>
        </w:rPr>
        <w:tab/>
        <w:t>[   ] Male</w:t>
      </w:r>
      <w:r w:rsidRPr="003F2E2C">
        <w:rPr>
          <w:rFonts w:ascii="Times New Roman" w:hAnsi="Times New Roman" w:cs="Times New Roman"/>
          <w:noProof/>
          <w:sz w:val="20"/>
          <w:szCs w:val="20"/>
        </w:rPr>
        <w:tab/>
      </w:r>
      <w:r w:rsidRPr="003F2E2C">
        <w:rPr>
          <w:rFonts w:ascii="Times New Roman" w:hAnsi="Times New Roman" w:cs="Times New Roman"/>
          <w:noProof/>
          <w:sz w:val="20"/>
          <w:szCs w:val="20"/>
        </w:rPr>
        <w:tab/>
      </w:r>
      <w:r w:rsidRPr="003F2E2C">
        <w:rPr>
          <w:rFonts w:ascii="Times New Roman" w:hAnsi="Times New Roman" w:cs="Times New Roman"/>
          <w:noProof/>
          <w:sz w:val="20"/>
          <w:szCs w:val="20"/>
        </w:rPr>
        <w:tab/>
      </w:r>
      <w:r w:rsidRPr="003F2E2C">
        <w:rPr>
          <w:rFonts w:ascii="Times New Roman" w:hAnsi="Times New Roman" w:cs="Times New Roman"/>
          <w:noProof/>
          <w:sz w:val="20"/>
          <w:szCs w:val="20"/>
        </w:rPr>
        <w:tab/>
        <w:t>[   ] Female</w:t>
      </w:r>
    </w:p>
    <w:p w14:paraId="77F5E46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2. Age (years)</w:t>
      </w:r>
      <w:r w:rsidRPr="003F2E2C">
        <w:rPr>
          <w:rFonts w:ascii="Times New Roman" w:hAnsi="Times New Roman" w:cs="Times New Roman"/>
          <w:noProof/>
          <w:sz w:val="20"/>
          <w:szCs w:val="20"/>
        </w:rPr>
        <w:tab/>
        <w:t>[   ] 15 – 20</w:t>
      </w:r>
      <w:r w:rsidRPr="003F2E2C">
        <w:rPr>
          <w:rFonts w:ascii="Times New Roman" w:hAnsi="Times New Roman" w:cs="Times New Roman"/>
          <w:noProof/>
          <w:sz w:val="20"/>
          <w:szCs w:val="20"/>
        </w:rPr>
        <w:tab/>
      </w:r>
      <w:r w:rsidRPr="003F2E2C">
        <w:rPr>
          <w:rFonts w:ascii="Times New Roman" w:hAnsi="Times New Roman" w:cs="Times New Roman"/>
          <w:noProof/>
          <w:sz w:val="20"/>
          <w:szCs w:val="20"/>
        </w:rPr>
        <w:tab/>
      </w:r>
      <w:r w:rsidRPr="003F2E2C">
        <w:rPr>
          <w:rFonts w:ascii="Times New Roman" w:hAnsi="Times New Roman" w:cs="Times New Roman"/>
          <w:noProof/>
          <w:sz w:val="20"/>
          <w:szCs w:val="20"/>
        </w:rPr>
        <w:tab/>
        <w:t>[   ] 21 – 25</w:t>
      </w:r>
      <w:r w:rsidRPr="003F2E2C">
        <w:rPr>
          <w:rFonts w:ascii="Times New Roman" w:hAnsi="Times New Roman" w:cs="Times New Roman"/>
          <w:noProof/>
          <w:sz w:val="20"/>
          <w:szCs w:val="20"/>
        </w:rPr>
        <w:tab/>
        <w:t>[   ] 26 – 30</w:t>
      </w:r>
      <w:r w:rsidRPr="003F2E2C">
        <w:rPr>
          <w:rFonts w:ascii="Times New Roman" w:hAnsi="Times New Roman" w:cs="Times New Roman"/>
          <w:noProof/>
          <w:sz w:val="20"/>
          <w:szCs w:val="20"/>
        </w:rPr>
        <w:tab/>
      </w:r>
      <w:r w:rsidRPr="003F2E2C">
        <w:rPr>
          <w:rFonts w:ascii="Times New Roman" w:hAnsi="Times New Roman" w:cs="Times New Roman"/>
          <w:noProof/>
          <w:sz w:val="20"/>
          <w:szCs w:val="20"/>
        </w:rPr>
        <w:tab/>
        <w:t xml:space="preserve">[  ] Above 30 </w:t>
      </w:r>
    </w:p>
    <w:p w14:paraId="793325C7" w14:textId="38E65C1F" w:rsidR="00917896" w:rsidRPr="003F2E2C" w:rsidRDefault="00FA5E11"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3</w:t>
      </w:r>
      <w:r w:rsidR="00917896" w:rsidRPr="003F2E2C">
        <w:rPr>
          <w:rFonts w:ascii="Times New Roman" w:hAnsi="Times New Roman" w:cs="Times New Roman"/>
          <w:noProof/>
          <w:sz w:val="20"/>
          <w:szCs w:val="20"/>
        </w:rPr>
        <w:t>. Level</w:t>
      </w:r>
      <w:r w:rsidR="00917896" w:rsidRPr="003F2E2C">
        <w:rPr>
          <w:rFonts w:ascii="Times New Roman" w:hAnsi="Times New Roman" w:cs="Times New Roman"/>
          <w:noProof/>
          <w:sz w:val="20"/>
          <w:szCs w:val="20"/>
        </w:rPr>
        <w:tab/>
        <w:t>[   ] Senior High School</w:t>
      </w:r>
      <w:r w:rsidR="00917896" w:rsidRPr="003F2E2C">
        <w:rPr>
          <w:rFonts w:ascii="Times New Roman" w:hAnsi="Times New Roman" w:cs="Times New Roman"/>
          <w:noProof/>
          <w:sz w:val="20"/>
          <w:szCs w:val="20"/>
        </w:rPr>
        <w:tab/>
      </w:r>
      <w:r w:rsidR="00917896" w:rsidRPr="003F2E2C">
        <w:rPr>
          <w:rFonts w:ascii="Times New Roman" w:hAnsi="Times New Roman" w:cs="Times New Roman"/>
          <w:noProof/>
          <w:sz w:val="20"/>
          <w:szCs w:val="20"/>
        </w:rPr>
        <w:tab/>
        <w:t xml:space="preserve">[   ] Tertiary </w:t>
      </w:r>
    </w:p>
    <w:p w14:paraId="3A3D3496" w14:textId="77777777" w:rsidR="00917896" w:rsidRPr="003F2E2C" w:rsidRDefault="00917896" w:rsidP="00917896">
      <w:pPr>
        <w:spacing w:line="360" w:lineRule="auto"/>
        <w:jc w:val="both"/>
        <w:rPr>
          <w:rFonts w:ascii="Times New Roman" w:hAnsi="Times New Roman" w:cs="Times New Roman"/>
          <w:noProof/>
          <w:sz w:val="20"/>
          <w:szCs w:val="20"/>
        </w:rPr>
      </w:pPr>
    </w:p>
    <w:p w14:paraId="59172A8B"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Section B: Interest, Volition and Attitude and Expectations</w:t>
      </w:r>
    </w:p>
    <w:p w14:paraId="68C7FE58" w14:textId="77777777" w:rsidR="00917896" w:rsidRPr="003F2E2C" w:rsidRDefault="00917896" w:rsidP="00917896">
      <w:pPr>
        <w:spacing w:line="360" w:lineRule="auto"/>
        <w:jc w:val="both"/>
        <w:rPr>
          <w:rFonts w:ascii="Times New Roman" w:hAnsi="Times New Roman" w:cs="Times New Roman"/>
          <w:i/>
          <w:iCs/>
          <w:noProof/>
          <w:sz w:val="20"/>
          <w:szCs w:val="20"/>
        </w:rPr>
      </w:pPr>
      <w:r w:rsidRPr="003F2E2C">
        <w:rPr>
          <w:rFonts w:ascii="Times New Roman" w:hAnsi="Times New Roman" w:cs="Times New Roman"/>
          <w:i/>
          <w:iCs/>
          <w:noProof/>
          <w:sz w:val="20"/>
          <w:szCs w:val="20"/>
        </w:rPr>
        <w:t>Please use the scale provided at the right hand-side of each table to provide responses on the following items:</w:t>
      </w:r>
    </w:p>
    <w:p w14:paraId="5B756CBB"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B1: Interest towards Accounting</w:t>
      </w:r>
    </w:p>
    <w:tbl>
      <w:tblPr>
        <w:tblW w:w="9916" w:type="dxa"/>
        <w:tblInd w:w="250" w:type="dxa"/>
        <w:tblBorders>
          <w:top w:val="single" w:sz="4" w:space="0" w:color="auto"/>
          <w:bottom w:val="single" w:sz="4" w:space="0" w:color="auto"/>
        </w:tblBorders>
        <w:tblLook w:val="04A0" w:firstRow="1" w:lastRow="0" w:firstColumn="1" w:lastColumn="0" w:noHBand="0" w:noVBand="1"/>
      </w:tblPr>
      <w:tblGrid>
        <w:gridCol w:w="5226"/>
        <w:gridCol w:w="1021"/>
        <w:gridCol w:w="867"/>
        <w:gridCol w:w="738"/>
        <w:gridCol w:w="1118"/>
        <w:gridCol w:w="946"/>
      </w:tblGrid>
      <w:tr w:rsidR="003F2E2C" w:rsidRPr="003F2E2C" w14:paraId="7A321BB7" w14:textId="77777777" w:rsidTr="006A52A1">
        <w:trPr>
          <w:trHeight w:val="1457"/>
        </w:trPr>
        <w:tc>
          <w:tcPr>
            <w:tcW w:w="5240" w:type="dxa"/>
            <w:vMerge w:val="restart"/>
            <w:shd w:val="clear" w:color="auto" w:fill="auto"/>
            <w:vAlign w:val="center"/>
          </w:tcPr>
          <w:p w14:paraId="42D917F4" w14:textId="77777777" w:rsidR="00917896" w:rsidRPr="003F2E2C" w:rsidRDefault="00917896" w:rsidP="00917896">
            <w:pPr>
              <w:spacing w:line="360" w:lineRule="auto"/>
              <w:jc w:val="both"/>
              <w:rPr>
                <w:rFonts w:ascii="Times New Roman" w:hAnsi="Times New Roman" w:cs="Times New Roman"/>
                <w:b/>
                <w:i/>
                <w:noProof/>
                <w:sz w:val="20"/>
                <w:szCs w:val="20"/>
              </w:rPr>
            </w:pPr>
          </w:p>
          <w:p w14:paraId="1D78B333" w14:textId="77777777" w:rsidR="00917896" w:rsidRPr="003F2E2C" w:rsidRDefault="00917896" w:rsidP="00917896">
            <w:pPr>
              <w:spacing w:line="360" w:lineRule="auto"/>
              <w:jc w:val="both"/>
              <w:rPr>
                <w:rFonts w:ascii="Times New Roman" w:hAnsi="Times New Roman" w:cs="Times New Roman"/>
                <w:b/>
                <w:i/>
                <w:noProof/>
                <w:sz w:val="20"/>
                <w:szCs w:val="20"/>
              </w:rPr>
            </w:pPr>
          </w:p>
        </w:tc>
        <w:tc>
          <w:tcPr>
            <w:tcW w:w="1023" w:type="dxa"/>
            <w:shd w:val="clear" w:color="auto" w:fill="auto"/>
            <w:vAlign w:val="center"/>
          </w:tcPr>
          <w:p w14:paraId="3A7F70E9"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Not at all</w:t>
            </w:r>
          </w:p>
        </w:tc>
        <w:tc>
          <w:tcPr>
            <w:tcW w:w="867" w:type="dxa"/>
            <w:shd w:val="clear" w:color="auto" w:fill="auto"/>
            <w:vAlign w:val="center"/>
          </w:tcPr>
          <w:p w14:paraId="461B7C20"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some extent</w:t>
            </w:r>
          </w:p>
        </w:tc>
        <w:tc>
          <w:tcPr>
            <w:tcW w:w="720" w:type="dxa"/>
            <w:shd w:val="clear" w:color="auto" w:fill="auto"/>
            <w:vAlign w:val="center"/>
          </w:tcPr>
          <w:p w14:paraId="2775BD88"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a large extent</w:t>
            </w:r>
          </w:p>
        </w:tc>
        <w:tc>
          <w:tcPr>
            <w:tcW w:w="1119" w:type="dxa"/>
            <w:shd w:val="clear" w:color="auto" w:fill="auto"/>
            <w:vAlign w:val="center"/>
          </w:tcPr>
          <w:p w14:paraId="6AF4BF14" w14:textId="6075A63E" w:rsidR="00917896" w:rsidRPr="003F2E2C" w:rsidRDefault="00917896" w:rsidP="006A52A1">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w:t>
            </w:r>
            <w:r w:rsidR="006A52A1" w:rsidRPr="003F2E2C">
              <w:rPr>
                <w:rFonts w:ascii="Times New Roman" w:hAnsi="Times New Roman" w:cs="Times New Roman"/>
                <w:b/>
                <w:noProof/>
                <w:sz w:val="20"/>
                <w:szCs w:val="20"/>
              </w:rPr>
              <w:t xml:space="preserve"> </w:t>
            </w:r>
            <w:r w:rsidRPr="003F2E2C">
              <w:rPr>
                <w:rFonts w:ascii="Times New Roman" w:hAnsi="Times New Roman" w:cs="Times New Roman"/>
                <w:b/>
                <w:noProof/>
                <w:sz w:val="20"/>
                <w:szCs w:val="20"/>
              </w:rPr>
              <w:t>a larger extent</w:t>
            </w:r>
          </w:p>
        </w:tc>
        <w:tc>
          <w:tcPr>
            <w:tcW w:w="947" w:type="dxa"/>
            <w:shd w:val="clear" w:color="auto" w:fill="auto"/>
            <w:vAlign w:val="center"/>
          </w:tcPr>
          <w:p w14:paraId="4A5356B4"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a largest extent</w:t>
            </w:r>
          </w:p>
        </w:tc>
      </w:tr>
      <w:tr w:rsidR="003F2E2C" w:rsidRPr="003F2E2C" w14:paraId="07DCBAAB" w14:textId="77777777" w:rsidTr="006A52A1">
        <w:trPr>
          <w:trHeight w:val="607"/>
        </w:trPr>
        <w:tc>
          <w:tcPr>
            <w:tcW w:w="5240" w:type="dxa"/>
            <w:vMerge/>
            <w:shd w:val="clear" w:color="auto" w:fill="auto"/>
          </w:tcPr>
          <w:p w14:paraId="6F5E43FF"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1023" w:type="dxa"/>
            <w:shd w:val="clear" w:color="auto" w:fill="auto"/>
          </w:tcPr>
          <w:p w14:paraId="0E638C0B"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1</w:t>
            </w:r>
          </w:p>
        </w:tc>
        <w:tc>
          <w:tcPr>
            <w:tcW w:w="867" w:type="dxa"/>
            <w:shd w:val="clear" w:color="auto" w:fill="auto"/>
          </w:tcPr>
          <w:p w14:paraId="1C0045F5"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2</w:t>
            </w:r>
          </w:p>
        </w:tc>
        <w:tc>
          <w:tcPr>
            <w:tcW w:w="720" w:type="dxa"/>
            <w:shd w:val="clear" w:color="auto" w:fill="auto"/>
          </w:tcPr>
          <w:p w14:paraId="5188982D"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3</w:t>
            </w:r>
          </w:p>
        </w:tc>
        <w:tc>
          <w:tcPr>
            <w:tcW w:w="1119" w:type="dxa"/>
            <w:shd w:val="clear" w:color="auto" w:fill="auto"/>
          </w:tcPr>
          <w:p w14:paraId="0042DDD4"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4</w:t>
            </w:r>
          </w:p>
        </w:tc>
        <w:tc>
          <w:tcPr>
            <w:tcW w:w="947" w:type="dxa"/>
            <w:shd w:val="clear" w:color="auto" w:fill="auto"/>
          </w:tcPr>
          <w:p w14:paraId="2044BB93"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5</w:t>
            </w:r>
          </w:p>
        </w:tc>
      </w:tr>
      <w:tr w:rsidR="003F2E2C" w:rsidRPr="003F2E2C" w14:paraId="0E3DF84C" w14:textId="77777777" w:rsidTr="006A52A1">
        <w:trPr>
          <w:trHeight w:val="1032"/>
        </w:trPr>
        <w:tc>
          <w:tcPr>
            <w:tcW w:w="5240" w:type="dxa"/>
            <w:shd w:val="clear" w:color="auto" w:fill="auto"/>
          </w:tcPr>
          <w:p w14:paraId="39F1DFD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xml:space="preserve">1. Personally, you’ve always never enjoyed reading accounting </w:t>
            </w:r>
          </w:p>
        </w:tc>
        <w:tc>
          <w:tcPr>
            <w:tcW w:w="1023" w:type="dxa"/>
            <w:shd w:val="clear" w:color="auto" w:fill="auto"/>
            <w:vAlign w:val="center"/>
          </w:tcPr>
          <w:p w14:paraId="0F249A37"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67" w:type="dxa"/>
            <w:shd w:val="clear" w:color="auto" w:fill="auto"/>
            <w:vAlign w:val="center"/>
          </w:tcPr>
          <w:p w14:paraId="0A3CED6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720" w:type="dxa"/>
            <w:shd w:val="clear" w:color="auto" w:fill="auto"/>
            <w:vAlign w:val="center"/>
          </w:tcPr>
          <w:p w14:paraId="5E6D1FF9"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119" w:type="dxa"/>
            <w:shd w:val="clear" w:color="auto" w:fill="auto"/>
            <w:vAlign w:val="center"/>
          </w:tcPr>
          <w:p w14:paraId="1B70883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47" w:type="dxa"/>
            <w:shd w:val="clear" w:color="auto" w:fill="auto"/>
            <w:vAlign w:val="center"/>
          </w:tcPr>
          <w:p w14:paraId="4725BFDA"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343CFA4A" w14:textId="77777777" w:rsidTr="006A52A1">
        <w:trPr>
          <w:trHeight w:val="1047"/>
        </w:trPr>
        <w:tc>
          <w:tcPr>
            <w:tcW w:w="5240" w:type="dxa"/>
            <w:shd w:val="clear" w:color="auto" w:fill="D9D9D9"/>
          </w:tcPr>
          <w:p w14:paraId="7A6B36E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xml:space="preserve">2. Since you started growing up, you have always wanted to read accounting </w:t>
            </w:r>
          </w:p>
        </w:tc>
        <w:tc>
          <w:tcPr>
            <w:tcW w:w="1023" w:type="dxa"/>
            <w:shd w:val="clear" w:color="auto" w:fill="D9D9D9"/>
            <w:vAlign w:val="center"/>
          </w:tcPr>
          <w:p w14:paraId="7E25233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67" w:type="dxa"/>
            <w:shd w:val="clear" w:color="auto" w:fill="D9D9D9"/>
            <w:vAlign w:val="center"/>
          </w:tcPr>
          <w:p w14:paraId="71C4C7E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720" w:type="dxa"/>
            <w:shd w:val="clear" w:color="auto" w:fill="D9D9D9"/>
            <w:vAlign w:val="center"/>
          </w:tcPr>
          <w:p w14:paraId="2536ABF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119" w:type="dxa"/>
            <w:shd w:val="clear" w:color="auto" w:fill="D9D9D9"/>
            <w:vAlign w:val="center"/>
          </w:tcPr>
          <w:p w14:paraId="3D6ECBC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47" w:type="dxa"/>
            <w:shd w:val="clear" w:color="auto" w:fill="D9D9D9"/>
            <w:vAlign w:val="center"/>
          </w:tcPr>
          <w:p w14:paraId="5E8BCCC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917896" w:rsidRPr="003F2E2C" w14:paraId="24CC19FF" w14:textId="77777777" w:rsidTr="006A52A1">
        <w:trPr>
          <w:trHeight w:val="70"/>
        </w:trPr>
        <w:tc>
          <w:tcPr>
            <w:tcW w:w="5240" w:type="dxa"/>
            <w:shd w:val="clear" w:color="auto" w:fill="auto"/>
          </w:tcPr>
          <w:p w14:paraId="225AC19A"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3. Personally, I’ve always never enjoyed reading accounting</w:t>
            </w:r>
          </w:p>
        </w:tc>
        <w:tc>
          <w:tcPr>
            <w:tcW w:w="1023" w:type="dxa"/>
            <w:shd w:val="clear" w:color="auto" w:fill="auto"/>
            <w:vAlign w:val="center"/>
          </w:tcPr>
          <w:p w14:paraId="0EC1E6D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67" w:type="dxa"/>
            <w:shd w:val="clear" w:color="auto" w:fill="auto"/>
            <w:vAlign w:val="center"/>
          </w:tcPr>
          <w:p w14:paraId="3FC0D0C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720" w:type="dxa"/>
            <w:shd w:val="clear" w:color="auto" w:fill="auto"/>
            <w:vAlign w:val="center"/>
          </w:tcPr>
          <w:p w14:paraId="6315DE2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119" w:type="dxa"/>
            <w:shd w:val="clear" w:color="auto" w:fill="auto"/>
            <w:vAlign w:val="center"/>
          </w:tcPr>
          <w:p w14:paraId="58F9183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47" w:type="dxa"/>
            <w:shd w:val="clear" w:color="auto" w:fill="auto"/>
            <w:vAlign w:val="center"/>
          </w:tcPr>
          <w:p w14:paraId="67222AA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bl>
    <w:p w14:paraId="450E1BBC" w14:textId="77777777" w:rsidR="00917896" w:rsidRPr="003F2E2C" w:rsidRDefault="00917896" w:rsidP="00917896">
      <w:pPr>
        <w:spacing w:line="360" w:lineRule="auto"/>
        <w:jc w:val="both"/>
        <w:rPr>
          <w:rFonts w:ascii="Times New Roman" w:hAnsi="Times New Roman" w:cs="Times New Roman"/>
          <w:noProof/>
          <w:sz w:val="20"/>
          <w:szCs w:val="20"/>
        </w:rPr>
      </w:pPr>
    </w:p>
    <w:p w14:paraId="494ADBCE" w14:textId="77777777" w:rsidR="00917896" w:rsidRPr="003F2E2C" w:rsidRDefault="00917896" w:rsidP="00917896">
      <w:pPr>
        <w:spacing w:line="360" w:lineRule="auto"/>
        <w:jc w:val="both"/>
        <w:rPr>
          <w:rFonts w:ascii="Times New Roman" w:hAnsi="Times New Roman" w:cs="Times New Roman"/>
          <w:noProof/>
          <w:sz w:val="20"/>
          <w:szCs w:val="20"/>
        </w:rPr>
      </w:pPr>
    </w:p>
    <w:p w14:paraId="57DF45E0" w14:textId="77777777" w:rsidR="00917896" w:rsidRPr="003F2E2C" w:rsidRDefault="00917896" w:rsidP="00917896">
      <w:pPr>
        <w:spacing w:line="360" w:lineRule="auto"/>
        <w:jc w:val="both"/>
        <w:rPr>
          <w:rFonts w:ascii="Times New Roman" w:hAnsi="Times New Roman" w:cs="Times New Roman"/>
          <w:noProof/>
          <w:sz w:val="20"/>
          <w:szCs w:val="20"/>
        </w:rPr>
      </w:pPr>
    </w:p>
    <w:p w14:paraId="2B888CA0"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 xml:space="preserve">B2: Volition for Accounting </w:t>
      </w:r>
    </w:p>
    <w:tbl>
      <w:tblPr>
        <w:tblW w:w="10325" w:type="dxa"/>
        <w:tblBorders>
          <w:top w:val="single" w:sz="4" w:space="0" w:color="auto"/>
          <w:bottom w:val="single" w:sz="4" w:space="0" w:color="auto"/>
        </w:tblBorders>
        <w:tblLayout w:type="fixed"/>
        <w:tblLook w:val="04A0" w:firstRow="1" w:lastRow="0" w:firstColumn="1" w:lastColumn="0" w:noHBand="0" w:noVBand="1"/>
      </w:tblPr>
      <w:tblGrid>
        <w:gridCol w:w="5220"/>
        <w:gridCol w:w="1170"/>
        <w:gridCol w:w="120"/>
        <w:gridCol w:w="1050"/>
        <w:gridCol w:w="900"/>
        <w:gridCol w:w="876"/>
        <w:gridCol w:w="989"/>
      </w:tblGrid>
      <w:tr w:rsidR="003F2E2C" w:rsidRPr="003F2E2C" w14:paraId="2746E0D1" w14:textId="77777777" w:rsidTr="0013597C">
        <w:trPr>
          <w:trHeight w:val="1791"/>
        </w:trPr>
        <w:tc>
          <w:tcPr>
            <w:tcW w:w="5220" w:type="dxa"/>
            <w:shd w:val="clear" w:color="auto" w:fill="auto"/>
          </w:tcPr>
          <w:p w14:paraId="30879F55" w14:textId="77777777" w:rsidR="00917896" w:rsidRPr="003F2E2C" w:rsidRDefault="00917896" w:rsidP="00917896">
            <w:pPr>
              <w:spacing w:line="360" w:lineRule="auto"/>
              <w:jc w:val="both"/>
              <w:rPr>
                <w:rFonts w:ascii="Times New Roman" w:hAnsi="Times New Roman" w:cs="Times New Roman"/>
                <w:noProof/>
                <w:sz w:val="20"/>
                <w:szCs w:val="20"/>
              </w:rPr>
            </w:pPr>
          </w:p>
          <w:p w14:paraId="5DF8451C"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1170" w:type="dxa"/>
            <w:shd w:val="clear" w:color="auto" w:fill="auto"/>
            <w:vAlign w:val="center"/>
          </w:tcPr>
          <w:p w14:paraId="18803D15"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Strongly disagree</w:t>
            </w:r>
          </w:p>
        </w:tc>
        <w:tc>
          <w:tcPr>
            <w:tcW w:w="1170" w:type="dxa"/>
            <w:gridSpan w:val="2"/>
            <w:shd w:val="clear" w:color="auto" w:fill="auto"/>
            <w:vAlign w:val="center"/>
          </w:tcPr>
          <w:p w14:paraId="0AB4166A"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Disagree</w:t>
            </w:r>
          </w:p>
        </w:tc>
        <w:tc>
          <w:tcPr>
            <w:tcW w:w="900" w:type="dxa"/>
            <w:shd w:val="clear" w:color="auto" w:fill="auto"/>
            <w:vAlign w:val="center"/>
          </w:tcPr>
          <w:p w14:paraId="39CC946F"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Neutral</w:t>
            </w:r>
          </w:p>
        </w:tc>
        <w:tc>
          <w:tcPr>
            <w:tcW w:w="876" w:type="dxa"/>
            <w:shd w:val="clear" w:color="auto" w:fill="auto"/>
            <w:vAlign w:val="center"/>
          </w:tcPr>
          <w:p w14:paraId="78673B71"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Agree</w:t>
            </w:r>
          </w:p>
        </w:tc>
        <w:tc>
          <w:tcPr>
            <w:tcW w:w="989" w:type="dxa"/>
            <w:shd w:val="clear" w:color="auto" w:fill="auto"/>
            <w:vAlign w:val="center"/>
          </w:tcPr>
          <w:p w14:paraId="2B604514"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Strongly agree</w:t>
            </w:r>
          </w:p>
        </w:tc>
      </w:tr>
      <w:tr w:rsidR="003F2E2C" w:rsidRPr="003F2E2C" w14:paraId="79E7F427" w14:textId="77777777" w:rsidTr="0013597C">
        <w:trPr>
          <w:trHeight w:val="596"/>
        </w:trPr>
        <w:tc>
          <w:tcPr>
            <w:tcW w:w="5220" w:type="dxa"/>
            <w:shd w:val="clear" w:color="auto" w:fill="auto"/>
          </w:tcPr>
          <w:p w14:paraId="652B6F84"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1290" w:type="dxa"/>
            <w:gridSpan w:val="2"/>
            <w:shd w:val="clear" w:color="auto" w:fill="auto"/>
          </w:tcPr>
          <w:p w14:paraId="4E6200A1"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1</w:t>
            </w:r>
          </w:p>
        </w:tc>
        <w:tc>
          <w:tcPr>
            <w:tcW w:w="1050" w:type="dxa"/>
            <w:shd w:val="clear" w:color="auto" w:fill="auto"/>
          </w:tcPr>
          <w:p w14:paraId="20BF0CFD"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2</w:t>
            </w:r>
          </w:p>
        </w:tc>
        <w:tc>
          <w:tcPr>
            <w:tcW w:w="900" w:type="dxa"/>
            <w:shd w:val="clear" w:color="auto" w:fill="auto"/>
          </w:tcPr>
          <w:p w14:paraId="5C61F9FC"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3</w:t>
            </w:r>
          </w:p>
        </w:tc>
        <w:tc>
          <w:tcPr>
            <w:tcW w:w="876" w:type="dxa"/>
            <w:shd w:val="clear" w:color="auto" w:fill="auto"/>
          </w:tcPr>
          <w:p w14:paraId="35C01B9A"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4</w:t>
            </w:r>
          </w:p>
        </w:tc>
        <w:tc>
          <w:tcPr>
            <w:tcW w:w="989" w:type="dxa"/>
            <w:shd w:val="clear" w:color="auto" w:fill="auto"/>
          </w:tcPr>
          <w:p w14:paraId="25EFC1BB"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5</w:t>
            </w:r>
          </w:p>
        </w:tc>
      </w:tr>
      <w:tr w:rsidR="003F2E2C" w:rsidRPr="003F2E2C" w14:paraId="1A549866" w14:textId="77777777" w:rsidTr="0013597C">
        <w:trPr>
          <w:trHeight w:val="596"/>
        </w:trPr>
        <w:tc>
          <w:tcPr>
            <w:tcW w:w="5220" w:type="dxa"/>
            <w:shd w:val="clear" w:color="auto" w:fill="D9D9D9"/>
          </w:tcPr>
          <w:p w14:paraId="528E7879"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1. You personally choose to read accounting</w:t>
            </w:r>
          </w:p>
        </w:tc>
        <w:tc>
          <w:tcPr>
            <w:tcW w:w="1290" w:type="dxa"/>
            <w:gridSpan w:val="2"/>
            <w:shd w:val="clear" w:color="auto" w:fill="D9D9D9"/>
            <w:vAlign w:val="center"/>
          </w:tcPr>
          <w:p w14:paraId="3EB0A0F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50" w:type="dxa"/>
            <w:shd w:val="clear" w:color="auto" w:fill="D9D9D9"/>
            <w:vAlign w:val="center"/>
          </w:tcPr>
          <w:p w14:paraId="191CB40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00" w:type="dxa"/>
            <w:shd w:val="clear" w:color="auto" w:fill="D9D9D9"/>
            <w:vAlign w:val="center"/>
          </w:tcPr>
          <w:p w14:paraId="7D3300C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76" w:type="dxa"/>
            <w:shd w:val="clear" w:color="auto" w:fill="D9D9D9"/>
            <w:vAlign w:val="center"/>
          </w:tcPr>
          <w:p w14:paraId="28B2A24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89" w:type="dxa"/>
            <w:shd w:val="clear" w:color="auto" w:fill="D9D9D9"/>
            <w:vAlign w:val="center"/>
          </w:tcPr>
          <w:p w14:paraId="68081D3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3F806700" w14:textId="77777777" w:rsidTr="0013597C">
        <w:trPr>
          <w:trHeight w:val="1004"/>
        </w:trPr>
        <w:tc>
          <w:tcPr>
            <w:tcW w:w="5220" w:type="dxa"/>
            <w:shd w:val="clear" w:color="auto" w:fill="FFFFFF"/>
          </w:tcPr>
          <w:p w14:paraId="3A67525A"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2. Left to you alone, you would have preferred to read other programmes other than accounting</w:t>
            </w:r>
          </w:p>
        </w:tc>
        <w:tc>
          <w:tcPr>
            <w:tcW w:w="1290" w:type="dxa"/>
            <w:gridSpan w:val="2"/>
            <w:shd w:val="clear" w:color="auto" w:fill="FFFFFF"/>
            <w:vAlign w:val="center"/>
          </w:tcPr>
          <w:p w14:paraId="28CF239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50" w:type="dxa"/>
            <w:shd w:val="clear" w:color="auto" w:fill="FFFFFF"/>
            <w:vAlign w:val="center"/>
          </w:tcPr>
          <w:p w14:paraId="2D95D42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00" w:type="dxa"/>
            <w:shd w:val="clear" w:color="auto" w:fill="FFFFFF"/>
            <w:vAlign w:val="center"/>
          </w:tcPr>
          <w:p w14:paraId="67F832F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76" w:type="dxa"/>
            <w:shd w:val="clear" w:color="auto" w:fill="FFFFFF"/>
            <w:vAlign w:val="center"/>
          </w:tcPr>
          <w:p w14:paraId="37C7BE97"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89" w:type="dxa"/>
            <w:shd w:val="clear" w:color="auto" w:fill="FFFFFF"/>
            <w:vAlign w:val="center"/>
          </w:tcPr>
          <w:p w14:paraId="04E77BAE"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43CABFEA" w14:textId="77777777" w:rsidTr="0013597C">
        <w:trPr>
          <w:trHeight w:val="990"/>
        </w:trPr>
        <w:tc>
          <w:tcPr>
            <w:tcW w:w="5220" w:type="dxa"/>
            <w:shd w:val="clear" w:color="auto" w:fill="D9D9D9"/>
          </w:tcPr>
          <w:p w14:paraId="3BFC4BF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3. The people around (e.g. parents, friends) influenced you to read accounting</w:t>
            </w:r>
          </w:p>
        </w:tc>
        <w:tc>
          <w:tcPr>
            <w:tcW w:w="1290" w:type="dxa"/>
            <w:gridSpan w:val="2"/>
            <w:shd w:val="clear" w:color="auto" w:fill="D9D9D9"/>
            <w:vAlign w:val="center"/>
          </w:tcPr>
          <w:p w14:paraId="58FAD17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50" w:type="dxa"/>
            <w:shd w:val="clear" w:color="auto" w:fill="D9D9D9"/>
            <w:vAlign w:val="center"/>
          </w:tcPr>
          <w:p w14:paraId="2943A04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00" w:type="dxa"/>
            <w:shd w:val="clear" w:color="auto" w:fill="D9D9D9"/>
            <w:vAlign w:val="center"/>
          </w:tcPr>
          <w:p w14:paraId="22694F1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76" w:type="dxa"/>
            <w:shd w:val="clear" w:color="auto" w:fill="D9D9D9"/>
            <w:vAlign w:val="center"/>
          </w:tcPr>
          <w:p w14:paraId="3D0AEF48"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89" w:type="dxa"/>
            <w:shd w:val="clear" w:color="auto" w:fill="D9D9D9"/>
            <w:vAlign w:val="center"/>
          </w:tcPr>
          <w:p w14:paraId="678A6828"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bl>
    <w:p w14:paraId="543157BD" w14:textId="77777777" w:rsidR="00917896" w:rsidRPr="003F2E2C" w:rsidRDefault="00917896" w:rsidP="00917896">
      <w:pPr>
        <w:spacing w:line="360" w:lineRule="auto"/>
        <w:jc w:val="both"/>
        <w:rPr>
          <w:rFonts w:ascii="Times New Roman" w:hAnsi="Times New Roman" w:cs="Times New Roman"/>
          <w:noProof/>
          <w:sz w:val="20"/>
          <w:szCs w:val="20"/>
        </w:rPr>
      </w:pPr>
    </w:p>
    <w:p w14:paraId="03FFBE70" w14:textId="77777777" w:rsidR="00917896" w:rsidRPr="003F2E2C" w:rsidRDefault="00917896" w:rsidP="00917896">
      <w:pPr>
        <w:spacing w:line="360" w:lineRule="auto"/>
        <w:jc w:val="both"/>
        <w:rPr>
          <w:rFonts w:ascii="Times New Roman" w:hAnsi="Times New Roman" w:cs="Times New Roman"/>
          <w:noProof/>
          <w:sz w:val="20"/>
          <w:szCs w:val="20"/>
        </w:rPr>
      </w:pPr>
    </w:p>
    <w:p w14:paraId="05397AD3" w14:textId="77777777" w:rsidR="00917896" w:rsidRPr="003F2E2C" w:rsidRDefault="00917896" w:rsidP="00917896">
      <w:pPr>
        <w:spacing w:line="360" w:lineRule="auto"/>
        <w:jc w:val="both"/>
        <w:rPr>
          <w:rFonts w:ascii="Times New Roman" w:hAnsi="Times New Roman" w:cs="Times New Roman"/>
          <w:noProof/>
          <w:sz w:val="20"/>
          <w:szCs w:val="20"/>
        </w:rPr>
      </w:pPr>
    </w:p>
    <w:p w14:paraId="0929A39B"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 xml:space="preserve">B3: Attitude towards Accounting </w:t>
      </w:r>
    </w:p>
    <w:tbl>
      <w:tblPr>
        <w:tblW w:w="9707" w:type="dxa"/>
        <w:tblInd w:w="250" w:type="dxa"/>
        <w:tblBorders>
          <w:top w:val="single" w:sz="4" w:space="0" w:color="auto"/>
          <w:bottom w:val="single" w:sz="4" w:space="0" w:color="auto"/>
        </w:tblBorders>
        <w:tblLook w:val="04A0" w:firstRow="1" w:lastRow="0" w:firstColumn="1" w:lastColumn="0" w:noHBand="0" w:noVBand="1"/>
      </w:tblPr>
      <w:tblGrid>
        <w:gridCol w:w="4970"/>
        <w:gridCol w:w="106"/>
        <w:gridCol w:w="926"/>
        <w:gridCol w:w="926"/>
        <w:gridCol w:w="926"/>
        <w:gridCol w:w="536"/>
        <w:gridCol w:w="1317"/>
      </w:tblGrid>
      <w:tr w:rsidR="003F2E2C" w:rsidRPr="003F2E2C" w14:paraId="62134F35" w14:textId="77777777" w:rsidTr="00FA5E11">
        <w:trPr>
          <w:trHeight w:val="1431"/>
        </w:trPr>
        <w:tc>
          <w:tcPr>
            <w:tcW w:w="4970" w:type="dxa"/>
            <w:shd w:val="clear" w:color="auto" w:fill="auto"/>
          </w:tcPr>
          <w:p w14:paraId="1D763891"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1032" w:type="dxa"/>
            <w:gridSpan w:val="2"/>
            <w:shd w:val="clear" w:color="auto" w:fill="auto"/>
            <w:vAlign w:val="center"/>
          </w:tcPr>
          <w:p w14:paraId="5B64E28C"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Not at all</w:t>
            </w:r>
          </w:p>
        </w:tc>
        <w:tc>
          <w:tcPr>
            <w:tcW w:w="2388" w:type="dxa"/>
            <w:gridSpan w:val="3"/>
            <w:shd w:val="clear" w:color="auto" w:fill="auto"/>
            <w:vAlign w:val="center"/>
          </w:tcPr>
          <w:p w14:paraId="485406D3" w14:textId="7CBFFF53" w:rsidR="00917896" w:rsidRPr="003F2E2C" w:rsidRDefault="00FA5E11"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 xml:space="preserve">   </w:t>
            </w:r>
            <w:r w:rsidR="00917896" w:rsidRPr="003F2E2C">
              <w:rPr>
                <w:rFonts w:ascii="Times New Roman" w:hAnsi="Times New Roman" w:cs="Times New Roman"/>
                <w:b/>
                <w:noProof/>
                <w:sz w:val="20"/>
                <w:szCs w:val="20"/>
              </w:rPr>
              <w:t>Some times</w:t>
            </w:r>
          </w:p>
        </w:tc>
        <w:tc>
          <w:tcPr>
            <w:tcW w:w="1317" w:type="dxa"/>
            <w:shd w:val="clear" w:color="auto" w:fill="auto"/>
            <w:vAlign w:val="center"/>
          </w:tcPr>
          <w:p w14:paraId="5A96B10E"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a largest extent</w:t>
            </w:r>
          </w:p>
        </w:tc>
      </w:tr>
      <w:tr w:rsidR="003F2E2C" w:rsidRPr="003F2E2C" w14:paraId="123C5B2A" w14:textId="77777777" w:rsidTr="00FA5E11">
        <w:trPr>
          <w:trHeight w:val="611"/>
        </w:trPr>
        <w:tc>
          <w:tcPr>
            <w:tcW w:w="5076" w:type="dxa"/>
            <w:gridSpan w:val="2"/>
            <w:shd w:val="clear" w:color="auto" w:fill="auto"/>
          </w:tcPr>
          <w:p w14:paraId="19D29E64"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926" w:type="dxa"/>
            <w:shd w:val="clear" w:color="auto" w:fill="auto"/>
          </w:tcPr>
          <w:p w14:paraId="401318A7"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1</w:t>
            </w:r>
          </w:p>
        </w:tc>
        <w:tc>
          <w:tcPr>
            <w:tcW w:w="926" w:type="dxa"/>
            <w:shd w:val="clear" w:color="auto" w:fill="auto"/>
          </w:tcPr>
          <w:p w14:paraId="37A58C98"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2</w:t>
            </w:r>
          </w:p>
        </w:tc>
        <w:tc>
          <w:tcPr>
            <w:tcW w:w="926" w:type="dxa"/>
            <w:shd w:val="clear" w:color="auto" w:fill="auto"/>
          </w:tcPr>
          <w:p w14:paraId="650F7976"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3</w:t>
            </w:r>
          </w:p>
        </w:tc>
        <w:tc>
          <w:tcPr>
            <w:tcW w:w="536" w:type="dxa"/>
            <w:shd w:val="clear" w:color="auto" w:fill="auto"/>
          </w:tcPr>
          <w:p w14:paraId="1DB38055"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4</w:t>
            </w:r>
          </w:p>
        </w:tc>
        <w:tc>
          <w:tcPr>
            <w:tcW w:w="1317" w:type="dxa"/>
            <w:shd w:val="clear" w:color="auto" w:fill="auto"/>
          </w:tcPr>
          <w:p w14:paraId="0A4EF5E7"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5</w:t>
            </w:r>
          </w:p>
        </w:tc>
      </w:tr>
      <w:tr w:rsidR="003F2E2C" w:rsidRPr="003F2E2C" w14:paraId="23FA22B2" w14:textId="77777777" w:rsidTr="00FA5E11">
        <w:trPr>
          <w:trHeight w:val="1014"/>
        </w:trPr>
        <w:tc>
          <w:tcPr>
            <w:tcW w:w="5076" w:type="dxa"/>
            <w:gridSpan w:val="2"/>
            <w:shd w:val="clear" w:color="auto" w:fill="auto"/>
            <w:vAlign w:val="center"/>
          </w:tcPr>
          <w:p w14:paraId="30820F3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1. You spend a lot of time reading accounting materials (e.g. books)</w:t>
            </w:r>
          </w:p>
        </w:tc>
        <w:tc>
          <w:tcPr>
            <w:tcW w:w="926" w:type="dxa"/>
            <w:shd w:val="clear" w:color="auto" w:fill="auto"/>
            <w:vAlign w:val="center"/>
          </w:tcPr>
          <w:p w14:paraId="088F346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26" w:type="dxa"/>
            <w:shd w:val="clear" w:color="auto" w:fill="auto"/>
            <w:vAlign w:val="center"/>
          </w:tcPr>
          <w:p w14:paraId="78D9674B"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26" w:type="dxa"/>
            <w:shd w:val="clear" w:color="auto" w:fill="auto"/>
            <w:vAlign w:val="center"/>
          </w:tcPr>
          <w:p w14:paraId="475CA45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36" w:type="dxa"/>
            <w:shd w:val="clear" w:color="auto" w:fill="auto"/>
            <w:vAlign w:val="center"/>
          </w:tcPr>
          <w:p w14:paraId="4818FC9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317" w:type="dxa"/>
            <w:shd w:val="clear" w:color="auto" w:fill="auto"/>
            <w:vAlign w:val="center"/>
          </w:tcPr>
          <w:p w14:paraId="019DF62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4F6AF57D" w14:textId="77777777" w:rsidTr="00FA5E11">
        <w:trPr>
          <w:trHeight w:val="1028"/>
        </w:trPr>
        <w:tc>
          <w:tcPr>
            <w:tcW w:w="5076" w:type="dxa"/>
            <w:gridSpan w:val="2"/>
            <w:shd w:val="clear" w:color="auto" w:fill="D9D9D9"/>
            <w:vAlign w:val="center"/>
          </w:tcPr>
          <w:p w14:paraId="4E11D44A"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2. You always want to learn something new in the accounting field</w:t>
            </w:r>
          </w:p>
        </w:tc>
        <w:tc>
          <w:tcPr>
            <w:tcW w:w="926" w:type="dxa"/>
            <w:shd w:val="clear" w:color="auto" w:fill="D9D9D9"/>
            <w:vAlign w:val="center"/>
          </w:tcPr>
          <w:p w14:paraId="1D0A071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26" w:type="dxa"/>
            <w:shd w:val="clear" w:color="auto" w:fill="D9D9D9"/>
            <w:vAlign w:val="center"/>
          </w:tcPr>
          <w:p w14:paraId="24BFDF2B"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26" w:type="dxa"/>
            <w:shd w:val="clear" w:color="auto" w:fill="D9D9D9"/>
            <w:vAlign w:val="center"/>
          </w:tcPr>
          <w:p w14:paraId="6FE14338"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36" w:type="dxa"/>
            <w:shd w:val="clear" w:color="auto" w:fill="D9D9D9"/>
            <w:vAlign w:val="center"/>
          </w:tcPr>
          <w:p w14:paraId="2FDCA9F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317" w:type="dxa"/>
            <w:shd w:val="clear" w:color="auto" w:fill="D9D9D9"/>
            <w:vAlign w:val="center"/>
          </w:tcPr>
          <w:p w14:paraId="3F7039E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917896" w:rsidRPr="003F2E2C" w14:paraId="15805451" w14:textId="77777777" w:rsidTr="00FA5E11">
        <w:trPr>
          <w:trHeight w:val="1014"/>
        </w:trPr>
        <w:tc>
          <w:tcPr>
            <w:tcW w:w="5076" w:type="dxa"/>
            <w:gridSpan w:val="2"/>
            <w:shd w:val="clear" w:color="auto" w:fill="auto"/>
            <w:vAlign w:val="center"/>
          </w:tcPr>
          <w:p w14:paraId="5558A5A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3. You think any effort made to read accounting materials is worth it</w:t>
            </w:r>
          </w:p>
        </w:tc>
        <w:tc>
          <w:tcPr>
            <w:tcW w:w="926" w:type="dxa"/>
            <w:shd w:val="clear" w:color="auto" w:fill="auto"/>
            <w:vAlign w:val="center"/>
          </w:tcPr>
          <w:p w14:paraId="44D90C48"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26" w:type="dxa"/>
            <w:shd w:val="clear" w:color="auto" w:fill="auto"/>
            <w:vAlign w:val="center"/>
          </w:tcPr>
          <w:p w14:paraId="55B8FA99"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926" w:type="dxa"/>
            <w:shd w:val="clear" w:color="auto" w:fill="auto"/>
            <w:vAlign w:val="center"/>
          </w:tcPr>
          <w:p w14:paraId="3472B49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36" w:type="dxa"/>
            <w:shd w:val="clear" w:color="auto" w:fill="auto"/>
            <w:vAlign w:val="center"/>
          </w:tcPr>
          <w:p w14:paraId="2F8806F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317" w:type="dxa"/>
            <w:shd w:val="clear" w:color="auto" w:fill="auto"/>
            <w:vAlign w:val="center"/>
          </w:tcPr>
          <w:p w14:paraId="107FE4F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bl>
    <w:p w14:paraId="772F66D0" w14:textId="77777777" w:rsidR="00917896" w:rsidRPr="003F2E2C" w:rsidRDefault="00917896" w:rsidP="00917896">
      <w:pPr>
        <w:spacing w:line="360" w:lineRule="auto"/>
        <w:jc w:val="both"/>
        <w:rPr>
          <w:rFonts w:ascii="Times New Roman" w:hAnsi="Times New Roman" w:cs="Times New Roman"/>
          <w:noProof/>
          <w:sz w:val="20"/>
          <w:szCs w:val="20"/>
        </w:rPr>
      </w:pPr>
    </w:p>
    <w:p w14:paraId="70882D06" w14:textId="77777777" w:rsidR="00917896" w:rsidRPr="003F2E2C" w:rsidRDefault="00917896" w:rsidP="00917896">
      <w:pPr>
        <w:spacing w:line="360" w:lineRule="auto"/>
        <w:jc w:val="both"/>
        <w:rPr>
          <w:rFonts w:ascii="Times New Roman" w:hAnsi="Times New Roman" w:cs="Times New Roman"/>
          <w:noProof/>
          <w:sz w:val="20"/>
          <w:szCs w:val="20"/>
        </w:rPr>
      </w:pPr>
    </w:p>
    <w:p w14:paraId="33343BF0" w14:textId="77777777" w:rsidR="00917896" w:rsidRPr="003F2E2C" w:rsidRDefault="00917896" w:rsidP="00917896">
      <w:pPr>
        <w:spacing w:line="360" w:lineRule="auto"/>
        <w:jc w:val="both"/>
        <w:rPr>
          <w:rFonts w:ascii="Times New Roman" w:hAnsi="Times New Roman" w:cs="Times New Roman"/>
          <w:noProof/>
          <w:sz w:val="20"/>
          <w:szCs w:val="20"/>
        </w:rPr>
      </w:pPr>
    </w:p>
    <w:p w14:paraId="75EC2A4B" w14:textId="77777777" w:rsidR="00917896" w:rsidRPr="003F2E2C" w:rsidRDefault="00917896" w:rsidP="00917896">
      <w:pPr>
        <w:spacing w:line="360" w:lineRule="auto"/>
        <w:jc w:val="both"/>
        <w:rPr>
          <w:rFonts w:ascii="Times New Roman" w:hAnsi="Times New Roman" w:cs="Times New Roman"/>
          <w:noProof/>
          <w:sz w:val="20"/>
          <w:szCs w:val="20"/>
        </w:rPr>
      </w:pPr>
    </w:p>
    <w:p w14:paraId="001F83B9"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 xml:space="preserve">  B4: Expectations </w:t>
      </w:r>
    </w:p>
    <w:tbl>
      <w:tblPr>
        <w:tblW w:w="9596" w:type="dxa"/>
        <w:tblInd w:w="250" w:type="dxa"/>
        <w:tblBorders>
          <w:top w:val="single" w:sz="4" w:space="0" w:color="auto"/>
          <w:bottom w:val="single" w:sz="4" w:space="0" w:color="auto"/>
        </w:tblBorders>
        <w:tblLook w:val="04A0" w:firstRow="1" w:lastRow="0" w:firstColumn="1" w:lastColumn="0" w:noHBand="0" w:noVBand="1"/>
      </w:tblPr>
      <w:tblGrid>
        <w:gridCol w:w="4790"/>
        <w:gridCol w:w="650"/>
        <w:gridCol w:w="1024"/>
        <w:gridCol w:w="1091"/>
        <w:gridCol w:w="807"/>
        <w:gridCol w:w="1234"/>
      </w:tblGrid>
      <w:tr w:rsidR="003F2E2C" w:rsidRPr="003F2E2C" w14:paraId="67DD9395" w14:textId="77777777" w:rsidTr="00FA5E11">
        <w:trPr>
          <w:trHeight w:val="1813"/>
        </w:trPr>
        <w:tc>
          <w:tcPr>
            <w:tcW w:w="4790" w:type="dxa"/>
            <w:shd w:val="clear" w:color="auto" w:fill="auto"/>
          </w:tcPr>
          <w:p w14:paraId="540D0914" w14:textId="77777777" w:rsidR="00917896" w:rsidRPr="003F2E2C" w:rsidRDefault="00917896" w:rsidP="00917896">
            <w:pPr>
              <w:spacing w:line="360" w:lineRule="auto"/>
              <w:jc w:val="both"/>
              <w:rPr>
                <w:rFonts w:ascii="Times New Roman" w:hAnsi="Times New Roman" w:cs="Times New Roman"/>
                <w:noProof/>
                <w:sz w:val="20"/>
                <w:szCs w:val="20"/>
              </w:rPr>
            </w:pPr>
          </w:p>
          <w:p w14:paraId="132218F0" w14:textId="77777777" w:rsidR="00917896" w:rsidRPr="003F2E2C" w:rsidRDefault="00917896" w:rsidP="00917896">
            <w:pPr>
              <w:spacing w:line="360" w:lineRule="auto"/>
              <w:jc w:val="both"/>
              <w:rPr>
                <w:rFonts w:ascii="Times New Roman" w:hAnsi="Times New Roman" w:cs="Times New Roman"/>
                <w:noProof/>
                <w:sz w:val="20"/>
                <w:szCs w:val="20"/>
              </w:rPr>
            </w:pPr>
          </w:p>
          <w:p w14:paraId="1E237ACB"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650" w:type="dxa"/>
            <w:shd w:val="clear" w:color="auto" w:fill="auto"/>
          </w:tcPr>
          <w:p w14:paraId="522A7BC9"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Not at all</w:t>
            </w:r>
          </w:p>
        </w:tc>
        <w:tc>
          <w:tcPr>
            <w:tcW w:w="1024" w:type="dxa"/>
            <w:shd w:val="clear" w:color="auto" w:fill="auto"/>
          </w:tcPr>
          <w:p w14:paraId="42DBB725"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some extent</w:t>
            </w:r>
          </w:p>
        </w:tc>
        <w:tc>
          <w:tcPr>
            <w:tcW w:w="1091" w:type="dxa"/>
            <w:shd w:val="clear" w:color="auto" w:fill="auto"/>
          </w:tcPr>
          <w:p w14:paraId="020DDA37"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a large extent</w:t>
            </w:r>
          </w:p>
        </w:tc>
        <w:tc>
          <w:tcPr>
            <w:tcW w:w="807" w:type="dxa"/>
            <w:shd w:val="clear" w:color="auto" w:fill="auto"/>
          </w:tcPr>
          <w:p w14:paraId="6879264D"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a larger extent</w:t>
            </w:r>
          </w:p>
        </w:tc>
        <w:tc>
          <w:tcPr>
            <w:tcW w:w="1234" w:type="dxa"/>
            <w:shd w:val="clear" w:color="auto" w:fill="auto"/>
          </w:tcPr>
          <w:p w14:paraId="0ABF4C44"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To a largest extent</w:t>
            </w:r>
          </w:p>
        </w:tc>
      </w:tr>
      <w:tr w:rsidR="003F2E2C" w:rsidRPr="003F2E2C" w14:paraId="1F85D644" w14:textId="77777777" w:rsidTr="00FA5E11">
        <w:trPr>
          <w:trHeight w:val="609"/>
        </w:trPr>
        <w:tc>
          <w:tcPr>
            <w:tcW w:w="4790" w:type="dxa"/>
            <w:shd w:val="clear" w:color="auto" w:fill="auto"/>
          </w:tcPr>
          <w:p w14:paraId="3A73B4E3" w14:textId="77777777" w:rsidR="00917896" w:rsidRPr="003F2E2C" w:rsidRDefault="00917896" w:rsidP="00917896">
            <w:pPr>
              <w:spacing w:line="360" w:lineRule="auto"/>
              <w:jc w:val="both"/>
              <w:rPr>
                <w:rFonts w:ascii="Times New Roman" w:hAnsi="Times New Roman" w:cs="Times New Roman"/>
                <w:noProof/>
                <w:sz w:val="20"/>
                <w:szCs w:val="20"/>
              </w:rPr>
            </w:pPr>
          </w:p>
        </w:tc>
        <w:tc>
          <w:tcPr>
            <w:tcW w:w="650" w:type="dxa"/>
            <w:shd w:val="clear" w:color="auto" w:fill="auto"/>
          </w:tcPr>
          <w:p w14:paraId="03EF48AD"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1</w:t>
            </w:r>
          </w:p>
        </w:tc>
        <w:tc>
          <w:tcPr>
            <w:tcW w:w="1024" w:type="dxa"/>
            <w:shd w:val="clear" w:color="auto" w:fill="auto"/>
          </w:tcPr>
          <w:p w14:paraId="0DC3D105"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2</w:t>
            </w:r>
          </w:p>
        </w:tc>
        <w:tc>
          <w:tcPr>
            <w:tcW w:w="1091" w:type="dxa"/>
            <w:shd w:val="clear" w:color="auto" w:fill="auto"/>
          </w:tcPr>
          <w:p w14:paraId="2C365AD3"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3</w:t>
            </w:r>
          </w:p>
        </w:tc>
        <w:tc>
          <w:tcPr>
            <w:tcW w:w="807" w:type="dxa"/>
            <w:shd w:val="clear" w:color="auto" w:fill="auto"/>
          </w:tcPr>
          <w:p w14:paraId="3C47185C"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4</w:t>
            </w:r>
          </w:p>
        </w:tc>
        <w:tc>
          <w:tcPr>
            <w:tcW w:w="1234" w:type="dxa"/>
            <w:shd w:val="clear" w:color="auto" w:fill="auto"/>
          </w:tcPr>
          <w:p w14:paraId="0E7E54BF"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5</w:t>
            </w:r>
          </w:p>
        </w:tc>
      </w:tr>
      <w:tr w:rsidR="003F2E2C" w:rsidRPr="003F2E2C" w14:paraId="3EDC8786" w14:textId="77777777" w:rsidTr="00FA5E11">
        <w:trPr>
          <w:trHeight w:val="1025"/>
        </w:trPr>
        <w:tc>
          <w:tcPr>
            <w:tcW w:w="4790" w:type="dxa"/>
            <w:shd w:val="clear" w:color="auto" w:fill="auto"/>
          </w:tcPr>
          <w:p w14:paraId="6C79AEF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1. The accounting profession brings one a greater prestige/respect in the society</w:t>
            </w:r>
          </w:p>
        </w:tc>
        <w:tc>
          <w:tcPr>
            <w:tcW w:w="650" w:type="dxa"/>
            <w:shd w:val="clear" w:color="auto" w:fill="auto"/>
            <w:vAlign w:val="center"/>
          </w:tcPr>
          <w:p w14:paraId="133B1A4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24" w:type="dxa"/>
            <w:shd w:val="clear" w:color="auto" w:fill="auto"/>
            <w:vAlign w:val="center"/>
          </w:tcPr>
          <w:p w14:paraId="5D6B945E"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91" w:type="dxa"/>
            <w:shd w:val="clear" w:color="auto" w:fill="auto"/>
            <w:vAlign w:val="center"/>
          </w:tcPr>
          <w:p w14:paraId="0327C90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07" w:type="dxa"/>
            <w:shd w:val="clear" w:color="auto" w:fill="auto"/>
            <w:vAlign w:val="center"/>
          </w:tcPr>
          <w:p w14:paraId="28587E3E"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234" w:type="dxa"/>
            <w:shd w:val="clear" w:color="auto" w:fill="auto"/>
            <w:vAlign w:val="center"/>
          </w:tcPr>
          <w:p w14:paraId="65EFE2C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1C2656BA" w14:textId="77777777" w:rsidTr="00FA5E11">
        <w:trPr>
          <w:trHeight w:val="1010"/>
        </w:trPr>
        <w:tc>
          <w:tcPr>
            <w:tcW w:w="4790" w:type="dxa"/>
            <w:shd w:val="clear" w:color="auto" w:fill="D9D9D9"/>
          </w:tcPr>
          <w:p w14:paraId="2D47EA3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2. You believe the accounting profession helps one to earn good remuneration/salary</w:t>
            </w:r>
          </w:p>
        </w:tc>
        <w:tc>
          <w:tcPr>
            <w:tcW w:w="650" w:type="dxa"/>
            <w:shd w:val="clear" w:color="auto" w:fill="D9D9D9"/>
            <w:vAlign w:val="center"/>
          </w:tcPr>
          <w:p w14:paraId="3AF1CF5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24" w:type="dxa"/>
            <w:shd w:val="clear" w:color="auto" w:fill="D9D9D9"/>
            <w:vAlign w:val="center"/>
          </w:tcPr>
          <w:p w14:paraId="69AD459A"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91" w:type="dxa"/>
            <w:shd w:val="clear" w:color="auto" w:fill="D9D9D9"/>
            <w:vAlign w:val="center"/>
          </w:tcPr>
          <w:p w14:paraId="375419D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07" w:type="dxa"/>
            <w:shd w:val="clear" w:color="auto" w:fill="D9D9D9"/>
            <w:vAlign w:val="center"/>
          </w:tcPr>
          <w:p w14:paraId="306FE80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234" w:type="dxa"/>
            <w:shd w:val="clear" w:color="auto" w:fill="D9D9D9"/>
            <w:vAlign w:val="center"/>
          </w:tcPr>
          <w:p w14:paraId="50245038"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74F68362" w14:textId="77777777" w:rsidTr="00FA5E11">
        <w:trPr>
          <w:trHeight w:val="1025"/>
        </w:trPr>
        <w:tc>
          <w:tcPr>
            <w:tcW w:w="4790" w:type="dxa"/>
            <w:shd w:val="clear" w:color="auto" w:fill="auto"/>
          </w:tcPr>
          <w:p w14:paraId="05D9E40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3. Relatively, you believe reading accounting helps one to easily get work to do</w:t>
            </w:r>
          </w:p>
        </w:tc>
        <w:tc>
          <w:tcPr>
            <w:tcW w:w="650" w:type="dxa"/>
            <w:shd w:val="clear" w:color="auto" w:fill="auto"/>
            <w:vAlign w:val="center"/>
          </w:tcPr>
          <w:p w14:paraId="130CCA51"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24" w:type="dxa"/>
            <w:shd w:val="clear" w:color="auto" w:fill="auto"/>
            <w:vAlign w:val="center"/>
          </w:tcPr>
          <w:p w14:paraId="6CBA31A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91" w:type="dxa"/>
            <w:shd w:val="clear" w:color="auto" w:fill="auto"/>
            <w:vAlign w:val="center"/>
          </w:tcPr>
          <w:p w14:paraId="3E0EF42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07" w:type="dxa"/>
            <w:shd w:val="clear" w:color="auto" w:fill="auto"/>
            <w:vAlign w:val="center"/>
          </w:tcPr>
          <w:p w14:paraId="5EB8A5E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234" w:type="dxa"/>
            <w:shd w:val="clear" w:color="auto" w:fill="auto"/>
            <w:vAlign w:val="center"/>
          </w:tcPr>
          <w:p w14:paraId="6CC24C5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2556EB64" w14:textId="77777777" w:rsidTr="00FA5E11">
        <w:trPr>
          <w:trHeight w:val="1010"/>
        </w:trPr>
        <w:tc>
          <w:tcPr>
            <w:tcW w:w="4790" w:type="dxa"/>
            <w:shd w:val="clear" w:color="auto" w:fill="D9D9D9"/>
          </w:tcPr>
          <w:p w14:paraId="301B3D37"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4. You believe a pursuing accounting as a profession makes one more likely to succeed in life</w:t>
            </w:r>
          </w:p>
        </w:tc>
        <w:tc>
          <w:tcPr>
            <w:tcW w:w="650" w:type="dxa"/>
            <w:shd w:val="clear" w:color="auto" w:fill="D9D9D9"/>
            <w:vAlign w:val="center"/>
          </w:tcPr>
          <w:p w14:paraId="20082F2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24" w:type="dxa"/>
            <w:shd w:val="clear" w:color="auto" w:fill="D9D9D9"/>
            <w:vAlign w:val="center"/>
          </w:tcPr>
          <w:p w14:paraId="7505287B"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091" w:type="dxa"/>
            <w:shd w:val="clear" w:color="auto" w:fill="D9D9D9"/>
            <w:vAlign w:val="center"/>
          </w:tcPr>
          <w:p w14:paraId="61EEDD8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807" w:type="dxa"/>
            <w:shd w:val="clear" w:color="auto" w:fill="D9D9D9"/>
            <w:vAlign w:val="center"/>
          </w:tcPr>
          <w:p w14:paraId="23B69FE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1234" w:type="dxa"/>
            <w:shd w:val="clear" w:color="auto" w:fill="D9D9D9"/>
            <w:vAlign w:val="center"/>
          </w:tcPr>
          <w:p w14:paraId="30220CE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bl>
    <w:p w14:paraId="12912882" w14:textId="77777777" w:rsidR="00917896" w:rsidRPr="003F2E2C" w:rsidRDefault="00917896" w:rsidP="00917896">
      <w:pPr>
        <w:spacing w:line="360" w:lineRule="auto"/>
        <w:jc w:val="both"/>
        <w:rPr>
          <w:rFonts w:ascii="Times New Roman" w:hAnsi="Times New Roman" w:cs="Times New Roman"/>
          <w:noProof/>
          <w:sz w:val="20"/>
          <w:szCs w:val="20"/>
        </w:rPr>
      </w:pPr>
    </w:p>
    <w:p w14:paraId="65CBBA2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b/>
          <w:bCs/>
          <w:noProof/>
          <w:sz w:val="20"/>
          <w:szCs w:val="20"/>
        </w:rPr>
        <w:t>Section C: Academic performance</w:t>
      </w:r>
    </w:p>
    <w:p w14:paraId="53B1231D" w14:textId="77777777" w:rsidR="00917896" w:rsidRPr="003F2E2C" w:rsidRDefault="00917896" w:rsidP="00917896">
      <w:pPr>
        <w:spacing w:line="360" w:lineRule="auto"/>
        <w:jc w:val="both"/>
        <w:rPr>
          <w:rFonts w:ascii="Times New Roman" w:hAnsi="Times New Roman" w:cs="Times New Roman"/>
          <w:i/>
          <w:noProof/>
          <w:sz w:val="20"/>
          <w:szCs w:val="20"/>
        </w:rPr>
      </w:pPr>
      <w:r w:rsidRPr="003F2E2C">
        <w:rPr>
          <w:rFonts w:ascii="Times New Roman" w:hAnsi="Times New Roman" w:cs="Times New Roman"/>
          <w:i/>
          <w:noProof/>
          <w:sz w:val="20"/>
          <w:szCs w:val="20"/>
        </w:rPr>
        <w:t>The following items relate to your performance in accounting.  Kindly provide your responses by making reference to the scales provided.</w:t>
      </w:r>
    </w:p>
    <w:p w14:paraId="4D9CEB2C" w14:textId="77777777" w:rsidR="00917896" w:rsidRPr="003F2E2C" w:rsidRDefault="00917896" w:rsidP="00917896">
      <w:pPr>
        <w:numPr>
          <w:ilvl w:val="0"/>
          <w:numId w:val="22"/>
        </w:num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Extent of satisfaction of your academic performance in accounting</w:t>
      </w:r>
    </w:p>
    <w:tbl>
      <w:tblPr>
        <w:tblW w:w="9706" w:type="dxa"/>
        <w:tblInd w:w="108" w:type="dxa"/>
        <w:tblBorders>
          <w:top w:val="single" w:sz="4" w:space="0" w:color="auto"/>
          <w:bottom w:val="single" w:sz="4" w:space="0" w:color="auto"/>
        </w:tblBorders>
        <w:tblLook w:val="04A0" w:firstRow="1" w:lastRow="0" w:firstColumn="1" w:lastColumn="0" w:noHBand="0" w:noVBand="1"/>
      </w:tblPr>
      <w:tblGrid>
        <w:gridCol w:w="5651"/>
        <w:gridCol w:w="614"/>
        <w:gridCol w:w="614"/>
        <w:gridCol w:w="526"/>
        <w:gridCol w:w="566"/>
        <w:gridCol w:w="567"/>
        <w:gridCol w:w="584"/>
        <w:gridCol w:w="584"/>
      </w:tblGrid>
      <w:tr w:rsidR="003F2E2C" w:rsidRPr="003F2E2C" w14:paraId="3BD8C8A3" w14:textId="77777777" w:rsidTr="0013597C">
        <w:trPr>
          <w:trHeight w:val="444"/>
        </w:trPr>
        <w:tc>
          <w:tcPr>
            <w:tcW w:w="5651" w:type="dxa"/>
            <w:vMerge w:val="restart"/>
            <w:shd w:val="clear" w:color="auto" w:fill="auto"/>
            <w:vAlign w:val="center"/>
          </w:tcPr>
          <w:p w14:paraId="17F6D672" w14:textId="77777777" w:rsidR="00917896" w:rsidRPr="003F2E2C" w:rsidRDefault="00917896" w:rsidP="00917896">
            <w:pPr>
              <w:spacing w:line="360" w:lineRule="auto"/>
              <w:jc w:val="both"/>
              <w:rPr>
                <w:rFonts w:ascii="Times New Roman" w:hAnsi="Times New Roman" w:cs="Times New Roman"/>
                <w:b/>
                <w:i/>
                <w:noProof/>
                <w:sz w:val="20"/>
                <w:szCs w:val="20"/>
              </w:rPr>
            </w:pPr>
            <w:r w:rsidRPr="003F2E2C">
              <w:rPr>
                <w:rFonts w:ascii="Times New Roman" w:hAnsi="Times New Roman" w:cs="Times New Roman"/>
                <w:b/>
                <w:i/>
                <w:noProof/>
                <w:sz w:val="20"/>
                <w:szCs w:val="20"/>
              </w:rPr>
              <w:t>What is your level of satisfaction in terms of:</w:t>
            </w:r>
          </w:p>
        </w:tc>
        <w:tc>
          <w:tcPr>
            <w:tcW w:w="1228" w:type="dxa"/>
            <w:gridSpan w:val="2"/>
            <w:shd w:val="clear" w:color="auto" w:fill="auto"/>
            <w:vAlign w:val="bottom"/>
          </w:tcPr>
          <w:p w14:paraId="738D969F"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Extremely dissatisfied</w:t>
            </w:r>
          </w:p>
        </w:tc>
        <w:tc>
          <w:tcPr>
            <w:tcW w:w="1659" w:type="dxa"/>
            <w:gridSpan w:val="3"/>
            <w:shd w:val="clear" w:color="auto" w:fill="auto"/>
            <w:vAlign w:val="bottom"/>
          </w:tcPr>
          <w:p w14:paraId="19D84F58"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Neither satisfied nor dissatisfied</w:t>
            </w:r>
          </w:p>
        </w:tc>
        <w:tc>
          <w:tcPr>
            <w:tcW w:w="1168" w:type="dxa"/>
            <w:gridSpan w:val="2"/>
            <w:shd w:val="clear" w:color="auto" w:fill="auto"/>
            <w:vAlign w:val="bottom"/>
          </w:tcPr>
          <w:p w14:paraId="1A68A6EE" w14:textId="77777777" w:rsidR="00917896" w:rsidRPr="003F2E2C" w:rsidRDefault="00917896" w:rsidP="00917896">
            <w:pPr>
              <w:spacing w:line="360" w:lineRule="auto"/>
              <w:jc w:val="both"/>
              <w:rPr>
                <w:rFonts w:ascii="Times New Roman" w:hAnsi="Times New Roman" w:cs="Times New Roman"/>
                <w:b/>
                <w:noProof/>
                <w:sz w:val="20"/>
                <w:szCs w:val="20"/>
              </w:rPr>
            </w:pPr>
            <w:r w:rsidRPr="003F2E2C">
              <w:rPr>
                <w:rFonts w:ascii="Times New Roman" w:hAnsi="Times New Roman" w:cs="Times New Roman"/>
                <w:b/>
                <w:noProof/>
                <w:sz w:val="20"/>
                <w:szCs w:val="20"/>
              </w:rPr>
              <w:t>Extremely satisfied</w:t>
            </w:r>
          </w:p>
        </w:tc>
      </w:tr>
      <w:tr w:rsidR="003F2E2C" w:rsidRPr="003F2E2C" w14:paraId="7BDF7F28" w14:textId="77777777" w:rsidTr="0013597C">
        <w:trPr>
          <w:trHeight w:val="127"/>
        </w:trPr>
        <w:tc>
          <w:tcPr>
            <w:tcW w:w="5651" w:type="dxa"/>
            <w:vMerge/>
            <w:shd w:val="clear" w:color="auto" w:fill="auto"/>
          </w:tcPr>
          <w:p w14:paraId="0695D655" w14:textId="77777777" w:rsidR="00917896" w:rsidRPr="003F2E2C" w:rsidRDefault="00917896" w:rsidP="00917896">
            <w:pPr>
              <w:spacing w:line="360" w:lineRule="auto"/>
              <w:jc w:val="both"/>
              <w:rPr>
                <w:rFonts w:ascii="Times New Roman" w:hAnsi="Times New Roman" w:cs="Times New Roman"/>
                <w:b/>
                <w:noProof/>
                <w:sz w:val="20"/>
                <w:szCs w:val="20"/>
              </w:rPr>
            </w:pPr>
          </w:p>
        </w:tc>
        <w:tc>
          <w:tcPr>
            <w:tcW w:w="614" w:type="dxa"/>
            <w:shd w:val="clear" w:color="auto" w:fill="auto"/>
          </w:tcPr>
          <w:p w14:paraId="3D4C2870"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1</w:t>
            </w:r>
          </w:p>
        </w:tc>
        <w:tc>
          <w:tcPr>
            <w:tcW w:w="614" w:type="dxa"/>
            <w:shd w:val="clear" w:color="auto" w:fill="auto"/>
          </w:tcPr>
          <w:p w14:paraId="2DB814F3"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2</w:t>
            </w:r>
          </w:p>
        </w:tc>
        <w:tc>
          <w:tcPr>
            <w:tcW w:w="526" w:type="dxa"/>
            <w:shd w:val="clear" w:color="auto" w:fill="auto"/>
          </w:tcPr>
          <w:p w14:paraId="0A0873F7"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3</w:t>
            </w:r>
          </w:p>
        </w:tc>
        <w:tc>
          <w:tcPr>
            <w:tcW w:w="566" w:type="dxa"/>
            <w:shd w:val="clear" w:color="auto" w:fill="auto"/>
          </w:tcPr>
          <w:p w14:paraId="01557B5D"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4</w:t>
            </w:r>
          </w:p>
        </w:tc>
        <w:tc>
          <w:tcPr>
            <w:tcW w:w="565" w:type="dxa"/>
            <w:shd w:val="clear" w:color="auto" w:fill="auto"/>
          </w:tcPr>
          <w:p w14:paraId="476A4DD7"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5</w:t>
            </w:r>
          </w:p>
        </w:tc>
        <w:tc>
          <w:tcPr>
            <w:tcW w:w="584" w:type="dxa"/>
            <w:shd w:val="clear" w:color="auto" w:fill="auto"/>
          </w:tcPr>
          <w:p w14:paraId="54390DA4"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6</w:t>
            </w:r>
          </w:p>
        </w:tc>
        <w:tc>
          <w:tcPr>
            <w:tcW w:w="584" w:type="dxa"/>
            <w:shd w:val="clear" w:color="auto" w:fill="auto"/>
          </w:tcPr>
          <w:p w14:paraId="2BCD3E65" w14:textId="77777777" w:rsidR="00917896" w:rsidRPr="003F2E2C" w:rsidRDefault="00917896" w:rsidP="00917896">
            <w:pPr>
              <w:spacing w:line="360" w:lineRule="auto"/>
              <w:jc w:val="both"/>
              <w:rPr>
                <w:rFonts w:ascii="Times New Roman" w:hAnsi="Times New Roman" w:cs="Times New Roman"/>
                <w:b/>
                <w:noProof/>
                <w:sz w:val="20"/>
                <w:szCs w:val="20"/>
                <w:u w:val="single"/>
              </w:rPr>
            </w:pPr>
            <w:r w:rsidRPr="003F2E2C">
              <w:rPr>
                <w:rFonts w:ascii="Times New Roman" w:hAnsi="Times New Roman" w:cs="Times New Roman"/>
                <w:b/>
                <w:noProof/>
                <w:sz w:val="20"/>
                <w:szCs w:val="20"/>
                <w:u w:val="single"/>
              </w:rPr>
              <w:t>7</w:t>
            </w:r>
          </w:p>
        </w:tc>
      </w:tr>
      <w:tr w:rsidR="003F2E2C" w:rsidRPr="003F2E2C" w14:paraId="27068C9D" w14:textId="77777777" w:rsidTr="0013597C">
        <w:trPr>
          <w:trHeight w:val="1021"/>
        </w:trPr>
        <w:tc>
          <w:tcPr>
            <w:tcW w:w="5651" w:type="dxa"/>
            <w:shd w:val="clear" w:color="auto" w:fill="auto"/>
            <w:vAlign w:val="center"/>
          </w:tcPr>
          <w:p w14:paraId="481E12E6" w14:textId="77777777" w:rsidR="00917896" w:rsidRPr="003F2E2C" w:rsidRDefault="00917896" w:rsidP="00917896">
            <w:pPr>
              <w:numPr>
                <w:ilvl w:val="0"/>
                <w:numId w:val="21"/>
              </w:numPr>
              <w:spacing w:line="360" w:lineRule="auto"/>
              <w:jc w:val="both"/>
              <w:rPr>
                <w:rFonts w:ascii="Times New Roman" w:hAnsi="Times New Roman" w:cs="Times New Roman"/>
                <w:noProof/>
                <w:sz w:val="20"/>
                <w:szCs w:val="20"/>
                <w:lang w:val="en-US"/>
              </w:rPr>
            </w:pPr>
            <w:r w:rsidRPr="003F2E2C">
              <w:rPr>
                <w:rFonts w:ascii="Times New Roman" w:hAnsi="Times New Roman" w:cs="Times New Roman"/>
                <w:noProof/>
                <w:sz w:val="20"/>
                <w:szCs w:val="20"/>
                <w:lang w:val="en-US"/>
              </w:rPr>
              <w:t>Your performance in accounting in relation to that of your other courses/subjects</w:t>
            </w:r>
          </w:p>
        </w:tc>
        <w:tc>
          <w:tcPr>
            <w:tcW w:w="614" w:type="dxa"/>
            <w:shd w:val="clear" w:color="auto" w:fill="auto"/>
            <w:vAlign w:val="center"/>
          </w:tcPr>
          <w:p w14:paraId="44C7D4A6"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614" w:type="dxa"/>
            <w:shd w:val="clear" w:color="auto" w:fill="auto"/>
            <w:vAlign w:val="center"/>
          </w:tcPr>
          <w:p w14:paraId="4135CF01"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26" w:type="dxa"/>
            <w:shd w:val="clear" w:color="auto" w:fill="auto"/>
            <w:vAlign w:val="center"/>
          </w:tcPr>
          <w:p w14:paraId="4853260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6" w:type="dxa"/>
            <w:shd w:val="clear" w:color="auto" w:fill="auto"/>
            <w:vAlign w:val="center"/>
          </w:tcPr>
          <w:p w14:paraId="38E63A5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5" w:type="dxa"/>
            <w:shd w:val="clear" w:color="auto" w:fill="auto"/>
            <w:vAlign w:val="center"/>
          </w:tcPr>
          <w:p w14:paraId="735857F1"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auto"/>
            <w:vAlign w:val="center"/>
          </w:tcPr>
          <w:p w14:paraId="1F32B7EE"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auto"/>
            <w:vAlign w:val="center"/>
          </w:tcPr>
          <w:p w14:paraId="77C6F73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2CB2675F" w14:textId="77777777" w:rsidTr="0013597C">
        <w:trPr>
          <w:trHeight w:val="1036"/>
        </w:trPr>
        <w:tc>
          <w:tcPr>
            <w:tcW w:w="5651" w:type="dxa"/>
            <w:shd w:val="clear" w:color="auto" w:fill="D9D9D9"/>
            <w:vAlign w:val="center"/>
          </w:tcPr>
          <w:p w14:paraId="414D2D4A" w14:textId="77777777" w:rsidR="00917896" w:rsidRPr="003F2E2C" w:rsidRDefault="00917896" w:rsidP="00917896">
            <w:pPr>
              <w:numPr>
                <w:ilvl w:val="0"/>
                <w:numId w:val="21"/>
              </w:num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Your current performance in accounting in relation to your previous ones</w:t>
            </w:r>
          </w:p>
        </w:tc>
        <w:tc>
          <w:tcPr>
            <w:tcW w:w="614" w:type="dxa"/>
            <w:shd w:val="clear" w:color="auto" w:fill="D9D9D9"/>
            <w:vAlign w:val="center"/>
          </w:tcPr>
          <w:p w14:paraId="48CF49F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614" w:type="dxa"/>
            <w:shd w:val="clear" w:color="auto" w:fill="D9D9D9"/>
            <w:vAlign w:val="center"/>
          </w:tcPr>
          <w:p w14:paraId="5354AF7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26" w:type="dxa"/>
            <w:shd w:val="clear" w:color="auto" w:fill="D9D9D9"/>
            <w:vAlign w:val="center"/>
          </w:tcPr>
          <w:p w14:paraId="72DD41C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6" w:type="dxa"/>
            <w:shd w:val="clear" w:color="auto" w:fill="D9D9D9"/>
            <w:vAlign w:val="center"/>
          </w:tcPr>
          <w:p w14:paraId="2D3224D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5" w:type="dxa"/>
            <w:shd w:val="clear" w:color="auto" w:fill="D9D9D9"/>
            <w:vAlign w:val="center"/>
          </w:tcPr>
          <w:p w14:paraId="77BB73E9"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D9D9D9"/>
            <w:vAlign w:val="center"/>
          </w:tcPr>
          <w:p w14:paraId="6D5AB9D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D9D9D9"/>
            <w:vAlign w:val="center"/>
          </w:tcPr>
          <w:p w14:paraId="4C9935D1"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33F07C66" w14:textId="77777777" w:rsidTr="0013597C">
        <w:trPr>
          <w:trHeight w:val="1021"/>
        </w:trPr>
        <w:tc>
          <w:tcPr>
            <w:tcW w:w="5651" w:type="dxa"/>
            <w:shd w:val="clear" w:color="auto" w:fill="auto"/>
            <w:vAlign w:val="center"/>
          </w:tcPr>
          <w:p w14:paraId="53347630" w14:textId="77777777" w:rsidR="00917896" w:rsidRPr="003F2E2C" w:rsidRDefault="00917896" w:rsidP="00917896">
            <w:pPr>
              <w:numPr>
                <w:ilvl w:val="0"/>
                <w:numId w:val="21"/>
              </w:num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The trend (i.e., increasing or decreasing) in your performance in accounting</w:t>
            </w:r>
          </w:p>
        </w:tc>
        <w:tc>
          <w:tcPr>
            <w:tcW w:w="614" w:type="dxa"/>
            <w:shd w:val="clear" w:color="auto" w:fill="auto"/>
            <w:vAlign w:val="center"/>
          </w:tcPr>
          <w:p w14:paraId="1EA6DEA4"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614" w:type="dxa"/>
            <w:shd w:val="clear" w:color="auto" w:fill="auto"/>
            <w:vAlign w:val="center"/>
          </w:tcPr>
          <w:p w14:paraId="02B7ECD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26" w:type="dxa"/>
            <w:shd w:val="clear" w:color="auto" w:fill="auto"/>
            <w:vAlign w:val="center"/>
          </w:tcPr>
          <w:p w14:paraId="6505642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6" w:type="dxa"/>
            <w:shd w:val="clear" w:color="auto" w:fill="auto"/>
            <w:vAlign w:val="center"/>
          </w:tcPr>
          <w:p w14:paraId="1ADFC53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5" w:type="dxa"/>
            <w:shd w:val="clear" w:color="auto" w:fill="auto"/>
            <w:vAlign w:val="center"/>
          </w:tcPr>
          <w:p w14:paraId="159CF345"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auto"/>
            <w:vAlign w:val="center"/>
          </w:tcPr>
          <w:p w14:paraId="412D6B51"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auto"/>
            <w:vAlign w:val="center"/>
          </w:tcPr>
          <w:p w14:paraId="067AE6A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r w:rsidR="003F2E2C" w:rsidRPr="003F2E2C" w14:paraId="68CDBFA2" w14:textId="77777777" w:rsidTr="0013597C">
        <w:trPr>
          <w:trHeight w:val="1021"/>
        </w:trPr>
        <w:tc>
          <w:tcPr>
            <w:tcW w:w="5651" w:type="dxa"/>
            <w:shd w:val="clear" w:color="auto" w:fill="D9D9D9"/>
            <w:vAlign w:val="center"/>
          </w:tcPr>
          <w:p w14:paraId="2BE13111" w14:textId="77777777" w:rsidR="00917896" w:rsidRPr="003F2E2C" w:rsidRDefault="00917896" w:rsidP="00917896">
            <w:pPr>
              <w:numPr>
                <w:ilvl w:val="0"/>
                <w:numId w:val="21"/>
              </w:num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Your most previous performance in accounting in relation to the expectations that you set for it</w:t>
            </w:r>
          </w:p>
        </w:tc>
        <w:tc>
          <w:tcPr>
            <w:tcW w:w="614" w:type="dxa"/>
            <w:shd w:val="clear" w:color="auto" w:fill="D9D9D9"/>
            <w:vAlign w:val="center"/>
          </w:tcPr>
          <w:p w14:paraId="7924351C"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614" w:type="dxa"/>
            <w:shd w:val="clear" w:color="auto" w:fill="D9D9D9"/>
            <w:vAlign w:val="center"/>
          </w:tcPr>
          <w:p w14:paraId="7D166E80"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26" w:type="dxa"/>
            <w:shd w:val="clear" w:color="auto" w:fill="D9D9D9"/>
            <w:vAlign w:val="center"/>
          </w:tcPr>
          <w:p w14:paraId="609A241A"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6" w:type="dxa"/>
            <w:shd w:val="clear" w:color="auto" w:fill="D9D9D9"/>
            <w:vAlign w:val="center"/>
          </w:tcPr>
          <w:p w14:paraId="1467E02D"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65" w:type="dxa"/>
            <w:shd w:val="clear" w:color="auto" w:fill="D9D9D9"/>
            <w:vAlign w:val="center"/>
          </w:tcPr>
          <w:p w14:paraId="700FD2F2"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D9D9D9"/>
            <w:vAlign w:val="center"/>
          </w:tcPr>
          <w:p w14:paraId="2A1C7B63"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c>
          <w:tcPr>
            <w:tcW w:w="584" w:type="dxa"/>
            <w:shd w:val="clear" w:color="auto" w:fill="D9D9D9"/>
            <w:vAlign w:val="center"/>
          </w:tcPr>
          <w:p w14:paraId="21B646FB"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  ]</w:t>
            </w:r>
          </w:p>
        </w:tc>
      </w:tr>
    </w:tbl>
    <w:p w14:paraId="383D8963" w14:textId="77777777" w:rsidR="00917896" w:rsidRPr="003F2E2C" w:rsidRDefault="00917896" w:rsidP="00917896">
      <w:pPr>
        <w:spacing w:line="360" w:lineRule="auto"/>
        <w:jc w:val="both"/>
        <w:rPr>
          <w:rFonts w:ascii="Times New Roman" w:hAnsi="Times New Roman" w:cs="Times New Roman"/>
          <w:noProof/>
          <w:sz w:val="20"/>
          <w:szCs w:val="20"/>
        </w:rPr>
      </w:pPr>
    </w:p>
    <w:p w14:paraId="5B510F89" w14:textId="77777777" w:rsidR="00917896" w:rsidRPr="003F2E2C" w:rsidRDefault="00917896" w:rsidP="00917896">
      <w:pPr>
        <w:spacing w:line="360" w:lineRule="auto"/>
        <w:jc w:val="both"/>
        <w:rPr>
          <w:rFonts w:ascii="Times New Roman" w:hAnsi="Times New Roman" w:cs="Times New Roman"/>
          <w:noProof/>
          <w:sz w:val="20"/>
          <w:szCs w:val="20"/>
        </w:rPr>
      </w:pPr>
    </w:p>
    <w:p w14:paraId="4FCDE577"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End of questionnaire</w:t>
      </w:r>
    </w:p>
    <w:p w14:paraId="28E8F93F" w14:textId="77777777" w:rsidR="00917896" w:rsidRPr="003F2E2C" w:rsidRDefault="00917896" w:rsidP="00917896">
      <w:pPr>
        <w:spacing w:line="360" w:lineRule="auto"/>
        <w:jc w:val="both"/>
        <w:rPr>
          <w:rFonts w:ascii="Times New Roman" w:hAnsi="Times New Roman" w:cs="Times New Roman"/>
          <w:noProof/>
          <w:sz w:val="20"/>
          <w:szCs w:val="20"/>
        </w:rPr>
      </w:pPr>
      <w:r w:rsidRPr="003F2E2C">
        <w:rPr>
          <w:rFonts w:ascii="Times New Roman" w:hAnsi="Times New Roman" w:cs="Times New Roman"/>
          <w:noProof/>
          <w:sz w:val="20"/>
          <w:szCs w:val="20"/>
        </w:rPr>
        <w:t>Thank you.</w:t>
      </w:r>
    </w:p>
    <w:p w14:paraId="0CAEB8C3" w14:textId="77777777" w:rsidR="00917896" w:rsidRPr="003F2E2C" w:rsidRDefault="00917896" w:rsidP="00917896">
      <w:pPr>
        <w:spacing w:line="360" w:lineRule="auto"/>
        <w:jc w:val="both"/>
        <w:rPr>
          <w:rFonts w:ascii="Times New Roman" w:hAnsi="Times New Roman" w:cs="Times New Roman"/>
          <w:noProof/>
          <w:sz w:val="20"/>
          <w:szCs w:val="20"/>
        </w:rPr>
      </w:pPr>
    </w:p>
    <w:p w14:paraId="26D65D0E" w14:textId="4F27F152" w:rsidR="00D53440" w:rsidRPr="003F2E2C" w:rsidRDefault="00D53440" w:rsidP="00D53440">
      <w:pPr>
        <w:spacing w:after="0" w:line="360" w:lineRule="auto"/>
        <w:ind w:firstLine="720"/>
        <w:jc w:val="both"/>
        <w:rPr>
          <w:rFonts w:ascii="Times New Roman" w:hAnsi="Times New Roman" w:cs="Times New Roman"/>
          <w:sz w:val="20"/>
          <w:szCs w:val="20"/>
        </w:rPr>
      </w:pPr>
    </w:p>
    <w:p w14:paraId="567DBE3C" w14:textId="0E45E9D4" w:rsidR="00897E13" w:rsidRPr="003F2E2C" w:rsidRDefault="00897E13" w:rsidP="000647A8">
      <w:pPr>
        <w:spacing w:after="0" w:line="360" w:lineRule="auto"/>
        <w:ind w:firstLine="720"/>
        <w:jc w:val="both"/>
        <w:rPr>
          <w:rFonts w:ascii="Times New Roman" w:hAnsi="Times New Roman" w:cs="Times New Roman"/>
          <w:sz w:val="20"/>
          <w:szCs w:val="20"/>
        </w:rPr>
      </w:pPr>
    </w:p>
    <w:sectPr w:rsidR="00897E13" w:rsidRPr="003F2E2C" w:rsidSect="00BE52D7">
      <w:footerReference w:type="default" r:id="rId9"/>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C0201" w14:textId="77777777" w:rsidR="00B351BC" w:rsidRDefault="00B351BC">
      <w:pPr>
        <w:spacing w:after="0" w:line="240" w:lineRule="auto"/>
      </w:pPr>
      <w:r>
        <w:separator/>
      </w:r>
    </w:p>
  </w:endnote>
  <w:endnote w:type="continuationSeparator" w:id="0">
    <w:p w14:paraId="48C96EC4" w14:textId="77777777" w:rsidR="00B351BC" w:rsidRDefault="00B3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PS6F0B">
    <w:altName w:val="Cambria"/>
    <w:panose1 w:val="00000000000000000000"/>
    <w:charset w:val="00"/>
    <w:family w:val="roman"/>
    <w:notTrueType/>
    <w:pitch w:val="default"/>
    <w:sig w:usb0="00000003" w:usb1="00000000" w:usb2="00000000" w:usb3="00000000" w:csb0="00000001" w:csb1="00000000"/>
  </w:font>
  <w:font w:name="AdvPSPLT">
    <w:altName w:val="Cambria"/>
    <w:panose1 w:val="00000000000000000000"/>
    <w:charset w:val="00"/>
    <w:family w:val="roman"/>
    <w:notTrueType/>
    <w:pitch w:val="default"/>
    <w:sig w:usb0="00000003" w:usb1="00000000" w:usb2="00000000" w:usb3="00000000" w:csb0="00000001" w:csb1="00000000"/>
  </w:font>
  <w:font w:name="CenturyOSMTPr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688175"/>
      <w:docPartObj>
        <w:docPartGallery w:val="Page Numbers (Bottom of Page)"/>
        <w:docPartUnique/>
      </w:docPartObj>
    </w:sdtPr>
    <w:sdtEndPr>
      <w:rPr>
        <w:noProof/>
      </w:rPr>
    </w:sdtEndPr>
    <w:sdtContent>
      <w:p w14:paraId="73D7A2CB" w14:textId="4A46A731" w:rsidR="009D4A19" w:rsidRDefault="009D4A19">
        <w:pPr>
          <w:pStyle w:val="Footer"/>
          <w:jc w:val="right"/>
        </w:pPr>
        <w:r>
          <w:fldChar w:fldCharType="begin"/>
        </w:r>
        <w:r>
          <w:instrText xml:space="preserve"> PAGE   \* MERGEFORMAT </w:instrText>
        </w:r>
        <w:r>
          <w:fldChar w:fldCharType="separate"/>
        </w:r>
        <w:r w:rsidR="00502557">
          <w:rPr>
            <w:noProof/>
          </w:rPr>
          <w:t>1</w:t>
        </w:r>
        <w:r>
          <w:rPr>
            <w:noProof/>
          </w:rPr>
          <w:fldChar w:fldCharType="end"/>
        </w:r>
      </w:p>
    </w:sdtContent>
  </w:sdt>
  <w:p w14:paraId="328D3398" w14:textId="77777777" w:rsidR="009D4A19" w:rsidRDefault="009D4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95C8" w14:textId="77777777" w:rsidR="00B351BC" w:rsidRDefault="00B351BC">
      <w:pPr>
        <w:spacing w:after="0" w:line="240" w:lineRule="auto"/>
      </w:pPr>
      <w:r>
        <w:separator/>
      </w:r>
    </w:p>
  </w:footnote>
  <w:footnote w:type="continuationSeparator" w:id="0">
    <w:p w14:paraId="6FDCD72E" w14:textId="77777777" w:rsidR="00B351BC" w:rsidRDefault="00B35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3CAB"/>
    <w:multiLevelType w:val="hybridMultilevel"/>
    <w:tmpl w:val="6572360E"/>
    <w:lvl w:ilvl="0" w:tplc="6B645E5C">
      <w:start w:val="1"/>
      <w:numFmt w:val="bullet"/>
      <w:lvlText w:val=""/>
      <w:lvlJc w:val="left"/>
      <w:pPr>
        <w:ind w:left="787" w:hanging="360"/>
      </w:pPr>
      <w:rPr>
        <w:rFonts w:ascii="Symbol" w:hAnsi="Symbol" w:hint="default"/>
      </w:rPr>
    </w:lvl>
    <w:lvl w:ilvl="1" w:tplc="7C72B9D4" w:tentative="1">
      <w:start w:val="1"/>
      <w:numFmt w:val="bullet"/>
      <w:lvlText w:val="o"/>
      <w:lvlJc w:val="left"/>
      <w:pPr>
        <w:ind w:left="1507" w:hanging="360"/>
      </w:pPr>
      <w:rPr>
        <w:rFonts w:ascii="Courier New" w:hAnsi="Courier New" w:cs="Courier New" w:hint="default"/>
      </w:rPr>
    </w:lvl>
    <w:lvl w:ilvl="2" w:tplc="84AE8CBE" w:tentative="1">
      <w:start w:val="1"/>
      <w:numFmt w:val="bullet"/>
      <w:lvlText w:val=""/>
      <w:lvlJc w:val="left"/>
      <w:pPr>
        <w:ind w:left="2227" w:hanging="360"/>
      </w:pPr>
      <w:rPr>
        <w:rFonts w:ascii="Wingdings" w:hAnsi="Wingdings" w:hint="default"/>
      </w:rPr>
    </w:lvl>
    <w:lvl w:ilvl="3" w:tplc="0052BBE2" w:tentative="1">
      <w:start w:val="1"/>
      <w:numFmt w:val="bullet"/>
      <w:lvlText w:val=""/>
      <w:lvlJc w:val="left"/>
      <w:pPr>
        <w:ind w:left="2947" w:hanging="360"/>
      </w:pPr>
      <w:rPr>
        <w:rFonts w:ascii="Symbol" w:hAnsi="Symbol" w:hint="default"/>
      </w:rPr>
    </w:lvl>
    <w:lvl w:ilvl="4" w:tplc="61C09DF4" w:tentative="1">
      <w:start w:val="1"/>
      <w:numFmt w:val="bullet"/>
      <w:lvlText w:val="o"/>
      <w:lvlJc w:val="left"/>
      <w:pPr>
        <w:ind w:left="3667" w:hanging="360"/>
      </w:pPr>
      <w:rPr>
        <w:rFonts w:ascii="Courier New" w:hAnsi="Courier New" w:cs="Courier New" w:hint="default"/>
      </w:rPr>
    </w:lvl>
    <w:lvl w:ilvl="5" w:tplc="0B261A64" w:tentative="1">
      <w:start w:val="1"/>
      <w:numFmt w:val="bullet"/>
      <w:lvlText w:val=""/>
      <w:lvlJc w:val="left"/>
      <w:pPr>
        <w:ind w:left="4387" w:hanging="360"/>
      </w:pPr>
      <w:rPr>
        <w:rFonts w:ascii="Wingdings" w:hAnsi="Wingdings" w:hint="default"/>
      </w:rPr>
    </w:lvl>
    <w:lvl w:ilvl="6" w:tplc="ACF6F7EE" w:tentative="1">
      <w:start w:val="1"/>
      <w:numFmt w:val="bullet"/>
      <w:lvlText w:val=""/>
      <w:lvlJc w:val="left"/>
      <w:pPr>
        <w:ind w:left="5107" w:hanging="360"/>
      </w:pPr>
      <w:rPr>
        <w:rFonts w:ascii="Symbol" w:hAnsi="Symbol" w:hint="default"/>
      </w:rPr>
    </w:lvl>
    <w:lvl w:ilvl="7" w:tplc="0334648E" w:tentative="1">
      <w:start w:val="1"/>
      <w:numFmt w:val="bullet"/>
      <w:lvlText w:val="o"/>
      <w:lvlJc w:val="left"/>
      <w:pPr>
        <w:ind w:left="5827" w:hanging="360"/>
      </w:pPr>
      <w:rPr>
        <w:rFonts w:ascii="Courier New" w:hAnsi="Courier New" w:cs="Courier New" w:hint="default"/>
      </w:rPr>
    </w:lvl>
    <w:lvl w:ilvl="8" w:tplc="F52413F2" w:tentative="1">
      <w:start w:val="1"/>
      <w:numFmt w:val="bullet"/>
      <w:lvlText w:val=""/>
      <w:lvlJc w:val="left"/>
      <w:pPr>
        <w:ind w:left="6547" w:hanging="360"/>
      </w:pPr>
      <w:rPr>
        <w:rFonts w:ascii="Wingdings" w:hAnsi="Wingdings" w:hint="default"/>
      </w:rPr>
    </w:lvl>
  </w:abstractNum>
  <w:abstractNum w:abstractNumId="1" w15:restartNumberingAfterBreak="0">
    <w:nsid w:val="054F5BEB"/>
    <w:multiLevelType w:val="hybridMultilevel"/>
    <w:tmpl w:val="C26A05AA"/>
    <w:lvl w:ilvl="0" w:tplc="C9CAE8E0">
      <w:start w:val="1"/>
      <w:numFmt w:val="bullet"/>
      <w:lvlText w:val=""/>
      <w:lvlJc w:val="left"/>
      <w:pPr>
        <w:ind w:left="720" w:hanging="360"/>
      </w:pPr>
      <w:rPr>
        <w:rFonts w:ascii="Symbol" w:hAnsi="Symbol" w:hint="default"/>
      </w:rPr>
    </w:lvl>
    <w:lvl w:ilvl="1" w:tplc="88047694" w:tentative="1">
      <w:start w:val="1"/>
      <w:numFmt w:val="bullet"/>
      <w:lvlText w:val="o"/>
      <w:lvlJc w:val="left"/>
      <w:pPr>
        <w:ind w:left="1440" w:hanging="360"/>
      </w:pPr>
      <w:rPr>
        <w:rFonts w:ascii="Courier New" w:hAnsi="Courier New" w:cs="Courier New" w:hint="default"/>
      </w:rPr>
    </w:lvl>
    <w:lvl w:ilvl="2" w:tplc="B0400C06" w:tentative="1">
      <w:start w:val="1"/>
      <w:numFmt w:val="bullet"/>
      <w:lvlText w:val=""/>
      <w:lvlJc w:val="left"/>
      <w:pPr>
        <w:ind w:left="2160" w:hanging="360"/>
      </w:pPr>
      <w:rPr>
        <w:rFonts w:ascii="Wingdings" w:hAnsi="Wingdings" w:hint="default"/>
      </w:rPr>
    </w:lvl>
    <w:lvl w:ilvl="3" w:tplc="9572DA84" w:tentative="1">
      <w:start w:val="1"/>
      <w:numFmt w:val="bullet"/>
      <w:lvlText w:val=""/>
      <w:lvlJc w:val="left"/>
      <w:pPr>
        <w:ind w:left="2880" w:hanging="360"/>
      </w:pPr>
      <w:rPr>
        <w:rFonts w:ascii="Symbol" w:hAnsi="Symbol" w:hint="default"/>
      </w:rPr>
    </w:lvl>
    <w:lvl w:ilvl="4" w:tplc="73029DA4" w:tentative="1">
      <w:start w:val="1"/>
      <w:numFmt w:val="bullet"/>
      <w:lvlText w:val="o"/>
      <w:lvlJc w:val="left"/>
      <w:pPr>
        <w:ind w:left="3600" w:hanging="360"/>
      </w:pPr>
      <w:rPr>
        <w:rFonts w:ascii="Courier New" w:hAnsi="Courier New" w:cs="Courier New" w:hint="default"/>
      </w:rPr>
    </w:lvl>
    <w:lvl w:ilvl="5" w:tplc="4B5C8520" w:tentative="1">
      <w:start w:val="1"/>
      <w:numFmt w:val="bullet"/>
      <w:lvlText w:val=""/>
      <w:lvlJc w:val="left"/>
      <w:pPr>
        <w:ind w:left="4320" w:hanging="360"/>
      </w:pPr>
      <w:rPr>
        <w:rFonts w:ascii="Wingdings" w:hAnsi="Wingdings" w:hint="default"/>
      </w:rPr>
    </w:lvl>
    <w:lvl w:ilvl="6" w:tplc="886C0D6A" w:tentative="1">
      <w:start w:val="1"/>
      <w:numFmt w:val="bullet"/>
      <w:lvlText w:val=""/>
      <w:lvlJc w:val="left"/>
      <w:pPr>
        <w:ind w:left="5040" w:hanging="360"/>
      </w:pPr>
      <w:rPr>
        <w:rFonts w:ascii="Symbol" w:hAnsi="Symbol" w:hint="default"/>
      </w:rPr>
    </w:lvl>
    <w:lvl w:ilvl="7" w:tplc="E72060F6" w:tentative="1">
      <w:start w:val="1"/>
      <w:numFmt w:val="bullet"/>
      <w:lvlText w:val="o"/>
      <w:lvlJc w:val="left"/>
      <w:pPr>
        <w:ind w:left="5760" w:hanging="360"/>
      </w:pPr>
      <w:rPr>
        <w:rFonts w:ascii="Courier New" w:hAnsi="Courier New" w:cs="Courier New" w:hint="default"/>
      </w:rPr>
    </w:lvl>
    <w:lvl w:ilvl="8" w:tplc="51FA5D56" w:tentative="1">
      <w:start w:val="1"/>
      <w:numFmt w:val="bullet"/>
      <w:lvlText w:val=""/>
      <w:lvlJc w:val="left"/>
      <w:pPr>
        <w:ind w:left="6480" w:hanging="360"/>
      </w:pPr>
      <w:rPr>
        <w:rFonts w:ascii="Wingdings" w:hAnsi="Wingdings" w:hint="default"/>
      </w:rPr>
    </w:lvl>
  </w:abstractNum>
  <w:abstractNum w:abstractNumId="2" w15:restartNumberingAfterBreak="0">
    <w:nsid w:val="11FE79ED"/>
    <w:multiLevelType w:val="multilevel"/>
    <w:tmpl w:val="9EEA1B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C7003"/>
    <w:multiLevelType w:val="multilevel"/>
    <w:tmpl w:val="9EEA1B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434ED"/>
    <w:multiLevelType w:val="hybridMultilevel"/>
    <w:tmpl w:val="6BB6AC00"/>
    <w:lvl w:ilvl="0" w:tplc="D9809062">
      <w:start w:val="1"/>
      <w:numFmt w:val="bullet"/>
      <w:lvlText w:val=""/>
      <w:lvlJc w:val="left"/>
      <w:pPr>
        <w:ind w:left="720" w:hanging="360"/>
      </w:pPr>
      <w:rPr>
        <w:rFonts w:ascii="Symbol" w:hAnsi="Symbol" w:hint="default"/>
      </w:rPr>
    </w:lvl>
    <w:lvl w:ilvl="1" w:tplc="A5F43300" w:tentative="1">
      <w:start w:val="1"/>
      <w:numFmt w:val="bullet"/>
      <w:lvlText w:val="o"/>
      <w:lvlJc w:val="left"/>
      <w:pPr>
        <w:ind w:left="1440" w:hanging="360"/>
      </w:pPr>
      <w:rPr>
        <w:rFonts w:ascii="Courier New" w:hAnsi="Courier New" w:cs="Courier New" w:hint="default"/>
      </w:rPr>
    </w:lvl>
    <w:lvl w:ilvl="2" w:tplc="F5D0F706" w:tentative="1">
      <w:start w:val="1"/>
      <w:numFmt w:val="bullet"/>
      <w:lvlText w:val=""/>
      <w:lvlJc w:val="left"/>
      <w:pPr>
        <w:ind w:left="2160" w:hanging="360"/>
      </w:pPr>
      <w:rPr>
        <w:rFonts w:ascii="Wingdings" w:hAnsi="Wingdings" w:hint="default"/>
      </w:rPr>
    </w:lvl>
    <w:lvl w:ilvl="3" w:tplc="25F21686" w:tentative="1">
      <w:start w:val="1"/>
      <w:numFmt w:val="bullet"/>
      <w:lvlText w:val=""/>
      <w:lvlJc w:val="left"/>
      <w:pPr>
        <w:ind w:left="2880" w:hanging="360"/>
      </w:pPr>
      <w:rPr>
        <w:rFonts w:ascii="Symbol" w:hAnsi="Symbol" w:hint="default"/>
      </w:rPr>
    </w:lvl>
    <w:lvl w:ilvl="4" w:tplc="9C362CFA" w:tentative="1">
      <w:start w:val="1"/>
      <w:numFmt w:val="bullet"/>
      <w:lvlText w:val="o"/>
      <w:lvlJc w:val="left"/>
      <w:pPr>
        <w:ind w:left="3600" w:hanging="360"/>
      </w:pPr>
      <w:rPr>
        <w:rFonts w:ascii="Courier New" w:hAnsi="Courier New" w:cs="Courier New" w:hint="default"/>
      </w:rPr>
    </w:lvl>
    <w:lvl w:ilvl="5" w:tplc="B6CAD684" w:tentative="1">
      <w:start w:val="1"/>
      <w:numFmt w:val="bullet"/>
      <w:lvlText w:val=""/>
      <w:lvlJc w:val="left"/>
      <w:pPr>
        <w:ind w:left="4320" w:hanging="360"/>
      </w:pPr>
      <w:rPr>
        <w:rFonts w:ascii="Wingdings" w:hAnsi="Wingdings" w:hint="default"/>
      </w:rPr>
    </w:lvl>
    <w:lvl w:ilvl="6" w:tplc="06B6F3B4" w:tentative="1">
      <w:start w:val="1"/>
      <w:numFmt w:val="bullet"/>
      <w:lvlText w:val=""/>
      <w:lvlJc w:val="left"/>
      <w:pPr>
        <w:ind w:left="5040" w:hanging="360"/>
      </w:pPr>
      <w:rPr>
        <w:rFonts w:ascii="Symbol" w:hAnsi="Symbol" w:hint="default"/>
      </w:rPr>
    </w:lvl>
    <w:lvl w:ilvl="7" w:tplc="E7926A40" w:tentative="1">
      <w:start w:val="1"/>
      <w:numFmt w:val="bullet"/>
      <w:lvlText w:val="o"/>
      <w:lvlJc w:val="left"/>
      <w:pPr>
        <w:ind w:left="5760" w:hanging="360"/>
      </w:pPr>
      <w:rPr>
        <w:rFonts w:ascii="Courier New" w:hAnsi="Courier New" w:cs="Courier New" w:hint="default"/>
      </w:rPr>
    </w:lvl>
    <w:lvl w:ilvl="8" w:tplc="8FCE5874" w:tentative="1">
      <w:start w:val="1"/>
      <w:numFmt w:val="bullet"/>
      <w:lvlText w:val=""/>
      <w:lvlJc w:val="left"/>
      <w:pPr>
        <w:ind w:left="6480" w:hanging="360"/>
      </w:pPr>
      <w:rPr>
        <w:rFonts w:ascii="Wingdings" w:hAnsi="Wingdings" w:hint="default"/>
      </w:rPr>
    </w:lvl>
  </w:abstractNum>
  <w:abstractNum w:abstractNumId="5" w15:restartNumberingAfterBreak="0">
    <w:nsid w:val="1C191FB7"/>
    <w:multiLevelType w:val="multilevel"/>
    <w:tmpl w:val="677EBE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1E74E60"/>
    <w:multiLevelType w:val="hybridMultilevel"/>
    <w:tmpl w:val="1B4A5264"/>
    <w:lvl w:ilvl="0" w:tplc="60D8C1C0">
      <w:start w:val="1"/>
      <w:numFmt w:val="decimal"/>
      <w:lvlText w:val="%1."/>
      <w:lvlJc w:val="left"/>
      <w:pPr>
        <w:ind w:left="502" w:hanging="360"/>
      </w:pPr>
      <w:rPr>
        <w:rFonts w:hint="default"/>
      </w:rPr>
    </w:lvl>
    <w:lvl w:ilvl="1" w:tplc="6C9612AE" w:tentative="1">
      <w:start w:val="1"/>
      <w:numFmt w:val="lowerLetter"/>
      <w:lvlText w:val="%2."/>
      <w:lvlJc w:val="left"/>
      <w:pPr>
        <w:ind w:left="1222" w:hanging="360"/>
      </w:pPr>
    </w:lvl>
    <w:lvl w:ilvl="2" w:tplc="FC9A290A" w:tentative="1">
      <w:start w:val="1"/>
      <w:numFmt w:val="lowerRoman"/>
      <w:lvlText w:val="%3."/>
      <w:lvlJc w:val="right"/>
      <w:pPr>
        <w:ind w:left="1942" w:hanging="180"/>
      </w:pPr>
    </w:lvl>
    <w:lvl w:ilvl="3" w:tplc="C9929D7A" w:tentative="1">
      <w:start w:val="1"/>
      <w:numFmt w:val="decimal"/>
      <w:lvlText w:val="%4."/>
      <w:lvlJc w:val="left"/>
      <w:pPr>
        <w:ind w:left="2662" w:hanging="360"/>
      </w:pPr>
    </w:lvl>
    <w:lvl w:ilvl="4" w:tplc="C980D4EA" w:tentative="1">
      <w:start w:val="1"/>
      <w:numFmt w:val="lowerLetter"/>
      <w:lvlText w:val="%5."/>
      <w:lvlJc w:val="left"/>
      <w:pPr>
        <w:ind w:left="3382" w:hanging="360"/>
      </w:pPr>
    </w:lvl>
    <w:lvl w:ilvl="5" w:tplc="9650261C" w:tentative="1">
      <w:start w:val="1"/>
      <w:numFmt w:val="lowerRoman"/>
      <w:lvlText w:val="%6."/>
      <w:lvlJc w:val="right"/>
      <w:pPr>
        <w:ind w:left="4102" w:hanging="180"/>
      </w:pPr>
    </w:lvl>
    <w:lvl w:ilvl="6" w:tplc="608E9FE0" w:tentative="1">
      <w:start w:val="1"/>
      <w:numFmt w:val="decimal"/>
      <w:lvlText w:val="%7."/>
      <w:lvlJc w:val="left"/>
      <w:pPr>
        <w:ind w:left="4822" w:hanging="360"/>
      </w:pPr>
    </w:lvl>
    <w:lvl w:ilvl="7" w:tplc="C6DEB53A" w:tentative="1">
      <w:start w:val="1"/>
      <w:numFmt w:val="lowerLetter"/>
      <w:lvlText w:val="%8."/>
      <w:lvlJc w:val="left"/>
      <w:pPr>
        <w:ind w:left="5542" w:hanging="360"/>
      </w:pPr>
    </w:lvl>
    <w:lvl w:ilvl="8" w:tplc="174E6578" w:tentative="1">
      <w:start w:val="1"/>
      <w:numFmt w:val="lowerRoman"/>
      <w:lvlText w:val="%9."/>
      <w:lvlJc w:val="right"/>
      <w:pPr>
        <w:ind w:left="6262" w:hanging="180"/>
      </w:pPr>
    </w:lvl>
  </w:abstractNum>
  <w:abstractNum w:abstractNumId="7" w15:restartNumberingAfterBreak="0">
    <w:nsid w:val="277C0385"/>
    <w:multiLevelType w:val="hybridMultilevel"/>
    <w:tmpl w:val="D3445D8C"/>
    <w:lvl w:ilvl="0" w:tplc="B0B6B6A2">
      <w:numFmt w:val="bullet"/>
      <w:lvlText w:val="-"/>
      <w:lvlJc w:val="left"/>
      <w:pPr>
        <w:ind w:left="1080" w:hanging="360"/>
      </w:pPr>
      <w:rPr>
        <w:rFonts w:ascii="Calibri" w:eastAsiaTheme="minorHAnsi" w:hAnsi="Calibri" w:cstheme="minorBidi" w:hint="default"/>
      </w:rPr>
    </w:lvl>
    <w:lvl w:ilvl="1" w:tplc="13888B8C" w:tentative="1">
      <w:start w:val="1"/>
      <w:numFmt w:val="bullet"/>
      <w:lvlText w:val="o"/>
      <w:lvlJc w:val="left"/>
      <w:pPr>
        <w:ind w:left="1800" w:hanging="360"/>
      </w:pPr>
      <w:rPr>
        <w:rFonts w:ascii="Courier New" w:hAnsi="Courier New" w:cs="Courier New" w:hint="default"/>
      </w:rPr>
    </w:lvl>
    <w:lvl w:ilvl="2" w:tplc="EDEC2C02" w:tentative="1">
      <w:start w:val="1"/>
      <w:numFmt w:val="bullet"/>
      <w:lvlText w:val=""/>
      <w:lvlJc w:val="left"/>
      <w:pPr>
        <w:ind w:left="2520" w:hanging="360"/>
      </w:pPr>
      <w:rPr>
        <w:rFonts w:ascii="Wingdings" w:hAnsi="Wingdings" w:hint="default"/>
      </w:rPr>
    </w:lvl>
    <w:lvl w:ilvl="3" w:tplc="D5C0E574" w:tentative="1">
      <w:start w:val="1"/>
      <w:numFmt w:val="bullet"/>
      <w:lvlText w:val=""/>
      <w:lvlJc w:val="left"/>
      <w:pPr>
        <w:ind w:left="3240" w:hanging="360"/>
      </w:pPr>
      <w:rPr>
        <w:rFonts w:ascii="Symbol" w:hAnsi="Symbol" w:hint="default"/>
      </w:rPr>
    </w:lvl>
    <w:lvl w:ilvl="4" w:tplc="1EDC29D6" w:tentative="1">
      <w:start w:val="1"/>
      <w:numFmt w:val="bullet"/>
      <w:lvlText w:val="o"/>
      <w:lvlJc w:val="left"/>
      <w:pPr>
        <w:ind w:left="3960" w:hanging="360"/>
      </w:pPr>
      <w:rPr>
        <w:rFonts w:ascii="Courier New" w:hAnsi="Courier New" w:cs="Courier New" w:hint="default"/>
      </w:rPr>
    </w:lvl>
    <w:lvl w:ilvl="5" w:tplc="4E94FCFC" w:tentative="1">
      <w:start w:val="1"/>
      <w:numFmt w:val="bullet"/>
      <w:lvlText w:val=""/>
      <w:lvlJc w:val="left"/>
      <w:pPr>
        <w:ind w:left="4680" w:hanging="360"/>
      </w:pPr>
      <w:rPr>
        <w:rFonts w:ascii="Wingdings" w:hAnsi="Wingdings" w:hint="default"/>
      </w:rPr>
    </w:lvl>
    <w:lvl w:ilvl="6" w:tplc="15E40902" w:tentative="1">
      <w:start w:val="1"/>
      <w:numFmt w:val="bullet"/>
      <w:lvlText w:val=""/>
      <w:lvlJc w:val="left"/>
      <w:pPr>
        <w:ind w:left="5400" w:hanging="360"/>
      </w:pPr>
      <w:rPr>
        <w:rFonts w:ascii="Symbol" w:hAnsi="Symbol" w:hint="default"/>
      </w:rPr>
    </w:lvl>
    <w:lvl w:ilvl="7" w:tplc="0372640C" w:tentative="1">
      <w:start w:val="1"/>
      <w:numFmt w:val="bullet"/>
      <w:lvlText w:val="o"/>
      <w:lvlJc w:val="left"/>
      <w:pPr>
        <w:ind w:left="6120" w:hanging="360"/>
      </w:pPr>
      <w:rPr>
        <w:rFonts w:ascii="Courier New" w:hAnsi="Courier New" w:cs="Courier New" w:hint="default"/>
      </w:rPr>
    </w:lvl>
    <w:lvl w:ilvl="8" w:tplc="87069874" w:tentative="1">
      <w:start w:val="1"/>
      <w:numFmt w:val="bullet"/>
      <w:lvlText w:val=""/>
      <w:lvlJc w:val="left"/>
      <w:pPr>
        <w:ind w:left="6840" w:hanging="360"/>
      </w:pPr>
      <w:rPr>
        <w:rFonts w:ascii="Wingdings" w:hAnsi="Wingdings" w:hint="default"/>
      </w:rPr>
    </w:lvl>
  </w:abstractNum>
  <w:abstractNum w:abstractNumId="8" w15:restartNumberingAfterBreak="0">
    <w:nsid w:val="29590022"/>
    <w:multiLevelType w:val="hybridMultilevel"/>
    <w:tmpl w:val="94529298"/>
    <w:lvl w:ilvl="0" w:tplc="6A70E52C">
      <w:start w:val="1"/>
      <w:numFmt w:val="bullet"/>
      <w:lvlText w:val=""/>
      <w:lvlJc w:val="left"/>
      <w:pPr>
        <w:ind w:left="720" w:hanging="360"/>
      </w:pPr>
      <w:rPr>
        <w:rFonts w:ascii="Symbol" w:hAnsi="Symbol" w:hint="default"/>
      </w:rPr>
    </w:lvl>
    <w:lvl w:ilvl="1" w:tplc="6B96DB04" w:tentative="1">
      <w:start w:val="1"/>
      <w:numFmt w:val="bullet"/>
      <w:lvlText w:val="o"/>
      <w:lvlJc w:val="left"/>
      <w:pPr>
        <w:ind w:left="1440" w:hanging="360"/>
      </w:pPr>
      <w:rPr>
        <w:rFonts w:ascii="Courier New" w:hAnsi="Courier New" w:cs="Courier New" w:hint="default"/>
      </w:rPr>
    </w:lvl>
    <w:lvl w:ilvl="2" w:tplc="D4F65F9C" w:tentative="1">
      <w:start w:val="1"/>
      <w:numFmt w:val="bullet"/>
      <w:lvlText w:val=""/>
      <w:lvlJc w:val="left"/>
      <w:pPr>
        <w:ind w:left="2160" w:hanging="360"/>
      </w:pPr>
      <w:rPr>
        <w:rFonts w:ascii="Wingdings" w:hAnsi="Wingdings" w:hint="default"/>
      </w:rPr>
    </w:lvl>
    <w:lvl w:ilvl="3" w:tplc="744ACFCA" w:tentative="1">
      <w:start w:val="1"/>
      <w:numFmt w:val="bullet"/>
      <w:lvlText w:val=""/>
      <w:lvlJc w:val="left"/>
      <w:pPr>
        <w:ind w:left="2880" w:hanging="360"/>
      </w:pPr>
      <w:rPr>
        <w:rFonts w:ascii="Symbol" w:hAnsi="Symbol" w:hint="default"/>
      </w:rPr>
    </w:lvl>
    <w:lvl w:ilvl="4" w:tplc="0C56B298" w:tentative="1">
      <w:start w:val="1"/>
      <w:numFmt w:val="bullet"/>
      <w:lvlText w:val="o"/>
      <w:lvlJc w:val="left"/>
      <w:pPr>
        <w:ind w:left="3600" w:hanging="360"/>
      </w:pPr>
      <w:rPr>
        <w:rFonts w:ascii="Courier New" w:hAnsi="Courier New" w:cs="Courier New" w:hint="default"/>
      </w:rPr>
    </w:lvl>
    <w:lvl w:ilvl="5" w:tplc="DF2E94F2" w:tentative="1">
      <w:start w:val="1"/>
      <w:numFmt w:val="bullet"/>
      <w:lvlText w:val=""/>
      <w:lvlJc w:val="left"/>
      <w:pPr>
        <w:ind w:left="4320" w:hanging="360"/>
      </w:pPr>
      <w:rPr>
        <w:rFonts w:ascii="Wingdings" w:hAnsi="Wingdings" w:hint="default"/>
      </w:rPr>
    </w:lvl>
    <w:lvl w:ilvl="6" w:tplc="730E3A0C" w:tentative="1">
      <w:start w:val="1"/>
      <w:numFmt w:val="bullet"/>
      <w:lvlText w:val=""/>
      <w:lvlJc w:val="left"/>
      <w:pPr>
        <w:ind w:left="5040" w:hanging="360"/>
      </w:pPr>
      <w:rPr>
        <w:rFonts w:ascii="Symbol" w:hAnsi="Symbol" w:hint="default"/>
      </w:rPr>
    </w:lvl>
    <w:lvl w:ilvl="7" w:tplc="297A98DA" w:tentative="1">
      <w:start w:val="1"/>
      <w:numFmt w:val="bullet"/>
      <w:lvlText w:val="o"/>
      <w:lvlJc w:val="left"/>
      <w:pPr>
        <w:ind w:left="5760" w:hanging="360"/>
      </w:pPr>
      <w:rPr>
        <w:rFonts w:ascii="Courier New" w:hAnsi="Courier New" w:cs="Courier New" w:hint="default"/>
      </w:rPr>
    </w:lvl>
    <w:lvl w:ilvl="8" w:tplc="8B1AC83E" w:tentative="1">
      <w:start w:val="1"/>
      <w:numFmt w:val="bullet"/>
      <w:lvlText w:val=""/>
      <w:lvlJc w:val="left"/>
      <w:pPr>
        <w:ind w:left="6480" w:hanging="360"/>
      </w:pPr>
      <w:rPr>
        <w:rFonts w:ascii="Wingdings" w:hAnsi="Wingdings" w:hint="default"/>
      </w:rPr>
    </w:lvl>
  </w:abstractNum>
  <w:abstractNum w:abstractNumId="9" w15:restartNumberingAfterBreak="0">
    <w:nsid w:val="32C269B2"/>
    <w:multiLevelType w:val="hybridMultilevel"/>
    <w:tmpl w:val="EFE601C0"/>
    <w:lvl w:ilvl="0" w:tplc="0D889586">
      <w:start w:val="1"/>
      <w:numFmt w:val="decimal"/>
      <w:lvlText w:val="%1."/>
      <w:lvlJc w:val="left"/>
      <w:pPr>
        <w:ind w:left="720" w:hanging="360"/>
      </w:pPr>
      <w:rPr>
        <w:rFonts w:hint="default"/>
      </w:rPr>
    </w:lvl>
    <w:lvl w:ilvl="1" w:tplc="E020C5AE" w:tentative="1">
      <w:start w:val="1"/>
      <w:numFmt w:val="lowerLetter"/>
      <w:lvlText w:val="%2."/>
      <w:lvlJc w:val="left"/>
      <w:pPr>
        <w:ind w:left="1440" w:hanging="360"/>
      </w:pPr>
    </w:lvl>
    <w:lvl w:ilvl="2" w:tplc="37AE748A" w:tentative="1">
      <w:start w:val="1"/>
      <w:numFmt w:val="lowerRoman"/>
      <w:lvlText w:val="%3."/>
      <w:lvlJc w:val="right"/>
      <w:pPr>
        <w:ind w:left="2160" w:hanging="180"/>
      </w:pPr>
    </w:lvl>
    <w:lvl w:ilvl="3" w:tplc="61100C5A" w:tentative="1">
      <w:start w:val="1"/>
      <w:numFmt w:val="decimal"/>
      <w:lvlText w:val="%4."/>
      <w:lvlJc w:val="left"/>
      <w:pPr>
        <w:ind w:left="2880" w:hanging="360"/>
      </w:pPr>
    </w:lvl>
    <w:lvl w:ilvl="4" w:tplc="3FD08C2A" w:tentative="1">
      <w:start w:val="1"/>
      <w:numFmt w:val="lowerLetter"/>
      <w:lvlText w:val="%5."/>
      <w:lvlJc w:val="left"/>
      <w:pPr>
        <w:ind w:left="3600" w:hanging="360"/>
      </w:pPr>
    </w:lvl>
    <w:lvl w:ilvl="5" w:tplc="8C22940C" w:tentative="1">
      <w:start w:val="1"/>
      <w:numFmt w:val="lowerRoman"/>
      <w:lvlText w:val="%6."/>
      <w:lvlJc w:val="right"/>
      <w:pPr>
        <w:ind w:left="4320" w:hanging="180"/>
      </w:pPr>
    </w:lvl>
    <w:lvl w:ilvl="6" w:tplc="0F9C1FFE" w:tentative="1">
      <w:start w:val="1"/>
      <w:numFmt w:val="decimal"/>
      <w:lvlText w:val="%7."/>
      <w:lvlJc w:val="left"/>
      <w:pPr>
        <w:ind w:left="5040" w:hanging="360"/>
      </w:pPr>
    </w:lvl>
    <w:lvl w:ilvl="7" w:tplc="B8D8DAFA" w:tentative="1">
      <w:start w:val="1"/>
      <w:numFmt w:val="lowerLetter"/>
      <w:lvlText w:val="%8."/>
      <w:lvlJc w:val="left"/>
      <w:pPr>
        <w:ind w:left="5760" w:hanging="360"/>
      </w:pPr>
    </w:lvl>
    <w:lvl w:ilvl="8" w:tplc="63C29E3A" w:tentative="1">
      <w:start w:val="1"/>
      <w:numFmt w:val="lowerRoman"/>
      <w:lvlText w:val="%9."/>
      <w:lvlJc w:val="right"/>
      <w:pPr>
        <w:ind w:left="6480" w:hanging="180"/>
      </w:pPr>
    </w:lvl>
  </w:abstractNum>
  <w:abstractNum w:abstractNumId="10" w15:restartNumberingAfterBreak="0">
    <w:nsid w:val="33242D13"/>
    <w:multiLevelType w:val="hybridMultilevel"/>
    <w:tmpl w:val="0CCA0F48"/>
    <w:lvl w:ilvl="0" w:tplc="40C42CD6">
      <w:start w:val="5"/>
      <w:numFmt w:val="decimal"/>
      <w:lvlText w:val="%1"/>
      <w:lvlJc w:val="left"/>
      <w:pPr>
        <w:ind w:left="720" w:hanging="360"/>
      </w:pPr>
      <w:rPr>
        <w:rFonts w:hint="default"/>
      </w:rPr>
    </w:lvl>
    <w:lvl w:ilvl="1" w:tplc="9C3C3234" w:tentative="1">
      <w:start w:val="1"/>
      <w:numFmt w:val="lowerLetter"/>
      <w:lvlText w:val="%2."/>
      <w:lvlJc w:val="left"/>
      <w:pPr>
        <w:ind w:left="1440" w:hanging="360"/>
      </w:pPr>
    </w:lvl>
    <w:lvl w:ilvl="2" w:tplc="75D02180" w:tentative="1">
      <w:start w:val="1"/>
      <w:numFmt w:val="lowerRoman"/>
      <w:lvlText w:val="%3."/>
      <w:lvlJc w:val="right"/>
      <w:pPr>
        <w:ind w:left="2160" w:hanging="180"/>
      </w:pPr>
    </w:lvl>
    <w:lvl w:ilvl="3" w:tplc="7242D538" w:tentative="1">
      <w:start w:val="1"/>
      <w:numFmt w:val="decimal"/>
      <w:lvlText w:val="%4."/>
      <w:lvlJc w:val="left"/>
      <w:pPr>
        <w:ind w:left="2880" w:hanging="360"/>
      </w:pPr>
    </w:lvl>
    <w:lvl w:ilvl="4" w:tplc="75748702" w:tentative="1">
      <w:start w:val="1"/>
      <w:numFmt w:val="lowerLetter"/>
      <w:lvlText w:val="%5."/>
      <w:lvlJc w:val="left"/>
      <w:pPr>
        <w:ind w:left="3600" w:hanging="360"/>
      </w:pPr>
    </w:lvl>
    <w:lvl w:ilvl="5" w:tplc="BFAC99AE" w:tentative="1">
      <w:start w:val="1"/>
      <w:numFmt w:val="lowerRoman"/>
      <w:lvlText w:val="%6."/>
      <w:lvlJc w:val="right"/>
      <w:pPr>
        <w:ind w:left="4320" w:hanging="180"/>
      </w:pPr>
    </w:lvl>
    <w:lvl w:ilvl="6" w:tplc="57967C32" w:tentative="1">
      <w:start w:val="1"/>
      <w:numFmt w:val="decimal"/>
      <w:lvlText w:val="%7."/>
      <w:lvlJc w:val="left"/>
      <w:pPr>
        <w:ind w:left="5040" w:hanging="360"/>
      </w:pPr>
    </w:lvl>
    <w:lvl w:ilvl="7" w:tplc="FB44252A" w:tentative="1">
      <w:start w:val="1"/>
      <w:numFmt w:val="lowerLetter"/>
      <w:lvlText w:val="%8."/>
      <w:lvlJc w:val="left"/>
      <w:pPr>
        <w:ind w:left="5760" w:hanging="360"/>
      </w:pPr>
    </w:lvl>
    <w:lvl w:ilvl="8" w:tplc="0916075E" w:tentative="1">
      <w:start w:val="1"/>
      <w:numFmt w:val="lowerRoman"/>
      <w:lvlText w:val="%9."/>
      <w:lvlJc w:val="right"/>
      <w:pPr>
        <w:ind w:left="6480" w:hanging="180"/>
      </w:pPr>
    </w:lvl>
  </w:abstractNum>
  <w:abstractNum w:abstractNumId="11" w15:restartNumberingAfterBreak="0">
    <w:nsid w:val="348A539A"/>
    <w:multiLevelType w:val="multilevel"/>
    <w:tmpl w:val="9EEA1B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295C1F"/>
    <w:multiLevelType w:val="multilevel"/>
    <w:tmpl w:val="9EEA1B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07E99"/>
    <w:multiLevelType w:val="multilevel"/>
    <w:tmpl w:val="1AF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262D0"/>
    <w:multiLevelType w:val="hybridMultilevel"/>
    <w:tmpl w:val="D9645C6E"/>
    <w:lvl w:ilvl="0" w:tplc="B5CCE11A">
      <w:start w:val="1"/>
      <w:numFmt w:val="lowerLetter"/>
      <w:lvlText w:val="(%1)"/>
      <w:lvlJc w:val="left"/>
      <w:pPr>
        <w:ind w:left="720" w:hanging="360"/>
      </w:pPr>
      <w:rPr>
        <w:rFonts w:hint="default"/>
      </w:rPr>
    </w:lvl>
    <w:lvl w:ilvl="1" w:tplc="4F04D8E4" w:tentative="1">
      <w:start w:val="1"/>
      <w:numFmt w:val="lowerLetter"/>
      <w:lvlText w:val="%2."/>
      <w:lvlJc w:val="left"/>
      <w:pPr>
        <w:ind w:left="1440" w:hanging="360"/>
      </w:pPr>
    </w:lvl>
    <w:lvl w:ilvl="2" w:tplc="467A0CF8" w:tentative="1">
      <w:start w:val="1"/>
      <w:numFmt w:val="lowerRoman"/>
      <w:lvlText w:val="%3."/>
      <w:lvlJc w:val="right"/>
      <w:pPr>
        <w:ind w:left="2160" w:hanging="180"/>
      </w:pPr>
    </w:lvl>
    <w:lvl w:ilvl="3" w:tplc="FD58CDB4" w:tentative="1">
      <w:start w:val="1"/>
      <w:numFmt w:val="decimal"/>
      <w:lvlText w:val="%4."/>
      <w:lvlJc w:val="left"/>
      <w:pPr>
        <w:ind w:left="2880" w:hanging="360"/>
      </w:pPr>
    </w:lvl>
    <w:lvl w:ilvl="4" w:tplc="0D500DB2" w:tentative="1">
      <w:start w:val="1"/>
      <w:numFmt w:val="lowerLetter"/>
      <w:lvlText w:val="%5."/>
      <w:lvlJc w:val="left"/>
      <w:pPr>
        <w:ind w:left="3600" w:hanging="360"/>
      </w:pPr>
    </w:lvl>
    <w:lvl w:ilvl="5" w:tplc="A66C153E" w:tentative="1">
      <w:start w:val="1"/>
      <w:numFmt w:val="lowerRoman"/>
      <w:lvlText w:val="%6."/>
      <w:lvlJc w:val="right"/>
      <w:pPr>
        <w:ind w:left="4320" w:hanging="180"/>
      </w:pPr>
    </w:lvl>
    <w:lvl w:ilvl="6" w:tplc="2D58FC82" w:tentative="1">
      <w:start w:val="1"/>
      <w:numFmt w:val="decimal"/>
      <w:lvlText w:val="%7."/>
      <w:lvlJc w:val="left"/>
      <w:pPr>
        <w:ind w:left="5040" w:hanging="360"/>
      </w:pPr>
    </w:lvl>
    <w:lvl w:ilvl="7" w:tplc="891A3190" w:tentative="1">
      <w:start w:val="1"/>
      <w:numFmt w:val="lowerLetter"/>
      <w:lvlText w:val="%8."/>
      <w:lvlJc w:val="left"/>
      <w:pPr>
        <w:ind w:left="5760" w:hanging="360"/>
      </w:pPr>
    </w:lvl>
    <w:lvl w:ilvl="8" w:tplc="D98A3070" w:tentative="1">
      <w:start w:val="1"/>
      <w:numFmt w:val="lowerRoman"/>
      <w:lvlText w:val="%9."/>
      <w:lvlJc w:val="right"/>
      <w:pPr>
        <w:ind w:left="6480" w:hanging="180"/>
      </w:pPr>
    </w:lvl>
  </w:abstractNum>
  <w:abstractNum w:abstractNumId="15" w15:restartNumberingAfterBreak="0">
    <w:nsid w:val="50E241B5"/>
    <w:multiLevelType w:val="multilevel"/>
    <w:tmpl w:val="03D0BC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651E2B"/>
    <w:multiLevelType w:val="multilevel"/>
    <w:tmpl w:val="2374878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B5472"/>
    <w:multiLevelType w:val="hybridMultilevel"/>
    <w:tmpl w:val="DE3A1B36"/>
    <w:lvl w:ilvl="0" w:tplc="FA44C724">
      <w:start w:val="1"/>
      <w:numFmt w:val="bullet"/>
      <w:lvlText w:val=""/>
      <w:lvlJc w:val="left"/>
      <w:pPr>
        <w:ind w:left="720" w:hanging="360"/>
      </w:pPr>
      <w:rPr>
        <w:rFonts w:ascii="Symbol" w:hAnsi="Symbol" w:hint="default"/>
      </w:rPr>
    </w:lvl>
    <w:lvl w:ilvl="1" w:tplc="31726FB4" w:tentative="1">
      <w:start w:val="1"/>
      <w:numFmt w:val="bullet"/>
      <w:lvlText w:val="o"/>
      <w:lvlJc w:val="left"/>
      <w:pPr>
        <w:ind w:left="1440" w:hanging="360"/>
      </w:pPr>
      <w:rPr>
        <w:rFonts w:ascii="Courier New" w:hAnsi="Courier New" w:cs="Courier New" w:hint="default"/>
      </w:rPr>
    </w:lvl>
    <w:lvl w:ilvl="2" w:tplc="EEDAD922" w:tentative="1">
      <w:start w:val="1"/>
      <w:numFmt w:val="bullet"/>
      <w:lvlText w:val=""/>
      <w:lvlJc w:val="left"/>
      <w:pPr>
        <w:ind w:left="2160" w:hanging="360"/>
      </w:pPr>
      <w:rPr>
        <w:rFonts w:ascii="Wingdings" w:hAnsi="Wingdings" w:hint="default"/>
      </w:rPr>
    </w:lvl>
    <w:lvl w:ilvl="3" w:tplc="67802720" w:tentative="1">
      <w:start w:val="1"/>
      <w:numFmt w:val="bullet"/>
      <w:lvlText w:val=""/>
      <w:lvlJc w:val="left"/>
      <w:pPr>
        <w:ind w:left="2880" w:hanging="360"/>
      </w:pPr>
      <w:rPr>
        <w:rFonts w:ascii="Symbol" w:hAnsi="Symbol" w:hint="default"/>
      </w:rPr>
    </w:lvl>
    <w:lvl w:ilvl="4" w:tplc="64580990" w:tentative="1">
      <w:start w:val="1"/>
      <w:numFmt w:val="bullet"/>
      <w:lvlText w:val="o"/>
      <w:lvlJc w:val="left"/>
      <w:pPr>
        <w:ind w:left="3600" w:hanging="360"/>
      </w:pPr>
      <w:rPr>
        <w:rFonts w:ascii="Courier New" w:hAnsi="Courier New" w:cs="Courier New" w:hint="default"/>
      </w:rPr>
    </w:lvl>
    <w:lvl w:ilvl="5" w:tplc="163E8E7E" w:tentative="1">
      <w:start w:val="1"/>
      <w:numFmt w:val="bullet"/>
      <w:lvlText w:val=""/>
      <w:lvlJc w:val="left"/>
      <w:pPr>
        <w:ind w:left="4320" w:hanging="360"/>
      </w:pPr>
      <w:rPr>
        <w:rFonts w:ascii="Wingdings" w:hAnsi="Wingdings" w:hint="default"/>
      </w:rPr>
    </w:lvl>
    <w:lvl w:ilvl="6" w:tplc="031A682E" w:tentative="1">
      <w:start w:val="1"/>
      <w:numFmt w:val="bullet"/>
      <w:lvlText w:val=""/>
      <w:lvlJc w:val="left"/>
      <w:pPr>
        <w:ind w:left="5040" w:hanging="360"/>
      </w:pPr>
      <w:rPr>
        <w:rFonts w:ascii="Symbol" w:hAnsi="Symbol" w:hint="default"/>
      </w:rPr>
    </w:lvl>
    <w:lvl w:ilvl="7" w:tplc="148EFDFA" w:tentative="1">
      <w:start w:val="1"/>
      <w:numFmt w:val="bullet"/>
      <w:lvlText w:val="o"/>
      <w:lvlJc w:val="left"/>
      <w:pPr>
        <w:ind w:left="5760" w:hanging="360"/>
      </w:pPr>
      <w:rPr>
        <w:rFonts w:ascii="Courier New" w:hAnsi="Courier New" w:cs="Courier New" w:hint="default"/>
      </w:rPr>
    </w:lvl>
    <w:lvl w:ilvl="8" w:tplc="1D465946" w:tentative="1">
      <w:start w:val="1"/>
      <w:numFmt w:val="bullet"/>
      <w:lvlText w:val=""/>
      <w:lvlJc w:val="left"/>
      <w:pPr>
        <w:ind w:left="6480" w:hanging="360"/>
      </w:pPr>
      <w:rPr>
        <w:rFonts w:ascii="Wingdings" w:hAnsi="Wingdings" w:hint="default"/>
      </w:rPr>
    </w:lvl>
  </w:abstractNum>
  <w:abstractNum w:abstractNumId="18" w15:restartNumberingAfterBreak="0">
    <w:nsid w:val="56897F09"/>
    <w:multiLevelType w:val="hybridMultilevel"/>
    <w:tmpl w:val="C7525334"/>
    <w:lvl w:ilvl="0" w:tplc="870E9D22">
      <w:start w:val="1"/>
      <w:numFmt w:val="lowerLetter"/>
      <w:lvlText w:val="%1."/>
      <w:lvlJc w:val="left"/>
      <w:pPr>
        <w:ind w:left="360" w:hanging="360"/>
      </w:pPr>
      <w:rPr>
        <w:rFonts w:hint="default"/>
      </w:rPr>
    </w:lvl>
    <w:lvl w:ilvl="1" w:tplc="BB1EE2AA" w:tentative="1">
      <w:start w:val="1"/>
      <w:numFmt w:val="lowerLetter"/>
      <w:lvlText w:val="%2."/>
      <w:lvlJc w:val="left"/>
      <w:pPr>
        <w:ind w:left="1080" w:hanging="360"/>
      </w:pPr>
    </w:lvl>
    <w:lvl w:ilvl="2" w:tplc="54662C6C" w:tentative="1">
      <w:start w:val="1"/>
      <w:numFmt w:val="lowerRoman"/>
      <w:lvlText w:val="%3."/>
      <w:lvlJc w:val="right"/>
      <w:pPr>
        <w:ind w:left="1800" w:hanging="180"/>
      </w:pPr>
    </w:lvl>
    <w:lvl w:ilvl="3" w:tplc="8682B15C" w:tentative="1">
      <w:start w:val="1"/>
      <w:numFmt w:val="decimal"/>
      <w:lvlText w:val="%4."/>
      <w:lvlJc w:val="left"/>
      <w:pPr>
        <w:ind w:left="2520" w:hanging="360"/>
      </w:pPr>
    </w:lvl>
    <w:lvl w:ilvl="4" w:tplc="A16C5592" w:tentative="1">
      <w:start w:val="1"/>
      <w:numFmt w:val="lowerLetter"/>
      <w:lvlText w:val="%5."/>
      <w:lvlJc w:val="left"/>
      <w:pPr>
        <w:ind w:left="3240" w:hanging="360"/>
      </w:pPr>
    </w:lvl>
    <w:lvl w:ilvl="5" w:tplc="45320E08" w:tentative="1">
      <w:start w:val="1"/>
      <w:numFmt w:val="lowerRoman"/>
      <w:lvlText w:val="%6."/>
      <w:lvlJc w:val="right"/>
      <w:pPr>
        <w:ind w:left="3960" w:hanging="180"/>
      </w:pPr>
    </w:lvl>
    <w:lvl w:ilvl="6" w:tplc="ADBC7FC6" w:tentative="1">
      <w:start w:val="1"/>
      <w:numFmt w:val="decimal"/>
      <w:lvlText w:val="%7."/>
      <w:lvlJc w:val="left"/>
      <w:pPr>
        <w:ind w:left="4680" w:hanging="360"/>
      </w:pPr>
    </w:lvl>
    <w:lvl w:ilvl="7" w:tplc="403C9048" w:tentative="1">
      <w:start w:val="1"/>
      <w:numFmt w:val="lowerLetter"/>
      <w:lvlText w:val="%8."/>
      <w:lvlJc w:val="left"/>
      <w:pPr>
        <w:ind w:left="5400" w:hanging="360"/>
      </w:pPr>
    </w:lvl>
    <w:lvl w:ilvl="8" w:tplc="9D7E7410" w:tentative="1">
      <w:start w:val="1"/>
      <w:numFmt w:val="lowerRoman"/>
      <w:lvlText w:val="%9."/>
      <w:lvlJc w:val="right"/>
      <w:pPr>
        <w:ind w:left="6120" w:hanging="180"/>
      </w:pPr>
    </w:lvl>
  </w:abstractNum>
  <w:abstractNum w:abstractNumId="19" w15:restartNumberingAfterBreak="0">
    <w:nsid w:val="60CA6A8D"/>
    <w:multiLevelType w:val="hybridMultilevel"/>
    <w:tmpl w:val="E1B804F0"/>
    <w:lvl w:ilvl="0" w:tplc="89C23B3C">
      <w:start w:val="1"/>
      <w:numFmt w:val="bullet"/>
      <w:lvlText w:val=""/>
      <w:lvlJc w:val="left"/>
      <w:pPr>
        <w:ind w:left="720" w:hanging="360"/>
      </w:pPr>
      <w:rPr>
        <w:rFonts w:ascii="Symbol" w:hAnsi="Symbol" w:hint="default"/>
      </w:rPr>
    </w:lvl>
    <w:lvl w:ilvl="1" w:tplc="EAE4C4DE" w:tentative="1">
      <w:start w:val="1"/>
      <w:numFmt w:val="bullet"/>
      <w:lvlText w:val="o"/>
      <w:lvlJc w:val="left"/>
      <w:pPr>
        <w:ind w:left="1440" w:hanging="360"/>
      </w:pPr>
      <w:rPr>
        <w:rFonts w:ascii="Courier New" w:hAnsi="Courier New" w:cs="Courier New" w:hint="default"/>
      </w:rPr>
    </w:lvl>
    <w:lvl w:ilvl="2" w:tplc="FA869616" w:tentative="1">
      <w:start w:val="1"/>
      <w:numFmt w:val="bullet"/>
      <w:lvlText w:val=""/>
      <w:lvlJc w:val="left"/>
      <w:pPr>
        <w:ind w:left="2160" w:hanging="360"/>
      </w:pPr>
      <w:rPr>
        <w:rFonts w:ascii="Wingdings" w:hAnsi="Wingdings" w:hint="default"/>
      </w:rPr>
    </w:lvl>
    <w:lvl w:ilvl="3" w:tplc="36362494" w:tentative="1">
      <w:start w:val="1"/>
      <w:numFmt w:val="bullet"/>
      <w:lvlText w:val=""/>
      <w:lvlJc w:val="left"/>
      <w:pPr>
        <w:ind w:left="2880" w:hanging="360"/>
      </w:pPr>
      <w:rPr>
        <w:rFonts w:ascii="Symbol" w:hAnsi="Symbol" w:hint="default"/>
      </w:rPr>
    </w:lvl>
    <w:lvl w:ilvl="4" w:tplc="93CEBA7E" w:tentative="1">
      <w:start w:val="1"/>
      <w:numFmt w:val="bullet"/>
      <w:lvlText w:val="o"/>
      <w:lvlJc w:val="left"/>
      <w:pPr>
        <w:ind w:left="3600" w:hanging="360"/>
      </w:pPr>
      <w:rPr>
        <w:rFonts w:ascii="Courier New" w:hAnsi="Courier New" w:cs="Courier New" w:hint="default"/>
      </w:rPr>
    </w:lvl>
    <w:lvl w:ilvl="5" w:tplc="E6F619D8" w:tentative="1">
      <w:start w:val="1"/>
      <w:numFmt w:val="bullet"/>
      <w:lvlText w:val=""/>
      <w:lvlJc w:val="left"/>
      <w:pPr>
        <w:ind w:left="4320" w:hanging="360"/>
      </w:pPr>
      <w:rPr>
        <w:rFonts w:ascii="Wingdings" w:hAnsi="Wingdings" w:hint="default"/>
      </w:rPr>
    </w:lvl>
    <w:lvl w:ilvl="6" w:tplc="EA960A0C" w:tentative="1">
      <w:start w:val="1"/>
      <w:numFmt w:val="bullet"/>
      <w:lvlText w:val=""/>
      <w:lvlJc w:val="left"/>
      <w:pPr>
        <w:ind w:left="5040" w:hanging="360"/>
      </w:pPr>
      <w:rPr>
        <w:rFonts w:ascii="Symbol" w:hAnsi="Symbol" w:hint="default"/>
      </w:rPr>
    </w:lvl>
    <w:lvl w:ilvl="7" w:tplc="EA7429E0" w:tentative="1">
      <w:start w:val="1"/>
      <w:numFmt w:val="bullet"/>
      <w:lvlText w:val="o"/>
      <w:lvlJc w:val="left"/>
      <w:pPr>
        <w:ind w:left="5760" w:hanging="360"/>
      </w:pPr>
      <w:rPr>
        <w:rFonts w:ascii="Courier New" w:hAnsi="Courier New" w:cs="Courier New" w:hint="default"/>
      </w:rPr>
    </w:lvl>
    <w:lvl w:ilvl="8" w:tplc="E162F8F4" w:tentative="1">
      <w:start w:val="1"/>
      <w:numFmt w:val="bullet"/>
      <w:lvlText w:val=""/>
      <w:lvlJc w:val="left"/>
      <w:pPr>
        <w:ind w:left="6480" w:hanging="360"/>
      </w:pPr>
      <w:rPr>
        <w:rFonts w:ascii="Wingdings" w:hAnsi="Wingdings" w:hint="default"/>
      </w:rPr>
    </w:lvl>
  </w:abstractNum>
  <w:abstractNum w:abstractNumId="20" w15:restartNumberingAfterBreak="0">
    <w:nsid w:val="6DD56507"/>
    <w:multiLevelType w:val="multilevel"/>
    <w:tmpl w:val="2FFC1C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B646EE3"/>
    <w:multiLevelType w:val="hybridMultilevel"/>
    <w:tmpl w:val="9A309FCC"/>
    <w:lvl w:ilvl="0" w:tplc="4A3C3536">
      <w:start w:val="1"/>
      <w:numFmt w:val="decimal"/>
      <w:lvlText w:val="%1."/>
      <w:lvlJc w:val="left"/>
      <w:pPr>
        <w:ind w:left="360" w:hanging="360"/>
      </w:pPr>
    </w:lvl>
    <w:lvl w:ilvl="1" w:tplc="A5B8F7CA" w:tentative="1">
      <w:start w:val="1"/>
      <w:numFmt w:val="lowerLetter"/>
      <w:lvlText w:val="%2."/>
      <w:lvlJc w:val="left"/>
      <w:pPr>
        <w:ind w:left="1080" w:hanging="360"/>
      </w:pPr>
    </w:lvl>
    <w:lvl w:ilvl="2" w:tplc="8474E2EC" w:tentative="1">
      <w:start w:val="1"/>
      <w:numFmt w:val="lowerRoman"/>
      <w:lvlText w:val="%3."/>
      <w:lvlJc w:val="right"/>
      <w:pPr>
        <w:ind w:left="1800" w:hanging="180"/>
      </w:pPr>
    </w:lvl>
    <w:lvl w:ilvl="3" w:tplc="02945A5A" w:tentative="1">
      <w:start w:val="1"/>
      <w:numFmt w:val="decimal"/>
      <w:lvlText w:val="%4."/>
      <w:lvlJc w:val="left"/>
      <w:pPr>
        <w:ind w:left="2520" w:hanging="360"/>
      </w:pPr>
    </w:lvl>
    <w:lvl w:ilvl="4" w:tplc="B204B0CA" w:tentative="1">
      <w:start w:val="1"/>
      <w:numFmt w:val="lowerLetter"/>
      <w:lvlText w:val="%5."/>
      <w:lvlJc w:val="left"/>
      <w:pPr>
        <w:ind w:left="3240" w:hanging="360"/>
      </w:pPr>
    </w:lvl>
    <w:lvl w:ilvl="5" w:tplc="A90CB474" w:tentative="1">
      <w:start w:val="1"/>
      <w:numFmt w:val="lowerRoman"/>
      <w:lvlText w:val="%6."/>
      <w:lvlJc w:val="right"/>
      <w:pPr>
        <w:ind w:left="3960" w:hanging="180"/>
      </w:pPr>
    </w:lvl>
    <w:lvl w:ilvl="6" w:tplc="689EF786" w:tentative="1">
      <w:start w:val="1"/>
      <w:numFmt w:val="decimal"/>
      <w:lvlText w:val="%7."/>
      <w:lvlJc w:val="left"/>
      <w:pPr>
        <w:ind w:left="4680" w:hanging="360"/>
      </w:pPr>
    </w:lvl>
    <w:lvl w:ilvl="7" w:tplc="5414DB32" w:tentative="1">
      <w:start w:val="1"/>
      <w:numFmt w:val="lowerLetter"/>
      <w:lvlText w:val="%8."/>
      <w:lvlJc w:val="left"/>
      <w:pPr>
        <w:ind w:left="5400" w:hanging="360"/>
      </w:pPr>
    </w:lvl>
    <w:lvl w:ilvl="8" w:tplc="CD7C8C8C" w:tentative="1">
      <w:start w:val="1"/>
      <w:numFmt w:val="lowerRoman"/>
      <w:lvlText w:val="%9."/>
      <w:lvlJc w:val="right"/>
      <w:pPr>
        <w:ind w:left="6120" w:hanging="180"/>
      </w:pPr>
    </w:lvl>
  </w:abstractNum>
  <w:num w:numId="1">
    <w:abstractNumId w:val="7"/>
  </w:num>
  <w:num w:numId="2">
    <w:abstractNumId w:val="18"/>
  </w:num>
  <w:num w:numId="3">
    <w:abstractNumId w:val="14"/>
  </w:num>
  <w:num w:numId="4">
    <w:abstractNumId w:val="1"/>
  </w:num>
  <w:num w:numId="5">
    <w:abstractNumId w:val="8"/>
  </w:num>
  <w:num w:numId="6">
    <w:abstractNumId w:val="17"/>
  </w:num>
  <w:num w:numId="7">
    <w:abstractNumId w:val="4"/>
  </w:num>
  <w:num w:numId="8">
    <w:abstractNumId w:val="19"/>
  </w:num>
  <w:num w:numId="9">
    <w:abstractNumId w:val="0"/>
  </w:num>
  <w:num w:numId="10">
    <w:abstractNumId w:val="5"/>
  </w:num>
  <w:num w:numId="11">
    <w:abstractNumId w:val="2"/>
  </w:num>
  <w:num w:numId="12">
    <w:abstractNumId w:val="3"/>
  </w:num>
  <w:num w:numId="13">
    <w:abstractNumId w:val="12"/>
  </w:num>
  <w:num w:numId="14">
    <w:abstractNumId w:val="10"/>
  </w:num>
  <w:num w:numId="15">
    <w:abstractNumId w:val="11"/>
  </w:num>
  <w:num w:numId="16">
    <w:abstractNumId w:val="15"/>
  </w:num>
  <w:num w:numId="17">
    <w:abstractNumId w:val="20"/>
  </w:num>
  <w:num w:numId="18">
    <w:abstractNumId w:val="16"/>
  </w:num>
  <w:num w:numId="19">
    <w:abstractNumId w:val="13"/>
  </w:num>
  <w:num w:numId="20">
    <w:abstractNumId w:val="9"/>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CwtzczNLC3MLMwMLMyUdpeDU4uLM/DyQApNaAOvKIbUsAAAA"/>
  </w:docVars>
  <w:rsids>
    <w:rsidRoot w:val="00142A6E"/>
    <w:rsid w:val="0000018D"/>
    <w:rsid w:val="0000028C"/>
    <w:rsid w:val="000020E1"/>
    <w:rsid w:val="0000358E"/>
    <w:rsid w:val="00003592"/>
    <w:rsid w:val="00003907"/>
    <w:rsid w:val="00005887"/>
    <w:rsid w:val="000069BC"/>
    <w:rsid w:val="00007092"/>
    <w:rsid w:val="000103FF"/>
    <w:rsid w:val="00014C32"/>
    <w:rsid w:val="0002072E"/>
    <w:rsid w:val="00022438"/>
    <w:rsid w:val="00024D9C"/>
    <w:rsid w:val="00026FCC"/>
    <w:rsid w:val="00034D0C"/>
    <w:rsid w:val="0003530A"/>
    <w:rsid w:val="00037F9F"/>
    <w:rsid w:val="000414FE"/>
    <w:rsid w:val="00046447"/>
    <w:rsid w:val="00051A4E"/>
    <w:rsid w:val="00052F22"/>
    <w:rsid w:val="0005631C"/>
    <w:rsid w:val="00057730"/>
    <w:rsid w:val="00057ABE"/>
    <w:rsid w:val="0006294A"/>
    <w:rsid w:val="00063D2A"/>
    <w:rsid w:val="000647A8"/>
    <w:rsid w:val="0006796E"/>
    <w:rsid w:val="00072411"/>
    <w:rsid w:val="00073003"/>
    <w:rsid w:val="0007483A"/>
    <w:rsid w:val="00076F87"/>
    <w:rsid w:val="00077B7D"/>
    <w:rsid w:val="000805E1"/>
    <w:rsid w:val="000806E4"/>
    <w:rsid w:val="00081C9D"/>
    <w:rsid w:val="00083501"/>
    <w:rsid w:val="00084C75"/>
    <w:rsid w:val="00087DC8"/>
    <w:rsid w:val="00087E93"/>
    <w:rsid w:val="00091B0A"/>
    <w:rsid w:val="00093713"/>
    <w:rsid w:val="00093AC5"/>
    <w:rsid w:val="0009428E"/>
    <w:rsid w:val="00095CA7"/>
    <w:rsid w:val="00096775"/>
    <w:rsid w:val="00096D08"/>
    <w:rsid w:val="000A0EEB"/>
    <w:rsid w:val="000A183F"/>
    <w:rsid w:val="000A3A31"/>
    <w:rsid w:val="000A5490"/>
    <w:rsid w:val="000A7156"/>
    <w:rsid w:val="000A75E0"/>
    <w:rsid w:val="000A7F8A"/>
    <w:rsid w:val="000B09FF"/>
    <w:rsid w:val="000B0C8D"/>
    <w:rsid w:val="000B2B03"/>
    <w:rsid w:val="000B64E8"/>
    <w:rsid w:val="000B78F7"/>
    <w:rsid w:val="000B7D1B"/>
    <w:rsid w:val="000C2A2F"/>
    <w:rsid w:val="000C4AE9"/>
    <w:rsid w:val="000C5843"/>
    <w:rsid w:val="000C62C2"/>
    <w:rsid w:val="000D02A5"/>
    <w:rsid w:val="000D0A06"/>
    <w:rsid w:val="000D0A43"/>
    <w:rsid w:val="000D1321"/>
    <w:rsid w:val="000D3EAB"/>
    <w:rsid w:val="000D5532"/>
    <w:rsid w:val="000D6268"/>
    <w:rsid w:val="000D6AD2"/>
    <w:rsid w:val="000D70F7"/>
    <w:rsid w:val="000D75F9"/>
    <w:rsid w:val="000E0FA9"/>
    <w:rsid w:val="000E1ED6"/>
    <w:rsid w:val="000E25CE"/>
    <w:rsid w:val="000E2B84"/>
    <w:rsid w:val="000E3C29"/>
    <w:rsid w:val="000E6099"/>
    <w:rsid w:val="000F146E"/>
    <w:rsid w:val="000F159B"/>
    <w:rsid w:val="000F1FCE"/>
    <w:rsid w:val="000F42AF"/>
    <w:rsid w:val="000F6080"/>
    <w:rsid w:val="00100621"/>
    <w:rsid w:val="00104D04"/>
    <w:rsid w:val="001055FB"/>
    <w:rsid w:val="001070A8"/>
    <w:rsid w:val="00107B85"/>
    <w:rsid w:val="00107FEC"/>
    <w:rsid w:val="001171C0"/>
    <w:rsid w:val="001204CD"/>
    <w:rsid w:val="00124A42"/>
    <w:rsid w:val="0012550A"/>
    <w:rsid w:val="001272A2"/>
    <w:rsid w:val="0012742B"/>
    <w:rsid w:val="00127AD1"/>
    <w:rsid w:val="00127EAA"/>
    <w:rsid w:val="00130234"/>
    <w:rsid w:val="0013151C"/>
    <w:rsid w:val="001316ED"/>
    <w:rsid w:val="0013264C"/>
    <w:rsid w:val="0013282E"/>
    <w:rsid w:val="001337D2"/>
    <w:rsid w:val="00134B07"/>
    <w:rsid w:val="001354F9"/>
    <w:rsid w:val="0013597C"/>
    <w:rsid w:val="0013743A"/>
    <w:rsid w:val="0014122F"/>
    <w:rsid w:val="00142A6E"/>
    <w:rsid w:val="00143871"/>
    <w:rsid w:val="00145AB7"/>
    <w:rsid w:val="00145F2C"/>
    <w:rsid w:val="00152673"/>
    <w:rsid w:val="00152A10"/>
    <w:rsid w:val="00155383"/>
    <w:rsid w:val="00157C27"/>
    <w:rsid w:val="001600C4"/>
    <w:rsid w:val="00160144"/>
    <w:rsid w:val="00161EBC"/>
    <w:rsid w:val="00163730"/>
    <w:rsid w:val="00164F8A"/>
    <w:rsid w:val="00164FBC"/>
    <w:rsid w:val="001715BB"/>
    <w:rsid w:val="00171DBB"/>
    <w:rsid w:val="00172995"/>
    <w:rsid w:val="001802A9"/>
    <w:rsid w:val="00180970"/>
    <w:rsid w:val="0018146F"/>
    <w:rsid w:val="00181729"/>
    <w:rsid w:val="00181F5B"/>
    <w:rsid w:val="00185439"/>
    <w:rsid w:val="00186FBC"/>
    <w:rsid w:val="00191E22"/>
    <w:rsid w:val="001943BA"/>
    <w:rsid w:val="0019539E"/>
    <w:rsid w:val="001971AA"/>
    <w:rsid w:val="001A3291"/>
    <w:rsid w:val="001A3F81"/>
    <w:rsid w:val="001A41F8"/>
    <w:rsid w:val="001A4548"/>
    <w:rsid w:val="001B0081"/>
    <w:rsid w:val="001B021F"/>
    <w:rsid w:val="001B196A"/>
    <w:rsid w:val="001B3B49"/>
    <w:rsid w:val="001B46E3"/>
    <w:rsid w:val="001B4DC8"/>
    <w:rsid w:val="001B5D32"/>
    <w:rsid w:val="001B6E82"/>
    <w:rsid w:val="001C24E1"/>
    <w:rsid w:val="001C350E"/>
    <w:rsid w:val="001C7361"/>
    <w:rsid w:val="001D10D2"/>
    <w:rsid w:val="001D4101"/>
    <w:rsid w:val="001D663D"/>
    <w:rsid w:val="001E0ABA"/>
    <w:rsid w:val="001E195E"/>
    <w:rsid w:val="001E2E91"/>
    <w:rsid w:val="001E4447"/>
    <w:rsid w:val="001E4712"/>
    <w:rsid w:val="001E5B30"/>
    <w:rsid w:val="001E66BC"/>
    <w:rsid w:val="001F1A08"/>
    <w:rsid w:val="001F1F8E"/>
    <w:rsid w:val="001F26A7"/>
    <w:rsid w:val="001F3ADE"/>
    <w:rsid w:val="001F56CE"/>
    <w:rsid w:val="001F6A5F"/>
    <w:rsid w:val="00200A74"/>
    <w:rsid w:val="00204BE9"/>
    <w:rsid w:val="00205DE9"/>
    <w:rsid w:val="002066DB"/>
    <w:rsid w:val="00210312"/>
    <w:rsid w:val="00212569"/>
    <w:rsid w:val="00214817"/>
    <w:rsid w:val="00214CFC"/>
    <w:rsid w:val="00217508"/>
    <w:rsid w:val="00217ADE"/>
    <w:rsid w:val="0022436A"/>
    <w:rsid w:val="002265FE"/>
    <w:rsid w:val="0023126C"/>
    <w:rsid w:val="00232B82"/>
    <w:rsid w:val="002334E3"/>
    <w:rsid w:val="002352AC"/>
    <w:rsid w:val="00240A81"/>
    <w:rsid w:val="00242437"/>
    <w:rsid w:val="002455C6"/>
    <w:rsid w:val="002471EB"/>
    <w:rsid w:val="0024779B"/>
    <w:rsid w:val="00247BFC"/>
    <w:rsid w:val="00247F08"/>
    <w:rsid w:val="002528BB"/>
    <w:rsid w:val="00253966"/>
    <w:rsid w:val="002540FB"/>
    <w:rsid w:val="002545B7"/>
    <w:rsid w:val="00260368"/>
    <w:rsid w:val="00260621"/>
    <w:rsid w:val="00262F7A"/>
    <w:rsid w:val="0026325E"/>
    <w:rsid w:val="002666D7"/>
    <w:rsid w:val="002718A4"/>
    <w:rsid w:val="002719EA"/>
    <w:rsid w:val="00272C05"/>
    <w:rsid w:val="00272EF8"/>
    <w:rsid w:val="00274B6B"/>
    <w:rsid w:val="00275BF0"/>
    <w:rsid w:val="0027653F"/>
    <w:rsid w:val="00277052"/>
    <w:rsid w:val="00277117"/>
    <w:rsid w:val="00280976"/>
    <w:rsid w:val="00282667"/>
    <w:rsid w:val="00283E28"/>
    <w:rsid w:val="00284CA6"/>
    <w:rsid w:val="0029251A"/>
    <w:rsid w:val="002945A8"/>
    <w:rsid w:val="0029524A"/>
    <w:rsid w:val="002A0DE3"/>
    <w:rsid w:val="002A50B5"/>
    <w:rsid w:val="002A70EB"/>
    <w:rsid w:val="002B1613"/>
    <w:rsid w:val="002B35E8"/>
    <w:rsid w:val="002B4B30"/>
    <w:rsid w:val="002B4E9A"/>
    <w:rsid w:val="002B6198"/>
    <w:rsid w:val="002C0C6A"/>
    <w:rsid w:val="002C2114"/>
    <w:rsid w:val="002C31D6"/>
    <w:rsid w:val="002C4E77"/>
    <w:rsid w:val="002C5BBE"/>
    <w:rsid w:val="002D01CD"/>
    <w:rsid w:val="002D052E"/>
    <w:rsid w:val="002D2A07"/>
    <w:rsid w:val="002D376D"/>
    <w:rsid w:val="002D39CD"/>
    <w:rsid w:val="002D3A66"/>
    <w:rsid w:val="002E26FD"/>
    <w:rsid w:val="002E28E8"/>
    <w:rsid w:val="002E2E16"/>
    <w:rsid w:val="002E6F75"/>
    <w:rsid w:val="002F06F5"/>
    <w:rsid w:val="002F0D2A"/>
    <w:rsid w:val="002F3E73"/>
    <w:rsid w:val="002F4665"/>
    <w:rsid w:val="002F4C66"/>
    <w:rsid w:val="002F5523"/>
    <w:rsid w:val="002F5568"/>
    <w:rsid w:val="00302325"/>
    <w:rsid w:val="00305215"/>
    <w:rsid w:val="0030753B"/>
    <w:rsid w:val="003102FD"/>
    <w:rsid w:val="003133A4"/>
    <w:rsid w:val="00313A21"/>
    <w:rsid w:val="003170B0"/>
    <w:rsid w:val="00320572"/>
    <w:rsid w:val="00321560"/>
    <w:rsid w:val="00322126"/>
    <w:rsid w:val="003227A5"/>
    <w:rsid w:val="003234D3"/>
    <w:rsid w:val="0032368F"/>
    <w:rsid w:val="003250C3"/>
    <w:rsid w:val="00325728"/>
    <w:rsid w:val="003265FA"/>
    <w:rsid w:val="003304A7"/>
    <w:rsid w:val="00330530"/>
    <w:rsid w:val="003315E5"/>
    <w:rsid w:val="00331DD6"/>
    <w:rsid w:val="00332DC2"/>
    <w:rsid w:val="003337E7"/>
    <w:rsid w:val="00335410"/>
    <w:rsid w:val="00335799"/>
    <w:rsid w:val="00336381"/>
    <w:rsid w:val="003436CB"/>
    <w:rsid w:val="00346442"/>
    <w:rsid w:val="00350821"/>
    <w:rsid w:val="0035515A"/>
    <w:rsid w:val="00356B6A"/>
    <w:rsid w:val="003623DF"/>
    <w:rsid w:val="0036286A"/>
    <w:rsid w:val="00362FAF"/>
    <w:rsid w:val="003637D7"/>
    <w:rsid w:val="00364E0F"/>
    <w:rsid w:val="00364E62"/>
    <w:rsid w:val="00366B17"/>
    <w:rsid w:val="00366BE3"/>
    <w:rsid w:val="003706E3"/>
    <w:rsid w:val="00371B4A"/>
    <w:rsid w:val="00372A85"/>
    <w:rsid w:val="00376BCE"/>
    <w:rsid w:val="00376DC3"/>
    <w:rsid w:val="00377B8A"/>
    <w:rsid w:val="003810BF"/>
    <w:rsid w:val="00383FC8"/>
    <w:rsid w:val="00384239"/>
    <w:rsid w:val="003842F7"/>
    <w:rsid w:val="00391F85"/>
    <w:rsid w:val="0039217C"/>
    <w:rsid w:val="00393744"/>
    <w:rsid w:val="003A5F9A"/>
    <w:rsid w:val="003A695A"/>
    <w:rsid w:val="003B3F81"/>
    <w:rsid w:val="003B6C14"/>
    <w:rsid w:val="003C046C"/>
    <w:rsid w:val="003C34AF"/>
    <w:rsid w:val="003C3F32"/>
    <w:rsid w:val="003C4053"/>
    <w:rsid w:val="003C739B"/>
    <w:rsid w:val="003D0498"/>
    <w:rsid w:val="003D123B"/>
    <w:rsid w:val="003D19C5"/>
    <w:rsid w:val="003D1F12"/>
    <w:rsid w:val="003D2E69"/>
    <w:rsid w:val="003D3B33"/>
    <w:rsid w:val="003D4387"/>
    <w:rsid w:val="003E0317"/>
    <w:rsid w:val="003E2532"/>
    <w:rsid w:val="003E5B87"/>
    <w:rsid w:val="003E6A57"/>
    <w:rsid w:val="003F0662"/>
    <w:rsid w:val="003F2E2C"/>
    <w:rsid w:val="003F4A2D"/>
    <w:rsid w:val="003F53A3"/>
    <w:rsid w:val="003F5D3E"/>
    <w:rsid w:val="003F6E94"/>
    <w:rsid w:val="003F6FCC"/>
    <w:rsid w:val="004010D1"/>
    <w:rsid w:val="0040191A"/>
    <w:rsid w:val="00401BCF"/>
    <w:rsid w:val="004030BE"/>
    <w:rsid w:val="00404FCC"/>
    <w:rsid w:val="00412CB4"/>
    <w:rsid w:val="00413F4F"/>
    <w:rsid w:val="00417D59"/>
    <w:rsid w:val="00422FB9"/>
    <w:rsid w:val="0042528E"/>
    <w:rsid w:val="00425548"/>
    <w:rsid w:val="00431528"/>
    <w:rsid w:val="0043210C"/>
    <w:rsid w:val="00436EFF"/>
    <w:rsid w:val="00440C95"/>
    <w:rsid w:val="0044213D"/>
    <w:rsid w:val="004450DE"/>
    <w:rsid w:val="004461A2"/>
    <w:rsid w:val="00450773"/>
    <w:rsid w:val="00450881"/>
    <w:rsid w:val="00454D1B"/>
    <w:rsid w:val="004560BC"/>
    <w:rsid w:val="004567AA"/>
    <w:rsid w:val="00460506"/>
    <w:rsid w:val="00461065"/>
    <w:rsid w:val="00461CAC"/>
    <w:rsid w:val="004740E3"/>
    <w:rsid w:val="004742A1"/>
    <w:rsid w:val="00481D06"/>
    <w:rsid w:val="00483988"/>
    <w:rsid w:val="00485851"/>
    <w:rsid w:val="00495725"/>
    <w:rsid w:val="00497C9E"/>
    <w:rsid w:val="004A03BE"/>
    <w:rsid w:val="004A043F"/>
    <w:rsid w:val="004A0AA9"/>
    <w:rsid w:val="004A11AC"/>
    <w:rsid w:val="004A11B3"/>
    <w:rsid w:val="004A132A"/>
    <w:rsid w:val="004A2361"/>
    <w:rsid w:val="004A521F"/>
    <w:rsid w:val="004A64D0"/>
    <w:rsid w:val="004A6A22"/>
    <w:rsid w:val="004A6A59"/>
    <w:rsid w:val="004B1EB5"/>
    <w:rsid w:val="004B4481"/>
    <w:rsid w:val="004C0A3B"/>
    <w:rsid w:val="004C1F31"/>
    <w:rsid w:val="004C2AC6"/>
    <w:rsid w:val="004C2FBA"/>
    <w:rsid w:val="004C3EC2"/>
    <w:rsid w:val="004C6411"/>
    <w:rsid w:val="004C7027"/>
    <w:rsid w:val="004D06F8"/>
    <w:rsid w:val="004D3015"/>
    <w:rsid w:val="004D3317"/>
    <w:rsid w:val="004D3D73"/>
    <w:rsid w:val="004D3E8D"/>
    <w:rsid w:val="004D5C19"/>
    <w:rsid w:val="004D6293"/>
    <w:rsid w:val="004D6A68"/>
    <w:rsid w:val="004E0ED6"/>
    <w:rsid w:val="004E1365"/>
    <w:rsid w:val="004E2C80"/>
    <w:rsid w:val="004E3ED6"/>
    <w:rsid w:val="004E4ADD"/>
    <w:rsid w:val="004E6AEF"/>
    <w:rsid w:val="004E6F32"/>
    <w:rsid w:val="004E73EC"/>
    <w:rsid w:val="004F0103"/>
    <w:rsid w:val="004F1E97"/>
    <w:rsid w:val="004F36BB"/>
    <w:rsid w:val="004F36F4"/>
    <w:rsid w:val="004F68AF"/>
    <w:rsid w:val="00502557"/>
    <w:rsid w:val="00503933"/>
    <w:rsid w:val="00503B68"/>
    <w:rsid w:val="00510BA9"/>
    <w:rsid w:val="00514A2A"/>
    <w:rsid w:val="00515C7A"/>
    <w:rsid w:val="00517126"/>
    <w:rsid w:val="00517CAA"/>
    <w:rsid w:val="005201F3"/>
    <w:rsid w:val="0052081C"/>
    <w:rsid w:val="0052404E"/>
    <w:rsid w:val="00524F85"/>
    <w:rsid w:val="00527442"/>
    <w:rsid w:val="0053012C"/>
    <w:rsid w:val="00530A8D"/>
    <w:rsid w:val="0053181F"/>
    <w:rsid w:val="00531D05"/>
    <w:rsid w:val="00532EA2"/>
    <w:rsid w:val="00533AD9"/>
    <w:rsid w:val="00535402"/>
    <w:rsid w:val="00537E38"/>
    <w:rsid w:val="00540DC5"/>
    <w:rsid w:val="0054114E"/>
    <w:rsid w:val="0054116C"/>
    <w:rsid w:val="00542A8F"/>
    <w:rsid w:val="00542E69"/>
    <w:rsid w:val="00547F52"/>
    <w:rsid w:val="005520D6"/>
    <w:rsid w:val="005527AE"/>
    <w:rsid w:val="00552C76"/>
    <w:rsid w:val="00554DDD"/>
    <w:rsid w:val="00557AB9"/>
    <w:rsid w:val="00560392"/>
    <w:rsid w:val="00561E90"/>
    <w:rsid w:val="00563C24"/>
    <w:rsid w:val="005642C5"/>
    <w:rsid w:val="00564F5F"/>
    <w:rsid w:val="005659A8"/>
    <w:rsid w:val="00566009"/>
    <w:rsid w:val="00566D8D"/>
    <w:rsid w:val="005670FF"/>
    <w:rsid w:val="00567D22"/>
    <w:rsid w:val="00570ED6"/>
    <w:rsid w:val="00574252"/>
    <w:rsid w:val="00575831"/>
    <w:rsid w:val="005800B8"/>
    <w:rsid w:val="005807A7"/>
    <w:rsid w:val="0058131D"/>
    <w:rsid w:val="00583866"/>
    <w:rsid w:val="00583DA3"/>
    <w:rsid w:val="0059091E"/>
    <w:rsid w:val="005931E0"/>
    <w:rsid w:val="005946DE"/>
    <w:rsid w:val="00594F6C"/>
    <w:rsid w:val="00596D9A"/>
    <w:rsid w:val="00597C22"/>
    <w:rsid w:val="005A4799"/>
    <w:rsid w:val="005A50D6"/>
    <w:rsid w:val="005A6248"/>
    <w:rsid w:val="005A6510"/>
    <w:rsid w:val="005A6B08"/>
    <w:rsid w:val="005A7341"/>
    <w:rsid w:val="005A7568"/>
    <w:rsid w:val="005A7773"/>
    <w:rsid w:val="005A7DF7"/>
    <w:rsid w:val="005B082E"/>
    <w:rsid w:val="005B272F"/>
    <w:rsid w:val="005B656A"/>
    <w:rsid w:val="005B68C3"/>
    <w:rsid w:val="005B7D72"/>
    <w:rsid w:val="005C0C55"/>
    <w:rsid w:val="005C3712"/>
    <w:rsid w:val="005C52C8"/>
    <w:rsid w:val="005C58A5"/>
    <w:rsid w:val="005C6D24"/>
    <w:rsid w:val="005C736A"/>
    <w:rsid w:val="005D060C"/>
    <w:rsid w:val="005D1B3D"/>
    <w:rsid w:val="005D387F"/>
    <w:rsid w:val="005D61F2"/>
    <w:rsid w:val="005D651C"/>
    <w:rsid w:val="005D796B"/>
    <w:rsid w:val="005E3FBD"/>
    <w:rsid w:val="005E50BE"/>
    <w:rsid w:val="005E5400"/>
    <w:rsid w:val="005F13D4"/>
    <w:rsid w:val="005F1982"/>
    <w:rsid w:val="005F4933"/>
    <w:rsid w:val="005F4B71"/>
    <w:rsid w:val="005F56E9"/>
    <w:rsid w:val="005F61DF"/>
    <w:rsid w:val="005F74C5"/>
    <w:rsid w:val="006007A9"/>
    <w:rsid w:val="00601C0D"/>
    <w:rsid w:val="006024B9"/>
    <w:rsid w:val="00603C9F"/>
    <w:rsid w:val="00605D28"/>
    <w:rsid w:val="00607D12"/>
    <w:rsid w:val="00612116"/>
    <w:rsid w:val="0061442A"/>
    <w:rsid w:val="0061525F"/>
    <w:rsid w:val="006169BF"/>
    <w:rsid w:val="006210FF"/>
    <w:rsid w:val="006218C7"/>
    <w:rsid w:val="00621972"/>
    <w:rsid w:val="0062337C"/>
    <w:rsid w:val="00625CC4"/>
    <w:rsid w:val="00625D3E"/>
    <w:rsid w:val="00625D93"/>
    <w:rsid w:val="00626A56"/>
    <w:rsid w:val="00627870"/>
    <w:rsid w:val="00632A4D"/>
    <w:rsid w:val="00642213"/>
    <w:rsid w:val="006465D0"/>
    <w:rsid w:val="0065001C"/>
    <w:rsid w:val="00651999"/>
    <w:rsid w:val="00652147"/>
    <w:rsid w:val="006525D7"/>
    <w:rsid w:val="00653274"/>
    <w:rsid w:val="0065332C"/>
    <w:rsid w:val="006542EA"/>
    <w:rsid w:val="006603A7"/>
    <w:rsid w:val="00660ECF"/>
    <w:rsid w:val="00665C70"/>
    <w:rsid w:val="00667C1D"/>
    <w:rsid w:val="00670E25"/>
    <w:rsid w:val="00671B20"/>
    <w:rsid w:val="00672D6E"/>
    <w:rsid w:val="006760B6"/>
    <w:rsid w:val="00681711"/>
    <w:rsid w:val="00681EC1"/>
    <w:rsid w:val="00683260"/>
    <w:rsid w:val="00683745"/>
    <w:rsid w:val="00684CD9"/>
    <w:rsid w:val="00687105"/>
    <w:rsid w:val="00687F38"/>
    <w:rsid w:val="00691190"/>
    <w:rsid w:val="0069210A"/>
    <w:rsid w:val="006947E6"/>
    <w:rsid w:val="00694918"/>
    <w:rsid w:val="00695C6D"/>
    <w:rsid w:val="006966C6"/>
    <w:rsid w:val="006970EF"/>
    <w:rsid w:val="006A0AD5"/>
    <w:rsid w:val="006A227B"/>
    <w:rsid w:val="006A2FFC"/>
    <w:rsid w:val="006A40A7"/>
    <w:rsid w:val="006A48A0"/>
    <w:rsid w:val="006A4EA7"/>
    <w:rsid w:val="006A52A1"/>
    <w:rsid w:val="006A6605"/>
    <w:rsid w:val="006A7254"/>
    <w:rsid w:val="006B1AAD"/>
    <w:rsid w:val="006B2480"/>
    <w:rsid w:val="006B274C"/>
    <w:rsid w:val="006B28A9"/>
    <w:rsid w:val="006B570C"/>
    <w:rsid w:val="006B6B45"/>
    <w:rsid w:val="006C1873"/>
    <w:rsid w:val="006C2A39"/>
    <w:rsid w:val="006C37CE"/>
    <w:rsid w:val="006C3AE7"/>
    <w:rsid w:val="006C43E2"/>
    <w:rsid w:val="006C60FC"/>
    <w:rsid w:val="006C7EB7"/>
    <w:rsid w:val="006D48BC"/>
    <w:rsid w:val="006D5210"/>
    <w:rsid w:val="006D5318"/>
    <w:rsid w:val="006E18FD"/>
    <w:rsid w:val="006E413D"/>
    <w:rsid w:val="006E443D"/>
    <w:rsid w:val="006E6FF9"/>
    <w:rsid w:val="006E744F"/>
    <w:rsid w:val="006F0193"/>
    <w:rsid w:val="006F2DD2"/>
    <w:rsid w:val="006F36D3"/>
    <w:rsid w:val="006F6040"/>
    <w:rsid w:val="006F6B5C"/>
    <w:rsid w:val="00700700"/>
    <w:rsid w:val="0070098D"/>
    <w:rsid w:val="0070237A"/>
    <w:rsid w:val="0070301F"/>
    <w:rsid w:val="007062D4"/>
    <w:rsid w:val="007065F5"/>
    <w:rsid w:val="007112A3"/>
    <w:rsid w:val="00711BBC"/>
    <w:rsid w:val="0071744B"/>
    <w:rsid w:val="00722F4F"/>
    <w:rsid w:val="0072689F"/>
    <w:rsid w:val="00732054"/>
    <w:rsid w:val="0073339A"/>
    <w:rsid w:val="00735402"/>
    <w:rsid w:val="00736871"/>
    <w:rsid w:val="00736A14"/>
    <w:rsid w:val="00736EA9"/>
    <w:rsid w:val="00741095"/>
    <w:rsid w:val="00741E26"/>
    <w:rsid w:val="00742C96"/>
    <w:rsid w:val="00744731"/>
    <w:rsid w:val="00744CB6"/>
    <w:rsid w:val="007464CD"/>
    <w:rsid w:val="00746FAB"/>
    <w:rsid w:val="007478D3"/>
    <w:rsid w:val="00752C3C"/>
    <w:rsid w:val="007541F8"/>
    <w:rsid w:val="00755FF0"/>
    <w:rsid w:val="0075791C"/>
    <w:rsid w:val="0076158C"/>
    <w:rsid w:val="007664EF"/>
    <w:rsid w:val="00776867"/>
    <w:rsid w:val="00777152"/>
    <w:rsid w:val="00784FE7"/>
    <w:rsid w:val="00785F6D"/>
    <w:rsid w:val="0079034D"/>
    <w:rsid w:val="007905B5"/>
    <w:rsid w:val="00790C13"/>
    <w:rsid w:val="0079120D"/>
    <w:rsid w:val="00791214"/>
    <w:rsid w:val="00793554"/>
    <w:rsid w:val="00793A98"/>
    <w:rsid w:val="0079532B"/>
    <w:rsid w:val="0079718F"/>
    <w:rsid w:val="007A2C24"/>
    <w:rsid w:val="007A47AB"/>
    <w:rsid w:val="007A576C"/>
    <w:rsid w:val="007B6457"/>
    <w:rsid w:val="007B7FED"/>
    <w:rsid w:val="007C2386"/>
    <w:rsid w:val="007C30A0"/>
    <w:rsid w:val="007C461A"/>
    <w:rsid w:val="007D7652"/>
    <w:rsid w:val="007E336E"/>
    <w:rsid w:val="007E391B"/>
    <w:rsid w:val="007E44C6"/>
    <w:rsid w:val="007E5DE7"/>
    <w:rsid w:val="007E6FA8"/>
    <w:rsid w:val="007E7D9B"/>
    <w:rsid w:val="007F19D6"/>
    <w:rsid w:val="007F3C19"/>
    <w:rsid w:val="007F5FD3"/>
    <w:rsid w:val="007F7D9E"/>
    <w:rsid w:val="00801C48"/>
    <w:rsid w:val="008026CB"/>
    <w:rsid w:val="00802B4A"/>
    <w:rsid w:val="00812F41"/>
    <w:rsid w:val="00814069"/>
    <w:rsid w:val="0081612D"/>
    <w:rsid w:val="0082024C"/>
    <w:rsid w:val="00820E19"/>
    <w:rsid w:val="00822045"/>
    <w:rsid w:val="00822087"/>
    <w:rsid w:val="008243F3"/>
    <w:rsid w:val="00824C7B"/>
    <w:rsid w:val="00826BA9"/>
    <w:rsid w:val="00832464"/>
    <w:rsid w:val="00832DC7"/>
    <w:rsid w:val="00832DD2"/>
    <w:rsid w:val="008342BB"/>
    <w:rsid w:val="00836220"/>
    <w:rsid w:val="0084093E"/>
    <w:rsid w:val="008414CA"/>
    <w:rsid w:val="00841C5B"/>
    <w:rsid w:val="00843B03"/>
    <w:rsid w:val="0085046B"/>
    <w:rsid w:val="0085047C"/>
    <w:rsid w:val="00850C13"/>
    <w:rsid w:val="008510FD"/>
    <w:rsid w:val="00853E26"/>
    <w:rsid w:val="00856CDD"/>
    <w:rsid w:val="00857042"/>
    <w:rsid w:val="008626E5"/>
    <w:rsid w:val="00862EA3"/>
    <w:rsid w:val="008639A7"/>
    <w:rsid w:val="00864532"/>
    <w:rsid w:val="008666B4"/>
    <w:rsid w:val="008670ED"/>
    <w:rsid w:val="008707F7"/>
    <w:rsid w:val="008733A9"/>
    <w:rsid w:val="00875F9A"/>
    <w:rsid w:val="008766F3"/>
    <w:rsid w:val="0088155D"/>
    <w:rsid w:val="008820D5"/>
    <w:rsid w:val="008841D3"/>
    <w:rsid w:val="00886399"/>
    <w:rsid w:val="0088701C"/>
    <w:rsid w:val="00887E57"/>
    <w:rsid w:val="0089512F"/>
    <w:rsid w:val="008954BC"/>
    <w:rsid w:val="00897E13"/>
    <w:rsid w:val="008A699E"/>
    <w:rsid w:val="008B1030"/>
    <w:rsid w:val="008B1962"/>
    <w:rsid w:val="008B4B15"/>
    <w:rsid w:val="008B5588"/>
    <w:rsid w:val="008B707E"/>
    <w:rsid w:val="008B752C"/>
    <w:rsid w:val="008C3A88"/>
    <w:rsid w:val="008C6CAE"/>
    <w:rsid w:val="008C7C4F"/>
    <w:rsid w:val="008D00C2"/>
    <w:rsid w:val="008D1F90"/>
    <w:rsid w:val="008D3DB7"/>
    <w:rsid w:val="008D456C"/>
    <w:rsid w:val="008D5FAD"/>
    <w:rsid w:val="008E0E3E"/>
    <w:rsid w:val="008E1A4D"/>
    <w:rsid w:val="008E1DB0"/>
    <w:rsid w:val="008E1F87"/>
    <w:rsid w:val="008E3BC1"/>
    <w:rsid w:val="008E60DE"/>
    <w:rsid w:val="008E61F7"/>
    <w:rsid w:val="008F1C17"/>
    <w:rsid w:val="008F5DBB"/>
    <w:rsid w:val="008F7BE6"/>
    <w:rsid w:val="009039F9"/>
    <w:rsid w:val="00906349"/>
    <w:rsid w:val="00906DFB"/>
    <w:rsid w:val="00912A95"/>
    <w:rsid w:val="00912DFF"/>
    <w:rsid w:val="009142B1"/>
    <w:rsid w:val="00916CC0"/>
    <w:rsid w:val="00917896"/>
    <w:rsid w:val="00921178"/>
    <w:rsid w:val="00921DAB"/>
    <w:rsid w:val="00924F52"/>
    <w:rsid w:val="00925650"/>
    <w:rsid w:val="00925DFC"/>
    <w:rsid w:val="00930D40"/>
    <w:rsid w:val="0093138D"/>
    <w:rsid w:val="00932E90"/>
    <w:rsid w:val="00936408"/>
    <w:rsid w:val="009371E2"/>
    <w:rsid w:val="00940F61"/>
    <w:rsid w:val="009420C5"/>
    <w:rsid w:val="00943379"/>
    <w:rsid w:val="00944DA9"/>
    <w:rsid w:val="009466F4"/>
    <w:rsid w:val="0094673A"/>
    <w:rsid w:val="00946D98"/>
    <w:rsid w:val="0094732C"/>
    <w:rsid w:val="009554B4"/>
    <w:rsid w:val="00956F1D"/>
    <w:rsid w:val="00957E7D"/>
    <w:rsid w:val="009604E7"/>
    <w:rsid w:val="00961AFC"/>
    <w:rsid w:val="0096294B"/>
    <w:rsid w:val="009669B6"/>
    <w:rsid w:val="00971FE2"/>
    <w:rsid w:val="0097217E"/>
    <w:rsid w:val="00972DCB"/>
    <w:rsid w:val="009756EA"/>
    <w:rsid w:val="00977475"/>
    <w:rsid w:val="00977976"/>
    <w:rsid w:val="009814DC"/>
    <w:rsid w:val="009839FA"/>
    <w:rsid w:val="009857B3"/>
    <w:rsid w:val="00987F98"/>
    <w:rsid w:val="009927E6"/>
    <w:rsid w:val="009932C1"/>
    <w:rsid w:val="00993376"/>
    <w:rsid w:val="009951B5"/>
    <w:rsid w:val="00996265"/>
    <w:rsid w:val="009963AF"/>
    <w:rsid w:val="009A206C"/>
    <w:rsid w:val="009A4952"/>
    <w:rsid w:val="009B21C8"/>
    <w:rsid w:val="009B2A4C"/>
    <w:rsid w:val="009B318F"/>
    <w:rsid w:val="009B3CC6"/>
    <w:rsid w:val="009C3EDF"/>
    <w:rsid w:val="009D002B"/>
    <w:rsid w:val="009D4A19"/>
    <w:rsid w:val="009D665C"/>
    <w:rsid w:val="009E3D4E"/>
    <w:rsid w:val="009E4D70"/>
    <w:rsid w:val="009E5FEB"/>
    <w:rsid w:val="009E7B1F"/>
    <w:rsid w:val="009F0BF8"/>
    <w:rsid w:val="009F10DE"/>
    <w:rsid w:val="009F2BAB"/>
    <w:rsid w:val="009F3A74"/>
    <w:rsid w:val="00A009F5"/>
    <w:rsid w:val="00A00DDD"/>
    <w:rsid w:val="00A01B28"/>
    <w:rsid w:val="00A0236F"/>
    <w:rsid w:val="00A04860"/>
    <w:rsid w:val="00A050B3"/>
    <w:rsid w:val="00A0561A"/>
    <w:rsid w:val="00A06B83"/>
    <w:rsid w:val="00A06D5F"/>
    <w:rsid w:val="00A07455"/>
    <w:rsid w:val="00A0798A"/>
    <w:rsid w:val="00A1394F"/>
    <w:rsid w:val="00A16EF9"/>
    <w:rsid w:val="00A21CF2"/>
    <w:rsid w:val="00A2713E"/>
    <w:rsid w:val="00A30A28"/>
    <w:rsid w:val="00A318FA"/>
    <w:rsid w:val="00A34853"/>
    <w:rsid w:val="00A3535B"/>
    <w:rsid w:val="00A36161"/>
    <w:rsid w:val="00A4038A"/>
    <w:rsid w:val="00A42CC4"/>
    <w:rsid w:val="00A43F23"/>
    <w:rsid w:val="00A4441F"/>
    <w:rsid w:val="00A45167"/>
    <w:rsid w:val="00A46BD4"/>
    <w:rsid w:val="00A5086C"/>
    <w:rsid w:val="00A50E30"/>
    <w:rsid w:val="00A51310"/>
    <w:rsid w:val="00A521EE"/>
    <w:rsid w:val="00A52225"/>
    <w:rsid w:val="00A5429D"/>
    <w:rsid w:val="00A54FE7"/>
    <w:rsid w:val="00A6020F"/>
    <w:rsid w:val="00A629C5"/>
    <w:rsid w:val="00A64126"/>
    <w:rsid w:val="00A67653"/>
    <w:rsid w:val="00A67CAC"/>
    <w:rsid w:val="00A70C57"/>
    <w:rsid w:val="00A74AE1"/>
    <w:rsid w:val="00A768C2"/>
    <w:rsid w:val="00A773B2"/>
    <w:rsid w:val="00A81632"/>
    <w:rsid w:val="00A82D23"/>
    <w:rsid w:val="00A83A9D"/>
    <w:rsid w:val="00A83BDA"/>
    <w:rsid w:val="00A86025"/>
    <w:rsid w:val="00A87092"/>
    <w:rsid w:val="00A90AC2"/>
    <w:rsid w:val="00A93026"/>
    <w:rsid w:val="00A93888"/>
    <w:rsid w:val="00A94AC1"/>
    <w:rsid w:val="00A972D1"/>
    <w:rsid w:val="00AA3841"/>
    <w:rsid w:val="00AA4361"/>
    <w:rsid w:val="00AA4460"/>
    <w:rsid w:val="00AA4CB1"/>
    <w:rsid w:val="00AA7662"/>
    <w:rsid w:val="00AB1D97"/>
    <w:rsid w:val="00AB3194"/>
    <w:rsid w:val="00AB57CA"/>
    <w:rsid w:val="00AC26C9"/>
    <w:rsid w:val="00AC3464"/>
    <w:rsid w:val="00AC5777"/>
    <w:rsid w:val="00AC6455"/>
    <w:rsid w:val="00AD05A7"/>
    <w:rsid w:val="00AD6C07"/>
    <w:rsid w:val="00AD7D03"/>
    <w:rsid w:val="00AE07E9"/>
    <w:rsid w:val="00AE322D"/>
    <w:rsid w:val="00AE50EA"/>
    <w:rsid w:val="00AE5427"/>
    <w:rsid w:val="00AE5CCA"/>
    <w:rsid w:val="00AE7C3C"/>
    <w:rsid w:val="00AF2943"/>
    <w:rsid w:val="00AF72F5"/>
    <w:rsid w:val="00AF7497"/>
    <w:rsid w:val="00B003F5"/>
    <w:rsid w:val="00B01ADF"/>
    <w:rsid w:val="00B044BF"/>
    <w:rsid w:val="00B06DB2"/>
    <w:rsid w:val="00B07F0F"/>
    <w:rsid w:val="00B100A6"/>
    <w:rsid w:val="00B111CF"/>
    <w:rsid w:val="00B117D0"/>
    <w:rsid w:val="00B121E5"/>
    <w:rsid w:val="00B134F4"/>
    <w:rsid w:val="00B14101"/>
    <w:rsid w:val="00B24F9C"/>
    <w:rsid w:val="00B251D9"/>
    <w:rsid w:val="00B26434"/>
    <w:rsid w:val="00B351BC"/>
    <w:rsid w:val="00B355C5"/>
    <w:rsid w:val="00B35FCE"/>
    <w:rsid w:val="00B41E82"/>
    <w:rsid w:val="00B452FF"/>
    <w:rsid w:val="00B45ECA"/>
    <w:rsid w:val="00B46C9A"/>
    <w:rsid w:val="00B471E9"/>
    <w:rsid w:val="00B47C38"/>
    <w:rsid w:val="00B5056B"/>
    <w:rsid w:val="00B52D16"/>
    <w:rsid w:val="00B54D7F"/>
    <w:rsid w:val="00B604D9"/>
    <w:rsid w:val="00B630D9"/>
    <w:rsid w:val="00B64DE6"/>
    <w:rsid w:val="00B6575D"/>
    <w:rsid w:val="00B672A1"/>
    <w:rsid w:val="00B7311C"/>
    <w:rsid w:val="00B76941"/>
    <w:rsid w:val="00B76D5C"/>
    <w:rsid w:val="00B773A2"/>
    <w:rsid w:val="00B77E14"/>
    <w:rsid w:val="00B8105C"/>
    <w:rsid w:val="00B84F28"/>
    <w:rsid w:val="00B86A53"/>
    <w:rsid w:val="00B91C98"/>
    <w:rsid w:val="00B93665"/>
    <w:rsid w:val="00B95915"/>
    <w:rsid w:val="00B963BF"/>
    <w:rsid w:val="00B978A3"/>
    <w:rsid w:val="00BA1236"/>
    <w:rsid w:val="00BA184C"/>
    <w:rsid w:val="00BA1A9A"/>
    <w:rsid w:val="00BA354F"/>
    <w:rsid w:val="00BA5CEC"/>
    <w:rsid w:val="00BA7709"/>
    <w:rsid w:val="00BA7FD5"/>
    <w:rsid w:val="00BB16AB"/>
    <w:rsid w:val="00BB2910"/>
    <w:rsid w:val="00BB4B9B"/>
    <w:rsid w:val="00BB7CBF"/>
    <w:rsid w:val="00BC117E"/>
    <w:rsid w:val="00BC2A6E"/>
    <w:rsid w:val="00BC5664"/>
    <w:rsid w:val="00BC7A89"/>
    <w:rsid w:val="00BD011F"/>
    <w:rsid w:val="00BD2B1B"/>
    <w:rsid w:val="00BD3489"/>
    <w:rsid w:val="00BD3A50"/>
    <w:rsid w:val="00BD435F"/>
    <w:rsid w:val="00BD5FA5"/>
    <w:rsid w:val="00BD7BC8"/>
    <w:rsid w:val="00BD7E73"/>
    <w:rsid w:val="00BE04CC"/>
    <w:rsid w:val="00BE2E70"/>
    <w:rsid w:val="00BE52D7"/>
    <w:rsid w:val="00BE6734"/>
    <w:rsid w:val="00BE79E0"/>
    <w:rsid w:val="00BF00D3"/>
    <w:rsid w:val="00BF25F9"/>
    <w:rsid w:val="00C01960"/>
    <w:rsid w:val="00C03FBB"/>
    <w:rsid w:val="00C04099"/>
    <w:rsid w:val="00C05995"/>
    <w:rsid w:val="00C13EBC"/>
    <w:rsid w:val="00C15426"/>
    <w:rsid w:val="00C16519"/>
    <w:rsid w:val="00C16D05"/>
    <w:rsid w:val="00C17409"/>
    <w:rsid w:val="00C17476"/>
    <w:rsid w:val="00C201A3"/>
    <w:rsid w:val="00C20768"/>
    <w:rsid w:val="00C214CD"/>
    <w:rsid w:val="00C21821"/>
    <w:rsid w:val="00C24723"/>
    <w:rsid w:val="00C25178"/>
    <w:rsid w:val="00C26D89"/>
    <w:rsid w:val="00C303BD"/>
    <w:rsid w:val="00C30F9E"/>
    <w:rsid w:val="00C32411"/>
    <w:rsid w:val="00C340FE"/>
    <w:rsid w:val="00C34FC5"/>
    <w:rsid w:val="00C350CD"/>
    <w:rsid w:val="00C37E81"/>
    <w:rsid w:val="00C414CC"/>
    <w:rsid w:val="00C42C73"/>
    <w:rsid w:val="00C451C8"/>
    <w:rsid w:val="00C4649B"/>
    <w:rsid w:val="00C4686C"/>
    <w:rsid w:val="00C51747"/>
    <w:rsid w:val="00C554F1"/>
    <w:rsid w:val="00C55D6F"/>
    <w:rsid w:val="00C56D58"/>
    <w:rsid w:val="00C57246"/>
    <w:rsid w:val="00C6129E"/>
    <w:rsid w:val="00C62A31"/>
    <w:rsid w:val="00C64268"/>
    <w:rsid w:val="00C645C0"/>
    <w:rsid w:val="00C70584"/>
    <w:rsid w:val="00C71E49"/>
    <w:rsid w:val="00C72673"/>
    <w:rsid w:val="00C77526"/>
    <w:rsid w:val="00C8030C"/>
    <w:rsid w:val="00C81C9D"/>
    <w:rsid w:val="00C836B7"/>
    <w:rsid w:val="00C85E07"/>
    <w:rsid w:val="00C94B5D"/>
    <w:rsid w:val="00C9556D"/>
    <w:rsid w:val="00C9569C"/>
    <w:rsid w:val="00C965CB"/>
    <w:rsid w:val="00C96DB9"/>
    <w:rsid w:val="00CA15F8"/>
    <w:rsid w:val="00CA19E5"/>
    <w:rsid w:val="00CA3D47"/>
    <w:rsid w:val="00CA5507"/>
    <w:rsid w:val="00CA7F60"/>
    <w:rsid w:val="00CB0583"/>
    <w:rsid w:val="00CB4BEB"/>
    <w:rsid w:val="00CB4E8C"/>
    <w:rsid w:val="00CB503C"/>
    <w:rsid w:val="00CB63D1"/>
    <w:rsid w:val="00CC1A85"/>
    <w:rsid w:val="00CC2FC1"/>
    <w:rsid w:val="00CC4AEB"/>
    <w:rsid w:val="00CC66CD"/>
    <w:rsid w:val="00CC7C03"/>
    <w:rsid w:val="00CD2B63"/>
    <w:rsid w:val="00CD2BD8"/>
    <w:rsid w:val="00CD4646"/>
    <w:rsid w:val="00CD6319"/>
    <w:rsid w:val="00CD6E79"/>
    <w:rsid w:val="00CD7660"/>
    <w:rsid w:val="00CD7E14"/>
    <w:rsid w:val="00CE06AF"/>
    <w:rsid w:val="00CE306D"/>
    <w:rsid w:val="00CE48B3"/>
    <w:rsid w:val="00CE5D00"/>
    <w:rsid w:val="00CE7938"/>
    <w:rsid w:val="00CF2CA6"/>
    <w:rsid w:val="00CF365A"/>
    <w:rsid w:val="00CF77EB"/>
    <w:rsid w:val="00CF7F5D"/>
    <w:rsid w:val="00D02118"/>
    <w:rsid w:val="00D02435"/>
    <w:rsid w:val="00D039E6"/>
    <w:rsid w:val="00D03AF7"/>
    <w:rsid w:val="00D04D87"/>
    <w:rsid w:val="00D05AD6"/>
    <w:rsid w:val="00D12F25"/>
    <w:rsid w:val="00D15263"/>
    <w:rsid w:val="00D15817"/>
    <w:rsid w:val="00D15EDB"/>
    <w:rsid w:val="00D17E8C"/>
    <w:rsid w:val="00D23670"/>
    <w:rsid w:val="00D25715"/>
    <w:rsid w:val="00D2603A"/>
    <w:rsid w:val="00D2658A"/>
    <w:rsid w:val="00D32B7F"/>
    <w:rsid w:val="00D33048"/>
    <w:rsid w:val="00D332C8"/>
    <w:rsid w:val="00D41A2B"/>
    <w:rsid w:val="00D43B89"/>
    <w:rsid w:val="00D44632"/>
    <w:rsid w:val="00D53440"/>
    <w:rsid w:val="00D569D4"/>
    <w:rsid w:val="00D571EB"/>
    <w:rsid w:val="00D57942"/>
    <w:rsid w:val="00D57B60"/>
    <w:rsid w:val="00D6009A"/>
    <w:rsid w:val="00D653C9"/>
    <w:rsid w:val="00D6735F"/>
    <w:rsid w:val="00D756D6"/>
    <w:rsid w:val="00D76885"/>
    <w:rsid w:val="00D77449"/>
    <w:rsid w:val="00D83944"/>
    <w:rsid w:val="00D86D68"/>
    <w:rsid w:val="00D929BF"/>
    <w:rsid w:val="00D96612"/>
    <w:rsid w:val="00DA24FF"/>
    <w:rsid w:val="00DA354A"/>
    <w:rsid w:val="00DA3987"/>
    <w:rsid w:val="00DA3AFC"/>
    <w:rsid w:val="00DA5262"/>
    <w:rsid w:val="00DB13A7"/>
    <w:rsid w:val="00DB52B1"/>
    <w:rsid w:val="00DC0B5C"/>
    <w:rsid w:val="00DC536F"/>
    <w:rsid w:val="00DC6ADD"/>
    <w:rsid w:val="00DC7412"/>
    <w:rsid w:val="00DD03FD"/>
    <w:rsid w:val="00DD3AD5"/>
    <w:rsid w:val="00DD5243"/>
    <w:rsid w:val="00DD65D3"/>
    <w:rsid w:val="00DE0931"/>
    <w:rsid w:val="00DE1D3E"/>
    <w:rsid w:val="00DE28F9"/>
    <w:rsid w:val="00DE7038"/>
    <w:rsid w:val="00DE76C2"/>
    <w:rsid w:val="00DE78EB"/>
    <w:rsid w:val="00DF0745"/>
    <w:rsid w:val="00DF200A"/>
    <w:rsid w:val="00DF6560"/>
    <w:rsid w:val="00E01024"/>
    <w:rsid w:val="00E06550"/>
    <w:rsid w:val="00E106F1"/>
    <w:rsid w:val="00E10DFF"/>
    <w:rsid w:val="00E14128"/>
    <w:rsid w:val="00E17A0E"/>
    <w:rsid w:val="00E2199F"/>
    <w:rsid w:val="00E23E76"/>
    <w:rsid w:val="00E247AD"/>
    <w:rsid w:val="00E322DC"/>
    <w:rsid w:val="00E3262F"/>
    <w:rsid w:val="00E328E3"/>
    <w:rsid w:val="00E33EB9"/>
    <w:rsid w:val="00E37468"/>
    <w:rsid w:val="00E37A00"/>
    <w:rsid w:val="00E40041"/>
    <w:rsid w:val="00E40C12"/>
    <w:rsid w:val="00E43E2D"/>
    <w:rsid w:val="00E442F1"/>
    <w:rsid w:val="00E454C4"/>
    <w:rsid w:val="00E458C5"/>
    <w:rsid w:val="00E46130"/>
    <w:rsid w:val="00E51687"/>
    <w:rsid w:val="00E5174D"/>
    <w:rsid w:val="00E53C17"/>
    <w:rsid w:val="00E57C40"/>
    <w:rsid w:val="00E613EF"/>
    <w:rsid w:val="00E63D32"/>
    <w:rsid w:val="00E648EC"/>
    <w:rsid w:val="00E650BC"/>
    <w:rsid w:val="00E65C0F"/>
    <w:rsid w:val="00E678D1"/>
    <w:rsid w:val="00E704E1"/>
    <w:rsid w:val="00E72C2E"/>
    <w:rsid w:val="00E733DA"/>
    <w:rsid w:val="00E76013"/>
    <w:rsid w:val="00E827A2"/>
    <w:rsid w:val="00E82DC4"/>
    <w:rsid w:val="00E85830"/>
    <w:rsid w:val="00E86AF1"/>
    <w:rsid w:val="00E87950"/>
    <w:rsid w:val="00E9133C"/>
    <w:rsid w:val="00E91D68"/>
    <w:rsid w:val="00E927D5"/>
    <w:rsid w:val="00E95714"/>
    <w:rsid w:val="00E95FEA"/>
    <w:rsid w:val="00E96FC9"/>
    <w:rsid w:val="00E972E9"/>
    <w:rsid w:val="00E97F1D"/>
    <w:rsid w:val="00EA2111"/>
    <w:rsid w:val="00EA497A"/>
    <w:rsid w:val="00EA51F9"/>
    <w:rsid w:val="00EA727C"/>
    <w:rsid w:val="00EB0AF4"/>
    <w:rsid w:val="00EB0E49"/>
    <w:rsid w:val="00EB2196"/>
    <w:rsid w:val="00EB27D4"/>
    <w:rsid w:val="00EB40F1"/>
    <w:rsid w:val="00EB5393"/>
    <w:rsid w:val="00EC0B13"/>
    <w:rsid w:val="00EC1EB4"/>
    <w:rsid w:val="00EC2403"/>
    <w:rsid w:val="00EC6355"/>
    <w:rsid w:val="00EC66FD"/>
    <w:rsid w:val="00EC714A"/>
    <w:rsid w:val="00EC784A"/>
    <w:rsid w:val="00EC7950"/>
    <w:rsid w:val="00EC7AB1"/>
    <w:rsid w:val="00EC7D89"/>
    <w:rsid w:val="00ED0084"/>
    <w:rsid w:val="00ED468F"/>
    <w:rsid w:val="00ED4BAE"/>
    <w:rsid w:val="00ED4EAD"/>
    <w:rsid w:val="00ED6BF7"/>
    <w:rsid w:val="00ED7BD4"/>
    <w:rsid w:val="00ED7BDB"/>
    <w:rsid w:val="00EE0055"/>
    <w:rsid w:val="00EE3554"/>
    <w:rsid w:val="00EE5353"/>
    <w:rsid w:val="00EE68EB"/>
    <w:rsid w:val="00EE7AD8"/>
    <w:rsid w:val="00EF531F"/>
    <w:rsid w:val="00EF6391"/>
    <w:rsid w:val="00EF7147"/>
    <w:rsid w:val="00EF7C5C"/>
    <w:rsid w:val="00F00EB8"/>
    <w:rsid w:val="00F014CA"/>
    <w:rsid w:val="00F01581"/>
    <w:rsid w:val="00F02FD9"/>
    <w:rsid w:val="00F03C67"/>
    <w:rsid w:val="00F10BD5"/>
    <w:rsid w:val="00F17925"/>
    <w:rsid w:val="00F213B6"/>
    <w:rsid w:val="00F22C68"/>
    <w:rsid w:val="00F22F76"/>
    <w:rsid w:val="00F24B7B"/>
    <w:rsid w:val="00F24FDA"/>
    <w:rsid w:val="00F2608E"/>
    <w:rsid w:val="00F27E59"/>
    <w:rsid w:val="00F37FF8"/>
    <w:rsid w:val="00F40CD1"/>
    <w:rsid w:val="00F45D63"/>
    <w:rsid w:val="00F47D4D"/>
    <w:rsid w:val="00F504E3"/>
    <w:rsid w:val="00F51E5B"/>
    <w:rsid w:val="00F544F1"/>
    <w:rsid w:val="00F609BF"/>
    <w:rsid w:val="00F614C9"/>
    <w:rsid w:val="00F659D4"/>
    <w:rsid w:val="00F6613F"/>
    <w:rsid w:val="00F7080F"/>
    <w:rsid w:val="00F72FC4"/>
    <w:rsid w:val="00F75642"/>
    <w:rsid w:val="00F77660"/>
    <w:rsid w:val="00F7794D"/>
    <w:rsid w:val="00F8285C"/>
    <w:rsid w:val="00F836A0"/>
    <w:rsid w:val="00F83BBF"/>
    <w:rsid w:val="00F84F8A"/>
    <w:rsid w:val="00F85D03"/>
    <w:rsid w:val="00F872AA"/>
    <w:rsid w:val="00F90B79"/>
    <w:rsid w:val="00F9121A"/>
    <w:rsid w:val="00F91F42"/>
    <w:rsid w:val="00F92B3C"/>
    <w:rsid w:val="00F943D0"/>
    <w:rsid w:val="00F9459E"/>
    <w:rsid w:val="00F96BF4"/>
    <w:rsid w:val="00FA3ECA"/>
    <w:rsid w:val="00FA58C7"/>
    <w:rsid w:val="00FA5E11"/>
    <w:rsid w:val="00FA7454"/>
    <w:rsid w:val="00FB04B3"/>
    <w:rsid w:val="00FB124E"/>
    <w:rsid w:val="00FB1CCB"/>
    <w:rsid w:val="00FB5CC1"/>
    <w:rsid w:val="00FB65BD"/>
    <w:rsid w:val="00FC1BC3"/>
    <w:rsid w:val="00FC2D19"/>
    <w:rsid w:val="00FD204A"/>
    <w:rsid w:val="00FD3B01"/>
    <w:rsid w:val="00FD4F4D"/>
    <w:rsid w:val="00FD523D"/>
    <w:rsid w:val="00FD55A3"/>
    <w:rsid w:val="00FD6701"/>
    <w:rsid w:val="00FD6EF4"/>
    <w:rsid w:val="00FD7996"/>
    <w:rsid w:val="00FE165A"/>
    <w:rsid w:val="00FE28C0"/>
    <w:rsid w:val="00FE3B10"/>
    <w:rsid w:val="00FE4152"/>
    <w:rsid w:val="00FE46A8"/>
    <w:rsid w:val="00FE4975"/>
    <w:rsid w:val="00FE4EDA"/>
    <w:rsid w:val="00FE7AF5"/>
    <w:rsid w:val="00FF098B"/>
    <w:rsid w:val="00FF1A9D"/>
    <w:rsid w:val="00FF1AB1"/>
    <w:rsid w:val="00FF754C"/>
    <w:rsid w:val="00FF7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E327"/>
  <w15:chartTrackingRefBased/>
  <w15:docId w15:val="{4F85B4BC-9250-466B-8740-DF625725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A07"/>
  </w:style>
  <w:style w:type="paragraph" w:styleId="Heading1">
    <w:name w:val="heading 1"/>
    <w:basedOn w:val="Normal"/>
    <w:next w:val="Normal"/>
    <w:link w:val="Heading1Char"/>
    <w:uiPriority w:val="9"/>
    <w:qFormat/>
    <w:rsid w:val="00B77E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1D3"/>
    <w:pPr>
      <w:ind w:left="720"/>
      <w:contextualSpacing/>
    </w:pPr>
  </w:style>
  <w:style w:type="character" w:customStyle="1" w:styleId="apple-converted-space">
    <w:name w:val="apple-converted-space"/>
    <w:basedOn w:val="DefaultParagraphFont"/>
    <w:rsid w:val="004A11B3"/>
  </w:style>
  <w:style w:type="character" w:styleId="Emphasis">
    <w:name w:val="Emphasis"/>
    <w:basedOn w:val="DefaultParagraphFont"/>
    <w:uiPriority w:val="20"/>
    <w:qFormat/>
    <w:rsid w:val="004A11B3"/>
    <w:rPr>
      <w:i/>
      <w:iCs/>
    </w:rPr>
  </w:style>
  <w:style w:type="character" w:customStyle="1" w:styleId="citationurl-text">
    <w:name w:val="citation__url-text"/>
    <w:basedOn w:val="DefaultParagraphFont"/>
    <w:rsid w:val="004A11B3"/>
  </w:style>
  <w:style w:type="paragraph" w:styleId="Header">
    <w:name w:val="header"/>
    <w:basedOn w:val="Normal"/>
    <w:link w:val="HeaderChar"/>
    <w:uiPriority w:val="99"/>
    <w:unhideWhenUsed/>
    <w:rsid w:val="00703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01F"/>
  </w:style>
  <w:style w:type="paragraph" w:styleId="Footer">
    <w:name w:val="footer"/>
    <w:basedOn w:val="Normal"/>
    <w:link w:val="FooterChar"/>
    <w:uiPriority w:val="99"/>
    <w:unhideWhenUsed/>
    <w:rsid w:val="00703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01F"/>
  </w:style>
  <w:style w:type="character" w:customStyle="1" w:styleId="apple-style-span">
    <w:name w:val="apple-style-span"/>
    <w:basedOn w:val="DefaultParagraphFont"/>
    <w:rsid w:val="00EA51F9"/>
  </w:style>
  <w:style w:type="table" w:styleId="TableGrid">
    <w:name w:val="Table Grid"/>
    <w:basedOn w:val="TableNormal"/>
    <w:uiPriority w:val="39"/>
    <w:rsid w:val="00E72C2E"/>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3F81"/>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476"/>
    <w:rPr>
      <w:color w:val="0000FF"/>
      <w:u w:val="single"/>
    </w:rPr>
  </w:style>
  <w:style w:type="character" w:customStyle="1" w:styleId="nlmstring-name">
    <w:name w:val="nlm_string-name"/>
    <w:basedOn w:val="DefaultParagraphFont"/>
    <w:rsid w:val="00C17476"/>
  </w:style>
  <w:style w:type="paragraph" w:customStyle="1" w:styleId="Default">
    <w:name w:val="Default"/>
    <w:rsid w:val="00B35FC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6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510"/>
    <w:rPr>
      <w:rFonts w:ascii="Segoe UI" w:hAnsi="Segoe UI" w:cs="Segoe UI"/>
      <w:sz w:val="18"/>
      <w:szCs w:val="18"/>
    </w:rPr>
  </w:style>
  <w:style w:type="paragraph" w:styleId="PlainText">
    <w:name w:val="Plain Text"/>
    <w:basedOn w:val="Normal"/>
    <w:link w:val="PlainTextChar"/>
    <w:uiPriority w:val="99"/>
    <w:semiHidden/>
    <w:unhideWhenUsed/>
    <w:rsid w:val="007F5FD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5FD3"/>
    <w:rPr>
      <w:rFonts w:ascii="Calibri" w:hAnsi="Calibri"/>
      <w:szCs w:val="21"/>
    </w:rPr>
  </w:style>
  <w:style w:type="paragraph" w:styleId="FootnoteText">
    <w:name w:val="footnote text"/>
    <w:basedOn w:val="Normal"/>
    <w:link w:val="FootnoteTextChar"/>
    <w:uiPriority w:val="99"/>
    <w:semiHidden/>
    <w:rsid w:val="004E6A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E6A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52C76"/>
    <w:rPr>
      <w:sz w:val="16"/>
      <w:szCs w:val="16"/>
    </w:rPr>
  </w:style>
  <w:style w:type="paragraph" w:styleId="CommentText">
    <w:name w:val="annotation text"/>
    <w:basedOn w:val="Normal"/>
    <w:link w:val="CommentTextChar"/>
    <w:uiPriority w:val="99"/>
    <w:semiHidden/>
    <w:unhideWhenUsed/>
    <w:rsid w:val="00552C76"/>
    <w:pPr>
      <w:spacing w:line="240" w:lineRule="auto"/>
    </w:pPr>
    <w:rPr>
      <w:sz w:val="20"/>
      <w:szCs w:val="20"/>
    </w:rPr>
  </w:style>
  <w:style w:type="character" w:customStyle="1" w:styleId="CommentTextChar">
    <w:name w:val="Comment Text Char"/>
    <w:basedOn w:val="DefaultParagraphFont"/>
    <w:link w:val="CommentText"/>
    <w:uiPriority w:val="99"/>
    <w:semiHidden/>
    <w:rsid w:val="00552C76"/>
    <w:rPr>
      <w:sz w:val="20"/>
      <w:szCs w:val="20"/>
    </w:rPr>
  </w:style>
  <w:style w:type="paragraph" w:styleId="CommentSubject">
    <w:name w:val="annotation subject"/>
    <w:basedOn w:val="CommentText"/>
    <w:next w:val="CommentText"/>
    <w:link w:val="CommentSubjectChar"/>
    <w:uiPriority w:val="99"/>
    <w:semiHidden/>
    <w:unhideWhenUsed/>
    <w:rsid w:val="00552C76"/>
    <w:rPr>
      <w:b/>
      <w:bCs/>
    </w:rPr>
  </w:style>
  <w:style w:type="character" w:customStyle="1" w:styleId="CommentSubjectChar">
    <w:name w:val="Comment Subject Char"/>
    <w:basedOn w:val="CommentTextChar"/>
    <w:link w:val="CommentSubject"/>
    <w:uiPriority w:val="99"/>
    <w:semiHidden/>
    <w:rsid w:val="00552C76"/>
    <w:rPr>
      <w:b/>
      <w:bCs/>
      <w:sz w:val="20"/>
      <w:szCs w:val="20"/>
    </w:rPr>
  </w:style>
  <w:style w:type="table" w:customStyle="1" w:styleId="TableGrid2">
    <w:name w:val="Table Grid2"/>
    <w:basedOn w:val="TableNormal"/>
    <w:next w:val="TableGrid"/>
    <w:uiPriority w:val="39"/>
    <w:rsid w:val="0009428E"/>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7E1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A52225"/>
    <w:rPr>
      <w:color w:val="808080"/>
      <w:shd w:val="clear" w:color="auto" w:fill="E6E6E6"/>
    </w:rPr>
  </w:style>
  <w:style w:type="character" w:styleId="FollowedHyperlink">
    <w:name w:val="FollowedHyperlink"/>
    <w:basedOn w:val="DefaultParagraphFont"/>
    <w:uiPriority w:val="99"/>
    <w:semiHidden/>
    <w:unhideWhenUsed/>
    <w:rsid w:val="00A52225"/>
    <w:rPr>
      <w:color w:val="800080" w:themeColor="followedHyperlink"/>
      <w:u w:val="single"/>
    </w:rPr>
  </w:style>
  <w:style w:type="numbering" w:customStyle="1" w:styleId="NoList1">
    <w:name w:val="No List1"/>
    <w:next w:val="NoList"/>
    <w:uiPriority w:val="99"/>
    <w:semiHidden/>
    <w:unhideWhenUsed/>
    <w:rsid w:val="00917896"/>
  </w:style>
  <w:style w:type="table" w:customStyle="1" w:styleId="TableGrid3">
    <w:name w:val="Table Grid3"/>
    <w:basedOn w:val="TableNormal"/>
    <w:next w:val="TableGrid"/>
    <w:uiPriority w:val="39"/>
    <w:rsid w:val="00917896"/>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7896"/>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17896"/>
    <w:pPr>
      <w:spacing w:after="0" w:line="240" w:lineRule="auto"/>
      <w:jc w:val="both"/>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D4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e.org/uploaded/Convention/2017/HANDOUTS/A2_Personalizing_Learning_and_Promoting_Student_Engagment_through_Choice_Theor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6D5A-7F16-4970-998F-90F96F11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17800</Words>
  <Characters>101460</Characters>
  <Application>Microsoft Office Word</Application>
  <DocSecurity>4</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Tauringana V.</cp:lastModifiedBy>
  <cp:revision>2</cp:revision>
  <cp:lastPrinted>2018-11-12T16:15:00Z</cp:lastPrinted>
  <dcterms:created xsi:type="dcterms:W3CDTF">2019-10-21T07:26:00Z</dcterms:created>
  <dcterms:modified xsi:type="dcterms:W3CDTF">2019-10-21T07:26:00Z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http://www.zotero.org/styles/harvard-cite-them-right</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http://www.zotero.org/styles/harvard-bournemouth-university</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16th edition (author-date)</vt:lpwstr>
  </property>
  <property fmtid="{D5CDD505-2E9C-101B-9397-08002B2CF9AE}" pid="19" name="Mendeley Recent Style Name 5_1">
    <vt:lpwstr>Harvard - Bournemouth University</vt:lpwstr>
  </property>
  <property fmtid="{D5CDD505-2E9C-101B-9397-08002B2CF9AE}" pid="20" name="Mendeley Recent Style Name 6_1">
    <vt:lpwstr>Harvard - Cite Them Right 9th edition</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Vancouver</vt:lpwstr>
  </property>
  <property fmtid="{D5CDD505-2E9C-101B-9397-08002B2CF9AE}" pid="24" name="Mendeley Unique User Id_1">
    <vt:lpwstr>f4e57dde-2ac2-3d9a-8892-2ce5205a32e7</vt:lpwstr>
  </property>
</Properties>
</file>