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D745" w14:textId="770F6E9C" w:rsidR="00E303E8" w:rsidRPr="006C670D" w:rsidRDefault="00E303E8" w:rsidP="00E303E8">
      <w:pPr>
        <w:pStyle w:val="Title"/>
        <w:spacing w:line="360" w:lineRule="auto"/>
        <w:rPr>
          <w:rFonts w:ascii="Times New Roman" w:hAnsi="Times New Roman" w:cs="Times New Roman"/>
          <w:b/>
          <w:sz w:val="24"/>
          <w:szCs w:val="24"/>
          <w:lang w:val="en-US"/>
        </w:rPr>
      </w:pPr>
      <w:r w:rsidRPr="006C670D">
        <w:rPr>
          <w:rFonts w:ascii="Times New Roman" w:hAnsi="Times New Roman" w:cs="Times New Roman"/>
          <w:b/>
          <w:sz w:val="24"/>
          <w:szCs w:val="24"/>
          <w:lang w:val="en-US"/>
        </w:rPr>
        <w:t xml:space="preserve">Predictors and Correlates of Sexual Avoidance Among Partnered Older Adults </w:t>
      </w:r>
      <w:r w:rsidR="009E4A1F">
        <w:rPr>
          <w:rFonts w:ascii="Times New Roman" w:hAnsi="Times New Roman" w:cs="Times New Roman"/>
          <w:b/>
          <w:sz w:val="24"/>
          <w:szCs w:val="24"/>
          <w:lang w:val="en-US"/>
        </w:rPr>
        <w:t>among Norway, Denmark, Belgium, and Portugal</w:t>
      </w:r>
    </w:p>
    <w:p w14:paraId="062F28D8" w14:textId="77777777" w:rsidR="00E303E8" w:rsidRPr="006C670D" w:rsidRDefault="00E303E8" w:rsidP="00E303E8">
      <w:pPr>
        <w:spacing w:after="0"/>
        <w:rPr>
          <w:rFonts w:cs="Times New Roman"/>
          <w:szCs w:val="24"/>
          <w:lang w:val="en-GB"/>
        </w:rPr>
      </w:pPr>
    </w:p>
    <w:p w14:paraId="5A3E917A" w14:textId="77777777" w:rsidR="00E303E8" w:rsidRPr="006C670D" w:rsidRDefault="00E303E8" w:rsidP="00E303E8">
      <w:pPr>
        <w:spacing w:after="0"/>
        <w:rPr>
          <w:rFonts w:cs="Times New Roman"/>
          <w:szCs w:val="24"/>
          <w:lang w:val="en-GB"/>
        </w:rPr>
      </w:pPr>
    </w:p>
    <w:p w14:paraId="2D5FD934" w14:textId="77777777" w:rsidR="00E303E8" w:rsidRPr="006C670D" w:rsidRDefault="00E303E8" w:rsidP="00E303E8">
      <w:pPr>
        <w:spacing w:after="0"/>
        <w:rPr>
          <w:rFonts w:cs="Times New Roman"/>
          <w:b/>
          <w:szCs w:val="24"/>
          <w:lang w:val="en-GB"/>
        </w:rPr>
      </w:pPr>
      <w:r w:rsidRPr="006C670D">
        <w:rPr>
          <w:rFonts w:cs="Times New Roman"/>
          <w:b/>
          <w:szCs w:val="24"/>
          <w:lang w:val="en-GB"/>
        </w:rPr>
        <w:t>Abstract (150 a 250 words)</w:t>
      </w:r>
    </w:p>
    <w:p w14:paraId="511C583C" w14:textId="77777777" w:rsidR="00E303E8" w:rsidRPr="006C670D" w:rsidRDefault="00E303E8" w:rsidP="00E303E8">
      <w:pPr>
        <w:spacing w:after="0"/>
        <w:rPr>
          <w:rFonts w:cs="Times New Roman"/>
          <w:b/>
          <w:color w:val="1C1D1E"/>
          <w:szCs w:val="24"/>
          <w:lang w:val="en-GB"/>
        </w:rPr>
      </w:pPr>
    </w:p>
    <w:p w14:paraId="4771E66A" w14:textId="11234F2F" w:rsidR="00E303E8" w:rsidRPr="006C670D" w:rsidRDefault="00E303E8" w:rsidP="00E303E8">
      <w:pPr>
        <w:spacing w:after="0"/>
        <w:rPr>
          <w:rFonts w:cs="Times New Roman"/>
          <w:color w:val="1C1D1E"/>
          <w:szCs w:val="24"/>
          <w:lang w:val="en-GB"/>
        </w:rPr>
      </w:pPr>
      <w:r w:rsidRPr="006C670D">
        <w:rPr>
          <w:rFonts w:cs="Times New Roman"/>
          <w:szCs w:val="24"/>
          <w:lang w:val="en-GB"/>
        </w:rPr>
        <w:t xml:space="preserve">Research on sex in later life has been concerned with documenting that older people continue to have sex and establishing the links between good health and sexual activity. Although sexual avoidance is common in clinical and nonclinical populations of older adults, little attention has been given to the motives for sexual avoidance. To address gaps in the literature on sexual avoidance, the present study explored the self-reported reasons for, and correlates of, sexual avoidance in older partnered individuals with probability samples of 60–75-year-olds in four European countries (Norway, Denmark, Belgium, and Portugal). Results revealed </w:t>
      </w:r>
      <w:r w:rsidRPr="006C670D">
        <w:rPr>
          <w:rFonts w:eastAsiaTheme="minorHAnsi" w:cs="Times New Roman"/>
          <w:szCs w:val="24"/>
          <w:lang w:val="en-GB" w:eastAsia="en-US"/>
        </w:rPr>
        <w:t xml:space="preserve">significant differences between men and women in sexual avoidance, </w:t>
      </w:r>
      <w:r w:rsidRPr="006C670D">
        <w:rPr>
          <w:rFonts w:eastAsiaTheme="minorHAnsi" w:cs="Times New Roman"/>
          <w:color w:val="010205"/>
          <w:szCs w:val="24"/>
          <w:lang w:val="en-GB" w:eastAsia="en-US"/>
        </w:rPr>
        <w:t xml:space="preserve">with women reporting more avoidance than men. The main </w:t>
      </w:r>
      <w:r w:rsidRPr="006C670D">
        <w:rPr>
          <w:rFonts w:cs="Times New Roman"/>
          <w:szCs w:val="24"/>
          <w:lang w:val="en-GB"/>
        </w:rPr>
        <w:t xml:space="preserve">reasons reported for avoiding sex were sexual difficulties, health problems, partner’s sexual difficulties, and lack of sexual interest. </w:t>
      </w:r>
      <w:r w:rsidRPr="006C670D">
        <w:rPr>
          <w:rFonts w:cs="Times New Roman"/>
          <w:szCs w:val="24"/>
        </w:rPr>
        <w:t>Among men, significant predictors of sexual avoidance were age, relationship intimacy (the only relational predictor), physical health, and own and partner’s sexual problems. In women, significant predictors of sexual avoidance were age, relationship duration, relationship satisfaction, relationship intimacy, physical and mental health, and own and partner’s sexual problems</w:t>
      </w:r>
      <w:r w:rsidR="00FE73BE">
        <w:rPr>
          <w:rFonts w:cs="Times New Roman"/>
          <w:szCs w:val="24"/>
        </w:rPr>
        <w:t>.</w:t>
      </w:r>
      <w:r w:rsidRPr="006C670D">
        <w:rPr>
          <w:rFonts w:cs="Times New Roman"/>
          <w:szCs w:val="24"/>
        </w:rPr>
        <w:t xml:space="preserve"> Thus, in men, health-related factors were more important predictors of sexual avoidance than relationship factors. In women, relationship factors were as important as health-related factors. </w:t>
      </w:r>
      <w:r w:rsidRPr="006C670D">
        <w:rPr>
          <w:rFonts w:cs="Times New Roman"/>
          <w:color w:val="1C1D1E"/>
          <w:szCs w:val="24"/>
          <w:lang w:val="en-GB"/>
        </w:rPr>
        <w:t>These findings provide insight into an under-researched area. They also have important implications for healthcare and could inform the development of tailored sexual health interventions in older adults.</w:t>
      </w:r>
    </w:p>
    <w:p w14:paraId="77A14A92" w14:textId="77777777" w:rsidR="00E303E8" w:rsidRPr="006C670D" w:rsidRDefault="00E303E8" w:rsidP="00E303E8">
      <w:pPr>
        <w:spacing w:after="0"/>
        <w:rPr>
          <w:rFonts w:cs="Times New Roman"/>
          <w:b/>
          <w:color w:val="1C1D1E"/>
          <w:szCs w:val="24"/>
          <w:lang w:val="en-GB"/>
        </w:rPr>
      </w:pPr>
    </w:p>
    <w:p w14:paraId="01B6A99F" w14:textId="77777777" w:rsidR="00E303E8" w:rsidRPr="006C670D" w:rsidRDefault="00E303E8" w:rsidP="00E303E8">
      <w:pPr>
        <w:spacing w:after="0"/>
        <w:rPr>
          <w:rFonts w:cs="Times New Roman"/>
          <w:b/>
          <w:color w:val="1C1D1E"/>
          <w:szCs w:val="24"/>
          <w:lang w:val="en-GB"/>
        </w:rPr>
      </w:pPr>
    </w:p>
    <w:p w14:paraId="5795DF80" w14:textId="77777777" w:rsidR="00E303E8" w:rsidRPr="006C670D" w:rsidRDefault="00E303E8" w:rsidP="00E303E8">
      <w:pPr>
        <w:spacing w:after="0"/>
        <w:rPr>
          <w:rFonts w:cs="Times New Roman"/>
          <w:b/>
          <w:color w:val="1C1D1E"/>
          <w:szCs w:val="24"/>
          <w:lang w:val="en-GB"/>
        </w:rPr>
      </w:pPr>
      <w:r w:rsidRPr="006C670D">
        <w:rPr>
          <w:rFonts w:cs="Times New Roman"/>
          <w:b/>
          <w:color w:val="1C1D1E"/>
          <w:szCs w:val="24"/>
          <w:lang w:val="en-GB"/>
        </w:rPr>
        <w:t xml:space="preserve">Keywords: </w:t>
      </w:r>
      <w:r w:rsidRPr="006C670D">
        <w:rPr>
          <w:rFonts w:cs="Times New Roman"/>
          <w:color w:val="1C1D1E"/>
          <w:szCs w:val="24"/>
          <w:lang w:val="en-GB"/>
        </w:rPr>
        <w:t xml:space="preserve">Older adults; sexual avoidance; relationship intimacy; relationship satisfaction; sexual problems; </w:t>
      </w:r>
    </w:p>
    <w:p w14:paraId="2BAC07D2" w14:textId="77777777" w:rsidR="00E303E8" w:rsidRPr="006C670D" w:rsidRDefault="00E303E8" w:rsidP="00E303E8">
      <w:pPr>
        <w:spacing w:after="0"/>
        <w:rPr>
          <w:rFonts w:cs="Times New Roman"/>
          <w:b/>
          <w:color w:val="1C1D1E"/>
          <w:szCs w:val="24"/>
          <w:lang w:val="en-GB"/>
        </w:rPr>
      </w:pPr>
    </w:p>
    <w:p w14:paraId="01B4D75D" w14:textId="77777777" w:rsidR="00E303E8" w:rsidRPr="006C670D" w:rsidRDefault="00E303E8" w:rsidP="00E303E8">
      <w:pPr>
        <w:spacing w:after="0"/>
        <w:rPr>
          <w:rFonts w:cs="Times New Roman"/>
          <w:b/>
          <w:color w:val="1C1D1E"/>
          <w:szCs w:val="24"/>
          <w:lang w:val="en-GB"/>
        </w:rPr>
      </w:pPr>
    </w:p>
    <w:p w14:paraId="11B6B69F" w14:textId="77777777" w:rsidR="00E303E8" w:rsidRPr="006C670D" w:rsidRDefault="00E303E8" w:rsidP="00E303E8">
      <w:pPr>
        <w:spacing w:after="0"/>
        <w:rPr>
          <w:rFonts w:cs="Times New Roman"/>
          <w:b/>
          <w:color w:val="1C1D1E"/>
          <w:szCs w:val="24"/>
          <w:lang w:val="en-GB"/>
        </w:rPr>
      </w:pPr>
    </w:p>
    <w:p w14:paraId="2988AF35" w14:textId="77777777" w:rsidR="00E303E8" w:rsidRPr="006C670D" w:rsidRDefault="00E303E8" w:rsidP="00E303E8">
      <w:pPr>
        <w:spacing w:after="0"/>
        <w:rPr>
          <w:rFonts w:cs="Times New Roman"/>
          <w:b/>
          <w:color w:val="1C1D1E"/>
          <w:szCs w:val="24"/>
          <w:lang w:val="en-GB"/>
        </w:rPr>
      </w:pPr>
    </w:p>
    <w:p w14:paraId="7BB64CA2" w14:textId="77777777" w:rsidR="00E303E8" w:rsidRPr="006C670D" w:rsidRDefault="00E303E8" w:rsidP="00E303E8">
      <w:pPr>
        <w:spacing w:after="0"/>
        <w:rPr>
          <w:rFonts w:cs="Times New Roman"/>
          <w:b/>
          <w:color w:val="1C1D1E"/>
          <w:szCs w:val="24"/>
          <w:lang w:val="en-GB"/>
        </w:rPr>
      </w:pPr>
    </w:p>
    <w:p w14:paraId="1BA6CE87" w14:textId="77777777" w:rsidR="00E303E8" w:rsidRPr="006C670D" w:rsidRDefault="00E303E8" w:rsidP="00E303E8">
      <w:pPr>
        <w:spacing w:after="0"/>
        <w:rPr>
          <w:rFonts w:cs="Times New Roman"/>
          <w:b/>
          <w:color w:val="1C1D1E"/>
          <w:szCs w:val="24"/>
          <w:lang w:val="en-GB"/>
        </w:rPr>
      </w:pPr>
    </w:p>
    <w:p w14:paraId="694DC544" w14:textId="77777777" w:rsidR="00E303E8" w:rsidRPr="006C670D" w:rsidRDefault="00E303E8" w:rsidP="00E303E8">
      <w:pPr>
        <w:spacing w:after="0"/>
        <w:rPr>
          <w:rFonts w:cs="Times New Roman"/>
          <w:b/>
          <w:color w:val="1C1D1E"/>
          <w:szCs w:val="24"/>
          <w:lang w:val="en-GB"/>
        </w:rPr>
      </w:pPr>
      <w:r w:rsidRPr="006C670D">
        <w:rPr>
          <w:rFonts w:cs="Times New Roman"/>
          <w:b/>
          <w:color w:val="1C1D1E"/>
          <w:szCs w:val="24"/>
          <w:lang w:val="en-GB"/>
        </w:rPr>
        <w:t>Introduction</w:t>
      </w:r>
    </w:p>
    <w:p w14:paraId="6795B2B1" w14:textId="554C6F5E" w:rsidR="00E303E8" w:rsidRPr="006C670D" w:rsidRDefault="00E303E8" w:rsidP="00E303E8">
      <w:pPr>
        <w:spacing w:after="0"/>
        <w:ind w:firstLine="708"/>
        <w:rPr>
          <w:rFonts w:cs="Times New Roman"/>
          <w:szCs w:val="24"/>
          <w:lang w:val="en-GB"/>
        </w:rPr>
      </w:pPr>
      <w:r w:rsidRPr="006C670D">
        <w:rPr>
          <w:rFonts w:cs="Times New Roman"/>
          <w:szCs w:val="24"/>
          <w:lang w:val="en-GB"/>
        </w:rPr>
        <w:t xml:space="preserve">Few studies have investigated sexual avoidance. A recent nationally representative survey of British men and women aged 16 – 74 years </w:t>
      </w:r>
      <w:r w:rsidR="00494D50">
        <w:rPr>
          <w:rFonts w:cs="Times New Roman"/>
          <w:szCs w:val="24"/>
          <w:lang w:val="en-GB"/>
        </w:rPr>
        <w:fldChar w:fldCharType="begin" w:fldLock="1"/>
      </w:r>
      <w:r w:rsidR="00B60C82">
        <w:rPr>
          <w:rFonts w:cs="Times New Roman"/>
          <w:szCs w:val="24"/>
          <w:lang w:val="en-GB"/>
        </w:rPr>
        <w:instrText>ADDIN CSL_CITATION {"citationItems":[{"id":"ITEM-1","itemData":{"DOI":"10.1016/S0140-6736(13)62366-1","ISSN":"1474547X","abstract":"Background Despite its importance to sexual health and wellbeing, sexual function is given little attention in sexual health policy. Population-based studies are needed to understand sexual function across the life course. Methods We undertook a probability sample survey (the third National Survey of Sexual Attitudes and Lifestyles [Natsal-3]) of 15 162 individuals aged 16-74 years who lived in Britain (England, Scotland, and Wales). Interviews were done between Sept 6, 2010, and Aug 31, 2012. We assessed the distribution of sexual function by use of a novel validated measure (the Natsal-SF), which assessed problems with individual sexual response, sexual function in a relationship context, and self-appraisal of sex life (17 items; 16 items per gender). We assess factors associated with low sexual function (defi ned as the lowest quintile of distribution of Natsal-SF scores) and the distribution of components of the measure. Participants reporting one or more sexual partner in the past year were given a score on the Natsal-SF (11 690 participants). 4122 of these participants were not in a relationship for all of the past year and we employed the full information maximum likelihood method to handle missing data on four relationship items. Findings We obtained data for 4913 men and 6777 women for the Natsal-SF. For men and women, low sexual function was associated with increased age, and, after age-adjustment, with depression (adjusted odds ratio 3.70 [95% CI 2.90-4.72] for men and 4.11 [3.36-5.04] for women) and self-reported poor health status (2.63 [1.73-3.98] and 2.41 [1.72-3.39]). Low sexual function was also associated with experiencing the end of a relationship (1.52 [1.18-1.95] and 1.77 [1.44-2.17]), inability to talk easily about sex with a partner (2.36 [1.94-2.88] and 2.82 [2.28-3.48]), and not being happy in the relationship (2.89 [2.32-3.61] and 4.10 [3.39-4.97]). Associations were also noted with engaging in fewer than four sex acts in the past 4 weeks (3.13 [2.58-3.79] and 3.38 [2.80-4.09]), having had same sex partners (2.28 [1.56-3.35] and 1.60 [1.16-2.20]), paying for sex (in men only; 2.62 [1.46-4.71]), and higher numbers of lifetime sexual partners (in women only; 2.12 [1.68-2.67] for ten or more partners). Low sexual function was also associated with negative sexual health outcomes such as experience of non-volitional sex (1.98 [1.14-3.43] and 2.18 [1.79-2.66]) and STI diagnosis (1.50 [1.06-2.11] and 1.83 [1.35-2.47]). Among individua…","author":[{"dropping-particle":"","family":"Mitchell","given":"Kirstin R.","non-dropping-particle":"","parse-names":false,"suffix":""},{"dropping-particle":"","family":"Mercer","given":"Catherine H.","non-dropping-particle":"","parse-names":false,"suffix":""},{"dropping-particle":"","family":"Ploubidis","given":"George B.","non-dropping-particle":"","parse-names":false,"suffix":""},{"dropping-particle":"","family":"Jones","given":"Kyle G.","non-dropping-particle":"","parse-names":false,"suffix":""},{"dropping-particle":"","family":"Datta","given":"Jessica","non-dropping-particle":"","parse-names":false,"suffix":""},{"dropping-particle":"","family":"Field","given":"Nigel","non-dropping-particle":"","parse-names":false,"suffix":""},{"dropping-particle":"","family":"Copas","given":"Andrew J.","non-dropping-particle":"","parse-names":false,"suffix":""},{"dropping-particle":"","family":"Tanton","given":"Clare","non-dropping-particle":"","parse-names":false,"suffix":""},{"dropping-particle":"","family":"Erens","given":"Bob","non-dropping-particle":"","parse-names":false,"suffix":""},{"dropping-particle":"","family":"Sonnenberg","given":"Pam","non-dropping-particle":"","parse-names":false,"suffix":""},{"dropping-particle":"","family":"Clifton","given":"Soazig","non-dropping-particle":"","parse-names":false,"suffix":""},{"dropping-particle":"","family":"Macdowall","given":"Wendy","non-dropping-particle":"","parse-names":false,"suffix":""},{"dropping-particle":"","family":"Phelps","given":"Andrew","non-dropping-particle":"","parse-names":false,"suffix":""},{"dropping-particle":"","family":"Johnson","given":"Anne M.","non-dropping-particle":"","parse-names":false,"suffix":""},{"dropping-particle":"","family":"Wellings","given":"Kaye","non-dropping-particle":"","parse-names":false,"suffix":""}],"container-title":"The Lancet","id":"ITEM-1","issue":"9907","issued":{"date-parts":[["2013"]]},"page":"1817-1829","publisher":"Lancet Publishing Group","title":"Sexual function in Britain: Findings from the third National Survey of Sexual Attitudes and Lifestyles (Natsal-3)","type":"article-journal","volume":"382"},"uris":["http://www.mendeley.com/documents/?uuid=9ff182bb-60d4-3186-b680-81872aec0eec"]}],"mendeley":{"formattedCitation":"(Mitchell et al., 2013)","plainTextFormattedCitation":"(Mitchell et al., 2013)","previouslyFormattedCitation":"(Mitchell et al., 2013)"},"properties":{"noteIndex":0},"schema":"https://github.com/citation-style-language/schema/raw/master/csl-citation.json"}</w:instrText>
      </w:r>
      <w:r w:rsidR="00494D50">
        <w:rPr>
          <w:rFonts w:cs="Times New Roman"/>
          <w:szCs w:val="24"/>
          <w:lang w:val="en-GB"/>
        </w:rPr>
        <w:fldChar w:fldCharType="separate"/>
      </w:r>
      <w:r w:rsidR="00E32C91" w:rsidRPr="00E32C91">
        <w:rPr>
          <w:rFonts w:cs="Times New Roman"/>
          <w:noProof/>
          <w:szCs w:val="24"/>
          <w:lang w:val="en-GB"/>
        </w:rPr>
        <w:t>(Mitchell et al. 2013)</w:t>
      </w:r>
      <w:r w:rsidR="00494D50">
        <w:rPr>
          <w:rFonts w:cs="Times New Roman"/>
          <w:szCs w:val="24"/>
          <w:lang w:val="en-GB"/>
        </w:rPr>
        <w:fldChar w:fldCharType="end"/>
      </w:r>
      <w:r w:rsidRPr="006C670D">
        <w:rPr>
          <w:rFonts w:cs="Times New Roman"/>
          <w:szCs w:val="24"/>
          <w:lang w:val="en-GB"/>
        </w:rPr>
        <w:t xml:space="preserve"> reported that sexual avoidance is increasingly common with age, being highest among those 65-74 years. This survey only assessed avoidance “because of sexual diﬃculties, either my own or those of my partner” (Mitchell </w:t>
      </w:r>
      <w:r>
        <w:rPr>
          <w:rFonts w:cs="Times New Roman"/>
          <w:szCs w:val="24"/>
          <w:lang w:val="en-GB"/>
        </w:rPr>
        <w:t>et al.</w:t>
      </w:r>
      <w:r w:rsidRPr="006C670D">
        <w:rPr>
          <w:rFonts w:cs="Times New Roman"/>
          <w:szCs w:val="24"/>
          <w:lang w:val="en-GB"/>
        </w:rPr>
        <w:t xml:space="preserve"> 2013</w:t>
      </w:r>
      <w:r w:rsidR="00B60C82">
        <w:rPr>
          <w:rFonts w:cs="Times New Roman"/>
          <w:szCs w:val="24"/>
          <w:lang w:val="en-GB"/>
        </w:rPr>
        <w:t>: 1818</w:t>
      </w:r>
      <w:r w:rsidRPr="006C670D">
        <w:rPr>
          <w:rFonts w:cs="Times New Roman"/>
          <w:szCs w:val="24"/>
          <w:lang w:val="en-GB"/>
        </w:rPr>
        <w:t>). Though sexual avoidance is common in clinical and nonclinical populations of older adults, little attention has been given to the motives for sexual inactivity and avoidance. A possible reason for this is the positive framing of older people’s sexuality. The assessment of motives for sexual avoidance, particularly among older individuals, has been missing from the literature.</w:t>
      </w:r>
    </w:p>
    <w:p w14:paraId="74F52D34" w14:textId="4C7105F6" w:rsidR="00E303E8" w:rsidRPr="003F1E74" w:rsidRDefault="00E303E8" w:rsidP="00724DC1">
      <w:pPr>
        <w:spacing w:after="0"/>
        <w:ind w:firstLine="708"/>
        <w:rPr>
          <w:rFonts w:cs="Times New Roman"/>
          <w:szCs w:val="24"/>
          <w:lang w:val="en-GB"/>
        </w:rPr>
      </w:pPr>
      <w:r w:rsidRPr="006C670D">
        <w:rPr>
          <w:rFonts w:cs="Times New Roman"/>
          <w:szCs w:val="24"/>
          <w:lang w:val="en-GB"/>
        </w:rPr>
        <w:t xml:space="preserve">It is important to distinguish sexual avoidance from the more researched phenomenon of sexual inactivity. Sexual inactivity may reflect an individual’s wish to avoid sex but may also be due to other </w:t>
      </w:r>
      <w:r w:rsidRPr="003F1E74">
        <w:rPr>
          <w:rFonts w:cs="Times New Roman"/>
          <w:szCs w:val="24"/>
          <w:lang w:val="en-GB"/>
        </w:rPr>
        <w:t>factors. Sexual avoidance implies an active decision to refrain from sexual activity</w:t>
      </w:r>
      <w:r w:rsidR="00A02261" w:rsidRPr="003F1E74">
        <w:rPr>
          <w:rFonts w:cs="Times New Roman"/>
          <w:szCs w:val="24"/>
          <w:lang w:val="en-GB"/>
        </w:rPr>
        <w:t xml:space="preserve"> i.e.,</w:t>
      </w:r>
      <w:r w:rsidRPr="003F1E74">
        <w:rPr>
          <w:rFonts w:cs="Times New Roman"/>
          <w:szCs w:val="24"/>
          <w:lang w:val="en-GB"/>
        </w:rPr>
        <w:t xml:space="preserve"> a more active motivation to “keep away” from sexual activity. </w:t>
      </w:r>
      <w:r w:rsidR="00724DC1" w:rsidRPr="003F1E74">
        <w:rPr>
          <w:lang w:val="en-GB"/>
        </w:rPr>
        <w:t xml:space="preserve">Also, sexual avoidance is not synonymous with inactivity, as many who avoid having sex are in fact having sex (duty sex) just to satisfy the partner and keep the relationship intact. </w:t>
      </w:r>
      <w:r w:rsidRPr="003F1E74">
        <w:rPr>
          <w:rFonts w:cs="Times New Roman"/>
          <w:szCs w:val="24"/>
          <w:lang w:val="en-GB"/>
        </w:rPr>
        <w:t>There are no empirical data on what proportion of older</w:t>
      </w:r>
      <w:r w:rsidR="00196416" w:rsidRPr="003F1E74">
        <w:rPr>
          <w:rFonts w:cs="Times New Roman"/>
          <w:szCs w:val="24"/>
          <w:lang w:val="en-GB"/>
        </w:rPr>
        <w:t xml:space="preserve"> age</w:t>
      </w:r>
      <w:r w:rsidRPr="003F1E74">
        <w:rPr>
          <w:rFonts w:cs="Times New Roman"/>
          <w:szCs w:val="24"/>
          <w:lang w:val="en-GB"/>
        </w:rPr>
        <w:t xml:space="preserve"> adults who are sexually inactive are actively avoiding sex. </w:t>
      </w:r>
      <w:r w:rsidR="00D61036" w:rsidRPr="003F1E74">
        <w:rPr>
          <w:lang w:val="en-GB"/>
        </w:rPr>
        <w:t>While there is a literature on sexual inactivity, very few studies determined whether reported inactivity is due to active avoidance. Thus, we review the literature on sexual inactivity first</w:t>
      </w:r>
      <w:r w:rsidR="00724DC1" w:rsidRPr="003F1E74">
        <w:rPr>
          <w:lang w:val="en-GB"/>
        </w:rPr>
        <w:t>,</w:t>
      </w:r>
      <w:r w:rsidR="00D61036" w:rsidRPr="003F1E74">
        <w:rPr>
          <w:lang w:val="en-GB"/>
        </w:rPr>
        <w:t xml:space="preserve"> followed by review of the few studies on sexual avoidance.</w:t>
      </w:r>
      <w:r w:rsidR="00724DC1" w:rsidRPr="003F1E74">
        <w:rPr>
          <w:lang w:val="en-GB"/>
        </w:rPr>
        <w:t xml:space="preserve"> </w:t>
      </w:r>
    </w:p>
    <w:p w14:paraId="7CD41C39" w14:textId="691A9921" w:rsidR="00E303E8" w:rsidRPr="001C69B8" w:rsidRDefault="00E303E8" w:rsidP="001C69B8">
      <w:pPr>
        <w:spacing w:after="0"/>
        <w:ind w:firstLine="708"/>
        <w:rPr>
          <w:rFonts w:cs="Times New Roman"/>
          <w:szCs w:val="24"/>
          <w:lang w:val="en-US"/>
        </w:rPr>
      </w:pPr>
      <w:r w:rsidRPr="003F1E74">
        <w:rPr>
          <w:rFonts w:cs="Times New Roman"/>
          <w:szCs w:val="24"/>
          <w:lang w:val="en-GB"/>
        </w:rPr>
        <w:t>Sexual inactivity is more</w:t>
      </w:r>
      <w:r w:rsidRPr="006C670D">
        <w:rPr>
          <w:rFonts w:cs="Times New Roman"/>
          <w:szCs w:val="24"/>
          <w:lang w:val="en-GB"/>
        </w:rPr>
        <w:t xml:space="preserve"> common with age </w:t>
      </w:r>
      <w:r w:rsidR="00B60C82">
        <w:rPr>
          <w:rFonts w:cs="Times New Roman"/>
          <w:szCs w:val="24"/>
          <w:lang w:val="en-GB"/>
        </w:rPr>
        <w:fldChar w:fldCharType="begin" w:fldLock="1"/>
      </w:r>
      <w:r w:rsidR="005A58C0">
        <w:rPr>
          <w:rFonts w:cs="Times New Roman"/>
          <w:szCs w:val="24"/>
          <w:lang w:val="en-GB"/>
        </w:rPr>
        <w:instrText>ADDIN CSL_CITATION {"citationItems":[{"id":"ITEM-1","itemData":{"DOI":"10.1056/NEJMoa067423","ISSN":"15334406","abstract":"BACKGROUND Despite the aging of the population, little is known about the sexual behaviors and sexual function of older people. METHODS We report the prevalence of sexual activity, behaviors, and problems in a national probability sample of 3005 U.S. adults (1550 women and 1455 men) 57 to 85 years of age, and we describe the association of these variables with age and health status. RESULTS The unweighted survey response rate for this probability sample was 74.8%, and the weighted response rate was 75.5%. The prevalence of sexual activity declined with age (73% among respondents who were 57 to 64 years of age, 53% among respondents who were 65 to 74 years of age, and 26% among respondents who were 75 to 85 years of age); women were significantly less likely than men at all ages to report sexual activity. Among respondents who were sexually active, about half of both men and women reported at least one bothersome sexual problem. The most prevalent sexual problems among women were low desire (43%), difficulty with vaginal lubrication (39%), and inability to climax (34%). Among men, the most prevalent sexual problems were erectile difficulties (37%). Fourteen percent of all men reported using medication or supplements to improve sexual function. Men and women who rated their health as being poor were less likely to be sexually active and, among respondents who were sexually active, were more likely to report sexual problems. A total of 38% of men and 22% of women reported having discussed sex with a physician since the age of 50 years. CONCLUSIONS Many older adults are sexually active. Women are less likely than men to have a spousal or other intimate relationship and to be sexually active. Sexual problems are frequent among older adults, but these problems are infrequently discussed with physicians..","author":[{"dropping-particle":"","family":"Lindau","given":"Stacy Tessler","non-dropping-particle":"","parse-names":false,"suffix":""},{"dropping-particle":"","family":"Schumm","given":"L. Philip","non-dropping-particle":"","parse-names":false,"suffix":""},{"dropping-particle":"","family":"Laumann","given":"Edward O.","non-dropping-particle":"","parse-names":false,"suffix":""},{"dropping-particle":"","family":"Levinson","given":"Wendy","non-dropping-particle":"","parse-names":false,"suffix":""},{"dropping-particle":"","family":"O'Muircheartaigh","given":"Colm A.","non-dropping-particle":"","parse-names":false,"suffix":""},{"dropping-particle":"","family":"Waite","given":"Linda J.","non-dropping-particle":"","parse-names":false,"suffix":""}],"container-title":"New England Journal of Medicine","id":"ITEM-1","issue":"8","issued":{"date-parts":[["2007","8","23"]]},"page":"762-774","publisher":"Massachussetts Medical Society","title":"A study of sexuality and health among older adults in the United States","type":"article-journal","volume":"357"},"uris":["http://www.mendeley.com/documents/?uuid=a78deba8-044b-3c24-8326-19f2bfef63d0"]}],"mendeley":{"formattedCitation":"(Lindau et al., 2007)","manualFormatting":"(Lindau et al. 2007)","plainTextFormattedCitation":"(Lindau et al., 2007)","previouslyFormattedCitation":"(Lindau et al., 2007)"},"properties":{"noteIndex":0},"schema":"https://github.com/citation-style-language/schema/raw/master/csl-citation.json"}</w:instrText>
      </w:r>
      <w:r w:rsidR="00B60C82">
        <w:rPr>
          <w:rFonts w:cs="Times New Roman"/>
          <w:szCs w:val="24"/>
          <w:lang w:val="en-GB"/>
        </w:rPr>
        <w:fldChar w:fldCharType="separate"/>
      </w:r>
      <w:r w:rsidR="005A58C0">
        <w:rPr>
          <w:rFonts w:cs="Times New Roman"/>
          <w:noProof/>
          <w:szCs w:val="24"/>
          <w:lang w:val="en-GB"/>
        </w:rPr>
        <w:t>(Lindau et al.</w:t>
      </w:r>
      <w:r w:rsidR="00B60C82" w:rsidRPr="00B60C82">
        <w:rPr>
          <w:rFonts w:cs="Times New Roman"/>
          <w:noProof/>
          <w:szCs w:val="24"/>
          <w:lang w:val="en-GB"/>
        </w:rPr>
        <w:t xml:space="preserve"> 2007)</w:t>
      </w:r>
      <w:r w:rsidR="00B60C82">
        <w:rPr>
          <w:rFonts w:cs="Times New Roman"/>
          <w:szCs w:val="24"/>
          <w:lang w:val="en-GB"/>
        </w:rPr>
        <w:fldChar w:fldCharType="end"/>
      </w:r>
      <w:r w:rsidRPr="006C670D">
        <w:rPr>
          <w:rFonts w:cs="Times New Roman"/>
          <w:szCs w:val="24"/>
          <w:lang w:val="en-GB"/>
        </w:rPr>
        <w:t xml:space="preserve"> and several studies have explored reasons for sexual inactivity. Some of these variables may also be predictive of sexual avoidance. </w:t>
      </w:r>
      <w:r w:rsidRPr="006C670D">
        <w:rPr>
          <w:rFonts w:cs="Times New Roman"/>
          <w:szCs w:val="24"/>
          <w:lang w:val="en-US"/>
        </w:rPr>
        <w:t>Among the reasons for sexual inactivity, aging women often report partner-related factors, particularly the lack of a partner</w:t>
      </w:r>
      <w:r w:rsidR="001C69B8">
        <w:rPr>
          <w:rFonts w:cs="Times New Roman"/>
          <w:szCs w:val="24"/>
          <w:lang w:val="en-US"/>
        </w:rPr>
        <w:t xml:space="preserve"> </w:t>
      </w:r>
      <w:r w:rsidR="001C69B8">
        <w:rPr>
          <w:rFonts w:cs="Times New Roman"/>
          <w:szCs w:val="24"/>
          <w:lang w:val="en-US"/>
        </w:rPr>
        <w:fldChar w:fldCharType="begin" w:fldLock="1"/>
      </w:r>
      <w:r w:rsidR="005A58C0">
        <w:rPr>
          <w:rFonts w:cs="Times New Roman"/>
          <w:szCs w:val="24"/>
          <w:lang w:val="en-US"/>
        </w:rPr>
        <w:instrText>ADDIN CSL_CITATION {"citationItems":[{"id":"ITEM-1","itemData":{"DOI":"10.1136/bmj.a279","ISSN":"09598146","abstract":"Objective: To study secular trends in self reported sexual behaviour among 70 year olds. Design: Cross sectional survey. Settings: Four samples representative of the general population in Gothenburg, Sweden. Participants: 1506 adults (946 women, 560 men) examined in 1971-2, 1976-7, 1992-3, and 2000-1. Main outcome measures: Sexual intercourse, attitudes to sexuality in later life, sexual dysfunctions, and marital satisfaction. Results: From 1971 to 2000 the proportion of 70 year olds reporting sexual intercourse increased among all groups: married men from 52% to 68% (P=0.002), married women from 38% to 56% (P=0.001), unmarried men from 30% to 54% (P=0.016), and unmarried women from 0.8% to 12% (P&lt;0.001). Men and women from later birth cohorts reported higher satisfaction with sexuality, fewer sexual dysfunctions, and more positive attitudes to sexuality in later life than those from earlier birth cohorts. A larger proportion of men (57% v 40%, P&lt;0.001) and women (52% v 35%, P&lt;0.001) reported very happy relationships in 2000-1 compared with those in 1971-2. Sexual debut before age 20 increased in both sexes: in men from 52% to 77% (P&lt;0.001) and in women from 19% to 64% (P&lt;0.001). Conclusion: Self reported quantity and quality of sexual experiences among Swedish 70 year olds has improved over a 30 year period.","author":[{"dropping-particle":"","family":"Beckman","given":"Nils","non-dropping-particle":"","parse-names":false,"suffix":""},{"dropping-particle":"","family":"Waern","given":"Margda","non-dropping-particle":"","parse-names":false,"suffix":""},{"dropping-particle":"","family":"Gustafson","given":"Deborah","non-dropping-particle":"","parse-names":false,"suffix":""},{"dropping-particle":"","family":"Skoog","given":"Ingmar","non-dropping-particle":"","parse-names":false,"suffix":""}],"container-title":"BMJ","id":"ITEM-1","issue":"7662","issued":{"date-parts":[["2008","7","19"]]},"page":"151-154","title":"Secular trends in self reported sexual activity and satisfaction in Swedish 70 year olds: Cross sectional survey of four populations, 1971-2001","type":"article-journal","volume":"337"},"uris":["http://www.mendeley.com/documents/?uuid=0909bfd6-4576-3b2f-87f5-b139911073dd"]},{"id":"ITEM-2","itemData":{"DOI":"10.1056/NEJMoa067423","ISSN":"15334406","abstract":"BACKGROUND Despite the aging of the population, little is known about the sexual behaviors and sexual function of older people. METHODS We report the prevalence of sexual activity, behaviors, and problems in a national probability sample of 3005 U.S. adults (1550 women and 1455 men) 57 to 85 years of age, and we describe the association of these variables with age and health status. RESULTS The unweighted survey response rate for this probability sample was 74.8%, and the weighted response rate was 75.5%. The prevalence of sexual activity declined with age (73% among respondents who were 57 to 64 years of age, 53% among respondents who were 65 to 74 years of age, and 26% among respondents who were 75 to 85 years of age); women were significantly less likely than men at all ages to report sexual activity. Among respondents who were sexually active, about half of both men and women reported at least one bothersome sexual problem. The most prevalent sexual problems among women were low desire (43%), difficulty with vaginal lubrication (39%), and inability to climax (34%). Among men, the most prevalent sexual problems were erectile difficulties (37%). Fourteen percent of all men reported using medication or supplements to improve sexual function. Men and women who rated their health as being poor were less likely to be sexually active and, among respondents who were sexually active, were more likely to report sexual problems. A total of 38% of men and 22% of women reported having discussed sex with a physician since the age of 50 years. CONCLUSIONS Many older adults are sexually active. Women are less likely than men to have a spousal or other intimate relationship and to be sexually active. Sexual problems are frequent among older adults, but these problems are infrequently discussed with physicians..","author":[{"dropping-particle":"","family":"Lindau","given":"Stacy Tessler","non-dropping-particle":"","parse-names":false,"suffix":""},{"dropping-particle":"","family":"Schumm","given":"L. Philip","non-dropping-particle":"","parse-names":false,"suffix":""},{"dropping-particle":"","family":"Laumann","given":"Edward O.","non-dropping-particle":"","parse-names":false,"suffix":""},{"dropping-particle":"","family":"Levinson","given":"Wendy","non-dropping-particle":"","parse-names":false,"suffix":""},{"dropping-particle":"","family":"O'Muircheartaigh","given":"Colm A.","non-dropping-particle":"","parse-names":false,"suffix":""},{"dropping-particle":"","family":"Waite","given":"Linda J.","non-dropping-particle":"","parse-names":false,"suffix":""}],"container-title":"New England Journal of Medicine","id":"ITEM-2","issue":"8","issued":{"date-parts":[["2007","8","23"]]},"page":"762-774","publisher":"Massachussetts Medical Society","title":"A study of sexuality and health among older adults in the United States","type":"article-journal","volume":"357"},"uris":["http://www.mendeley.com/documents/?uuid=a78deba8-044b-3c24-8326-19f2bfef63d0"]},{"id":"ITEM-3","itemData":{"DOI":"10.1111/j.1743-6109.2010.02013.x","ISSN":"1743-6109","PMID":"21029388","abstract":"INTRODUCTION In the contemporary U.S., men and women are living longer and healthier lives. As such, many people spend greater portions of their lives as sexually active individuals. Yet, little is known about the myriad of ways that older adults experience their sexual lives. AIM This study sought to assess the context and frequency of sexual behaviors, condom use, sexual pleasure, and sexual experience of men and women over age 50. METHODS Information regarding the sexual experiences of a nationally representative sample of men and women over age 50 within the past year was examined. MAIN OUTCOME MEASURES Sexual behavior over the past year was assessed in relation to several situational and contextual characteristics (e.g., event location, type of partner, health status, condom use). Participants were also asked about their experience (i.e., pleasure, arousal, pain, lubrication/erectile difficulties, and orgasm) during their most recent partnered sexual event. Bivariate or ordinal logistic regression models were used to investigate the relationship of age, health and partner status to sexual frequency and experience. RESULTS Although sizable proportions (20-30%) of both men and women remained sexually active well into their 80s age was related to a lower likelihood of solo and most partnered sexual behaviors. When controlling for age, relationship status, and health remained significant predictors of select sexual behaviors. The participant's evaluation of their most recent sexual experience in terms of arousal, erectile difficulty, and orgasm all declined with age. Health status was related to men's evaluation of the experience. Relationship status was the most consistent predictor of women's evaluation of the experience. Condom use rates remained low for participants across age groups. CONCLUSION Many older adults continue be sexually active well into advanced age (80+). Thus, providers need to be attentive to the diverse sexual health needs of older adults.","author":[{"dropping-particle":"","family":"Schick","given":"Vanessa","non-dropping-particle":"","parse-names":false,"suffix":""},{"dropping-particle":"","family":"Herbenick","given":"Debby","non-dropping-particle":"","parse-names":false,"suffix":""},{"dropping-particle":"","family":"Reece","given":"Michael","non-dropping-particle":"","parse-names":false,"suffix":""},{"dropping-particle":"","family":"Sanders","given":"Stephanie A","non-dropping-particle":"","parse-names":false,"suffix":""},{"dropping-particle":"","family":"Dodge","given":"Brian","non-dropping-particle":"","parse-names":false,"suffix":""},{"dropping-particle":"","family":"Middlestadt","given":"Susan E","non-dropping-particle":"","parse-names":false,"suffix":""},{"dropping-particle":"","family":"Fortenberry","given":"J Dennis","non-dropping-particle":"","parse-names":false,"suffix":""}],"container-title":"The journal of sexual medicine","id":"ITEM-3","issued":{"date-parts":[["2010","10"]]},"page":"315-29","title":"Sexual behaviors, condom use, and sexual health of Americans over 50: implications for sexual health promotion for older adults.","type":"article-journal","volume":"7 Suppl 5"},"uris":["http://www.mendeley.com/documents/?uuid=e2bbf686-ee0c-31ca-8ed6-8cac85aef48c"]}],"mendeley":{"formattedCitation":"(Beckman, Waern, Gustafson, &amp; Skoog, 2008; Lindau et al., 2007; Schick et al., 2010)","manualFormatting":"(Beckman, Waern, Gustafson, and Skoog, 2008; Lindau et al., 2007; Schick et al., 2010)","plainTextFormattedCitation":"(Beckman, Waern, Gustafson, &amp; Skoog, 2008; Lindau et al., 2007; Schick et al., 2010)"},"properties":{"noteIndex":0},"schema":"https://github.com/citation-style-language/schema/raw/master/csl-citation.json"}</w:instrText>
      </w:r>
      <w:r w:rsidR="001C69B8">
        <w:rPr>
          <w:rFonts w:cs="Times New Roman"/>
          <w:szCs w:val="24"/>
          <w:lang w:val="en-US"/>
        </w:rPr>
        <w:fldChar w:fldCharType="separate"/>
      </w:r>
      <w:r w:rsidR="001C69B8" w:rsidRPr="001C69B8">
        <w:rPr>
          <w:rFonts w:cs="Times New Roman"/>
          <w:noProof/>
          <w:szCs w:val="24"/>
          <w:lang w:val="en-US"/>
        </w:rPr>
        <w:t xml:space="preserve">(Beckman, Waern, Gustafson, </w:t>
      </w:r>
      <w:r w:rsidR="005A58C0">
        <w:rPr>
          <w:rFonts w:cs="Times New Roman"/>
          <w:noProof/>
          <w:szCs w:val="24"/>
          <w:lang w:val="en-US"/>
        </w:rPr>
        <w:t>and Skoog, 2008; Lindau et al. 2007; Schick et al.</w:t>
      </w:r>
      <w:r w:rsidR="001C69B8" w:rsidRPr="001C69B8">
        <w:rPr>
          <w:rFonts w:cs="Times New Roman"/>
          <w:noProof/>
          <w:szCs w:val="24"/>
          <w:lang w:val="en-US"/>
        </w:rPr>
        <w:t xml:space="preserve"> 2010)</w:t>
      </w:r>
      <w:r w:rsidR="001C69B8">
        <w:rPr>
          <w:rFonts w:cs="Times New Roman"/>
          <w:szCs w:val="24"/>
          <w:lang w:val="en-US"/>
        </w:rPr>
        <w:fldChar w:fldCharType="end"/>
      </w:r>
      <w:r w:rsidRPr="006C670D">
        <w:rPr>
          <w:rFonts w:cs="Times New Roman"/>
          <w:szCs w:val="24"/>
          <w:lang w:val="en-US"/>
        </w:rPr>
        <w:t xml:space="preserve"> while men tend </w:t>
      </w:r>
      <w:r w:rsidRPr="005A58C0">
        <w:rPr>
          <w:rFonts w:cs="Times New Roman"/>
          <w:szCs w:val="24"/>
          <w:lang w:val="en-US"/>
        </w:rPr>
        <w:t>to attribute their inactivity to personal, health-related reasons</w:t>
      </w:r>
      <w:r w:rsidR="001C69B8" w:rsidRPr="005A58C0">
        <w:rPr>
          <w:rFonts w:cs="Times New Roman"/>
          <w:szCs w:val="24"/>
          <w:lang w:val="en-US"/>
        </w:rPr>
        <w:t xml:space="preserve"> </w:t>
      </w:r>
      <w:r w:rsidR="001C69B8" w:rsidRPr="005A58C0">
        <w:rPr>
          <w:rFonts w:cs="Times New Roman"/>
          <w:szCs w:val="24"/>
          <w:lang w:val="en-US"/>
        </w:rPr>
        <w:fldChar w:fldCharType="begin" w:fldLock="1"/>
      </w:r>
      <w:r w:rsidR="001C69B8" w:rsidRPr="005A58C0">
        <w:rPr>
          <w:rFonts w:cs="Times New Roman"/>
          <w:szCs w:val="24"/>
          <w:lang w:val="en-US"/>
        </w:rPr>
        <w:instrText>ADDIN CSL_CITATION {"citationItems":[{"id":"ITEM-1","itemData":{"DOI":"10.1136/bmj.a279","ISSN":"09598146","abstract":"Objective: To study secular trends in self reported sexual behaviour among 70 year olds. Design: Cross sectional survey. Settings: Four samples representative of the general population in Gothenburg, Sweden. Participants: 1506 adults (946 women, 560 men) examined in 1971-2, 1976-7, 1992-3, and 2000-1. Main outcome measures: Sexual intercourse, attitudes to sexuality in later life, sexual dysfunctions, and marital satisfaction. Results: From 1971 to 2000 the proportion of 70 year olds reporting sexual intercourse increased among all groups: married men from 52% to 68% (P=0.002), married women from 38% to 56% (P=0.001), unmarried men from 30% to 54% (P=0.016), and unmarried women from 0.8% to 12% (P&lt;0.001). Men and women from later birth cohorts reported higher satisfaction with sexuality, fewer sexual dysfunctions, and more positive attitudes to sexuality in later life than those from earlier birth cohorts. A larger proportion of men (57% v 40%, P&lt;0.001) and women (52% v 35%, P&lt;0.001) reported very happy relationships in 2000-1 compared with those in 1971-2. Sexual debut before age 20 increased in both sexes: in men from 52% to 77% (P&lt;0.001) and in women from 19% to 64% (P&lt;0.001). Conclusion: Self reported quantity and quality of sexual experiences among Swedish 70 year olds has improved over a 30 year period.","author":[{"dropping-particle":"","family":"Beckman","given":"Nils","non-dropping-particle":"","parse-names":false,"suffix":""},{"dropping-particle":"","family":"Waern","given":"Margda","non-dropping-particle":"","parse-names":false,"suffix":""},{"dropping-particle":"","family":"Gustafson","given":"Deborah","non-dropping-particle":"","parse-names":false,"suffix":""},{"dropping-particle":"","family":"Skoog","given":"Ingmar","non-dropping-particle":"","parse-names":false,"suffix":""}],"container-title":"BMJ","id":"ITEM-1","issue":"7662","issued":{"date-parts":[["2008","7","19"]]},"page":"151-154","title":"Secular trends in self reported sexual activity and satisfaction in Swedish 70 year olds: Cross sectional survey of four populations, 1971-2001","type":"article-journal","volume":"337"},"uris":["http://www.mendeley.com/documents/?uuid=0909bfd6-4576-3b2f-87f5-b139911073dd"]}],"mendeley":{"formattedCitation":"(Beckman et al., 2008)","plainTextFormattedCitation":"(Beckman et al., 2008)","previouslyFormattedCitation":"(Beckman, Waern, Gustafson, &amp; Skoog, 2008)"},"properties":{"noteIndex":0},"schema":"https://github.com/citation-style-language/schema/raw/master/csl-citation.json"}</w:instrText>
      </w:r>
      <w:r w:rsidR="001C69B8" w:rsidRPr="005A58C0">
        <w:rPr>
          <w:rFonts w:cs="Times New Roman"/>
          <w:szCs w:val="24"/>
          <w:lang w:val="en-US"/>
        </w:rPr>
        <w:fldChar w:fldCharType="separate"/>
      </w:r>
      <w:r w:rsidR="005A58C0" w:rsidRPr="005A58C0">
        <w:rPr>
          <w:rFonts w:cs="Times New Roman"/>
          <w:noProof/>
          <w:szCs w:val="24"/>
          <w:lang w:val="en-US"/>
        </w:rPr>
        <w:t>(Beckman et al.</w:t>
      </w:r>
      <w:r w:rsidR="001C69B8" w:rsidRPr="005A58C0">
        <w:rPr>
          <w:rFonts w:cs="Times New Roman"/>
          <w:noProof/>
          <w:szCs w:val="24"/>
          <w:lang w:val="en-US"/>
        </w:rPr>
        <w:t xml:space="preserve"> 2008</w:t>
      </w:r>
      <w:r w:rsidR="005A58C0" w:rsidRPr="005A58C0">
        <w:rPr>
          <w:rFonts w:cs="Times New Roman"/>
          <w:noProof/>
          <w:szCs w:val="24"/>
          <w:lang w:val="en-US"/>
        </w:rPr>
        <w:t xml:space="preserve">; </w:t>
      </w:r>
      <w:r w:rsidR="001C69B8" w:rsidRPr="005A58C0">
        <w:rPr>
          <w:rFonts w:cs="Times New Roman"/>
          <w:szCs w:val="24"/>
          <w:lang w:val="en-US"/>
        </w:rPr>
        <w:fldChar w:fldCharType="end"/>
      </w:r>
      <w:r w:rsidR="001C69B8" w:rsidRPr="005A58C0">
        <w:rPr>
          <w:rFonts w:cs="Times New Roman"/>
          <w:szCs w:val="24"/>
          <w:lang w:val="en-US"/>
        </w:rPr>
        <w:fldChar w:fldCharType="begin" w:fldLock="1"/>
      </w:r>
      <w:r w:rsidR="005A58C0" w:rsidRPr="005A58C0">
        <w:rPr>
          <w:rFonts w:cs="Times New Roman"/>
          <w:szCs w:val="24"/>
          <w:lang w:val="en-US"/>
        </w:rPr>
        <w:instrText>ADDIN CSL_CITATION {"citationItems":[{"id":"ITEM-1","itemData":{"DOI":"10.1111/j.1743-6109.2010.02013.x","ISSN":"1743-6109","PMID":"21029388","abstract":"INTRODUCTION In the contemporary U.S., men and women are living longer and healthier lives. As such, many people spend greater portions of their lives as sexually active individuals. Yet, little is known about the myriad of ways that older adults experience their sexual lives. AIM This study sought to assess the context and frequency of sexual behaviors, condom use, sexual pleasure, and sexual experience of men and women over age 50. METHODS Information regarding the sexual experiences of a nationally representative sample of men and women over age 50 within the past year was examined. MAIN OUTCOME MEASURES Sexual behavior over the past year was assessed in relation to several situational and contextual characteristics (e.g., event location, type of partner, health status, condom use). Participants were also asked about their experience (i.e., pleasure, arousal, pain, lubrication/erectile difficulties, and orgasm) during their most recent partnered sexual event. Bivariate or ordinal logistic regression models were used to investigate the relationship of age, health and partner status to sexual frequency and experience. RESULTS Although sizable proportions (20-30%) of both men and women remained sexually active well into their 80s age was related to a lower likelihood of solo and most partnered sexual behaviors. When controlling for age, relationship status, and health remained significant predictors of select sexual behaviors. The participant's evaluation of their most recent sexual experience in terms of arousal, erectile difficulty, and orgasm all declined with age. Health status was related to men's evaluation of the experience. Relationship status was the most consistent predictor of women's evaluation of the experience. Condom use rates remained low for participants across age groups. CONCLUSION Many older adults continue be sexually active well into advanced age (80+). Thus, providers need to be attentive to the diverse sexual health needs of older adults.","author":[{"dropping-particle":"","family":"Schick","given":"Vanessa","non-dropping-particle":"","parse-names":false,"suffix":""},{"dropping-particle":"","family":"Herbenick","given":"Debby","non-dropping-particle":"","parse-names":false,"suffix":""},{"dropping-particle":"","family":"Reece","given":"Michael","non-dropping-particle":"","parse-names":false,"suffix":""},{"dropping-particle":"","family":"Sanders","given":"Stephanie A","non-dropping-particle":"","parse-names":false,"suffix":""},{"dropping-particle":"","family":"Dodge","given":"Brian","non-dropping-particle":"","parse-names":false,"suffix":""},{"dropping-particle":"","family":"Middlestadt","given":"Susan E","non-dropping-particle":"","parse-names":false,"suffix":""},{"dropping-particle":"","family":"Fortenberry","given":"J Dennis","non-dropping-particle":"","parse-names":false,"suffix":""}],"container-title":"The journal of sexual medicine","id":"ITEM-1","issued":{"date-parts":[["2010","10"]]},"page":"315-29","title":"Sexual behaviors, condom use, and sexual health of Americans over 50: implications for sexual health promotion for older adults.","type":"article-journal","volume":"7 Suppl 5"},"uris":["http://www.mendeley.com/documents/?uuid=e2bbf686-ee0c-31ca-8ed6-8cac85aef48c"]}],"mendeley":{"formattedCitation":"(Schick et al., 2010)","manualFormatting":"Schick et al. 2010)","plainTextFormattedCitation":"(Schick et al., 2010)","previouslyFormattedCitation":"(Schick et al., 2010)"},"properties":{"noteIndex":0},"schema":"https://github.com/citation-style-language/schema/raw/master/csl-citation.json"}</w:instrText>
      </w:r>
      <w:r w:rsidR="001C69B8" w:rsidRPr="005A58C0">
        <w:rPr>
          <w:rFonts w:cs="Times New Roman"/>
          <w:szCs w:val="24"/>
          <w:lang w:val="en-US"/>
        </w:rPr>
        <w:fldChar w:fldCharType="separate"/>
      </w:r>
      <w:r w:rsidR="005A58C0" w:rsidRPr="005A58C0">
        <w:rPr>
          <w:rFonts w:cs="Times New Roman"/>
          <w:noProof/>
          <w:szCs w:val="24"/>
          <w:lang w:val="en-US"/>
        </w:rPr>
        <w:t>Schick et al.</w:t>
      </w:r>
      <w:r w:rsidR="001C69B8" w:rsidRPr="005A58C0">
        <w:rPr>
          <w:rFonts w:cs="Times New Roman"/>
          <w:noProof/>
          <w:szCs w:val="24"/>
          <w:lang w:val="en-US"/>
        </w:rPr>
        <w:t xml:space="preserve"> 2010)</w:t>
      </w:r>
      <w:r w:rsidR="001C69B8" w:rsidRPr="005A58C0">
        <w:rPr>
          <w:rFonts w:cs="Times New Roman"/>
          <w:szCs w:val="24"/>
          <w:lang w:val="en-US"/>
        </w:rPr>
        <w:fldChar w:fldCharType="end"/>
      </w:r>
      <w:r w:rsidRPr="005A58C0">
        <w:rPr>
          <w:rFonts w:cs="Times New Roman"/>
          <w:szCs w:val="24"/>
          <w:lang w:val="en-US"/>
        </w:rPr>
        <w:t xml:space="preserve">. </w:t>
      </w:r>
      <w:r w:rsidR="00356CC9" w:rsidRPr="005A58C0">
        <w:rPr>
          <w:rFonts w:cs="Times New Roman"/>
          <w:szCs w:val="24"/>
          <w:lang w:val="en-GB"/>
        </w:rPr>
        <w:t>One</w:t>
      </w:r>
      <w:r w:rsidRPr="005A58C0">
        <w:rPr>
          <w:rFonts w:cs="Times New Roman"/>
          <w:szCs w:val="24"/>
          <w:lang w:val="en-GB"/>
        </w:rPr>
        <w:t xml:space="preserve"> study (Karraker </w:t>
      </w:r>
      <w:r w:rsidR="005A58C0" w:rsidRPr="005A58C0">
        <w:rPr>
          <w:rFonts w:cs="Times New Roman"/>
          <w:szCs w:val="24"/>
          <w:lang w:val="en-GB"/>
        </w:rPr>
        <w:t>and</w:t>
      </w:r>
      <w:r w:rsidRPr="005A58C0">
        <w:rPr>
          <w:rFonts w:cs="Times New Roman"/>
          <w:szCs w:val="24"/>
          <w:lang w:val="en-GB"/>
        </w:rPr>
        <w:t xml:space="preserve"> DeLamater 2013) analysed the correlates of sexual</w:t>
      </w:r>
      <w:r w:rsidRPr="006C670D">
        <w:rPr>
          <w:rFonts w:cs="Times New Roman"/>
          <w:szCs w:val="24"/>
          <w:lang w:val="en-GB"/>
        </w:rPr>
        <w:t xml:space="preserve"> inactivity among 1,502 older married men and women aged 57 to 85 years</w:t>
      </w:r>
      <w:r w:rsidR="00356CC9">
        <w:rPr>
          <w:rFonts w:cs="Times New Roman"/>
          <w:szCs w:val="24"/>
          <w:lang w:val="en-GB"/>
        </w:rPr>
        <w:t xml:space="preserve"> living in the US.</w:t>
      </w:r>
      <w:r w:rsidRPr="006C670D">
        <w:rPr>
          <w:rFonts w:cs="Times New Roman"/>
          <w:szCs w:val="24"/>
          <w:lang w:val="en-GB"/>
        </w:rPr>
        <w:t xml:space="preserve"> Longer marriages were more likely to be inactive, with each additional year of marriage associated with higher odds of sexual inactivity for both men and women. Higher levels of marital happiness and better physical health were associated with lower odds of sexual inactivity for both men and women (Karraker </w:t>
      </w:r>
      <w:r w:rsidR="005A58C0">
        <w:rPr>
          <w:rFonts w:cs="Times New Roman"/>
          <w:szCs w:val="24"/>
          <w:lang w:val="en-GB"/>
        </w:rPr>
        <w:t>and</w:t>
      </w:r>
      <w:r w:rsidRPr="006C670D">
        <w:rPr>
          <w:rFonts w:cs="Times New Roman"/>
          <w:szCs w:val="24"/>
          <w:lang w:val="en-GB"/>
        </w:rPr>
        <w:t xml:space="preserve"> DeLamater 2013).</w:t>
      </w:r>
      <w:r w:rsidRPr="006C670D">
        <w:rPr>
          <w:rFonts w:cs="Times New Roman"/>
          <w:szCs w:val="24"/>
          <w:lang w:val="en-US"/>
        </w:rPr>
        <w:t xml:space="preserve"> </w:t>
      </w:r>
      <w:r w:rsidRPr="006C670D">
        <w:rPr>
          <w:rFonts w:cs="Times New Roman"/>
          <w:szCs w:val="24"/>
          <w:lang w:val="en-GB"/>
        </w:rPr>
        <w:t xml:space="preserve">Furthermore, in both quantitative (Lindau et al. 2007) and qualitative studies, (Gott </w:t>
      </w:r>
      <w:r w:rsidR="005A58C0">
        <w:rPr>
          <w:rFonts w:cs="Times New Roman"/>
          <w:szCs w:val="24"/>
          <w:lang w:val="en-GB"/>
        </w:rPr>
        <w:t>and</w:t>
      </w:r>
      <w:r w:rsidRPr="006C670D">
        <w:rPr>
          <w:rFonts w:cs="Times New Roman"/>
          <w:szCs w:val="24"/>
          <w:lang w:val="en-GB"/>
        </w:rPr>
        <w:t xml:space="preserve"> Hinchliff 2003; Lodge </w:t>
      </w:r>
      <w:r w:rsidR="005A58C0">
        <w:rPr>
          <w:rFonts w:cs="Times New Roman"/>
          <w:szCs w:val="24"/>
          <w:lang w:val="en-GB"/>
        </w:rPr>
        <w:t>and</w:t>
      </w:r>
      <w:r w:rsidRPr="006C670D">
        <w:rPr>
          <w:rFonts w:cs="Times New Roman"/>
          <w:szCs w:val="24"/>
          <w:lang w:val="en-GB"/>
        </w:rPr>
        <w:t xml:space="preserve"> Umberson 2012) declining health is a </w:t>
      </w:r>
      <w:r w:rsidRPr="006C670D">
        <w:rPr>
          <w:rFonts w:cs="Times New Roman"/>
          <w:szCs w:val="24"/>
          <w:lang w:val="en-GB"/>
        </w:rPr>
        <w:lastRenderedPageBreak/>
        <w:t xml:space="preserve">primary reported reason for sexual activity cessation among older adults. Another motive for sexual inactivity in aging men and women </w:t>
      </w:r>
      <w:r w:rsidR="008E3317">
        <w:rPr>
          <w:rFonts w:cs="Times New Roman"/>
          <w:szCs w:val="24"/>
          <w:lang w:val="en-GB"/>
        </w:rPr>
        <w:t>is</w:t>
      </w:r>
      <w:r w:rsidRPr="006C670D">
        <w:rPr>
          <w:rFonts w:cs="Times New Roman"/>
          <w:szCs w:val="24"/>
          <w:lang w:val="en-GB"/>
        </w:rPr>
        <w:t xml:space="preserve"> the existence of sexual difficulties and dysfunctions. </w:t>
      </w:r>
      <w:r w:rsidR="00356CC9">
        <w:rPr>
          <w:rFonts w:cs="Times New Roman"/>
          <w:szCs w:val="24"/>
          <w:lang w:val="en-GB"/>
        </w:rPr>
        <w:t>As discussed above, p</w:t>
      </w:r>
      <w:r w:rsidR="00356CC9" w:rsidRPr="006C670D">
        <w:rPr>
          <w:rFonts w:cs="Times New Roman"/>
          <w:szCs w:val="24"/>
          <w:lang w:val="en-GB"/>
        </w:rPr>
        <w:t xml:space="preserve">revious </w:t>
      </w:r>
      <w:r w:rsidRPr="006C670D">
        <w:rPr>
          <w:rFonts w:cs="Times New Roman"/>
          <w:szCs w:val="24"/>
          <w:lang w:val="en-GB"/>
        </w:rPr>
        <w:t>research indicates that sexual problems are frequent in older adults (Christens</w:t>
      </w:r>
      <w:r>
        <w:rPr>
          <w:rFonts w:cs="Times New Roman"/>
          <w:szCs w:val="24"/>
          <w:lang w:val="en-GB"/>
        </w:rPr>
        <w:t>en et al. 2011; Laumann et al.</w:t>
      </w:r>
      <w:r w:rsidRPr="006C670D">
        <w:rPr>
          <w:rFonts w:cs="Times New Roman"/>
          <w:szCs w:val="24"/>
          <w:lang w:val="en-GB"/>
        </w:rPr>
        <w:t xml:space="preserve"> 2005; Laumann, Das, </w:t>
      </w:r>
      <w:r w:rsidR="005A58C0">
        <w:rPr>
          <w:rFonts w:cs="Times New Roman"/>
          <w:szCs w:val="24"/>
          <w:lang w:val="en-GB"/>
        </w:rPr>
        <w:t>and</w:t>
      </w:r>
      <w:r w:rsidRPr="006C670D">
        <w:rPr>
          <w:rFonts w:cs="Times New Roman"/>
          <w:szCs w:val="24"/>
          <w:lang w:val="en-GB"/>
        </w:rPr>
        <w:t xml:space="preserve"> Waite 2008; Mitchell et al. 2013; Peixoto </w:t>
      </w:r>
      <w:r w:rsidR="005A58C0">
        <w:rPr>
          <w:rFonts w:cs="Times New Roman"/>
          <w:szCs w:val="24"/>
          <w:lang w:val="en-GB"/>
        </w:rPr>
        <w:t>and</w:t>
      </w:r>
      <w:r w:rsidRPr="006C670D">
        <w:rPr>
          <w:rFonts w:cs="Times New Roman"/>
          <w:szCs w:val="24"/>
          <w:lang w:val="en-GB"/>
        </w:rPr>
        <w:t xml:space="preserve"> Nobre 2015; Træen </w:t>
      </w:r>
      <w:r w:rsidR="005A58C0">
        <w:rPr>
          <w:rFonts w:cs="Times New Roman"/>
          <w:szCs w:val="24"/>
          <w:lang w:val="en-GB"/>
        </w:rPr>
        <w:t>and</w:t>
      </w:r>
      <w:r w:rsidRPr="006C670D">
        <w:rPr>
          <w:rFonts w:cs="Times New Roman"/>
          <w:szCs w:val="24"/>
          <w:lang w:val="en-GB"/>
        </w:rPr>
        <w:t xml:space="preserve"> Stigum 2010). The presence of sexual problems seems clearly associated with sexual inactivity, but the motives underlying sexual avoidance may be more complex and diverse.</w:t>
      </w:r>
    </w:p>
    <w:p w14:paraId="704BAC1E" w14:textId="45E775D2" w:rsidR="00E303E8" w:rsidRPr="008028F9" w:rsidRDefault="00E303E8" w:rsidP="00196416">
      <w:pPr>
        <w:ind w:firstLine="708"/>
        <w:rPr>
          <w:lang w:val="en-GB"/>
        </w:rPr>
      </w:pPr>
      <w:r w:rsidRPr="006C670D">
        <w:rPr>
          <w:rStyle w:val="CommentReference"/>
          <w:rFonts w:cs="Times New Roman"/>
          <w:sz w:val="24"/>
          <w:szCs w:val="24"/>
        </w:rPr>
        <w:t xml:space="preserve">There are good reasons to expect that the frequency of, and motives, for sexual avoidance may be quite different for men and women. Sexual scripts would suggest that men are the primary initiators of sex, and that women have a more passive role (Horvath </w:t>
      </w:r>
      <w:r w:rsidR="005A58C0">
        <w:rPr>
          <w:rStyle w:val="CommentReference"/>
          <w:rFonts w:cs="Times New Roman"/>
          <w:sz w:val="24"/>
          <w:szCs w:val="24"/>
        </w:rPr>
        <w:t>and</w:t>
      </w:r>
      <w:r w:rsidRPr="006C670D">
        <w:rPr>
          <w:rStyle w:val="CommentReference"/>
          <w:rFonts w:cs="Times New Roman"/>
          <w:sz w:val="24"/>
          <w:szCs w:val="24"/>
        </w:rPr>
        <w:t xml:space="preserve"> Brown 2010; Milhausen </w:t>
      </w:r>
      <w:r w:rsidR="005A58C0">
        <w:rPr>
          <w:rStyle w:val="CommentReference"/>
          <w:rFonts w:cs="Times New Roman"/>
          <w:sz w:val="24"/>
          <w:szCs w:val="24"/>
        </w:rPr>
        <w:t>and</w:t>
      </w:r>
      <w:r w:rsidRPr="006C670D">
        <w:rPr>
          <w:rStyle w:val="CommentReference"/>
          <w:rFonts w:cs="Times New Roman"/>
          <w:sz w:val="24"/>
          <w:szCs w:val="24"/>
        </w:rPr>
        <w:t xml:space="preserve"> Herold 1999). </w:t>
      </w:r>
      <w:r w:rsidR="008028F9" w:rsidRPr="00913E98">
        <w:rPr>
          <w:lang w:val="en-GB"/>
        </w:rPr>
        <w:t xml:space="preserve">According to Gagnon and Simon (2005), through social processes, sexuality is given the expression and meaning which society and culture impose. In their sexual script theory, Gagnon and Simon </w:t>
      </w:r>
      <w:r w:rsidR="008E3317">
        <w:rPr>
          <w:lang w:val="en-GB"/>
        </w:rPr>
        <w:t>argued</w:t>
      </w:r>
      <w:r w:rsidR="008028F9" w:rsidRPr="00913E98">
        <w:rPr>
          <w:lang w:val="en-GB"/>
        </w:rPr>
        <w:t xml:space="preserve"> that sexual behaviour is guided by culture- and group-specific sexual scripts. Sexual scripts are society’s’ way of regulating sexual behaviour, among other things, by specifying when sexual interaction is accepted and when it is not. The traditional valid heterosexual sexual script most often contextualise</w:t>
      </w:r>
      <w:r w:rsidR="006819AE">
        <w:rPr>
          <w:lang w:val="en-GB"/>
        </w:rPr>
        <w:t>s</w:t>
      </w:r>
      <w:r w:rsidR="008028F9" w:rsidRPr="00913E98">
        <w:rPr>
          <w:lang w:val="en-GB"/>
        </w:rPr>
        <w:t xml:space="preserve"> sexual activity within a ‘frame’ of love and commitment (Gagnon </w:t>
      </w:r>
      <w:r w:rsidR="005A58C0">
        <w:rPr>
          <w:lang w:val="en-GB"/>
        </w:rPr>
        <w:t>and</w:t>
      </w:r>
      <w:r w:rsidR="008028F9" w:rsidRPr="00913E98">
        <w:rPr>
          <w:lang w:val="en-GB"/>
        </w:rPr>
        <w:t xml:space="preserve"> Simon, 2005), and sex for physical pleasure or other reasons is perceived as less acceptable </w:t>
      </w:r>
      <w:r w:rsidR="008028F9" w:rsidRPr="00913E98">
        <w:rPr>
          <w:noProof/>
          <w:lang w:val="en-US"/>
        </w:rPr>
        <w:t>(Wiederman, 2005)</w:t>
      </w:r>
      <w:r w:rsidR="008028F9" w:rsidRPr="00913E98">
        <w:rPr>
          <w:lang w:val="en-GB"/>
        </w:rPr>
        <w:t xml:space="preserve">. </w:t>
      </w:r>
      <w:r w:rsidRPr="006C670D">
        <w:rPr>
          <w:rFonts w:cs="Times New Roman"/>
          <w:szCs w:val="24"/>
          <w:lang w:val="en-GB"/>
        </w:rPr>
        <w:t xml:space="preserve">Traditional sexual scripts suggest that men should have a strong and constant interest in sexual activity (Masters, Casey, Wells, </w:t>
      </w:r>
      <w:r w:rsidR="005A58C0">
        <w:rPr>
          <w:rFonts w:cs="Times New Roman"/>
          <w:szCs w:val="24"/>
          <w:lang w:val="en-GB"/>
        </w:rPr>
        <w:t>and</w:t>
      </w:r>
      <w:r w:rsidRPr="006C670D">
        <w:rPr>
          <w:rFonts w:cs="Times New Roman"/>
          <w:szCs w:val="24"/>
          <w:lang w:val="en-GB"/>
        </w:rPr>
        <w:t xml:space="preserve"> Morrison 2012). </w:t>
      </w:r>
      <w:r w:rsidRPr="006C670D">
        <w:rPr>
          <w:rStyle w:val="CommentReference"/>
          <w:rFonts w:cs="Times New Roman"/>
          <w:sz w:val="24"/>
          <w:szCs w:val="24"/>
        </w:rPr>
        <w:t>This double standard pattern may be particularly evident among older adults.</w:t>
      </w:r>
      <w:r w:rsidRPr="006C670D">
        <w:rPr>
          <w:rFonts w:cs="Times New Roman"/>
          <w:szCs w:val="24"/>
          <w:lang w:val="en-GB"/>
        </w:rPr>
        <w:t xml:space="preserve"> While the sexual double standard is becoming less pronounced (</w:t>
      </w:r>
      <w:r w:rsidRPr="006C670D">
        <w:rPr>
          <w:rStyle w:val="CommentReference"/>
          <w:rFonts w:cs="Times New Roman"/>
          <w:sz w:val="24"/>
          <w:szCs w:val="24"/>
        </w:rPr>
        <w:t xml:space="preserve">Milhausen </w:t>
      </w:r>
      <w:r w:rsidR="005A58C0">
        <w:rPr>
          <w:rStyle w:val="CommentReference"/>
          <w:rFonts w:cs="Times New Roman"/>
          <w:sz w:val="24"/>
          <w:szCs w:val="24"/>
        </w:rPr>
        <w:t>and</w:t>
      </w:r>
      <w:r w:rsidRPr="006C670D">
        <w:rPr>
          <w:rStyle w:val="CommentReference"/>
          <w:rFonts w:cs="Times New Roman"/>
          <w:sz w:val="24"/>
          <w:szCs w:val="24"/>
        </w:rPr>
        <w:t xml:space="preserve"> Herold 1999</w:t>
      </w:r>
      <w:r w:rsidRPr="006C670D">
        <w:rPr>
          <w:rFonts w:cs="Times New Roman"/>
          <w:szCs w:val="24"/>
          <w:lang w:val="en-GB"/>
        </w:rPr>
        <w:t xml:space="preserve">), patterns of sexual initiation among heterosexual couples are still male-dominated (Dworkin </w:t>
      </w:r>
      <w:r w:rsidR="005A58C0">
        <w:rPr>
          <w:rFonts w:cs="Times New Roman"/>
          <w:szCs w:val="24"/>
          <w:lang w:val="en-GB"/>
        </w:rPr>
        <w:t>and</w:t>
      </w:r>
      <w:r w:rsidRPr="006C670D">
        <w:rPr>
          <w:rFonts w:cs="Times New Roman"/>
          <w:szCs w:val="24"/>
          <w:lang w:val="en-GB"/>
        </w:rPr>
        <w:t xml:space="preserve"> O’Sullivan 2005). Thus, sexual avoidance among men would be expected to be less frequent because men feel some social pressure to initiate sexual activity. Thus, </w:t>
      </w:r>
      <w:r w:rsidR="008028F9">
        <w:rPr>
          <w:rFonts w:cs="Times New Roman"/>
          <w:szCs w:val="24"/>
          <w:lang w:val="en-GB"/>
        </w:rPr>
        <w:t xml:space="preserve">in the present study, </w:t>
      </w:r>
      <w:r w:rsidRPr="006C670D">
        <w:rPr>
          <w:rFonts w:cs="Times New Roman"/>
          <w:szCs w:val="24"/>
          <w:lang w:val="en-GB"/>
        </w:rPr>
        <w:t xml:space="preserve">we expected gender differences in the </w:t>
      </w:r>
      <w:r w:rsidR="0095240B">
        <w:rPr>
          <w:rFonts w:cs="Times New Roman"/>
          <w:szCs w:val="24"/>
          <w:lang w:val="en-GB"/>
        </w:rPr>
        <w:t xml:space="preserve">prevalence </w:t>
      </w:r>
      <w:r w:rsidRPr="006C670D">
        <w:rPr>
          <w:rFonts w:cs="Times New Roman"/>
          <w:szCs w:val="24"/>
          <w:lang w:val="en-GB"/>
        </w:rPr>
        <w:t>of sexual avoidance</w:t>
      </w:r>
      <w:r w:rsidR="0095240B">
        <w:rPr>
          <w:rFonts w:cs="Times New Roman"/>
          <w:szCs w:val="24"/>
          <w:lang w:val="en-GB"/>
        </w:rPr>
        <w:t>, with women more likely to avoid sex</w:t>
      </w:r>
      <w:r w:rsidRPr="006C670D">
        <w:rPr>
          <w:rFonts w:cs="Times New Roman"/>
          <w:szCs w:val="24"/>
          <w:lang w:val="en-GB"/>
        </w:rPr>
        <w:t xml:space="preserve">. </w:t>
      </w:r>
    </w:p>
    <w:p w14:paraId="2216ED04" w14:textId="4BA617DA" w:rsidR="00E303E8" w:rsidRPr="006C670D" w:rsidRDefault="00E303E8" w:rsidP="00E303E8">
      <w:pPr>
        <w:spacing w:after="0"/>
        <w:ind w:firstLine="708"/>
        <w:rPr>
          <w:rFonts w:cs="Times New Roman"/>
          <w:szCs w:val="24"/>
          <w:lang w:val="en-GB"/>
        </w:rPr>
      </w:pPr>
      <w:r w:rsidRPr="006C670D">
        <w:rPr>
          <w:rFonts w:cs="Times New Roman"/>
          <w:szCs w:val="24"/>
          <w:lang w:val="en-GB"/>
        </w:rPr>
        <w:t>Recent qualitative studies have suggested some possible reasons for sexual avoidance. Qualitative data from in-depth interviews with 23 heterosexual women who experienced severe sexual problems revealed sexual avoidance was a strategy to deal with their problems</w:t>
      </w:r>
      <w:r w:rsidR="00010350">
        <w:rPr>
          <w:rFonts w:cs="Times New Roman"/>
          <w:szCs w:val="24"/>
          <w:lang w:val="en-GB"/>
        </w:rPr>
        <w:t xml:space="preserve"> </w:t>
      </w:r>
      <w:r w:rsidR="0095240B" w:rsidRPr="006C670D">
        <w:rPr>
          <w:rFonts w:cs="Times New Roman"/>
          <w:szCs w:val="24"/>
          <w:lang w:val="en-GB"/>
        </w:rPr>
        <w:t xml:space="preserve">(Hinchliff, Gott, </w:t>
      </w:r>
      <w:r w:rsidR="005A58C0">
        <w:rPr>
          <w:rFonts w:cs="Times New Roman"/>
          <w:szCs w:val="24"/>
          <w:lang w:val="en-GB"/>
        </w:rPr>
        <w:t>and</w:t>
      </w:r>
      <w:r w:rsidR="0095240B" w:rsidRPr="006C670D">
        <w:rPr>
          <w:rFonts w:cs="Times New Roman"/>
          <w:szCs w:val="24"/>
          <w:lang w:val="en-GB"/>
        </w:rPr>
        <w:t xml:space="preserve"> Wylie 2012)</w:t>
      </w:r>
      <w:r w:rsidRPr="006C670D">
        <w:rPr>
          <w:rFonts w:cs="Times New Roman"/>
          <w:szCs w:val="24"/>
          <w:lang w:val="en-GB"/>
        </w:rPr>
        <w:t xml:space="preserve">. Avoiding intimate situations worked to prevent participants from directly saying no to their partners and thus to prevent them to feel rejected. Avoiding intimate situations also served to temper the frustration the women themselves felt </w:t>
      </w:r>
      <w:r w:rsidRPr="006C670D">
        <w:rPr>
          <w:rFonts w:cs="Times New Roman"/>
          <w:szCs w:val="24"/>
          <w:lang w:val="en-GB"/>
        </w:rPr>
        <w:lastRenderedPageBreak/>
        <w:t>at being unable to enjoy intercourse (Hinchliff</w:t>
      </w:r>
      <w:r w:rsidR="0095240B">
        <w:rPr>
          <w:rFonts w:cs="Times New Roman"/>
          <w:szCs w:val="24"/>
          <w:lang w:val="en-GB"/>
        </w:rPr>
        <w:t xml:space="preserve"> et al.</w:t>
      </w:r>
      <w:r w:rsidRPr="006C670D">
        <w:rPr>
          <w:rFonts w:cs="Times New Roman"/>
          <w:szCs w:val="24"/>
          <w:lang w:val="en-GB"/>
        </w:rPr>
        <w:t xml:space="preserve"> 2012). Another qualitative study, this one with men, explored the factors that inhibited men’s sexual desire in a sample of 30 men between the ages of 30 and 65 in long-term heterosexual relationships (Murray, Milhausen, Graham, </w:t>
      </w:r>
      <w:r w:rsidR="005A58C0">
        <w:rPr>
          <w:rFonts w:cs="Times New Roman"/>
          <w:szCs w:val="24"/>
          <w:lang w:val="en-GB"/>
        </w:rPr>
        <w:t>and</w:t>
      </w:r>
      <w:r w:rsidRPr="006C670D">
        <w:rPr>
          <w:rFonts w:cs="Times New Roman"/>
          <w:szCs w:val="24"/>
          <w:lang w:val="en-GB"/>
        </w:rPr>
        <w:t xml:space="preserve"> Kuczynski 2017). Findings revealed that many of the factors that were described as inhibitors of sexual desire suggested a lack of mutuality and intimacy. The main inhibitors of sexual desire were rejection, physical ailments and negative health characteristics, and lack of emotional connection with partner (Murray et al. 2017). </w:t>
      </w:r>
    </w:p>
    <w:p w14:paraId="648F7E81" w14:textId="541AB5B2" w:rsidR="00E303E8" w:rsidRPr="006C670D" w:rsidRDefault="00E303E8" w:rsidP="00E303E8">
      <w:pPr>
        <w:spacing w:after="0"/>
        <w:ind w:firstLine="708"/>
        <w:rPr>
          <w:rFonts w:cs="Times New Roman"/>
          <w:szCs w:val="24"/>
          <w:lang w:val="en-GB"/>
        </w:rPr>
      </w:pPr>
      <w:r w:rsidRPr="006C670D">
        <w:rPr>
          <w:rFonts w:cs="Times New Roman"/>
          <w:szCs w:val="24"/>
          <w:lang w:val="en-GB"/>
        </w:rPr>
        <w:t>To address gaps in the literature on sexual avoidance, the present study explored the self-reported reasons for, and correlates of, sexual avoidance in older adu</w:t>
      </w:r>
      <w:r w:rsidR="0095240B">
        <w:rPr>
          <w:rFonts w:cs="Times New Roman"/>
          <w:szCs w:val="24"/>
          <w:lang w:val="en-GB"/>
        </w:rPr>
        <w:t>l</w:t>
      </w:r>
      <w:r w:rsidRPr="006C670D">
        <w:rPr>
          <w:rFonts w:cs="Times New Roman"/>
          <w:szCs w:val="24"/>
          <w:lang w:val="en-GB"/>
        </w:rPr>
        <w:t xml:space="preserve">ts with probability samples of 60–75-year-olds in four European countries (Norway, Denmark, Belgium, and Portugal). Our aims were to assess the prevalence of sexual avoidance among partnered older men and women, to identify personal, relational and health-related factors associated with the phenomenon, and </w:t>
      </w:r>
      <w:r w:rsidR="0095240B">
        <w:rPr>
          <w:rFonts w:cs="Times New Roman"/>
          <w:szCs w:val="24"/>
          <w:lang w:val="en-GB"/>
        </w:rPr>
        <w:t xml:space="preserve">to </w:t>
      </w:r>
      <w:r w:rsidRPr="006C670D">
        <w:rPr>
          <w:rFonts w:cs="Times New Roman"/>
          <w:szCs w:val="24"/>
          <w:lang w:val="en-GB"/>
        </w:rPr>
        <w:t>document self-reported reasons for avoidance.</w:t>
      </w:r>
    </w:p>
    <w:p w14:paraId="6FF502B6" w14:textId="34A37C23" w:rsidR="00E303E8" w:rsidRPr="006C670D" w:rsidRDefault="00E303E8" w:rsidP="00E303E8">
      <w:pPr>
        <w:spacing w:after="0"/>
        <w:ind w:firstLine="708"/>
        <w:rPr>
          <w:rStyle w:val="CommentReference"/>
          <w:rFonts w:cs="Times New Roman"/>
          <w:sz w:val="24"/>
          <w:szCs w:val="24"/>
        </w:rPr>
      </w:pPr>
      <w:r w:rsidRPr="006C670D">
        <w:rPr>
          <w:rFonts w:cs="Times New Roman"/>
          <w:szCs w:val="24"/>
          <w:lang w:val="en-GB"/>
        </w:rPr>
        <w:t xml:space="preserve">A </w:t>
      </w:r>
      <w:r w:rsidR="0095240B">
        <w:rPr>
          <w:rFonts w:cs="Times New Roman"/>
          <w:szCs w:val="24"/>
          <w:lang w:val="en-GB"/>
        </w:rPr>
        <w:t>strength</w:t>
      </w:r>
      <w:r w:rsidRPr="006C670D">
        <w:rPr>
          <w:rFonts w:cs="Times New Roman"/>
          <w:szCs w:val="24"/>
          <w:lang w:val="en-GB"/>
        </w:rPr>
        <w:t xml:space="preserve"> of this study was the inclusion of both women and men, enabling gender comparisons of reasons for sexual avoidance</w:t>
      </w:r>
      <w:r w:rsidRPr="006C670D">
        <w:rPr>
          <w:rStyle w:val="CommentReference"/>
          <w:rFonts w:cs="Times New Roman"/>
          <w:sz w:val="24"/>
          <w:szCs w:val="24"/>
        </w:rPr>
        <w:t xml:space="preserve">. In addition to assessing both own and partner’s sexual problems as a reason for sexual avoidance, a range of other reasons were explored, including body image concerns, relationship problems, worries about sexually transmitted infections (STIs), and physical health problems. To our knowledge this is the first study that has assessed these diverse reasons for avoiding sex. </w:t>
      </w:r>
    </w:p>
    <w:p w14:paraId="2575F6E1" w14:textId="77777777" w:rsidR="00E303E8" w:rsidRPr="006C670D" w:rsidRDefault="00E303E8" w:rsidP="00E303E8">
      <w:pPr>
        <w:pStyle w:val="Heading1"/>
      </w:pPr>
      <w:r w:rsidRPr="006C670D">
        <w:t>Method</w:t>
      </w:r>
    </w:p>
    <w:p w14:paraId="398CEBD5" w14:textId="77777777" w:rsidR="00E303E8" w:rsidRPr="006C670D" w:rsidRDefault="00E303E8" w:rsidP="00E303E8">
      <w:pPr>
        <w:pStyle w:val="Heading2"/>
        <w:spacing w:before="0"/>
        <w:rPr>
          <w:rFonts w:cs="Times New Roman"/>
          <w:szCs w:val="24"/>
          <w:lang w:val="en-US"/>
        </w:rPr>
      </w:pPr>
      <w:r w:rsidRPr="006C670D">
        <w:rPr>
          <w:rFonts w:cs="Times New Roman"/>
          <w:szCs w:val="24"/>
          <w:lang w:val="en-US"/>
        </w:rPr>
        <w:t>Participants</w:t>
      </w:r>
    </w:p>
    <w:p w14:paraId="6E4018E7" w14:textId="37C66B27" w:rsidR="00E303E8" w:rsidRPr="006C670D" w:rsidRDefault="00E303E8" w:rsidP="00E303E8">
      <w:pPr>
        <w:spacing w:after="0"/>
        <w:ind w:firstLine="708"/>
        <w:rPr>
          <w:rFonts w:cs="Times New Roman"/>
          <w:szCs w:val="24"/>
          <w:lang w:val="en-GB"/>
        </w:rPr>
      </w:pPr>
      <w:r w:rsidRPr="006C670D">
        <w:rPr>
          <w:rFonts w:cs="Times New Roman"/>
          <w:szCs w:val="24"/>
          <w:lang w:val="en-GB"/>
        </w:rPr>
        <w:t xml:space="preserve">We conducted a cross-sectional </w:t>
      </w:r>
      <w:r w:rsidRPr="006C670D">
        <w:rPr>
          <w:rFonts w:cs="Times New Roman"/>
          <w:szCs w:val="24"/>
          <w:lang w:val="en-GB" w:eastAsia="ja-JP"/>
        </w:rPr>
        <w:t xml:space="preserve">multinational </w:t>
      </w:r>
      <w:r w:rsidRPr="006C670D">
        <w:rPr>
          <w:rFonts w:cs="Times New Roman"/>
          <w:szCs w:val="24"/>
          <w:lang w:val="en-GB"/>
        </w:rPr>
        <w:t>survey, with probability samples of the population aged 60-75 years, recruited by phone registers in Norway (n=1271), Denmark (n=1045), Belgium (n=990), and Portugal (n=509). The mean age of men was 66.7 years in Norway, 67.8 years in Denmark, 67.3 years in Belgium, and 66.6 years in Portugal. Among women, the mean age was 66.9 years in Norway, 67.8 years in Denmark, 66.4 years in Belgium, and 66.8 years in Portugal. The majority of men (83.1%) and women (68.1%) reported being in a steady, committed relationship. Only data collected from men and women who reported being in a steady committed relationship were used. Participant characteristics can be found in Table 1.</w:t>
      </w:r>
      <w:r w:rsidR="008028F9">
        <w:rPr>
          <w:rFonts w:cs="Times New Roman"/>
          <w:szCs w:val="24"/>
          <w:lang w:val="en-GB"/>
        </w:rPr>
        <w:t xml:space="preserve"> </w:t>
      </w:r>
      <w:r w:rsidR="008028F9">
        <w:rPr>
          <w:lang w:val="en-GB"/>
        </w:rPr>
        <w:t>T</w:t>
      </w:r>
      <w:r w:rsidR="008028F9" w:rsidRPr="008E7BCA">
        <w:rPr>
          <w:lang w:val="en-GB"/>
        </w:rPr>
        <w:t xml:space="preserve">he </w:t>
      </w:r>
      <w:r w:rsidR="008028F9">
        <w:rPr>
          <w:lang w:val="en-GB"/>
        </w:rPr>
        <w:t xml:space="preserve">number of </w:t>
      </w:r>
      <w:r w:rsidR="008028F9" w:rsidRPr="008E7BCA">
        <w:rPr>
          <w:lang w:val="en-GB"/>
        </w:rPr>
        <w:t>sexual minority respondents in the sample precluded separate analyses of this population</w:t>
      </w:r>
      <w:r w:rsidR="008028F9">
        <w:rPr>
          <w:lang w:val="en-GB"/>
        </w:rPr>
        <w:t>.</w:t>
      </w:r>
    </w:p>
    <w:p w14:paraId="2C083D8C" w14:textId="77777777" w:rsidR="00E303E8" w:rsidRPr="006C670D" w:rsidRDefault="00E303E8" w:rsidP="00E303E8">
      <w:pPr>
        <w:spacing w:after="0"/>
        <w:ind w:left="1528" w:firstLine="1304"/>
        <w:rPr>
          <w:rFonts w:cs="Times New Roman"/>
          <w:szCs w:val="24"/>
          <w:lang w:val="en-US"/>
        </w:rPr>
      </w:pPr>
      <w:r w:rsidRPr="006C670D">
        <w:rPr>
          <w:rFonts w:cs="Times New Roman"/>
          <w:szCs w:val="24"/>
          <w:lang w:val="en-US"/>
        </w:rPr>
        <w:t>---------------------------------</w:t>
      </w:r>
    </w:p>
    <w:p w14:paraId="532DDF6D" w14:textId="77777777" w:rsidR="00E303E8" w:rsidRPr="006C670D" w:rsidRDefault="00E303E8" w:rsidP="00E303E8">
      <w:pPr>
        <w:spacing w:after="0"/>
        <w:ind w:firstLine="1304"/>
        <w:outlineLvl w:val="0"/>
        <w:rPr>
          <w:rFonts w:cs="Times New Roman"/>
          <w:szCs w:val="24"/>
          <w:lang w:val="en-US"/>
        </w:rPr>
      </w:pPr>
      <w:r w:rsidRPr="006C670D">
        <w:rPr>
          <w:rFonts w:cs="Times New Roman"/>
          <w:szCs w:val="24"/>
          <w:lang w:val="en-US"/>
        </w:rPr>
        <w:tab/>
        <w:t xml:space="preserve">                 </w:t>
      </w:r>
      <w:r w:rsidRPr="006C670D">
        <w:rPr>
          <w:rFonts w:cs="Times New Roman"/>
          <w:szCs w:val="24"/>
          <w:lang w:val="en-US"/>
        </w:rPr>
        <w:tab/>
        <w:t xml:space="preserve"> Insert Table 1 about here</w:t>
      </w:r>
    </w:p>
    <w:p w14:paraId="21E141F3" w14:textId="77777777" w:rsidR="00E303E8" w:rsidRPr="006C670D" w:rsidRDefault="00E303E8" w:rsidP="00E303E8">
      <w:pPr>
        <w:spacing w:after="0"/>
        <w:rPr>
          <w:rFonts w:cs="Times New Roman"/>
          <w:szCs w:val="24"/>
          <w:lang w:val="en-US"/>
        </w:rPr>
      </w:pPr>
      <w:r w:rsidRPr="006C670D">
        <w:rPr>
          <w:rFonts w:cs="Times New Roman"/>
          <w:szCs w:val="24"/>
          <w:lang w:val="en-US"/>
        </w:rPr>
        <w:t xml:space="preserve">             </w:t>
      </w:r>
      <w:r w:rsidRPr="006C670D">
        <w:rPr>
          <w:rFonts w:cs="Times New Roman"/>
          <w:szCs w:val="24"/>
          <w:lang w:val="en-US"/>
        </w:rPr>
        <w:tab/>
      </w:r>
      <w:r w:rsidRPr="006C670D">
        <w:rPr>
          <w:rFonts w:cs="Times New Roman"/>
          <w:szCs w:val="24"/>
          <w:lang w:val="en-US"/>
        </w:rPr>
        <w:tab/>
        <w:t xml:space="preserve">             --------------------------------- </w:t>
      </w:r>
    </w:p>
    <w:p w14:paraId="59ABC996" w14:textId="77777777" w:rsidR="00E303E8" w:rsidRPr="006C670D" w:rsidRDefault="00E303E8" w:rsidP="00E303E8">
      <w:pPr>
        <w:pStyle w:val="Heading2"/>
        <w:spacing w:before="0"/>
        <w:rPr>
          <w:rFonts w:cs="Times New Roman"/>
          <w:szCs w:val="24"/>
        </w:rPr>
      </w:pPr>
      <w:r w:rsidRPr="006C670D">
        <w:rPr>
          <w:rFonts w:cs="Times New Roman"/>
          <w:szCs w:val="24"/>
        </w:rPr>
        <w:lastRenderedPageBreak/>
        <w:t>Recruitment and Procedure</w:t>
      </w:r>
    </w:p>
    <w:p w14:paraId="2E61762E" w14:textId="77777777" w:rsidR="00E303E8" w:rsidRPr="006C670D" w:rsidRDefault="00E303E8" w:rsidP="00E303E8">
      <w:pPr>
        <w:spacing w:after="0"/>
        <w:ind w:firstLine="708"/>
        <w:rPr>
          <w:rFonts w:cs="Times New Roman"/>
          <w:szCs w:val="24"/>
          <w:lang w:val="en-US" w:eastAsia="ja-JP"/>
        </w:rPr>
      </w:pPr>
      <w:r w:rsidRPr="006C670D">
        <w:rPr>
          <w:rFonts w:cs="Times New Roman"/>
          <w:szCs w:val="24"/>
          <w:lang w:val="en-US" w:eastAsia="ja-JP"/>
        </w:rPr>
        <w:t xml:space="preserve">From October 2016 to January 2017, the Department of Psychology at the University of BLINDED FOR REVIEW, in cooperation with the research company IPSOS, conducted the multinational survey in representative samples of the population aged 60-75 years in Norway, Denmark, Belgium, and Portugal. Initially, IPSOS conducted a recruitment interview in each country by telephone to obtain a nationally representative sample of the population 60-75 years. During this recruitment interview it was emphasized </w:t>
      </w:r>
      <w:r w:rsidRPr="006C670D">
        <w:rPr>
          <w:rFonts w:cs="Times New Roman"/>
          <w:szCs w:val="24"/>
          <w:lang w:val="en-US"/>
        </w:rPr>
        <w:t xml:space="preserve">that the responses from those sexually inactive were as important as those from sexually active individuals. </w:t>
      </w:r>
    </w:p>
    <w:p w14:paraId="6BFF91C2" w14:textId="7EDE1DE2" w:rsidR="00E303E8" w:rsidRPr="006C670D" w:rsidRDefault="00E303E8" w:rsidP="00E303E8">
      <w:pPr>
        <w:spacing w:after="0"/>
        <w:ind w:firstLine="708"/>
        <w:rPr>
          <w:rFonts w:cs="Times New Roman"/>
          <w:szCs w:val="24"/>
          <w:lang w:val="en-US" w:eastAsia="nb-NO"/>
        </w:rPr>
      </w:pPr>
      <w:r w:rsidRPr="006C670D">
        <w:rPr>
          <w:rFonts w:cs="Times New Roman"/>
          <w:szCs w:val="24"/>
          <w:lang w:val="en-US" w:eastAsia="ja-JP"/>
        </w:rPr>
        <w:t xml:space="preserve">The questionnaire was developed in English and subsequently translated into </w:t>
      </w:r>
      <w:r w:rsidRPr="006C670D">
        <w:rPr>
          <w:rFonts w:cs="Times New Roman"/>
          <w:szCs w:val="24"/>
          <w:lang w:val="en-US"/>
        </w:rPr>
        <w:t xml:space="preserve">each country’s native language by </w:t>
      </w:r>
      <w:r w:rsidRPr="006C670D">
        <w:rPr>
          <w:rFonts w:cs="Times New Roman"/>
          <w:szCs w:val="24"/>
          <w:lang w:val="en-US" w:eastAsia="ja-JP"/>
        </w:rPr>
        <w:t xml:space="preserve">the principal investigators and </w:t>
      </w:r>
      <w:r w:rsidRPr="006C670D">
        <w:rPr>
          <w:rFonts w:cs="Times New Roman"/>
          <w:szCs w:val="24"/>
          <w:lang w:val="en-US"/>
        </w:rPr>
        <w:t>IPSOS’s staff in the four participating countries</w:t>
      </w:r>
      <w:r w:rsidRPr="006C670D">
        <w:rPr>
          <w:rFonts w:cs="Times New Roman"/>
          <w:szCs w:val="24"/>
          <w:lang w:val="en-US" w:eastAsia="ja-JP"/>
        </w:rPr>
        <w:t xml:space="preserve">. </w:t>
      </w:r>
      <w:r w:rsidRPr="006C670D">
        <w:rPr>
          <w:rFonts w:cs="Times New Roman"/>
          <w:szCs w:val="24"/>
          <w:lang w:val="en-US"/>
        </w:rPr>
        <w:t xml:space="preserve">Following this, </w:t>
      </w:r>
      <w:r w:rsidRPr="006C670D">
        <w:rPr>
          <w:rFonts w:cs="Times New Roman"/>
          <w:szCs w:val="24"/>
          <w:lang w:val="en-US" w:eastAsia="ja-JP"/>
        </w:rPr>
        <w:t xml:space="preserve">randomized telephone recruitment of participants started. With the exception of Portugal, national phone registries (landline and mobile) were used so the sampling procedure would likely produce representative samples of the target population. In Portugal, a complete and updated telephone register does not exist. For this reason, IPSOS used a frequently used procedure for telephone surveys in Portugal when recruiting: 1) </w:t>
      </w:r>
      <w:r w:rsidRPr="006C670D">
        <w:rPr>
          <w:rFonts w:cs="Times New Roman"/>
          <w:szCs w:val="24"/>
          <w:lang w:val="en-US" w:eastAsia="nb-NO"/>
        </w:rPr>
        <w:t xml:space="preserve">telephone numbers were first randomly selected from fixed phone directories and IPSOS’s own database of phone numbers; 2) to obtain a distribution representative of the population, participants were selected by age and gender; and 3) due to </w:t>
      </w:r>
      <w:r w:rsidR="00C90F50">
        <w:rPr>
          <w:rFonts w:cs="Times New Roman"/>
          <w:szCs w:val="24"/>
          <w:lang w:val="en-US" w:eastAsia="nb-NO"/>
        </w:rPr>
        <w:t>l</w:t>
      </w:r>
      <w:r w:rsidR="00C90F50" w:rsidRPr="006C670D">
        <w:rPr>
          <w:rFonts w:cs="Times New Roman"/>
          <w:szCs w:val="24"/>
          <w:lang w:val="en-US" w:eastAsia="nb-NO"/>
        </w:rPr>
        <w:t xml:space="preserve">iteracy </w:t>
      </w:r>
      <w:r w:rsidRPr="006C670D">
        <w:rPr>
          <w:rFonts w:cs="Times New Roman"/>
          <w:szCs w:val="24"/>
          <w:lang w:val="en-US" w:eastAsia="nb-NO"/>
        </w:rPr>
        <w:t xml:space="preserve">problems, participants who had not completed primary school were excluded from the sample. </w:t>
      </w:r>
    </w:p>
    <w:p w14:paraId="0F15927A" w14:textId="77777777" w:rsidR="00467197" w:rsidRPr="00A4002A" w:rsidRDefault="00E303E8" w:rsidP="00467197">
      <w:pPr>
        <w:ind w:firstLine="708"/>
        <w:rPr>
          <w:lang w:val="en-US"/>
        </w:rPr>
      </w:pPr>
      <w:r w:rsidRPr="006C670D">
        <w:rPr>
          <w:rFonts w:cs="Times New Roman"/>
          <w:szCs w:val="24"/>
          <w:lang w:val="en-US" w:eastAsia="ja-JP"/>
        </w:rPr>
        <w:t xml:space="preserve">Those who agreed to participate received a postal, anonymous, self-administered questionnaire, including a Freepost envelope to return the completed questionnaire. </w:t>
      </w:r>
      <w:r w:rsidRPr="006C670D">
        <w:rPr>
          <w:rFonts w:cs="Times New Roman"/>
          <w:szCs w:val="24"/>
          <w:lang w:val="en-US"/>
        </w:rPr>
        <w:t xml:space="preserve">Two reminders were sent successively, starting one week after the questionnaire was received by the participant. </w:t>
      </w:r>
      <w:r w:rsidRPr="006C670D">
        <w:rPr>
          <w:rFonts w:cs="Times New Roman"/>
          <w:szCs w:val="24"/>
          <w:lang w:val="en-US" w:eastAsia="ja-JP"/>
        </w:rPr>
        <w:t>Response rates were 68% in Norway, 52% in Denmark, 57% in Belgium and 26% in Portugal. A</w:t>
      </w:r>
      <w:r w:rsidRPr="006C670D">
        <w:rPr>
          <w:rFonts w:cs="Times New Roman"/>
          <w:szCs w:val="24"/>
          <w:lang w:val="en-US"/>
        </w:rPr>
        <w:t xml:space="preserve"> more detailed presentation of the sample, procedure, and the questionnaire i</w:t>
      </w:r>
      <w:r>
        <w:rPr>
          <w:rFonts w:cs="Times New Roman"/>
          <w:szCs w:val="24"/>
          <w:lang w:val="en-US"/>
        </w:rPr>
        <w:t>s given elsewhere (Træen et al.</w:t>
      </w:r>
      <w:r w:rsidRPr="006C670D">
        <w:rPr>
          <w:rFonts w:cs="Times New Roman"/>
          <w:szCs w:val="24"/>
          <w:lang w:val="en-US"/>
        </w:rPr>
        <w:t xml:space="preserve"> 2018).</w:t>
      </w:r>
      <w:r w:rsidR="00467197">
        <w:rPr>
          <w:rFonts w:cs="Times New Roman"/>
          <w:szCs w:val="24"/>
          <w:lang w:val="en-US"/>
        </w:rPr>
        <w:t xml:space="preserve"> </w:t>
      </w:r>
      <w:r w:rsidR="00467197" w:rsidRPr="00573036">
        <w:rPr>
          <w:lang w:val="en-US"/>
        </w:rPr>
        <w:t>The ethical procedures followed the standards of ESOMAR (The European Society for Opinion and Market Research), and national and international rules and guidelines for what is recognized as professionally sound market analysis were followed. The rules include guidance on confidentiality, respondent anonymity, questionnaires and databases and methods for data collection etc. No compensation for participation was given.</w:t>
      </w:r>
      <w:r w:rsidR="00467197" w:rsidRPr="00A4002A">
        <w:rPr>
          <w:lang w:val="en-US"/>
        </w:rPr>
        <w:t xml:space="preserve"> </w:t>
      </w:r>
    </w:p>
    <w:p w14:paraId="49A1142F" w14:textId="77777777" w:rsidR="00467197" w:rsidRPr="006011FB" w:rsidRDefault="00467197" w:rsidP="00467197">
      <w:pPr>
        <w:pStyle w:val="PlainText"/>
        <w:rPr>
          <w:b/>
          <w:lang w:val="en-GB"/>
        </w:rPr>
      </w:pPr>
    </w:p>
    <w:p w14:paraId="5EB20079" w14:textId="77777777" w:rsidR="00E303E8" w:rsidRPr="006C670D" w:rsidRDefault="00E303E8" w:rsidP="00E303E8">
      <w:pPr>
        <w:pStyle w:val="Heading2"/>
        <w:spacing w:before="0"/>
        <w:rPr>
          <w:rFonts w:cs="Times New Roman"/>
          <w:szCs w:val="24"/>
          <w:lang w:val="en-US"/>
        </w:rPr>
      </w:pPr>
      <w:r w:rsidRPr="006C670D">
        <w:rPr>
          <w:rFonts w:cs="Times New Roman"/>
          <w:szCs w:val="24"/>
          <w:lang w:val="en-US"/>
        </w:rPr>
        <w:t>Measures</w:t>
      </w:r>
    </w:p>
    <w:p w14:paraId="6DC914E5" w14:textId="77777777" w:rsidR="00E303E8" w:rsidRPr="006C670D" w:rsidRDefault="00E303E8" w:rsidP="00E303E8">
      <w:pPr>
        <w:spacing w:after="0"/>
        <w:rPr>
          <w:rFonts w:cs="Times New Roman"/>
          <w:b/>
          <w:i/>
          <w:szCs w:val="24"/>
          <w:lang w:val="en-US"/>
        </w:rPr>
      </w:pPr>
      <w:r w:rsidRPr="006C670D">
        <w:rPr>
          <w:rFonts w:cs="Times New Roman"/>
          <w:b/>
          <w:i/>
          <w:szCs w:val="24"/>
          <w:lang w:val="en-US"/>
        </w:rPr>
        <w:t>Reasons for and Frequency of Sexual Avoidance</w:t>
      </w:r>
    </w:p>
    <w:p w14:paraId="56338775" w14:textId="5C1DD741" w:rsidR="00E303E8" w:rsidRPr="006C670D" w:rsidRDefault="00E303E8" w:rsidP="00E303E8">
      <w:pPr>
        <w:spacing w:after="0"/>
        <w:ind w:firstLine="708"/>
        <w:rPr>
          <w:rFonts w:cs="Times New Roman"/>
          <w:color w:val="000000"/>
          <w:szCs w:val="24"/>
        </w:rPr>
      </w:pPr>
      <w:r w:rsidRPr="006C670D">
        <w:rPr>
          <w:rFonts w:cs="Times New Roman"/>
          <w:i/>
          <w:szCs w:val="24"/>
          <w:lang w:val="en-US"/>
        </w:rPr>
        <w:lastRenderedPageBreak/>
        <w:t>Frequency of Sexual avoidance</w:t>
      </w:r>
      <w:r w:rsidRPr="006C670D">
        <w:rPr>
          <w:rFonts w:cs="Times New Roman"/>
          <w:szCs w:val="24"/>
          <w:lang w:val="en-US"/>
        </w:rPr>
        <w:t xml:space="preserve"> was measured by the following question: “How often have you avoided sex during the last </w:t>
      </w:r>
      <w:r w:rsidRPr="003F1E74">
        <w:rPr>
          <w:rFonts w:cs="Times New Roman"/>
          <w:szCs w:val="24"/>
          <w:lang w:val="en-US"/>
        </w:rPr>
        <w:t xml:space="preserve">year?” </w:t>
      </w:r>
      <w:r w:rsidR="00724DC1" w:rsidRPr="003F1E74">
        <w:rPr>
          <w:lang w:val="en-GB"/>
        </w:rPr>
        <w:t xml:space="preserve">The question was phrased explicitly in a way that asked about active avoidance of sexual interaction. Also, the question was presented towards the end of the questionnaire and after questions about intercourse and masturbation activity were measured. This highlighted to the participants that it was not sexual inactivity that was measured – they have had the chance to report this earlier. </w:t>
      </w:r>
      <w:r w:rsidRPr="003F1E74">
        <w:rPr>
          <w:rFonts w:cs="Times New Roman"/>
          <w:szCs w:val="24"/>
          <w:lang w:val="en-US"/>
        </w:rPr>
        <w:t>Response categories were: 1 = never, 2 = rarely, 3 = sometimes, 4 = often, and 5 = always or almost always.</w:t>
      </w:r>
      <w:r w:rsidRPr="003F1E74">
        <w:rPr>
          <w:rFonts w:cs="Times New Roman"/>
          <w:color w:val="000000"/>
          <w:szCs w:val="24"/>
        </w:rPr>
        <w:t xml:space="preserve"> This variable was dichotomized to be used as a dependent variable</w:t>
      </w:r>
      <w:r w:rsidRPr="006C670D">
        <w:rPr>
          <w:rFonts w:cs="Times New Roman"/>
          <w:color w:val="000000"/>
          <w:szCs w:val="24"/>
        </w:rPr>
        <w:t xml:space="preserve"> in two </w:t>
      </w:r>
      <w:r w:rsidRPr="006C670D">
        <w:rPr>
          <w:rFonts w:cs="Times New Roman"/>
          <w:szCs w:val="24"/>
          <w:lang w:val="en-US"/>
        </w:rPr>
        <w:t>multivariate logistic regression analysis (</w:t>
      </w:r>
      <w:r w:rsidRPr="006C670D">
        <w:rPr>
          <w:rFonts w:cs="Times New Roman"/>
          <w:color w:val="000000"/>
          <w:szCs w:val="24"/>
        </w:rPr>
        <w:t>0 = never or rarely avoidant; 1 = sometimes, often, always or almost always avoidant).</w:t>
      </w:r>
      <w:r w:rsidR="00724DC1">
        <w:rPr>
          <w:rFonts w:cs="Times New Roman"/>
          <w:color w:val="000000"/>
          <w:szCs w:val="24"/>
        </w:rPr>
        <w:t xml:space="preserve"> </w:t>
      </w:r>
    </w:p>
    <w:p w14:paraId="11E06D7F" w14:textId="28B3462C" w:rsidR="00E303E8" w:rsidRPr="006C670D" w:rsidRDefault="00E303E8" w:rsidP="00E303E8">
      <w:pPr>
        <w:spacing w:after="0"/>
        <w:ind w:firstLine="708"/>
        <w:rPr>
          <w:rFonts w:cs="Times New Roman"/>
          <w:szCs w:val="24"/>
          <w:lang w:val="en-US"/>
        </w:rPr>
      </w:pPr>
      <w:r w:rsidRPr="006C670D">
        <w:rPr>
          <w:rFonts w:cs="Times New Roman"/>
          <w:i/>
          <w:szCs w:val="24"/>
          <w:lang w:val="en-US"/>
        </w:rPr>
        <w:t xml:space="preserve">Reasons for avoiding sex </w:t>
      </w:r>
      <w:r w:rsidRPr="006C670D">
        <w:rPr>
          <w:rFonts w:cs="Times New Roman"/>
          <w:szCs w:val="24"/>
          <w:lang w:val="en-US"/>
        </w:rPr>
        <w:t xml:space="preserve">were explored by asking: “If you have avoided sex: Why have you avoided having sex?” Multiple answers were permissible. The following </w:t>
      </w:r>
      <w:r w:rsidR="00C90F50">
        <w:rPr>
          <w:rFonts w:cs="Times New Roman"/>
          <w:szCs w:val="24"/>
          <w:lang w:val="en-US"/>
        </w:rPr>
        <w:t xml:space="preserve">response options </w:t>
      </w:r>
      <w:r w:rsidRPr="006C670D">
        <w:rPr>
          <w:rFonts w:cs="Times New Roman"/>
          <w:szCs w:val="24"/>
          <w:lang w:val="en-US"/>
        </w:rPr>
        <w:t xml:space="preserve">were offered: relationship problems, worries about </w:t>
      </w:r>
      <w:r w:rsidR="00E6189E">
        <w:rPr>
          <w:rFonts w:cs="Times New Roman"/>
          <w:szCs w:val="24"/>
          <w:lang w:val="en-US"/>
        </w:rPr>
        <w:t>sexual transmitted infections (</w:t>
      </w:r>
      <w:r w:rsidRPr="006C670D">
        <w:rPr>
          <w:rFonts w:cs="Times New Roman"/>
          <w:szCs w:val="24"/>
          <w:lang w:val="en-US"/>
        </w:rPr>
        <w:t>STIs</w:t>
      </w:r>
      <w:r w:rsidR="00E6189E">
        <w:rPr>
          <w:rFonts w:cs="Times New Roman"/>
          <w:szCs w:val="24"/>
          <w:lang w:val="en-US"/>
        </w:rPr>
        <w:t>)</w:t>
      </w:r>
      <w:r w:rsidRPr="006C670D">
        <w:rPr>
          <w:rFonts w:cs="Times New Roman"/>
          <w:szCs w:val="24"/>
          <w:lang w:val="en-US"/>
        </w:rPr>
        <w:t xml:space="preserve">, sexual difficulties, partner’s sexual difficulties, body image concerns, health problems, “I’m not interested in sex anymore”, and “other” reasons. </w:t>
      </w:r>
    </w:p>
    <w:p w14:paraId="69D55A61" w14:textId="77777777" w:rsidR="00E303E8" w:rsidRPr="006C670D" w:rsidRDefault="00E303E8" w:rsidP="00E303E8">
      <w:pPr>
        <w:spacing w:after="0"/>
        <w:rPr>
          <w:rFonts w:eastAsia="Times New Roman" w:cs="Times New Roman"/>
          <w:b/>
          <w:szCs w:val="24"/>
          <w:lang w:val="en-US"/>
        </w:rPr>
      </w:pPr>
      <w:r w:rsidRPr="006C670D">
        <w:rPr>
          <w:rFonts w:eastAsia="Times New Roman" w:cs="Times New Roman"/>
          <w:b/>
          <w:i/>
          <w:szCs w:val="24"/>
          <w:lang w:val="en-US"/>
        </w:rPr>
        <w:t>Sociodemographic Indicators</w:t>
      </w:r>
      <w:r w:rsidRPr="006C670D">
        <w:rPr>
          <w:rFonts w:eastAsia="Times New Roman" w:cs="Times New Roman"/>
          <w:b/>
          <w:szCs w:val="24"/>
          <w:lang w:val="en-US"/>
        </w:rPr>
        <w:t xml:space="preserve"> </w:t>
      </w:r>
    </w:p>
    <w:p w14:paraId="38F932C0" w14:textId="0097E034" w:rsidR="00E303E8" w:rsidRPr="006C670D" w:rsidRDefault="00E303E8" w:rsidP="00E303E8">
      <w:pPr>
        <w:spacing w:after="0"/>
        <w:ind w:firstLine="708"/>
        <w:rPr>
          <w:rFonts w:cs="Times New Roman"/>
          <w:szCs w:val="24"/>
          <w:lang w:val="en-US"/>
        </w:rPr>
      </w:pPr>
      <w:r w:rsidRPr="006C670D">
        <w:rPr>
          <w:rFonts w:cs="Times New Roman"/>
          <w:i/>
          <w:szCs w:val="24"/>
          <w:lang w:val="en-US"/>
        </w:rPr>
        <w:t>Level of education</w:t>
      </w:r>
      <w:r w:rsidRPr="006C670D">
        <w:rPr>
          <w:rFonts w:cs="Times New Roman"/>
          <w:szCs w:val="24"/>
          <w:lang w:val="en-US"/>
        </w:rPr>
        <w:t xml:space="preserve"> was assessed as the</w:t>
      </w:r>
      <w:r w:rsidRPr="006C670D">
        <w:rPr>
          <w:rFonts w:cs="Times New Roman"/>
          <w:szCs w:val="24"/>
          <w:shd w:val="clear" w:color="auto" w:fill="FFFFFF"/>
          <w:lang w:val="en-US"/>
        </w:rPr>
        <w:t xml:space="preserve"> highest level of formal education. In </w:t>
      </w:r>
      <w:r w:rsidR="009A5BC3">
        <w:rPr>
          <w:rFonts w:cs="Times New Roman"/>
          <w:szCs w:val="24"/>
          <w:shd w:val="clear" w:color="auto" w:fill="FFFFFF"/>
          <w:lang w:val="en-US"/>
        </w:rPr>
        <w:t>three</w:t>
      </w:r>
      <w:r w:rsidR="009A5BC3" w:rsidRPr="006C670D">
        <w:rPr>
          <w:rFonts w:cs="Times New Roman"/>
          <w:szCs w:val="24"/>
          <w:shd w:val="clear" w:color="auto" w:fill="FFFFFF"/>
          <w:lang w:val="en-US"/>
        </w:rPr>
        <w:t xml:space="preserve"> </w:t>
      </w:r>
      <w:r w:rsidRPr="006C670D">
        <w:rPr>
          <w:rFonts w:cs="Times New Roman"/>
          <w:szCs w:val="24"/>
          <w:shd w:val="clear" w:color="auto" w:fill="FFFFFF"/>
          <w:lang w:val="en-US"/>
        </w:rPr>
        <w:t>countries the response categories were 1 = Primary school (6-8 years at school), 2 = Lower secondary school (9-10 years at school), 3 = Higher secondary school, high school (12-13 years at school), 4 = College, lower university level (Bachelor degree level or similar), and 5 = Higher university level (Master degree, Ph.D. level or similar). In Belgium, additional response alternatives were added to mirror the educational system in the country. To allow for cross-cultural comparisons, the variable was recoded into 1 = primary (1), 2 = secondary (2+3), and 3 = tertiary education (4+5).</w:t>
      </w:r>
    </w:p>
    <w:p w14:paraId="4B1CBEB9" w14:textId="77777777" w:rsidR="00E303E8" w:rsidRPr="006C670D" w:rsidRDefault="00E303E8" w:rsidP="00E303E8">
      <w:pPr>
        <w:spacing w:after="0"/>
        <w:ind w:firstLine="708"/>
        <w:rPr>
          <w:rFonts w:cs="Times New Roman"/>
          <w:szCs w:val="24"/>
          <w:lang w:val="en-US"/>
        </w:rPr>
      </w:pPr>
      <w:r w:rsidRPr="006C670D">
        <w:rPr>
          <w:rFonts w:cs="Times New Roman"/>
          <w:i/>
          <w:szCs w:val="24"/>
          <w:lang w:val="en-US"/>
        </w:rPr>
        <w:t>Place of residence</w:t>
      </w:r>
      <w:r w:rsidRPr="006C670D">
        <w:rPr>
          <w:rFonts w:cs="Times New Roman"/>
          <w:szCs w:val="24"/>
          <w:lang w:val="en-US"/>
        </w:rPr>
        <w:t xml:space="preserve"> was assessed by asking participants: “How would you describe the town or community where you live?” The response categories were 1 = rural, 2 = small town, 3 = medium-sized city, 4 = suburb of a large-sized city, 5 = large-sized city, and 6 = other. </w:t>
      </w:r>
    </w:p>
    <w:p w14:paraId="28CDAA48" w14:textId="77777777" w:rsidR="00E303E8" w:rsidRPr="006C670D" w:rsidRDefault="00E303E8" w:rsidP="00E303E8">
      <w:pPr>
        <w:spacing w:after="0"/>
        <w:ind w:firstLine="708"/>
        <w:rPr>
          <w:rFonts w:cs="Times New Roman"/>
          <w:szCs w:val="24"/>
          <w:lang w:val="en-US"/>
        </w:rPr>
      </w:pPr>
      <w:r w:rsidRPr="006C670D">
        <w:rPr>
          <w:rFonts w:cs="Times New Roman"/>
          <w:i/>
          <w:szCs w:val="24"/>
          <w:lang w:val="en-US"/>
        </w:rPr>
        <w:t>Relationship status</w:t>
      </w:r>
      <w:r w:rsidRPr="006C670D">
        <w:rPr>
          <w:rFonts w:cs="Times New Roman"/>
          <w:szCs w:val="24"/>
          <w:lang w:val="en-US"/>
        </w:rPr>
        <w:t xml:space="preserve"> was assessed with the following question: “Do you currently have a steady/committed relationship with anybody? A steady/committed relationship also includes married/cohabiting persons.” Response categories were 1 = Yes, 2 = No, and 3 = Unsure. The 21 participants who were unsure about their relationship status were included in the “No” category. </w:t>
      </w:r>
    </w:p>
    <w:p w14:paraId="750A5549" w14:textId="77777777" w:rsidR="00E303E8" w:rsidRPr="006C670D" w:rsidRDefault="00E303E8" w:rsidP="00E303E8">
      <w:pPr>
        <w:spacing w:after="0"/>
        <w:ind w:firstLine="708"/>
        <w:rPr>
          <w:rFonts w:cs="Times New Roman"/>
          <w:szCs w:val="24"/>
          <w:lang w:val="en-US"/>
        </w:rPr>
      </w:pPr>
      <w:r w:rsidRPr="006C670D">
        <w:rPr>
          <w:rFonts w:cs="Times New Roman"/>
          <w:i/>
          <w:szCs w:val="24"/>
          <w:lang w:val="en-US"/>
        </w:rPr>
        <w:t xml:space="preserve">Religiosity </w:t>
      </w:r>
      <w:r w:rsidRPr="006C670D">
        <w:rPr>
          <w:rFonts w:cs="Times New Roman"/>
          <w:szCs w:val="24"/>
          <w:lang w:val="en-US"/>
        </w:rPr>
        <w:t xml:space="preserve">was assessed using a question about the frequency of attending religious ceremonies (“Apart from special occasions such as weddings, funerals, and baptisms, how </w:t>
      </w:r>
      <w:r w:rsidRPr="006C670D">
        <w:rPr>
          <w:rFonts w:cs="Times New Roman"/>
          <w:szCs w:val="24"/>
          <w:lang w:val="en-US"/>
        </w:rPr>
        <w:lastRenderedPageBreak/>
        <w:t>often do you attend religious services or meetings?”). Response options were: 1 = Once a week or more, 2 = Once every two weeks, 3 = Once a month, 4 = Twice a year, 5 = Once a year, 6 = Less than once a year, and 7 = Never. Based on its distribution, the variable was recoded into 1 = Never, 2 = Less than once a year, 3 = Once or twice a year, and 4 = Once a month or more.</w:t>
      </w:r>
    </w:p>
    <w:p w14:paraId="2876B626" w14:textId="77777777" w:rsidR="00E303E8" w:rsidRPr="006C670D" w:rsidRDefault="00E303E8" w:rsidP="00E303E8">
      <w:pPr>
        <w:spacing w:after="0"/>
        <w:rPr>
          <w:rFonts w:cs="Times New Roman"/>
          <w:b/>
          <w:i/>
          <w:szCs w:val="24"/>
          <w:lang w:val="en-US"/>
        </w:rPr>
      </w:pPr>
      <w:r w:rsidRPr="006C670D">
        <w:rPr>
          <w:rFonts w:cs="Times New Roman"/>
          <w:b/>
          <w:i/>
          <w:szCs w:val="24"/>
          <w:lang w:val="en-US"/>
        </w:rPr>
        <w:t>Relational Indicators</w:t>
      </w:r>
    </w:p>
    <w:p w14:paraId="6D36A78B" w14:textId="77777777" w:rsidR="00E303E8" w:rsidRPr="006C670D" w:rsidRDefault="00E303E8" w:rsidP="00E303E8">
      <w:pPr>
        <w:spacing w:after="0"/>
        <w:ind w:firstLine="708"/>
        <w:rPr>
          <w:rFonts w:eastAsia="Times New Roman" w:cs="Times New Roman"/>
          <w:szCs w:val="24"/>
          <w:lang w:val="en-US"/>
        </w:rPr>
      </w:pPr>
      <w:r w:rsidRPr="006C670D">
        <w:rPr>
          <w:rFonts w:eastAsia="Times New Roman" w:cs="Times New Roman"/>
          <w:i/>
          <w:szCs w:val="24"/>
          <w:lang w:val="en-US"/>
        </w:rPr>
        <w:t xml:space="preserve">Relationship duration </w:t>
      </w:r>
      <w:r w:rsidRPr="006C670D">
        <w:rPr>
          <w:rFonts w:eastAsia="Times New Roman" w:cs="Times New Roman"/>
          <w:szCs w:val="24"/>
          <w:lang w:val="en-US"/>
        </w:rPr>
        <w:t>was assessed as the number of years of the current committed relationship.</w:t>
      </w:r>
    </w:p>
    <w:p w14:paraId="64C6743C" w14:textId="77777777" w:rsidR="00E303E8" w:rsidRPr="006C670D" w:rsidRDefault="00E303E8" w:rsidP="00E303E8">
      <w:pPr>
        <w:spacing w:after="0"/>
        <w:ind w:firstLine="708"/>
        <w:rPr>
          <w:rFonts w:eastAsia="Times New Roman" w:cs="Times New Roman"/>
          <w:szCs w:val="24"/>
          <w:lang w:val="en-US"/>
        </w:rPr>
      </w:pPr>
      <w:r w:rsidRPr="006C670D">
        <w:rPr>
          <w:rFonts w:eastAsia="Times New Roman" w:cs="Times New Roman"/>
          <w:i/>
          <w:szCs w:val="24"/>
          <w:lang w:val="en-US"/>
        </w:rPr>
        <w:t>Relationship satisfaction</w:t>
      </w:r>
      <w:r w:rsidRPr="006C670D">
        <w:rPr>
          <w:rFonts w:eastAsia="Times New Roman" w:cs="Times New Roman"/>
          <w:szCs w:val="24"/>
          <w:lang w:val="en-US"/>
        </w:rPr>
        <w:t xml:space="preserve"> was measured with the following indicator: “How happy or unhappy are you with your relationship with your partner, all things considered?” A 7-point scale, ranging from 1 = very happy to 7 = very unhappy, was used to anchor answers. </w:t>
      </w:r>
      <w:r w:rsidRPr="006C670D">
        <w:rPr>
          <w:rFonts w:cs="Times New Roman"/>
          <w:color w:val="000000"/>
          <w:szCs w:val="24"/>
        </w:rPr>
        <w:t>Higher scores indicate lower levels of relationship satisfaction.</w:t>
      </w:r>
    </w:p>
    <w:p w14:paraId="2C65FBA3" w14:textId="6B50B893" w:rsidR="00E303E8" w:rsidRPr="006C670D" w:rsidRDefault="00E303E8" w:rsidP="00E303E8">
      <w:pPr>
        <w:spacing w:after="0"/>
        <w:ind w:firstLine="708"/>
        <w:rPr>
          <w:rFonts w:cs="Times New Roman"/>
          <w:szCs w:val="24"/>
          <w:lang w:val="en-GB"/>
        </w:rPr>
      </w:pPr>
      <w:r w:rsidRPr="006C670D">
        <w:rPr>
          <w:rFonts w:eastAsia="Times New Roman" w:cs="Times New Roman"/>
          <w:i/>
          <w:szCs w:val="24"/>
          <w:lang w:val="en-US"/>
        </w:rPr>
        <w:t>Relationship intimacy</w:t>
      </w:r>
      <w:r w:rsidRPr="006C670D">
        <w:rPr>
          <w:rFonts w:eastAsia="Times New Roman" w:cs="Times New Roman"/>
          <w:szCs w:val="24"/>
          <w:lang w:val="en-US"/>
        </w:rPr>
        <w:t xml:space="preserve"> was measured using the </w:t>
      </w:r>
      <w:r w:rsidRPr="006C670D">
        <w:rPr>
          <w:rFonts w:cs="Times New Roman"/>
          <w:szCs w:val="24"/>
        </w:rPr>
        <w:t xml:space="preserve">5-item </w:t>
      </w:r>
      <w:r w:rsidRPr="006C670D">
        <w:rPr>
          <w:rFonts w:eastAsia="Times New Roman" w:cs="Times New Roman"/>
          <w:szCs w:val="24"/>
          <w:lang w:val="en-US"/>
        </w:rPr>
        <w:t>Emotional I</w:t>
      </w:r>
      <w:r w:rsidRPr="006C670D">
        <w:rPr>
          <w:rFonts w:cs="Times New Roman"/>
          <w:szCs w:val="24"/>
          <w:lang w:val="en-US"/>
        </w:rPr>
        <w:t>ntimacy Scale (</w:t>
      </w:r>
      <w:r w:rsidRPr="006C670D">
        <w:rPr>
          <w:rFonts w:cs="Times New Roman"/>
          <w:szCs w:val="24"/>
          <w:lang w:val="en-GB"/>
        </w:rPr>
        <w:t xml:space="preserve">Sinclair </w:t>
      </w:r>
      <w:r w:rsidR="005A58C0">
        <w:rPr>
          <w:rFonts w:cs="Times New Roman"/>
          <w:szCs w:val="24"/>
          <w:lang w:val="en-GB"/>
        </w:rPr>
        <w:t>and</w:t>
      </w:r>
      <w:r w:rsidRPr="006C670D">
        <w:rPr>
          <w:rFonts w:cs="Times New Roman"/>
          <w:szCs w:val="24"/>
          <w:lang w:val="en-GB"/>
        </w:rPr>
        <w:t xml:space="preserve"> Dowdy 2006). In this study, Cronbach’s α for the scale was 0.91. Higher aggregate scores denote lower relationship intimacy.</w:t>
      </w:r>
    </w:p>
    <w:p w14:paraId="5F736DE3" w14:textId="77777777" w:rsidR="00E303E8" w:rsidRPr="006C670D" w:rsidRDefault="00E303E8" w:rsidP="00E303E8">
      <w:pPr>
        <w:spacing w:after="0"/>
        <w:rPr>
          <w:rFonts w:eastAsia="Times New Roman" w:cs="Times New Roman"/>
          <w:b/>
          <w:i/>
          <w:szCs w:val="24"/>
          <w:lang w:val="en-US"/>
        </w:rPr>
      </w:pPr>
      <w:r w:rsidRPr="006C670D">
        <w:rPr>
          <w:rFonts w:eastAsia="Times New Roman" w:cs="Times New Roman"/>
          <w:b/>
          <w:i/>
          <w:szCs w:val="24"/>
          <w:lang w:val="en-US"/>
        </w:rPr>
        <w:t>Health-Related Indicators</w:t>
      </w:r>
    </w:p>
    <w:p w14:paraId="6A4B76DA" w14:textId="4A9920A5" w:rsidR="00E303E8" w:rsidRPr="006C670D" w:rsidRDefault="00E303E8" w:rsidP="00E303E8">
      <w:pPr>
        <w:spacing w:after="0"/>
        <w:ind w:firstLine="708"/>
        <w:rPr>
          <w:rFonts w:cs="Times New Roman"/>
          <w:szCs w:val="24"/>
          <w:lang w:val="en-US"/>
        </w:rPr>
      </w:pPr>
      <w:r w:rsidRPr="006C670D">
        <w:rPr>
          <w:rFonts w:eastAsia="Times New Roman" w:cs="Times New Roman"/>
          <w:i/>
          <w:szCs w:val="24"/>
          <w:lang w:val="en-US"/>
        </w:rPr>
        <w:t xml:space="preserve">Physical health and mental health: </w:t>
      </w:r>
      <w:r w:rsidRPr="006C670D">
        <w:rPr>
          <w:rFonts w:cs="Times New Roman"/>
          <w:szCs w:val="24"/>
          <w:lang w:val="en-US"/>
        </w:rPr>
        <w:t xml:space="preserve">The Short Form Health Survey (SF12) was used to measure </w:t>
      </w:r>
      <w:r w:rsidR="009A5BC3">
        <w:rPr>
          <w:rFonts w:cs="Times New Roman"/>
          <w:szCs w:val="24"/>
          <w:lang w:val="en-US"/>
        </w:rPr>
        <w:t xml:space="preserve">self-reported </w:t>
      </w:r>
      <w:r w:rsidRPr="006C670D">
        <w:rPr>
          <w:rFonts w:cs="Times New Roman"/>
          <w:szCs w:val="24"/>
          <w:lang w:val="en-US"/>
        </w:rPr>
        <w:t>functional health and well-being (</w:t>
      </w:r>
      <w:r w:rsidRPr="006C670D">
        <w:rPr>
          <w:rFonts w:cs="Times New Roman"/>
          <w:noProof/>
          <w:szCs w:val="24"/>
        </w:rPr>
        <w:t xml:space="preserve">Ware, Kosinski, </w:t>
      </w:r>
      <w:r w:rsidR="005A58C0">
        <w:rPr>
          <w:rFonts w:cs="Times New Roman"/>
          <w:noProof/>
          <w:szCs w:val="24"/>
        </w:rPr>
        <w:t>and</w:t>
      </w:r>
      <w:r w:rsidRPr="006C670D">
        <w:rPr>
          <w:rFonts w:cs="Times New Roman"/>
          <w:noProof/>
          <w:szCs w:val="24"/>
        </w:rPr>
        <w:t xml:space="preserve"> Keller 1995)</w:t>
      </w:r>
      <w:r w:rsidRPr="006C670D">
        <w:rPr>
          <w:rFonts w:cs="Times New Roman"/>
          <w:szCs w:val="24"/>
          <w:lang w:val="en-US"/>
        </w:rPr>
        <w:t xml:space="preserve">. The SF12 includes 12 items and various response scales. Scores were summed using the official </w:t>
      </w:r>
      <w:r w:rsidR="00010350">
        <w:rPr>
          <w:rFonts w:cs="Times New Roman"/>
          <w:szCs w:val="24"/>
          <w:lang w:val="en-US"/>
        </w:rPr>
        <w:t>scoring</w:t>
      </w:r>
      <w:r w:rsidRPr="006C670D">
        <w:rPr>
          <w:rFonts w:cs="Times New Roman"/>
          <w:szCs w:val="24"/>
          <w:lang w:val="en-US"/>
        </w:rPr>
        <w:t xml:space="preserve"> schemes to provide overall scores on two sub-dimensions: mental health and physical health. Higher scores indicate better health and well-being. </w:t>
      </w:r>
    </w:p>
    <w:p w14:paraId="6C1B7DC8" w14:textId="0AFCB92D" w:rsidR="00E303E8" w:rsidRPr="006C670D" w:rsidRDefault="00E303E8" w:rsidP="00E303E8">
      <w:pPr>
        <w:spacing w:after="0"/>
        <w:ind w:firstLine="708"/>
        <w:rPr>
          <w:rFonts w:eastAsiaTheme="minorHAnsi" w:cs="Times New Roman"/>
          <w:color w:val="1F497D"/>
          <w:szCs w:val="24"/>
          <w:lang w:val="en-US" w:eastAsia="pt-PT"/>
        </w:rPr>
      </w:pPr>
      <w:r w:rsidRPr="006C670D">
        <w:rPr>
          <w:rFonts w:eastAsia="Times New Roman" w:cs="Times New Roman"/>
          <w:i/>
          <w:szCs w:val="24"/>
          <w:lang w:val="en-US"/>
        </w:rPr>
        <w:t xml:space="preserve">Distressing sexual problems </w:t>
      </w:r>
      <w:r w:rsidRPr="006C670D">
        <w:rPr>
          <w:rFonts w:cs="Times New Roman"/>
          <w:szCs w:val="24"/>
          <w:lang w:val="en-GB"/>
        </w:rPr>
        <w:t xml:space="preserve">was measured by a modified version of the </w:t>
      </w:r>
      <w:r w:rsidR="00E6189E">
        <w:rPr>
          <w:rFonts w:cs="Times New Roman"/>
          <w:szCs w:val="24"/>
          <w:lang w:val="en-GB"/>
        </w:rPr>
        <w:t>National Survey of Sexual Attitudes and Lifestyles (</w:t>
      </w:r>
      <w:r w:rsidRPr="006C670D">
        <w:rPr>
          <w:rFonts w:cs="Times New Roman"/>
          <w:szCs w:val="24"/>
          <w:lang w:val="en-GB"/>
        </w:rPr>
        <w:t>NATSAL-SF</w:t>
      </w:r>
      <w:r w:rsidR="00E6189E">
        <w:rPr>
          <w:rFonts w:cs="Times New Roman"/>
          <w:szCs w:val="24"/>
          <w:lang w:val="en-GB"/>
        </w:rPr>
        <w:t xml:space="preserve">; </w:t>
      </w:r>
      <w:r w:rsidRPr="006C670D">
        <w:rPr>
          <w:rFonts w:cs="Times New Roman"/>
          <w:szCs w:val="24"/>
          <w:lang w:val="en-GB"/>
        </w:rPr>
        <w:t xml:space="preserve">Jones </w:t>
      </w:r>
      <w:r w:rsidR="00E23BD9">
        <w:rPr>
          <w:rFonts w:cs="Times New Roman"/>
          <w:szCs w:val="24"/>
          <w:lang w:val="en-GB"/>
        </w:rPr>
        <w:t>et al.</w:t>
      </w:r>
      <w:r w:rsidRPr="006C670D">
        <w:rPr>
          <w:rFonts w:cs="Times New Roman"/>
          <w:szCs w:val="24"/>
          <w:lang w:val="en-GB"/>
        </w:rPr>
        <w:t xml:space="preserve">2015). For each of eight listed sexual difficulties, if experienced </w:t>
      </w:r>
      <w:r w:rsidRPr="006C670D">
        <w:rPr>
          <w:rFonts w:cs="Times New Roman"/>
          <w:iCs/>
          <w:szCs w:val="24"/>
          <w:lang w:val="en-GB"/>
        </w:rPr>
        <w:t>in a period of three or more months during the past year</w:t>
      </w:r>
      <w:r w:rsidRPr="006C670D">
        <w:rPr>
          <w:rFonts w:cs="Times New Roman"/>
          <w:szCs w:val="24"/>
          <w:lang w:val="en-GB"/>
        </w:rPr>
        <w:t xml:space="preserve">, the participant was asked about the level of associated distress (1 = no distress; 4 = severe distress). </w:t>
      </w:r>
      <w:r w:rsidRPr="006C670D">
        <w:rPr>
          <w:rFonts w:cs="Times New Roman"/>
          <w:szCs w:val="24"/>
          <w:lang w:val="en-US"/>
        </w:rPr>
        <w:t xml:space="preserve">“In the last year, have you experienced any of the following for a period of 3 months or longer? (Mitchell et al. 2013). This was followed by eight different sexual problems: “lacked interest in having sex”, “lacked enjoyment in sex”, “felt anxious during sex”, “felt physical pain as a result of sex”, “felt no excitement or arousal during sex”, “did not reach a climax (experienced an orgasm) or took a long time to reach a climax despite feeling excited/aroused”, “reached a climax (experienced an orgasm) more quickly than you would like” and “Had trouble getting or keeping an erection”. Level of distress about one or more sexual difficulties was indicated by eight items which measured distress related to each particular type of sexual difficulty. The distress items, which used a 4-point scale ranging </w:t>
      </w:r>
      <w:r w:rsidRPr="006C670D">
        <w:rPr>
          <w:rFonts w:cs="Times New Roman"/>
          <w:szCs w:val="24"/>
          <w:lang w:val="en-US"/>
        </w:rPr>
        <w:lastRenderedPageBreak/>
        <w:t xml:space="preserve">from 1 = no distress to 4 = severe distress to anchor answers, were summed into a composite indicator (Cronbach's alpha was .98 for male and .99 for female participants). Higher composite scores denote higher distress about sexual problems; </w:t>
      </w:r>
      <w:r w:rsidRPr="006C670D">
        <w:rPr>
          <w:rFonts w:cs="Times New Roman"/>
          <w:szCs w:val="24"/>
          <w:lang w:val="en-GB"/>
        </w:rPr>
        <w:t>individuals who did not report a specific sexual difficulty were coded 0.</w:t>
      </w:r>
    </w:p>
    <w:p w14:paraId="75B553C5" w14:textId="77777777" w:rsidR="00E303E8" w:rsidRPr="006C670D" w:rsidRDefault="00E303E8" w:rsidP="00E303E8">
      <w:pPr>
        <w:spacing w:after="0"/>
        <w:ind w:firstLine="708"/>
        <w:rPr>
          <w:rFonts w:eastAsia="Times New Roman" w:cs="Times New Roman"/>
          <w:szCs w:val="24"/>
          <w:lang w:val="en-US"/>
        </w:rPr>
      </w:pPr>
      <w:r w:rsidRPr="006C670D">
        <w:rPr>
          <w:rFonts w:eastAsia="Times New Roman" w:cs="Times New Roman"/>
          <w:i/>
          <w:szCs w:val="24"/>
          <w:lang w:val="en-US"/>
        </w:rPr>
        <w:t>Partner’s sexual problem(s)</w:t>
      </w:r>
      <w:r w:rsidRPr="006C670D">
        <w:rPr>
          <w:rFonts w:eastAsia="Times New Roman" w:cs="Times New Roman"/>
          <w:szCs w:val="24"/>
          <w:lang w:val="en-US"/>
        </w:rPr>
        <w:t xml:space="preserve"> was measured by the following single item: “My partner has experienced sexual difficulties in the last year”.  Response categories ranged from 1 = strongly agree to 5 = strongly disagree.</w:t>
      </w:r>
    </w:p>
    <w:p w14:paraId="485B9EFB" w14:textId="77777777" w:rsidR="00E303E8" w:rsidRPr="006C670D" w:rsidRDefault="00E303E8" w:rsidP="00E303E8">
      <w:pPr>
        <w:autoSpaceDE w:val="0"/>
        <w:autoSpaceDN w:val="0"/>
        <w:adjustRightInd w:val="0"/>
        <w:spacing w:after="0"/>
        <w:rPr>
          <w:rFonts w:cs="Times New Roman"/>
          <w:b/>
          <w:szCs w:val="24"/>
        </w:rPr>
      </w:pPr>
      <w:r w:rsidRPr="006C670D">
        <w:rPr>
          <w:rFonts w:cs="Times New Roman"/>
          <w:b/>
          <w:szCs w:val="24"/>
        </w:rPr>
        <w:t>Statistical Analyses</w:t>
      </w:r>
    </w:p>
    <w:p w14:paraId="7DEEEB1B" w14:textId="77777777" w:rsidR="00E303E8" w:rsidRPr="006C670D" w:rsidRDefault="00E303E8" w:rsidP="00E303E8">
      <w:pPr>
        <w:spacing w:after="0"/>
        <w:ind w:firstLine="708"/>
        <w:rPr>
          <w:rFonts w:cs="Times New Roman"/>
          <w:szCs w:val="24"/>
          <w:lang w:val="en-GB"/>
        </w:rPr>
      </w:pPr>
      <w:r w:rsidRPr="006C670D">
        <w:rPr>
          <w:rFonts w:cs="Times New Roman"/>
          <w:szCs w:val="24"/>
        </w:rPr>
        <w:t xml:space="preserve">Gender </w:t>
      </w:r>
      <w:r w:rsidRPr="006C670D">
        <w:rPr>
          <w:rFonts w:cs="Times New Roman"/>
          <w:szCs w:val="24"/>
          <w:lang w:val="en-GB"/>
        </w:rPr>
        <w:t xml:space="preserve">differences and cross-country </w:t>
      </w:r>
      <w:r w:rsidRPr="006C670D">
        <w:rPr>
          <w:rFonts w:cs="Times New Roman"/>
          <w:szCs w:val="24"/>
          <w:lang w:val="en-US"/>
        </w:rPr>
        <w:t xml:space="preserve">differences </w:t>
      </w:r>
      <w:r w:rsidRPr="006C670D">
        <w:rPr>
          <w:rFonts w:cs="Times New Roman"/>
          <w:szCs w:val="24"/>
          <w:lang w:val="en-GB"/>
        </w:rPr>
        <w:t xml:space="preserve">in the frequency of sexual avoidance and reasons to avoid sex were tested using the chi-square test. </w:t>
      </w:r>
      <w:r w:rsidRPr="006C670D">
        <w:rPr>
          <w:rFonts w:cs="Times New Roman"/>
          <w:szCs w:val="24"/>
          <w:lang w:val="en-US"/>
        </w:rPr>
        <w:t>To assess the predictors/correlates of sexual avoidance a sequential multivariate logistic regression analysis was carried out separately for</w:t>
      </w:r>
      <w:r w:rsidRPr="006C670D">
        <w:rPr>
          <w:rFonts w:cs="Times New Roman"/>
          <w:szCs w:val="24"/>
          <w:lang w:val="en-GB"/>
        </w:rPr>
        <w:t xml:space="preserve"> men and women.</w:t>
      </w:r>
      <w:r w:rsidRPr="006C670D">
        <w:rPr>
          <w:rFonts w:cs="Times New Roman"/>
          <w:szCs w:val="24"/>
          <w:lang w:val="en-US"/>
        </w:rPr>
        <w:t xml:space="preserve"> In the first step, the model (Model A) included only sociodemographic indicators. Relational indicators were entered in the second step (Model B) and health-related indicators in the final step (Model C).</w:t>
      </w:r>
      <w:r w:rsidRPr="006C670D">
        <w:rPr>
          <w:rFonts w:cs="Times New Roman"/>
          <w:szCs w:val="24"/>
          <w:lang w:val="en-GB"/>
        </w:rPr>
        <w:t xml:space="preserve"> All analyses were carried out using IBM SPSS v22 statistical software package.</w:t>
      </w:r>
    </w:p>
    <w:p w14:paraId="51BE688A" w14:textId="77777777" w:rsidR="00E303E8" w:rsidRPr="006C670D" w:rsidRDefault="00E303E8" w:rsidP="00E303E8">
      <w:pPr>
        <w:pStyle w:val="Heading1"/>
      </w:pPr>
      <w:r w:rsidRPr="006C670D">
        <w:t>Results</w:t>
      </w:r>
    </w:p>
    <w:p w14:paraId="10BD482F" w14:textId="77777777" w:rsidR="00E303E8" w:rsidRPr="006C670D" w:rsidRDefault="00E303E8" w:rsidP="00E303E8">
      <w:pPr>
        <w:spacing w:after="0"/>
        <w:rPr>
          <w:rFonts w:cs="Times New Roman"/>
          <w:b/>
          <w:szCs w:val="24"/>
          <w:lang w:val="en-GB"/>
        </w:rPr>
      </w:pPr>
      <w:r w:rsidRPr="006C670D">
        <w:rPr>
          <w:rFonts w:cs="Times New Roman"/>
          <w:b/>
          <w:szCs w:val="24"/>
        </w:rPr>
        <w:t xml:space="preserve">Frequency of Sexual Avoidance </w:t>
      </w:r>
    </w:p>
    <w:p w14:paraId="4886E294" w14:textId="54AD28AD" w:rsidR="00E303E8" w:rsidRPr="006C670D" w:rsidRDefault="00E303E8" w:rsidP="00E303E8">
      <w:pPr>
        <w:spacing w:after="0"/>
        <w:ind w:firstLine="708"/>
        <w:rPr>
          <w:rFonts w:cs="Times New Roman"/>
          <w:szCs w:val="24"/>
          <w:lang w:val="en-GB"/>
        </w:rPr>
      </w:pPr>
      <w:r w:rsidRPr="006C670D">
        <w:rPr>
          <w:rFonts w:cs="Times New Roman"/>
          <w:szCs w:val="24"/>
          <w:lang w:val="en-GB"/>
        </w:rPr>
        <w:t xml:space="preserve">In this sample of partnered older individuals, 59% of men and 33% of women reported that they had not avoided sex in the past 12 months. Sixteen percent of women and 11% of men reported often, always or almost always avoiding sex (Table 2). </w:t>
      </w:r>
      <w:r w:rsidRPr="006C670D">
        <w:rPr>
          <w:rFonts w:eastAsiaTheme="minorHAnsi" w:cs="Times New Roman"/>
          <w:szCs w:val="24"/>
          <w:lang w:val="en-GB" w:eastAsia="en-US"/>
        </w:rPr>
        <w:t xml:space="preserve">There were significant differences between men and women in sexual avoidance </w:t>
      </w:r>
      <w:r w:rsidRPr="006C670D">
        <w:rPr>
          <w:rFonts w:cs="Times New Roman"/>
          <w:szCs w:val="24"/>
          <w:lang w:val="en-GB"/>
        </w:rPr>
        <w:t>(</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(4) = 222.86</w:t>
      </w:r>
      <w:r w:rsidRPr="006C670D">
        <w:rPr>
          <w:rFonts w:eastAsiaTheme="minorHAnsi" w:cs="Times New Roman"/>
          <w:color w:val="010205"/>
          <w:szCs w:val="24"/>
          <w:lang w:val="en-GB" w:eastAsia="en-US"/>
        </w:rPr>
        <w:t xml:space="preserve">,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.001), with women reporting more avoidance than men. We</w:t>
      </w:r>
      <w:r w:rsidRPr="006C670D">
        <w:rPr>
          <w:rFonts w:cs="Times New Roman"/>
          <w:szCs w:val="24"/>
          <w:lang w:val="en-GB"/>
        </w:rPr>
        <w:t xml:space="preserve"> observed no significant differences in sexual avoidance across countries either among men (</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 xml:space="preserve">(12) = </w:t>
      </w:r>
      <w:r w:rsidRPr="006C670D">
        <w:rPr>
          <w:rFonts w:eastAsiaTheme="minorHAnsi" w:cs="Times New Roman"/>
          <w:color w:val="010205"/>
          <w:szCs w:val="24"/>
          <w:lang w:val="en-GB" w:eastAsia="en-US"/>
        </w:rPr>
        <w:t xml:space="preserve">13,15,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&gt; 0.05) or </w:t>
      </w:r>
      <w:r w:rsidRPr="006C670D">
        <w:rPr>
          <w:rFonts w:cs="Times New Roman"/>
          <w:szCs w:val="24"/>
          <w:lang w:val="en-GB"/>
        </w:rPr>
        <w:t>women (</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 xml:space="preserve">(12) = </w:t>
      </w:r>
      <w:r w:rsidRPr="006C670D">
        <w:rPr>
          <w:rFonts w:eastAsiaTheme="minorHAnsi" w:cs="Times New Roman"/>
          <w:color w:val="010205"/>
          <w:szCs w:val="24"/>
          <w:lang w:val="en-GB" w:eastAsia="en-US"/>
        </w:rPr>
        <w:t xml:space="preserve">16,63,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&gt; 0.05). </w:t>
      </w:r>
    </w:p>
    <w:p w14:paraId="79AF27BF" w14:textId="77777777" w:rsidR="00E303E8" w:rsidRPr="006C670D" w:rsidRDefault="00E303E8" w:rsidP="00E303E8">
      <w:pPr>
        <w:spacing w:after="0"/>
        <w:ind w:left="1528" w:firstLine="1304"/>
        <w:rPr>
          <w:rFonts w:cs="Times New Roman"/>
          <w:szCs w:val="24"/>
          <w:lang w:val="en-US"/>
        </w:rPr>
      </w:pPr>
      <w:r w:rsidRPr="006C670D">
        <w:rPr>
          <w:rFonts w:cs="Times New Roman"/>
          <w:szCs w:val="24"/>
          <w:lang w:val="en-US"/>
        </w:rPr>
        <w:t>---------------------------------</w:t>
      </w:r>
    </w:p>
    <w:p w14:paraId="4F94BE60" w14:textId="77777777" w:rsidR="00E303E8" w:rsidRPr="006C670D" w:rsidRDefault="00E303E8" w:rsidP="00E303E8">
      <w:pPr>
        <w:spacing w:after="0"/>
        <w:ind w:firstLine="1304"/>
        <w:outlineLvl w:val="0"/>
        <w:rPr>
          <w:rFonts w:cs="Times New Roman"/>
          <w:szCs w:val="24"/>
          <w:lang w:val="en-US"/>
        </w:rPr>
      </w:pPr>
      <w:r w:rsidRPr="006C670D">
        <w:rPr>
          <w:rFonts w:cs="Times New Roman"/>
          <w:szCs w:val="24"/>
          <w:lang w:val="en-US"/>
        </w:rPr>
        <w:tab/>
        <w:t xml:space="preserve">                 </w:t>
      </w:r>
      <w:r w:rsidRPr="006C670D">
        <w:rPr>
          <w:rFonts w:cs="Times New Roman"/>
          <w:szCs w:val="24"/>
          <w:lang w:val="en-US"/>
        </w:rPr>
        <w:tab/>
        <w:t xml:space="preserve"> Insert Table 2 about here</w:t>
      </w:r>
    </w:p>
    <w:p w14:paraId="1858499C" w14:textId="77777777" w:rsidR="00E303E8" w:rsidRPr="006C670D" w:rsidRDefault="00E303E8" w:rsidP="00E303E8">
      <w:pPr>
        <w:spacing w:after="0"/>
        <w:rPr>
          <w:rFonts w:cs="Times New Roman"/>
          <w:szCs w:val="24"/>
          <w:lang w:val="en-US"/>
        </w:rPr>
      </w:pPr>
      <w:r w:rsidRPr="006C670D">
        <w:rPr>
          <w:rFonts w:cs="Times New Roman"/>
          <w:szCs w:val="24"/>
          <w:lang w:val="en-US"/>
        </w:rPr>
        <w:t xml:space="preserve">             </w:t>
      </w:r>
      <w:r w:rsidRPr="006C670D">
        <w:rPr>
          <w:rFonts w:cs="Times New Roman"/>
          <w:szCs w:val="24"/>
          <w:lang w:val="en-US"/>
        </w:rPr>
        <w:tab/>
      </w:r>
      <w:r w:rsidRPr="006C670D">
        <w:rPr>
          <w:rFonts w:cs="Times New Roman"/>
          <w:szCs w:val="24"/>
          <w:lang w:val="en-US"/>
        </w:rPr>
        <w:tab/>
        <w:t xml:space="preserve">             ---------------------------------</w:t>
      </w:r>
    </w:p>
    <w:p w14:paraId="0E0CAC42" w14:textId="77777777" w:rsidR="00E303E8" w:rsidRPr="006C670D" w:rsidRDefault="00E303E8" w:rsidP="00E303E8">
      <w:pPr>
        <w:spacing w:after="0"/>
        <w:rPr>
          <w:rFonts w:cs="Times New Roman"/>
          <w:b/>
          <w:szCs w:val="24"/>
          <w:lang w:val="en-GB"/>
        </w:rPr>
      </w:pPr>
      <w:r w:rsidRPr="006C670D">
        <w:rPr>
          <w:rFonts w:cs="Times New Roman"/>
          <w:b/>
          <w:szCs w:val="24"/>
          <w:lang w:val="en-GB"/>
        </w:rPr>
        <w:t>Reasons for Avoiding Sex</w:t>
      </w:r>
    </w:p>
    <w:p w14:paraId="17391780" w14:textId="65E659BA" w:rsidR="00E303E8" w:rsidRPr="006C670D" w:rsidRDefault="00E303E8" w:rsidP="00E303E8">
      <w:pPr>
        <w:spacing w:after="0"/>
        <w:ind w:firstLine="708"/>
        <w:rPr>
          <w:rFonts w:cs="Times New Roman"/>
          <w:szCs w:val="24"/>
          <w:lang w:val="en-GB"/>
        </w:rPr>
      </w:pPr>
      <w:r w:rsidRPr="006C670D">
        <w:rPr>
          <w:rFonts w:cs="Times New Roman"/>
          <w:szCs w:val="24"/>
          <w:lang w:val="en-GB"/>
        </w:rPr>
        <w:t>A diversity of reasons for avoiding sex were reported by participants. The main reasons reported by men were: (1) sexual difficulties (23%), significantly higher in Portugal and Denmark than in Belgium and Portugal (</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 xml:space="preserve">(3) = </w:t>
      </w:r>
      <w:r w:rsidRPr="006C670D">
        <w:rPr>
          <w:rFonts w:eastAsiaTheme="minorHAnsi" w:cs="Times New Roman"/>
          <w:color w:val="010205"/>
          <w:szCs w:val="24"/>
          <w:lang w:val="en-GB" w:eastAsia="en-US"/>
        </w:rPr>
        <w:t xml:space="preserve">19,06,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.001)</w:t>
      </w:r>
      <w:r w:rsidRPr="006C670D">
        <w:rPr>
          <w:rFonts w:cs="Times New Roman"/>
          <w:szCs w:val="24"/>
          <w:lang w:val="en-GB"/>
        </w:rPr>
        <w:t>; (2) health problems (22%), significantly higher in Portugal and Belgium than in Norway and Denmark (</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 xml:space="preserve">(3) = </w:t>
      </w:r>
      <w:r w:rsidRPr="006C670D">
        <w:rPr>
          <w:rFonts w:eastAsiaTheme="minorHAnsi" w:cs="Times New Roman"/>
          <w:color w:val="010205"/>
          <w:szCs w:val="24"/>
          <w:lang w:val="en-GB" w:eastAsia="en-US"/>
        </w:rPr>
        <w:t xml:space="preserve">16,81,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.01)</w:t>
      </w:r>
      <w:r w:rsidRPr="006C670D">
        <w:rPr>
          <w:rFonts w:cs="Times New Roman"/>
          <w:szCs w:val="24"/>
          <w:lang w:val="en-GB"/>
        </w:rPr>
        <w:t xml:space="preserve">; and (3) partner’s sexual difficulties (19%). Among women, the most frequent reasons cited were: (1) health problems (23%); (2) partner’s sexual difficulties (20%); and (3) </w:t>
      </w:r>
      <w:r w:rsidRPr="006C670D">
        <w:rPr>
          <w:rFonts w:cs="Times New Roman"/>
          <w:szCs w:val="24"/>
          <w:lang w:val="en-GB"/>
        </w:rPr>
        <w:lastRenderedPageBreak/>
        <w:t>lack of sexual interest (14%),</w:t>
      </w:r>
      <w:r w:rsidR="00F21B4C">
        <w:rPr>
          <w:rFonts w:cs="Times New Roman"/>
          <w:szCs w:val="24"/>
          <w:lang w:val="en-GB"/>
        </w:rPr>
        <w:t xml:space="preserve"> the latter</w:t>
      </w:r>
      <w:r w:rsidRPr="006C670D">
        <w:rPr>
          <w:rFonts w:cs="Times New Roman"/>
          <w:szCs w:val="24"/>
          <w:lang w:val="en-GB"/>
        </w:rPr>
        <w:t xml:space="preserve"> significantly higher in Belgium and Denmark than in Norway and Portugal (</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(3) = 32.14</w:t>
      </w:r>
      <w:r w:rsidRPr="006C670D">
        <w:rPr>
          <w:rFonts w:eastAsiaTheme="minorHAnsi" w:cs="Times New Roman"/>
          <w:color w:val="010205"/>
          <w:szCs w:val="24"/>
          <w:lang w:val="en-GB" w:eastAsia="en-US"/>
        </w:rPr>
        <w:t xml:space="preserve">,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.001)</w:t>
      </w:r>
      <w:r w:rsidRPr="006C670D">
        <w:rPr>
          <w:rFonts w:cs="Times New Roman"/>
          <w:szCs w:val="24"/>
          <w:lang w:val="en-GB"/>
        </w:rPr>
        <w:t>. A relatively high proportion of men (24%) and women (31%) reported “other reasons”.</w:t>
      </w:r>
    </w:p>
    <w:p w14:paraId="044753D5" w14:textId="1C58AD6B" w:rsidR="00E303E8" w:rsidRPr="006C670D" w:rsidRDefault="00E303E8" w:rsidP="00E303E8">
      <w:pPr>
        <w:spacing w:after="0"/>
        <w:ind w:right="-591" w:firstLine="708"/>
        <w:rPr>
          <w:rFonts w:cs="Times New Roman"/>
          <w:szCs w:val="24"/>
          <w:lang w:val="en-GB"/>
        </w:rPr>
      </w:pPr>
      <w:r w:rsidRPr="006C670D">
        <w:rPr>
          <w:rFonts w:cs="Times New Roman"/>
          <w:szCs w:val="24"/>
          <w:lang w:val="en-GB"/>
        </w:rPr>
        <w:t xml:space="preserve">There were significant </w:t>
      </w:r>
      <w:r w:rsidR="00F21B4C">
        <w:rPr>
          <w:rFonts w:cs="Times New Roman"/>
          <w:szCs w:val="24"/>
          <w:lang w:val="en-GB"/>
        </w:rPr>
        <w:t xml:space="preserve">gender </w:t>
      </w:r>
      <w:r w:rsidRPr="006C670D">
        <w:rPr>
          <w:rFonts w:cs="Times New Roman"/>
          <w:szCs w:val="24"/>
          <w:lang w:val="en-GB"/>
        </w:rPr>
        <w:t xml:space="preserve">differences between men and women </w:t>
      </w:r>
      <w:r w:rsidR="00F21B4C">
        <w:rPr>
          <w:rFonts w:cs="Times New Roman"/>
          <w:szCs w:val="24"/>
          <w:lang w:val="en-GB"/>
        </w:rPr>
        <w:t>in</w:t>
      </w:r>
      <w:r w:rsidR="00F21B4C" w:rsidRPr="006C670D">
        <w:rPr>
          <w:rFonts w:cs="Times New Roman"/>
          <w:szCs w:val="24"/>
          <w:lang w:val="en-GB"/>
        </w:rPr>
        <w:t xml:space="preserve"> </w:t>
      </w:r>
      <w:r w:rsidRPr="006C670D">
        <w:rPr>
          <w:rFonts w:cs="Times New Roman"/>
          <w:szCs w:val="24"/>
          <w:lang w:val="en-GB"/>
        </w:rPr>
        <w:t xml:space="preserve">the reasons for sexual avoidance: </w:t>
      </w:r>
      <w:r w:rsidR="00F21B4C">
        <w:rPr>
          <w:rFonts w:cs="Times New Roman"/>
          <w:szCs w:val="24"/>
          <w:lang w:val="en-GB"/>
        </w:rPr>
        <w:t xml:space="preserve">men were more likely than women to report </w:t>
      </w:r>
      <w:r w:rsidRPr="006C670D">
        <w:rPr>
          <w:rFonts w:cs="Times New Roman"/>
          <w:szCs w:val="24"/>
          <w:lang w:val="en-GB"/>
        </w:rPr>
        <w:t>sexual difficulties</w:t>
      </w:r>
      <w:r w:rsidR="00F21B4C">
        <w:rPr>
          <w:rFonts w:cs="Times New Roman"/>
          <w:szCs w:val="24"/>
          <w:lang w:val="en-GB"/>
        </w:rPr>
        <w:t xml:space="preserve"> </w:t>
      </w:r>
      <w:r w:rsidRPr="006C670D">
        <w:rPr>
          <w:rFonts w:cs="Times New Roman"/>
          <w:szCs w:val="24"/>
          <w:lang w:val="en-GB"/>
        </w:rPr>
        <w:t>(</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(1) = 64,31</w:t>
      </w:r>
      <w:r w:rsidRPr="006C670D">
        <w:rPr>
          <w:rFonts w:eastAsiaTheme="minorHAnsi" w:cs="Times New Roman"/>
          <w:color w:val="010205"/>
          <w:szCs w:val="24"/>
          <w:lang w:val="en-GB" w:eastAsia="en-US"/>
        </w:rPr>
        <w:t xml:space="preserve">,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.001)</w:t>
      </w:r>
      <w:r w:rsidRPr="006C670D">
        <w:rPr>
          <w:rFonts w:cs="Times New Roman"/>
          <w:szCs w:val="24"/>
          <w:lang w:val="en-GB"/>
        </w:rPr>
        <w:t xml:space="preserve">; </w:t>
      </w:r>
      <w:r w:rsidR="00F21B4C">
        <w:rPr>
          <w:rFonts w:cs="Times New Roman"/>
          <w:szCs w:val="24"/>
          <w:lang w:val="en-GB"/>
        </w:rPr>
        <w:t xml:space="preserve">women were more likely than men to report </w:t>
      </w:r>
      <w:r w:rsidRPr="006C670D">
        <w:rPr>
          <w:rFonts w:cs="Times New Roman"/>
          <w:szCs w:val="24"/>
          <w:lang w:val="en-GB"/>
        </w:rPr>
        <w:t>body image concerns</w:t>
      </w:r>
      <w:r w:rsidR="00E23BD9">
        <w:rPr>
          <w:rFonts w:cs="Times New Roman"/>
          <w:szCs w:val="24"/>
          <w:lang w:val="en-GB"/>
        </w:rPr>
        <w:t xml:space="preserve"> </w:t>
      </w:r>
      <w:r w:rsidRPr="006C670D">
        <w:rPr>
          <w:rFonts w:cs="Times New Roman"/>
          <w:szCs w:val="24"/>
          <w:lang w:val="en-GB"/>
        </w:rPr>
        <w:t>(</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(1) = 9,08</w:t>
      </w:r>
      <w:r w:rsidRPr="006C670D">
        <w:rPr>
          <w:rFonts w:eastAsiaTheme="minorHAnsi" w:cs="Times New Roman"/>
          <w:color w:val="010205"/>
          <w:szCs w:val="24"/>
          <w:lang w:val="en-GB" w:eastAsia="en-US"/>
        </w:rPr>
        <w:t xml:space="preserve">,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.01)</w:t>
      </w:r>
      <w:r w:rsidRPr="006C670D">
        <w:rPr>
          <w:rFonts w:cs="Times New Roman"/>
          <w:szCs w:val="24"/>
          <w:lang w:val="en-GB"/>
        </w:rPr>
        <w:t>; and</w:t>
      </w:r>
      <w:r w:rsidR="00F21B4C">
        <w:rPr>
          <w:rFonts w:cs="Times New Roman"/>
          <w:szCs w:val="24"/>
          <w:lang w:val="en-GB"/>
        </w:rPr>
        <w:t xml:space="preserve"> women were more likely to cite</w:t>
      </w:r>
      <w:r w:rsidRPr="006C670D">
        <w:rPr>
          <w:rFonts w:cs="Times New Roman"/>
          <w:szCs w:val="24"/>
          <w:lang w:val="en-GB"/>
        </w:rPr>
        <w:t xml:space="preserve"> </w:t>
      </w:r>
      <w:r w:rsidRPr="006C670D">
        <w:rPr>
          <w:rFonts w:cs="Times New Roman"/>
          <w:szCs w:val="24"/>
        </w:rPr>
        <w:t>lack of sexual interest</w:t>
      </w:r>
      <w:r w:rsidR="00F21B4C">
        <w:rPr>
          <w:rFonts w:cs="Times New Roman"/>
          <w:szCs w:val="24"/>
        </w:rPr>
        <w:t xml:space="preserve"> </w:t>
      </w:r>
      <w:r w:rsidRPr="006C670D">
        <w:rPr>
          <w:rFonts w:cs="Times New Roman"/>
          <w:szCs w:val="24"/>
          <w:lang w:val="en-GB"/>
        </w:rPr>
        <w:t>(</w:t>
      </w:r>
      <w:r w:rsidRPr="006C670D">
        <w:rPr>
          <w:rFonts w:cs="Times New Roman"/>
          <w:i/>
          <w:szCs w:val="24"/>
          <w:lang w:val="en-GB"/>
        </w:rPr>
        <w:t>χ</w:t>
      </w:r>
      <w:r w:rsidRPr="006C670D">
        <w:rPr>
          <w:rFonts w:cs="Times New Roman"/>
          <w:i/>
          <w:szCs w:val="24"/>
          <w:vertAlign w:val="superscript"/>
          <w:lang w:val="en-GB"/>
        </w:rPr>
        <w:t>2</w:t>
      </w:r>
      <w:r w:rsidRPr="006C670D">
        <w:rPr>
          <w:rFonts w:cs="Times New Roman"/>
          <w:szCs w:val="24"/>
          <w:lang w:val="en-GB"/>
        </w:rPr>
        <w:t>(1) = 23,75</w:t>
      </w:r>
      <w:r w:rsidRPr="006C670D">
        <w:rPr>
          <w:rFonts w:eastAsiaTheme="minorHAnsi" w:cs="Times New Roman"/>
          <w:color w:val="010205"/>
          <w:szCs w:val="24"/>
          <w:lang w:val="en-GB" w:eastAsia="en-US"/>
        </w:rPr>
        <w:t xml:space="preserve">, </w:t>
      </w:r>
      <w:r w:rsidRPr="006C670D">
        <w:rPr>
          <w:rFonts w:eastAsiaTheme="minorHAnsi" w:cs="Times New Roman"/>
          <w:i/>
          <w:color w:val="010205"/>
          <w:szCs w:val="24"/>
          <w:lang w:val="en-GB" w:eastAsia="en-US"/>
        </w:rPr>
        <w:t>p</w:t>
      </w:r>
      <w:r w:rsidRPr="006C670D">
        <w:rPr>
          <w:rFonts w:eastAsiaTheme="minorHAnsi" w:cs="Times New Roman"/>
          <w:color w:val="010205"/>
          <w:szCs w:val="24"/>
          <w:lang w:val="en-GB" w:eastAsia="en-US"/>
        </w:rPr>
        <w:t xml:space="preserve"> &lt; .001)</w:t>
      </w:r>
      <w:r w:rsidRPr="006C670D">
        <w:rPr>
          <w:rFonts w:cs="Times New Roman"/>
          <w:szCs w:val="24"/>
          <w:lang w:val="en-GB"/>
        </w:rPr>
        <w:t>.</w:t>
      </w:r>
    </w:p>
    <w:p w14:paraId="3F67CD0C" w14:textId="77777777" w:rsidR="00E303E8" w:rsidRPr="006C670D" w:rsidRDefault="00E303E8" w:rsidP="00E303E8">
      <w:pPr>
        <w:spacing w:after="0"/>
        <w:rPr>
          <w:rFonts w:cs="Times New Roman"/>
          <w:b/>
          <w:szCs w:val="24"/>
          <w:lang w:val="en-GB"/>
        </w:rPr>
      </w:pPr>
    </w:p>
    <w:p w14:paraId="0C3227D2" w14:textId="77777777" w:rsidR="00E303E8" w:rsidRPr="006C670D" w:rsidRDefault="00E303E8" w:rsidP="00E303E8">
      <w:pPr>
        <w:spacing w:after="0"/>
        <w:ind w:left="1528" w:firstLine="1304"/>
        <w:rPr>
          <w:rFonts w:cs="Times New Roman"/>
          <w:szCs w:val="24"/>
          <w:lang w:val="en-US"/>
        </w:rPr>
      </w:pPr>
      <w:r w:rsidRPr="006C670D">
        <w:rPr>
          <w:rFonts w:cs="Times New Roman"/>
          <w:szCs w:val="24"/>
          <w:lang w:val="en-US"/>
        </w:rPr>
        <w:t>---------------------------------</w:t>
      </w:r>
    </w:p>
    <w:p w14:paraId="7B2E4A53" w14:textId="77777777" w:rsidR="00E303E8" w:rsidRPr="006C670D" w:rsidRDefault="00E303E8" w:rsidP="00E303E8">
      <w:pPr>
        <w:spacing w:after="0"/>
        <w:ind w:firstLine="1304"/>
        <w:outlineLvl w:val="0"/>
        <w:rPr>
          <w:rFonts w:cs="Times New Roman"/>
          <w:szCs w:val="24"/>
          <w:lang w:val="en-US"/>
        </w:rPr>
      </w:pPr>
      <w:r w:rsidRPr="006C670D">
        <w:rPr>
          <w:rFonts w:cs="Times New Roman"/>
          <w:szCs w:val="24"/>
          <w:lang w:val="en-US"/>
        </w:rPr>
        <w:tab/>
        <w:t xml:space="preserve">                 </w:t>
      </w:r>
      <w:r w:rsidRPr="006C670D">
        <w:rPr>
          <w:rFonts w:cs="Times New Roman"/>
          <w:szCs w:val="24"/>
          <w:lang w:val="en-US"/>
        </w:rPr>
        <w:tab/>
        <w:t xml:space="preserve"> Insert Table 3 about here</w:t>
      </w:r>
    </w:p>
    <w:p w14:paraId="39E64458" w14:textId="77777777" w:rsidR="00E303E8" w:rsidRPr="006C670D" w:rsidRDefault="00E303E8" w:rsidP="00E303E8">
      <w:pPr>
        <w:spacing w:after="0"/>
        <w:rPr>
          <w:rFonts w:cs="Times New Roman"/>
          <w:szCs w:val="24"/>
          <w:lang w:val="en-US"/>
        </w:rPr>
      </w:pPr>
      <w:r w:rsidRPr="006C670D">
        <w:rPr>
          <w:rFonts w:cs="Times New Roman"/>
          <w:szCs w:val="24"/>
          <w:lang w:val="en-US"/>
        </w:rPr>
        <w:t xml:space="preserve">             </w:t>
      </w:r>
      <w:r w:rsidRPr="006C670D">
        <w:rPr>
          <w:rFonts w:cs="Times New Roman"/>
          <w:szCs w:val="24"/>
          <w:lang w:val="en-US"/>
        </w:rPr>
        <w:tab/>
      </w:r>
      <w:r w:rsidRPr="006C670D">
        <w:rPr>
          <w:rFonts w:cs="Times New Roman"/>
          <w:szCs w:val="24"/>
          <w:lang w:val="en-US"/>
        </w:rPr>
        <w:tab/>
        <w:t xml:space="preserve">             ---------------------------------</w:t>
      </w:r>
    </w:p>
    <w:p w14:paraId="51D8B6EA" w14:textId="77777777" w:rsidR="00E303E8" w:rsidRPr="006C670D" w:rsidRDefault="00E303E8" w:rsidP="00E303E8">
      <w:pPr>
        <w:spacing w:after="0"/>
        <w:rPr>
          <w:rFonts w:cs="Times New Roman"/>
          <w:b/>
          <w:szCs w:val="24"/>
          <w:lang w:val="en-GB"/>
        </w:rPr>
      </w:pPr>
    </w:p>
    <w:p w14:paraId="01EE0BC6" w14:textId="77777777" w:rsidR="00E303E8" w:rsidRPr="006C670D" w:rsidRDefault="00E303E8" w:rsidP="00E303E8">
      <w:pPr>
        <w:spacing w:after="0"/>
        <w:rPr>
          <w:rFonts w:cs="Times New Roman"/>
          <w:b/>
          <w:szCs w:val="24"/>
          <w:lang w:val="en-GB"/>
        </w:rPr>
      </w:pPr>
      <w:r w:rsidRPr="006C670D">
        <w:rPr>
          <w:rFonts w:cs="Times New Roman"/>
          <w:b/>
          <w:szCs w:val="24"/>
          <w:lang w:val="en-GB"/>
        </w:rPr>
        <w:t>Correlates/Predictors of Sexual Avoidance in Partnered Men</w:t>
      </w:r>
    </w:p>
    <w:p w14:paraId="24465976" w14:textId="4A643480" w:rsidR="00E303E8" w:rsidRPr="006C670D" w:rsidRDefault="00E303E8" w:rsidP="00E303E8">
      <w:pPr>
        <w:spacing w:after="0"/>
        <w:ind w:firstLine="708"/>
        <w:rPr>
          <w:rFonts w:cs="Times New Roman"/>
          <w:szCs w:val="24"/>
          <w:lang w:val="en-GB"/>
        </w:rPr>
      </w:pPr>
      <w:r w:rsidRPr="006C670D">
        <w:rPr>
          <w:rFonts w:cs="Times New Roman"/>
          <w:szCs w:val="24"/>
          <w:lang w:val="en-GB"/>
        </w:rPr>
        <w:t>A multivariate logistic regression analysis was carried out among partnered men to</w:t>
      </w:r>
      <w:r w:rsidRPr="006C670D">
        <w:rPr>
          <w:rFonts w:cs="Times New Roman"/>
          <w:szCs w:val="24"/>
          <w:lang w:val="en-US"/>
        </w:rPr>
        <w:t xml:space="preserve"> assess the correlates of sexual avoidance</w:t>
      </w:r>
      <w:r w:rsidR="00010350">
        <w:rPr>
          <w:rFonts w:cs="Times New Roman"/>
          <w:szCs w:val="24"/>
          <w:lang w:val="en-US"/>
        </w:rPr>
        <w:t xml:space="preserve"> (Table 4)</w:t>
      </w:r>
      <w:r w:rsidRPr="006C670D">
        <w:rPr>
          <w:rFonts w:cs="Times New Roman"/>
          <w:szCs w:val="24"/>
          <w:lang w:val="en-US"/>
        </w:rPr>
        <w:t xml:space="preserve">. In Model A, </w:t>
      </w:r>
      <w:r w:rsidRPr="006C670D">
        <w:rPr>
          <w:rFonts w:cs="Times New Roman"/>
          <w:szCs w:val="24"/>
          <w:lang w:val="en-GB"/>
        </w:rPr>
        <w:t>older men were more likely to report sexual avoidance than younger men. In Model B, older men and women who reported lower levels of relationship satisfaction were more likely to report sexual avoidance than younger men and women who reported higher levels of relationship satisfaction. In Model C, older men had greater odds of reporting more sexual avoidance (OR = 1</w:t>
      </w:r>
      <w:r w:rsidRPr="006C670D">
        <w:rPr>
          <w:rFonts w:cs="Times New Roman"/>
          <w:color w:val="000000"/>
          <w:szCs w:val="24"/>
        </w:rPr>
        <w:t>.04</w:t>
      </w:r>
      <w:r w:rsidRPr="006C670D">
        <w:rPr>
          <w:rFonts w:cs="Times New Roman"/>
          <w:szCs w:val="24"/>
          <w:lang w:val="en-GB"/>
        </w:rPr>
        <w:t xml:space="preserve">, </w:t>
      </w:r>
      <w:r w:rsidRPr="00E23BD9">
        <w:rPr>
          <w:rFonts w:cs="Times New Roman"/>
          <w:i/>
          <w:szCs w:val="24"/>
          <w:lang w:val="en-GB"/>
        </w:rPr>
        <w:t>p</w:t>
      </w:r>
      <w:r w:rsidRPr="006C670D">
        <w:rPr>
          <w:rFonts w:cs="Times New Roman"/>
          <w:szCs w:val="24"/>
          <w:lang w:val="en-GB"/>
        </w:rPr>
        <w:t xml:space="preserve"> &lt; </w:t>
      </w:r>
      <w:r w:rsidRPr="006C670D">
        <w:rPr>
          <w:rFonts w:cs="Times New Roman"/>
          <w:szCs w:val="24"/>
        </w:rPr>
        <w:t>.05</w:t>
      </w:r>
      <w:r w:rsidRPr="006C670D">
        <w:rPr>
          <w:rFonts w:cs="Times New Roman"/>
          <w:szCs w:val="24"/>
          <w:lang w:val="en-GB"/>
        </w:rPr>
        <w:t xml:space="preserve">) than younger men. Men who reported lower levels of relationship intimacy had greater odds of reporting sexual avoidance (OR = </w:t>
      </w:r>
      <w:r w:rsidRPr="006C670D">
        <w:rPr>
          <w:rFonts w:cs="Times New Roman"/>
          <w:color w:val="010205"/>
          <w:szCs w:val="24"/>
          <w:lang w:val="en-GB"/>
        </w:rPr>
        <w:t>1.34</w:t>
      </w:r>
      <w:r w:rsidRPr="006C670D">
        <w:rPr>
          <w:rFonts w:cs="Times New Roman"/>
          <w:szCs w:val="24"/>
          <w:lang w:val="en-GB"/>
        </w:rPr>
        <w:t xml:space="preserve">, </w:t>
      </w:r>
      <w:r w:rsidRPr="00E23BD9">
        <w:rPr>
          <w:rFonts w:cs="Times New Roman"/>
          <w:i/>
          <w:szCs w:val="24"/>
          <w:lang w:val="en-GB"/>
        </w:rPr>
        <w:t>p</w:t>
      </w:r>
      <w:r w:rsidRPr="006C670D">
        <w:rPr>
          <w:rFonts w:cs="Times New Roman"/>
          <w:szCs w:val="24"/>
          <w:lang w:val="en-GB"/>
        </w:rPr>
        <w:t xml:space="preserve"> &lt; </w:t>
      </w:r>
      <w:r w:rsidRPr="006C670D">
        <w:rPr>
          <w:rFonts w:cs="Times New Roman"/>
          <w:szCs w:val="24"/>
        </w:rPr>
        <w:t>.05</w:t>
      </w:r>
      <w:r w:rsidRPr="006C670D">
        <w:rPr>
          <w:rFonts w:cs="Times New Roman"/>
          <w:szCs w:val="24"/>
          <w:lang w:val="en-GB"/>
        </w:rPr>
        <w:t xml:space="preserve">) than men who scored higher on relationship intimacy. Men who reported poorer physical health </w:t>
      </w:r>
      <w:r w:rsidRPr="006C670D">
        <w:rPr>
          <w:rFonts w:cs="Times New Roman"/>
          <w:color w:val="000000"/>
          <w:szCs w:val="24"/>
          <w:lang w:val="en-GB"/>
        </w:rPr>
        <w:t xml:space="preserve">had </w:t>
      </w:r>
      <w:r w:rsidRPr="006C670D">
        <w:rPr>
          <w:rFonts w:cs="Times New Roman"/>
          <w:szCs w:val="24"/>
          <w:lang w:val="en-GB"/>
        </w:rPr>
        <w:t xml:space="preserve">greater odds of reporting sexual avoidance (OR = </w:t>
      </w:r>
      <w:r w:rsidRPr="006C670D">
        <w:rPr>
          <w:rFonts w:cs="Times New Roman"/>
          <w:color w:val="010205"/>
          <w:szCs w:val="24"/>
          <w:lang w:val="en-GB"/>
        </w:rPr>
        <w:t>.97</w:t>
      </w:r>
      <w:r w:rsidRPr="006C670D">
        <w:rPr>
          <w:rFonts w:cs="Times New Roman"/>
          <w:szCs w:val="24"/>
          <w:lang w:val="en-GB"/>
        </w:rPr>
        <w:t xml:space="preserve">, </w:t>
      </w:r>
      <w:r w:rsidRPr="00E23BD9">
        <w:rPr>
          <w:rFonts w:cs="Times New Roman"/>
          <w:i/>
          <w:szCs w:val="24"/>
          <w:lang w:val="en-GB"/>
        </w:rPr>
        <w:t>p</w:t>
      </w:r>
      <w:r w:rsidRPr="006C670D">
        <w:rPr>
          <w:rFonts w:cs="Times New Roman"/>
          <w:szCs w:val="24"/>
          <w:lang w:val="en-GB"/>
        </w:rPr>
        <w:t xml:space="preserve"> &lt; </w:t>
      </w:r>
      <w:r w:rsidRPr="006C670D">
        <w:rPr>
          <w:rFonts w:cs="Times New Roman"/>
          <w:szCs w:val="24"/>
        </w:rPr>
        <w:t>.01</w:t>
      </w:r>
      <w:r w:rsidRPr="006C670D">
        <w:rPr>
          <w:rFonts w:cs="Times New Roman"/>
          <w:szCs w:val="24"/>
          <w:lang w:val="en-GB"/>
        </w:rPr>
        <w:t xml:space="preserve">) than men who </w:t>
      </w:r>
      <w:r w:rsidRPr="006C670D">
        <w:rPr>
          <w:rFonts w:cs="Times New Roman"/>
          <w:color w:val="000000"/>
          <w:szCs w:val="24"/>
          <w:lang w:val="en-GB"/>
        </w:rPr>
        <w:t xml:space="preserve">reported better physical health. </w:t>
      </w:r>
      <w:r w:rsidRPr="006C670D">
        <w:rPr>
          <w:rFonts w:cs="Times New Roman"/>
          <w:szCs w:val="24"/>
          <w:lang w:val="en-GB"/>
        </w:rPr>
        <w:t xml:space="preserve">Men who reported distressing </w:t>
      </w:r>
      <w:r w:rsidRPr="006C670D">
        <w:rPr>
          <w:rFonts w:cs="Times New Roman"/>
          <w:color w:val="000000"/>
          <w:szCs w:val="24"/>
          <w:lang w:val="en-GB"/>
        </w:rPr>
        <w:t xml:space="preserve">sexual problems had </w:t>
      </w:r>
      <w:r w:rsidRPr="006C670D">
        <w:rPr>
          <w:rFonts w:cs="Times New Roman"/>
          <w:szCs w:val="24"/>
          <w:lang w:val="en-GB"/>
        </w:rPr>
        <w:t xml:space="preserve">greater odds of reporting sexual avoidance (OR = </w:t>
      </w:r>
      <w:r w:rsidRPr="006C670D">
        <w:rPr>
          <w:rFonts w:cs="Times New Roman"/>
          <w:color w:val="010205"/>
          <w:szCs w:val="24"/>
          <w:lang w:val="en-GB"/>
        </w:rPr>
        <w:t>1.11</w:t>
      </w:r>
      <w:r w:rsidRPr="006C670D">
        <w:rPr>
          <w:rFonts w:cs="Times New Roman"/>
          <w:szCs w:val="24"/>
          <w:lang w:val="en-GB"/>
        </w:rPr>
        <w:t xml:space="preserve">, </w:t>
      </w:r>
      <w:r w:rsidRPr="00E23BD9">
        <w:rPr>
          <w:rFonts w:cs="Times New Roman"/>
          <w:i/>
          <w:szCs w:val="24"/>
          <w:lang w:val="en-GB"/>
        </w:rPr>
        <w:t>p</w:t>
      </w:r>
      <w:r w:rsidRPr="006C670D">
        <w:rPr>
          <w:rFonts w:cs="Times New Roman"/>
          <w:szCs w:val="24"/>
          <w:lang w:val="en-GB"/>
        </w:rPr>
        <w:t xml:space="preserve"> &lt; </w:t>
      </w:r>
      <w:r w:rsidRPr="006C670D">
        <w:rPr>
          <w:rFonts w:cs="Times New Roman"/>
          <w:szCs w:val="24"/>
        </w:rPr>
        <w:t>.001</w:t>
      </w:r>
      <w:r w:rsidRPr="006C670D">
        <w:rPr>
          <w:rFonts w:cs="Times New Roman"/>
          <w:szCs w:val="24"/>
          <w:lang w:val="en-GB"/>
        </w:rPr>
        <w:t xml:space="preserve">) than men who </w:t>
      </w:r>
      <w:r w:rsidRPr="006C670D">
        <w:rPr>
          <w:rFonts w:cs="Times New Roman"/>
          <w:color w:val="000000"/>
          <w:szCs w:val="24"/>
          <w:lang w:val="en-GB"/>
        </w:rPr>
        <w:t xml:space="preserve">reported no such difficulties. Moreover, men who reported that their partners had sexual problems had </w:t>
      </w:r>
      <w:r w:rsidRPr="006C670D">
        <w:rPr>
          <w:rFonts w:cs="Times New Roman"/>
          <w:szCs w:val="24"/>
          <w:lang w:val="en-GB"/>
        </w:rPr>
        <w:t xml:space="preserve">greater odds of reporting sexual avoidance (OR = </w:t>
      </w:r>
      <w:r w:rsidRPr="006C670D">
        <w:rPr>
          <w:rFonts w:cs="Times New Roman"/>
          <w:color w:val="000000"/>
          <w:szCs w:val="24"/>
        </w:rPr>
        <w:t>.76</w:t>
      </w:r>
      <w:r w:rsidRPr="006C670D">
        <w:rPr>
          <w:rFonts w:cs="Times New Roman"/>
          <w:szCs w:val="24"/>
          <w:lang w:val="en-GB"/>
        </w:rPr>
        <w:t xml:space="preserve">, </w:t>
      </w:r>
      <w:r w:rsidRPr="00E23BD9">
        <w:rPr>
          <w:rFonts w:cs="Times New Roman"/>
          <w:i/>
          <w:szCs w:val="24"/>
          <w:lang w:val="en-GB"/>
        </w:rPr>
        <w:t>p</w:t>
      </w:r>
      <w:r w:rsidRPr="006C670D">
        <w:rPr>
          <w:rFonts w:cs="Times New Roman"/>
          <w:szCs w:val="24"/>
          <w:lang w:val="en-GB"/>
        </w:rPr>
        <w:t xml:space="preserve"> &lt; </w:t>
      </w:r>
      <w:r w:rsidRPr="006C670D">
        <w:rPr>
          <w:rFonts w:cs="Times New Roman"/>
          <w:szCs w:val="24"/>
        </w:rPr>
        <w:t>.001</w:t>
      </w:r>
      <w:r w:rsidRPr="006C670D">
        <w:rPr>
          <w:rFonts w:cs="Times New Roman"/>
          <w:szCs w:val="24"/>
          <w:lang w:val="en-GB"/>
        </w:rPr>
        <w:t xml:space="preserve">) than men who </w:t>
      </w:r>
      <w:r w:rsidRPr="006C670D">
        <w:rPr>
          <w:rFonts w:cs="Times New Roman"/>
          <w:color w:val="000000"/>
          <w:szCs w:val="24"/>
          <w:lang w:val="en-GB"/>
        </w:rPr>
        <w:t>reported no such sexual problems experienced by their partner. The results of the Hosmer–Lemeshow test were not signiﬁcant, thus pointing to an acceptable ﬁt of the regression models.</w:t>
      </w:r>
    </w:p>
    <w:p w14:paraId="39E2D5FE" w14:textId="77777777" w:rsidR="00E303E8" w:rsidRPr="006C670D" w:rsidRDefault="00E303E8" w:rsidP="00E303E8">
      <w:pPr>
        <w:spacing w:after="0"/>
        <w:ind w:left="2236" w:firstLine="596"/>
        <w:rPr>
          <w:rFonts w:cs="Times New Roman"/>
          <w:szCs w:val="24"/>
          <w:lang w:val="en-US"/>
        </w:rPr>
      </w:pPr>
      <w:r w:rsidRPr="006C670D">
        <w:rPr>
          <w:rFonts w:cs="Times New Roman"/>
          <w:szCs w:val="24"/>
          <w:lang w:val="en-US"/>
        </w:rPr>
        <w:t>---------------------------------</w:t>
      </w:r>
    </w:p>
    <w:p w14:paraId="4E383EC0" w14:textId="77777777" w:rsidR="00E303E8" w:rsidRPr="006C670D" w:rsidRDefault="00E303E8" w:rsidP="00E303E8">
      <w:pPr>
        <w:spacing w:after="0"/>
        <w:ind w:firstLine="1304"/>
        <w:outlineLvl w:val="0"/>
        <w:rPr>
          <w:rFonts w:cs="Times New Roman"/>
          <w:szCs w:val="24"/>
          <w:lang w:val="en-US"/>
        </w:rPr>
      </w:pPr>
      <w:r w:rsidRPr="006C670D">
        <w:rPr>
          <w:rFonts w:cs="Times New Roman"/>
          <w:szCs w:val="24"/>
          <w:lang w:val="en-US"/>
        </w:rPr>
        <w:tab/>
        <w:t xml:space="preserve">                 </w:t>
      </w:r>
      <w:r w:rsidRPr="006C670D">
        <w:rPr>
          <w:rFonts w:cs="Times New Roman"/>
          <w:szCs w:val="24"/>
          <w:lang w:val="en-US"/>
        </w:rPr>
        <w:tab/>
        <w:t xml:space="preserve"> Insert Table 4 about here</w:t>
      </w:r>
    </w:p>
    <w:p w14:paraId="5ECC1E8B" w14:textId="77777777" w:rsidR="00E303E8" w:rsidRPr="006C670D" w:rsidRDefault="00E303E8" w:rsidP="00E303E8">
      <w:pPr>
        <w:spacing w:after="0"/>
        <w:rPr>
          <w:rFonts w:cs="Times New Roman"/>
          <w:szCs w:val="24"/>
          <w:lang w:val="en-US"/>
        </w:rPr>
      </w:pPr>
      <w:r w:rsidRPr="006C670D">
        <w:rPr>
          <w:rFonts w:cs="Times New Roman"/>
          <w:szCs w:val="24"/>
          <w:lang w:val="en-US"/>
        </w:rPr>
        <w:t xml:space="preserve">             </w:t>
      </w:r>
      <w:r w:rsidRPr="006C670D">
        <w:rPr>
          <w:rFonts w:cs="Times New Roman"/>
          <w:szCs w:val="24"/>
          <w:lang w:val="en-US"/>
        </w:rPr>
        <w:tab/>
      </w:r>
      <w:r w:rsidRPr="006C670D">
        <w:rPr>
          <w:rFonts w:cs="Times New Roman"/>
          <w:szCs w:val="24"/>
          <w:lang w:val="en-US"/>
        </w:rPr>
        <w:tab/>
        <w:t xml:space="preserve">             --------------------------------- </w:t>
      </w:r>
    </w:p>
    <w:p w14:paraId="57BCAFAF" w14:textId="77777777" w:rsidR="00E303E8" w:rsidRPr="006C670D" w:rsidRDefault="00E303E8" w:rsidP="00E303E8">
      <w:pPr>
        <w:spacing w:after="0"/>
        <w:rPr>
          <w:rFonts w:cs="Times New Roman"/>
          <w:szCs w:val="24"/>
          <w:lang w:val="en-GB"/>
        </w:rPr>
      </w:pPr>
      <w:r w:rsidRPr="006C670D">
        <w:rPr>
          <w:rFonts w:cs="Times New Roman"/>
          <w:b/>
          <w:szCs w:val="24"/>
          <w:lang w:val="en-GB"/>
        </w:rPr>
        <w:t>Correlates/Predictors of Sexual Avoidance in Partnered Women</w:t>
      </w:r>
    </w:p>
    <w:p w14:paraId="7CACA9B5" w14:textId="681B9CD3" w:rsidR="00E303E8" w:rsidRPr="006C670D" w:rsidRDefault="00E303E8" w:rsidP="00E303E8">
      <w:pPr>
        <w:spacing w:after="0"/>
        <w:ind w:firstLine="708"/>
        <w:rPr>
          <w:rFonts w:cs="Times New Roman"/>
          <w:szCs w:val="24"/>
          <w:lang w:val="en-GB"/>
        </w:rPr>
      </w:pPr>
      <w:r w:rsidRPr="006C670D">
        <w:rPr>
          <w:rFonts w:cs="Times New Roman"/>
          <w:szCs w:val="24"/>
          <w:lang w:val="en-GB"/>
        </w:rPr>
        <w:lastRenderedPageBreak/>
        <w:t>A multivariate logistic regression analysis was carried out among partnered women to</w:t>
      </w:r>
      <w:r w:rsidRPr="006C670D">
        <w:rPr>
          <w:rFonts w:cs="Times New Roman"/>
          <w:szCs w:val="24"/>
          <w:lang w:val="en-US"/>
        </w:rPr>
        <w:t xml:space="preserve"> assess the correlates of sexual avoidance</w:t>
      </w:r>
      <w:r w:rsidRPr="006C670D">
        <w:rPr>
          <w:rFonts w:cs="Times New Roman"/>
          <w:szCs w:val="24"/>
          <w:lang w:val="en-GB"/>
        </w:rPr>
        <w:t xml:space="preserve">. </w:t>
      </w:r>
      <w:r w:rsidRPr="006C670D">
        <w:rPr>
          <w:rFonts w:cs="Times New Roman"/>
          <w:szCs w:val="24"/>
          <w:lang w:val="en-US"/>
        </w:rPr>
        <w:t xml:space="preserve">In Model A, </w:t>
      </w:r>
      <w:r w:rsidRPr="006C670D">
        <w:rPr>
          <w:rFonts w:cs="Times New Roman"/>
          <w:szCs w:val="24"/>
          <w:lang w:val="en-GB"/>
        </w:rPr>
        <w:t xml:space="preserve">younger women were more likely to report sexual avoidance than older women. In Model B, younger women and women in longer-term relationships were more likely to report sexual avoidance than older women, and women in shorter-term relationships. Additionally, women who reported lower levels of relationship satisfaction and relationship intimacy were more likely to report sexual avoidance than women who reported higher levels of relationship satisfaction and intimacy. </w:t>
      </w:r>
    </w:p>
    <w:p w14:paraId="06F77C7E" w14:textId="702BC7EA" w:rsidR="00E303E8" w:rsidRPr="006C670D" w:rsidRDefault="00E303E8" w:rsidP="00E303E8">
      <w:pPr>
        <w:spacing w:after="0"/>
        <w:ind w:firstLine="708"/>
        <w:rPr>
          <w:rFonts w:cs="Times New Roman"/>
          <w:szCs w:val="24"/>
          <w:lang w:val="en-GB"/>
        </w:rPr>
      </w:pPr>
      <w:r w:rsidRPr="006C670D">
        <w:rPr>
          <w:rFonts w:cs="Times New Roman"/>
          <w:szCs w:val="24"/>
          <w:lang w:val="en-GB"/>
        </w:rPr>
        <w:t xml:space="preserve">In Model C, younger women had greater odds of reporting sexual avoidance (OR = .93, </w:t>
      </w:r>
      <w:r w:rsidRPr="001A4A79">
        <w:rPr>
          <w:rFonts w:cs="Times New Roman"/>
          <w:i/>
          <w:szCs w:val="24"/>
          <w:lang w:val="en-GB"/>
        </w:rPr>
        <w:t>p</w:t>
      </w:r>
      <w:r w:rsidRPr="006C670D">
        <w:rPr>
          <w:rFonts w:cs="Times New Roman"/>
          <w:szCs w:val="24"/>
          <w:lang w:val="en-GB"/>
        </w:rPr>
        <w:t xml:space="preserve"> &lt; </w:t>
      </w:r>
      <w:r w:rsidRPr="006C670D">
        <w:rPr>
          <w:rFonts w:cs="Times New Roman"/>
          <w:szCs w:val="24"/>
        </w:rPr>
        <w:t>.01</w:t>
      </w:r>
      <w:r w:rsidRPr="006C670D">
        <w:rPr>
          <w:rFonts w:cs="Times New Roman"/>
          <w:szCs w:val="24"/>
          <w:lang w:val="en-GB"/>
        </w:rPr>
        <w:t xml:space="preserve">) than older women. Women in longer-term relationships had greater odds of reporting sexual avoidance (OR = </w:t>
      </w:r>
      <w:r w:rsidRPr="006C670D">
        <w:rPr>
          <w:rFonts w:cs="Times New Roman"/>
          <w:color w:val="010205"/>
          <w:szCs w:val="24"/>
          <w:lang w:val="en-GB"/>
        </w:rPr>
        <w:t>1.01</w:t>
      </w:r>
      <w:r w:rsidRPr="006C670D">
        <w:rPr>
          <w:rFonts w:cs="Times New Roman"/>
          <w:szCs w:val="24"/>
          <w:lang w:val="en-GB"/>
        </w:rPr>
        <w:t xml:space="preserve">, </w:t>
      </w:r>
      <w:r w:rsidRPr="001A4A79">
        <w:rPr>
          <w:rFonts w:cs="Times New Roman"/>
          <w:i/>
          <w:szCs w:val="24"/>
          <w:lang w:val="en-GB"/>
        </w:rPr>
        <w:t>p</w:t>
      </w:r>
      <w:r w:rsidRPr="006C670D">
        <w:rPr>
          <w:rFonts w:cs="Times New Roman"/>
          <w:szCs w:val="24"/>
          <w:lang w:val="en-GB"/>
        </w:rPr>
        <w:t xml:space="preserve"> &lt; </w:t>
      </w:r>
      <w:r w:rsidRPr="006C670D">
        <w:rPr>
          <w:rFonts w:cs="Times New Roman"/>
          <w:szCs w:val="24"/>
        </w:rPr>
        <w:t>.01</w:t>
      </w:r>
      <w:r w:rsidRPr="006C670D">
        <w:rPr>
          <w:rFonts w:cs="Times New Roman"/>
          <w:szCs w:val="24"/>
          <w:lang w:val="en-GB"/>
        </w:rPr>
        <w:t xml:space="preserve">) than women in shorter-term relationships. Women who reported lower levels of relationship satisfaction had greater odds of reporting sexual avoidance (OR = </w:t>
      </w:r>
      <w:r w:rsidRPr="006C670D">
        <w:rPr>
          <w:rFonts w:cs="Times New Roman"/>
          <w:color w:val="010205"/>
          <w:szCs w:val="24"/>
          <w:lang w:val="en-GB"/>
        </w:rPr>
        <w:t>1.18</w:t>
      </w:r>
      <w:r w:rsidRPr="006C670D">
        <w:rPr>
          <w:rFonts w:cs="Times New Roman"/>
          <w:szCs w:val="24"/>
          <w:lang w:val="en-GB"/>
        </w:rPr>
        <w:t xml:space="preserve">, </w:t>
      </w:r>
      <w:r w:rsidRPr="001A4A79">
        <w:rPr>
          <w:rFonts w:cs="Times New Roman"/>
          <w:i/>
          <w:szCs w:val="24"/>
          <w:lang w:val="en-GB"/>
        </w:rPr>
        <w:t xml:space="preserve">p </w:t>
      </w:r>
      <w:r w:rsidRPr="006C670D">
        <w:rPr>
          <w:rFonts w:cs="Times New Roman"/>
          <w:szCs w:val="24"/>
          <w:lang w:val="en-GB"/>
        </w:rPr>
        <w:t xml:space="preserve">&lt; </w:t>
      </w:r>
      <w:r w:rsidRPr="006C670D">
        <w:rPr>
          <w:rFonts w:cs="Times New Roman"/>
          <w:szCs w:val="24"/>
        </w:rPr>
        <w:t>.05</w:t>
      </w:r>
      <w:r w:rsidRPr="006C670D">
        <w:rPr>
          <w:rFonts w:cs="Times New Roman"/>
          <w:szCs w:val="24"/>
          <w:lang w:val="en-GB"/>
        </w:rPr>
        <w:t xml:space="preserve">) than women who reported lower levels of relationship satisfaction. Women who reported lower levels of relationship intimacy had greater odds of reporting sexual avoidance (OR = </w:t>
      </w:r>
      <w:r w:rsidRPr="006C670D">
        <w:rPr>
          <w:rFonts w:cs="Times New Roman"/>
          <w:color w:val="010205"/>
          <w:szCs w:val="24"/>
          <w:lang w:val="en-GB"/>
        </w:rPr>
        <w:t>1.52</w:t>
      </w:r>
      <w:r w:rsidRPr="006C670D">
        <w:rPr>
          <w:rFonts w:cs="Times New Roman"/>
          <w:szCs w:val="24"/>
          <w:lang w:val="en-GB"/>
        </w:rPr>
        <w:t xml:space="preserve">, </w:t>
      </w:r>
      <w:r w:rsidRPr="001A4A79">
        <w:rPr>
          <w:rFonts w:cs="Times New Roman"/>
          <w:i/>
          <w:szCs w:val="24"/>
          <w:lang w:val="en-GB"/>
        </w:rPr>
        <w:t>p</w:t>
      </w:r>
      <w:r w:rsidRPr="006C670D">
        <w:rPr>
          <w:rFonts w:cs="Times New Roman"/>
          <w:szCs w:val="24"/>
          <w:lang w:val="en-GB"/>
        </w:rPr>
        <w:t xml:space="preserve"> &lt; </w:t>
      </w:r>
      <w:r w:rsidRPr="006C670D">
        <w:rPr>
          <w:rFonts w:cs="Times New Roman"/>
          <w:szCs w:val="24"/>
        </w:rPr>
        <w:t>.01</w:t>
      </w:r>
      <w:r w:rsidRPr="006C670D">
        <w:rPr>
          <w:rFonts w:cs="Times New Roman"/>
          <w:szCs w:val="24"/>
          <w:lang w:val="en-GB"/>
        </w:rPr>
        <w:t xml:space="preserve">) than women who reported lower levels of relationship intimacy. Women who reported poorer physical and mental health </w:t>
      </w:r>
      <w:r w:rsidRPr="006C670D">
        <w:rPr>
          <w:rFonts w:cs="Times New Roman"/>
          <w:color w:val="000000"/>
          <w:szCs w:val="24"/>
          <w:lang w:val="en-GB"/>
        </w:rPr>
        <w:t xml:space="preserve">had </w:t>
      </w:r>
      <w:r w:rsidRPr="006C670D">
        <w:rPr>
          <w:rFonts w:cs="Times New Roman"/>
          <w:szCs w:val="24"/>
          <w:lang w:val="en-GB"/>
        </w:rPr>
        <w:t xml:space="preserve">greater odds of reporting sexual avoidance (OR = </w:t>
      </w:r>
      <w:r w:rsidRPr="006C670D">
        <w:rPr>
          <w:rFonts w:cs="Times New Roman"/>
          <w:color w:val="010205"/>
          <w:szCs w:val="24"/>
          <w:lang w:val="en-GB"/>
        </w:rPr>
        <w:t>.98</w:t>
      </w:r>
      <w:r w:rsidRPr="006C670D">
        <w:rPr>
          <w:rFonts w:cs="Times New Roman"/>
          <w:szCs w:val="24"/>
          <w:lang w:val="en-GB"/>
        </w:rPr>
        <w:t xml:space="preserve">, </w:t>
      </w:r>
      <w:r w:rsidRPr="001A4A79">
        <w:rPr>
          <w:rFonts w:cs="Times New Roman"/>
          <w:i/>
          <w:szCs w:val="24"/>
          <w:lang w:val="en-GB"/>
        </w:rPr>
        <w:t>p</w:t>
      </w:r>
      <w:r w:rsidRPr="006C670D">
        <w:rPr>
          <w:rFonts w:cs="Times New Roman"/>
          <w:szCs w:val="24"/>
          <w:lang w:val="en-GB"/>
        </w:rPr>
        <w:t xml:space="preserve"> &lt; </w:t>
      </w:r>
      <w:r w:rsidRPr="006C670D">
        <w:rPr>
          <w:rFonts w:cs="Times New Roman"/>
          <w:szCs w:val="24"/>
        </w:rPr>
        <w:t xml:space="preserve">.05 and </w:t>
      </w:r>
      <w:r w:rsidRPr="006C670D">
        <w:rPr>
          <w:rFonts w:cs="Times New Roman"/>
          <w:szCs w:val="24"/>
          <w:lang w:val="en-GB"/>
        </w:rPr>
        <w:t xml:space="preserve">OR = </w:t>
      </w:r>
      <w:r w:rsidRPr="006C670D">
        <w:rPr>
          <w:rFonts w:cs="Times New Roman"/>
          <w:color w:val="000000"/>
          <w:szCs w:val="24"/>
        </w:rPr>
        <w:t>.96</w:t>
      </w:r>
      <w:r w:rsidRPr="006C670D">
        <w:rPr>
          <w:rFonts w:cs="Times New Roman"/>
          <w:szCs w:val="24"/>
          <w:lang w:val="en-GB"/>
        </w:rPr>
        <w:t xml:space="preserve">, </w:t>
      </w:r>
      <w:r w:rsidRPr="001A4A79">
        <w:rPr>
          <w:rFonts w:cs="Times New Roman"/>
          <w:i/>
          <w:szCs w:val="24"/>
          <w:lang w:val="en-GB"/>
        </w:rPr>
        <w:t>p</w:t>
      </w:r>
      <w:r w:rsidRPr="006C670D">
        <w:rPr>
          <w:rFonts w:cs="Times New Roman"/>
          <w:szCs w:val="24"/>
          <w:lang w:val="en-GB"/>
        </w:rPr>
        <w:t xml:space="preserve"> &lt; </w:t>
      </w:r>
      <w:r w:rsidRPr="006C670D">
        <w:rPr>
          <w:rFonts w:cs="Times New Roman"/>
          <w:szCs w:val="24"/>
        </w:rPr>
        <w:t>.001, respectively</w:t>
      </w:r>
      <w:r w:rsidRPr="006C670D">
        <w:rPr>
          <w:rFonts w:cs="Times New Roman"/>
          <w:szCs w:val="24"/>
          <w:lang w:val="en-GB"/>
        </w:rPr>
        <w:t xml:space="preserve">) than women who </w:t>
      </w:r>
      <w:r w:rsidRPr="006C670D">
        <w:rPr>
          <w:rFonts w:cs="Times New Roman"/>
          <w:color w:val="000000"/>
          <w:szCs w:val="24"/>
          <w:lang w:val="en-GB"/>
        </w:rPr>
        <w:t>reported better physical and mental health.</w:t>
      </w:r>
      <w:r w:rsidRPr="006C670D">
        <w:rPr>
          <w:rFonts w:cs="Times New Roman"/>
          <w:szCs w:val="24"/>
          <w:lang w:val="en-GB"/>
        </w:rPr>
        <w:t xml:space="preserve"> Finally, women who reported distressing sexual problems and sexual problems in their partner had greater odds of reporting sexual avoidance (OR = </w:t>
      </w:r>
      <w:r w:rsidRPr="006C670D">
        <w:rPr>
          <w:rFonts w:cs="Times New Roman"/>
          <w:color w:val="000000"/>
          <w:szCs w:val="24"/>
        </w:rPr>
        <w:t>1.10</w:t>
      </w:r>
      <w:r w:rsidRPr="006C670D">
        <w:rPr>
          <w:rFonts w:cs="Times New Roman"/>
          <w:szCs w:val="24"/>
          <w:lang w:val="en-GB"/>
        </w:rPr>
        <w:t xml:space="preserve">, </w:t>
      </w:r>
      <w:r w:rsidRPr="00886D3E">
        <w:rPr>
          <w:rFonts w:cs="Times New Roman"/>
          <w:i/>
          <w:szCs w:val="24"/>
          <w:lang w:val="en-GB"/>
        </w:rPr>
        <w:t>p</w:t>
      </w:r>
      <w:r w:rsidRPr="006C670D">
        <w:rPr>
          <w:rFonts w:cs="Times New Roman"/>
          <w:szCs w:val="24"/>
          <w:lang w:val="en-GB"/>
        </w:rPr>
        <w:t xml:space="preserve"> &lt; </w:t>
      </w:r>
      <w:r w:rsidRPr="006C670D">
        <w:rPr>
          <w:rFonts w:cs="Times New Roman"/>
          <w:szCs w:val="24"/>
        </w:rPr>
        <w:t xml:space="preserve">.001 and </w:t>
      </w:r>
      <w:r w:rsidRPr="006C670D">
        <w:rPr>
          <w:rFonts w:cs="Times New Roman"/>
          <w:szCs w:val="24"/>
          <w:lang w:val="en-GB"/>
        </w:rPr>
        <w:t xml:space="preserve">OR = </w:t>
      </w:r>
      <w:r w:rsidRPr="006C670D">
        <w:rPr>
          <w:rFonts w:cs="Times New Roman"/>
          <w:color w:val="000000"/>
          <w:szCs w:val="24"/>
        </w:rPr>
        <w:t>.86</w:t>
      </w:r>
      <w:r w:rsidRPr="006C670D">
        <w:rPr>
          <w:rFonts w:cs="Times New Roman"/>
          <w:szCs w:val="24"/>
          <w:lang w:val="en-GB"/>
        </w:rPr>
        <w:t xml:space="preserve">, </w:t>
      </w:r>
      <w:r w:rsidRPr="00886D3E">
        <w:rPr>
          <w:rFonts w:cs="Times New Roman"/>
          <w:i/>
          <w:szCs w:val="24"/>
          <w:lang w:val="en-GB"/>
        </w:rPr>
        <w:t>p</w:t>
      </w:r>
      <w:r w:rsidRPr="006C670D">
        <w:rPr>
          <w:rFonts w:cs="Times New Roman"/>
          <w:szCs w:val="24"/>
          <w:lang w:val="en-GB"/>
        </w:rPr>
        <w:t xml:space="preserve"> &lt; </w:t>
      </w:r>
      <w:r w:rsidRPr="006C670D">
        <w:rPr>
          <w:rFonts w:cs="Times New Roman"/>
          <w:szCs w:val="24"/>
        </w:rPr>
        <w:t xml:space="preserve">.01, respectively) than women who reported no such problems. </w:t>
      </w:r>
      <w:r w:rsidRPr="006C670D">
        <w:rPr>
          <w:rFonts w:cs="Times New Roman"/>
          <w:color w:val="000000"/>
          <w:szCs w:val="24"/>
          <w:lang w:val="en-GB"/>
        </w:rPr>
        <w:t>The results of the Hosmer–Lemeshow test were not signiﬁcant, thus pointing to an acceptable ﬁt of the regression models.</w:t>
      </w:r>
    </w:p>
    <w:p w14:paraId="5F6FAB70" w14:textId="77777777" w:rsidR="00E303E8" w:rsidRPr="006C670D" w:rsidRDefault="00E303E8" w:rsidP="00E303E8">
      <w:pPr>
        <w:spacing w:after="0"/>
        <w:ind w:left="1528" w:firstLine="1304"/>
        <w:rPr>
          <w:rFonts w:cs="Times New Roman"/>
          <w:szCs w:val="24"/>
          <w:lang w:val="en-US"/>
        </w:rPr>
      </w:pPr>
      <w:r w:rsidRPr="006C670D">
        <w:rPr>
          <w:rFonts w:cs="Times New Roman"/>
          <w:szCs w:val="24"/>
          <w:lang w:val="en-US"/>
        </w:rPr>
        <w:t>---------------------------------</w:t>
      </w:r>
    </w:p>
    <w:p w14:paraId="5A10D455" w14:textId="77777777" w:rsidR="00E303E8" w:rsidRPr="006C670D" w:rsidRDefault="00E303E8" w:rsidP="00E303E8">
      <w:pPr>
        <w:spacing w:after="0"/>
        <w:ind w:firstLine="1304"/>
        <w:outlineLvl w:val="0"/>
        <w:rPr>
          <w:rFonts w:cs="Times New Roman"/>
          <w:szCs w:val="24"/>
          <w:lang w:val="en-US"/>
        </w:rPr>
      </w:pPr>
      <w:r w:rsidRPr="006C670D">
        <w:rPr>
          <w:rFonts w:cs="Times New Roman"/>
          <w:szCs w:val="24"/>
          <w:lang w:val="en-US"/>
        </w:rPr>
        <w:tab/>
        <w:t xml:space="preserve">                 </w:t>
      </w:r>
      <w:r w:rsidRPr="006C670D">
        <w:rPr>
          <w:rFonts w:cs="Times New Roman"/>
          <w:szCs w:val="24"/>
          <w:lang w:val="en-US"/>
        </w:rPr>
        <w:tab/>
        <w:t xml:space="preserve"> Insert Table 5 about here</w:t>
      </w:r>
    </w:p>
    <w:p w14:paraId="52AEA941" w14:textId="77777777" w:rsidR="00E303E8" w:rsidRPr="006C670D" w:rsidRDefault="00E303E8" w:rsidP="00E303E8">
      <w:pPr>
        <w:spacing w:after="0"/>
        <w:rPr>
          <w:rFonts w:cs="Times New Roman"/>
          <w:szCs w:val="24"/>
          <w:lang w:val="en-GB"/>
        </w:rPr>
      </w:pPr>
      <w:r w:rsidRPr="006C670D">
        <w:rPr>
          <w:rFonts w:cs="Times New Roman"/>
          <w:szCs w:val="24"/>
          <w:lang w:val="en-GB"/>
        </w:rPr>
        <w:t xml:space="preserve">             </w:t>
      </w:r>
      <w:r w:rsidRPr="006C670D">
        <w:rPr>
          <w:rFonts w:cs="Times New Roman"/>
          <w:szCs w:val="24"/>
          <w:lang w:val="en-GB"/>
        </w:rPr>
        <w:tab/>
      </w:r>
      <w:r w:rsidRPr="006C670D">
        <w:rPr>
          <w:rFonts w:cs="Times New Roman"/>
          <w:szCs w:val="24"/>
          <w:lang w:val="en-GB"/>
        </w:rPr>
        <w:tab/>
        <w:t xml:space="preserve">             --------------------------------- </w:t>
      </w:r>
    </w:p>
    <w:p w14:paraId="119FFD6E" w14:textId="77777777" w:rsidR="00E303E8" w:rsidRPr="006C670D" w:rsidRDefault="00E303E8" w:rsidP="00E303E8">
      <w:pPr>
        <w:spacing w:after="0"/>
        <w:rPr>
          <w:rFonts w:cs="Times New Roman"/>
          <w:szCs w:val="24"/>
          <w:lang w:val="en-GB"/>
        </w:rPr>
      </w:pPr>
      <w:r w:rsidRPr="006C670D">
        <w:rPr>
          <w:rFonts w:cs="Times New Roman"/>
          <w:b/>
          <w:szCs w:val="24"/>
        </w:rPr>
        <w:t>Discussion</w:t>
      </w:r>
    </w:p>
    <w:p w14:paraId="41CA1E22" w14:textId="756BF776" w:rsidR="00E303E8" w:rsidRPr="006C670D" w:rsidRDefault="00E303E8" w:rsidP="00E303E8">
      <w:pPr>
        <w:spacing w:after="0"/>
        <w:ind w:firstLine="708"/>
        <w:rPr>
          <w:rFonts w:cs="Times New Roman"/>
          <w:szCs w:val="24"/>
          <w:lang w:val="en-GB"/>
        </w:rPr>
      </w:pPr>
      <w:r w:rsidRPr="006C670D">
        <w:rPr>
          <w:rFonts w:cs="Times New Roman"/>
          <w:szCs w:val="24"/>
          <w:lang w:val="en-GB"/>
        </w:rPr>
        <w:t>In this cross-cultural study we estimated the prevalence and the reasons for</w:t>
      </w:r>
      <w:r w:rsidR="001C69EA">
        <w:rPr>
          <w:rFonts w:cs="Times New Roman"/>
          <w:szCs w:val="24"/>
          <w:lang w:val="en-GB"/>
        </w:rPr>
        <w:t>,</w:t>
      </w:r>
      <w:r w:rsidRPr="006C670D">
        <w:rPr>
          <w:rFonts w:cs="Times New Roman"/>
          <w:szCs w:val="24"/>
          <w:lang w:val="en-GB"/>
        </w:rPr>
        <w:t xml:space="preserve"> as well as the correlates of</w:t>
      </w:r>
      <w:r w:rsidR="00004954">
        <w:rPr>
          <w:rFonts w:cs="Times New Roman"/>
          <w:szCs w:val="24"/>
          <w:lang w:val="en-GB"/>
        </w:rPr>
        <w:t>,</w:t>
      </w:r>
      <w:r w:rsidRPr="006C670D">
        <w:rPr>
          <w:rFonts w:cs="Times New Roman"/>
          <w:szCs w:val="24"/>
          <w:lang w:val="en-GB"/>
        </w:rPr>
        <w:t xml:space="preserve"> sexual avoidance among older men and women who were in steady committed relationships. Findings revealed </w:t>
      </w:r>
      <w:r w:rsidRPr="006C670D">
        <w:rPr>
          <w:rFonts w:eastAsiaTheme="minorHAnsi" w:cs="Times New Roman"/>
          <w:szCs w:val="24"/>
          <w:lang w:val="en-GB" w:eastAsia="en-US"/>
        </w:rPr>
        <w:t>significant differences between men and women regarding sexual avoidance. A</w:t>
      </w:r>
      <w:r w:rsidRPr="006C670D">
        <w:rPr>
          <w:rFonts w:cs="Times New Roman"/>
          <w:szCs w:val="24"/>
        </w:rPr>
        <w:t>s expected, women were more likely than men to report having avoided sex in the past 12 months (40% vs 19%). This is consistent with the findings of the Natsal-3 survey of</w:t>
      </w:r>
      <w:r w:rsidRPr="006C670D">
        <w:rPr>
          <w:rFonts w:cs="Times New Roman"/>
          <w:szCs w:val="24"/>
          <w:lang w:val="en-GB"/>
        </w:rPr>
        <w:t xml:space="preserve"> British men and women aged 16 – 74 years (Mitchell et al. 2013) that revealed that sexual avoidance </w:t>
      </w:r>
      <w:r w:rsidR="00004954">
        <w:rPr>
          <w:rFonts w:cs="Times New Roman"/>
          <w:szCs w:val="24"/>
          <w:lang w:val="en-GB"/>
        </w:rPr>
        <w:t>becomes more common</w:t>
      </w:r>
      <w:r w:rsidRPr="006C670D">
        <w:rPr>
          <w:rFonts w:cs="Times New Roman"/>
          <w:szCs w:val="24"/>
          <w:lang w:val="en-GB"/>
        </w:rPr>
        <w:t xml:space="preserve"> with age, being highest among those 65-74 years. </w:t>
      </w:r>
      <w:r w:rsidRPr="006C670D">
        <w:rPr>
          <w:rFonts w:cs="Times New Roman"/>
          <w:szCs w:val="24"/>
        </w:rPr>
        <w:t xml:space="preserve">This finding </w:t>
      </w:r>
      <w:r w:rsidR="00004954">
        <w:rPr>
          <w:rFonts w:cs="Times New Roman"/>
          <w:szCs w:val="24"/>
        </w:rPr>
        <w:t>that</w:t>
      </w:r>
      <w:r w:rsidR="00004954" w:rsidRPr="006C670D">
        <w:rPr>
          <w:rFonts w:cs="Times New Roman"/>
          <w:szCs w:val="24"/>
        </w:rPr>
        <w:t xml:space="preserve"> </w:t>
      </w:r>
      <w:r w:rsidRPr="006C670D">
        <w:rPr>
          <w:rFonts w:cs="Times New Roman"/>
          <w:szCs w:val="24"/>
        </w:rPr>
        <w:t xml:space="preserve">men avoid sex much less than women may reflect traditional sexual scripts, which posit that men should </w:t>
      </w:r>
      <w:r w:rsidRPr="006C670D">
        <w:rPr>
          <w:rFonts w:eastAsia="Times New Roman" w:cs="Times New Roman"/>
          <w:szCs w:val="24"/>
        </w:rPr>
        <w:t xml:space="preserve">demonstrate a strong and unwavering interest in </w:t>
      </w:r>
      <w:r w:rsidRPr="006C670D">
        <w:rPr>
          <w:rFonts w:eastAsia="Times New Roman" w:cs="Times New Roman"/>
          <w:szCs w:val="24"/>
        </w:rPr>
        <w:lastRenderedPageBreak/>
        <w:t xml:space="preserve">sexual activity (Courtenay 2000; Masters et al. 2012) and be the </w:t>
      </w:r>
      <w:r w:rsidR="00004954">
        <w:rPr>
          <w:rFonts w:eastAsia="Times New Roman" w:cs="Times New Roman"/>
          <w:szCs w:val="24"/>
        </w:rPr>
        <w:t>one to initiate sex</w:t>
      </w:r>
      <w:r w:rsidRPr="006C670D">
        <w:rPr>
          <w:rFonts w:eastAsia="Times New Roman" w:cs="Times New Roman"/>
          <w:szCs w:val="24"/>
        </w:rPr>
        <w:t xml:space="preserve"> </w:t>
      </w:r>
      <w:r w:rsidRPr="006C670D">
        <w:rPr>
          <w:rFonts w:cs="Times New Roman"/>
          <w:szCs w:val="24"/>
        </w:rPr>
        <w:t xml:space="preserve">(Dworkin </w:t>
      </w:r>
      <w:r w:rsidR="005A58C0">
        <w:rPr>
          <w:rFonts w:cs="Times New Roman"/>
          <w:szCs w:val="24"/>
        </w:rPr>
        <w:t>and</w:t>
      </w:r>
      <w:r w:rsidRPr="006C670D">
        <w:rPr>
          <w:rFonts w:cs="Times New Roman"/>
          <w:szCs w:val="24"/>
        </w:rPr>
        <w:t xml:space="preserve"> O’Sullivan 2005; </w:t>
      </w:r>
      <w:r w:rsidRPr="006C670D">
        <w:rPr>
          <w:rFonts w:cs="Times New Roman"/>
          <w:szCs w:val="24"/>
          <w:lang w:val="en-GB"/>
        </w:rPr>
        <w:t xml:space="preserve">Baumeister, Catanese, </w:t>
      </w:r>
      <w:r w:rsidR="005A58C0">
        <w:rPr>
          <w:rFonts w:cs="Times New Roman"/>
          <w:szCs w:val="24"/>
          <w:lang w:val="en-GB"/>
        </w:rPr>
        <w:t>and</w:t>
      </w:r>
      <w:r w:rsidRPr="006C670D">
        <w:rPr>
          <w:rFonts w:cs="Times New Roman"/>
          <w:szCs w:val="24"/>
          <w:lang w:val="en-GB"/>
        </w:rPr>
        <w:t xml:space="preserve"> Vohs 2001)</w:t>
      </w:r>
      <w:r w:rsidRPr="006C670D">
        <w:rPr>
          <w:rFonts w:cs="Times New Roman"/>
          <w:szCs w:val="24"/>
        </w:rPr>
        <w:t xml:space="preserve">. Men likely have less “opportunity” for sexual avoidance </w:t>
      </w:r>
      <w:r w:rsidR="00004954">
        <w:rPr>
          <w:rFonts w:cs="Times New Roman"/>
          <w:szCs w:val="24"/>
        </w:rPr>
        <w:t>because they feel</w:t>
      </w:r>
      <w:r w:rsidRPr="006C670D">
        <w:rPr>
          <w:rFonts w:cs="Times New Roman"/>
          <w:szCs w:val="24"/>
          <w:lang w:val="en-GB"/>
        </w:rPr>
        <w:t xml:space="preserve"> the imperative to behave sexually and to respond to their partner’s sexual initiative.</w:t>
      </w:r>
    </w:p>
    <w:p w14:paraId="01F2C889" w14:textId="6AAE7D4C" w:rsidR="00E303E8" w:rsidRPr="006C670D" w:rsidRDefault="00E303E8" w:rsidP="00E303E8">
      <w:pPr>
        <w:spacing w:after="0"/>
        <w:ind w:firstLine="708"/>
        <w:rPr>
          <w:rFonts w:cs="Times New Roman"/>
          <w:szCs w:val="24"/>
        </w:rPr>
      </w:pPr>
      <w:r w:rsidRPr="006C670D">
        <w:rPr>
          <w:rFonts w:cs="Times New Roman"/>
          <w:szCs w:val="24"/>
          <w:lang w:val="en-GB"/>
        </w:rPr>
        <w:t xml:space="preserve">A </w:t>
      </w:r>
      <w:r w:rsidR="00004954">
        <w:rPr>
          <w:rFonts w:cs="Times New Roman"/>
          <w:szCs w:val="24"/>
          <w:lang w:val="en-GB"/>
        </w:rPr>
        <w:t>range</w:t>
      </w:r>
      <w:r w:rsidR="00004954" w:rsidRPr="006C670D">
        <w:rPr>
          <w:rFonts w:cs="Times New Roman"/>
          <w:szCs w:val="24"/>
          <w:lang w:val="en-GB"/>
        </w:rPr>
        <w:t xml:space="preserve"> </w:t>
      </w:r>
      <w:r w:rsidRPr="006C670D">
        <w:rPr>
          <w:rFonts w:cs="Times New Roman"/>
          <w:szCs w:val="24"/>
          <w:lang w:val="en-GB"/>
        </w:rPr>
        <w:t xml:space="preserve">of reasons for avoiding sex were reported by participants. </w:t>
      </w:r>
      <w:r w:rsidRPr="006C670D">
        <w:rPr>
          <w:rFonts w:cs="Times New Roman"/>
          <w:szCs w:val="24"/>
        </w:rPr>
        <w:t xml:space="preserve">Both men and women endorsed </w:t>
      </w:r>
      <w:r w:rsidRPr="006C670D">
        <w:rPr>
          <w:rFonts w:cs="Times New Roman"/>
          <w:szCs w:val="24"/>
          <w:lang w:val="en-GB"/>
        </w:rPr>
        <w:t>sexual difficulties, health problems, partner’s sexual difficulties, and lack of sexual interest</w:t>
      </w:r>
      <w:r w:rsidR="00004954">
        <w:rPr>
          <w:rFonts w:cs="Times New Roman"/>
          <w:szCs w:val="24"/>
          <w:lang w:val="en-GB"/>
        </w:rPr>
        <w:t xml:space="preserve"> as reasons they avoided sex</w:t>
      </w:r>
      <w:r w:rsidRPr="006C670D">
        <w:rPr>
          <w:rFonts w:cs="Times New Roman"/>
          <w:szCs w:val="24"/>
          <w:lang w:val="en-GB"/>
        </w:rPr>
        <w:t xml:space="preserve">. </w:t>
      </w:r>
      <w:r w:rsidRPr="006C670D">
        <w:rPr>
          <w:rFonts w:cs="Times New Roman"/>
          <w:szCs w:val="24"/>
        </w:rPr>
        <w:t>These findings are similar to those found in previous studies</w:t>
      </w:r>
      <w:r w:rsidRPr="006C670D">
        <w:rPr>
          <w:rFonts w:cs="Times New Roman"/>
          <w:szCs w:val="24"/>
          <w:lang w:val="en-GB"/>
        </w:rPr>
        <w:t xml:space="preserve"> (Lindau et al. 2007; Gott </w:t>
      </w:r>
      <w:r w:rsidR="005A58C0">
        <w:rPr>
          <w:rFonts w:cs="Times New Roman"/>
          <w:szCs w:val="24"/>
          <w:lang w:val="en-GB"/>
        </w:rPr>
        <w:t>and</w:t>
      </w:r>
      <w:r w:rsidRPr="006C670D">
        <w:rPr>
          <w:rFonts w:cs="Times New Roman"/>
          <w:szCs w:val="24"/>
          <w:lang w:val="en-GB"/>
        </w:rPr>
        <w:t xml:space="preserve"> Hinchliff 2003; Lodge </w:t>
      </w:r>
      <w:r w:rsidR="005A58C0">
        <w:rPr>
          <w:rFonts w:cs="Times New Roman"/>
          <w:szCs w:val="24"/>
          <w:lang w:val="en-GB"/>
        </w:rPr>
        <w:t>and</w:t>
      </w:r>
      <w:r w:rsidRPr="006C670D">
        <w:rPr>
          <w:rFonts w:cs="Times New Roman"/>
          <w:szCs w:val="24"/>
          <w:lang w:val="en-GB"/>
        </w:rPr>
        <w:t xml:space="preserve"> Umberson 2012</w:t>
      </w:r>
      <w:r w:rsidR="00004954">
        <w:rPr>
          <w:rFonts w:cs="Times New Roman"/>
          <w:szCs w:val="24"/>
          <w:lang w:val="en-GB"/>
        </w:rPr>
        <w:t xml:space="preserve">; </w:t>
      </w:r>
      <w:r w:rsidR="00B96492">
        <w:rPr>
          <w:rFonts w:cs="Times New Roman"/>
          <w:szCs w:val="24"/>
          <w:lang w:val="en-GB"/>
        </w:rPr>
        <w:t xml:space="preserve"> </w:t>
      </w:r>
      <w:r w:rsidRPr="006C670D">
        <w:rPr>
          <w:rFonts w:cs="Times New Roman"/>
          <w:szCs w:val="24"/>
          <w:lang w:val="en-GB"/>
        </w:rPr>
        <w:t>Mitchell</w:t>
      </w:r>
      <w:r w:rsidR="00004954">
        <w:rPr>
          <w:rFonts w:cs="Times New Roman"/>
          <w:szCs w:val="24"/>
          <w:lang w:val="en-GB"/>
        </w:rPr>
        <w:t xml:space="preserve"> </w:t>
      </w:r>
      <w:r w:rsidRPr="006C670D">
        <w:rPr>
          <w:rFonts w:cs="Times New Roman"/>
          <w:szCs w:val="24"/>
          <w:lang w:val="en-GB"/>
        </w:rPr>
        <w:t xml:space="preserve">et al. 2013). </w:t>
      </w:r>
      <w:r w:rsidRPr="006C670D">
        <w:rPr>
          <w:rFonts w:cs="Times New Roman"/>
          <w:szCs w:val="24"/>
        </w:rPr>
        <w:t>Regarding the reasons for sexual avoidance, there were gender differences in relation to lack of sexual interest, body image concerns (both more frequent reasons for avoidance among women), and sexual difficulties</w:t>
      </w:r>
      <w:r w:rsidR="00247D3F">
        <w:rPr>
          <w:rFonts w:cs="Times New Roman"/>
          <w:szCs w:val="24"/>
        </w:rPr>
        <w:t xml:space="preserve"> (</w:t>
      </w:r>
      <w:r w:rsidRPr="006C670D">
        <w:rPr>
          <w:rFonts w:cs="Times New Roman"/>
          <w:szCs w:val="24"/>
        </w:rPr>
        <w:t>more frequent among men</w:t>
      </w:r>
      <w:r w:rsidR="00247D3F">
        <w:rPr>
          <w:rFonts w:cs="Times New Roman"/>
          <w:szCs w:val="24"/>
        </w:rPr>
        <w:t>)</w:t>
      </w:r>
      <w:r w:rsidRPr="006C670D">
        <w:rPr>
          <w:rFonts w:cs="Times New Roman"/>
          <w:szCs w:val="24"/>
        </w:rPr>
        <w:t xml:space="preserve">. </w:t>
      </w:r>
    </w:p>
    <w:p w14:paraId="5A03DC80" w14:textId="74D3979E" w:rsidR="00E303E8" w:rsidRPr="006C670D" w:rsidRDefault="00E303E8" w:rsidP="00E303E8">
      <w:pPr>
        <w:spacing w:after="0"/>
        <w:ind w:firstLine="708"/>
        <w:rPr>
          <w:rFonts w:cs="Times New Roman"/>
          <w:szCs w:val="24"/>
          <w:lang w:val="en-US" w:eastAsia="en-US"/>
        </w:rPr>
      </w:pPr>
      <w:r w:rsidRPr="006C670D">
        <w:rPr>
          <w:rFonts w:cs="Times New Roman"/>
          <w:szCs w:val="24"/>
        </w:rPr>
        <w:t xml:space="preserve">A notable finding was that close to one-third of respondents (24% and 31% of men and women, respectively) chose the “other” category as a reason of sexual avoidance. </w:t>
      </w:r>
      <w:r w:rsidRPr="006C670D">
        <w:rPr>
          <w:rFonts w:cs="Times New Roman"/>
          <w:szCs w:val="24"/>
          <w:lang w:val="en-US" w:eastAsia="en-US"/>
        </w:rPr>
        <w:t xml:space="preserve">There may be diverse “other” reasons for sexual avoidance. One of them may be </w:t>
      </w:r>
      <w:r w:rsidRPr="006C670D">
        <w:rPr>
          <w:rFonts w:cs="Times New Roman"/>
          <w:szCs w:val="24"/>
        </w:rPr>
        <w:t xml:space="preserve">partners’ </w:t>
      </w:r>
      <w:r w:rsidRPr="006C670D">
        <w:rPr>
          <w:rFonts w:cs="Times New Roman"/>
          <w:szCs w:val="24"/>
          <w:lang w:val="en-US" w:eastAsia="en-US"/>
        </w:rPr>
        <w:t xml:space="preserve">physical or mental </w:t>
      </w:r>
      <w:r w:rsidRPr="006C670D">
        <w:rPr>
          <w:rFonts w:cs="Times New Roman"/>
          <w:szCs w:val="24"/>
        </w:rPr>
        <w:t xml:space="preserve">health problems, which we did not assess. Another reason may be related to </w:t>
      </w:r>
      <w:r w:rsidRPr="006C670D">
        <w:rPr>
          <w:rFonts w:cs="Times New Roman"/>
          <w:szCs w:val="24"/>
          <w:lang w:val="en-US" w:eastAsia="en-US"/>
        </w:rPr>
        <w:t>a lack of quality of sexual stimul</w:t>
      </w:r>
      <w:r w:rsidR="000E4276">
        <w:rPr>
          <w:rFonts w:cs="Times New Roman"/>
          <w:szCs w:val="24"/>
          <w:lang w:val="en-US" w:eastAsia="en-US"/>
        </w:rPr>
        <w:t xml:space="preserve">ation </w:t>
      </w:r>
      <w:r w:rsidRPr="006C670D">
        <w:rPr>
          <w:rFonts w:cs="Times New Roman"/>
          <w:szCs w:val="24"/>
          <w:lang w:val="en-US" w:eastAsia="en-US"/>
        </w:rPr>
        <w:t xml:space="preserve"> received from the partner across a relatively long relationship. This might be associated with a lifelong difficulty in communication with one’s partner about </w:t>
      </w:r>
      <w:r w:rsidR="00931F87" w:rsidRPr="006C670D">
        <w:rPr>
          <w:rFonts w:cs="Times New Roman"/>
          <w:szCs w:val="24"/>
          <w:lang w:val="en-US" w:eastAsia="en-US"/>
        </w:rPr>
        <w:t>preferr</w:t>
      </w:r>
      <w:r w:rsidR="00931F87">
        <w:rPr>
          <w:rFonts w:cs="Times New Roman"/>
          <w:szCs w:val="24"/>
          <w:lang w:val="en-US" w:eastAsia="en-US"/>
        </w:rPr>
        <w:t>ed</w:t>
      </w:r>
      <w:r w:rsidR="00931F87" w:rsidRPr="006C670D">
        <w:rPr>
          <w:rFonts w:cs="Times New Roman"/>
          <w:szCs w:val="24"/>
          <w:lang w:val="en-US" w:eastAsia="en-US"/>
        </w:rPr>
        <w:t xml:space="preserve"> </w:t>
      </w:r>
      <w:r w:rsidRPr="006C670D">
        <w:rPr>
          <w:rFonts w:cs="Times New Roman"/>
          <w:szCs w:val="24"/>
          <w:lang w:val="en-US" w:eastAsia="en-US"/>
        </w:rPr>
        <w:t xml:space="preserve">methods of sexual stimulation. Lack of or difficult communication with one’s partner may be a reason to avoid sexual activity and the inability to share the real motives and what the individual is not getting from the partner. </w:t>
      </w:r>
      <w:r w:rsidR="00010350">
        <w:rPr>
          <w:rFonts w:cs="Times New Roman"/>
          <w:szCs w:val="24"/>
          <w:lang w:val="en-US" w:eastAsia="en-US"/>
        </w:rPr>
        <w:t xml:space="preserve">A recent study revealed that </w:t>
      </w:r>
      <w:r w:rsidR="00010350">
        <w:t xml:space="preserve">lack of sexual communication was the strongest predictor of lack of desire problems in both men and women (Graham </w:t>
      </w:r>
      <w:r w:rsidR="005A58C0">
        <w:t>et al.</w:t>
      </w:r>
      <w:r w:rsidR="00010350">
        <w:t xml:space="preserve"> 2017).</w:t>
      </w:r>
      <w:r w:rsidR="00010350" w:rsidRPr="006C670D">
        <w:rPr>
          <w:rFonts w:cs="Times New Roman"/>
          <w:szCs w:val="24"/>
          <w:lang w:val="en-US" w:eastAsia="en-US"/>
        </w:rPr>
        <w:t xml:space="preserve"> </w:t>
      </w:r>
      <w:r w:rsidRPr="006C670D">
        <w:rPr>
          <w:rFonts w:cs="Times New Roman"/>
          <w:szCs w:val="24"/>
          <w:lang w:val="en-US" w:eastAsia="en-US"/>
        </w:rPr>
        <w:t>Another reason may be related to extra-marital activities of the partner who is avoiding sexual activity.</w:t>
      </w:r>
    </w:p>
    <w:p w14:paraId="612F0533" w14:textId="3C75D39D" w:rsidR="00E303E8" w:rsidRPr="006C670D" w:rsidRDefault="00E303E8" w:rsidP="00E303E8">
      <w:pPr>
        <w:spacing w:after="0"/>
        <w:rPr>
          <w:rFonts w:cs="Times New Roman"/>
          <w:szCs w:val="24"/>
        </w:rPr>
      </w:pPr>
      <w:r w:rsidRPr="006C670D">
        <w:rPr>
          <w:rFonts w:cs="Times New Roman"/>
          <w:szCs w:val="24"/>
          <w:lang w:val="en-US" w:eastAsia="en-US"/>
        </w:rPr>
        <w:tab/>
      </w:r>
      <w:r w:rsidRPr="006C670D">
        <w:rPr>
          <w:rFonts w:cs="Times New Roman"/>
          <w:szCs w:val="24"/>
        </w:rPr>
        <w:t xml:space="preserve">The multivariate regression analyses on the correlates of sexual avoidance also revealed some gender differences and similarities. Among men, the significant predictors of sexual avoidance were age, relationship intimacy (the only relational indicator), physical health, and own and partner’s sexual problems. In women, the significant predictors of sexual avoidance were age, relationship duration, relationship satisfaction, relationship intimacy, physical and mental health, and own and partner’s sexual problems. Thus, in men, health related factors </w:t>
      </w:r>
      <w:r w:rsidR="00931F87">
        <w:rPr>
          <w:rFonts w:cs="Times New Roman"/>
          <w:szCs w:val="24"/>
        </w:rPr>
        <w:t xml:space="preserve">appear </w:t>
      </w:r>
      <w:r w:rsidRPr="006C670D">
        <w:rPr>
          <w:rFonts w:cs="Times New Roman"/>
          <w:szCs w:val="24"/>
        </w:rPr>
        <w:t xml:space="preserve">more important than relationship factors. In women, relationship factors </w:t>
      </w:r>
      <w:r w:rsidR="00931F87">
        <w:rPr>
          <w:rFonts w:cs="Times New Roman"/>
          <w:szCs w:val="24"/>
        </w:rPr>
        <w:t xml:space="preserve">seem </w:t>
      </w:r>
      <w:r w:rsidRPr="006C670D">
        <w:rPr>
          <w:rFonts w:cs="Times New Roman"/>
          <w:szCs w:val="24"/>
        </w:rPr>
        <w:t>as important as health-related factors. The findings of the current study revealed similar predictors of sexual inactivity to those found in previous studies (</w:t>
      </w:r>
      <w:r w:rsidRPr="006C670D">
        <w:rPr>
          <w:rFonts w:cs="Times New Roman"/>
          <w:noProof/>
          <w:szCs w:val="24"/>
          <w:lang w:val="en-US"/>
        </w:rPr>
        <w:t xml:space="preserve">Lindau et al. 2007; Beckman </w:t>
      </w:r>
      <w:r w:rsidR="005A58C0">
        <w:rPr>
          <w:rFonts w:cs="Times New Roman"/>
          <w:noProof/>
          <w:szCs w:val="24"/>
          <w:lang w:val="en-US"/>
        </w:rPr>
        <w:t>et al.</w:t>
      </w:r>
      <w:r w:rsidRPr="006C670D">
        <w:rPr>
          <w:rFonts w:cs="Times New Roman"/>
          <w:noProof/>
          <w:szCs w:val="24"/>
          <w:lang w:val="en-US"/>
        </w:rPr>
        <w:t xml:space="preserve"> 2008; Schick et al. 2010</w:t>
      </w:r>
      <w:r w:rsidRPr="006C670D">
        <w:rPr>
          <w:rFonts w:cs="Times New Roman"/>
          <w:szCs w:val="24"/>
          <w:lang w:val="en-US"/>
        </w:rPr>
        <w:t xml:space="preserve">; </w:t>
      </w:r>
      <w:r w:rsidRPr="006C670D">
        <w:rPr>
          <w:rFonts w:cs="Times New Roman"/>
          <w:szCs w:val="24"/>
          <w:lang w:val="en-GB"/>
        </w:rPr>
        <w:t xml:space="preserve">Karraker </w:t>
      </w:r>
      <w:r w:rsidR="005A58C0">
        <w:rPr>
          <w:rFonts w:cs="Times New Roman"/>
          <w:szCs w:val="24"/>
          <w:lang w:val="en-GB"/>
        </w:rPr>
        <w:t>and</w:t>
      </w:r>
      <w:r w:rsidRPr="006C670D">
        <w:rPr>
          <w:rFonts w:cs="Times New Roman"/>
          <w:szCs w:val="24"/>
          <w:lang w:val="en-GB"/>
        </w:rPr>
        <w:t xml:space="preserve"> DeLamater 2013; Gott </w:t>
      </w:r>
      <w:r w:rsidR="005A58C0">
        <w:rPr>
          <w:rFonts w:cs="Times New Roman"/>
          <w:szCs w:val="24"/>
          <w:lang w:val="en-GB"/>
        </w:rPr>
        <w:t>and</w:t>
      </w:r>
      <w:r w:rsidRPr="006C670D">
        <w:rPr>
          <w:rFonts w:cs="Times New Roman"/>
          <w:szCs w:val="24"/>
          <w:lang w:val="en-GB"/>
        </w:rPr>
        <w:t xml:space="preserve"> Hinchliff 2003; Lodge </w:t>
      </w:r>
      <w:r w:rsidR="005A58C0">
        <w:rPr>
          <w:rFonts w:cs="Times New Roman"/>
          <w:szCs w:val="24"/>
          <w:lang w:val="en-GB"/>
        </w:rPr>
        <w:t>and</w:t>
      </w:r>
      <w:r w:rsidRPr="006C670D">
        <w:rPr>
          <w:rFonts w:cs="Times New Roman"/>
          <w:szCs w:val="24"/>
          <w:lang w:val="en-GB"/>
        </w:rPr>
        <w:t xml:space="preserve"> Umberson 2012).</w:t>
      </w:r>
    </w:p>
    <w:p w14:paraId="63E7592E" w14:textId="0E478E92" w:rsidR="00E303E8" w:rsidRPr="006C670D" w:rsidRDefault="00E303E8" w:rsidP="00E303E8">
      <w:pPr>
        <w:spacing w:after="0"/>
        <w:ind w:firstLine="708"/>
        <w:rPr>
          <w:rFonts w:cs="Times New Roman"/>
          <w:szCs w:val="24"/>
        </w:rPr>
      </w:pPr>
      <w:r w:rsidRPr="006C670D">
        <w:rPr>
          <w:rFonts w:cs="Times New Roman"/>
          <w:szCs w:val="24"/>
        </w:rPr>
        <w:lastRenderedPageBreak/>
        <w:t>Older men are more likely to avoid sex because of health-related problems that increase with age</w:t>
      </w:r>
      <w:r w:rsidR="00931F87">
        <w:rPr>
          <w:rFonts w:cs="Times New Roman"/>
          <w:szCs w:val="24"/>
        </w:rPr>
        <w:t>; i</w:t>
      </w:r>
      <w:r w:rsidRPr="006C670D">
        <w:rPr>
          <w:rFonts w:cs="Times New Roman"/>
          <w:szCs w:val="24"/>
        </w:rPr>
        <w:t xml:space="preserve">n contrast, younger women are more likely to avoid sex. This might be due to relational factors or to other aspects related to the acceptance of the ageing process. </w:t>
      </w:r>
    </w:p>
    <w:p w14:paraId="3D5529E1" w14:textId="7CAD9545" w:rsidR="00E303E8" w:rsidRPr="006C670D" w:rsidRDefault="00E303E8" w:rsidP="00E303E8">
      <w:pPr>
        <w:spacing w:after="0"/>
        <w:ind w:firstLine="708"/>
        <w:rPr>
          <w:rFonts w:cs="Times New Roman"/>
          <w:szCs w:val="24"/>
          <w:lang w:val="en-GB"/>
        </w:rPr>
      </w:pPr>
      <w:r w:rsidRPr="006C670D">
        <w:rPr>
          <w:rFonts w:cs="Times New Roman"/>
          <w:szCs w:val="24"/>
        </w:rPr>
        <w:t xml:space="preserve">Our findings revealed that women (but not men) in longer-term relationships are more likely to avoid sex than women in shorter-relationships, which is consistent with previous literature that </w:t>
      </w:r>
      <w:r w:rsidRPr="006C670D">
        <w:rPr>
          <w:rFonts w:cs="Times New Roman"/>
          <w:szCs w:val="24"/>
          <w:lang w:val="en-GB"/>
        </w:rPr>
        <w:t>showed a decline of sexual frequency with increasing marital duration (</w:t>
      </w:r>
      <w:hyperlink r:id="rId8" w:history="1">
        <w:r w:rsidRPr="006C670D">
          <w:rPr>
            <w:rFonts w:eastAsia="Times New Roman" w:cs="Times New Roman"/>
            <w:szCs w:val="24"/>
            <w:lang w:val="en-GB" w:eastAsia="pt-PT"/>
          </w:rPr>
          <w:t>Karraker</w:t>
        </w:r>
      </w:hyperlink>
      <w:r w:rsidRPr="006C670D">
        <w:rPr>
          <w:rFonts w:eastAsia="Times New Roman" w:cs="Times New Roman"/>
          <w:szCs w:val="24"/>
          <w:lang w:val="en-GB" w:eastAsia="pt-PT"/>
        </w:rPr>
        <w:t xml:space="preserve"> </w:t>
      </w:r>
      <w:r w:rsidR="005A58C0">
        <w:rPr>
          <w:rFonts w:eastAsia="Times New Roman" w:cs="Times New Roman"/>
          <w:szCs w:val="24"/>
          <w:lang w:val="en-GB" w:eastAsia="pt-PT"/>
        </w:rPr>
        <w:t>and</w:t>
      </w:r>
      <w:r w:rsidRPr="006C670D">
        <w:rPr>
          <w:rFonts w:eastAsia="Times New Roman" w:cs="Times New Roman"/>
          <w:szCs w:val="24"/>
          <w:lang w:val="en-GB" w:eastAsia="pt-PT"/>
        </w:rPr>
        <w:t xml:space="preserve"> </w:t>
      </w:r>
      <w:hyperlink r:id="rId9" w:history="1">
        <w:r w:rsidRPr="006C670D">
          <w:rPr>
            <w:rFonts w:eastAsia="Times New Roman" w:cs="Times New Roman"/>
            <w:szCs w:val="24"/>
            <w:lang w:val="en-GB" w:eastAsia="pt-PT"/>
          </w:rPr>
          <w:t>DeLamater</w:t>
        </w:r>
      </w:hyperlink>
      <w:r w:rsidRPr="006C670D">
        <w:rPr>
          <w:rFonts w:eastAsia="Times New Roman" w:cs="Times New Roman"/>
          <w:szCs w:val="24"/>
          <w:lang w:val="en-GB" w:eastAsia="pt-PT"/>
        </w:rPr>
        <w:t xml:space="preserve"> </w:t>
      </w:r>
      <w:r w:rsidRPr="006C670D">
        <w:rPr>
          <w:rStyle w:val="hlfld-contribauthor"/>
          <w:rFonts w:cs="Times New Roman"/>
          <w:szCs w:val="24"/>
          <w:lang w:val="en-GB"/>
        </w:rPr>
        <w:t>2013)</w:t>
      </w:r>
      <w:r w:rsidRPr="006C670D">
        <w:rPr>
          <w:rFonts w:cs="Times New Roman"/>
          <w:szCs w:val="24"/>
          <w:lang w:val="en-GB"/>
        </w:rPr>
        <w:t xml:space="preserve">. In many couples, the novelty of sexual experience declines as marital duration increases, resulting in lower sexual frequency (Blumstein </w:t>
      </w:r>
      <w:r w:rsidR="005A58C0">
        <w:rPr>
          <w:rFonts w:cs="Times New Roman"/>
          <w:szCs w:val="24"/>
          <w:lang w:val="en-GB"/>
        </w:rPr>
        <w:t>and</w:t>
      </w:r>
      <w:r w:rsidRPr="006C670D">
        <w:rPr>
          <w:rFonts w:cs="Times New Roman"/>
          <w:szCs w:val="24"/>
          <w:lang w:val="en-GB"/>
        </w:rPr>
        <w:t xml:space="preserve"> Schwartz 1983; DeLamater </w:t>
      </w:r>
      <w:r w:rsidR="005A58C0">
        <w:rPr>
          <w:rFonts w:cs="Times New Roman"/>
          <w:szCs w:val="24"/>
          <w:lang w:val="en-GB"/>
        </w:rPr>
        <w:t>and</w:t>
      </w:r>
      <w:r w:rsidRPr="006C670D">
        <w:rPr>
          <w:rFonts w:cs="Times New Roman"/>
          <w:szCs w:val="24"/>
          <w:lang w:val="en-GB"/>
        </w:rPr>
        <w:t xml:space="preserve"> Sill 2005). Previous studies have revealed that women’s sexual desire decreases as relationship duration increases (Carvalheira, Brotto, </w:t>
      </w:r>
      <w:r w:rsidR="005A58C0">
        <w:rPr>
          <w:rFonts w:cs="Times New Roman"/>
          <w:szCs w:val="24"/>
          <w:lang w:val="en-GB"/>
        </w:rPr>
        <w:t>and</w:t>
      </w:r>
      <w:r w:rsidRPr="006C670D">
        <w:rPr>
          <w:rFonts w:cs="Times New Roman"/>
          <w:szCs w:val="24"/>
          <w:lang w:val="en-GB"/>
        </w:rPr>
        <w:t xml:space="preserve"> Leal 2010; Klusmann 2002; Murray </w:t>
      </w:r>
      <w:r w:rsidR="005A58C0">
        <w:rPr>
          <w:rFonts w:cs="Times New Roman"/>
          <w:szCs w:val="24"/>
          <w:lang w:val="en-GB"/>
        </w:rPr>
        <w:t>and</w:t>
      </w:r>
      <w:r w:rsidRPr="006C670D">
        <w:rPr>
          <w:rFonts w:cs="Times New Roman"/>
          <w:szCs w:val="24"/>
          <w:lang w:val="en-GB"/>
        </w:rPr>
        <w:t xml:space="preserve"> Milhausen 2012). </w:t>
      </w:r>
      <w:r w:rsidR="00931F87">
        <w:rPr>
          <w:rFonts w:cs="Times New Roman"/>
          <w:szCs w:val="24"/>
          <w:lang w:val="en-GB"/>
        </w:rPr>
        <w:t>A</w:t>
      </w:r>
      <w:r w:rsidRPr="006C670D">
        <w:rPr>
          <w:rFonts w:cs="Times New Roman"/>
          <w:szCs w:val="24"/>
          <w:lang w:val="en-GB"/>
        </w:rPr>
        <w:t xml:space="preserve"> study that analysed the correlates of sexual inactivity among 1,502 older married men and women aged 57 to 85 years showed that </w:t>
      </w:r>
      <w:r w:rsidR="00931F87">
        <w:rPr>
          <w:rFonts w:cs="Times New Roman"/>
          <w:szCs w:val="24"/>
          <w:lang w:val="en-GB"/>
        </w:rPr>
        <w:t xml:space="preserve">individuals in </w:t>
      </w:r>
      <w:r w:rsidRPr="006C670D">
        <w:rPr>
          <w:rFonts w:cs="Times New Roman"/>
          <w:szCs w:val="24"/>
          <w:lang w:val="en-GB"/>
        </w:rPr>
        <w:t>marriages</w:t>
      </w:r>
      <w:r w:rsidR="00931F87">
        <w:rPr>
          <w:rFonts w:cs="Times New Roman"/>
          <w:szCs w:val="24"/>
          <w:lang w:val="en-GB"/>
        </w:rPr>
        <w:t xml:space="preserve"> of longer duration</w:t>
      </w:r>
      <w:r w:rsidRPr="006C670D">
        <w:rPr>
          <w:rFonts w:cs="Times New Roman"/>
          <w:szCs w:val="24"/>
          <w:lang w:val="en-GB"/>
        </w:rPr>
        <w:t xml:space="preserve"> were more likely to be inactive (Karraker </w:t>
      </w:r>
      <w:r w:rsidR="005A58C0">
        <w:rPr>
          <w:rFonts w:cs="Times New Roman"/>
          <w:szCs w:val="24"/>
          <w:lang w:val="en-GB"/>
        </w:rPr>
        <w:t>and</w:t>
      </w:r>
      <w:r w:rsidRPr="006C670D">
        <w:rPr>
          <w:rFonts w:cs="Times New Roman"/>
          <w:szCs w:val="24"/>
          <w:lang w:val="en-GB"/>
        </w:rPr>
        <w:t xml:space="preserve"> DeLamater 2013).</w:t>
      </w:r>
    </w:p>
    <w:p w14:paraId="0734735C" w14:textId="736FA56F" w:rsidR="00E303E8" w:rsidRPr="006C670D" w:rsidRDefault="00E303E8" w:rsidP="00E303E8">
      <w:pPr>
        <w:spacing w:after="0"/>
        <w:ind w:firstLine="708"/>
        <w:rPr>
          <w:rFonts w:cs="Times New Roman"/>
          <w:szCs w:val="24"/>
        </w:rPr>
      </w:pPr>
      <w:r w:rsidRPr="006C670D">
        <w:rPr>
          <w:rFonts w:cs="Times New Roman"/>
          <w:szCs w:val="24"/>
        </w:rPr>
        <w:t>Physical health was a significant predictor of sexual avoidance in men and women but mental health was a significant predictor only among women. This finding is consistent with previous literature that documented an association between health condition and sexual problems (DeLamater 2012; Field et al</w:t>
      </w:r>
      <w:r>
        <w:rPr>
          <w:rFonts w:cs="Times New Roman"/>
          <w:szCs w:val="24"/>
        </w:rPr>
        <w:t>.</w:t>
      </w:r>
      <w:r w:rsidRPr="006C670D">
        <w:rPr>
          <w:rFonts w:cs="Times New Roman"/>
          <w:szCs w:val="24"/>
        </w:rPr>
        <w:t xml:space="preserve"> 2013; Moreira et al. 2008; </w:t>
      </w:r>
      <w:r w:rsidR="00886D3E" w:rsidRPr="00886D3E">
        <w:rPr>
          <w:rFonts w:cs="Times New Roman"/>
          <w:szCs w:val="24"/>
        </w:rPr>
        <w:t>Træen</w:t>
      </w:r>
      <w:r w:rsidR="00886D3E">
        <w:rPr>
          <w:rFonts w:cs="Times New Roman"/>
          <w:szCs w:val="24"/>
        </w:rPr>
        <w:t xml:space="preserve"> </w:t>
      </w:r>
      <w:r w:rsidRPr="006C670D">
        <w:rPr>
          <w:rFonts w:cs="Times New Roman"/>
          <w:szCs w:val="24"/>
        </w:rPr>
        <w:t>et al. 201</w:t>
      </w:r>
      <w:r w:rsidR="00267CA5">
        <w:rPr>
          <w:rFonts w:cs="Times New Roman"/>
          <w:szCs w:val="24"/>
        </w:rPr>
        <w:t>7</w:t>
      </w:r>
      <w:r w:rsidRPr="006C670D">
        <w:rPr>
          <w:rFonts w:cs="Times New Roman"/>
          <w:szCs w:val="24"/>
        </w:rPr>
        <w:t>).</w:t>
      </w:r>
    </w:p>
    <w:p w14:paraId="023A4301" w14:textId="4B4AD0B8" w:rsidR="00E303E8" w:rsidRPr="008028F9" w:rsidRDefault="00931F87" w:rsidP="008028F9">
      <w:pPr>
        <w:spacing w:after="0"/>
        <w:ind w:firstLine="708"/>
        <w:rPr>
          <w:rFonts w:cs="Times New Roman"/>
          <w:szCs w:val="24"/>
        </w:rPr>
      </w:pPr>
      <w:r>
        <w:rPr>
          <w:rFonts w:cs="Times New Roman"/>
          <w:szCs w:val="24"/>
          <w:lang w:val="en-GB"/>
        </w:rPr>
        <w:t xml:space="preserve">Individual </w:t>
      </w:r>
      <w:r w:rsidR="00E303E8" w:rsidRPr="006C670D">
        <w:rPr>
          <w:rFonts w:cs="Times New Roman"/>
          <w:szCs w:val="24"/>
        </w:rPr>
        <w:t xml:space="preserve">distressing sexual problems and partners’ sexual problems </w:t>
      </w:r>
      <w:r w:rsidR="00E303E8" w:rsidRPr="006C670D">
        <w:rPr>
          <w:rFonts w:cs="Times New Roman"/>
          <w:szCs w:val="24"/>
          <w:lang w:val="en-GB"/>
        </w:rPr>
        <w:t xml:space="preserve">were significant predictors of sexual avoidance among both men and women. These findings are not surprising, as sexual problems are frequent in older adults (Christensen et al. 2011; Laumann et al. 2005; Laumann, Das, </w:t>
      </w:r>
      <w:r w:rsidR="005A58C0">
        <w:rPr>
          <w:rFonts w:cs="Times New Roman"/>
          <w:szCs w:val="24"/>
          <w:lang w:val="en-GB"/>
        </w:rPr>
        <w:t>and</w:t>
      </w:r>
      <w:r w:rsidR="00E303E8" w:rsidRPr="006C670D">
        <w:rPr>
          <w:rFonts w:cs="Times New Roman"/>
          <w:szCs w:val="24"/>
          <w:lang w:val="en-GB"/>
        </w:rPr>
        <w:t xml:space="preserve"> Waite 2008; Mitchell et al. 2013; Peixoto </w:t>
      </w:r>
      <w:r w:rsidR="005A58C0">
        <w:rPr>
          <w:rFonts w:cs="Times New Roman"/>
          <w:szCs w:val="24"/>
          <w:lang w:val="en-GB"/>
        </w:rPr>
        <w:t>and</w:t>
      </w:r>
      <w:r w:rsidR="00E303E8" w:rsidRPr="006C670D">
        <w:rPr>
          <w:rFonts w:cs="Times New Roman"/>
          <w:szCs w:val="24"/>
          <w:lang w:val="en-GB"/>
        </w:rPr>
        <w:t xml:space="preserve"> Nobre 2015; Træen </w:t>
      </w:r>
      <w:r w:rsidR="005A58C0">
        <w:rPr>
          <w:rFonts w:cs="Times New Roman"/>
          <w:szCs w:val="24"/>
          <w:lang w:val="en-GB"/>
        </w:rPr>
        <w:t>and</w:t>
      </w:r>
      <w:r w:rsidR="00E303E8" w:rsidRPr="006C670D">
        <w:rPr>
          <w:rFonts w:cs="Times New Roman"/>
          <w:szCs w:val="24"/>
          <w:lang w:val="en-GB"/>
        </w:rPr>
        <w:t xml:space="preserve"> Stigum 2010). </w:t>
      </w:r>
      <w:r w:rsidR="00E303E8" w:rsidRPr="006C670D">
        <w:rPr>
          <w:rFonts w:cs="Times New Roman"/>
          <w:szCs w:val="24"/>
        </w:rPr>
        <w:t xml:space="preserve">Sexual problems were also found to </w:t>
      </w:r>
      <w:r w:rsidR="00E303E8" w:rsidRPr="008028F9">
        <w:rPr>
          <w:rFonts w:cs="Times New Roman"/>
          <w:szCs w:val="24"/>
        </w:rPr>
        <w:t xml:space="preserve">be significant predictors of sexual </w:t>
      </w:r>
      <w:r w:rsidR="00010350">
        <w:rPr>
          <w:rFonts w:cs="Times New Roman"/>
          <w:szCs w:val="24"/>
        </w:rPr>
        <w:t>avoidance</w:t>
      </w:r>
      <w:r w:rsidR="00E303E8" w:rsidRPr="008028F9">
        <w:rPr>
          <w:rFonts w:cs="Times New Roman"/>
          <w:szCs w:val="24"/>
        </w:rPr>
        <w:t xml:space="preserve"> in previous studies (</w:t>
      </w:r>
      <w:r w:rsidR="00E303E8" w:rsidRPr="008028F9">
        <w:rPr>
          <w:rFonts w:cs="Times New Roman"/>
          <w:szCs w:val="24"/>
          <w:lang w:val="en-GB"/>
        </w:rPr>
        <w:t>Mitchell et al. 2013</w:t>
      </w:r>
      <w:r w:rsidR="00E303E8" w:rsidRPr="008028F9">
        <w:rPr>
          <w:rFonts w:cs="Times New Roman"/>
          <w:szCs w:val="24"/>
        </w:rPr>
        <w:t>).</w:t>
      </w:r>
    </w:p>
    <w:p w14:paraId="102921C8" w14:textId="77777777" w:rsidR="00E303E8" w:rsidRPr="00467197" w:rsidRDefault="00E303E8" w:rsidP="00467197">
      <w:pPr>
        <w:spacing w:after="0"/>
        <w:rPr>
          <w:rFonts w:cs="Times New Roman"/>
          <w:b/>
          <w:szCs w:val="24"/>
          <w:lang w:val="en-US" w:eastAsia="en-US"/>
        </w:rPr>
      </w:pPr>
      <w:r w:rsidRPr="00467197">
        <w:rPr>
          <w:rFonts w:cs="Times New Roman"/>
          <w:b/>
          <w:szCs w:val="24"/>
          <w:lang w:val="en-US" w:eastAsia="en-US"/>
        </w:rPr>
        <w:t>Strengths, limitations, and future research</w:t>
      </w:r>
    </w:p>
    <w:p w14:paraId="0C075998" w14:textId="270F21AA" w:rsidR="008028F9" w:rsidRPr="00931F87" w:rsidRDefault="00E303E8" w:rsidP="00010350">
      <w:pPr>
        <w:spacing w:after="0"/>
        <w:ind w:firstLine="708"/>
        <w:rPr>
          <w:lang w:val="en-GB"/>
        </w:rPr>
      </w:pPr>
      <w:r w:rsidRPr="00467197">
        <w:rPr>
          <w:rFonts w:cs="Times New Roman"/>
          <w:szCs w:val="24"/>
          <w:lang w:val="en-US" w:eastAsia="en-US"/>
        </w:rPr>
        <w:t xml:space="preserve">Strengths of this study include the </w:t>
      </w:r>
      <w:r w:rsidR="00931F87">
        <w:rPr>
          <w:rFonts w:cs="Times New Roman"/>
          <w:szCs w:val="24"/>
          <w:lang w:val="en-US" w:eastAsia="en-US"/>
        </w:rPr>
        <w:t xml:space="preserve">large </w:t>
      </w:r>
      <w:r w:rsidRPr="00467197">
        <w:rPr>
          <w:rFonts w:cs="Times New Roman"/>
          <w:szCs w:val="24"/>
          <w:lang w:val="en-US" w:eastAsia="en-US"/>
        </w:rPr>
        <w:t xml:space="preserve">sample size, the inclusion of participants from four </w:t>
      </w:r>
      <w:r w:rsidRPr="00931F87">
        <w:rPr>
          <w:lang w:val="en-US" w:eastAsia="en-US"/>
        </w:rPr>
        <w:t xml:space="preserve">European countries, the assessment of several reasons for sexual avoidance, the assessment of distress associated with sexual problems, and the similar research design and method of data collection across the four countries, that enabled between-country comparisons. </w:t>
      </w:r>
      <w:r w:rsidRPr="00931F87">
        <w:rPr>
          <w:lang w:val="en-GB"/>
        </w:rPr>
        <w:t>Another strength was the inclusion of both women and men, enabling gender comparisons of reasons for sexual avoidance</w:t>
      </w:r>
      <w:r w:rsidRPr="008028F9">
        <w:rPr>
          <w:rStyle w:val="CommentReference"/>
          <w:rFonts w:cs="Times New Roman"/>
          <w:sz w:val="24"/>
          <w:szCs w:val="24"/>
        </w:rPr>
        <w:t xml:space="preserve">. </w:t>
      </w:r>
      <w:r w:rsidRPr="00931F87">
        <w:rPr>
          <w:lang w:val="en-US" w:eastAsia="en-US"/>
        </w:rPr>
        <w:t xml:space="preserve">Nevertheless, some limitations should also be </w:t>
      </w:r>
      <w:r w:rsidR="00931F87">
        <w:rPr>
          <w:lang w:val="en-US" w:eastAsia="en-US"/>
        </w:rPr>
        <w:t>acknowledged</w:t>
      </w:r>
      <w:r w:rsidRPr="00931F87">
        <w:rPr>
          <w:lang w:val="en-US" w:eastAsia="en-US"/>
        </w:rPr>
        <w:t>. Regarding the reasons for sexual avoidance, findings revealed a high number of participants who reported “Other”</w:t>
      </w:r>
      <w:r w:rsidR="00931F87">
        <w:rPr>
          <w:lang w:val="en-US" w:eastAsia="en-US"/>
        </w:rPr>
        <w:t xml:space="preserve"> reasons</w:t>
      </w:r>
      <w:r w:rsidRPr="00931F87">
        <w:rPr>
          <w:lang w:val="en-US" w:eastAsia="en-US"/>
        </w:rPr>
        <w:t xml:space="preserve"> but </w:t>
      </w:r>
      <w:r w:rsidR="00886D3E">
        <w:rPr>
          <w:lang w:val="en-US" w:eastAsia="en-US"/>
        </w:rPr>
        <w:t>we did n</w:t>
      </w:r>
      <w:r w:rsidR="00931F87">
        <w:rPr>
          <w:lang w:val="en-US" w:eastAsia="en-US"/>
        </w:rPr>
        <w:t xml:space="preserve">ot </w:t>
      </w:r>
      <w:r w:rsidRPr="00931F87">
        <w:t xml:space="preserve">ask participants to specify those reasons. Moreover, </w:t>
      </w:r>
      <w:r w:rsidRPr="00931F87">
        <w:rPr>
          <w:lang w:val="en-US" w:eastAsia="en-US"/>
        </w:rPr>
        <w:t xml:space="preserve">although we assessed individual respondents’ physical health problems as a </w:t>
      </w:r>
      <w:r w:rsidR="00931F87">
        <w:rPr>
          <w:lang w:val="en-US" w:eastAsia="en-US"/>
        </w:rPr>
        <w:t xml:space="preserve"> possible </w:t>
      </w:r>
      <w:r w:rsidRPr="00931F87">
        <w:rPr>
          <w:lang w:val="en-US" w:eastAsia="en-US"/>
        </w:rPr>
        <w:t xml:space="preserve">reason </w:t>
      </w:r>
      <w:r w:rsidR="00931F87">
        <w:rPr>
          <w:lang w:val="en-US" w:eastAsia="en-US"/>
        </w:rPr>
        <w:t xml:space="preserve">for </w:t>
      </w:r>
      <w:r w:rsidRPr="00931F87">
        <w:rPr>
          <w:lang w:val="en-US" w:eastAsia="en-US"/>
        </w:rPr>
        <w:t xml:space="preserve">sexual avoidance, we </w:t>
      </w:r>
      <w:r w:rsidR="00931F87" w:rsidRPr="00931F87">
        <w:rPr>
          <w:lang w:val="en-US" w:eastAsia="en-US"/>
        </w:rPr>
        <w:t>did</w:t>
      </w:r>
      <w:r w:rsidR="00931F87">
        <w:rPr>
          <w:lang w:val="en-US" w:eastAsia="en-US"/>
        </w:rPr>
        <w:t xml:space="preserve"> not</w:t>
      </w:r>
      <w:r w:rsidR="00931F87" w:rsidRPr="00931F87">
        <w:rPr>
          <w:lang w:val="en-US" w:eastAsia="en-US"/>
        </w:rPr>
        <w:t xml:space="preserve"> </w:t>
      </w:r>
      <w:r w:rsidRPr="00931F87">
        <w:rPr>
          <w:lang w:val="en-US" w:eastAsia="en-US"/>
        </w:rPr>
        <w:t xml:space="preserve">assess partners’ health problems. </w:t>
      </w:r>
      <w:r w:rsidRPr="00931F87">
        <w:rPr>
          <w:lang w:val="en-US" w:eastAsia="en-US"/>
        </w:rPr>
        <w:lastRenderedPageBreak/>
        <w:t xml:space="preserve">Qualitative research is needed both to better </w:t>
      </w:r>
      <w:r w:rsidRPr="00931F87">
        <w:rPr>
          <w:lang w:eastAsia="en-US"/>
        </w:rPr>
        <w:t>understand the motivations for avoiding sex and the consequences/outcomes of sexual avoidance. For example, long-term sexual avoidance by one partner may lead to resentment, and further sexual difficulties. M</w:t>
      </w:r>
      <w:r w:rsidRPr="008028F9">
        <w:rPr>
          <w:rStyle w:val="CommentReference"/>
          <w:rFonts w:cs="Times New Roman"/>
          <w:sz w:val="24"/>
          <w:szCs w:val="24"/>
        </w:rPr>
        <w:t xml:space="preserve">oreover, we know from clinical practice that mainly women, but also men, </w:t>
      </w:r>
      <w:r w:rsidR="00931F87">
        <w:rPr>
          <w:rStyle w:val="CommentReference"/>
          <w:rFonts w:cs="Times New Roman"/>
          <w:sz w:val="24"/>
          <w:szCs w:val="24"/>
        </w:rPr>
        <w:t>use</w:t>
      </w:r>
      <w:r w:rsidRPr="008028F9">
        <w:rPr>
          <w:rStyle w:val="CommentReference"/>
          <w:rFonts w:cs="Times New Roman"/>
          <w:sz w:val="24"/>
          <w:szCs w:val="24"/>
        </w:rPr>
        <w:t xml:space="preserve"> a variety of strategies as avoidance behaviors related with sexual activity (e.g., go to bed earlier than the other partner). However, we don’t have empirical evidence of these clinical observations. </w:t>
      </w:r>
    </w:p>
    <w:p w14:paraId="16DFA758" w14:textId="3417189B" w:rsidR="00E303E8" w:rsidRDefault="00E303E8" w:rsidP="008028F9">
      <w:pPr>
        <w:spacing w:after="0"/>
        <w:ind w:firstLine="708"/>
        <w:rPr>
          <w:rFonts w:cs="Times New Roman"/>
          <w:szCs w:val="24"/>
          <w:lang w:val="en-US" w:eastAsia="en-US"/>
        </w:rPr>
      </w:pPr>
      <w:r w:rsidRPr="008028F9">
        <w:rPr>
          <w:rFonts w:cs="Times New Roman"/>
          <w:szCs w:val="24"/>
          <w:lang w:val="en-GB"/>
        </w:rPr>
        <w:t xml:space="preserve">Overall, a great deal of recent research on sex in later life has been concerned with documenting that older people continue to have sex, and establishing the links between good health, relationship well-being and sexual activity (Fileborn et al. 2015a; Fileborn et al.2015b; Gott </w:t>
      </w:r>
      <w:r w:rsidR="005A58C0">
        <w:rPr>
          <w:rFonts w:cs="Times New Roman"/>
          <w:szCs w:val="24"/>
          <w:lang w:val="en-GB"/>
        </w:rPr>
        <w:t>and</w:t>
      </w:r>
      <w:r w:rsidRPr="008028F9">
        <w:rPr>
          <w:rFonts w:cs="Times New Roman"/>
          <w:szCs w:val="24"/>
          <w:lang w:val="en-GB"/>
        </w:rPr>
        <w:t xml:space="preserve"> Hinchliff 2003; Gott, Hinchliff, </w:t>
      </w:r>
      <w:r w:rsidR="005A58C0">
        <w:rPr>
          <w:rFonts w:cs="Times New Roman"/>
          <w:szCs w:val="24"/>
          <w:lang w:val="en-GB"/>
        </w:rPr>
        <w:t>and</w:t>
      </w:r>
      <w:r w:rsidRPr="008028F9">
        <w:rPr>
          <w:rFonts w:cs="Times New Roman"/>
          <w:szCs w:val="24"/>
          <w:lang w:val="en-GB"/>
        </w:rPr>
        <w:t xml:space="preserve"> Galena 2004; Jagus </w:t>
      </w:r>
      <w:r w:rsidR="005A58C0">
        <w:rPr>
          <w:rFonts w:cs="Times New Roman"/>
          <w:szCs w:val="24"/>
          <w:lang w:val="en-GB"/>
        </w:rPr>
        <w:t>and</w:t>
      </w:r>
      <w:r w:rsidRPr="008028F9">
        <w:rPr>
          <w:rFonts w:cs="Times New Roman"/>
          <w:szCs w:val="24"/>
          <w:lang w:val="en-GB"/>
        </w:rPr>
        <w:t xml:space="preserve"> Benbow 2002; Kleinplatz et al. 2013; Lindau </w:t>
      </w:r>
      <w:r w:rsidR="005A58C0">
        <w:rPr>
          <w:rFonts w:cs="Times New Roman"/>
          <w:szCs w:val="24"/>
          <w:lang w:val="en-GB"/>
        </w:rPr>
        <w:t>and</w:t>
      </w:r>
      <w:r w:rsidRPr="008028F9">
        <w:rPr>
          <w:rFonts w:cs="Times New Roman"/>
          <w:szCs w:val="24"/>
          <w:lang w:val="en-GB"/>
        </w:rPr>
        <w:t xml:space="preserve"> Gavrilova 2010; Minichiello, Plummer, </w:t>
      </w:r>
      <w:r w:rsidR="005A58C0">
        <w:rPr>
          <w:rFonts w:cs="Times New Roman"/>
          <w:szCs w:val="24"/>
          <w:lang w:val="en-GB"/>
        </w:rPr>
        <w:t>and</w:t>
      </w:r>
      <w:r w:rsidRPr="008028F9">
        <w:rPr>
          <w:rFonts w:cs="Times New Roman"/>
          <w:szCs w:val="24"/>
          <w:lang w:val="en-GB"/>
        </w:rPr>
        <w:t xml:space="preserve"> Loxton 2004; Syme 2014; </w:t>
      </w:r>
      <w:r w:rsidRPr="00467197">
        <w:rPr>
          <w:rFonts w:cs="Times New Roman"/>
          <w:noProof/>
          <w:szCs w:val="24"/>
          <w:lang w:val="en-US"/>
        </w:rPr>
        <w:t xml:space="preserve">Watson, Stelle, </w:t>
      </w:r>
      <w:r w:rsidR="005A58C0">
        <w:rPr>
          <w:rFonts w:cs="Times New Roman"/>
          <w:noProof/>
          <w:szCs w:val="24"/>
          <w:lang w:val="en-US"/>
        </w:rPr>
        <w:t>and</w:t>
      </w:r>
      <w:r w:rsidRPr="00467197">
        <w:rPr>
          <w:rFonts w:cs="Times New Roman"/>
          <w:noProof/>
          <w:szCs w:val="24"/>
          <w:lang w:val="en-US"/>
        </w:rPr>
        <w:t xml:space="preserve"> Bele 2017)</w:t>
      </w:r>
      <w:r w:rsidRPr="00467197">
        <w:rPr>
          <w:rFonts w:cs="Times New Roman"/>
          <w:szCs w:val="24"/>
          <w:lang w:val="en-GB"/>
        </w:rPr>
        <w:t xml:space="preserve">. </w:t>
      </w:r>
      <w:r w:rsidRPr="00467197">
        <w:rPr>
          <w:rFonts w:cs="Times New Roman"/>
          <w:noProof/>
          <w:szCs w:val="24"/>
          <w:lang w:val="en-US"/>
        </w:rPr>
        <w:t>It should, however, not be assumed that sexual activity will be the prefer</w:t>
      </w:r>
      <w:r w:rsidR="00931F87">
        <w:rPr>
          <w:rFonts w:cs="Times New Roman"/>
          <w:noProof/>
          <w:szCs w:val="24"/>
          <w:lang w:val="en-US"/>
        </w:rPr>
        <w:t>r</w:t>
      </w:r>
      <w:r w:rsidRPr="00467197">
        <w:rPr>
          <w:rFonts w:cs="Times New Roman"/>
          <w:noProof/>
          <w:szCs w:val="24"/>
          <w:lang w:val="en-US"/>
        </w:rPr>
        <w:t>ed choice for all older individuals. I</w:t>
      </w:r>
      <w:r w:rsidRPr="00467197">
        <w:rPr>
          <w:rFonts w:cs="Times New Roman"/>
          <w:szCs w:val="24"/>
          <w:lang w:val="en-US" w:eastAsia="en-US"/>
        </w:rPr>
        <w:t>t’s i</w:t>
      </w:r>
      <w:r w:rsidRPr="00467197">
        <w:rPr>
          <w:rFonts w:cs="Times New Roman"/>
          <w:szCs w:val="24"/>
          <w:lang w:eastAsia="en-US"/>
        </w:rPr>
        <w:t>mportant</w:t>
      </w:r>
      <w:r w:rsidRPr="006C670D">
        <w:rPr>
          <w:rFonts w:cs="Times New Roman"/>
          <w:szCs w:val="24"/>
          <w:lang w:eastAsia="en-US"/>
        </w:rPr>
        <w:t xml:space="preserve"> to </w:t>
      </w:r>
      <w:r w:rsidR="00931F87">
        <w:rPr>
          <w:rFonts w:cs="Times New Roman"/>
          <w:szCs w:val="24"/>
          <w:lang w:eastAsia="en-US"/>
        </w:rPr>
        <w:t>acknowledge</w:t>
      </w:r>
      <w:r w:rsidRPr="006C670D">
        <w:rPr>
          <w:rFonts w:cs="Times New Roman"/>
          <w:szCs w:val="24"/>
          <w:lang w:eastAsia="en-US"/>
        </w:rPr>
        <w:t xml:space="preserve"> that sexual avoidance may be in some situations be an adaptive response</w:t>
      </w:r>
      <w:r w:rsidR="00931F87">
        <w:rPr>
          <w:rFonts w:cs="Times New Roman"/>
          <w:szCs w:val="24"/>
          <w:lang w:eastAsia="en-US"/>
        </w:rPr>
        <w:t>; a</w:t>
      </w:r>
      <w:r w:rsidRPr="006C670D">
        <w:rPr>
          <w:rFonts w:cs="Times New Roman"/>
          <w:szCs w:val="24"/>
          <w:lang w:val="en-US" w:eastAsia="en-US"/>
        </w:rPr>
        <w:t>voidance does not have to be a negative or maladaptive behaviour. Understanding the reasons for sexual avoidance may help health professionals to be better able to respect the patient’s life narrative and his/her choice to not be sexually active.</w:t>
      </w:r>
    </w:p>
    <w:p w14:paraId="2747F14B" w14:textId="77777777" w:rsidR="003F1E74" w:rsidRDefault="003F1E74" w:rsidP="003F1E74">
      <w:pPr>
        <w:spacing w:after="0"/>
        <w:rPr>
          <w:rFonts w:cs="Times New Roman"/>
          <w:b/>
          <w:szCs w:val="24"/>
          <w:lang w:val="en-US" w:eastAsia="en-US"/>
        </w:rPr>
      </w:pPr>
    </w:p>
    <w:p w14:paraId="0E0082D2" w14:textId="77777777" w:rsidR="003F1E74" w:rsidRDefault="003F1E74" w:rsidP="003F1E74">
      <w:pPr>
        <w:spacing w:after="0"/>
        <w:rPr>
          <w:rFonts w:cs="Times New Roman"/>
          <w:b/>
          <w:szCs w:val="24"/>
          <w:lang w:val="en-US" w:eastAsia="en-US"/>
        </w:rPr>
      </w:pPr>
    </w:p>
    <w:p w14:paraId="44A76B16" w14:textId="77777777" w:rsidR="003F1E74" w:rsidRDefault="003F1E74" w:rsidP="003F1E74">
      <w:pPr>
        <w:spacing w:after="0"/>
        <w:rPr>
          <w:rFonts w:cs="Times New Roman"/>
          <w:b/>
          <w:szCs w:val="24"/>
          <w:lang w:val="en-US" w:eastAsia="en-US"/>
        </w:rPr>
      </w:pPr>
    </w:p>
    <w:p w14:paraId="65C3F8B1" w14:textId="77777777" w:rsidR="003F1E74" w:rsidRDefault="003F1E74" w:rsidP="003F1E74">
      <w:pPr>
        <w:spacing w:after="0"/>
        <w:rPr>
          <w:rFonts w:cs="Times New Roman"/>
          <w:b/>
          <w:szCs w:val="24"/>
          <w:lang w:val="en-US" w:eastAsia="en-US"/>
        </w:rPr>
      </w:pPr>
    </w:p>
    <w:p w14:paraId="2A288601" w14:textId="77777777" w:rsidR="003F1E74" w:rsidRDefault="003F1E74" w:rsidP="003F1E74">
      <w:pPr>
        <w:spacing w:after="0"/>
        <w:rPr>
          <w:rFonts w:cs="Times New Roman"/>
          <w:b/>
          <w:szCs w:val="24"/>
          <w:lang w:val="en-US" w:eastAsia="en-US"/>
        </w:rPr>
      </w:pPr>
    </w:p>
    <w:p w14:paraId="6FA996D2" w14:textId="77777777" w:rsidR="003F1E74" w:rsidRDefault="003F1E74" w:rsidP="003F1E74">
      <w:pPr>
        <w:spacing w:after="0"/>
        <w:rPr>
          <w:rFonts w:cs="Times New Roman"/>
          <w:b/>
          <w:szCs w:val="24"/>
          <w:lang w:val="en-US" w:eastAsia="en-US"/>
        </w:rPr>
      </w:pPr>
    </w:p>
    <w:p w14:paraId="580BFAE9" w14:textId="77777777" w:rsidR="003F1E74" w:rsidRDefault="003F1E74" w:rsidP="003F1E74">
      <w:pPr>
        <w:spacing w:after="0"/>
        <w:rPr>
          <w:rFonts w:cs="Times New Roman"/>
          <w:b/>
          <w:szCs w:val="24"/>
          <w:lang w:val="en-US" w:eastAsia="en-US"/>
        </w:rPr>
      </w:pPr>
    </w:p>
    <w:p w14:paraId="5EA5A9F7" w14:textId="77777777" w:rsidR="003F1E74" w:rsidRDefault="003F1E74" w:rsidP="003F1E74">
      <w:pPr>
        <w:spacing w:after="0"/>
        <w:rPr>
          <w:rFonts w:cs="Times New Roman"/>
          <w:b/>
          <w:szCs w:val="24"/>
          <w:lang w:val="en-US" w:eastAsia="en-US"/>
        </w:rPr>
      </w:pPr>
    </w:p>
    <w:p w14:paraId="14764319" w14:textId="77777777" w:rsidR="003F1E74" w:rsidRDefault="003F1E74" w:rsidP="003F1E74">
      <w:pPr>
        <w:spacing w:after="0"/>
        <w:rPr>
          <w:rFonts w:cs="Times New Roman"/>
          <w:b/>
          <w:szCs w:val="24"/>
          <w:lang w:val="en-US" w:eastAsia="en-US"/>
        </w:rPr>
      </w:pPr>
    </w:p>
    <w:p w14:paraId="17F8CBCF" w14:textId="77777777" w:rsidR="003F1E74" w:rsidRDefault="003F1E74" w:rsidP="003F1E74">
      <w:pPr>
        <w:spacing w:after="0"/>
        <w:rPr>
          <w:rFonts w:cs="Times New Roman"/>
          <w:b/>
          <w:szCs w:val="24"/>
          <w:lang w:val="en-US" w:eastAsia="en-US"/>
        </w:rPr>
      </w:pPr>
    </w:p>
    <w:p w14:paraId="3EAF80BE" w14:textId="77777777" w:rsidR="003F1E74" w:rsidRDefault="003F1E74" w:rsidP="003F1E74">
      <w:pPr>
        <w:spacing w:after="0"/>
        <w:rPr>
          <w:rFonts w:cs="Times New Roman"/>
          <w:b/>
          <w:szCs w:val="24"/>
          <w:lang w:val="en-US" w:eastAsia="en-US"/>
        </w:rPr>
      </w:pPr>
    </w:p>
    <w:p w14:paraId="6DEAC9DE" w14:textId="77777777" w:rsidR="003F1E74" w:rsidRDefault="003F1E74" w:rsidP="003F1E74">
      <w:pPr>
        <w:spacing w:after="0"/>
        <w:rPr>
          <w:rFonts w:cs="Times New Roman"/>
          <w:b/>
          <w:szCs w:val="24"/>
          <w:lang w:val="en-US" w:eastAsia="en-US"/>
        </w:rPr>
      </w:pPr>
    </w:p>
    <w:p w14:paraId="634F4979" w14:textId="77777777" w:rsidR="003F1E74" w:rsidRDefault="003F1E74" w:rsidP="003F1E74">
      <w:pPr>
        <w:spacing w:after="0"/>
        <w:rPr>
          <w:rFonts w:cs="Times New Roman"/>
          <w:b/>
          <w:szCs w:val="24"/>
          <w:lang w:val="en-US" w:eastAsia="en-US"/>
        </w:rPr>
      </w:pPr>
    </w:p>
    <w:p w14:paraId="73C2A2A9" w14:textId="77777777" w:rsidR="003F1E74" w:rsidRDefault="003F1E74" w:rsidP="003F1E74">
      <w:pPr>
        <w:spacing w:after="0"/>
        <w:rPr>
          <w:rFonts w:cs="Times New Roman"/>
          <w:b/>
          <w:szCs w:val="24"/>
          <w:lang w:val="en-US" w:eastAsia="en-US"/>
        </w:rPr>
      </w:pPr>
    </w:p>
    <w:p w14:paraId="0CE72954" w14:textId="77777777" w:rsidR="003F1E74" w:rsidRDefault="003F1E74" w:rsidP="003F1E74">
      <w:pPr>
        <w:spacing w:after="0"/>
        <w:rPr>
          <w:rFonts w:cs="Times New Roman"/>
          <w:b/>
          <w:szCs w:val="24"/>
          <w:lang w:val="en-US" w:eastAsia="en-US"/>
        </w:rPr>
      </w:pPr>
    </w:p>
    <w:p w14:paraId="1B293FC7" w14:textId="77777777" w:rsidR="003F1E74" w:rsidRDefault="003F1E74" w:rsidP="003F1E74">
      <w:pPr>
        <w:spacing w:after="0"/>
        <w:rPr>
          <w:rFonts w:cs="Times New Roman"/>
          <w:b/>
          <w:szCs w:val="24"/>
          <w:lang w:val="en-US" w:eastAsia="en-US"/>
        </w:rPr>
      </w:pPr>
    </w:p>
    <w:p w14:paraId="5A5850B8" w14:textId="77777777" w:rsidR="003F1E74" w:rsidRDefault="003F1E74" w:rsidP="003F1E74">
      <w:pPr>
        <w:spacing w:after="0"/>
        <w:rPr>
          <w:rFonts w:cs="Times New Roman"/>
          <w:b/>
          <w:szCs w:val="24"/>
          <w:lang w:val="en-US" w:eastAsia="en-US"/>
        </w:rPr>
      </w:pPr>
    </w:p>
    <w:p w14:paraId="02285F06" w14:textId="361CD023" w:rsidR="003F1E74" w:rsidRPr="003F1E74" w:rsidRDefault="003F1E74" w:rsidP="003F1E74">
      <w:pPr>
        <w:spacing w:after="0"/>
        <w:rPr>
          <w:rFonts w:cs="Times New Roman"/>
          <w:b/>
          <w:szCs w:val="24"/>
          <w:lang w:val="en-US" w:eastAsia="en-US"/>
        </w:rPr>
      </w:pPr>
      <w:r w:rsidRPr="003F1E74">
        <w:rPr>
          <w:rFonts w:cs="Times New Roman"/>
          <w:b/>
          <w:szCs w:val="24"/>
          <w:lang w:val="en-US" w:eastAsia="en-US"/>
        </w:rPr>
        <w:lastRenderedPageBreak/>
        <w:t>References</w:t>
      </w:r>
    </w:p>
    <w:p w14:paraId="0A69A9C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Baumeister RF, Catanese KR, Vohs KD (2001) Is there a gender difference in strength of sex drive? Theoretical views conceptual distinctions and a review of relevant evidence.  </w:t>
      </w:r>
      <w:r w:rsidRPr="00523FE7">
        <w:rPr>
          <w:rFonts w:cs="Times New Roman"/>
          <w:szCs w:val="24"/>
          <w:shd w:val="clear" w:color="auto" w:fill="FFFFFF"/>
        </w:rPr>
        <w:t>Pers Soc Psychol Rev</w:t>
      </w:r>
      <w:r>
        <w:rPr>
          <w:rFonts w:cs="Times New Roman"/>
          <w:szCs w:val="24"/>
          <w:shd w:val="clear" w:color="auto" w:fill="FFFFFF"/>
        </w:rPr>
        <w:t xml:space="preserve"> </w:t>
      </w:r>
      <w:r w:rsidRPr="00523FE7">
        <w:rPr>
          <w:rFonts w:cs="Times New Roman"/>
          <w:szCs w:val="24"/>
        </w:rPr>
        <w:t>5(3):242–273</w:t>
      </w:r>
    </w:p>
    <w:p w14:paraId="12A21F31" w14:textId="77777777" w:rsidR="003F1E74" w:rsidRPr="00523FE7" w:rsidRDefault="003F1E74" w:rsidP="003F1E74">
      <w:pPr>
        <w:spacing w:after="160" w:line="259" w:lineRule="auto"/>
        <w:rPr>
          <w:rFonts w:cs="Times New Roman"/>
          <w:szCs w:val="24"/>
        </w:rPr>
      </w:pPr>
    </w:p>
    <w:p w14:paraId="7093589D" w14:textId="77777777" w:rsidR="003F1E74" w:rsidRPr="00523FE7" w:rsidRDefault="003F1E74" w:rsidP="003F1E74">
      <w:pPr>
        <w:spacing w:after="160" w:line="259" w:lineRule="auto"/>
        <w:rPr>
          <w:rFonts w:cs="Times New Roman"/>
          <w:szCs w:val="24"/>
        </w:rPr>
      </w:pPr>
      <w:r w:rsidRPr="00523FE7">
        <w:rPr>
          <w:rFonts w:cs="Times New Roman"/>
          <w:szCs w:val="24"/>
        </w:rPr>
        <w:t>Beckman N, Waern M, Gustafson D, Skoog I (2008) Secular trends in self reported sexual activity and satisfaction in Swedish 70 year olds: Cross sectional survey of four populations, 1971–2001. BMJ 337:a279</w:t>
      </w:r>
    </w:p>
    <w:p w14:paraId="5FBB799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36358288" w14:textId="77777777" w:rsidR="003F1E74" w:rsidRPr="00523FE7" w:rsidRDefault="003F1E74" w:rsidP="003F1E74">
      <w:pPr>
        <w:spacing w:after="160" w:line="259" w:lineRule="auto"/>
        <w:rPr>
          <w:rFonts w:cs="Times New Roman"/>
          <w:szCs w:val="24"/>
        </w:rPr>
      </w:pPr>
      <w:r w:rsidRPr="00523FE7">
        <w:rPr>
          <w:rFonts w:cs="Times New Roman"/>
          <w:szCs w:val="24"/>
        </w:rPr>
        <w:t xml:space="preserve">Blumstein P, Schwartz P (1983) American couples. New York: Morrow  </w:t>
      </w:r>
    </w:p>
    <w:p w14:paraId="3DDD76F8"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429E09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Bouman WP, Arcelus J, Benbow SM (2006) Nottingham study of sexuality ageing (NoSSA I)  Attitudes regarding sexuality and older people: A review of the  literature. </w:t>
      </w:r>
      <w:r w:rsidRPr="00523FE7">
        <w:rPr>
          <w:rFonts w:cs="Times New Roman"/>
          <w:szCs w:val="24"/>
          <w:shd w:val="clear" w:color="auto" w:fill="FFFFFF"/>
        </w:rPr>
        <w:t>Sex Relation Ther</w:t>
      </w:r>
      <w:r w:rsidRPr="00523FE7">
        <w:rPr>
          <w:rFonts w:cs="Times New Roman"/>
          <w:szCs w:val="24"/>
        </w:rPr>
        <w:t xml:space="preserve"> 21(2):149-161. doi:10 1080/14681990600618879 </w:t>
      </w:r>
    </w:p>
    <w:p w14:paraId="0599A1D4"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1E1F27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Carvalheira A, Brotto L, Leal I (2010) Women’s motivations for sex: Exploring the DSM-IV-TR criteria for hypoactive sexual desire and female sexual arousal disorders. </w:t>
      </w:r>
      <w:r w:rsidRPr="00523FE7">
        <w:rPr>
          <w:rFonts w:cs="Times New Roman"/>
          <w:szCs w:val="24"/>
          <w:shd w:val="clear" w:color="auto" w:fill="FFFFFF"/>
        </w:rPr>
        <w:t>J Sex Med</w:t>
      </w:r>
      <w:r w:rsidRPr="00523FE7">
        <w:rPr>
          <w:rFonts w:cs="Times New Roman"/>
          <w:szCs w:val="24"/>
        </w:rPr>
        <w:t xml:space="preserve"> 7(4):1454-1463. doi: 10 1111/j 1743-6109 2009 01693 </w:t>
      </w:r>
    </w:p>
    <w:p w14:paraId="0420B99F"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67DC753" w14:textId="77777777" w:rsidR="003F1E74" w:rsidRPr="00523FE7" w:rsidRDefault="003F1E74" w:rsidP="003F1E74">
      <w:pPr>
        <w:spacing w:after="160" w:line="259" w:lineRule="auto"/>
        <w:rPr>
          <w:rFonts w:cs="Times New Roman"/>
          <w:szCs w:val="24"/>
        </w:rPr>
      </w:pPr>
      <w:r w:rsidRPr="00523FE7">
        <w:rPr>
          <w:rFonts w:cs="Times New Roman"/>
          <w:szCs w:val="24"/>
        </w:rPr>
        <w:t xml:space="preserve">Christensen BS, Grønbæk M, Osler M, Pedersen BV, Graugaard C, Frisch M (2011) Sexual dysfunctions and difﬁculties in Denmark: Prevalence and associated sociodemographic factors. </w:t>
      </w:r>
      <w:r w:rsidRPr="00523FE7">
        <w:rPr>
          <w:rFonts w:cs="Times New Roman"/>
          <w:szCs w:val="24"/>
          <w:shd w:val="clear" w:color="auto" w:fill="FFFFFF"/>
        </w:rPr>
        <w:t>Arch Sex Behav</w:t>
      </w:r>
      <w:r w:rsidRPr="00523FE7">
        <w:rPr>
          <w:rFonts w:cs="Times New Roman"/>
          <w:szCs w:val="24"/>
        </w:rPr>
        <w:t xml:space="preserve"> 40:121–132  </w:t>
      </w:r>
    </w:p>
    <w:p w14:paraId="5254AEB1"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15BE99BD" w14:textId="77777777" w:rsidR="003F1E74" w:rsidRPr="00523FE7" w:rsidRDefault="003F1E74" w:rsidP="003F1E74">
      <w:pPr>
        <w:spacing w:after="160" w:line="259" w:lineRule="auto"/>
        <w:rPr>
          <w:rFonts w:cs="Times New Roman"/>
          <w:szCs w:val="24"/>
        </w:rPr>
      </w:pPr>
      <w:r w:rsidRPr="00523FE7">
        <w:rPr>
          <w:rFonts w:cs="Times New Roman"/>
          <w:szCs w:val="24"/>
        </w:rPr>
        <w:t xml:space="preserve">Courtenay WH (2000) Constructions of masculinity and their influence on men's well-being: a theory of gender and health.  Soc Sci Med 50:1385-401   </w:t>
      </w:r>
    </w:p>
    <w:p w14:paraId="4C1CAE8B"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0360DDE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DeLamater J (2012) Sexual expression in later life: A review and synthesis.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49:125–141. doi:10 1080/002 24499 2011 603168  </w:t>
      </w:r>
    </w:p>
    <w:p w14:paraId="362D540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03FDBFC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DeLamater J, Sill M (2005) Sexual desire in later life.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42:138–149  </w:t>
      </w:r>
    </w:p>
    <w:p w14:paraId="38B3EFD8" w14:textId="77777777" w:rsidR="003F1E74" w:rsidRPr="00523FE7" w:rsidRDefault="003F1E74" w:rsidP="003F1E74">
      <w:pPr>
        <w:spacing w:after="160" w:line="259" w:lineRule="auto"/>
        <w:rPr>
          <w:rFonts w:cs="Times New Roman"/>
          <w:szCs w:val="24"/>
        </w:rPr>
      </w:pPr>
    </w:p>
    <w:p w14:paraId="6A04F92C"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5BD806AB" w14:textId="77777777" w:rsidR="003F1E74" w:rsidRPr="00523FE7" w:rsidRDefault="003F1E74" w:rsidP="003F1E74">
      <w:pPr>
        <w:spacing w:after="160" w:line="259" w:lineRule="auto"/>
        <w:rPr>
          <w:rFonts w:cs="Times New Roman"/>
          <w:szCs w:val="24"/>
        </w:rPr>
      </w:pPr>
      <w:r w:rsidRPr="00523FE7">
        <w:rPr>
          <w:rFonts w:cs="Times New Roman"/>
          <w:szCs w:val="24"/>
        </w:rPr>
        <w:t xml:space="preserve">Dworkin SL, O'Sullivan L ( 2005 ) Actual versus desired initiation patterns among a sample of college men: Tapping disjunctures within traditional male scripts.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42:150–158  </w:t>
      </w:r>
    </w:p>
    <w:p w14:paraId="0984A75D"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41155B13" w14:textId="77777777" w:rsidR="003F1E74" w:rsidRPr="00523FE7" w:rsidRDefault="003F1E74" w:rsidP="003F1E74">
      <w:pPr>
        <w:spacing w:after="160" w:line="259" w:lineRule="auto"/>
        <w:rPr>
          <w:rFonts w:cs="Times New Roman"/>
          <w:szCs w:val="24"/>
        </w:rPr>
      </w:pPr>
      <w:r w:rsidRPr="00523FE7">
        <w:rPr>
          <w:rFonts w:cs="Times New Roman"/>
          <w:szCs w:val="24"/>
        </w:rPr>
        <w:lastRenderedPageBreak/>
        <w:t xml:space="preserve">Field N, Mercer CH Sonnenberg P, Tanton C, Clifton S, Mitchell KR  … Johnson AM (2013) Associations between health and sexual lifestyles in Britain: Findings from the third National Survey of Sexual Attitudes and Lifestyles (Natsal-3)  Lancet 382:1830–1844. doi:10 1016/ S0140-6736(13)62222-9 </w:t>
      </w:r>
    </w:p>
    <w:p w14:paraId="6B53BBE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065C31C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Fileborn B, Thorpe R, Hawkes G, Minichiello V, Pitts M (2015a) Sex and the (older) single girl: Experiences of sex and dating in later life. </w:t>
      </w:r>
      <w:r w:rsidRPr="00523FE7">
        <w:rPr>
          <w:rFonts w:cs="Times New Roman"/>
          <w:szCs w:val="24"/>
          <w:shd w:val="clear" w:color="auto" w:fill="FFFFFF"/>
        </w:rPr>
        <w:t>J </w:t>
      </w:r>
      <w:r w:rsidRPr="00523FE7">
        <w:rPr>
          <w:rFonts w:cs="Times New Roman"/>
          <w:bCs/>
          <w:szCs w:val="24"/>
          <w:shd w:val="clear" w:color="auto" w:fill="FFFFFF"/>
        </w:rPr>
        <w:t>Aging</w:t>
      </w:r>
      <w:r w:rsidRPr="00523FE7">
        <w:rPr>
          <w:rFonts w:cs="Times New Roman"/>
          <w:szCs w:val="24"/>
          <w:shd w:val="clear" w:color="auto" w:fill="FFFFFF"/>
        </w:rPr>
        <w:t> Stud</w:t>
      </w:r>
      <w:r w:rsidRPr="00523FE7">
        <w:rPr>
          <w:rFonts w:cs="Times New Roman"/>
          <w:szCs w:val="24"/>
        </w:rPr>
        <w:t xml:space="preserve"> 33:67–75. doi:10 1016/j jaging 2015  02 002   </w:t>
      </w:r>
    </w:p>
    <w:p w14:paraId="19EEAD96"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486047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Fileborn B, Thorpe R, Hawkes G, Minichiello V, Pitts M, Dune T (2015b) Sex desire and pleasure: Considering the experiences of older Australian women. </w:t>
      </w:r>
      <w:r w:rsidRPr="00523FE7">
        <w:rPr>
          <w:rFonts w:cs="Times New Roman"/>
          <w:szCs w:val="24"/>
          <w:shd w:val="clear" w:color="auto" w:fill="FFFFFF"/>
        </w:rPr>
        <w:t>Sex Relation Ther</w:t>
      </w:r>
      <w:r w:rsidRPr="00523FE7">
        <w:rPr>
          <w:rFonts w:cs="Times New Roman"/>
          <w:szCs w:val="24"/>
        </w:rPr>
        <w:t xml:space="preserve"> 30:117–130. doi:10 1080/14681994 2014 936722  </w:t>
      </w:r>
    </w:p>
    <w:p w14:paraId="54674E08"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1A297747" w14:textId="77777777" w:rsidR="003F1E74" w:rsidRPr="00523FE7" w:rsidRDefault="003F1E74" w:rsidP="003F1E74">
      <w:pPr>
        <w:spacing w:after="160" w:line="259" w:lineRule="auto"/>
        <w:rPr>
          <w:rFonts w:cs="Times New Roman"/>
          <w:szCs w:val="24"/>
        </w:rPr>
      </w:pPr>
      <w:r w:rsidRPr="00523FE7">
        <w:rPr>
          <w:rFonts w:cs="Times New Roman"/>
          <w:szCs w:val="24"/>
        </w:rPr>
        <w:t xml:space="preserve">Gagnon JH, Simon W (2005) Sexual conduct: The social sources of human sexuality. New Brunswick NJ: Aldine Transaction </w:t>
      </w:r>
    </w:p>
    <w:p w14:paraId="43D1A7A0" w14:textId="77777777" w:rsidR="003F1E74" w:rsidRPr="00523FE7" w:rsidRDefault="003F1E74" w:rsidP="003F1E74">
      <w:pPr>
        <w:spacing w:after="160" w:line="259" w:lineRule="auto"/>
        <w:rPr>
          <w:rFonts w:cs="Times New Roman"/>
          <w:szCs w:val="24"/>
        </w:rPr>
      </w:pPr>
    </w:p>
    <w:p w14:paraId="5D186DE1" w14:textId="77777777" w:rsidR="003F1E74" w:rsidRPr="00523FE7" w:rsidRDefault="003F1E74" w:rsidP="003F1E74">
      <w:pPr>
        <w:spacing w:after="160" w:line="259" w:lineRule="auto"/>
        <w:rPr>
          <w:rFonts w:cs="Times New Roman"/>
          <w:szCs w:val="24"/>
        </w:rPr>
      </w:pPr>
      <w:r w:rsidRPr="00523FE7">
        <w:rPr>
          <w:rFonts w:cs="Times New Roman"/>
          <w:szCs w:val="24"/>
        </w:rPr>
        <w:t xml:space="preserve">Gott M, Hinchliff S (2003) How important is sex in later life? The views of older people.  </w:t>
      </w:r>
      <w:r w:rsidRPr="00523FE7">
        <w:rPr>
          <w:rFonts w:cs="Times New Roman"/>
          <w:bCs/>
          <w:szCs w:val="24"/>
          <w:shd w:val="clear" w:color="auto" w:fill="FFFFFF"/>
        </w:rPr>
        <w:t>Soc Sci Med</w:t>
      </w:r>
      <w:r w:rsidRPr="00523FE7">
        <w:rPr>
          <w:rFonts w:cs="Times New Roman"/>
          <w:szCs w:val="24"/>
        </w:rPr>
        <w:t xml:space="preserve"> 56:1617–1628. doi:10 1016/s0277-9536(02)00180-6   </w:t>
      </w:r>
    </w:p>
    <w:p w14:paraId="0D3C38E4"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5A5F48BC" w14:textId="77777777" w:rsidR="003F1E74" w:rsidRPr="00523FE7" w:rsidRDefault="003F1E74" w:rsidP="003F1E74">
      <w:pPr>
        <w:spacing w:after="160" w:line="259" w:lineRule="auto"/>
        <w:rPr>
          <w:rFonts w:cs="Times New Roman"/>
          <w:szCs w:val="24"/>
        </w:rPr>
      </w:pPr>
      <w:r w:rsidRPr="00523FE7">
        <w:rPr>
          <w:rFonts w:cs="Times New Roman"/>
          <w:szCs w:val="24"/>
        </w:rPr>
        <w:t xml:space="preserve">Gott M, Hinchliff S, Galena E (2004) General practitioner attitudes to discussing sexual health issues with older people. </w:t>
      </w:r>
      <w:r w:rsidRPr="00523FE7">
        <w:rPr>
          <w:rFonts w:cs="Times New Roman"/>
          <w:bCs/>
          <w:szCs w:val="24"/>
          <w:shd w:val="clear" w:color="auto" w:fill="FFFFFF"/>
        </w:rPr>
        <w:t>Soc Sci Med</w:t>
      </w:r>
      <w:r w:rsidRPr="00523FE7">
        <w:rPr>
          <w:rFonts w:cs="Times New Roman"/>
          <w:szCs w:val="24"/>
        </w:rPr>
        <w:t xml:space="preserve"> 58:2093–2103. doi:10 1016/j socscimed 2003 08  025  </w:t>
      </w:r>
    </w:p>
    <w:p w14:paraId="1476403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1789873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Graham CA, Mercer CH, Tanton C, Jones KG, Johnson AM, Wellings K, Mitchell KR (2017) What factors are associated with reporting lacking interest in sex and how do these vary by gender? Findings from the third British national survey of sexual attitudes and lifestyles. BMJ open 7(9) e016942  </w:t>
      </w:r>
    </w:p>
    <w:p w14:paraId="12154D0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5637FB26" w14:textId="77777777" w:rsidR="003F1E74" w:rsidRPr="00523FE7" w:rsidRDefault="003F1E74" w:rsidP="003F1E74">
      <w:pPr>
        <w:spacing w:after="160" w:line="259" w:lineRule="auto"/>
        <w:rPr>
          <w:rFonts w:cs="Times New Roman"/>
          <w:szCs w:val="24"/>
        </w:rPr>
      </w:pPr>
      <w:r w:rsidRPr="00523FE7">
        <w:rPr>
          <w:rFonts w:cs="Times New Roman"/>
          <w:szCs w:val="24"/>
        </w:rPr>
        <w:t xml:space="preserve">Hinchliff S, Gott M, Wylie K (2012) A Qualitative Study of Heterosexual Women’s Attempts to Renegotiate Sexual Relationships in the Context of Severe Sexual Problems. Arch Sex Behav DOI 10 1007/s10508-012-9903-0 </w:t>
      </w:r>
    </w:p>
    <w:p w14:paraId="3CAACE33"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FB55BDB" w14:textId="77777777" w:rsidR="003F1E74" w:rsidRPr="00523FE7" w:rsidRDefault="003F1E74" w:rsidP="003F1E74">
      <w:pPr>
        <w:spacing w:after="160" w:line="259" w:lineRule="auto"/>
        <w:rPr>
          <w:rFonts w:cs="Times New Roman"/>
          <w:szCs w:val="24"/>
        </w:rPr>
      </w:pPr>
      <w:r w:rsidRPr="00523FE7">
        <w:rPr>
          <w:rFonts w:cs="Times New Roman"/>
          <w:szCs w:val="24"/>
        </w:rPr>
        <w:t xml:space="preserve">Horvath M, Brown J (2010) Between a rock and a hard place. The Psychologist 23:556–559  </w:t>
      </w:r>
    </w:p>
    <w:p w14:paraId="6B91DEE3"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56208DE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Jagus CE, Benbow SM (2002) Sexuality in older men with mental health problems. </w:t>
      </w:r>
      <w:r w:rsidRPr="00523FE7">
        <w:rPr>
          <w:rFonts w:cs="Times New Roman"/>
          <w:szCs w:val="24"/>
          <w:shd w:val="clear" w:color="auto" w:fill="FFFFFF"/>
        </w:rPr>
        <w:t>Sex Relation Ther</w:t>
      </w:r>
      <w:r w:rsidRPr="00523FE7">
        <w:rPr>
          <w:rFonts w:cs="Times New Roman"/>
          <w:szCs w:val="24"/>
        </w:rPr>
        <w:t xml:space="preserve"> 17:271–279. doi:10 1080/14681990220149077  </w:t>
      </w:r>
    </w:p>
    <w:p w14:paraId="39F06588" w14:textId="77777777" w:rsidR="003F1E74" w:rsidRPr="00523FE7" w:rsidRDefault="003F1E74" w:rsidP="003F1E74">
      <w:pPr>
        <w:spacing w:after="160" w:line="259" w:lineRule="auto"/>
        <w:rPr>
          <w:rFonts w:cs="Times New Roman"/>
          <w:szCs w:val="24"/>
        </w:rPr>
      </w:pPr>
      <w:r w:rsidRPr="00523FE7">
        <w:rPr>
          <w:rFonts w:cs="Times New Roman"/>
          <w:szCs w:val="24"/>
        </w:rPr>
        <w:lastRenderedPageBreak/>
        <w:t xml:space="preserve"> </w:t>
      </w:r>
    </w:p>
    <w:p w14:paraId="5673D5F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Jones KG, Mitchell KR, Ploubidis GB, Wellings K, Datta J, Johnson AM, Mercer CH (2015) The Natsal-SF Measure of Sexual Function: Comparison of Three Scoring Methods.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52(6):640–646  </w:t>
      </w:r>
    </w:p>
    <w:p w14:paraId="34E544F8"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5A93B3CF" w14:textId="77777777" w:rsidR="003F1E74" w:rsidRPr="00523FE7" w:rsidRDefault="003F1E74" w:rsidP="003F1E74">
      <w:pPr>
        <w:spacing w:after="160" w:line="259" w:lineRule="auto"/>
        <w:rPr>
          <w:rFonts w:cs="Times New Roman"/>
          <w:szCs w:val="24"/>
        </w:rPr>
      </w:pPr>
      <w:r w:rsidRPr="00523FE7">
        <w:rPr>
          <w:rFonts w:cs="Times New Roman"/>
          <w:szCs w:val="24"/>
        </w:rPr>
        <w:t xml:space="preserve">Karraker A, DeLamater J (2013) Past-year sexual inactivity among older married persons and their partners. </w:t>
      </w:r>
      <w:r w:rsidRPr="00523FE7">
        <w:rPr>
          <w:rFonts w:cs="Times New Roman"/>
          <w:szCs w:val="24"/>
          <w:shd w:val="clear" w:color="auto" w:fill="FFFFFF"/>
        </w:rPr>
        <w:t>J </w:t>
      </w:r>
      <w:r w:rsidRPr="00523FE7">
        <w:rPr>
          <w:rFonts w:cs="Times New Roman"/>
          <w:bCs/>
          <w:szCs w:val="24"/>
          <w:shd w:val="clear" w:color="auto" w:fill="FFFFFF"/>
        </w:rPr>
        <w:t>Marriage</w:t>
      </w:r>
      <w:r w:rsidRPr="00523FE7">
        <w:rPr>
          <w:rFonts w:cs="Times New Roman"/>
          <w:szCs w:val="24"/>
          <w:shd w:val="clear" w:color="auto" w:fill="FFFFFF"/>
        </w:rPr>
        <w:t> Fam</w:t>
      </w:r>
      <w:r w:rsidRPr="00523FE7">
        <w:rPr>
          <w:rFonts w:cs="Times New Roman"/>
          <w:szCs w:val="24"/>
        </w:rPr>
        <w:t xml:space="preserve"> 75:142–163  doi:10 1111/j 17413737 2012 01034 x  </w:t>
      </w:r>
    </w:p>
    <w:p w14:paraId="6F66049B"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37CBAA8A" w14:textId="77777777" w:rsidR="003F1E74" w:rsidRPr="00523FE7" w:rsidRDefault="003F1E74" w:rsidP="003F1E74">
      <w:pPr>
        <w:spacing w:after="160" w:line="259" w:lineRule="auto"/>
        <w:rPr>
          <w:rFonts w:cs="Times New Roman"/>
          <w:szCs w:val="24"/>
        </w:rPr>
      </w:pPr>
      <w:r w:rsidRPr="00523FE7">
        <w:rPr>
          <w:rFonts w:cs="Times New Roman"/>
          <w:szCs w:val="24"/>
        </w:rPr>
        <w:t xml:space="preserve">Kleinplatz P, Menard D, Paradis N, Campbell M, Dalgleish T (2013) Beyond sexual stereotypes: Revealing group similarities and differences in optimal sexuality.  </w:t>
      </w:r>
      <w:r w:rsidRPr="00523FE7">
        <w:rPr>
          <w:rFonts w:cs="Times New Roman"/>
          <w:szCs w:val="24"/>
          <w:shd w:val="clear" w:color="auto" w:fill="FFFFFF"/>
        </w:rPr>
        <w:t>Can J Behav Sci</w:t>
      </w:r>
      <w:r w:rsidRPr="00523FE7">
        <w:rPr>
          <w:rFonts w:cs="Times New Roman"/>
          <w:szCs w:val="24"/>
        </w:rPr>
        <w:t xml:space="preserve"> 45:250–258. doi:10 1037/a0031776  </w:t>
      </w:r>
    </w:p>
    <w:p w14:paraId="1B5A504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2C61C43" w14:textId="77777777" w:rsidR="003F1E74" w:rsidRPr="00523FE7" w:rsidRDefault="003F1E74" w:rsidP="003F1E74">
      <w:pPr>
        <w:spacing w:after="160" w:line="259" w:lineRule="auto"/>
        <w:rPr>
          <w:rFonts w:cs="Times New Roman"/>
          <w:szCs w:val="24"/>
        </w:rPr>
      </w:pPr>
      <w:r w:rsidRPr="00523FE7">
        <w:rPr>
          <w:rFonts w:cs="Times New Roman"/>
          <w:szCs w:val="24"/>
        </w:rPr>
        <w:t xml:space="preserve">Klusmann D (2002) Sexual motivation and the duration of partnership. </w:t>
      </w:r>
      <w:r w:rsidRPr="00523FE7">
        <w:rPr>
          <w:rFonts w:cs="Times New Roman"/>
          <w:szCs w:val="24"/>
          <w:shd w:val="clear" w:color="auto" w:fill="FFFFFF"/>
        </w:rPr>
        <w:t>Arch Sex Behav</w:t>
      </w:r>
      <w:r w:rsidRPr="00523FE7">
        <w:rPr>
          <w:rFonts w:cs="Times New Roman"/>
          <w:szCs w:val="24"/>
        </w:rPr>
        <w:t xml:space="preserve"> 31:275–287. doi:10 1023/A:1015205020769 </w:t>
      </w:r>
    </w:p>
    <w:p w14:paraId="3537353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22008693" w14:textId="77777777" w:rsidR="003F1E74" w:rsidRPr="00523FE7" w:rsidRDefault="003F1E74" w:rsidP="003F1E74">
      <w:pPr>
        <w:spacing w:after="160" w:line="259" w:lineRule="auto"/>
        <w:rPr>
          <w:rFonts w:cs="Times New Roman"/>
          <w:szCs w:val="24"/>
        </w:rPr>
      </w:pPr>
      <w:r w:rsidRPr="00523FE7">
        <w:rPr>
          <w:rFonts w:cs="Times New Roman"/>
          <w:szCs w:val="24"/>
        </w:rPr>
        <w:t xml:space="preserve">Laumann EO, Nicolosi A, Glasser DB, Paik A, Gingell C, Moreira E, Wang T for the GSSAB Investigators’ Group (2005) Sexual problems among women and men aged 40–80 years: Prevalence and correlates identiﬁed in the Global Study of Sexual Attitudes and Behaviors.  </w:t>
      </w:r>
      <w:r w:rsidRPr="00523FE7">
        <w:rPr>
          <w:rFonts w:cs="Times New Roman"/>
          <w:szCs w:val="24"/>
          <w:shd w:val="clear" w:color="auto" w:fill="FFFFFF"/>
        </w:rPr>
        <w:t>Int J Impot Res</w:t>
      </w:r>
      <w:r w:rsidRPr="00523FE7">
        <w:rPr>
          <w:rFonts w:cs="Times New Roman"/>
          <w:szCs w:val="24"/>
        </w:rPr>
        <w:t xml:space="preserve"> 17:39–57  </w:t>
      </w:r>
    </w:p>
    <w:p w14:paraId="09376CDA"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2E57AA8F" w14:textId="77777777" w:rsidR="003F1E74" w:rsidRPr="00523FE7" w:rsidRDefault="003F1E74" w:rsidP="003F1E74">
      <w:pPr>
        <w:spacing w:after="160" w:line="259" w:lineRule="auto"/>
        <w:rPr>
          <w:rFonts w:cs="Times New Roman"/>
          <w:szCs w:val="24"/>
        </w:rPr>
      </w:pPr>
      <w:r w:rsidRPr="00523FE7">
        <w:rPr>
          <w:rFonts w:cs="Times New Roman"/>
          <w:szCs w:val="24"/>
        </w:rPr>
        <w:t xml:space="preserve">Laumann EO, Das A, Waite LJ (2008) Sexual dysfunction among older adults: Prevalence and risk factors from a nationally representative U S  probability sample of men and women 57-85 years of age. </w:t>
      </w:r>
      <w:r w:rsidRPr="00523FE7">
        <w:rPr>
          <w:rFonts w:cs="Times New Roman"/>
          <w:szCs w:val="24"/>
          <w:shd w:val="clear" w:color="auto" w:fill="FFFFFF"/>
        </w:rPr>
        <w:t>J Sex Med</w:t>
      </w:r>
      <w:r w:rsidRPr="00523FE7">
        <w:rPr>
          <w:rFonts w:cs="Times New Roman"/>
          <w:szCs w:val="24"/>
        </w:rPr>
        <w:t xml:space="preserve"> 5:2300–2311  </w:t>
      </w:r>
    </w:p>
    <w:p w14:paraId="7436EEBC"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A71AABD" w14:textId="77777777" w:rsidR="003F1E74" w:rsidRPr="00523FE7" w:rsidRDefault="003F1E74" w:rsidP="003F1E74">
      <w:pPr>
        <w:spacing w:after="160" w:line="259" w:lineRule="auto"/>
        <w:rPr>
          <w:rFonts w:cs="Times New Roman"/>
          <w:szCs w:val="24"/>
        </w:rPr>
      </w:pPr>
      <w:r w:rsidRPr="00523FE7">
        <w:rPr>
          <w:rFonts w:cs="Times New Roman"/>
          <w:szCs w:val="24"/>
        </w:rPr>
        <w:t xml:space="preserve">Lindau ST, Gavrilova N (2010) Sex health and years of sexually active life gained due to good health: Evidence from two US population based cross sectional surveys of ageing. </w:t>
      </w:r>
      <w:r w:rsidRPr="00523FE7">
        <w:rPr>
          <w:rFonts w:cs="Times New Roman"/>
          <w:szCs w:val="24"/>
          <w:shd w:val="clear" w:color="auto" w:fill="FFFFFF"/>
        </w:rPr>
        <w:t>BMJ</w:t>
      </w:r>
      <w:r w:rsidRPr="00523FE7">
        <w:rPr>
          <w:rFonts w:cs="Times New Roman"/>
          <w:szCs w:val="24"/>
        </w:rPr>
        <w:t xml:space="preserve"> 3401–11  </w:t>
      </w:r>
    </w:p>
    <w:p w14:paraId="75B00C0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7DCA034A" w14:textId="77777777" w:rsidR="003F1E74" w:rsidRPr="00523FE7" w:rsidRDefault="003F1E74" w:rsidP="003F1E74">
      <w:pPr>
        <w:spacing w:after="160" w:line="259" w:lineRule="auto"/>
        <w:rPr>
          <w:rFonts w:cs="Times New Roman"/>
          <w:szCs w:val="24"/>
        </w:rPr>
      </w:pPr>
      <w:r w:rsidRPr="00523FE7">
        <w:rPr>
          <w:rFonts w:cs="Times New Roman"/>
          <w:szCs w:val="24"/>
        </w:rPr>
        <w:t xml:space="preserve">Lindau ST, Schumm LP, Laumann EO, Levinson W, O’Muircheartaigh CA, Waite LJ (2007)  A study of sexuality and health among older adults in the United States. </w:t>
      </w:r>
      <w:r w:rsidRPr="00523FE7">
        <w:rPr>
          <w:rFonts w:cs="Times New Roman"/>
          <w:szCs w:val="24"/>
          <w:shd w:val="clear" w:color="auto" w:fill="FFFFFF"/>
        </w:rPr>
        <w:t>N Engl J Med</w:t>
      </w:r>
      <w:r w:rsidRPr="00523FE7">
        <w:rPr>
          <w:rFonts w:cs="Times New Roman"/>
          <w:szCs w:val="24"/>
        </w:rPr>
        <w:t xml:space="preserve"> 357:762–774. https ://doi org/10 1056/NEJMo a0674 23  </w:t>
      </w:r>
    </w:p>
    <w:p w14:paraId="49ED283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2A2D9DD4" w14:textId="77777777" w:rsidR="003F1E74" w:rsidRPr="00523FE7" w:rsidRDefault="003F1E74" w:rsidP="003F1E74">
      <w:pPr>
        <w:spacing w:after="160" w:line="259" w:lineRule="auto"/>
        <w:rPr>
          <w:rFonts w:cs="Times New Roman"/>
          <w:szCs w:val="24"/>
        </w:rPr>
      </w:pPr>
      <w:r w:rsidRPr="00523FE7">
        <w:rPr>
          <w:rFonts w:cs="Times New Roman"/>
          <w:szCs w:val="24"/>
        </w:rPr>
        <w:t xml:space="preserve">Lodge AC, Umberson D (2013) Age and embodied masculinities: Midlife gay and heterosexual men talk about their bodies.  </w:t>
      </w:r>
      <w:r w:rsidRPr="00523FE7">
        <w:rPr>
          <w:rFonts w:cs="Times New Roman"/>
          <w:szCs w:val="24"/>
          <w:shd w:val="clear" w:color="auto" w:fill="FFFFFF"/>
        </w:rPr>
        <w:t>J </w:t>
      </w:r>
      <w:r w:rsidRPr="00523FE7">
        <w:rPr>
          <w:rFonts w:cs="Times New Roman"/>
          <w:bCs/>
          <w:szCs w:val="24"/>
          <w:shd w:val="clear" w:color="auto" w:fill="FFFFFF"/>
        </w:rPr>
        <w:t>Aging</w:t>
      </w:r>
      <w:r w:rsidRPr="00523FE7">
        <w:rPr>
          <w:rFonts w:cs="Times New Roman"/>
          <w:szCs w:val="24"/>
          <w:shd w:val="clear" w:color="auto" w:fill="FFFFFF"/>
        </w:rPr>
        <w:t> Stud</w:t>
      </w:r>
      <w:r w:rsidRPr="00523FE7">
        <w:rPr>
          <w:rFonts w:cs="Times New Roman"/>
          <w:szCs w:val="24"/>
        </w:rPr>
        <w:t xml:space="preserve"> 27:225–232. doi:10 1016/j jaging 2013 03 004  </w:t>
      </w:r>
    </w:p>
    <w:p w14:paraId="330C968C"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04F84C1C" w14:textId="77777777" w:rsidR="003F1E74" w:rsidRPr="00523FE7" w:rsidRDefault="003F1E74" w:rsidP="003F1E74">
      <w:pPr>
        <w:spacing w:after="160" w:line="259" w:lineRule="auto"/>
        <w:rPr>
          <w:rFonts w:cs="Times New Roman"/>
          <w:szCs w:val="24"/>
        </w:rPr>
      </w:pPr>
      <w:r w:rsidRPr="00523FE7">
        <w:rPr>
          <w:rFonts w:cs="Times New Roman"/>
          <w:szCs w:val="24"/>
        </w:rPr>
        <w:lastRenderedPageBreak/>
        <w:t xml:space="preserve">Masters TN, Casey E, Wells EA, Morrison DM (2012) Sexual scripts among young heterosexually active men and women: Continuity and change.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161–12.  doi:10 1080/00224499 2012 661102 </w:t>
      </w:r>
    </w:p>
    <w:p w14:paraId="448C7A14"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5C343C0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Milhausen R, Herold E (1999) Does the Sexual Double Standard Still Exist? Perceptions of University Women.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36(4):361-368 </w:t>
      </w:r>
    </w:p>
    <w:p w14:paraId="5AF01F40"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48EBCF5D" w14:textId="77777777" w:rsidR="003F1E74" w:rsidRPr="00523FE7" w:rsidRDefault="003F1E74" w:rsidP="003F1E74">
      <w:pPr>
        <w:spacing w:after="160" w:line="259" w:lineRule="auto"/>
        <w:rPr>
          <w:rFonts w:cs="Times New Roman"/>
          <w:szCs w:val="24"/>
        </w:rPr>
      </w:pPr>
      <w:r w:rsidRPr="00523FE7">
        <w:rPr>
          <w:rFonts w:cs="Times New Roman"/>
          <w:szCs w:val="24"/>
        </w:rPr>
        <w:t xml:space="preserve">Mitchell KR, Mercer CH, Ploubidis GB, Jones KG, Datta J, Field J … Wellings K (2013) Sexual function in Britain: Findings from the third National Survey of Sexual Attitudes and Lifestyles (Natsal-3). Lancet 382:817–1829  </w:t>
      </w:r>
    </w:p>
    <w:p w14:paraId="197EF8F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37217E2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Minichiello V, Plummer D, Loxton D (2004) Factors predicting sexual relationships in older people: An Australian study. </w:t>
      </w:r>
      <w:r w:rsidRPr="00523FE7">
        <w:rPr>
          <w:rFonts w:cs="Times New Roman"/>
          <w:szCs w:val="24"/>
          <w:shd w:val="clear" w:color="auto" w:fill="FFFFFF"/>
        </w:rPr>
        <w:t>Australas J Ageing</w:t>
      </w:r>
      <w:r w:rsidRPr="00523FE7">
        <w:rPr>
          <w:rFonts w:cs="Times New Roman"/>
          <w:szCs w:val="24"/>
        </w:rPr>
        <w:t xml:space="preserve"> 23:125–130. doi:10 1111/j 17416612 2004 00018 x  </w:t>
      </w:r>
    </w:p>
    <w:p w14:paraId="1AF0C1DC"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2149D0CB" w14:textId="77777777" w:rsidR="003F1E74" w:rsidRPr="00523FE7" w:rsidRDefault="003F1E74" w:rsidP="003F1E74">
      <w:pPr>
        <w:spacing w:after="160" w:line="259" w:lineRule="auto"/>
        <w:rPr>
          <w:rFonts w:cs="Times New Roman"/>
          <w:szCs w:val="24"/>
        </w:rPr>
      </w:pPr>
      <w:r w:rsidRPr="00523FE7">
        <w:rPr>
          <w:rFonts w:cs="Times New Roman"/>
          <w:szCs w:val="24"/>
        </w:rPr>
        <w:t xml:space="preserve">Moreira ED, Jr Glasser DB,  King R, Duarte F, Gingell C, GSSAB Investigators' Group (2008) Sexual difﬁculties and helpseeking among mature adults in Australia: Results from the Global Study of Sexual Attitudes and Behaviors.  Sex Health 5:227–234  </w:t>
      </w:r>
    </w:p>
    <w:p w14:paraId="27DBB43E" w14:textId="77777777" w:rsidR="003F1E74" w:rsidRPr="00523FE7" w:rsidRDefault="003F1E74" w:rsidP="003F1E74">
      <w:pPr>
        <w:spacing w:after="160" w:line="259" w:lineRule="auto"/>
        <w:rPr>
          <w:rFonts w:cs="Times New Roman"/>
          <w:szCs w:val="24"/>
        </w:rPr>
      </w:pPr>
    </w:p>
    <w:p w14:paraId="329E86B7" w14:textId="77777777" w:rsidR="003F1E74" w:rsidRPr="003F1E74" w:rsidRDefault="003F1E74" w:rsidP="003F1E74">
      <w:pPr>
        <w:shd w:val="clear" w:color="auto" w:fill="FFFFFF"/>
        <w:spacing w:after="0" w:line="240" w:lineRule="auto"/>
        <w:rPr>
          <w:rFonts w:eastAsia="Times New Roman" w:cs="Times New Roman"/>
          <w:szCs w:val="24"/>
          <w:lang w:val="en-GB" w:eastAsia="pt-PT"/>
        </w:rPr>
      </w:pPr>
      <w:r w:rsidRPr="00523FE7">
        <w:rPr>
          <w:rFonts w:cs="Times New Roman"/>
          <w:szCs w:val="24"/>
        </w:rPr>
        <w:t>Murray S, Milhausen R (2012) Factors impacting women’s sexual desire: Examining long-term relationships in emerging adulthood.  Can J Hum Sex</w:t>
      </w:r>
      <w:r w:rsidRPr="003F1E74">
        <w:rPr>
          <w:rFonts w:eastAsia="Times New Roman" w:cs="Times New Roman"/>
          <w:szCs w:val="24"/>
          <w:lang w:val="en-GB" w:eastAsia="pt-PT"/>
        </w:rPr>
        <w:t xml:space="preserve"> </w:t>
      </w:r>
      <w:r w:rsidRPr="00523FE7">
        <w:rPr>
          <w:rFonts w:cs="Times New Roman"/>
          <w:szCs w:val="24"/>
        </w:rPr>
        <w:t xml:space="preserve">21:101–115  </w:t>
      </w:r>
    </w:p>
    <w:p w14:paraId="06A2EC4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33502D4D" w14:textId="77777777" w:rsidR="003F1E74" w:rsidRPr="00523FE7" w:rsidRDefault="003F1E74" w:rsidP="003F1E74">
      <w:pPr>
        <w:spacing w:after="160" w:line="259" w:lineRule="auto"/>
        <w:rPr>
          <w:rFonts w:cs="Times New Roman"/>
          <w:szCs w:val="24"/>
        </w:rPr>
      </w:pPr>
      <w:r w:rsidRPr="00523FE7">
        <w:rPr>
          <w:rFonts w:cs="Times New Roman"/>
          <w:szCs w:val="24"/>
        </w:rPr>
        <w:t xml:space="preserve">Murray S, Milhausen R, Graham C, Kuczynski L (2017) A Qualitative Exploration of Factors That Affect Sexual Desire Among Men Aged 30 to 65 in Long-Term Relationships. </w:t>
      </w:r>
      <w:r w:rsidRPr="00523FE7">
        <w:rPr>
          <w:rFonts w:cs="Times New Roman"/>
          <w:szCs w:val="24"/>
          <w:shd w:val="clear" w:color="auto" w:fill="FFFFFF"/>
        </w:rPr>
        <w:t>J </w:t>
      </w:r>
      <w:r w:rsidRPr="00523FE7">
        <w:rPr>
          <w:rFonts w:cs="Times New Roman"/>
          <w:bCs/>
          <w:szCs w:val="24"/>
          <w:shd w:val="clear" w:color="auto" w:fill="FFFFFF"/>
        </w:rPr>
        <w:t>Sex</w:t>
      </w:r>
      <w:r w:rsidRPr="00523FE7">
        <w:rPr>
          <w:rFonts w:cs="Times New Roman"/>
          <w:szCs w:val="24"/>
          <w:shd w:val="clear" w:color="auto" w:fill="FFFFFF"/>
        </w:rPr>
        <w:t> Res</w:t>
      </w:r>
      <w:r w:rsidRPr="00523FE7">
        <w:rPr>
          <w:rFonts w:cs="Times New Roman"/>
          <w:szCs w:val="24"/>
        </w:rPr>
        <w:t xml:space="preserve"> 54(3):319–330 </w:t>
      </w:r>
    </w:p>
    <w:p w14:paraId="25E6A8F5"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1CEC8B8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Peixoto M, Nobre P (2015) Prevalence and sociodemographic predictors of sexual problems in Portugal: A population-based study with women aged 18 to 79 years. </w:t>
      </w:r>
      <w:r>
        <w:rPr>
          <w:rFonts w:cs="Times New Roman"/>
          <w:szCs w:val="24"/>
          <w:shd w:val="clear" w:color="auto" w:fill="FFFFFF"/>
        </w:rPr>
        <w:t>J</w:t>
      </w:r>
      <w:r w:rsidRPr="00523FE7">
        <w:rPr>
          <w:rFonts w:cs="Times New Roman"/>
          <w:szCs w:val="24"/>
          <w:shd w:val="clear" w:color="auto" w:fill="FFFFFF"/>
        </w:rPr>
        <w:t xml:space="preserve"> Sex Marital Ther</w:t>
      </w:r>
      <w:r w:rsidRPr="00523FE7">
        <w:rPr>
          <w:rFonts w:cs="Times New Roman"/>
          <w:szCs w:val="24"/>
        </w:rPr>
        <w:t xml:space="preserve"> 41:169–180  </w:t>
      </w:r>
    </w:p>
    <w:p w14:paraId="39B0BF2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4CA265EE" w14:textId="77777777" w:rsidR="003F1E74" w:rsidRPr="00523FE7" w:rsidRDefault="003F1E74" w:rsidP="003F1E74">
      <w:pPr>
        <w:spacing w:after="160" w:line="259" w:lineRule="auto"/>
        <w:rPr>
          <w:rFonts w:cs="Times New Roman"/>
          <w:szCs w:val="24"/>
        </w:rPr>
      </w:pPr>
      <w:r w:rsidRPr="00523FE7">
        <w:rPr>
          <w:rFonts w:cs="Times New Roman"/>
          <w:szCs w:val="24"/>
        </w:rPr>
        <w:t xml:space="preserve">Schick V, Herbenick D, Reece M, Sanders SA, Dodge B, Middlebstadt SE, Fortenberry J  D  (2010)  Sexual behaviors condom use and sexual health of Americans over 50: Implications for sexual health promotion for older adults  </w:t>
      </w:r>
      <w:r>
        <w:rPr>
          <w:rFonts w:cs="Times New Roman"/>
          <w:szCs w:val="24"/>
          <w:shd w:val="clear" w:color="auto" w:fill="FFFFFF"/>
        </w:rPr>
        <w:t>J Sex</w:t>
      </w:r>
      <w:r w:rsidRPr="00523FE7">
        <w:rPr>
          <w:rFonts w:cs="Times New Roman"/>
          <w:szCs w:val="24"/>
          <w:shd w:val="clear" w:color="auto" w:fill="FFFFFF"/>
        </w:rPr>
        <w:t xml:space="preserve"> Med</w:t>
      </w:r>
      <w:r w:rsidRPr="00523FE7">
        <w:rPr>
          <w:rFonts w:cs="Times New Roman"/>
          <w:szCs w:val="24"/>
        </w:rPr>
        <w:t xml:space="preserve"> 7(Suppl 5) 315–329  doi:10 1111/j 1743-6109 2010 02013 x </w:t>
      </w:r>
    </w:p>
    <w:p w14:paraId="0D2D33BB"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1A263F5D" w14:textId="77777777" w:rsidR="003F1E74" w:rsidRPr="00523FE7" w:rsidRDefault="003F1E74" w:rsidP="003F1E74">
      <w:pPr>
        <w:spacing w:after="160" w:line="259" w:lineRule="auto"/>
        <w:rPr>
          <w:rFonts w:cs="Times New Roman"/>
          <w:szCs w:val="24"/>
        </w:rPr>
      </w:pPr>
      <w:r w:rsidRPr="00523FE7">
        <w:rPr>
          <w:rFonts w:cs="Times New Roman"/>
          <w:szCs w:val="24"/>
        </w:rPr>
        <w:t xml:space="preserve">Sinclair VG Dowdy SW (2005) Development and validation of the Emotional Intimacy Scale  J Nurs Meas 13:193–206  </w:t>
      </w:r>
    </w:p>
    <w:p w14:paraId="48598FA0" w14:textId="77777777" w:rsidR="003F1E74" w:rsidRPr="00523FE7" w:rsidRDefault="003F1E74" w:rsidP="003F1E74">
      <w:pPr>
        <w:spacing w:after="160" w:line="259" w:lineRule="auto"/>
        <w:rPr>
          <w:rFonts w:cs="Times New Roman"/>
          <w:szCs w:val="24"/>
        </w:rPr>
      </w:pPr>
      <w:r w:rsidRPr="00523FE7">
        <w:rPr>
          <w:rFonts w:cs="Times New Roman"/>
          <w:szCs w:val="24"/>
        </w:rPr>
        <w:lastRenderedPageBreak/>
        <w:t xml:space="preserve"> </w:t>
      </w:r>
    </w:p>
    <w:p w14:paraId="2EE7D9D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Syme ML (2014) The evolving concept of older adult sexual behavior and its beneﬁts. Generations 38 35–41  </w:t>
      </w:r>
    </w:p>
    <w:p w14:paraId="0F9D22D1"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1A4D5C42" w14:textId="77777777" w:rsidR="003F1E74" w:rsidRPr="00523FE7" w:rsidRDefault="003F1E74" w:rsidP="003F1E74">
      <w:pPr>
        <w:spacing w:after="160" w:line="259" w:lineRule="auto"/>
        <w:rPr>
          <w:rFonts w:cs="Times New Roman"/>
          <w:szCs w:val="24"/>
        </w:rPr>
      </w:pPr>
      <w:r w:rsidRPr="00523FE7">
        <w:rPr>
          <w:rFonts w:cs="Times New Roman"/>
          <w:szCs w:val="24"/>
        </w:rPr>
        <w:t xml:space="preserve">Træen B, Stigum H (2010) Sexual problems in 18–67year-old Norwegians. </w:t>
      </w:r>
      <w:r>
        <w:rPr>
          <w:rFonts w:cs="Times New Roman"/>
          <w:szCs w:val="24"/>
          <w:shd w:val="clear" w:color="auto" w:fill="FFFFFF"/>
        </w:rPr>
        <w:t>‎Scand J</w:t>
      </w:r>
      <w:r w:rsidRPr="00523FE7">
        <w:rPr>
          <w:rFonts w:cs="Times New Roman"/>
          <w:szCs w:val="24"/>
          <w:shd w:val="clear" w:color="auto" w:fill="FFFFFF"/>
        </w:rPr>
        <w:t xml:space="preserve"> Public Health</w:t>
      </w:r>
      <w:r w:rsidRPr="00523FE7">
        <w:rPr>
          <w:rFonts w:cs="Times New Roman"/>
          <w:szCs w:val="24"/>
        </w:rPr>
        <w:t xml:space="preserve"> 38:445–456  </w:t>
      </w:r>
    </w:p>
    <w:p w14:paraId="24D90986"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354F2057" w14:textId="77777777" w:rsidR="003F1E74" w:rsidRPr="00523FE7" w:rsidRDefault="003F1E74" w:rsidP="003F1E74">
      <w:pPr>
        <w:spacing w:after="160" w:line="259" w:lineRule="auto"/>
        <w:rPr>
          <w:rFonts w:cs="Times New Roman"/>
          <w:szCs w:val="24"/>
        </w:rPr>
      </w:pPr>
      <w:r w:rsidRPr="00523FE7">
        <w:rPr>
          <w:rFonts w:cs="Times New Roman"/>
          <w:szCs w:val="24"/>
        </w:rPr>
        <w:t xml:space="preserve">Træen B, Hald GM, Graham C, Enzlin P, Janssen E, Kvalem IL, Carvalheira, A, Štulhofer A (2017) An overview of the literature on sexuality in older adults (65+) Part 1: Sexual function and its difficulties  </w:t>
      </w:r>
      <w:r>
        <w:rPr>
          <w:rFonts w:cs="Times New Roman"/>
          <w:szCs w:val="24"/>
          <w:shd w:val="clear" w:color="auto" w:fill="FFFFFF"/>
        </w:rPr>
        <w:t>‎Int J Sex</w:t>
      </w:r>
      <w:r w:rsidRPr="00523FE7">
        <w:rPr>
          <w:rFonts w:cs="Times New Roman"/>
          <w:szCs w:val="24"/>
          <w:shd w:val="clear" w:color="auto" w:fill="FFFFFF"/>
        </w:rPr>
        <w:t xml:space="preserve"> Health</w:t>
      </w:r>
      <w:r w:rsidRPr="00523FE7">
        <w:rPr>
          <w:rFonts w:cs="Times New Roman"/>
          <w:szCs w:val="24"/>
        </w:rPr>
        <w:t xml:space="preserve"> 29 1–10  https ://doi  org/10 1080/19317 611 2016 12242 86   </w:t>
      </w:r>
    </w:p>
    <w:p w14:paraId="37986819" w14:textId="77777777" w:rsidR="003F1E74" w:rsidRPr="00523FE7" w:rsidRDefault="003F1E74" w:rsidP="003F1E74">
      <w:pPr>
        <w:spacing w:after="160" w:line="259" w:lineRule="auto"/>
        <w:rPr>
          <w:rFonts w:cs="Times New Roman"/>
          <w:szCs w:val="24"/>
        </w:rPr>
      </w:pPr>
      <w:r w:rsidRPr="00523FE7">
        <w:rPr>
          <w:rFonts w:cs="Times New Roman"/>
          <w:szCs w:val="24"/>
        </w:rPr>
        <w:t xml:space="preserve"> </w:t>
      </w:r>
    </w:p>
    <w:p w14:paraId="6CDE4D4A" w14:textId="77777777" w:rsidR="003F1E74" w:rsidRDefault="003F1E74" w:rsidP="003F1E74">
      <w:pPr>
        <w:spacing w:after="160" w:line="259" w:lineRule="auto"/>
        <w:rPr>
          <w:rFonts w:cs="Times New Roman"/>
          <w:szCs w:val="24"/>
        </w:rPr>
      </w:pPr>
      <w:r w:rsidRPr="00523FE7">
        <w:rPr>
          <w:rFonts w:cs="Times New Roman"/>
          <w:szCs w:val="24"/>
        </w:rPr>
        <w:t xml:space="preserve">Wiederman MW (2005) The gendered nature of sexual scripts. The Family Journal 13(4):496-502  doi:10 1177/1066480705278729 </w:t>
      </w:r>
    </w:p>
    <w:p w14:paraId="6AC797AF" w14:textId="77777777" w:rsidR="00E65317" w:rsidRDefault="00E65317" w:rsidP="003F1E74">
      <w:pPr>
        <w:spacing w:after="160" w:line="259" w:lineRule="auto"/>
        <w:rPr>
          <w:rFonts w:cs="Times New Roman"/>
          <w:szCs w:val="24"/>
        </w:rPr>
        <w:sectPr w:rsidR="00E65317" w:rsidSect="00AA0AD3">
          <w:footerReference w:type="default" r:id="rId10"/>
          <w:pgSz w:w="11906" w:h="16838"/>
          <w:pgMar w:top="1417" w:right="1417" w:bottom="1417" w:left="1417" w:header="708" w:footer="708" w:gutter="0"/>
          <w:cols w:space="708"/>
          <w:docGrid w:linePitch="360"/>
        </w:sectPr>
      </w:pPr>
    </w:p>
    <w:p w14:paraId="0612FB14" w14:textId="77777777" w:rsidR="00E65317" w:rsidRPr="00E65317" w:rsidRDefault="00E65317" w:rsidP="00E65317">
      <w:pPr>
        <w:spacing w:after="160" w:line="259" w:lineRule="auto"/>
        <w:rPr>
          <w:rFonts w:cs="Times New Roman"/>
          <w:szCs w:val="24"/>
          <w:lang w:val="en-US"/>
        </w:rPr>
      </w:pPr>
      <w:bookmarkStart w:id="0" w:name="_GoBack"/>
      <w:r w:rsidRPr="00E65317">
        <w:rPr>
          <w:rFonts w:cs="Times New Roman"/>
          <w:szCs w:val="24"/>
          <w:lang w:val="en-US"/>
        </w:rPr>
        <w:lastRenderedPageBreak/>
        <w:t>Table 1. Basic Sociodemographic Characteristics of the Sample by Country</w:t>
      </w:r>
    </w:p>
    <w:bookmarkEnd w:id="0"/>
    <w:p w14:paraId="2136F453" w14:textId="77777777" w:rsidR="00E65317" w:rsidRPr="00E65317" w:rsidRDefault="00E65317" w:rsidP="00E65317">
      <w:pPr>
        <w:spacing w:after="160" w:line="259" w:lineRule="auto"/>
        <w:rPr>
          <w:rFonts w:cs="Times New Roman"/>
          <w:szCs w:val="24"/>
          <w:lang w:val="en-US"/>
        </w:rPr>
      </w:pPr>
    </w:p>
    <w:tbl>
      <w:tblPr>
        <w:tblStyle w:val="TableGrid"/>
        <w:tblW w:w="14450"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434"/>
        <w:gridCol w:w="1434"/>
        <w:gridCol w:w="1434"/>
        <w:gridCol w:w="1434"/>
        <w:gridCol w:w="1352"/>
        <w:gridCol w:w="82"/>
        <w:gridCol w:w="1434"/>
        <w:gridCol w:w="1434"/>
        <w:gridCol w:w="1435"/>
      </w:tblGrid>
      <w:tr w:rsidR="00E65317" w:rsidRPr="00E65317" w14:paraId="6D699A1A" w14:textId="77777777" w:rsidTr="00752310">
        <w:tc>
          <w:tcPr>
            <w:tcW w:w="2977" w:type="dxa"/>
            <w:tcBorders>
              <w:top w:val="single" w:sz="4" w:space="0" w:color="auto"/>
            </w:tcBorders>
            <w:shd w:val="clear" w:color="auto" w:fill="auto"/>
          </w:tcPr>
          <w:p w14:paraId="5447E79F" w14:textId="77777777" w:rsidR="00E65317" w:rsidRPr="00E65317" w:rsidRDefault="00E65317" w:rsidP="00E65317">
            <w:pPr>
              <w:spacing w:after="160" w:line="259" w:lineRule="auto"/>
              <w:rPr>
                <w:rFonts w:cs="Times New Roman"/>
                <w:szCs w:val="24"/>
                <w:lang w:val="en-GB"/>
              </w:rPr>
            </w:pPr>
          </w:p>
        </w:tc>
        <w:tc>
          <w:tcPr>
            <w:tcW w:w="2868" w:type="dxa"/>
            <w:gridSpan w:val="2"/>
            <w:tcBorders>
              <w:top w:val="single" w:sz="4" w:space="0" w:color="auto"/>
              <w:bottom w:val="nil"/>
            </w:tcBorders>
            <w:shd w:val="clear" w:color="auto" w:fill="auto"/>
          </w:tcPr>
          <w:p w14:paraId="658DA5F0"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Norway</w:t>
            </w:r>
          </w:p>
        </w:tc>
        <w:tc>
          <w:tcPr>
            <w:tcW w:w="2868" w:type="dxa"/>
            <w:gridSpan w:val="2"/>
            <w:tcBorders>
              <w:top w:val="single" w:sz="4" w:space="0" w:color="auto"/>
              <w:bottom w:val="nil"/>
            </w:tcBorders>
            <w:shd w:val="clear" w:color="auto" w:fill="auto"/>
          </w:tcPr>
          <w:p w14:paraId="0623C69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Denmark</w:t>
            </w:r>
          </w:p>
        </w:tc>
        <w:tc>
          <w:tcPr>
            <w:tcW w:w="2868" w:type="dxa"/>
            <w:gridSpan w:val="3"/>
            <w:tcBorders>
              <w:top w:val="single" w:sz="4" w:space="0" w:color="auto"/>
              <w:bottom w:val="nil"/>
            </w:tcBorders>
            <w:shd w:val="clear" w:color="auto" w:fill="auto"/>
          </w:tcPr>
          <w:p w14:paraId="2586B05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Belgium</w:t>
            </w:r>
          </w:p>
        </w:tc>
        <w:tc>
          <w:tcPr>
            <w:tcW w:w="2869" w:type="dxa"/>
            <w:gridSpan w:val="2"/>
            <w:tcBorders>
              <w:top w:val="single" w:sz="4" w:space="0" w:color="auto"/>
              <w:bottom w:val="nil"/>
            </w:tcBorders>
            <w:shd w:val="clear" w:color="auto" w:fill="auto"/>
          </w:tcPr>
          <w:p w14:paraId="3B274AB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Portugal</w:t>
            </w:r>
          </w:p>
        </w:tc>
      </w:tr>
      <w:tr w:rsidR="00E65317" w:rsidRPr="00E65317" w14:paraId="6D71C4CF" w14:textId="77777777" w:rsidTr="00752310">
        <w:tc>
          <w:tcPr>
            <w:tcW w:w="2977" w:type="dxa"/>
            <w:tcBorders>
              <w:bottom w:val="nil"/>
            </w:tcBorders>
            <w:shd w:val="clear" w:color="auto" w:fill="auto"/>
          </w:tcPr>
          <w:p w14:paraId="0749D8ED"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3713AAC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 xml:space="preserve">Men </w:t>
            </w:r>
          </w:p>
        </w:tc>
        <w:tc>
          <w:tcPr>
            <w:tcW w:w="1434" w:type="dxa"/>
            <w:tcBorders>
              <w:top w:val="nil"/>
              <w:bottom w:val="nil"/>
            </w:tcBorders>
            <w:shd w:val="clear" w:color="auto" w:fill="auto"/>
          </w:tcPr>
          <w:p w14:paraId="088B745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 xml:space="preserve">Women </w:t>
            </w:r>
          </w:p>
        </w:tc>
        <w:tc>
          <w:tcPr>
            <w:tcW w:w="1434" w:type="dxa"/>
            <w:tcBorders>
              <w:top w:val="nil"/>
              <w:bottom w:val="nil"/>
            </w:tcBorders>
            <w:shd w:val="clear" w:color="auto" w:fill="auto"/>
          </w:tcPr>
          <w:p w14:paraId="68FB754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Men</w:t>
            </w:r>
          </w:p>
        </w:tc>
        <w:tc>
          <w:tcPr>
            <w:tcW w:w="1434" w:type="dxa"/>
            <w:tcBorders>
              <w:top w:val="nil"/>
              <w:bottom w:val="nil"/>
            </w:tcBorders>
            <w:shd w:val="clear" w:color="auto" w:fill="auto"/>
          </w:tcPr>
          <w:p w14:paraId="11CF747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Women</w:t>
            </w:r>
          </w:p>
        </w:tc>
        <w:tc>
          <w:tcPr>
            <w:tcW w:w="1434" w:type="dxa"/>
            <w:gridSpan w:val="2"/>
            <w:tcBorders>
              <w:top w:val="nil"/>
              <w:bottom w:val="nil"/>
            </w:tcBorders>
            <w:shd w:val="clear" w:color="auto" w:fill="auto"/>
          </w:tcPr>
          <w:p w14:paraId="5EB4F31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Men</w:t>
            </w:r>
          </w:p>
        </w:tc>
        <w:tc>
          <w:tcPr>
            <w:tcW w:w="1434" w:type="dxa"/>
            <w:tcBorders>
              <w:top w:val="nil"/>
              <w:bottom w:val="nil"/>
            </w:tcBorders>
            <w:shd w:val="clear" w:color="auto" w:fill="auto"/>
          </w:tcPr>
          <w:p w14:paraId="5EDEBA1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Women</w:t>
            </w:r>
          </w:p>
        </w:tc>
        <w:tc>
          <w:tcPr>
            <w:tcW w:w="1434" w:type="dxa"/>
            <w:tcBorders>
              <w:top w:val="nil"/>
              <w:bottom w:val="nil"/>
            </w:tcBorders>
            <w:shd w:val="clear" w:color="auto" w:fill="auto"/>
          </w:tcPr>
          <w:p w14:paraId="219593B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Men</w:t>
            </w:r>
          </w:p>
        </w:tc>
        <w:tc>
          <w:tcPr>
            <w:tcW w:w="1435" w:type="dxa"/>
            <w:tcBorders>
              <w:top w:val="nil"/>
              <w:bottom w:val="nil"/>
            </w:tcBorders>
            <w:shd w:val="clear" w:color="auto" w:fill="auto"/>
          </w:tcPr>
          <w:p w14:paraId="0250B66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Women</w:t>
            </w:r>
          </w:p>
        </w:tc>
      </w:tr>
      <w:tr w:rsidR="00E65317" w:rsidRPr="00E65317" w14:paraId="2EF68C7B" w14:textId="77777777" w:rsidTr="00752310">
        <w:tc>
          <w:tcPr>
            <w:tcW w:w="2977" w:type="dxa"/>
            <w:tcBorders>
              <w:top w:val="nil"/>
              <w:bottom w:val="single" w:sz="4" w:space="0" w:color="auto"/>
            </w:tcBorders>
            <w:shd w:val="clear" w:color="auto" w:fill="auto"/>
          </w:tcPr>
          <w:p w14:paraId="40983908" w14:textId="77777777" w:rsidR="00E65317" w:rsidRPr="00E65317" w:rsidRDefault="00E65317" w:rsidP="00E65317">
            <w:pPr>
              <w:spacing w:after="160" w:line="259" w:lineRule="auto"/>
              <w:rPr>
                <w:rFonts w:cs="Times New Roman"/>
                <w:szCs w:val="24"/>
                <w:lang w:val="en-GB"/>
              </w:rPr>
            </w:pPr>
          </w:p>
        </w:tc>
        <w:tc>
          <w:tcPr>
            <w:tcW w:w="2868" w:type="dxa"/>
            <w:gridSpan w:val="2"/>
            <w:tcBorders>
              <w:top w:val="nil"/>
              <w:bottom w:val="single" w:sz="4" w:space="0" w:color="auto"/>
            </w:tcBorders>
            <w:shd w:val="clear" w:color="auto" w:fill="auto"/>
          </w:tcPr>
          <w:p w14:paraId="2AD0ADD1" w14:textId="77777777" w:rsidR="00E65317" w:rsidRPr="00E65317" w:rsidRDefault="00E65317" w:rsidP="00E65317">
            <w:pPr>
              <w:spacing w:after="160" w:line="259" w:lineRule="auto"/>
              <w:rPr>
                <w:rFonts w:cs="Times New Roman"/>
                <w:szCs w:val="24"/>
                <w:lang w:val="en-US"/>
              </w:rPr>
            </w:pPr>
            <w:r w:rsidRPr="00E65317">
              <w:rPr>
                <w:rFonts w:cs="Times New Roman"/>
                <w:i/>
                <w:szCs w:val="24"/>
                <w:lang w:val="en-US"/>
              </w:rPr>
              <w:t>n</w:t>
            </w:r>
            <w:r w:rsidRPr="00E65317">
              <w:rPr>
                <w:rFonts w:cs="Times New Roman"/>
                <w:szCs w:val="24"/>
                <w:lang w:val="en-US"/>
              </w:rPr>
              <w:t xml:space="preserve"> (%)</w:t>
            </w:r>
          </w:p>
        </w:tc>
        <w:tc>
          <w:tcPr>
            <w:tcW w:w="2868" w:type="dxa"/>
            <w:gridSpan w:val="2"/>
            <w:tcBorders>
              <w:top w:val="nil"/>
              <w:bottom w:val="single" w:sz="4" w:space="0" w:color="auto"/>
            </w:tcBorders>
            <w:shd w:val="clear" w:color="auto" w:fill="auto"/>
          </w:tcPr>
          <w:p w14:paraId="22A8F076" w14:textId="77777777" w:rsidR="00E65317" w:rsidRPr="00E65317" w:rsidRDefault="00E65317" w:rsidP="00E65317">
            <w:pPr>
              <w:spacing w:after="160" w:line="259" w:lineRule="auto"/>
              <w:rPr>
                <w:rFonts w:cs="Times New Roman"/>
                <w:szCs w:val="24"/>
                <w:lang w:val="en-US"/>
              </w:rPr>
            </w:pPr>
            <w:r w:rsidRPr="00E65317">
              <w:rPr>
                <w:rFonts w:cs="Times New Roman"/>
                <w:i/>
                <w:szCs w:val="24"/>
                <w:lang w:val="en-US"/>
              </w:rPr>
              <w:t>n</w:t>
            </w:r>
            <w:r w:rsidRPr="00E65317">
              <w:rPr>
                <w:rFonts w:cs="Times New Roman"/>
                <w:szCs w:val="24"/>
                <w:lang w:val="en-US"/>
              </w:rPr>
              <w:t xml:space="preserve"> (%)</w:t>
            </w:r>
          </w:p>
        </w:tc>
        <w:tc>
          <w:tcPr>
            <w:tcW w:w="2868" w:type="dxa"/>
            <w:gridSpan w:val="3"/>
            <w:tcBorders>
              <w:top w:val="nil"/>
              <w:bottom w:val="single" w:sz="4" w:space="0" w:color="auto"/>
            </w:tcBorders>
            <w:shd w:val="clear" w:color="auto" w:fill="auto"/>
          </w:tcPr>
          <w:p w14:paraId="461DA7EC" w14:textId="77777777" w:rsidR="00E65317" w:rsidRPr="00E65317" w:rsidRDefault="00E65317" w:rsidP="00E65317">
            <w:pPr>
              <w:spacing w:after="160" w:line="259" w:lineRule="auto"/>
              <w:rPr>
                <w:rFonts w:cs="Times New Roman"/>
                <w:szCs w:val="24"/>
                <w:lang w:val="en-US"/>
              </w:rPr>
            </w:pPr>
            <w:r w:rsidRPr="00E65317">
              <w:rPr>
                <w:rFonts w:cs="Times New Roman"/>
                <w:i/>
                <w:szCs w:val="24"/>
                <w:lang w:val="en-US"/>
              </w:rPr>
              <w:t>n</w:t>
            </w:r>
            <w:r w:rsidRPr="00E65317">
              <w:rPr>
                <w:rFonts w:cs="Times New Roman"/>
                <w:szCs w:val="24"/>
                <w:lang w:val="en-US"/>
              </w:rPr>
              <w:t xml:space="preserve"> (%)</w:t>
            </w:r>
          </w:p>
        </w:tc>
        <w:tc>
          <w:tcPr>
            <w:tcW w:w="2869" w:type="dxa"/>
            <w:gridSpan w:val="2"/>
            <w:tcBorders>
              <w:top w:val="nil"/>
              <w:bottom w:val="single" w:sz="4" w:space="0" w:color="auto"/>
            </w:tcBorders>
            <w:shd w:val="clear" w:color="auto" w:fill="auto"/>
          </w:tcPr>
          <w:p w14:paraId="7ABFE664" w14:textId="77777777" w:rsidR="00E65317" w:rsidRPr="00E65317" w:rsidRDefault="00E65317" w:rsidP="00E65317">
            <w:pPr>
              <w:spacing w:after="160" w:line="259" w:lineRule="auto"/>
              <w:rPr>
                <w:rFonts w:cs="Times New Roman"/>
                <w:szCs w:val="24"/>
                <w:lang w:val="en-US"/>
              </w:rPr>
            </w:pPr>
            <w:r w:rsidRPr="00E65317">
              <w:rPr>
                <w:rFonts w:cs="Times New Roman"/>
                <w:i/>
                <w:szCs w:val="24"/>
                <w:lang w:val="en-US"/>
              </w:rPr>
              <w:t>n</w:t>
            </w:r>
            <w:r w:rsidRPr="00E65317">
              <w:rPr>
                <w:rFonts w:cs="Times New Roman"/>
                <w:szCs w:val="24"/>
                <w:lang w:val="en-US"/>
              </w:rPr>
              <w:t xml:space="preserve"> (%)</w:t>
            </w:r>
          </w:p>
        </w:tc>
      </w:tr>
      <w:tr w:rsidR="00E65317" w:rsidRPr="00E65317" w14:paraId="3B751B9C" w14:textId="77777777" w:rsidTr="00752310">
        <w:trPr>
          <w:trHeight w:val="147"/>
        </w:trPr>
        <w:tc>
          <w:tcPr>
            <w:tcW w:w="2977" w:type="dxa"/>
            <w:tcBorders>
              <w:top w:val="single" w:sz="4" w:space="0" w:color="auto"/>
              <w:bottom w:val="nil"/>
            </w:tcBorders>
            <w:shd w:val="clear" w:color="auto" w:fill="auto"/>
          </w:tcPr>
          <w:p w14:paraId="437811C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Age</w:t>
            </w:r>
          </w:p>
        </w:tc>
        <w:tc>
          <w:tcPr>
            <w:tcW w:w="1434" w:type="dxa"/>
            <w:tcBorders>
              <w:top w:val="single" w:sz="4" w:space="0" w:color="auto"/>
              <w:bottom w:val="nil"/>
            </w:tcBorders>
            <w:shd w:val="clear" w:color="auto" w:fill="auto"/>
            <w:vAlign w:val="center"/>
          </w:tcPr>
          <w:p w14:paraId="704F5AAE" w14:textId="77777777" w:rsidR="00E65317" w:rsidRPr="00E65317" w:rsidRDefault="00E65317" w:rsidP="00E65317">
            <w:pPr>
              <w:spacing w:after="160" w:line="259" w:lineRule="auto"/>
              <w:rPr>
                <w:rFonts w:cs="Times New Roman"/>
                <w:szCs w:val="24"/>
                <w:lang w:val="en-US"/>
              </w:rPr>
            </w:pPr>
          </w:p>
        </w:tc>
        <w:tc>
          <w:tcPr>
            <w:tcW w:w="1434" w:type="dxa"/>
            <w:tcBorders>
              <w:top w:val="single" w:sz="4" w:space="0" w:color="auto"/>
              <w:bottom w:val="nil"/>
            </w:tcBorders>
            <w:shd w:val="clear" w:color="auto" w:fill="auto"/>
          </w:tcPr>
          <w:p w14:paraId="2F56BF6C" w14:textId="77777777" w:rsidR="00E65317" w:rsidRPr="00E65317" w:rsidRDefault="00E65317" w:rsidP="00E65317">
            <w:pPr>
              <w:spacing w:after="160" w:line="259" w:lineRule="auto"/>
              <w:rPr>
                <w:rFonts w:cs="Times New Roman"/>
                <w:szCs w:val="24"/>
                <w:lang w:val="en-GB"/>
              </w:rPr>
            </w:pPr>
          </w:p>
        </w:tc>
        <w:tc>
          <w:tcPr>
            <w:tcW w:w="1434" w:type="dxa"/>
            <w:tcBorders>
              <w:top w:val="single" w:sz="4" w:space="0" w:color="auto"/>
              <w:bottom w:val="nil"/>
            </w:tcBorders>
            <w:shd w:val="clear" w:color="auto" w:fill="auto"/>
          </w:tcPr>
          <w:p w14:paraId="2DFA4F9A" w14:textId="77777777" w:rsidR="00E65317" w:rsidRPr="00E65317" w:rsidRDefault="00E65317" w:rsidP="00E65317">
            <w:pPr>
              <w:spacing w:after="160" w:line="259" w:lineRule="auto"/>
              <w:rPr>
                <w:rFonts w:cs="Times New Roman"/>
                <w:szCs w:val="24"/>
                <w:lang w:val="en-GB"/>
              </w:rPr>
            </w:pPr>
          </w:p>
        </w:tc>
        <w:tc>
          <w:tcPr>
            <w:tcW w:w="1434" w:type="dxa"/>
            <w:tcBorders>
              <w:top w:val="single" w:sz="4" w:space="0" w:color="auto"/>
              <w:bottom w:val="nil"/>
            </w:tcBorders>
            <w:shd w:val="clear" w:color="auto" w:fill="auto"/>
          </w:tcPr>
          <w:p w14:paraId="76CC97B7" w14:textId="77777777" w:rsidR="00E65317" w:rsidRPr="00E65317" w:rsidRDefault="00E65317" w:rsidP="00E65317">
            <w:pPr>
              <w:spacing w:after="160" w:line="259" w:lineRule="auto"/>
              <w:rPr>
                <w:rFonts w:cs="Times New Roman"/>
                <w:szCs w:val="24"/>
                <w:lang w:val="en-GB"/>
              </w:rPr>
            </w:pPr>
          </w:p>
        </w:tc>
        <w:tc>
          <w:tcPr>
            <w:tcW w:w="1434" w:type="dxa"/>
            <w:gridSpan w:val="2"/>
            <w:tcBorders>
              <w:top w:val="single" w:sz="4" w:space="0" w:color="auto"/>
              <w:bottom w:val="nil"/>
            </w:tcBorders>
            <w:shd w:val="clear" w:color="auto" w:fill="auto"/>
          </w:tcPr>
          <w:p w14:paraId="21E54058" w14:textId="77777777" w:rsidR="00E65317" w:rsidRPr="00E65317" w:rsidRDefault="00E65317" w:rsidP="00E65317">
            <w:pPr>
              <w:spacing w:after="160" w:line="259" w:lineRule="auto"/>
              <w:rPr>
                <w:rFonts w:cs="Times New Roman"/>
                <w:szCs w:val="24"/>
                <w:lang w:val="en-GB"/>
              </w:rPr>
            </w:pPr>
          </w:p>
        </w:tc>
        <w:tc>
          <w:tcPr>
            <w:tcW w:w="1434" w:type="dxa"/>
            <w:tcBorders>
              <w:top w:val="single" w:sz="4" w:space="0" w:color="auto"/>
              <w:bottom w:val="nil"/>
            </w:tcBorders>
            <w:shd w:val="clear" w:color="auto" w:fill="auto"/>
          </w:tcPr>
          <w:p w14:paraId="72E222FE" w14:textId="77777777" w:rsidR="00E65317" w:rsidRPr="00E65317" w:rsidRDefault="00E65317" w:rsidP="00E65317">
            <w:pPr>
              <w:spacing w:after="160" w:line="259" w:lineRule="auto"/>
              <w:rPr>
                <w:rFonts w:cs="Times New Roman"/>
                <w:szCs w:val="24"/>
                <w:lang w:val="en-GB"/>
              </w:rPr>
            </w:pPr>
          </w:p>
        </w:tc>
        <w:tc>
          <w:tcPr>
            <w:tcW w:w="1434" w:type="dxa"/>
            <w:tcBorders>
              <w:top w:val="single" w:sz="4" w:space="0" w:color="auto"/>
              <w:bottom w:val="nil"/>
            </w:tcBorders>
            <w:shd w:val="clear" w:color="auto" w:fill="auto"/>
          </w:tcPr>
          <w:p w14:paraId="68655EDC" w14:textId="77777777" w:rsidR="00E65317" w:rsidRPr="00E65317" w:rsidRDefault="00E65317" w:rsidP="00E65317">
            <w:pPr>
              <w:spacing w:after="160" w:line="259" w:lineRule="auto"/>
              <w:rPr>
                <w:rFonts w:cs="Times New Roman"/>
                <w:szCs w:val="24"/>
                <w:lang w:val="en-GB"/>
              </w:rPr>
            </w:pPr>
          </w:p>
        </w:tc>
        <w:tc>
          <w:tcPr>
            <w:tcW w:w="1435" w:type="dxa"/>
            <w:tcBorders>
              <w:top w:val="single" w:sz="4" w:space="0" w:color="auto"/>
              <w:bottom w:val="nil"/>
            </w:tcBorders>
            <w:shd w:val="clear" w:color="auto" w:fill="auto"/>
          </w:tcPr>
          <w:p w14:paraId="13F5100A" w14:textId="77777777" w:rsidR="00E65317" w:rsidRPr="00E65317" w:rsidRDefault="00E65317" w:rsidP="00E65317">
            <w:pPr>
              <w:spacing w:after="160" w:line="259" w:lineRule="auto"/>
              <w:rPr>
                <w:rFonts w:cs="Times New Roman"/>
                <w:szCs w:val="24"/>
                <w:lang w:val="en-GB"/>
              </w:rPr>
            </w:pPr>
          </w:p>
        </w:tc>
      </w:tr>
      <w:tr w:rsidR="00E65317" w:rsidRPr="00E65317" w14:paraId="36EC8DC9" w14:textId="77777777" w:rsidTr="00752310">
        <w:tc>
          <w:tcPr>
            <w:tcW w:w="2977" w:type="dxa"/>
            <w:tcBorders>
              <w:top w:val="nil"/>
              <w:bottom w:val="nil"/>
            </w:tcBorders>
            <w:shd w:val="clear" w:color="auto" w:fill="auto"/>
          </w:tcPr>
          <w:p w14:paraId="16B1108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60-65</w:t>
            </w:r>
          </w:p>
        </w:tc>
        <w:tc>
          <w:tcPr>
            <w:tcW w:w="1434" w:type="dxa"/>
            <w:tcBorders>
              <w:top w:val="nil"/>
              <w:bottom w:val="nil"/>
            </w:tcBorders>
            <w:shd w:val="clear" w:color="auto" w:fill="auto"/>
          </w:tcPr>
          <w:p w14:paraId="21D4EC1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227 (35.8)</w:t>
            </w:r>
          </w:p>
        </w:tc>
        <w:tc>
          <w:tcPr>
            <w:tcW w:w="1434" w:type="dxa"/>
            <w:tcBorders>
              <w:top w:val="nil"/>
              <w:bottom w:val="nil"/>
            </w:tcBorders>
            <w:shd w:val="clear" w:color="auto" w:fill="auto"/>
          </w:tcPr>
          <w:p w14:paraId="00729D7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226 (35.5)</w:t>
            </w:r>
          </w:p>
        </w:tc>
        <w:tc>
          <w:tcPr>
            <w:tcW w:w="1434" w:type="dxa"/>
            <w:tcBorders>
              <w:top w:val="nil"/>
              <w:bottom w:val="nil"/>
            </w:tcBorders>
            <w:shd w:val="clear" w:color="auto" w:fill="auto"/>
          </w:tcPr>
          <w:p w14:paraId="480F363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142 (27.1)</w:t>
            </w:r>
          </w:p>
        </w:tc>
        <w:tc>
          <w:tcPr>
            <w:tcW w:w="1434" w:type="dxa"/>
            <w:tcBorders>
              <w:top w:val="nil"/>
              <w:bottom w:val="nil"/>
            </w:tcBorders>
            <w:shd w:val="clear" w:color="auto" w:fill="auto"/>
          </w:tcPr>
          <w:p w14:paraId="0A9FDC5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147 (28.2)</w:t>
            </w:r>
          </w:p>
        </w:tc>
        <w:tc>
          <w:tcPr>
            <w:tcW w:w="1434" w:type="dxa"/>
            <w:gridSpan w:val="2"/>
            <w:tcBorders>
              <w:top w:val="nil"/>
              <w:bottom w:val="nil"/>
            </w:tcBorders>
            <w:shd w:val="clear" w:color="auto" w:fill="auto"/>
          </w:tcPr>
          <w:p w14:paraId="31D493F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139 (28.6)</w:t>
            </w:r>
          </w:p>
        </w:tc>
        <w:tc>
          <w:tcPr>
            <w:tcW w:w="1434" w:type="dxa"/>
            <w:tcBorders>
              <w:top w:val="nil"/>
              <w:bottom w:val="nil"/>
            </w:tcBorders>
            <w:shd w:val="clear" w:color="auto" w:fill="auto"/>
          </w:tcPr>
          <w:p w14:paraId="433CC0C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193 (38.2)</w:t>
            </w:r>
          </w:p>
        </w:tc>
        <w:tc>
          <w:tcPr>
            <w:tcW w:w="1434" w:type="dxa"/>
            <w:tcBorders>
              <w:top w:val="nil"/>
              <w:bottom w:val="nil"/>
            </w:tcBorders>
            <w:shd w:val="clear" w:color="auto" w:fill="auto"/>
          </w:tcPr>
          <w:p w14:paraId="0CBC2A3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84 (36.3)</w:t>
            </w:r>
          </w:p>
        </w:tc>
        <w:tc>
          <w:tcPr>
            <w:tcW w:w="1435" w:type="dxa"/>
            <w:tcBorders>
              <w:top w:val="nil"/>
              <w:bottom w:val="nil"/>
            </w:tcBorders>
            <w:shd w:val="clear" w:color="auto" w:fill="auto"/>
          </w:tcPr>
          <w:p w14:paraId="29AB97D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96 (34.7)</w:t>
            </w:r>
          </w:p>
        </w:tc>
      </w:tr>
      <w:tr w:rsidR="00E65317" w:rsidRPr="00E65317" w14:paraId="7DAEA24A" w14:textId="77777777" w:rsidTr="00752310">
        <w:tc>
          <w:tcPr>
            <w:tcW w:w="2977" w:type="dxa"/>
            <w:tcBorders>
              <w:top w:val="nil"/>
              <w:bottom w:val="nil"/>
            </w:tcBorders>
            <w:shd w:val="clear" w:color="auto" w:fill="auto"/>
          </w:tcPr>
          <w:p w14:paraId="2C0835D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66-70</w:t>
            </w:r>
          </w:p>
        </w:tc>
        <w:tc>
          <w:tcPr>
            <w:tcW w:w="1434" w:type="dxa"/>
            <w:tcBorders>
              <w:top w:val="nil"/>
              <w:bottom w:val="nil"/>
            </w:tcBorders>
            <w:shd w:val="clear" w:color="auto" w:fill="auto"/>
          </w:tcPr>
          <w:p w14:paraId="5205EFB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220 (34.8)</w:t>
            </w:r>
          </w:p>
        </w:tc>
        <w:tc>
          <w:tcPr>
            <w:tcW w:w="1434" w:type="dxa"/>
            <w:tcBorders>
              <w:top w:val="nil"/>
              <w:bottom w:val="nil"/>
            </w:tcBorders>
            <w:shd w:val="clear" w:color="auto" w:fill="auto"/>
          </w:tcPr>
          <w:p w14:paraId="48CB0AD0"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216 (34.0)</w:t>
            </w:r>
          </w:p>
        </w:tc>
        <w:tc>
          <w:tcPr>
            <w:tcW w:w="1434" w:type="dxa"/>
            <w:tcBorders>
              <w:top w:val="nil"/>
              <w:bottom w:val="nil"/>
            </w:tcBorders>
            <w:shd w:val="clear" w:color="auto" w:fill="auto"/>
          </w:tcPr>
          <w:p w14:paraId="306AAFA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166 (31.7)</w:t>
            </w:r>
          </w:p>
        </w:tc>
        <w:tc>
          <w:tcPr>
            <w:tcW w:w="1434" w:type="dxa"/>
            <w:tcBorders>
              <w:top w:val="nil"/>
              <w:bottom w:val="nil"/>
            </w:tcBorders>
            <w:shd w:val="clear" w:color="auto" w:fill="auto"/>
          </w:tcPr>
          <w:p w14:paraId="07E11DDE"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166 (31.8)</w:t>
            </w:r>
          </w:p>
        </w:tc>
        <w:tc>
          <w:tcPr>
            <w:tcW w:w="1434" w:type="dxa"/>
            <w:gridSpan w:val="2"/>
            <w:tcBorders>
              <w:top w:val="nil"/>
              <w:bottom w:val="nil"/>
            </w:tcBorders>
            <w:shd w:val="clear" w:color="auto" w:fill="auto"/>
          </w:tcPr>
          <w:p w14:paraId="624387B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182 (37.5)</w:t>
            </w:r>
          </w:p>
        </w:tc>
        <w:tc>
          <w:tcPr>
            <w:tcW w:w="1434" w:type="dxa"/>
            <w:tcBorders>
              <w:top w:val="nil"/>
              <w:bottom w:val="nil"/>
            </w:tcBorders>
            <w:shd w:val="clear" w:color="auto" w:fill="auto"/>
          </w:tcPr>
          <w:p w14:paraId="53BA6EE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170 (33.7)</w:t>
            </w:r>
          </w:p>
        </w:tc>
        <w:tc>
          <w:tcPr>
            <w:tcW w:w="1434" w:type="dxa"/>
            <w:tcBorders>
              <w:top w:val="nil"/>
              <w:bottom w:val="nil"/>
            </w:tcBorders>
            <w:shd w:val="clear" w:color="auto" w:fill="auto"/>
          </w:tcPr>
          <w:p w14:paraId="323DF561"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81 (35.0)</w:t>
            </w:r>
          </w:p>
        </w:tc>
        <w:tc>
          <w:tcPr>
            <w:tcW w:w="1435" w:type="dxa"/>
            <w:tcBorders>
              <w:top w:val="nil"/>
              <w:bottom w:val="nil"/>
            </w:tcBorders>
            <w:shd w:val="clear" w:color="auto" w:fill="auto"/>
          </w:tcPr>
          <w:p w14:paraId="0DFB531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100 (36.0)</w:t>
            </w:r>
          </w:p>
        </w:tc>
      </w:tr>
      <w:tr w:rsidR="00E65317" w:rsidRPr="00E65317" w14:paraId="2FC8B318" w14:textId="77777777" w:rsidTr="00752310">
        <w:tc>
          <w:tcPr>
            <w:tcW w:w="2977" w:type="dxa"/>
            <w:tcBorders>
              <w:top w:val="nil"/>
              <w:bottom w:val="nil"/>
            </w:tcBorders>
            <w:shd w:val="clear" w:color="auto" w:fill="auto"/>
          </w:tcPr>
          <w:p w14:paraId="2F94FF6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71-75</w:t>
            </w:r>
          </w:p>
        </w:tc>
        <w:tc>
          <w:tcPr>
            <w:tcW w:w="1434" w:type="dxa"/>
            <w:tcBorders>
              <w:top w:val="nil"/>
              <w:bottom w:val="nil"/>
            </w:tcBorders>
            <w:shd w:val="clear" w:color="auto" w:fill="auto"/>
          </w:tcPr>
          <w:p w14:paraId="0216B21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187 (29.5)</w:t>
            </w:r>
          </w:p>
        </w:tc>
        <w:tc>
          <w:tcPr>
            <w:tcW w:w="1434" w:type="dxa"/>
            <w:tcBorders>
              <w:top w:val="nil"/>
              <w:bottom w:val="nil"/>
            </w:tcBorders>
            <w:shd w:val="clear" w:color="auto" w:fill="auto"/>
          </w:tcPr>
          <w:p w14:paraId="3BBBD60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194 (30.5)</w:t>
            </w:r>
          </w:p>
        </w:tc>
        <w:tc>
          <w:tcPr>
            <w:tcW w:w="1434" w:type="dxa"/>
            <w:tcBorders>
              <w:top w:val="nil"/>
              <w:bottom w:val="nil"/>
            </w:tcBorders>
            <w:shd w:val="clear" w:color="auto" w:fill="auto"/>
          </w:tcPr>
          <w:p w14:paraId="300DCB8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215 (41.1)</w:t>
            </w:r>
          </w:p>
        </w:tc>
        <w:tc>
          <w:tcPr>
            <w:tcW w:w="1434" w:type="dxa"/>
            <w:tcBorders>
              <w:top w:val="nil"/>
              <w:bottom w:val="nil"/>
            </w:tcBorders>
            <w:shd w:val="clear" w:color="auto" w:fill="auto"/>
          </w:tcPr>
          <w:p w14:paraId="1C46628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209 (40.1)</w:t>
            </w:r>
          </w:p>
        </w:tc>
        <w:tc>
          <w:tcPr>
            <w:tcW w:w="1434" w:type="dxa"/>
            <w:gridSpan w:val="2"/>
            <w:tcBorders>
              <w:top w:val="nil"/>
              <w:bottom w:val="nil"/>
            </w:tcBorders>
            <w:shd w:val="clear" w:color="auto" w:fill="auto"/>
          </w:tcPr>
          <w:p w14:paraId="533F608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165 (33.9)</w:t>
            </w:r>
          </w:p>
        </w:tc>
        <w:tc>
          <w:tcPr>
            <w:tcW w:w="1434" w:type="dxa"/>
            <w:tcBorders>
              <w:top w:val="nil"/>
              <w:bottom w:val="nil"/>
            </w:tcBorders>
            <w:shd w:val="clear" w:color="auto" w:fill="auto"/>
          </w:tcPr>
          <w:p w14:paraId="4167532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142 (28.1)</w:t>
            </w:r>
          </w:p>
        </w:tc>
        <w:tc>
          <w:tcPr>
            <w:tcW w:w="1434" w:type="dxa"/>
            <w:tcBorders>
              <w:top w:val="nil"/>
              <w:bottom w:val="nil"/>
            </w:tcBorders>
            <w:shd w:val="clear" w:color="auto" w:fill="auto"/>
          </w:tcPr>
          <w:p w14:paraId="33ED711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67 (28.8)</w:t>
            </w:r>
          </w:p>
        </w:tc>
        <w:tc>
          <w:tcPr>
            <w:tcW w:w="1435" w:type="dxa"/>
            <w:tcBorders>
              <w:top w:val="nil"/>
              <w:bottom w:val="nil"/>
            </w:tcBorders>
            <w:shd w:val="clear" w:color="auto" w:fill="auto"/>
          </w:tcPr>
          <w:p w14:paraId="371806C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81 (29.3)</w:t>
            </w:r>
          </w:p>
        </w:tc>
      </w:tr>
      <w:tr w:rsidR="00E65317" w:rsidRPr="00E65317" w14:paraId="2E63C76B" w14:textId="77777777" w:rsidTr="00752310">
        <w:trPr>
          <w:trHeight w:val="407"/>
        </w:trPr>
        <w:tc>
          <w:tcPr>
            <w:tcW w:w="2977" w:type="dxa"/>
            <w:tcBorders>
              <w:top w:val="nil"/>
              <w:bottom w:val="nil"/>
            </w:tcBorders>
            <w:shd w:val="clear" w:color="auto" w:fill="auto"/>
          </w:tcPr>
          <w:p w14:paraId="418B7F6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Education</w:t>
            </w:r>
          </w:p>
        </w:tc>
        <w:tc>
          <w:tcPr>
            <w:tcW w:w="1434" w:type="dxa"/>
            <w:tcBorders>
              <w:top w:val="nil"/>
              <w:bottom w:val="nil"/>
            </w:tcBorders>
            <w:shd w:val="clear" w:color="auto" w:fill="auto"/>
          </w:tcPr>
          <w:p w14:paraId="1FA36A89"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5B3AD49F"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7AFBC335"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277CB43A" w14:textId="77777777" w:rsidR="00E65317" w:rsidRPr="00E65317" w:rsidRDefault="00E65317" w:rsidP="00E65317">
            <w:pPr>
              <w:spacing w:after="160" w:line="259" w:lineRule="auto"/>
              <w:rPr>
                <w:rFonts w:cs="Times New Roman"/>
                <w:szCs w:val="24"/>
                <w:lang w:val="en-GB"/>
              </w:rPr>
            </w:pPr>
          </w:p>
        </w:tc>
        <w:tc>
          <w:tcPr>
            <w:tcW w:w="1434" w:type="dxa"/>
            <w:gridSpan w:val="2"/>
            <w:tcBorders>
              <w:top w:val="nil"/>
              <w:bottom w:val="nil"/>
            </w:tcBorders>
            <w:shd w:val="clear" w:color="auto" w:fill="auto"/>
          </w:tcPr>
          <w:p w14:paraId="761AE52A"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00D68322"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40716108" w14:textId="77777777" w:rsidR="00E65317" w:rsidRPr="00E65317" w:rsidRDefault="00E65317" w:rsidP="00E65317">
            <w:pPr>
              <w:spacing w:after="160" w:line="259" w:lineRule="auto"/>
              <w:rPr>
                <w:rFonts w:cs="Times New Roman"/>
                <w:szCs w:val="24"/>
                <w:lang w:val="en-GB"/>
              </w:rPr>
            </w:pPr>
          </w:p>
        </w:tc>
        <w:tc>
          <w:tcPr>
            <w:tcW w:w="1435" w:type="dxa"/>
            <w:tcBorders>
              <w:top w:val="nil"/>
              <w:bottom w:val="nil"/>
            </w:tcBorders>
            <w:shd w:val="clear" w:color="auto" w:fill="auto"/>
          </w:tcPr>
          <w:p w14:paraId="58A433CB" w14:textId="77777777" w:rsidR="00E65317" w:rsidRPr="00E65317" w:rsidRDefault="00E65317" w:rsidP="00E65317">
            <w:pPr>
              <w:spacing w:after="160" w:line="259" w:lineRule="auto"/>
              <w:rPr>
                <w:rFonts w:cs="Times New Roman"/>
                <w:szCs w:val="24"/>
                <w:lang w:val="en-GB"/>
              </w:rPr>
            </w:pPr>
          </w:p>
        </w:tc>
      </w:tr>
      <w:tr w:rsidR="00E65317" w:rsidRPr="00E65317" w14:paraId="401088A4" w14:textId="77777777" w:rsidTr="00752310">
        <w:trPr>
          <w:trHeight w:val="560"/>
        </w:trPr>
        <w:tc>
          <w:tcPr>
            <w:tcW w:w="2977" w:type="dxa"/>
            <w:tcBorders>
              <w:top w:val="nil"/>
              <w:bottom w:val="nil"/>
            </w:tcBorders>
            <w:shd w:val="clear" w:color="auto" w:fill="auto"/>
          </w:tcPr>
          <w:p w14:paraId="44E6111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Primary education</w:t>
            </w:r>
          </w:p>
        </w:tc>
        <w:tc>
          <w:tcPr>
            <w:tcW w:w="1434" w:type="dxa"/>
            <w:tcBorders>
              <w:top w:val="nil"/>
              <w:bottom w:val="nil"/>
            </w:tcBorders>
            <w:shd w:val="clear" w:color="auto" w:fill="auto"/>
          </w:tcPr>
          <w:p w14:paraId="492A623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67 (10.6)</w:t>
            </w:r>
          </w:p>
        </w:tc>
        <w:tc>
          <w:tcPr>
            <w:tcW w:w="1434" w:type="dxa"/>
            <w:tcBorders>
              <w:top w:val="nil"/>
              <w:bottom w:val="nil"/>
            </w:tcBorders>
            <w:shd w:val="clear" w:color="auto" w:fill="auto"/>
          </w:tcPr>
          <w:p w14:paraId="7A05CC8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59 (9.3)</w:t>
            </w:r>
          </w:p>
        </w:tc>
        <w:tc>
          <w:tcPr>
            <w:tcW w:w="1434" w:type="dxa"/>
            <w:tcBorders>
              <w:top w:val="nil"/>
              <w:bottom w:val="nil"/>
            </w:tcBorders>
            <w:shd w:val="clear" w:color="auto" w:fill="auto"/>
          </w:tcPr>
          <w:p w14:paraId="4B84A2B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148 (28.6)</w:t>
            </w:r>
          </w:p>
        </w:tc>
        <w:tc>
          <w:tcPr>
            <w:tcW w:w="1434" w:type="dxa"/>
            <w:tcBorders>
              <w:top w:val="nil"/>
              <w:bottom w:val="nil"/>
            </w:tcBorders>
            <w:shd w:val="clear" w:color="auto" w:fill="auto"/>
          </w:tcPr>
          <w:p w14:paraId="3A627B7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137 (26.4)</w:t>
            </w:r>
          </w:p>
        </w:tc>
        <w:tc>
          <w:tcPr>
            <w:tcW w:w="1434" w:type="dxa"/>
            <w:gridSpan w:val="2"/>
            <w:tcBorders>
              <w:top w:val="nil"/>
              <w:bottom w:val="nil"/>
            </w:tcBorders>
            <w:shd w:val="clear" w:color="auto" w:fill="auto"/>
          </w:tcPr>
          <w:p w14:paraId="6F27D7F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54 (11.2)</w:t>
            </w:r>
          </w:p>
        </w:tc>
        <w:tc>
          <w:tcPr>
            <w:tcW w:w="1434" w:type="dxa"/>
            <w:tcBorders>
              <w:top w:val="nil"/>
              <w:bottom w:val="nil"/>
            </w:tcBorders>
            <w:shd w:val="clear" w:color="auto" w:fill="auto"/>
          </w:tcPr>
          <w:p w14:paraId="669577C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65 (13.1)</w:t>
            </w:r>
          </w:p>
        </w:tc>
        <w:tc>
          <w:tcPr>
            <w:tcW w:w="1434" w:type="dxa"/>
            <w:tcBorders>
              <w:top w:val="nil"/>
              <w:bottom w:val="nil"/>
            </w:tcBorders>
            <w:shd w:val="clear" w:color="auto" w:fill="auto"/>
          </w:tcPr>
          <w:p w14:paraId="0F21AF3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80 (34.6)</w:t>
            </w:r>
          </w:p>
        </w:tc>
        <w:tc>
          <w:tcPr>
            <w:tcW w:w="1435" w:type="dxa"/>
            <w:tcBorders>
              <w:top w:val="nil"/>
              <w:bottom w:val="nil"/>
            </w:tcBorders>
            <w:shd w:val="clear" w:color="auto" w:fill="auto"/>
          </w:tcPr>
          <w:p w14:paraId="1A4ABBB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116 (42.4)</w:t>
            </w:r>
          </w:p>
        </w:tc>
      </w:tr>
      <w:tr w:rsidR="00E65317" w:rsidRPr="00E65317" w14:paraId="13A37E2C" w14:textId="77777777" w:rsidTr="00752310">
        <w:trPr>
          <w:trHeight w:val="452"/>
        </w:trPr>
        <w:tc>
          <w:tcPr>
            <w:tcW w:w="2977" w:type="dxa"/>
            <w:tcBorders>
              <w:top w:val="nil"/>
              <w:bottom w:val="nil"/>
            </w:tcBorders>
            <w:shd w:val="clear" w:color="auto" w:fill="auto"/>
          </w:tcPr>
          <w:p w14:paraId="5556CCA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Secondary education</w:t>
            </w:r>
          </w:p>
        </w:tc>
        <w:tc>
          <w:tcPr>
            <w:tcW w:w="1434" w:type="dxa"/>
            <w:tcBorders>
              <w:top w:val="nil"/>
              <w:bottom w:val="nil"/>
            </w:tcBorders>
            <w:shd w:val="clear" w:color="auto" w:fill="auto"/>
          </w:tcPr>
          <w:p w14:paraId="7DF5EAA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211 (33.3)</w:t>
            </w:r>
          </w:p>
        </w:tc>
        <w:tc>
          <w:tcPr>
            <w:tcW w:w="1434" w:type="dxa"/>
            <w:tcBorders>
              <w:top w:val="nil"/>
              <w:bottom w:val="nil"/>
            </w:tcBorders>
            <w:shd w:val="clear" w:color="auto" w:fill="auto"/>
          </w:tcPr>
          <w:p w14:paraId="5E38B7A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257 (40.4)</w:t>
            </w:r>
          </w:p>
        </w:tc>
        <w:tc>
          <w:tcPr>
            <w:tcW w:w="1434" w:type="dxa"/>
            <w:tcBorders>
              <w:top w:val="nil"/>
              <w:bottom w:val="nil"/>
            </w:tcBorders>
            <w:shd w:val="clear" w:color="auto" w:fill="auto"/>
          </w:tcPr>
          <w:p w14:paraId="40EB56F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188 (36.3)</w:t>
            </w:r>
          </w:p>
        </w:tc>
        <w:tc>
          <w:tcPr>
            <w:tcW w:w="1434" w:type="dxa"/>
            <w:tcBorders>
              <w:top w:val="nil"/>
              <w:bottom w:val="nil"/>
            </w:tcBorders>
            <w:shd w:val="clear" w:color="auto" w:fill="auto"/>
          </w:tcPr>
          <w:p w14:paraId="1F7429E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202 (38.8)</w:t>
            </w:r>
          </w:p>
        </w:tc>
        <w:tc>
          <w:tcPr>
            <w:tcW w:w="1434" w:type="dxa"/>
            <w:gridSpan w:val="2"/>
            <w:tcBorders>
              <w:top w:val="nil"/>
              <w:bottom w:val="nil"/>
            </w:tcBorders>
            <w:shd w:val="clear" w:color="auto" w:fill="auto"/>
          </w:tcPr>
          <w:p w14:paraId="4677890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240 (49.3)</w:t>
            </w:r>
          </w:p>
        </w:tc>
        <w:tc>
          <w:tcPr>
            <w:tcW w:w="1434" w:type="dxa"/>
            <w:tcBorders>
              <w:top w:val="nil"/>
              <w:bottom w:val="nil"/>
            </w:tcBorders>
            <w:shd w:val="clear" w:color="auto" w:fill="auto"/>
          </w:tcPr>
          <w:p w14:paraId="72CFFD9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265 (53.2)</w:t>
            </w:r>
          </w:p>
        </w:tc>
        <w:tc>
          <w:tcPr>
            <w:tcW w:w="1434" w:type="dxa"/>
            <w:tcBorders>
              <w:top w:val="nil"/>
              <w:bottom w:val="nil"/>
            </w:tcBorders>
            <w:shd w:val="clear" w:color="auto" w:fill="auto"/>
          </w:tcPr>
          <w:p w14:paraId="3041AC2E"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109 (46.9)</w:t>
            </w:r>
          </w:p>
        </w:tc>
        <w:tc>
          <w:tcPr>
            <w:tcW w:w="1435" w:type="dxa"/>
            <w:tcBorders>
              <w:top w:val="nil"/>
              <w:bottom w:val="nil"/>
            </w:tcBorders>
            <w:shd w:val="clear" w:color="auto" w:fill="auto"/>
          </w:tcPr>
          <w:p w14:paraId="62773E7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114 (41.8)</w:t>
            </w:r>
          </w:p>
        </w:tc>
      </w:tr>
      <w:tr w:rsidR="00E65317" w:rsidRPr="00E65317" w14:paraId="7EA034D8" w14:textId="77777777" w:rsidTr="00752310">
        <w:tc>
          <w:tcPr>
            <w:tcW w:w="2977" w:type="dxa"/>
            <w:tcBorders>
              <w:top w:val="nil"/>
              <w:bottom w:val="nil"/>
            </w:tcBorders>
            <w:shd w:val="clear" w:color="auto" w:fill="auto"/>
          </w:tcPr>
          <w:p w14:paraId="022C20E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Tertiary education</w:t>
            </w:r>
          </w:p>
        </w:tc>
        <w:tc>
          <w:tcPr>
            <w:tcW w:w="1434" w:type="dxa"/>
            <w:tcBorders>
              <w:top w:val="nil"/>
              <w:bottom w:val="nil"/>
            </w:tcBorders>
            <w:shd w:val="clear" w:color="auto" w:fill="auto"/>
          </w:tcPr>
          <w:p w14:paraId="71F6D2E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356 (56.1)</w:t>
            </w:r>
          </w:p>
        </w:tc>
        <w:tc>
          <w:tcPr>
            <w:tcW w:w="1434" w:type="dxa"/>
            <w:tcBorders>
              <w:top w:val="nil"/>
              <w:bottom w:val="nil"/>
            </w:tcBorders>
            <w:shd w:val="clear" w:color="auto" w:fill="auto"/>
          </w:tcPr>
          <w:p w14:paraId="25059601"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318 (49.9)</w:t>
            </w:r>
          </w:p>
        </w:tc>
        <w:tc>
          <w:tcPr>
            <w:tcW w:w="1434" w:type="dxa"/>
            <w:tcBorders>
              <w:top w:val="nil"/>
              <w:bottom w:val="nil"/>
            </w:tcBorders>
            <w:shd w:val="clear" w:color="auto" w:fill="auto"/>
          </w:tcPr>
          <w:p w14:paraId="625863A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182 (35.0)</w:t>
            </w:r>
          </w:p>
        </w:tc>
        <w:tc>
          <w:tcPr>
            <w:tcW w:w="1434" w:type="dxa"/>
            <w:tcBorders>
              <w:top w:val="nil"/>
              <w:bottom w:val="nil"/>
            </w:tcBorders>
            <w:shd w:val="clear" w:color="auto" w:fill="auto"/>
          </w:tcPr>
          <w:p w14:paraId="73F4D05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181 (34.8)</w:t>
            </w:r>
          </w:p>
        </w:tc>
        <w:tc>
          <w:tcPr>
            <w:tcW w:w="1434" w:type="dxa"/>
            <w:gridSpan w:val="2"/>
            <w:tcBorders>
              <w:top w:val="nil"/>
              <w:bottom w:val="nil"/>
            </w:tcBorders>
            <w:shd w:val="clear" w:color="auto" w:fill="auto"/>
          </w:tcPr>
          <w:p w14:paraId="11E99A6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192 (39.5)</w:t>
            </w:r>
          </w:p>
        </w:tc>
        <w:tc>
          <w:tcPr>
            <w:tcW w:w="1434" w:type="dxa"/>
            <w:tcBorders>
              <w:top w:val="nil"/>
              <w:bottom w:val="nil"/>
            </w:tcBorders>
            <w:shd w:val="clear" w:color="auto" w:fill="auto"/>
          </w:tcPr>
          <w:p w14:paraId="49D56AE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168 (33.7)</w:t>
            </w:r>
          </w:p>
        </w:tc>
        <w:tc>
          <w:tcPr>
            <w:tcW w:w="1434" w:type="dxa"/>
            <w:tcBorders>
              <w:top w:val="nil"/>
              <w:bottom w:val="nil"/>
            </w:tcBorders>
            <w:shd w:val="clear" w:color="auto" w:fill="auto"/>
          </w:tcPr>
          <w:p w14:paraId="1B73526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43 (18.5)</w:t>
            </w:r>
          </w:p>
        </w:tc>
        <w:tc>
          <w:tcPr>
            <w:tcW w:w="1435" w:type="dxa"/>
            <w:tcBorders>
              <w:top w:val="nil"/>
              <w:bottom w:val="nil"/>
            </w:tcBorders>
            <w:shd w:val="clear" w:color="auto" w:fill="auto"/>
          </w:tcPr>
          <w:p w14:paraId="322CE02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43 (15.8)</w:t>
            </w:r>
          </w:p>
        </w:tc>
      </w:tr>
      <w:tr w:rsidR="00E65317" w:rsidRPr="00E65317" w14:paraId="29342550" w14:textId="77777777" w:rsidTr="00752310">
        <w:tc>
          <w:tcPr>
            <w:tcW w:w="2977" w:type="dxa"/>
            <w:tcBorders>
              <w:top w:val="nil"/>
              <w:bottom w:val="nil"/>
            </w:tcBorders>
            <w:shd w:val="clear" w:color="auto" w:fill="auto"/>
          </w:tcPr>
          <w:p w14:paraId="63184C4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US"/>
              </w:rPr>
              <w:t>Relationship Status</w:t>
            </w:r>
          </w:p>
        </w:tc>
        <w:tc>
          <w:tcPr>
            <w:tcW w:w="1434" w:type="dxa"/>
            <w:tcBorders>
              <w:top w:val="nil"/>
              <w:bottom w:val="nil"/>
            </w:tcBorders>
            <w:shd w:val="clear" w:color="auto" w:fill="auto"/>
          </w:tcPr>
          <w:p w14:paraId="363281AE" w14:textId="77777777" w:rsidR="00E65317" w:rsidRPr="00E65317" w:rsidRDefault="00E65317" w:rsidP="00E65317">
            <w:pPr>
              <w:spacing w:after="160" w:line="259" w:lineRule="auto"/>
              <w:rPr>
                <w:rFonts w:cs="Times New Roman"/>
                <w:szCs w:val="24"/>
                <w:lang w:val="en-GB"/>
              </w:rPr>
            </w:pPr>
          </w:p>
        </w:tc>
        <w:tc>
          <w:tcPr>
            <w:tcW w:w="1434" w:type="dxa"/>
            <w:tcBorders>
              <w:top w:val="nil"/>
              <w:bottom w:val="nil"/>
            </w:tcBorders>
            <w:shd w:val="clear" w:color="auto" w:fill="auto"/>
          </w:tcPr>
          <w:p w14:paraId="4AA5B3CC" w14:textId="77777777" w:rsidR="00E65317" w:rsidRPr="00E65317" w:rsidRDefault="00E65317" w:rsidP="00E65317">
            <w:pPr>
              <w:spacing w:after="160" w:line="259" w:lineRule="auto"/>
              <w:rPr>
                <w:rFonts w:cs="Times New Roman"/>
                <w:szCs w:val="24"/>
                <w:lang w:val="en-US"/>
              </w:rPr>
            </w:pPr>
          </w:p>
        </w:tc>
        <w:tc>
          <w:tcPr>
            <w:tcW w:w="1434" w:type="dxa"/>
            <w:tcBorders>
              <w:top w:val="nil"/>
              <w:bottom w:val="nil"/>
            </w:tcBorders>
            <w:shd w:val="clear" w:color="auto" w:fill="auto"/>
          </w:tcPr>
          <w:p w14:paraId="51EF6CCE" w14:textId="77777777" w:rsidR="00E65317" w:rsidRPr="00E65317" w:rsidRDefault="00E65317" w:rsidP="00E65317">
            <w:pPr>
              <w:spacing w:after="160" w:line="259" w:lineRule="auto"/>
              <w:rPr>
                <w:rFonts w:cs="Times New Roman"/>
                <w:szCs w:val="24"/>
                <w:lang w:val="en-US"/>
              </w:rPr>
            </w:pPr>
          </w:p>
        </w:tc>
        <w:tc>
          <w:tcPr>
            <w:tcW w:w="1434" w:type="dxa"/>
            <w:tcBorders>
              <w:top w:val="nil"/>
              <w:bottom w:val="nil"/>
            </w:tcBorders>
            <w:shd w:val="clear" w:color="auto" w:fill="auto"/>
          </w:tcPr>
          <w:p w14:paraId="692DF08D" w14:textId="77777777" w:rsidR="00E65317" w:rsidRPr="00E65317" w:rsidRDefault="00E65317" w:rsidP="00E65317">
            <w:pPr>
              <w:spacing w:after="160" w:line="259" w:lineRule="auto"/>
              <w:rPr>
                <w:rFonts w:cs="Times New Roman"/>
                <w:szCs w:val="24"/>
                <w:lang w:val="en-US"/>
              </w:rPr>
            </w:pPr>
          </w:p>
        </w:tc>
        <w:tc>
          <w:tcPr>
            <w:tcW w:w="1434" w:type="dxa"/>
            <w:gridSpan w:val="2"/>
            <w:tcBorders>
              <w:top w:val="nil"/>
              <w:bottom w:val="nil"/>
            </w:tcBorders>
            <w:shd w:val="clear" w:color="auto" w:fill="auto"/>
          </w:tcPr>
          <w:p w14:paraId="227249A2" w14:textId="77777777" w:rsidR="00E65317" w:rsidRPr="00E65317" w:rsidRDefault="00E65317" w:rsidP="00E65317">
            <w:pPr>
              <w:spacing w:after="160" w:line="259" w:lineRule="auto"/>
              <w:rPr>
                <w:rFonts w:cs="Times New Roman"/>
                <w:szCs w:val="24"/>
                <w:lang w:val="en-US"/>
              </w:rPr>
            </w:pPr>
          </w:p>
        </w:tc>
        <w:tc>
          <w:tcPr>
            <w:tcW w:w="1434" w:type="dxa"/>
            <w:tcBorders>
              <w:top w:val="nil"/>
              <w:bottom w:val="nil"/>
            </w:tcBorders>
            <w:shd w:val="clear" w:color="auto" w:fill="auto"/>
          </w:tcPr>
          <w:p w14:paraId="157FA1B9" w14:textId="77777777" w:rsidR="00E65317" w:rsidRPr="00E65317" w:rsidRDefault="00E65317" w:rsidP="00E65317">
            <w:pPr>
              <w:spacing w:after="160" w:line="259" w:lineRule="auto"/>
              <w:rPr>
                <w:rFonts w:cs="Times New Roman"/>
                <w:szCs w:val="24"/>
                <w:lang w:val="en-US"/>
              </w:rPr>
            </w:pPr>
          </w:p>
        </w:tc>
        <w:tc>
          <w:tcPr>
            <w:tcW w:w="1434" w:type="dxa"/>
            <w:tcBorders>
              <w:top w:val="nil"/>
              <w:bottom w:val="nil"/>
            </w:tcBorders>
            <w:shd w:val="clear" w:color="auto" w:fill="auto"/>
          </w:tcPr>
          <w:p w14:paraId="5C6BEFD3" w14:textId="77777777" w:rsidR="00E65317" w:rsidRPr="00E65317" w:rsidRDefault="00E65317" w:rsidP="00E65317">
            <w:pPr>
              <w:spacing w:after="160" w:line="259" w:lineRule="auto"/>
              <w:rPr>
                <w:rFonts w:cs="Times New Roman"/>
                <w:szCs w:val="24"/>
                <w:lang w:val="en-US"/>
              </w:rPr>
            </w:pPr>
          </w:p>
        </w:tc>
        <w:tc>
          <w:tcPr>
            <w:tcW w:w="1435" w:type="dxa"/>
            <w:tcBorders>
              <w:top w:val="nil"/>
              <w:bottom w:val="nil"/>
            </w:tcBorders>
            <w:shd w:val="clear" w:color="auto" w:fill="auto"/>
          </w:tcPr>
          <w:p w14:paraId="33DC65A4" w14:textId="77777777" w:rsidR="00E65317" w:rsidRPr="00E65317" w:rsidRDefault="00E65317" w:rsidP="00E65317">
            <w:pPr>
              <w:spacing w:after="160" w:line="259" w:lineRule="auto"/>
              <w:rPr>
                <w:rFonts w:cs="Times New Roman"/>
                <w:szCs w:val="24"/>
                <w:lang w:val="en-US"/>
              </w:rPr>
            </w:pPr>
          </w:p>
        </w:tc>
      </w:tr>
      <w:tr w:rsidR="00E65317" w:rsidRPr="00E65317" w14:paraId="5EDF5249" w14:textId="77777777" w:rsidTr="00752310">
        <w:tc>
          <w:tcPr>
            <w:tcW w:w="2977" w:type="dxa"/>
            <w:tcBorders>
              <w:top w:val="nil"/>
              <w:bottom w:val="nil"/>
            </w:tcBorders>
            <w:shd w:val="clear" w:color="auto" w:fill="auto"/>
          </w:tcPr>
          <w:p w14:paraId="508834A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No partner</w:t>
            </w:r>
          </w:p>
        </w:tc>
        <w:tc>
          <w:tcPr>
            <w:tcW w:w="1434" w:type="dxa"/>
            <w:tcBorders>
              <w:top w:val="nil"/>
              <w:bottom w:val="nil"/>
            </w:tcBorders>
            <w:shd w:val="clear" w:color="auto" w:fill="auto"/>
          </w:tcPr>
          <w:p w14:paraId="14587BD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112 (17.8)</w:t>
            </w:r>
          </w:p>
        </w:tc>
        <w:tc>
          <w:tcPr>
            <w:tcW w:w="1434" w:type="dxa"/>
            <w:tcBorders>
              <w:top w:val="nil"/>
              <w:bottom w:val="nil"/>
            </w:tcBorders>
            <w:shd w:val="clear" w:color="auto" w:fill="auto"/>
          </w:tcPr>
          <w:p w14:paraId="21933E5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195 (30.7)</w:t>
            </w:r>
          </w:p>
        </w:tc>
        <w:tc>
          <w:tcPr>
            <w:tcW w:w="1434" w:type="dxa"/>
            <w:tcBorders>
              <w:top w:val="nil"/>
              <w:bottom w:val="nil"/>
            </w:tcBorders>
            <w:shd w:val="clear" w:color="auto" w:fill="auto"/>
          </w:tcPr>
          <w:p w14:paraId="28CB9701"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86 (16.5)</w:t>
            </w:r>
          </w:p>
        </w:tc>
        <w:tc>
          <w:tcPr>
            <w:tcW w:w="1434" w:type="dxa"/>
            <w:tcBorders>
              <w:top w:val="nil"/>
              <w:bottom w:val="nil"/>
            </w:tcBorders>
            <w:shd w:val="clear" w:color="auto" w:fill="auto"/>
          </w:tcPr>
          <w:p w14:paraId="256CBD7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81 (15.6)</w:t>
            </w:r>
          </w:p>
        </w:tc>
        <w:tc>
          <w:tcPr>
            <w:tcW w:w="1434" w:type="dxa"/>
            <w:gridSpan w:val="2"/>
            <w:tcBorders>
              <w:top w:val="nil"/>
              <w:bottom w:val="nil"/>
            </w:tcBorders>
            <w:shd w:val="clear" w:color="auto" w:fill="auto"/>
          </w:tcPr>
          <w:p w14:paraId="57ACFEE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101 (20.9)</w:t>
            </w:r>
          </w:p>
        </w:tc>
        <w:tc>
          <w:tcPr>
            <w:tcW w:w="1434" w:type="dxa"/>
            <w:tcBorders>
              <w:top w:val="nil"/>
              <w:bottom w:val="nil"/>
            </w:tcBorders>
            <w:shd w:val="clear" w:color="auto" w:fill="auto"/>
          </w:tcPr>
          <w:p w14:paraId="22BBD61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 xml:space="preserve">268 (53.1) </w:t>
            </w:r>
          </w:p>
        </w:tc>
        <w:tc>
          <w:tcPr>
            <w:tcW w:w="1434" w:type="dxa"/>
            <w:tcBorders>
              <w:top w:val="nil"/>
              <w:bottom w:val="nil"/>
            </w:tcBorders>
            <w:shd w:val="clear" w:color="auto" w:fill="auto"/>
          </w:tcPr>
          <w:p w14:paraId="1B11C31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17 (7.3)</w:t>
            </w:r>
          </w:p>
        </w:tc>
        <w:tc>
          <w:tcPr>
            <w:tcW w:w="1435" w:type="dxa"/>
            <w:tcBorders>
              <w:top w:val="nil"/>
              <w:bottom w:val="nil"/>
            </w:tcBorders>
            <w:shd w:val="clear" w:color="auto" w:fill="auto"/>
          </w:tcPr>
          <w:p w14:paraId="137732A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74 (26.9)</w:t>
            </w:r>
          </w:p>
        </w:tc>
      </w:tr>
      <w:tr w:rsidR="00E65317" w:rsidRPr="00E65317" w14:paraId="5A71F3E9" w14:textId="77777777" w:rsidTr="00752310">
        <w:tc>
          <w:tcPr>
            <w:tcW w:w="2977" w:type="dxa"/>
            <w:tcBorders>
              <w:top w:val="nil"/>
              <w:bottom w:val="nil"/>
            </w:tcBorders>
            <w:shd w:val="clear" w:color="auto" w:fill="auto"/>
          </w:tcPr>
          <w:p w14:paraId="3864B30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Partnered</w:t>
            </w:r>
          </w:p>
        </w:tc>
        <w:tc>
          <w:tcPr>
            <w:tcW w:w="1434" w:type="dxa"/>
            <w:tcBorders>
              <w:top w:val="nil"/>
              <w:bottom w:val="nil"/>
            </w:tcBorders>
            <w:shd w:val="clear" w:color="auto" w:fill="auto"/>
          </w:tcPr>
          <w:p w14:paraId="0A340A3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519 (82.2)</w:t>
            </w:r>
          </w:p>
        </w:tc>
        <w:tc>
          <w:tcPr>
            <w:tcW w:w="1434" w:type="dxa"/>
            <w:tcBorders>
              <w:top w:val="nil"/>
              <w:bottom w:val="nil"/>
            </w:tcBorders>
            <w:shd w:val="clear" w:color="auto" w:fill="auto"/>
          </w:tcPr>
          <w:p w14:paraId="0978226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440 (69.3)</w:t>
            </w:r>
          </w:p>
        </w:tc>
        <w:tc>
          <w:tcPr>
            <w:tcW w:w="1434" w:type="dxa"/>
            <w:tcBorders>
              <w:top w:val="nil"/>
              <w:bottom w:val="nil"/>
            </w:tcBorders>
            <w:shd w:val="clear" w:color="auto" w:fill="auto"/>
          </w:tcPr>
          <w:p w14:paraId="60CC245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437 (83.5)</w:t>
            </w:r>
          </w:p>
        </w:tc>
        <w:tc>
          <w:tcPr>
            <w:tcW w:w="1434" w:type="dxa"/>
            <w:tcBorders>
              <w:top w:val="nil"/>
              <w:bottom w:val="nil"/>
            </w:tcBorders>
            <w:shd w:val="clear" w:color="auto" w:fill="auto"/>
          </w:tcPr>
          <w:p w14:paraId="129A87B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440 (84.4)</w:t>
            </w:r>
          </w:p>
        </w:tc>
        <w:tc>
          <w:tcPr>
            <w:tcW w:w="1434" w:type="dxa"/>
            <w:gridSpan w:val="2"/>
            <w:tcBorders>
              <w:top w:val="nil"/>
              <w:bottom w:val="nil"/>
            </w:tcBorders>
            <w:shd w:val="clear" w:color="auto" w:fill="auto"/>
          </w:tcPr>
          <w:p w14:paraId="4D55C2E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384 (79.1)</w:t>
            </w:r>
          </w:p>
        </w:tc>
        <w:tc>
          <w:tcPr>
            <w:tcW w:w="1434" w:type="dxa"/>
            <w:tcBorders>
              <w:top w:val="nil"/>
              <w:bottom w:val="nil"/>
            </w:tcBorders>
            <w:shd w:val="clear" w:color="auto" w:fill="auto"/>
          </w:tcPr>
          <w:p w14:paraId="6E23446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236 (46.8)</w:t>
            </w:r>
          </w:p>
        </w:tc>
        <w:tc>
          <w:tcPr>
            <w:tcW w:w="1434" w:type="dxa"/>
            <w:tcBorders>
              <w:top w:val="nil"/>
              <w:bottom w:val="nil"/>
            </w:tcBorders>
            <w:shd w:val="clear" w:color="auto" w:fill="auto"/>
          </w:tcPr>
          <w:p w14:paraId="5A040280"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215 (92.7)</w:t>
            </w:r>
          </w:p>
        </w:tc>
        <w:tc>
          <w:tcPr>
            <w:tcW w:w="1435" w:type="dxa"/>
            <w:tcBorders>
              <w:top w:val="nil"/>
              <w:bottom w:val="nil"/>
            </w:tcBorders>
            <w:shd w:val="clear" w:color="auto" w:fill="auto"/>
          </w:tcPr>
          <w:p w14:paraId="66E0D5A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203 (73.1)</w:t>
            </w:r>
          </w:p>
        </w:tc>
      </w:tr>
      <w:tr w:rsidR="00E65317" w:rsidRPr="00E65317" w14:paraId="620862DA" w14:textId="77777777" w:rsidTr="00752310">
        <w:tc>
          <w:tcPr>
            <w:tcW w:w="2977" w:type="dxa"/>
            <w:tcBorders>
              <w:top w:val="nil"/>
              <w:left w:val="nil"/>
              <w:bottom w:val="nil"/>
              <w:right w:val="nil"/>
            </w:tcBorders>
            <w:shd w:val="clear" w:color="auto" w:fill="auto"/>
          </w:tcPr>
          <w:p w14:paraId="60A715F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Religiosity</w:t>
            </w:r>
          </w:p>
        </w:tc>
        <w:tc>
          <w:tcPr>
            <w:tcW w:w="1434" w:type="dxa"/>
            <w:tcBorders>
              <w:top w:val="nil"/>
              <w:left w:val="nil"/>
              <w:bottom w:val="nil"/>
              <w:right w:val="nil"/>
            </w:tcBorders>
            <w:shd w:val="clear" w:color="auto" w:fill="auto"/>
          </w:tcPr>
          <w:p w14:paraId="0502D39E" w14:textId="77777777" w:rsidR="00E65317" w:rsidRPr="00E65317" w:rsidRDefault="00E65317" w:rsidP="00E65317">
            <w:pPr>
              <w:spacing w:after="160" w:line="259" w:lineRule="auto"/>
              <w:rPr>
                <w:rFonts w:cs="Times New Roman"/>
                <w:szCs w:val="24"/>
                <w:lang w:val="en-GB"/>
              </w:rPr>
            </w:pPr>
          </w:p>
        </w:tc>
        <w:tc>
          <w:tcPr>
            <w:tcW w:w="1434" w:type="dxa"/>
            <w:tcBorders>
              <w:top w:val="nil"/>
              <w:left w:val="nil"/>
              <w:bottom w:val="nil"/>
              <w:right w:val="nil"/>
            </w:tcBorders>
            <w:shd w:val="clear" w:color="auto" w:fill="auto"/>
          </w:tcPr>
          <w:p w14:paraId="587D05ED" w14:textId="77777777" w:rsidR="00E65317" w:rsidRPr="00E65317" w:rsidRDefault="00E65317" w:rsidP="00E65317">
            <w:pPr>
              <w:spacing w:after="160" w:line="259" w:lineRule="auto"/>
              <w:rPr>
                <w:rFonts w:cs="Times New Roman"/>
                <w:szCs w:val="24"/>
                <w:lang w:val="en-GB"/>
              </w:rPr>
            </w:pPr>
          </w:p>
        </w:tc>
        <w:tc>
          <w:tcPr>
            <w:tcW w:w="1434" w:type="dxa"/>
            <w:tcBorders>
              <w:top w:val="nil"/>
              <w:left w:val="nil"/>
              <w:bottom w:val="nil"/>
              <w:right w:val="nil"/>
            </w:tcBorders>
            <w:shd w:val="clear" w:color="auto" w:fill="auto"/>
          </w:tcPr>
          <w:p w14:paraId="4F593169" w14:textId="77777777" w:rsidR="00E65317" w:rsidRPr="00E65317" w:rsidRDefault="00E65317" w:rsidP="00E65317">
            <w:pPr>
              <w:spacing w:after="160" w:line="259" w:lineRule="auto"/>
              <w:rPr>
                <w:rFonts w:cs="Times New Roman"/>
                <w:szCs w:val="24"/>
                <w:lang w:val="en-GB"/>
              </w:rPr>
            </w:pPr>
          </w:p>
        </w:tc>
        <w:tc>
          <w:tcPr>
            <w:tcW w:w="1434" w:type="dxa"/>
            <w:tcBorders>
              <w:top w:val="nil"/>
              <w:left w:val="nil"/>
              <w:bottom w:val="nil"/>
              <w:right w:val="nil"/>
            </w:tcBorders>
            <w:shd w:val="clear" w:color="auto" w:fill="auto"/>
          </w:tcPr>
          <w:p w14:paraId="2BC95A98" w14:textId="77777777" w:rsidR="00E65317" w:rsidRPr="00E65317" w:rsidRDefault="00E65317" w:rsidP="00E65317">
            <w:pPr>
              <w:spacing w:after="160" w:line="259" w:lineRule="auto"/>
              <w:rPr>
                <w:rFonts w:cs="Times New Roman"/>
                <w:szCs w:val="24"/>
                <w:lang w:val="en-GB"/>
              </w:rPr>
            </w:pPr>
          </w:p>
        </w:tc>
        <w:tc>
          <w:tcPr>
            <w:tcW w:w="1352" w:type="dxa"/>
            <w:tcBorders>
              <w:top w:val="nil"/>
              <w:left w:val="nil"/>
              <w:bottom w:val="nil"/>
              <w:right w:val="nil"/>
            </w:tcBorders>
            <w:shd w:val="clear" w:color="auto" w:fill="auto"/>
          </w:tcPr>
          <w:p w14:paraId="66A53DB4" w14:textId="77777777" w:rsidR="00E65317" w:rsidRPr="00E65317" w:rsidRDefault="00E65317" w:rsidP="00E65317">
            <w:pPr>
              <w:spacing w:after="160" w:line="259" w:lineRule="auto"/>
              <w:rPr>
                <w:rFonts w:cs="Times New Roman"/>
                <w:szCs w:val="24"/>
                <w:lang w:val="en-GB"/>
              </w:rPr>
            </w:pPr>
          </w:p>
        </w:tc>
        <w:tc>
          <w:tcPr>
            <w:tcW w:w="1516" w:type="dxa"/>
            <w:gridSpan w:val="2"/>
            <w:tcBorders>
              <w:top w:val="nil"/>
              <w:left w:val="nil"/>
              <w:bottom w:val="nil"/>
              <w:right w:val="nil"/>
            </w:tcBorders>
            <w:shd w:val="clear" w:color="auto" w:fill="auto"/>
          </w:tcPr>
          <w:p w14:paraId="6C3CFCFA" w14:textId="77777777" w:rsidR="00E65317" w:rsidRPr="00E65317" w:rsidRDefault="00E65317" w:rsidP="00E65317">
            <w:pPr>
              <w:spacing w:after="160" w:line="259" w:lineRule="auto"/>
              <w:rPr>
                <w:rFonts w:cs="Times New Roman"/>
                <w:szCs w:val="24"/>
                <w:lang w:val="en-GB"/>
              </w:rPr>
            </w:pPr>
          </w:p>
        </w:tc>
        <w:tc>
          <w:tcPr>
            <w:tcW w:w="1434" w:type="dxa"/>
            <w:tcBorders>
              <w:top w:val="nil"/>
              <w:left w:val="nil"/>
              <w:bottom w:val="nil"/>
              <w:right w:val="nil"/>
            </w:tcBorders>
            <w:shd w:val="clear" w:color="auto" w:fill="auto"/>
          </w:tcPr>
          <w:p w14:paraId="7AC1F3CF" w14:textId="77777777" w:rsidR="00E65317" w:rsidRPr="00E65317" w:rsidRDefault="00E65317" w:rsidP="00E65317">
            <w:pPr>
              <w:spacing w:after="160" w:line="259" w:lineRule="auto"/>
              <w:rPr>
                <w:rFonts w:cs="Times New Roman"/>
                <w:szCs w:val="24"/>
                <w:lang w:val="en-GB"/>
              </w:rPr>
            </w:pPr>
          </w:p>
        </w:tc>
        <w:tc>
          <w:tcPr>
            <w:tcW w:w="1435" w:type="dxa"/>
            <w:tcBorders>
              <w:top w:val="nil"/>
              <w:left w:val="nil"/>
              <w:bottom w:val="nil"/>
              <w:right w:val="nil"/>
            </w:tcBorders>
            <w:shd w:val="clear" w:color="auto" w:fill="auto"/>
          </w:tcPr>
          <w:p w14:paraId="7DB3491A" w14:textId="77777777" w:rsidR="00E65317" w:rsidRPr="00E65317" w:rsidRDefault="00E65317" w:rsidP="00E65317">
            <w:pPr>
              <w:spacing w:after="160" w:line="259" w:lineRule="auto"/>
              <w:rPr>
                <w:rFonts w:cs="Times New Roman"/>
                <w:szCs w:val="24"/>
                <w:lang w:val="en-GB"/>
              </w:rPr>
            </w:pPr>
          </w:p>
        </w:tc>
      </w:tr>
      <w:tr w:rsidR="00E65317" w:rsidRPr="00E65317" w14:paraId="59075858" w14:textId="77777777" w:rsidTr="00752310">
        <w:tc>
          <w:tcPr>
            <w:tcW w:w="2977" w:type="dxa"/>
            <w:tcBorders>
              <w:top w:val="nil"/>
              <w:left w:val="nil"/>
              <w:bottom w:val="nil"/>
              <w:right w:val="nil"/>
            </w:tcBorders>
            <w:shd w:val="clear" w:color="auto" w:fill="auto"/>
            <w:vAlign w:val="center"/>
          </w:tcPr>
          <w:p w14:paraId="76C5418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Never</w:t>
            </w:r>
          </w:p>
        </w:tc>
        <w:tc>
          <w:tcPr>
            <w:tcW w:w="1434" w:type="dxa"/>
            <w:tcBorders>
              <w:top w:val="nil"/>
              <w:left w:val="nil"/>
              <w:bottom w:val="nil"/>
              <w:right w:val="nil"/>
            </w:tcBorders>
            <w:shd w:val="clear" w:color="auto" w:fill="auto"/>
          </w:tcPr>
          <w:p w14:paraId="086EB27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251 (40.1)</w:t>
            </w:r>
          </w:p>
        </w:tc>
        <w:tc>
          <w:tcPr>
            <w:tcW w:w="1434" w:type="dxa"/>
            <w:tcBorders>
              <w:top w:val="nil"/>
              <w:left w:val="nil"/>
              <w:bottom w:val="nil"/>
              <w:right w:val="nil"/>
            </w:tcBorders>
            <w:shd w:val="clear" w:color="auto" w:fill="auto"/>
          </w:tcPr>
          <w:p w14:paraId="19C0D5C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174 (27.5)</w:t>
            </w:r>
          </w:p>
        </w:tc>
        <w:tc>
          <w:tcPr>
            <w:tcW w:w="1434" w:type="dxa"/>
            <w:tcBorders>
              <w:top w:val="nil"/>
              <w:left w:val="nil"/>
              <w:bottom w:val="nil"/>
              <w:right w:val="nil"/>
            </w:tcBorders>
            <w:shd w:val="clear" w:color="auto" w:fill="auto"/>
          </w:tcPr>
          <w:p w14:paraId="15D6BBC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187 (36.1)</w:t>
            </w:r>
          </w:p>
        </w:tc>
        <w:tc>
          <w:tcPr>
            <w:tcW w:w="1434" w:type="dxa"/>
            <w:tcBorders>
              <w:top w:val="nil"/>
              <w:left w:val="nil"/>
              <w:bottom w:val="nil"/>
              <w:right w:val="nil"/>
            </w:tcBorders>
            <w:shd w:val="clear" w:color="auto" w:fill="auto"/>
          </w:tcPr>
          <w:p w14:paraId="69EF1590"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130 (25.2)</w:t>
            </w:r>
          </w:p>
        </w:tc>
        <w:tc>
          <w:tcPr>
            <w:tcW w:w="1352" w:type="dxa"/>
            <w:tcBorders>
              <w:top w:val="nil"/>
              <w:left w:val="nil"/>
              <w:bottom w:val="nil"/>
              <w:right w:val="nil"/>
            </w:tcBorders>
            <w:shd w:val="clear" w:color="auto" w:fill="auto"/>
          </w:tcPr>
          <w:p w14:paraId="141B25B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212 (43.8)</w:t>
            </w:r>
          </w:p>
        </w:tc>
        <w:tc>
          <w:tcPr>
            <w:tcW w:w="1516" w:type="dxa"/>
            <w:gridSpan w:val="2"/>
            <w:tcBorders>
              <w:top w:val="nil"/>
              <w:left w:val="nil"/>
              <w:bottom w:val="nil"/>
              <w:right w:val="nil"/>
            </w:tcBorders>
            <w:shd w:val="clear" w:color="auto" w:fill="auto"/>
          </w:tcPr>
          <w:p w14:paraId="708255E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221 (44.6)</w:t>
            </w:r>
          </w:p>
        </w:tc>
        <w:tc>
          <w:tcPr>
            <w:tcW w:w="1434" w:type="dxa"/>
            <w:tcBorders>
              <w:top w:val="nil"/>
              <w:left w:val="nil"/>
              <w:bottom w:val="nil"/>
              <w:right w:val="nil"/>
            </w:tcBorders>
            <w:shd w:val="clear" w:color="auto" w:fill="auto"/>
          </w:tcPr>
          <w:p w14:paraId="5326BE9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53 (23.6)</w:t>
            </w:r>
          </w:p>
        </w:tc>
        <w:tc>
          <w:tcPr>
            <w:tcW w:w="1435" w:type="dxa"/>
            <w:tcBorders>
              <w:top w:val="nil"/>
              <w:left w:val="nil"/>
              <w:bottom w:val="nil"/>
              <w:right w:val="nil"/>
            </w:tcBorders>
            <w:shd w:val="clear" w:color="auto" w:fill="auto"/>
          </w:tcPr>
          <w:p w14:paraId="106A4C8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49 (18.3)</w:t>
            </w:r>
          </w:p>
        </w:tc>
      </w:tr>
      <w:tr w:rsidR="00E65317" w:rsidRPr="00E65317" w14:paraId="1C8EF413" w14:textId="77777777" w:rsidTr="00752310">
        <w:tc>
          <w:tcPr>
            <w:tcW w:w="2977" w:type="dxa"/>
            <w:tcBorders>
              <w:top w:val="nil"/>
              <w:bottom w:val="nil"/>
            </w:tcBorders>
            <w:shd w:val="clear" w:color="auto" w:fill="auto"/>
            <w:vAlign w:val="center"/>
          </w:tcPr>
          <w:p w14:paraId="09D51EB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Less than once a year</w:t>
            </w:r>
          </w:p>
        </w:tc>
        <w:tc>
          <w:tcPr>
            <w:tcW w:w="1434" w:type="dxa"/>
            <w:tcBorders>
              <w:top w:val="nil"/>
              <w:bottom w:val="nil"/>
            </w:tcBorders>
            <w:shd w:val="clear" w:color="auto" w:fill="auto"/>
          </w:tcPr>
          <w:p w14:paraId="5008C1F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147 (23.4)</w:t>
            </w:r>
          </w:p>
        </w:tc>
        <w:tc>
          <w:tcPr>
            <w:tcW w:w="1434" w:type="dxa"/>
            <w:tcBorders>
              <w:top w:val="nil"/>
              <w:bottom w:val="nil"/>
            </w:tcBorders>
            <w:shd w:val="clear" w:color="auto" w:fill="auto"/>
          </w:tcPr>
          <w:p w14:paraId="7B05753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148 (23.4)</w:t>
            </w:r>
          </w:p>
        </w:tc>
        <w:tc>
          <w:tcPr>
            <w:tcW w:w="1434" w:type="dxa"/>
            <w:tcBorders>
              <w:top w:val="nil"/>
              <w:bottom w:val="nil"/>
            </w:tcBorders>
            <w:shd w:val="clear" w:color="auto" w:fill="auto"/>
          </w:tcPr>
          <w:p w14:paraId="1B6DEAE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120 (23.0)</w:t>
            </w:r>
          </w:p>
        </w:tc>
        <w:tc>
          <w:tcPr>
            <w:tcW w:w="1434" w:type="dxa"/>
            <w:tcBorders>
              <w:top w:val="nil"/>
              <w:bottom w:val="nil"/>
            </w:tcBorders>
            <w:shd w:val="clear" w:color="auto" w:fill="auto"/>
          </w:tcPr>
          <w:p w14:paraId="62D9CE4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129 (25.0)</w:t>
            </w:r>
          </w:p>
        </w:tc>
        <w:tc>
          <w:tcPr>
            <w:tcW w:w="1352" w:type="dxa"/>
            <w:tcBorders>
              <w:top w:val="nil"/>
              <w:bottom w:val="nil"/>
            </w:tcBorders>
            <w:shd w:val="clear" w:color="auto" w:fill="auto"/>
          </w:tcPr>
          <w:p w14:paraId="58CB474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73 (15.1)</w:t>
            </w:r>
          </w:p>
        </w:tc>
        <w:tc>
          <w:tcPr>
            <w:tcW w:w="1516" w:type="dxa"/>
            <w:gridSpan w:val="2"/>
            <w:tcBorders>
              <w:top w:val="nil"/>
              <w:bottom w:val="nil"/>
            </w:tcBorders>
            <w:shd w:val="clear" w:color="auto" w:fill="auto"/>
          </w:tcPr>
          <w:p w14:paraId="0979F4DE"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47 (9.5)</w:t>
            </w:r>
          </w:p>
        </w:tc>
        <w:tc>
          <w:tcPr>
            <w:tcW w:w="1434" w:type="dxa"/>
            <w:tcBorders>
              <w:top w:val="nil"/>
              <w:bottom w:val="nil"/>
            </w:tcBorders>
            <w:shd w:val="clear" w:color="auto" w:fill="auto"/>
          </w:tcPr>
          <w:p w14:paraId="26B3911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34 (15.2)</w:t>
            </w:r>
          </w:p>
        </w:tc>
        <w:tc>
          <w:tcPr>
            <w:tcW w:w="1435" w:type="dxa"/>
            <w:tcBorders>
              <w:top w:val="nil"/>
              <w:bottom w:val="nil"/>
            </w:tcBorders>
            <w:shd w:val="clear" w:color="auto" w:fill="auto"/>
          </w:tcPr>
          <w:p w14:paraId="51D2BC4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34 (12.7)</w:t>
            </w:r>
          </w:p>
        </w:tc>
      </w:tr>
      <w:tr w:rsidR="00E65317" w:rsidRPr="00E65317" w14:paraId="058BFDA3" w14:textId="77777777" w:rsidTr="00752310">
        <w:tc>
          <w:tcPr>
            <w:tcW w:w="2977" w:type="dxa"/>
            <w:tcBorders>
              <w:top w:val="nil"/>
              <w:bottom w:val="nil"/>
            </w:tcBorders>
            <w:shd w:val="clear" w:color="auto" w:fill="auto"/>
            <w:vAlign w:val="center"/>
          </w:tcPr>
          <w:p w14:paraId="33363A6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lastRenderedPageBreak/>
              <w:t>Once a year</w:t>
            </w:r>
          </w:p>
        </w:tc>
        <w:tc>
          <w:tcPr>
            <w:tcW w:w="1434" w:type="dxa"/>
            <w:tcBorders>
              <w:top w:val="nil"/>
              <w:bottom w:val="nil"/>
            </w:tcBorders>
            <w:shd w:val="clear" w:color="auto" w:fill="auto"/>
          </w:tcPr>
          <w:p w14:paraId="426BF99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84 (13.4)</w:t>
            </w:r>
          </w:p>
        </w:tc>
        <w:tc>
          <w:tcPr>
            <w:tcW w:w="1434" w:type="dxa"/>
            <w:tcBorders>
              <w:top w:val="nil"/>
              <w:bottom w:val="nil"/>
            </w:tcBorders>
            <w:shd w:val="clear" w:color="auto" w:fill="auto"/>
          </w:tcPr>
          <w:p w14:paraId="4352936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69 (11.0)</w:t>
            </w:r>
          </w:p>
        </w:tc>
        <w:tc>
          <w:tcPr>
            <w:tcW w:w="1434" w:type="dxa"/>
            <w:tcBorders>
              <w:top w:val="nil"/>
              <w:bottom w:val="nil"/>
            </w:tcBorders>
            <w:shd w:val="clear" w:color="auto" w:fill="auto"/>
          </w:tcPr>
          <w:p w14:paraId="51ECF0A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72 (13.9)</w:t>
            </w:r>
          </w:p>
        </w:tc>
        <w:tc>
          <w:tcPr>
            <w:tcW w:w="1434" w:type="dxa"/>
            <w:tcBorders>
              <w:top w:val="nil"/>
              <w:bottom w:val="nil"/>
            </w:tcBorders>
            <w:shd w:val="clear" w:color="auto" w:fill="auto"/>
          </w:tcPr>
          <w:p w14:paraId="09D9905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81 (15.6)</w:t>
            </w:r>
          </w:p>
        </w:tc>
        <w:tc>
          <w:tcPr>
            <w:tcW w:w="1352" w:type="dxa"/>
            <w:tcBorders>
              <w:top w:val="nil"/>
              <w:bottom w:val="nil"/>
            </w:tcBorders>
            <w:shd w:val="clear" w:color="auto" w:fill="auto"/>
          </w:tcPr>
          <w:p w14:paraId="7A83004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25 (5.1)</w:t>
            </w:r>
          </w:p>
        </w:tc>
        <w:tc>
          <w:tcPr>
            <w:tcW w:w="1516" w:type="dxa"/>
            <w:gridSpan w:val="2"/>
            <w:tcBorders>
              <w:top w:val="nil"/>
              <w:bottom w:val="nil"/>
            </w:tcBorders>
            <w:shd w:val="clear" w:color="auto" w:fill="auto"/>
          </w:tcPr>
          <w:p w14:paraId="0EAE266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32 (6.4)</w:t>
            </w:r>
          </w:p>
        </w:tc>
        <w:tc>
          <w:tcPr>
            <w:tcW w:w="1434" w:type="dxa"/>
            <w:tcBorders>
              <w:top w:val="nil"/>
              <w:bottom w:val="nil"/>
            </w:tcBorders>
            <w:shd w:val="clear" w:color="auto" w:fill="auto"/>
          </w:tcPr>
          <w:p w14:paraId="4A04982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25 (10.9)</w:t>
            </w:r>
          </w:p>
        </w:tc>
        <w:tc>
          <w:tcPr>
            <w:tcW w:w="1435" w:type="dxa"/>
            <w:tcBorders>
              <w:top w:val="nil"/>
              <w:bottom w:val="nil"/>
            </w:tcBorders>
            <w:shd w:val="clear" w:color="auto" w:fill="auto"/>
          </w:tcPr>
          <w:p w14:paraId="2D4D323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10 (3.8)</w:t>
            </w:r>
          </w:p>
        </w:tc>
      </w:tr>
      <w:tr w:rsidR="00E65317" w:rsidRPr="00E65317" w14:paraId="15F7BCB1" w14:textId="77777777" w:rsidTr="00752310">
        <w:trPr>
          <w:trHeight w:val="349"/>
        </w:trPr>
        <w:tc>
          <w:tcPr>
            <w:tcW w:w="2977" w:type="dxa"/>
            <w:tcBorders>
              <w:top w:val="nil"/>
              <w:bottom w:val="nil"/>
            </w:tcBorders>
            <w:shd w:val="clear" w:color="auto" w:fill="auto"/>
            <w:vAlign w:val="center"/>
          </w:tcPr>
          <w:p w14:paraId="668E1CA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Twice a year</w:t>
            </w:r>
          </w:p>
        </w:tc>
        <w:tc>
          <w:tcPr>
            <w:tcW w:w="1434" w:type="dxa"/>
            <w:tcBorders>
              <w:top w:val="nil"/>
              <w:bottom w:val="nil"/>
            </w:tcBorders>
            <w:shd w:val="clear" w:color="auto" w:fill="auto"/>
          </w:tcPr>
          <w:p w14:paraId="74EDDC40"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77 (12.2)</w:t>
            </w:r>
          </w:p>
        </w:tc>
        <w:tc>
          <w:tcPr>
            <w:tcW w:w="1434" w:type="dxa"/>
            <w:tcBorders>
              <w:top w:val="nil"/>
              <w:bottom w:val="nil"/>
            </w:tcBorders>
            <w:shd w:val="clear" w:color="auto" w:fill="auto"/>
          </w:tcPr>
          <w:p w14:paraId="64277C2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129 (20.4)</w:t>
            </w:r>
          </w:p>
        </w:tc>
        <w:tc>
          <w:tcPr>
            <w:tcW w:w="1434" w:type="dxa"/>
            <w:tcBorders>
              <w:top w:val="nil"/>
              <w:bottom w:val="nil"/>
            </w:tcBorders>
            <w:shd w:val="clear" w:color="auto" w:fill="auto"/>
          </w:tcPr>
          <w:p w14:paraId="59D3F781"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75 (14.5)</w:t>
            </w:r>
          </w:p>
        </w:tc>
        <w:tc>
          <w:tcPr>
            <w:tcW w:w="1434" w:type="dxa"/>
            <w:tcBorders>
              <w:top w:val="nil"/>
              <w:bottom w:val="nil"/>
            </w:tcBorders>
            <w:shd w:val="clear" w:color="auto" w:fill="auto"/>
          </w:tcPr>
          <w:p w14:paraId="33CB074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101 (19.5)</w:t>
            </w:r>
          </w:p>
        </w:tc>
        <w:tc>
          <w:tcPr>
            <w:tcW w:w="1352" w:type="dxa"/>
            <w:tcBorders>
              <w:top w:val="nil"/>
              <w:bottom w:val="nil"/>
            </w:tcBorders>
            <w:shd w:val="clear" w:color="auto" w:fill="auto"/>
          </w:tcPr>
          <w:p w14:paraId="0EE3DCF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83 (17.1)</w:t>
            </w:r>
          </w:p>
        </w:tc>
        <w:tc>
          <w:tcPr>
            <w:tcW w:w="1516" w:type="dxa"/>
            <w:gridSpan w:val="2"/>
            <w:tcBorders>
              <w:top w:val="nil"/>
              <w:bottom w:val="nil"/>
            </w:tcBorders>
            <w:shd w:val="clear" w:color="auto" w:fill="auto"/>
          </w:tcPr>
          <w:p w14:paraId="56A1520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97 (19.6)</w:t>
            </w:r>
          </w:p>
        </w:tc>
        <w:tc>
          <w:tcPr>
            <w:tcW w:w="1434" w:type="dxa"/>
            <w:tcBorders>
              <w:top w:val="nil"/>
              <w:bottom w:val="nil"/>
            </w:tcBorders>
            <w:shd w:val="clear" w:color="auto" w:fill="auto"/>
          </w:tcPr>
          <w:p w14:paraId="05D42C3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39 (17.5)</w:t>
            </w:r>
          </w:p>
        </w:tc>
        <w:tc>
          <w:tcPr>
            <w:tcW w:w="1435" w:type="dxa"/>
            <w:tcBorders>
              <w:top w:val="nil"/>
              <w:bottom w:val="nil"/>
            </w:tcBorders>
            <w:shd w:val="clear" w:color="auto" w:fill="auto"/>
          </w:tcPr>
          <w:p w14:paraId="37B0D56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37 (13.7)</w:t>
            </w:r>
          </w:p>
        </w:tc>
      </w:tr>
      <w:tr w:rsidR="00E65317" w:rsidRPr="00E65317" w14:paraId="665C4D6A" w14:textId="77777777" w:rsidTr="00752310">
        <w:trPr>
          <w:trHeight w:val="258"/>
        </w:trPr>
        <w:tc>
          <w:tcPr>
            <w:tcW w:w="2977" w:type="dxa"/>
            <w:tcBorders>
              <w:top w:val="nil"/>
              <w:bottom w:val="nil"/>
            </w:tcBorders>
            <w:shd w:val="clear" w:color="auto" w:fill="auto"/>
            <w:vAlign w:val="center"/>
          </w:tcPr>
          <w:p w14:paraId="5C0E97D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Once a month</w:t>
            </w:r>
          </w:p>
        </w:tc>
        <w:tc>
          <w:tcPr>
            <w:tcW w:w="1434" w:type="dxa"/>
            <w:tcBorders>
              <w:top w:val="nil"/>
              <w:bottom w:val="nil"/>
            </w:tcBorders>
            <w:shd w:val="clear" w:color="auto" w:fill="auto"/>
          </w:tcPr>
          <w:p w14:paraId="36E3B5C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34 (5.4)</w:t>
            </w:r>
          </w:p>
        </w:tc>
        <w:tc>
          <w:tcPr>
            <w:tcW w:w="1434" w:type="dxa"/>
            <w:tcBorders>
              <w:top w:val="nil"/>
              <w:bottom w:val="nil"/>
            </w:tcBorders>
            <w:shd w:val="clear" w:color="auto" w:fill="auto"/>
          </w:tcPr>
          <w:p w14:paraId="58C230C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46 (7.3)</w:t>
            </w:r>
          </w:p>
        </w:tc>
        <w:tc>
          <w:tcPr>
            <w:tcW w:w="1434" w:type="dxa"/>
            <w:tcBorders>
              <w:top w:val="nil"/>
              <w:bottom w:val="nil"/>
            </w:tcBorders>
            <w:shd w:val="clear" w:color="auto" w:fill="auto"/>
          </w:tcPr>
          <w:p w14:paraId="2CD5D15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32 (6.2)</w:t>
            </w:r>
          </w:p>
        </w:tc>
        <w:tc>
          <w:tcPr>
            <w:tcW w:w="1434" w:type="dxa"/>
            <w:tcBorders>
              <w:top w:val="nil"/>
              <w:bottom w:val="nil"/>
            </w:tcBorders>
            <w:shd w:val="clear" w:color="auto" w:fill="auto"/>
          </w:tcPr>
          <w:p w14:paraId="21CD571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49 (9.4)</w:t>
            </w:r>
          </w:p>
        </w:tc>
        <w:tc>
          <w:tcPr>
            <w:tcW w:w="1352" w:type="dxa"/>
            <w:tcBorders>
              <w:top w:val="nil"/>
              <w:bottom w:val="nil"/>
            </w:tcBorders>
            <w:shd w:val="clear" w:color="auto" w:fill="auto"/>
          </w:tcPr>
          <w:p w14:paraId="5D92EEB0"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29 (5.9)</w:t>
            </w:r>
          </w:p>
        </w:tc>
        <w:tc>
          <w:tcPr>
            <w:tcW w:w="1516" w:type="dxa"/>
            <w:gridSpan w:val="2"/>
            <w:tcBorders>
              <w:top w:val="nil"/>
              <w:bottom w:val="nil"/>
            </w:tcBorders>
            <w:shd w:val="clear" w:color="auto" w:fill="auto"/>
          </w:tcPr>
          <w:p w14:paraId="68DBADE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42 (8.4)</w:t>
            </w:r>
          </w:p>
        </w:tc>
        <w:tc>
          <w:tcPr>
            <w:tcW w:w="1434" w:type="dxa"/>
            <w:tcBorders>
              <w:top w:val="nil"/>
              <w:bottom w:val="nil"/>
            </w:tcBorders>
            <w:shd w:val="clear" w:color="auto" w:fill="auto"/>
          </w:tcPr>
          <w:p w14:paraId="4EAB5A3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26 (11.4)</w:t>
            </w:r>
          </w:p>
        </w:tc>
        <w:tc>
          <w:tcPr>
            <w:tcW w:w="1435" w:type="dxa"/>
            <w:tcBorders>
              <w:top w:val="nil"/>
              <w:bottom w:val="nil"/>
            </w:tcBorders>
            <w:shd w:val="clear" w:color="auto" w:fill="auto"/>
          </w:tcPr>
          <w:p w14:paraId="1EB023D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33 (12.2)</w:t>
            </w:r>
          </w:p>
        </w:tc>
      </w:tr>
      <w:tr w:rsidR="00E65317" w:rsidRPr="00E65317" w14:paraId="51FD6C5B" w14:textId="77777777" w:rsidTr="00752310">
        <w:trPr>
          <w:trHeight w:val="258"/>
        </w:trPr>
        <w:tc>
          <w:tcPr>
            <w:tcW w:w="2977" w:type="dxa"/>
            <w:tcBorders>
              <w:top w:val="nil"/>
              <w:bottom w:val="nil"/>
            </w:tcBorders>
            <w:shd w:val="clear" w:color="auto" w:fill="auto"/>
            <w:vAlign w:val="center"/>
          </w:tcPr>
          <w:p w14:paraId="7E12D8E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Once every two weeks</w:t>
            </w:r>
          </w:p>
        </w:tc>
        <w:tc>
          <w:tcPr>
            <w:tcW w:w="1434" w:type="dxa"/>
            <w:tcBorders>
              <w:top w:val="nil"/>
              <w:bottom w:val="nil"/>
            </w:tcBorders>
            <w:shd w:val="clear" w:color="auto" w:fill="auto"/>
          </w:tcPr>
          <w:p w14:paraId="34194B9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16 (2.6)</w:t>
            </w:r>
          </w:p>
        </w:tc>
        <w:tc>
          <w:tcPr>
            <w:tcW w:w="1434" w:type="dxa"/>
            <w:tcBorders>
              <w:top w:val="nil"/>
              <w:bottom w:val="nil"/>
            </w:tcBorders>
            <w:shd w:val="clear" w:color="auto" w:fill="auto"/>
          </w:tcPr>
          <w:p w14:paraId="49751EE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35 (5.6)</w:t>
            </w:r>
          </w:p>
        </w:tc>
        <w:tc>
          <w:tcPr>
            <w:tcW w:w="1434" w:type="dxa"/>
            <w:tcBorders>
              <w:top w:val="nil"/>
              <w:bottom w:val="nil"/>
            </w:tcBorders>
            <w:shd w:val="clear" w:color="auto" w:fill="auto"/>
          </w:tcPr>
          <w:p w14:paraId="2D2EFE8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 (2.6)</w:t>
            </w:r>
          </w:p>
        </w:tc>
        <w:tc>
          <w:tcPr>
            <w:tcW w:w="1434" w:type="dxa"/>
            <w:tcBorders>
              <w:top w:val="nil"/>
              <w:bottom w:val="nil"/>
            </w:tcBorders>
            <w:shd w:val="clear" w:color="auto" w:fill="auto"/>
          </w:tcPr>
          <w:p w14:paraId="7EE7318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 (2.7)</w:t>
            </w:r>
          </w:p>
        </w:tc>
        <w:tc>
          <w:tcPr>
            <w:tcW w:w="1352" w:type="dxa"/>
            <w:tcBorders>
              <w:top w:val="nil"/>
              <w:bottom w:val="nil"/>
            </w:tcBorders>
            <w:shd w:val="clear" w:color="auto" w:fill="auto"/>
          </w:tcPr>
          <w:p w14:paraId="0663A92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 (3.9)</w:t>
            </w:r>
          </w:p>
        </w:tc>
        <w:tc>
          <w:tcPr>
            <w:tcW w:w="1516" w:type="dxa"/>
            <w:gridSpan w:val="2"/>
            <w:tcBorders>
              <w:top w:val="nil"/>
              <w:bottom w:val="nil"/>
            </w:tcBorders>
            <w:shd w:val="clear" w:color="auto" w:fill="auto"/>
          </w:tcPr>
          <w:p w14:paraId="385D6ED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17 (3.5)</w:t>
            </w:r>
          </w:p>
        </w:tc>
        <w:tc>
          <w:tcPr>
            <w:tcW w:w="1434" w:type="dxa"/>
            <w:tcBorders>
              <w:top w:val="nil"/>
              <w:bottom w:val="nil"/>
            </w:tcBorders>
            <w:shd w:val="clear" w:color="auto" w:fill="auto"/>
          </w:tcPr>
          <w:p w14:paraId="737161D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12 (5.1)</w:t>
            </w:r>
          </w:p>
        </w:tc>
        <w:tc>
          <w:tcPr>
            <w:tcW w:w="1435" w:type="dxa"/>
            <w:tcBorders>
              <w:top w:val="nil"/>
              <w:bottom w:val="nil"/>
            </w:tcBorders>
            <w:shd w:val="clear" w:color="auto" w:fill="auto"/>
          </w:tcPr>
          <w:p w14:paraId="5FC2DF4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25 (9.4)</w:t>
            </w:r>
          </w:p>
        </w:tc>
      </w:tr>
      <w:tr w:rsidR="00E65317" w:rsidRPr="00E65317" w14:paraId="1D0B8A46" w14:textId="77777777" w:rsidTr="00752310">
        <w:trPr>
          <w:trHeight w:val="258"/>
        </w:trPr>
        <w:tc>
          <w:tcPr>
            <w:tcW w:w="2977" w:type="dxa"/>
            <w:tcBorders>
              <w:top w:val="nil"/>
              <w:bottom w:val="nil"/>
            </w:tcBorders>
            <w:shd w:val="clear" w:color="auto" w:fill="auto"/>
            <w:vAlign w:val="center"/>
          </w:tcPr>
          <w:p w14:paraId="0232C1A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Once a week or more</w:t>
            </w:r>
          </w:p>
        </w:tc>
        <w:tc>
          <w:tcPr>
            <w:tcW w:w="1434" w:type="dxa"/>
            <w:tcBorders>
              <w:top w:val="nil"/>
              <w:bottom w:val="nil"/>
            </w:tcBorders>
            <w:shd w:val="clear" w:color="auto" w:fill="auto"/>
          </w:tcPr>
          <w:p w14:paraId="703C721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 (2.9)</w:t>
            </w:r>
          </w:p>
        </w:tc>
        <w:tc>
          <w:tcPr>
            <w:tcW w:w="1434" w:type="dxa"/>
            <w:tcBorders>
              <w:top w:val="nil"/>
              <w:bottom w:val="nil"/>
            </w:tcBorders>
            <w:shd w:val="clear" w:color="auto" w:fill="auto"/>
          </w:tcPr>
          <w:p w14:paraId="59F1ECA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30 (4.8)</w:t>
            </w:r>
          </w:p>
        </w:tc>
        <w:tc>
          <w:tcPr>
            <w:tcW w:w="1434" w:type="dxa"/>
            <w:tcBorders>
              <w:top w:val="nil"/>
              <w:bottom w:val="nil"/>
            </w:tcBorders>
            <w:shd w:val="clear" w:color="auto" w:fill="auto"/>
          </w:tcPr>
          <w:p w14:paraId="311146E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 (3.6)</w:t>
            </w:r>
          </w:p>
        </w:tc>
        <w:tc>
          <w:tcPr>
            <w:tcW w:w="1434" w:type="dxa"/>
            <w:tcBorders>
              <w:top w:val="nil"/>
              <w:bottom w:val="nil"/>
            </w:tcBorders>
            <w:shd w:val="clear" w:color="auto" w:fill="auto"/>
          </w:tcPr>
          <w:p w14:paraId="7ED992C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14 (2.6)</w:t>
            </w:r>
          </w:p>
        </w:tc>
        <w:tc>
          <w:tcPr>
            <w:tcW w:w="1352" w:type="dxa"/>
            <w:tcBorders>
              <w:top w:val="nil"/>
              <w:bottom w:val="nil"/>
            </w:tcBorders>
            <w:shd w:val="clear" w:color="auto" w:fill="auto"/>
          </w:tcPr>
          <w:p w14:paraId="7BE2044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43 (9.0)</w:t>
            </w:r>
          </w:p>
        </w:tc>
        <w:tc>
          <w:tcPr>
            <w:tcW w:w="1516" w:type="dxa"/>
            <w:gridSpan w:val="2"/>
            <w:tcBorders>
              <w:top w:val="nil"/>
              <w:bottom w:val="nil"/>
            </w:tcBorders>
            <w:shd w:val="clear" w:color="auto" w:fill="auto"/>
          </w:tcPr>
          <w:p w14:paraId="28CC474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40 (8.0)</w:t>
            </w:r>
          </w:p>
        </w:tc>
        <w:tc>
          <w:tcPr>
            <w:tcW w:w="1434" w:type="dxa"/>
            <w:tcBorders>
              <w:top w:val="nil"/>
              <w:bottom w:val="nil"/>
            </w:tcBorders>
            <w:shd w:val="clear" w:color="auto" w:fill="auto"/>
          </w:tcPr>
          <w:p w14:paraId="3FD857DF"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37 (16.4)</w:t>
            </w:r>
          </w:p>
        </w:tc>
        <w:tc>
          <w:tcPr>
            <w:tcW w:w="1435" w:type="dxa"/>
            <w:tcBorders>
              <w:top w:val="nil"/>
              <w:bottom w:val="nil"/>
            </w:tcBorders>
            <w:shd w:val="clear" w:color="auto" w:fill="auto"/>
          </w:tcPr>
          <w:p w14:paraId="69AFEC5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80 (29.9)</w:t>
            </w:r>
          </w:p>
        </w:tc>
      </w:tr>
      <w:tr w:rsidR="00E65317" w:rsidRPr="00E65317" w14:paraId="2CF53CB9" w14:textId="77777777" w:rsidTr="00752310">
        <w:trPr>
          <w:trHeight w:val="258"/>
        </w:trPr>
        <w:tc>
          <w:tcPr>
            <w:tcW w:w="14450" w:type="dxa"/>
            <w:gridSpan w:val="10"/>
            <w:tcBorders>
              <w:top w:val="nil"/>
              <w:left w:val="nil"/>
              <w:bottom w:val="nil"/>
              <w:right w:val="nil"/>
            </w:tcBorders>
            <w:shd w:val="clear" w:color="auto" w:fill="auto"/>
          </w:tcPr>
          <w:p w14:paraId="5EC454C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Place of residence</w:t>
            </w:r>
          </w:p>
        </w:tc>
      </w:tr>
      <w:tr w:rsidR="00E65317" w:rsidRPr="00E65317" w14:paraId="25C997C3" w14:textId="77777777" w:rsidTr="00752310">
        <w:tc>
          <w:tcPr>
            <w:tcW w:w="2977" w:type="dxa"/>
            <w:tcBorders>
              <w:top w:val="nil"/>
              <w:bottom w:val="nil"/>
            </w:tcBorders>
            <w:shd w:val="clear" w:color="auto" w:fill="auto"/>
            <w:vAlign w:val="center"/>
          </w:tcPr>
          <w:p w14:paraId="5727444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Rural</w:t>
            </w:r>
          </w:p>
        </w:tc>
        <w:tc>
          <w:tcPr>
            <w:tcW w:w="1434" w:type="dxa"/>
            <w:tcBorders>
              <w:top w:val="nil"/>
              <w:bottom w:val="nil"/>
            </w:tcBorders>
            <w:shd w:val="clear" w:color="auto" w:fill="auto"/>
          </w:tcPr>
          <w:p w14:paraId="1873EF3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223 (35.3)</w:t>
            </w:r>
          </w:p>
        </w:tc>
        <w:tc>
          <w:tcPr>
            <w:tcW w:w="1434" w:type="dxa"/>
            <w:tcBorders>
              <w:top w:val="nil"/>
              <w:bottom w:val="nil"/>
            </w:tcBorders>
            <w:shd w:val="clear" w:color="auto" w:fill="auto"/>
          </w:tcPr>
          <w:p w14:paraId="32AC5E5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208 (33.1)</w:t>
            </w:r>
          </w:p>
        </w:tc>
        <w:tc>
          <w:tcPr>
            <w:tcW w:w="1434" w:type="dxa"/>
            <w:tcBorders>
              <w:top w:val="nil"/>
              <w:bottom w:val="nil"/>
            </w:tcBorders>
            <w:shd w:val="clear" w:color="auto" w:fill="auto"/>
          </w:tcPr>
          <w:p w14:paraId="19AB9E7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190 (36.5)</w:t>
            </w:r>
          </w:p>
        </w:tc>
        <w:tc>
          <w:tcPr>
            <w:tcW w:w="1434" w:type="dxa"/>
            <w:tcBorders>
              <w:top w:val="nil"/>
              <w:bottom w:val="nil"/>
            </w:tcBorders>
            <w:shd w:val="clear" w:color="auto" w:fill="auto"/>
          </w:tcPr>
          <w:p w14:paraId="67EA64C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175 (34.5)</w:t>
            </w:r>
          </w:p>
        </w:tc>
        <w:tc>
          <w:tcPr>
            <w:tcW w:w="1352" w:type="dxa"/>
            <w:tcBorders>
              <w:top w:val="nil"/>
              <w:bottom w:val="nil"/>
            </w:tcBorders>
            <w:shd w:val="clear" w:color="auto" w:fill="auto"/>
          </w:tcPr>
          <w:p w14:paraId="2628758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104 (21.6)</w:t>
            </w:r>
          </w:p>
        </w:tc>
        <w:tc>
          <w:tcPr>
            <w:tcW w:w="1516" w:type="dxa"/>
            <w:gridSpan w:val="2"/>
            <w:tcBorders>
              <w:top w:val="nil"/>
              <w:bottom w:val="nil"/>
            </w:tcBorders>
            <w:shd w:val="clear" w:color="auto" w:fill="auto"/>
          </w:tcPr>
          <w:p w14:paraId="7931194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132 (26.7)</w:t>
            </w:r>
          </w:p>
        </w:tc>
        <w:tc>
          <w:tcPr>
            <w:tcW w:w="1434" w:type="dxa"/>
            <w:tcBorders>
              <w:top w:val="nil"/>
              <w:bottom w:val="nil"/>
            </w:tcBorders>
            <w:shd w:val="clear" w:color="auto" w:fill="auto"/>
          </w:tcPr>
          <w:p w14:paraId="6BA387D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48 (20.8)</w:t>
            </w:r>
          </w:p>
        </w:tc>
        <w:tc>
          <w:tcPr>
            <w:tcW w:w="1435" w:type="dxa"/>
            <w:tcBorders>
              <w:top w:val="nil"/>
              <w:bottom w:val="nil"/>
            </w:tcBorders>
            <w:shd w:val="clear" w:color="auto" w:fill="auto"/>
          </w:tcPr>
          <w:p w14:paraId="7B9F353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64 (23.6)</w:t>
            </w:r>
          </w:p>
        </w:tc>
      </w:tr>
      <w:tr w:rsidR="00E65317" w:rsidRPr="00E65317" w14:paraId="247D102D" w14:textId="77777777" w:rsidTr="00752310">
        <w:trPr>
          <w:trHeight w:val="349"/>
        </w:trPr>
        <w:tc>
          <w:tcPr>
            <w:tcW w:w="2977" w:type="dxa"/>
            <w:tcBorders>
              <w:top w:val="nil"/>
              <w:bottom w:val="nil"/>
            </w:tcBorders>
            <w:shd w:val="clear" w:color="auto" w:fill="auto"/>
            <w:vAlign w:val="center"/>
          </w:tcPr>
          <w:p w14:paraId="41CFD56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US"/>
              </w:rPr>
              <w:t>Small town</w:t>
            </w:r>
          </w:p>
        </w:tc>
        <w:tc>
          <w:tcPr>
            <w:tcW w:w="1434" w:type="dxa"/>
            <w:tcBorders>
              <w:top w:val="nil"/>
              <w:bottom w:val="nil"/>
            </w:tcBorders>
            <w:shd w:val="clear" w:color="auto" w:fill="auto"/>
          </w:tcPr>
          <w:p w14:paraId="5D3AA7C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234 (37.0)</w:t>
            </w:r>
          </w:p>
        </w:tc>
        <w:tc>
          <w:tcPr>
            <w:tcW w:w="1434" w:type="dxa"/>
            <w:tcBorders>
              <w:top w:val="nil"/>
              <w:bottom w:val="nil"/>
            </w:tcBorders>
            <w:shd w:val="clear" w:color="auto" w:fill="auto"/>
          </w:tcPr>
          <w:p w14:paraId="2E439BE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238 (38.0)</w:t>
            </w:r>
          </w:p>
        </w:tc>
        <w:tc>
          <w:tcPr>
            <w:tcW w:w="1434" w:type="dxa"/>
            <w:tcBorders>
              <w:top w:val="nil"/>
              <w:bottom w:val="nil"/>
            </w:tcBorders>
            <w:shd w:val="clear" w:color="auto" w:fill="auto"/>
          </w:tcPr>
          <w:p w14:paraId="72C14E4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180 (34.6)</w:t>
            </w:r>
          </w:p>
        </w:tc>
        <w:tc>
          <w:tcPr>
            <w:tcW w:w="1434" w:type="dxa"/>
            <w:tcBorders>
              <w:top w:val="nil"/>
              <w:bottom w:val="nil"/>
            </w:tcBorders>
            <w:shd w:val="clear" w:color="auto" w:fill="auto"/>
          </w:tcPr>
          <w:p w14:paraId="7CE5C83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181 (35.7)</w:t>
            </w:r>
          </w:p>
        </w:tc>
        <w:tc>
          <w:tcPr>
            <w:tcW w:w="1352" w:type="dxa"/>
            <w:tcBorders>
              <w:top w:val="nil"/>
              <w:bottom w:val="nil"/>
            </w:tcBorders>
            <w:shd w:val="clear" w:color="auto" w:fill="auto"/>
          </w:tcPr>
          <w:p w14:paraId="163E197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246 (51.1)</w:t>
            </w:r>
          </w:p>
        </w:tc>
        <w:tc>
          <w:tcPr>
            <w:tcW w:w="1516" w:type="dxa"/>
            <w:gridSpan w:val="2"/>
            <w:tcBorders>
              <w:top w:val="nil"/>
              <w:bottom w:val="nil"/>
            </w:tcBorders>
            <w:shd w:val="clear" w:color="auto" w:fill="auto"/>
          </w:tcPr>
          <w:p w14:paraId="67644C2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193 (38.9)</w:t>
            </w:r>
          </w:p>
        </w:tc>
        <w:tc>
          <w:tcPr>
            <w:tcW w:w="1434" w:type="dxa"/>
            <w:tcBorders>
              <w:top w:val="nil"/>
              <w:bottom w:val="nil"/>
            </w:tcBorders>
            <w:shd w:val="clear" w:color="auto" w:fill="auto"/>
          </w:tcPr>
          <w:p w14:paraId="0DC9CD5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59 (25.5)</w:t>
            </w:r>
          </w:p>
        </w:tc>
        <w:tc>
          <w:tcPr>
            <w:tcW w:w="1435" w:type="dxa"/>
            <w:tcBorders>
              <w:top w:val="nil"/>
              <w:bottom w:val="nil"/>
            </w:tcBorders>
            <w:shd w:val="clear" w:color="auto" w:fill="auto"/>
          </w:tcPr>
          <w:p w14:paraId="11D7F27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52 (19.1)</w:t>
            </w:r>
          </w:p>
        </w:tc>
      </w:tr>
      <w:tr w:rsidR="00E65317" w:rsidRPr="00E65317" w14:paraId="113398FE" w14:textId="77777777" w:rsidTr="00752310">
        <w:trPr>
          <w:trHeight w:val="258"/>
        </w:trPr>
        <w:tc>
          <w:tcPr>
            <w:tcW w:w="2977" w:type="dxa"/>
            <w:tcBorders>
              <w:top w:val="nil"/>
              <w:bottom w:val="nil"/>
            </w:tcBorders>
            <w:shd w:val="clear" w:color="auto" w:fill="auto"/>
            <w:vAlign w:val="center"/>
          </w:tcPr>
          <w:p w14:paraId="6CE2657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US"/>
              </w:rPr>
              <w:t>Medium sized city</w:t>
            </w:r>
          </w:p>
        </w:tc>
        <w:tc>
          <w:tcPr>
            <w:tcW w:w="1434" w:type="dxa"/>
            <w:tcBorders>
              <w:top w:val="nil"/>
              <w:bottom w:val="nil"/>
            </w:tcBorders>
            <w:shd w:val="clear" w:color="auto" w:fill="auto"/>
          </w:tcPr>
          <w:p w14:paraId="445C4FC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76 (12.0)</w:t>
            </w:r>
          </w:p>
        </w:tc>
        <w:tc>
          <w:tcPr>
            <w:tcW w:w="1434" w:type="dxa"/>
            <w:tcBorders>
              <w:top w:val="nil"/>
              <w:bottom w:val="nil"/>
            </w:tcBorders>
            <w:shd w:val="clear" w:color="auto" w:fill="auto"/>
          </w:tcPr>
          <w:p w14:paraId="246CE6A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77 (12.2)</w:t>
            </w:r>
          </w:p>
        </w:tc>
        <w:tc>
          <w:tcPr>
            <w:tcW w:w="1434" w:type="dxa"/>
            <w:tcBorders>
              <w:top w:val="nil"/>
              <w:bottom w:val="nil"/>
            </w:tcBorders>
            <w:shd w:val="clear" w:color="auto" w:fill="auto"/>
          </w:tcPr>
          <w:p w14:paraId="00D93CF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73 (14.0)</w:t>
            </w:r>
          </w:p>
        </w:tc>
        <w:tc>
          <w:tcPr>
            <w:tcW w:w="1434" w:type="dxa"/>
            <w:tcBorders>
              <w:top w:val="nil"/>
              <w:bottom w:val="nil"/>
            </w:tcBorders>
            <w:shd w:val="clear" w:color="auto" w:fill="auto"/>
          </w:tcPr>
          <w:p w14:paraId="2905386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66 (13.1)</w:t>
            </w:r>
          </w:p>
        </w:tc>
        <w:tc>
          <w:tcPr>
            <w:tcW w:w="1352" w:type="dxa"/>
            <w:tcBorders>
              <w:top w:val="nil"/>
              <w:bottom w:val="nil"/>
            </w:tcBorders>
            <w:shd w:val="clear" w:color="auto" w:fill="auto"/>
          </w:tcPr>
          <w:p w14:paraId="4850E13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51 (10.6)</w:t>
            </w:r>
          </w:p>
        </w:tc>
        <w:tc>
          <w:tcPr>
            <w:tcW w:w="1516" w:type="dxa"/>
            <w:gridSpan w:val="2"/>
            <w:tcBorders>
              <w:top w:val="nil"/>
              <w:bottom w:val="nil"/>
            </w:tcBorders>
            <w:shd w:val="clear" w:color="auto" w:fill="auto"/>
          </w:tcPr>
          <w:p w14:paraId="61DCE99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67 (13.6)</w:t>
            </w:r>
          </w:p>
        </w:tc>
        <w:tc>
          <w:tcPr>
            <w:tcW w:w="1434" w:type="dxa"/>
            <w:tcBorders>
              <w:top w:val="nil"/>
              <w:bottom w:val="nil"/>
            </w:tcBorders>
            <w:shd w:val="clear" w:color="auto" w:fill="auto"/>
          </w:tcPr>
          <w:p w14:paraId="72FAFA1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48 (20.7)</w:t>
            </w:r>
          </w:p>
        </w:tc>
        <w:tc>
          <w:tcPr>
            <w:tcW w:w="1435" w:type="dxa"/>
            <w:tcBorders>
              <w:top w:val="nil"/>
              <w:bottom w:val="nil"/>
            </w:tcBorders>
            <w:shd w:val="clear" w:color="auto" w:fill="auto"/>
          </w:tcPr>
          <w:p w14:paraId="2159E85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56 (20.6)</w:t>
            </w:r>
          </w:p>
        </w:tc>
      </w:tr>
      <w:tr w:rsidR="00E65317" w:rsidRPr="00E65317" w14:paraId="25CBA193" w14:textId="77777777" w:rsidTr="00752310">
        <w:trPr>
          <w:trHeight w:val="258"/>
        </w:trPr>
        <w:tc>
          <w:tcPr>
            <w:tcW w:w="2977" w:type="dxa"/>
            <w:tcBorders>
              <w:top w:val="nil"/>
              <w:bottom w:val="nil"/>
            </w:tcBorders>
            <w:shd w:val="clear" w:color="auto" w:fill="auto"/>
          </w:tcPr>
          <w:p w14:paraId="03810904"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Suburb of a large city</w:t>
            </w:r>
          </w:p>
        </w:tc>
        <w:tc>
          <w:tcPr>
            <w:tcW w:w="1434" w:type="dxa"/>
            <w:tcBorders>
              <w:top w:val="nil"/>
              <w:bottom w:val="nil"/>
            </w:tcBorders>
            <w:shd w:val="clear" w:color="auto" w:fill="auto"/>
          </w:tcPr>
          <w:p w14:paraId="08438F8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40 (6.4)</w:t>
            </w:r>
          </w:p>
        </w:tc>
        <w:tc>
          <w:tcPr>
            <w:tcW w:w="1434" w:type="dxa"/>
            <w:tcBorders>
              <w:top w:val="nil"/>
              <w:bottom w:val="nil"/>
            </w:tcBorders>
            <w:shd w:val="clear" w:color="auto" w:fill="auto"/>
          </w:tcPr>
          <w:p w14:paraId="22E62D4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32 (5.2)</w:t>
            </w:r>
          </w:p>
        </w:tc>
        <w:tc>
          <w:tcPr>
            <w:tcW w:w="1434" w:type="dxa"/>
            <w:tcBorders>
              <w:top w:val="nil"/>
              <w:bottom w:val="nil"/>
            </w:tcBorders>
            <w:shd w:val="clear" w:color="auto" w:fill="auto"/>
          </w:tcPr>
          <w:p w14:paraId="73639A3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37 (7.2)</w:t>
            </w:r>
          </w:p>
        </w:tc>
        <w:tc>
          <w:tcPr>
            <w:tcW w:w="1434" w:type="dxa"/>
            <w:tcBorders>
              <w:top w:val="nil"/>
              <w:bottom w:val="nil"/>
            </w:tcBorders>
            <w:shd w:val="clear" w:color="auto" w:fill="auto"/>
          </w:tcPr>
          <w:p w14:paraId="4F20FEC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33 (6.5)</w:t>
            </w:r>
          </w:p>
        </w:tc>
        <w:tc>
          <w:tcPr>
            <w:tcW w:w="1352" w:type="dxa"/>
            <w:tcBorders>
              <w:top w:val="nil"/>
              <w:bottom w:val="nil"/>
            </w:tcBorders>
            <w:shd w:val="clear" w:color="auto" w:fill="auto"/>
          </w:tcPr>
          <w:p w14:paraId="3FDA483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51 (10.5)</w:t>
            </w:r>
          </w:p>
        </w:tc>
        <w:tc>
          <w:tcPr>
            <w:tcW w:w="1516" w:type="dxa"/>
            <w:gridSpan w:val="2"/>
            <w:tcBorders>
              <w:top w:val="nil"/>
              <w:bottom w:val="nil"/>
            </w:tcBorders>
            <w:shd w:val="clear" w:color="auto" w:fill="auto"/>
          </w:tcPr>
          <w:p w14:paraId="34107956"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57 (11.5)</w:t>
            </w:r>
          </w:p>
        </w:tc>
        <w:tc>
          <w:tcPr>
            <w:tcW w:w="1434" w:type="dxa"/>
            <w:tcBorders>
              <w:top w:val="nil"/>
              <w:bottom w:val="nil"/>
            </w:tcBorders>
            <w:shd w:val="clear" w:color="auto" w:fill="auto"/>
          </w:tcPr>
          <w:p w14:paraId="770BA38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 (7.8)</w:t>
            </w:r>
          </w:p>
        </w:tc>
        <w:tc>
          <w:tcPr>
            <w:tcW w:w="1435" w:type="dxa"/>
            <w:tcBorders>
              <w:top w:val="nil"/>
              <w:bottom w:val="nil"/>
            </w:tcBorders>
            <w:shd w:val="clear" w:color="auto" w:fill="auto"/>
          </w:tcPr>
          <w:p w14:paraId="148DFA6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18 (6.6)</w:t>
            </w:r>
          </w:p>
        </w:tc>
      </w:tr>
      <w:tr w:rsidR="00E65317" w:rsidRPr="00E65317" w14:paraId="4AB05CCE" w14:textId="77777777" w:rsidTr="00752310">
        <w:trPr>
          <w:trHeight w:val="258"/>
        </w:trPr>
        <w:tc>
          <w:tcPr>
            <w:tcW w:w="2977" w:type="dxa"/>
            <w:tcBorders>
              <w:top w:val="nil"/>
              <w:bottom w:val="nil"/>
            </w:tcBorders>
            <w:shd w:val="clear" w:color="auto" w:fill="auto"/>
          </w:tcPr>
          <w:p w14:paraId="100256AD"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Central large city</w:t>
            </w:r>
          </w:p>
        </w:tc>
        <w:tc>
          <w:tcPr>
            <w:tcW w:w="1434" w:type="dxa"/>
            <w:tcBorders>
              <w:top w:val="nil"/>
              <w:bottom w:val="nil"/>
            </w:tcBorders>
            <w:shd w:val="clear" w:color="auto" w:fill="auto"/>
          </w:tcPr>
          <w:p w14:paraId="44C3EF4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58 (9.2)</w:t>
            </w:r>
          </w:p>
        </w:tc>
        <w:tc>
          <w:tcPr>
            <w:tcW w:w="1434" w:type="dxa"/>
            <w:tcBorders>
              <w:top w:val="nil"/>
              <w:bottom w:val="nil"/>
            </w:tcBorders>
            <w:shd w:val="clear" w:color="auto" w:fill="auto"/>
          </w:tcPr>
          <w:p w14:paraId="2BBE8A9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66 (10.6)</w:t>
            </w:r>
          </w:p>
        </w:tc>
        <w:tc>
          <w:tcPr>
            <w:tcW w:w="1434" w:type="dxa"/>
            <w:tcBorders>
              <w:top w:val="nil"/>
              <w:bottom w:val="nil"/>
            </w:tcBorders>
            <w:shd w:val="clear" w:color="auto" w:fill="auto"/>
          </w:tcPr>
          <w:p w14:paraId="47D7DE5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38 (7.4)</w:t>
            </w:r>
          </w:p>
        </w:tc>
        <w:tc>
          <w:tcPr>
            <w:tcW w:w="1434" w:type="dxa"/>
            <w:tcBorders>
              <w:top w:val="nil"/>
              <w:bottom w:val="nil"/>
            </w:tcBorders>
            <w:shd w:val="clear" w:color="auto" w:fill="auto"/>
          </w:tcPr>
          <w:p w14:paraId="3F79390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47 (9.2)</w:t>
            </w:r>
          </w:p>
        </w:tc>
        <w:tc>
          <w:tcPr>
            <w:tcW w:w="1352" w:type="dxa"/>
            <w:tcBorders>
              <w:top w:val="nil"/>
              <w:bottom w:val="nil"/>
            </w:tcBorders>
            <w:shd w:val="clear" w:color="auto" w:fill="auto"/>
          </w:tcPr>
          <w:p w14:paraId="288E56D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25 (5.3)</w:t>
            </w:r>
          </w:p>
        </w:tc>
        <w:tc>
          <w:tcPr>
            <w:tcW w:w="1516" w:type="dxa"/>
            <w:gridSpan w:val="2"/>
            <w:tcBorders>
              <w:top w:val="nil"/>
              <w:bottom w:val="nil"/>
            </w:tcBorders>
            <w:shd w:val="clear" w:color="auto" w:fill="auto"/>
          </w:tcPr>
          <w:p w14:paraId="77A6CCB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29 (5.9)</w:t>
            </w:r>
          </w:p>
        </w:tc>
        <w:tc>
          <w:tcPr>
            <w:tcW w:w="1434" w:type="dxa"/>
            <w:tcBorders>
              <w:top w:val="nil"/>
              <w:bottom w:val="nil"/>
            </w:tcBorders>
            <w:shd w:val="clear" w:color="auto" w:fill="auto"/>
          </w:tcPr>
          <w:p w14:paraId="5507D14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56 (24.3)</w:t>
            </w:r>
          </w:p>
        </w:tc>
        <w:tc>
          <w:tcPr>
            <w:tcW w:w="1435" w:type="dxa"/>
            <w:tcBorders>
              <w:top w:val="nil"/>
              <w:bottom w:val="nil"/>
            </w:tcBorders>
            <w:shd w:val="clear" w:color="auto" w:fill="auto"/>
          </w:tcPr>
          <w:p w14:paraId="27F3AFEA"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79 (29.1)</w:t>
            </w:r>
          </w:p>
        </w:tc>
      </w:tr>
      <w:tr w:rsidR="00E65317" w:rsidRPr="00E65317" w14:paraId="51F45049" w14:textId="77777777" w:rsidTr="00752310">
        <w:trPr>
          <w:trHeight w:val="258"/>
        </w:trPr>
        <w:tc>
          <w:tcPr>
            <w:tcW w:w="2977" w:type="dxa"/>
            <w:tcBorders>
              <w:top w:val="nil"/>
              <w:bottom w:val="single" w:sz="4" w:space="0" w:color="auto"/>
            </w:tcBorders>
            <w:shd w:val="clear" w:color="auto" w:fill="auto"/>
          </w:tcPr>
          <w:p w14:paraId="6AE51889"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Other</w:t>
            </w:r>
          </w:p>
        </w:tc>
        <w:tc>
          <w:tcPr>
            <w:tcW w:w="1434" w:type="dxa"/>
            <w:tcBorders>
              <w:top w:val="nil"/>
              <w:bottom w:val="single" w:sz="4" w:space="0" w:color="auto"/>
            </w:tcBorders>
            <w:shd w:val="clear" w:color="auto" w:fill="auto"/>
          </w:tcPr>
          <w:p w14:paraId="71EB277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 (0.2)</w:t>
            </w:r>
          </w:p>
        </w:tc>
        <w:tc>
          <w:tcPr>
            <w:tcW w:w="1434" w:type="dxa"/>
            <w:tcBorders>
              <w:top w:val="nil"/>
              <w:bottom w:val="single" w:sz="4" w:space="0" w:color="auto"/>
            </w:tcBorders>
            <w:shd w:val="clear" w:color="auto" w:fill="auto"/>
          </w:tcPr>
          <w:p w14:paraId="65560F6B"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6 (1.0)</w:t>
            </w:r>
          </w:p>
        </w:tc>
        <w:tc>
          <w:tcPr>
            <w:tcW w:w="1434" w:type="dxa"/>
            <w:tcBorders>
              <w:top w:val="nil"/>
              <w:bottom w:val="single" w:sz="4" w:space="0" w:color="auto"/>
            </w:tcBorders>
            <w:shd w:val="clear" w:color="auto" w:fill="auto"/>
          </w:tcPr>
          <w:p w14:paraId="319A5A35"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 (0.4)</w:t>
            </w:r>
          </w:p>
        </w:tc>
        <w:tc>
          <w:tcPr>
            <w:tcW w:w="1434" w:type="dxa"/>
            <w:tcBorders>
              <w:top w:val="nil"/>
              <w:bottom w:val="single" w:sz="4" w:space="0" w:color="auto"/>
            </w:tcBorders>
            <w:shd w:val="clear" w:color="auto" w:fill="auto"/>
          </w:tcPr>
          <w:p w14:paraId="09837108"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5 (1.0)</w:t>
            </w:r>
          </w:p>
        </w:tc>
        <w:tc>
          <w:tcPr>
            <w:tcW w:w="1352" w:type="dxa"/>
            <w:tcBorders>
              <w:top w:val="nil"/>
              <w:bottom w:val="single" w:sz="4" w:space="0" w:color="auto"/>
            </w:tcBorders>
            <w:shd w:val="clear" w:color="auto" w:fill="auto"/>
          </w:tcPr>
          <w:p w14:paraId="12940837"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4 (0.9)</w:t>
            </w:r>
          </w:p>
        </w:tc>
        <w:tc>
          <w:tcPr>
            <w:tcW w:w="1516" w:type="dxa"/>
            <w:gridSpan w:val="2"/>
            <w:tcBorders>
              <w:top w:val="nil"/>
              <w:bottom w:val="single" w:sz="4" w:space="0" w:color="auto"/>
            </w:tcBorders>
            <w:shd w:val="clear" w:color="auto" w:fill="auto"/>
          </w:tcPr>
          <w:p w14:paraId="540BE452"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16 (3.3)</w:t>
            </w:r>
          </w:p>
        </w:tc>
        <w:tc>
          <w:tcPr>
            <w:tcW w:w="1434" w:type="dxa"/>
            <w:tcBorders>
              <w:top w:val="nil"/>
              <w:bottom w:val="single" w:sz="4" w:space="0" w:color="auto"/>
            </w:tcBorders>
            <w:shd w:val="clear" w:color="auto" w:fill="auto"/>
          </w:tcPr>
          <w:p w14:paraId="6742FC6C"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2 (0.9)</w:t>
            </w:r>
          </w:p>
        </w:tc>
        <w:tc>
          <w:tcPr>
            <w:tcW w:w="1435" w:type="dxa"/>
            <w:tcBorders>
              <w:top w:val="nil"/>
              <w:bottom w:val="single" w:sz="4" w:space="0" w:color="auto"/>
            </w:tcBorders>
            <w:shd w:val="clear" w:color="auto" w:fill="auto"/>
          </w:tcPr>
          <w:p w14:paraId="0FDAA4E3" w14:textId="77777777" w:rsidR="00E65317" w:rsidRPr="00E65317" w:rsidRDefault="00E65317" w:rsidP="00E65317">
            <w:pPr>
              <w:spacing w:after="160" w:line="259" w:lineRule="auto"/>
              <w:rPr>
                <w:rFonts w:cs="Times New Roman"/>
                <w:szCs w:val="24"/>
                <w:lang w:val="en-US"/>
              </w:rPr>
            </w:pPr>
            <w:r w:rsidRPr="00E65317">
              <w:rPr>
                <w:rFonts w:cs="Times New Roman"/>
                <w:szCs w:val="24"/>
                <w:lang w:val="en-US"/>
              </w:rPr>
              <w:t>3 (1.0)</w:t>
            </w:r>
          </w:p>
        </w:tc>
      </w:tr>
    </w:tbl>
    <w:p w14:paraId="24B8E6B9" w14:textId="77777777" w:rsidR="00E65317" w:rsidRPr="00E65317" w:rsidRDefault="00E65317" w:rsidP="00E65317">
      <w:pPr>
        <w:spacing w:after="160" w:line="259" w:lineRule="auto"/>
        <w:rPr>
          <w:rFonts w:cs="Times New Roman"/>
          <w:szCs w:val="24"/>
          <w:lang w:val="en-US"/>
        </w:rPr>
      </w:pPr>
    </w:p>
    <w:p w14:paraId="647817C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US"/>
        </w:rPr>
        <w:br w:type="page"/>
      </w:r>
      <w:r w:rsidRPr="00E65317">
        <w:rPr>
          <w:rFonts w:cs="Times New Roman"/>
          <w:szCs w:val="24"/>
          <w:lang w:val="en-US"/>
        </w:rPr>
        <w:lastRenderedPageBreak/>
        <w:t>T</w:t>
      </w:r>
      <w:r w:rsidRPr="00E65317">
        <w:rPr>
          <w:rFonts w:cs="Times New Roman"/>
          <w:szCs w:val="24"/>
          <w:lang w:val="en-GB"/>
        </w:rPr>
        <w:t>able 2. Frequency of Sexual Avoidance (in the last year) Among Men and Women in a Steady Relationship (percentage)</w:t>
      </w:r>
    </w:p>
    <w:p w14:paraId="6E342B11" w14:textId="77777777" w:rsidR="00E65317" w:rsidRPr="00E65317" w:rsidRDefault="00E65317" w:rsidP="00E65317">
      <w:pPr>
        <w:spacing w:after="160" w:line="259" w:lineRule="auto"/>
        <w:rPr>
          <w:rFonts w:cs="Times New Roman"/>
          <w:szCs w:val="24"/>
          <w:lang w:val="en-GB"/>
        </w:rPr>
      </w:pPr>
    </w:p>
    <w:tbl>
      <w:tblPr>
        <w:tblStyle w:val="TableGrid"/>
        <w:tblW w:w="158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1117"/>
        <w:gridCol w:w="1395"/>
      </w:tblGrid>
      <w:tr w:rsidR="00E65317" w:rsidRPr="00E65317" w14:paraId="4706AC72" w14:textId="77777777" w:rsidTr="00752310">
        <w:tc>
          <w:tcPr>
            <w:tcW w:w="2166" w:type="pct"/>
            <w:tcBorders>
              <w:top w:val="single" w:sz="4" w:space="0" w:color="auto"/>
              <w:bottom w:val="nil"/>
            </w:tcBorders>
          </w:tcPr>
          <w:p w14:paraId="626510DA" w14:textId="77777777" w:rsidR="00E65317" w:rsidRPr="00E65317" w:rsidRDefault="00E65317" w:rsidP="00E65317">
            <w:pPr>
              <w:spacing w:after="160" w:line="259" w:lineRule="auto"/>
              <w:rPr>
                <w:rFonts w:cs="Times New Roman"/>
                <w:szCs w:val="24"/>
                <w:lang w:val="en-GB"/>
              </w:rPr>
            </w:pPr>
          </w:p>
        </w:tc>
        <w:tc>
          <w:tcPr>
            <w:tcW w:w="1260" w:type="pct"/>
            <w:tcBorders>
              <w:top w:val="single" w:sz="4" w:space="0" w:color="auto"/>
              <w:bottom w:val="nil"/>
              <w:right w:val="single" w:sz="4" w:space="0" w:color="auto"/>
            </w:tcBorders>
          </w:tcPr>
          <w:p w14:paraId="5A4467C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Men</w:t>
            </w:r>
          </w:p>
          <w:p w14:paraId="0D4DAB9D" w14:textId="77777777" w:rsidR="00E65317" w:rsidRPr="00E65317" w:rsidRDefault="00E65317" w:rsidP="00E65317">
            <w:pPr>
              <w:spacing w:after="160" w:line="259" w:lineRule="auto"/>
              <w:rPr>
                <w:rFonts w:cs="Times New Roman"/>
                <w:szCs w:val="24"/>
                <w:lang w:val="en-GB"/>
              </w:rPr>
            </w:pPr>
            <w:r w:rsidRPr="00E65317">
              <w:rPr>
                <w:rFonts w:cs="Times New Roman"/>
                <w:i/>
                <w:szCs w:val="24"/>
                <w:lang w:val="en-GB"/>
              </w:rPr>
              <w:t xml:space="preserve">n </w:t>
            </w:r>
            <w:r w:rsidRPr="00E65317">
              <w:rPr>
                <w:rFonts w:cs="Times New Roman"/>
                <w:szCs w:val="24"/>
                <w:lang w:val="en-GB"/>
              </w:rPr>
              <w:t>= 1476</w:t>
            </w:r>
          </w:p>
        </w:tc>
        <w:tc>
          <w:tcPr>
            <w:tcW w:w="1574" w:type="pct"/>
            <w:tcBorders>
              <w:top w:val="single" w:sz="4" w:space="0" w:color="auto"/>
              <w:bottom w:val="nil"/>
              <w:right w:val="nil"/>
            </w:tcBorders>
          </w:tcPr>
          <w:p w14:paraId="77BD5E9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Women</w:t>
            </w:r>
          </w:p>
          <w:p w14:paraId="36E33F78" w14:textId="77777777" w:rsidR="00E65317" w:rsidRPr="00E65317" w:rsidRDefault="00E65317" w:rsidP="00E65317">
            <w:pPr>
              <w:spacing w:after="160" w:line="259" w:lineRule="auto"/>
              <w:rPr>
                <w:rFonts w:cs="Times New Roman"/>
                <w:szCs w:val="24"/>
                <w:lang w:val="en-GB"/>
              </w:rPr>
            </w:pPr>
            <w:r w:rsidRPr="00E65317">
              <w:rPr>
                <w:rFonts w:cs="Times New Roman"/>
                <w:i/>
                <w:szCs w:val="24"/>
                <w:lang w:val="en-GB"/>
              </w:rPr>
              <w:t>n</w:t>
            </w:r>
            <w:r w:rsidRPr="00E65317">
              <w:rPr>
                <w:rFonts w:cs="Times New Roman"/>
                <w:szCs w:val="24"/>
                <w:lang w:val="en-GB"/>
              </w:rPr>
              <w:t xml:space="preserve"> = 1184</w:t>
            </w:r>
          </w:p>
        </w:tc>
      </w:tr>
      <w:tr w:rsidR="00E65317" w:rsidRPr="00E65317" w14:paraId="59DEEF47" w14:textId="77777777" w:rsidTr="00752310">
        <w:tc>
          <w:tcPr>
            <w:tcW w:w="2166" w:type="pct"/>
            <w:tcBorders>
              <w:top w:val="single" w:sz="4" w:space="0" w:color="auto"/>
            </w:tcBorders>
          </w:tcPr>
          <w:p w14:paraId="661260B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Never</w:t>
            </w:r>
          </w:p>
        </w:tc>
        <w:tc>
          <w:tcPr>
            <w:tcW w:w="1260" w:type="pct"/>
            <w:tcBorders>
              <w:top w:val="single" w:sz="4" w:space="0" w:color="auto"/>
              <w:right w:val="single" w:sz="4" w:space="0" w:color="auto"/>
            </w:tcBorders>
          </w:tcPr>
          <w:p w14:paraId="6A142085"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59.1</w:t>
            </w:r>
          </w:p>
        </w:tc>
        <w:tc>
          <w:tcPr>
            <w:tcW w:w="1574" w:type="pct"/>
            <w:tcBorders>
              <w:top w:val="single" w:sz="4" w:space="0" w:color="auto"/>
              <w:right w:val="nil"/>
            </w:tcBorders>
          </w:tcPr>
          <w:p w14:paraId="21306D54"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33.0</w:t>
            </w:r>
          </w:p>
        </w:tc>
      </w:tr>
      <w:tr w:rsidR="00E65317" w:rsidRPr="00E65317" w14:paraId="1A69CA95" w14:textId="77777777" w:rsidTr="00752310">
        <w:tc>
          <w:tcPr>
            <w:tcW w:w="2166" w:type="pct"/>
          </w:tcPr>
          <w:p w14:paraId="588E66B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Rarely</w:t>
            </w:r>
          </w:p>
        </w:tc>
        <w:tc>
          <w:tcPr>
            <w:tcW w:w="1260" w:type="pct"/>
            <w:tcBorders>
              <w:right w:val="single" w:sz="4" w:space="0" w:color="auto"/>
            </w:tcBorders>
          </w:tcPr>
          <w:p w14:paraId="6A08225F"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22.0</w:t>
            </w:r>
          </w:p>
        </w:tc>
        <w:tc>
          <w:tcPr>
            <w:tcW w:w="1574" w:type="pct"/>
            <w:tcBorders>
              <w:right w:val="nil"/>
            </w:tcBorders>
          </w:tcPr>
          <w:p w14:paraId="551B7BD0"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27.5</w:t>
            </w:r>
          </w:p>
        </w:tc>
      </w:tr>
      <w:tr w:rsidR="00E65317" w:rsidRPr="00E65317" w14:paraId="4A8F0D03" w14:textId="77777777" w:rsidTr="00752310">
        <w:tc>
          <w:tcPr>
            <w:tcW w:w="2166" w:type="pct"/>
          </w:tcPr>
          <w:p w14:paraId="678D7EC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Sometimes</w:t>
            </w:r>
          </w:p>
        </w:tc>
        <w:tc>
          <w:tcPr>
            <w:tcW w:w="1260" w:type="pct"/>
            <w:tcBorders>
              <w:right w:val="single" w:sz="4" w:space="0" w:color="auto"/>
            </w:tcBorders>
          </w:tcPr>
          <w:p w14:paraId="3A46AC62"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7.9</w:t>
            </w:r>
          </w:p>
        </w:tc>
        <w:tc>
          <w:tcPr>
            <w:tcW w:w="1574" w:type="pct"/>
            <w:tcBorders>
              <w:right w:val="nil"/>
            </w:tcBorders>
          </w:tcPr>
          <w:p w14:paraId="444FF5A1"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23.6</w:t>
            </w:r>
          </w:p>
        </w:tc>
      </w:tr>
      <w:tr w:rsidR="00E65317" w:rsidRPr="00E65317" w14:paraId="16F7B53C" w14:textId="77777777" w:rsidTr="00752310">
        <w:tc>
          <w:tcPr>
            <w:tcW w:w="2166" w:type="pct"/>
          </w:tcPr>
          <w:p w14:paraId="6CF2F8A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Often</w:t>
            </w:r>
          </w:p>
        </w:tc>
        <w:tc>
          <w:tcPr>
            <w:tcW w:w="1260" w:type="pct"/>
            <w:tcBorders>
              <w:right w:val="single" w:sz="4" w:space="0" w:color="auto"/>
            </w:tcBorders>
          </w:tcPr>
          <w:p w14:paraId="403A8406"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4.5</w:t>
            </w:r>
          </w:p>
        </w:tc>
        <w:tc>
          <w:tcPr>
            <w:tcW w:w="1574" w:type="pct"/>
            <w:tcBorders>
              <w:right w:val="nil"/>
            </w:tcBorders>
          </w:tcPr>
          <w:p w14:paraId="1FE7B42C"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6.1</w:t>
            </w:r>
          </w:p>
        </w:tc>
      </w:tr>
      <w:tr w:rsidR="00E65317" w:rsidRPr="00E65317" w14:paraId="047A2D0C" w14:textId="77777777" w:rsidTr="00752310">
        <w:tc>
          <w:tcPr>
            <w:tcW w:w="2166" w:type="pct"/>
          </w:tcPr>
          <w:p w14:paraId="37F0699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Always or almost</w:t>
            </w:r>
          </w:p>
          <w:p w14:paraId="1D0F481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always</w:t>
            </w:r>
          </w:p>
        </w:tc>
        <w:tc>
          <w:tcPr>
            <w:tcW w:w="1260" w:type="pct"/>
            <w:tcBorders>
              <w:right w:val="single" w:sz="4" w:space="0" w:color="auto"/>
            </w:tcBorders>
          </w:tcPr>
          <w:p w14:paraId="6E4DF884"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6.5</w:t>
            </w:r>
          </w:p>
        </w:tc>
        <w:tc>
          <w:tcPr>
            <w:tcW w:w="1574" w:type="pct"/>
            <w:tcBorders>
              <w:bottom w:val="single" w:sz="4" w:space="0" w:color="auto"/>
              <w:right w:val="nil"/>
            </w:tcBorders>
          </w:tcPr>
          <w:p w14:paraId="4043CF72" w14:textId="77777777" w:rsidR="00E65317" w:rsidRPr="00E65317" w:rsidRDefault="00E65317" w:rsidP="00E65317">
            <w:pPr>
              <w:spacing w:after="160" w:line="259" w:lineRule="auto"/>
              <w:rPr>
                <w:rFonts w:cs="Times New Roman"/>
                <w:szCs w:val="24"/>
                <w:lang w:val="pt-PT"/>
              </w:rPr>
            </w:pPr>
            <w:r w:rsidRPr="00E65317">
              <w:rPr>
                <w:rFonts w:cs="Times New Roman"/>
                <w:szCs w:val="24"/>
                <w:lang w:val="en-GB"/>
              </w:rPr>
              <w:t>9.8</w:t>
            </w:r>
          </w:p>
        </w:tc>
      </w:tr>
    </w:tbl>
    <w:p w14:paraId="5E1ED6A9" w14:textId="77777777" w:rsidR="00E65317" w:rsidRPr="00E65317" w:rsidRDefault="00E65317" w:rsidP="00E65317">
      <w:pPr>
        <w:spacing w:after="160" w:line="259" w:lineRule="auto"/>
        <w:rPr>
          <w:rFonts w:cs="Times New Roman"/>
          <w:szCs w:val="24"/>
          <w:lang w:val="en-GB"/>
        </w:rPr>
      </w:pPr>
    </w:p>
    <w:p w14:paraId="601DFF2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br w:type="page"/>
      </w:r>
    </w:p>
    <w:p w14:paraId="79D2CC1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lastRenderedPageBreak/>
        <w:t xml:space="preserve">Table 3. Reasons to Avoid Sex in Partnered Men and Women by Country </w:t>
      </w:r>
    </w:p>
    <w:p w14:paraId="26EB91E7" w14:textId="77777777" w:rsidR="00E65317" w:rsidRPr="00E65317" w:rsidRDefault="00E65317" w:rsidP="00E65317">
      <w:pPr>
        <w:spacing w:after="160" w:line="259" w:lineRule="auto"/>
        <w:rPr>
          <w:rFonts w:cs="Times New Roman"/>
          <w:szCs w:val="24"/>
          <w:lang w:val="en-GB"/>
        </w:rPr>
      </w:pPr>
    </w:p>
    <w:tbl>
      <w:tblPr>
        <w:tblStyle w:val="TableGrid"/>
        <w:tblW w:w="14567"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1222"/>
        <w:gridCol w:w="1474"/>
        <w:gridCol w:w="1117"/>
        <w:gridCol w:w="1114"/>
        <w:gridCol w:w="941"/>
        <w:gridCol w:w="876"/>
        <w:gridCol w:w="992"/>
        <w:gridCol w:w="1129"/>
        <w:gridCol w:w="1117"/>
        <w:gridCol w:w="1114"/>
        <w:gridCol w:w="941"/>
        <w:gridCol w:w="792"/>
      </w:tblGrid>
      <w:tr w:rsidR="00E65317" w:rsidRPr="00E65317" w14:paraId="453CE301" w14:textId="77777777" w:rsidTr="00752310">
        <w:tc>
          <w:tcPr>
            <w:tcW w:w="1738" w:type="dxa"/>
            <w:tcBorders>
              <w:top w:val="single" w:sz="4" w:space="0" w:color="auto"/>
              <w:bottom w:val="single" w:sz="4" w:space="0" w:color="auto"/>
            </w:tcBorders>
          </w:tcPr>
          <w:p w14:paraId="364909C9" w14:textId="77777777" w:rsidR="00E65317" w:rsidRPr="00E65317" w:rsidRDefault="00E65317" w:rsidP="00E65317">
            <w:pPr>
              <w:spacing w:after="160" w:line="259" w:lineRule="auto"/>
              <w:rPr>
                <w:rFonts w:cs="Times New Roman"/>
                <w:szCs w:val="24"/>
                <w:lang w:val="en-GB"/>
              </w:rPr>
            </w:pPr>
          </w:p>
        </w:tc>
        <w:tc>
          <w:tcPr>
            <w:tcW w:w="4927" w:type="dxa"/>
            <w:gridSpan w:val="4"/>
            <w:tcBorders>
              <w:top w:val="single" w:sz="4" w:space="0" w:color="auto"/>
              <w:bottom w:val="single" w:sz="4" w:space="0" w:color="auto"/>
              <w:right w:val="nil"/>
            </w:tcBorders>
          </w:tcPr>
          <w:p w14:paraId="2B0926B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Men</w:t>
            </w:r>
          </w:p>
        </w:tc>
        <w:tc>
          <w:tcPr>
            <w:tcW w:w="941" w:type="dxa"/>
            <w:tcBorders>
              <w:top w:val="single" w:sz="4" w:space="0" w:color="auto"/>
              <w:left w:val="nil"/>
              <w:bottom w:val="single" w:sz="4" w:space="0" w:color="auto"/>
              <w:right w:val="nil"/>
            </w:tcBorders>
          </w:tcPr>
          <w:p w14:paraId="191EBA8F" w14:textId="77777777" w:rsidR="00E65317" w:rsidRPr="00E65317" w:rsidRDefault="00E65317" w:rsidP="00E65317">
            <w:pPr>
              <w:spacing w:after="160" w:line="259" w:lineRule="auto"/>
              <w:rPr>
                <w:rFonts w:cs="Times New Roman"/>
                <w:szCs w:val="24"/>
                <w:lang w:val="en-GB"/>
              </w:rPr>
            </w:pPr>
          </w:p>
        </w:tc>
        <w:tc>
          <w:tcPr>
            <w:tcW w:w="876" w:type="dxa"/>
            <w:tcBorders>
              <w:top w:val="single" w:sz="4" w:space="0" w:color="auto"/>
              <w:left w:val="nil"/>
              <w:bottom w:val="single" w:sz="4" w:space="0" w:color="auto"/>
              <w:right w:val="nil"/>
            </w:tcBorders>
          </w:tcPr>
          <w:p w14:paraId="4AE7BA65" w14:textId="77777777" w:rsidR="00E65317" w:rsidRPr="00E65317" w:rsidRDefault="00E65317" w:rsidP="00E65317">
            <w:pPr>
              <w:spacing w:after="160" w:line="259" w:lineRule="auto"/>
              <w:rPr>
                <w:rFonts w:cs="Times New Roman"/>
                <w:szCs w:val="24"/>
                <w:lang w:val="en-GB"/>
              </w:rPr>
            </w:pPr>
          </w:p>
        </w:tc>
        <w:tc>
          <w:tcPr>
            <w:tcW w:w="4352" w:type="dxa"/>
            <w:gridSpan w:val="4"/>
            <w:tcBorders>
              <w:top w:val="single" w:sz="4" w:space="0" w:color="auto"/>
              <w:left w:val="nil"/>
              <w:bottom w:val="single" w:sz="4" w:space="0" w:color="auto"/>
              <w:right w:val="nil"/>
            </w:tcBorders>
          </w:tcPr>
          <w:p w14:paraId="36E6823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Women</w:t>
            </w:r>
          </w:p>
        </w:tc>
        <w:tc>
          <w:tcPr>
            <w:tcW w:w="941" w:type="dxa"/>
            <w:tcBorders>
              <w:top w:val="single" w:sz="4" w:space="0" w:color="auto"/>
              <w:left w:val="nil"/>
              <w:bottom w:val="single" w:sz="4" w:space="0" w:color="auto"/>
              <w:right w:val="nil"/>
            </w:tcBorders>
          </w:tcPr>
          <w:p w14:paraId="441F5E4A" w14:textId="77777777" w:rsidR="00E65317" w:rsidRPr="00E65317" w:rsidRDefault="00E65317" w:rsidP="00E65317">
            <w:pPr>
              <w:spacing w:after="160" w:line="259" w:lineRule="auto"/>
              <w:rPr>
                <w:rFonts w:cs="Times New Roman"/>
                <w:szCs w:val="24"/>
                <w:lang w:val="en-GB"/>
              </w:rPr>
            </w:pPr>
          </w:p>
        </w:tc>
        <w:tc>
          <w:tcPr>
            <w:tcW w:w="792" w:type="dxa"/>
            <w:tcBorders>
              <w:top w:val="single" w:sz="4" w:space="0" w:color="auto"/>
              <w:left w:val="nil"/>
              <w:bottom w:val="single" w:sz="4" w:space="0" w:color="auto"/>
            </w:tcBorders>
          </w:tcPr>
          <w:p w14:paraId="02710797" w14:textId="77777777" w:rsidR="00E65317" w:rsidRPr="00E65317" w:rsidRDefault="00E65317" w:rsidP="00E65317">
            <w:pPr>
              <w:spacing w:after="160" w:line="259" w:lineRule="auto"/>
              <w:rPr>
                <w:rFonts w:cs="Times New Roman"/>
                <w:szCs w:val="24"/>
                <w:lang w:val="en-GB"/>
              </w:rPr>
            </w:pPr>
          </w:p>
        </w:tc>
      </w:tr>
      <w:tr w:rsidR="00E65317" w:rsidRPr="00E65317" w14:paraId="7AC88D5B" w14:textId="77777777" w:rsidTr="00752310">
        <w:tc>
          <w:tcPr>
            <w:tcW w:w="1738" w:type="dxa"/>
            <w:tcBorders>
              <w:top w:val="single" w:sz="4" w:space="0" w:color="auto"/>
              <w:bottom w:val="single" w:sz="4" w:space="0" w:color="auto"/>
            </w:tcBorders>
          </w:tcPr>
          <w:p w14:paraId="4BDD6B37" w14:textId="77777777" w:rsidR="00E65317" w:rsidRPr="00E65317" w:rsidRDefault="00E65317" w:rsidP="00E65317">
            <w:pPr>
              <w:spacing w:after="160" w:line="259" w:lineRule="auto"/>
              <w:rPr>
                <w:rFonts w:cs="Times New Roman"/>
                <w:szCs w:val="24"/>
                <w:lang w:val="en-GB"/>
              </w:rPr>
            </w:pPr>
          </w:p>
        </w:tc>
        <w:tc>
          <w:tcPr>
            <w:tcW w:w="1222" w:type="dxa"/>
            <w:tcBorders>
              <w:top w:val="single" w:sz="4" w:space="0" w:color="auto"/>
              <w:bottom w:val="single" w:sz="4" w:space="0" w:color="auto"/>
            </w:tcBorders>
          </w:tcPr>
          <w:p w14:paraId="0867034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Norway</w:t>
            </w:r>
          </w:p>
          <w:p w14:paraId="72F4D27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211</w:t>
            </w:r>
          </w:p>
        </w:tc>
        <w:tc>
          <w:tcPr>
            <w:tcW w:w="1474" w:type="dxa"/>
            <w:tcBorders>
              <w:top w:val="single" w:sz="4" w:space="0" w:color="auto"/>
              <w:bottom w:val="single" w:sz="4" w:space="0" w:color="auto"/>
            </w:tcBorders>
          </w:tcPr>
          <w:p w14:paraId="353C0B9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Denmark</w:t>
            </w:r>
          </w:p>
          <w:p w14:paraId="5B961F6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152</w:t>
            </w:r>
          </w:p>
        </w:tc>
        <w:tc>
          <w:tcPr>
            <w:tcW w:w="1117" w:type="dxa"/>
            <w:tcBorders>
              <w:top w:val="single" w:sz="4" w:space="0" w:color="auto"/>
              <w:bottom w:val="single" w:sz="4" w:space="0" w:color="auto"/>
            </w:tcBorders>
          </w:tcPr>
          <w:p w14:paraId="2940D54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Belgium</w:t>
            </w:r>
          </w:p>
          <w:p w14:paraId="374279C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162</w:t>
            </w:r>
          </w:p>
        </w:tc>
        <w:tc>
          <w:tcPr>
            <w:tcW w:w="1114" w:type="dxa"/>
            <w:tcBorders>
              <w:top w:val="single" w:sz="4" w:space="0" w:color="auto"/>
              <w:bottom w:val="single" w:sz="4" w:space="0" w:color="auto"/>
              <w:right w:val="nil"/>
            </w:tcBorders>
          </w:tcPr>
          <w:p w14:paraId="0C46AC9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Portugal</w:t>
            </w:r>
          </w:p>
          <w:p w14:paraId="0E58333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78</w:t>
            </w:r>
          </w:p>
        </w:tc>
        <w:tc>
          <w:tcPr>
            <w:tcW w:w="941" w:type="dxa"/>
            <w:tcBorders>
              <w:top w:val="single" w:sz="4" w:space="0" w:color="auto"/>
              <w:left w:val="nil"/>
              <w:bottom w:val="single" w:sz="4" w:space="0" w:color="auto"/>
              <w:right w:val="nil"/>
            </w:tcBorders>
          </w:tcPr>
          <w:p w14:paraId="68B273D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Total</w:t>
            </w:r>
          </w:p>
          <w:p w14:paraId="2112E04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603</w:t>
            </w:r>
          </w:p>
        </w:tc>
        <w:tc>
          <w:tcPr>
            <w:tcW w:w="876" w:type="dxa"/>
            <w:tcBorders>
              <w:top w:val="single" w:sz="4" w:space="0" w:color="auto"/>
              <w:left w:val="nil"/>
              <w:bottom w:val="single" w:sz="4" w:space="0" w:color="auto"/>
              <w:right w:val="nil"/>
            </w:tcBorders>
          </w:tcPr>
          <w:p w14:paraId="6C3340E9" w14:textId="77777777" w:rsidR="00E65317" w:rsidRPr="00E65317" w:rsidRDefault="00E65317" w:rsidP="00E65317">
            <w:pPr>
              <w:spacing w:after="160" w:line="259" w:lineRule="auto"/>
              <w:rPr>
                <w:rFonts w:cs="Times New Roman"/>
                <w:szCs w:val="24"/>
                <w:lang w:val="en-GB"/>
              </w:rPr>
            </w:pPr>
            <w:r w:rsidRPr="00E65317">
              <w:rPr>
                <w:rFonts w:cs="Times New Roman"/>
                <w:i/>
                <w:szCs w:val="24"/>
                <w:lang w:val="en-GB"/>
              </w:rPr>
              <w:t>p</w:t>
            </w:r>
            <w:r w:rsidRPr="00E65317">
              <w:rPr>
                <w:rFonts w:cs="Times New Roman"/>
                <w:szCs w:val="24"/>
                <w:lang w:val="en-GB"/>
              </w:rPr>
              <w:t xml:space="preserve"> &lt;*</w:t>
            </w:r>
          </w:p>
        </w:tc>
        <w:tc>
          <w:tcPr>
            <w:tcW w:w="992" w:type="dxa"/>
            <w:tcBorders>
              <w:top w:val="single" w:sz="4" w:space="0" w:color="auto"/>
              <w:left w:val="nil"/>
              <w:bottom w:val="single" w:sz="4" w:space="0" w:color="auto"/>
            </w:tcBorders>
          </w:tcPr>
          <w:p w14:paraId="054E162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Norway</w:t>
            </w:r>
          </w:p>
          <w:p w14:paraId="1FB53C4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279</w:t>
            </w:r>
          </w:p>
        </w:tc>
        <w:tc>
          <w:tcPr>
            <w:tcW w:w="1129" w:type="dxa"/>
            <w:tcBorders>
              <w:top w:val="single" w:sz="4" w:space="0" w:color="auto"/>
              <w:bottom w:val="single" w:sz="4" w:space="0" w:color="auto"/>
            </w:tcBorders>
          </w:tcPr>
          <w:p w14:paraId="06D61C4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Denmark</w:t>
            </w:r>
          </w:p>
          <w:p w14:paraId="5F088BC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254</w:t>
            </w:r>
          </w:p>
        </w:tc>
        <w:tc>
          <w:tcPr>
            <w:tcW w:w="1117" w:type="dxa"/>
            <w:tcBorders>
              <w:top w:val="single" w:sz="4" w:space="0" w:color="auto"/>
              <w:bottom w:val="single" w:sz="4" w:space="0" w:color="auto"/>
            </w:tcBorders>
          </w:tcPr>
          <w:p w14:paraId="65E6B73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Belgium</w:t>
            </w:r>
          </w:p>
          <w:p w14:paraId="5F0FB11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148</w:t>
            </w:r>
          </w:p>
        </w:tc>
        <w:tc>
          <w:tcPr>
            <w:tcW w:w="1114" w:type="dxa"/>
            <w:tcBorders>
              <w:top w:val="single" w:sz="4" w:space="0" w:color="auto"/>
              <w:bottom w:val="single" w:sz="4" w:space="0" w:color="auto"/>
              <w:right w:val="nil"/>
            </w:tcBorders>
          </w:tcPr>
          <w:p w14:paraId="78099FB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Portugal</w:t>
            </w:r>
          </w:p>
          <w:p w14:paraId="2440F99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113</w:t>
            </w:r>
          </w:p>
        </w:tc>
        <w:tc>
          <w:tcPr>
            <w:tcW w:w="941" w:type="dxa"/>
            <w:tcBorders>
              <w:top w:val="single" w:sz="4" w:space="0" w:color="auto"/>
              <w:left w:val="nil"/>
              <w:bottom w:val="single" w:sz="4" w:space="0" w:color="auto"/>
              <w:right w:val="nil"/>
            </w:tcBorders>
          </w:tcPr>
          <w:p w14:paraId="6BB3BBB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Total</w:t>
            </w:r>
          </w:p>
          <w:p w14:paraId="69346B1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n = 794</w:t>
            </w:r>
          </w:p>
        </w:tc>
        <w:tc>
          <w:tcPr>
            <w:tcW w:w="792" w:type="dxa"/>
            <w:tcBorders>
              <w:top w:val="single" w:sz="4" w:space="0" w:color="auto"/>
              <w:left w:val="nil"/>
              <w:bottom w:val="single" w:sz="4" w:space="0" w:color="auto"/>
            </w:tcBorders>
          </w:tcPr>
          <w:p w14:paraId="1AFD1984" w14:textId="77777777" w:rsidR="00E65317" w:rsidRPr="00E65317" w:rsidRDefault="00E65317" w:rsidP="00E65317">
            <w:pPr>
              <w:spacing w:after="160" w:line="259" w:lineRule="auto"/>
              <w:rPr>
                <w:rFonts w:cs="Times New Roman"/>
                <w:szCs w:val="24"/>
                <w:lang w:val="en-GB"/>
              </w:rPr>
            </w:pPr>
            <w:r w:rsidRPr="00E65317">
              <w:rPr>
                <w:rFonts w:cs="Times New Roman"/>
                <w:i/>
                <w:szCs w:val="24"/>
                <w:lang w:val="en-GB"/>
              </w:rPr>
              <w:t>p</w:t>
            </w:r>
            <w:r w:rsidRPr="00E65317">
              <w:rPr>
                <w:rFonts w:cs="Times New Roman"/>
                <w:szCs w:val="24"/>
                <w:lang w:val="en-GB"/>
              </w:rPr>
              <w:t xml:space="preserve"> &lt;*</w:t>
            </w:r>
          </w:p>
        </w:tc>
      </w:tr>
      <w:tr w:rsidR="00E65317" w:rsidRPr="00E65317" w14:paraId="451075C5" w14:textId="77777777" w:rsidTr="00752310">
        <w:tc>
          <w:tcPr>
            <w:tcW w:w="7606" w:type="dxa"/>
            <w:gridSpan w:val="6"/>
            <w:tcBorders>
              <w:top w:val="single" w:sz="4" w:space="0" w:color="auto"/>
              <w:bottom w:val="single" w:sz="4" w:space="0" w:color="auto"/>
              <w:right w:val="nil"/>
            </w:tcBorders>
          </w:tcPr>
          <w:p w14:paraId="7AE3C2E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w:t>
            </w:r>
          </w:p>
        </w:tc>
        <w:tc>
          <w:tcPr>
            <w:tcW w:w="876" w:type="dxa"/>
            <w:tcBorders>
              <w:top w:val="single" w:sz="4" w:space="0" w:color="auto"/>
              <w:left w:val="nil"/>
              <w:bottom w:val="single" w:sz="4" w:space="0" w:color="auto"/>
              <w:right w:val="nil"/>
            </w:tcBorders>
          </w:tcPr>
          <w:p w14:paraId="0EBA33CD" w14:textId="77777777" w:rsidR="00E65317" w:rsidRPr="00E65317" w:rsidRDefault="00E65317" w:rsidP="00E65317">
            <w:pPr>
              <w:spacing w:after="160" w:line="259" w:lineRule="auto"/>
              <w:rPr>
                <w:rFonts w:cs="Times New Roman"/>
                <w:i/>
                <w:szCs w:val="24"/>
                <w:lang w:val="en-GB"/>
              </w:rPr>
            </w:pPr>
          </w:p>
        </w:tc>
        <w:tc>
          <w:tcPr>
            <w:tcW w:w="5293" w:type="dxa"/>
            <w:gridSpan w:val="5"/>
            <w:tcBorders>
              <w:top w:val="single" w:sz="4" w:space="0" w:color="auto"/>
              <w:left w:val="nil"/>
              <w:bottom w:val="single" w:sz="4" w:space="0" w:color="auto"/>
              <w:right w:val="nil"/>
            </w:tcBorders>
          </w:tcPr>
          <w:p w14:paraId="1862056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w:t>
            </w:r>
          </w:p>
        </w:tc>
        <w:tc>
          <w:tcPr>
            <w:tcW w:w="792" w:type="dxa"/>
            <w:tcBorders>
              <w:top w:val="single" w:sz="4" w:space="0" w:color="auto"/>
              <w:left w:val="nil"/>
              <w:bottom w:val="single" w:sz="4" w:space="0" w:color="auto"/>
            </w:tcBorders>
          </w:tcPr>
          <w:p w14:paraId="03754624" w14:textId="77777777" w:rsidR="00E65317" w:rsidRPr="00E65317" w:rsidRDefault="00E65317" w:rsidP="00E65317">
            <w:pPr>
              <w:spacing w:after="160" w:line="259" w:lineRule="auto"/>
              <w:rPr>
                <w:rFonts w:cs="Times New Roman"/>
                <w:i/>
                <w:szCs w:val="24"/>
                <w:lang w:val="en-GB"/>
              </w:rPr>
            </w:pPr>
          </w:p>
        </w:tc>
      </w:tr>
      <w:tr w:rsidR="00E65317" w:rsidRPr="00E65317" w14:paraId="584F3736" w14:textId="77777777" w:rsidTr="00752310">
        <w:tc>
          <w:tcPr>
            <w:tcW w:w="1738" w:type="dxa"/>
            <w:tcBorders>
              <w:top w:val="single" w:sz="4" w:space="0" w:color="auto"/>
            </w:tcBorders>
          </w:tcPr>
          <w:p w14:paraId="2382E43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Relationship </w:t>
            </w:r>
          </w:p>
          <w:p w14:paraId="6F7A60D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Problems</w:t>
            </w:r>
          </w:p>
        </w:tc>
        <w:tc>
          <w:tcPr>
            <w:tcW w:w="1222" w:type="dxa"/>
            <w:tcBorders>
              <w:top w:val="single" w:sz="4" w:space="0" w:color="auto"/>
            </w:tcBorders>
          </w:tcPr>
          <w:p w14:paraId="44E29EF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6.0</w:t>
            </w:r>
          </w:p>
        </w:tc>
        <w:tc>
          <w:tcPr>
            <w:tcW w:w="1474" w:type="dxa"/>
            <w:tcBorders>
              <w:top w:val="single" w:sz="4" w:space="0" w:color="auto"/>
            </w:tcBorders>
          </w:tcPr>
          <w:p w14:paraId="44F8D7F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11.6</w:t>
            </w:r>
          </w:p>
        </w:tc>
        <w:tc>
          <w:tcPr>
            <w:tcW w:w="1117" w:type="dxa"/>
            <w:tcBorders>
              <w:top w:val="single" w:sz="4" w:space="0" w:color="auto"/>
            </w:tcBorders>
          </w:tcPr>
          <w:p w14:paraId="1982436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16.7</w:t>
            </w:r>
          </w:p>
        </w:tc>
        <w:tc>
          <w:tcPr>
            <w:tcW w:w="1114" w:type="dxa"/>
            <w:tcBorders>
              <w:top w:val="single" w:sz="4" w:space="0" w:color="auto"/>
              <w:bottom w:val="nil"/>
              <w:right w:val="nil"/>
            </w:tcBorders>
          </w:tcPr>
          <w:p w14:paraId="3561698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11.5</w:t>
            </w:r>
          </w:p>
        </w:tc>
        <w:tc>
          <w:tcPr>
            <w:tcW w:w="941" w:type="dxa"/>
            <w:tcBorders>
              <w:top w:val="single" w:sz="4" w:space="0" w:color="auto"/>
              <w:left w:val="nil"/>
              <w:right w:val="nil"/>
            </w:tcBorders>
          </w:tcPr>
          <w:p w14:paraId="7519BA4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11.0</w:t>
            </w:r>
          </w:p>
        </w:tc>
        <w:tc>
          <w:tcPr>
            <w:tcW w:w="876" w:type="dxa"/>
            <w:tcBorders>
              <w:top w:val="single" w:sz="4" w:space="0" w:color="auto"/>
              <w:left w:val="nil"/>
              <w:right w:val="nil"/>
            </w:tcBorders>
          </w:tcPr>
          <w:p w14:paraId="770C210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.05</w:t>
            </w:r>
          </w:p>
        </w:tc>
        <w:tc>
          <w:tcPr>
            <w:tcW w:w="992" w:type="dxa"/>
            <w:tcBorders>
              <w:top w:val="single" w:sz="4" w:space="0" w:color="auto"/>
              <w:left w:val="nil"/>
            </w:tcBorders>
          </w:tcPr>
          <w:p w14:paraId="275B6D9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6.1</w:t>
            </w:r>
          </w:p>
        </w:tc>
        <w:tc>
          <w:tcPr>
            <w:tcW w:w="1129" w:type="dxa"/>
            <w:tcBorders>
              <w:top w:val="single" w:sz="4" w:space="0" w:color="auto"/>
            </w:tcBorders>
          </w:tcPr>
          <w:p w14:paraId="798843A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8.2</w:t>
            </w:r>
          </w:p>
        </w:tc>
        <w:tc>
          <w:tcPr>
            <w:tcW w:w="1117" w:type="dxa"/>
            <w:tcBorders>
              <w:top w:val="single" w:sz="4" w:space="0" w:color="auto"/>
            </w:tcBorders>
          </w:tcPr>
          <w:p w14:paraId="7B98129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9.2</w:t>
            </w:r>
          </w:p>
        </w:tc>
        <w:tc>
          <w:tcPr>
            <w:tcW w:w="1114" w:type="dxa"/>
            <w:tcBorders>
              <w:top w:val="single" w:sz="4" w:space="0" w:color="auto"/>
              <w:bottom w:val="nil"/>
              <w:right w:val="nil"/>
            </w:tcBorders>
          </w:tcPr>
          <w:p w14:paraId="140D27C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9.1</w:t>
            </w:r>
          </w:p>
        </w:tc>
        <w:tc>
          <w:tcPr>
            <w:tcW w:w="941" w:type="dxa"/>
            <w:tcBorders>
              <w:top w:val="single" w:sz="4" w:space="0" w:color="auto"/>
              <w:left w:val="nil"/>
              <w:right w:val="nil"/>
            </w:tcBorders>
          </w:tcPr>
          <w:p w14:paraId="57BCEFA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7.8</w:t>
            </w:r>
          </w:p>
        </w:tc>
        <w:tc>
          <w:tcPr>
            <w:tcW w:w="792" w:type="dxa"/>
            <w:tcBorders>
              <w:top w:val="single" w:sz="4" w:space="0" w:color="auto"/>
              <w:left w:val="nil"/>
            </w:tcBorders>
          </w:tcPr>
          <w:p w14:paraId="064320D5" w14:textId="77777777" w:rsidR="00E65317" w:rsidRPr="00E65317" w:rsidRDefault="00E65317" w:rsidP="00E65317">
            <w:pPr>
              <w:spacing w:after="160" w:line="259" w:lineRule="auto"/>
              <w:rPr>
                <w:rFonts w:cs="Times New Roman"/>
                <w:szCs w:val="24"/>
                <w:lang w:val="en-GB"/>
              </w:rPr>
            </w:pPr>
          </w:p>
        </w:tc>
      </w:tr>
      <w:tr w:rsidR="00E65317" w:rsidRPr="00E65317" w14:paraId="532FADA0" w14:textId="77777777" w:rsidTr="00752310">
        <w:tc>
          <w:tcPr>
            <w:tcW w:w="1738" w:type="dxa"/>
          </w:tcPr>
          <w:p w14:paraId="7205F66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Worries about</w:t>
            </w:r>
          </w:p>
          <w:p w14:paraId="69CB64F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STIs</w:t>
            </w:r>
          </w:p>
        </w:tc>
        <w:tc>
          <w:tcPr>
            <w:tcW w:w="1222" w:type="dxa"/>
          </w:tcPr>
          <w:p w14:paraId="3AED994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w:t>
            </w:r>
          </w:p>
        </w:tc>
        <w:tc>
          <w:tcPr>
            <w:tcW w:w="1474" w:type="dxa"/>
          </w:tcPr>
          <w:p w14:paraId="481DCCB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0.6</w:t>
            </w:r>
          </w:p>
        </w:tc>
        <w:tc>
          <w:tcPr>
            <w:tcW w:w="1117" w:type="dxa"/>
          </w:tcPr>
          <w:p w14:paraId="3A43BB2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2.1</w:t>
            </w:r>
          </w:p>
        </w:tc>
        <w:tc>
          <w:tcPr>
            <w:tcW w:w="1114" w:type="dxa"/>
            <w:tcBorders>
              <w:top w:val="nil"/>
              <w:bottom w:val="nil"/>
              <w:right w:val="nil"/>
            </w:tcBorders>
          </w:tcPr>
          <w:p w14:paraId="5370DC1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w:t>
            </w:r>
          </w:p>
        </w:tc>
        <w:tc>
          <w:tcPr>
            <w:tcW w:w="941" w:type="dxa"/>
            <w:tcBorders>
              <w:left w:val="nil"/>
              <w:right w:val="nil"/>
            </w:tcBorders>
          </w:tcPr>
          <w:p w14:paraId="2BB7DB9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0.7</w:t>
            </w:r>
          </w:p>
        </w:tc>
        <w:tc>
          <w:tcPr>
            <w:tcW w:w="876" w:type="dxa"/>
            <w:tcBorders>
              <w:left w:val="nil"/>
              <w:right w:val="nil"/>
            </w:tcBorders>
          </w:tcPr>
          <w:p w14:paraId="476FC7AF" w14:textId="77777777" w:rsidR="00E65317" w:rsidRPr="00E65317" w:rsidRDefault="00E65317" w:rsidP="00E65317">
            <w:pPr>
              <w:spacing w:after="160" w:line="259" w:lineRule="auto"/>
              <w:rPr>
                <w:rFonts w:cs="Times New Roman"/>
                <w:szCs w:val="24"/>
                <w:lang w:val="en-GB"/>
              </w:rPr>
            </w:pPr>
          </w:p>
        </w:tc>
        <w:tc>
          <w:tcPr>
            <w:tcW w:w="992" w:type="dxa"/>
            <w:tcBorders>
              <w:left w:val="nil"/>
            </w:tcBorders>
          </w:tcPr>
          <w:p w14:paraId="264C554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w:t>
            </w:r>
          </w:p>
        </w:tc>
        <w:tc>
          <w:tcPr>
            <w:tcW w:w="1129" w:type="dxa"/>
          </w:tcPr>
          <w:p w14:paraId="597029F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w:t>
            </w:r>
          </w:p>
        </w:tc>
        <w:tc>
          <w:tcPr>
            <w:tcW w:w="1117" w:type="dxa"/>
          </w:tcPr>
          <w:p w14:paraId="3F06797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0.4</w:t>
            </w:r>
          </w:p>
        </w:tc>
        <w:tc>
          <w:tcPr>
            <w:tcW w:w="1114" w:type="dxa"/>
            <w:tcBorders>
              <w:top w:val="nil"/>
              <w:bottom w:val="nil"/>
              <w:right w:val="nil"/>
            </w:tcBorders>
          </w:tcPr>
          <w:p w14:paraId="766DAAE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1.2</w:t>
            </w:r>
          </w:p>
        </w:tc>
        <w:tc>
          <w:tcPr>
            <w:tcW w:w="941" w:type="dxa"/>
            <w:tcBorders>
              <w:left w:val="nil"/>
              <w:right w:val="nil"/>
            </w:tcBorders>
          </w:tcPr>
          <w:p w14:paraId="6843663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0.3</w:t>
            </w:r>
          </w:p>
        </w:tc>
        <w:tc>
          <w:tcPr>
            <w:tcW w:w="792" w:type="dxa"/>
            <w:tcBorders>
              <w:left w:val="nil"/>
            </w:tcBorders>
          </w:tcPr>
          <w:p w14:paraId="7CB552A0" w14:textId="77777777" w:rsidR="00E65317" w:rsidRPr="00E65317" w:rsidRDefault="00E65317" w:rsidP="00E65317">
            <w:pPr>
              <w:spacing w:after="160" w:line="259" w:lineRule="auto"/>
              <w:rPr>
                <w:rFonts w:cs="Times New Roman"/>
                <w:szCs w:val="24"/>
                <w:lang w:val="en-GB"/>
              </w:rPr>
            </w:pPr>
          </w:p>
        </w:tc>
      </w:tr>
      <w:tr w:rsidR="00E65317" w:rsidRPr="00E65317" w14:paraId="5B352FEF" w14:textId="77777777" w:rsidTr="00752310">
        <w:tc>
          <w:tcPr>
            <w:tcW w:w="1738" w:type="dxa"/>
          </w:tcPr>
          <w:p w14:paraId="6724A35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Sexual </w:t>
            </w:r>
          </w:p>
          <w:p w14:paraId="039C61F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Difficulties</w:t>
            </w:r>
          </w:p>
        </w:tc>
        <w:tc>
          <w:tcPr>
            <w:tcW w:w="1222" w:type="dxa"/>
          </w:tcPr>
          <w:p w14:paraId="2166C3C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20.3</w:t>
            </w:r>
          </w:p>
        </w:tc>
        <w:tc>
          <w:tcPr>
            <w:tcW w:w="1474" w:type="dxa"/>
          </w:tcPr>
          <w:p w14:paraId="7E727A7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28.8</w:t>
            </w:r>
          </w:p>
        </w:tc>
        <w:tc>
          <w:tcPr>
            <w:tcW w:w="1117" w:type="dxa"/>
          </w:tcPr>
          <w:p w14:paraId="08D1361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15.4</w:t>
            </w:r>
          </w:p>
        </w:tc>
        <w:tc>
          <w:tcPr>
            <w:tcW w:w="1114" w:type="dxa"/>
            <w:tcBorders>
              <w:top w:val="nil"/>
              <w:bottom w:val="nil"/>
              <w:right w:val="nil"/>
            </w:tcBorders>
          </w:tcPr>
          <w:p w14:paraId="5D1605B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35.4</w:t>
            </w:r>
          </w:p>
        </w:tc>
        <w:tc>
          <w:tcPr>
            <w:tcW w:w="941" w:type="dxa"/>
            <w:tcBorders>
              <w:left w:val="nil"/>
              <w:right w:val="nil"/>
            </w:tcBorders>
          </w:tcPr>
          <w:p w14:paraId="30E6687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23.1</w:t>
            </w:r>
          </w:p>
        </w:tc>
        <w:tc>
          <w:tcPr>
            <w:tcW w:w="876" w:type="dxa"/>
            <w:tcBorders>
              <w:left w:val="nil"/>
              <w:right w:val="nil"/>
            </w:tcBorders>
          </w:tcPr>
          <w:p w14:paraId="12428A6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.01</w:t>
            </w:r>
          </w:p>
        </w:tc>
        <w:tc>
          <w:tcPr>
            <w:tcW w:w="992" w:type="dxa"/>
            <w:tcBorders>
              <w:left w:val="nil"/>
            </w:tcBorders>
          </w:tcPr>
          <w:p w14:paraId="1DC45DD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10.1</w:t>
            </w:r>
          </w:p>
        </w:tc>
        <w:tc>
          <w:tcPr>
            <w:tcW w:w="1129" w:type="dxa"/>
          </w:tcPr>
          <w:p w14:paraId="11510BC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7.3</w:t>
            </w:r>
          </w:p>
        </w:tc>
        <w:tc>
          <w:tcPr>
            <w:tcW w:w="1117" w:type="dxa"/>
          </w:tcPr>
          <w:p w14:paraId="6D3E734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5.3</w:t>
            </w:r>
          </w:p>
        </w:tc>
        <w:tc>
          <w:tcPr>
            <w:tcW w:w="1114" w:type="dxa"/>
            <w:tcBorders>
              <w:top w:val="nil"/>
              <w:bottom w:val="nil"/>
              <w:right w:val="nil"/>
            </w:tcBorders>
          </w:tcPr>
          <w:p w14:paraId="0FD8CF9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15.6</w:t>
            </w:r>
          </w:p>
        </w:tc>
        <w:tc>
          <w:tcPr>
            <w:tcW w:w="941" w:type="dxa"/>
            <w:tcBorders>
              <w:left w:val="nil"/>
              <w:right w:val="nil"/>
            </w:tcBorders>
          </w:tcPr>
          <w:p w14:paraId="0BA0D69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9.1</w:t>
            </w:r>
          </w:p>
        </w:tc>
        <w:tc>
          <w:tcPr>
            <w:tcW w:w="792" w:type="dxa"/>
            <w:tcBorders>
              <w:left w:val="nil"/>
            </w:tcBorders>
          </w:tcPr>
          <w:p w14:paraId="3455D0B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.05</w:t>
            </w:r>
          </w:p>
        </w:tc>
      </w:tr>
      <w:tr w:rsidR="00E65317" w:rsidRPr="00E65317" w14:paraId="4F49BD7A" w14:textId="77777777" w:rsidTr="00752310">
        <w:tc>
          <w:tcPr>
            <w:tcW w:w="1738" w:type="dxa"/>
          </w:tcPr>
          <w:p w14:paraId="227CBEC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Partner sexual</w:t>
            </w:r>
          </w:p>
          <w:p w14:paraId="26B0127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Difficulties</w:t>
            </w:r>
          </w:p>
        </w:tc>
        <w:tc>
          <w:tcPr>
            <w:tcW w:w="1222" w:type="dxa"/>
          </w:tcPr>
          <w:p w14:paraId="4BC22DB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24.0</w:t>
            </w:r>
          </w:p>
        </w:tc>
        <w:tc>
          <w:tcPr>
            <w:tcW w:w="1474" w:type="dxa"/>
          </w:tcPr>
          <w:p w14:paraId="736072F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18.9</w:t>
            </w:r>
          </w:p>
        </w:tc>
        <w:tc>
          <w:tcPr>
            <w:tcW w:w="1117" w:type="dxa"/>
          </w:tcPr>
          <w:p w14:paraId="56272B0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13.3</w:t>
            </w:r>
          </w:p>
        </w:tc>
        <w:tc>
          <w:tcPr>
            <w:tcW w:w="1114" w:type="dxa"/>
            <w:tcBorders>
              <w:top w:val="nil"/>
              <w:bottom w:val="nil"/>
              <w:right w:val="nil"/>
            </w:tcBorders>
          </w:tcPr>
          <w:p w14:paraId="37AA4F2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15.1</w:t>
            </w:r>
          </w:p>
        </w:tc>
        <w:tc>
          <w:tcPr>
            <w:tcW w:w="941" w:type="dxa"/>
            <w:tcBorders>
              <w:left w:val="nil"/>
              <w:right w:val="nil"/>
            </w:tcBorders>
          </w:tcPr>
          <w:p w14:paraId="1BAAAFE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18.7</w:t>
            </w:r>
          </w:p>
        </w:tc>
        <w:tc>
          <w:tcPr>
            <w:tcW w:w="876" w:type="dxa"/>
            <w:tcBorders>
              <w:left w:val="nil"/>
              <w:right w:val="nil"/>
            </w:tcBorders>
          </w:tcPr>
          <w:p w14:paraId="7E2B27FA" w14:textId="77777777" w:rsidR="00E65317" w:rsidRPr="00E65317" w:rsidRDefault="00E65317" w:rsidP="00E65317">
            <w:pPr>
              <w:spacing w:after="160" w:line="259" w:lineRule="auto"/>
              <w:rPr>
                <w:rFonts w:cs="Times New Roman"/>
                <w:szCs w:val="24"/>
                <w:lang w:val="en-GB"/>
              </w:rPr>
            </w:pPr>
          </w:p>
        </w:tc>
        <w:tc>
          <w:tcPr>
            <w:tcW w:w="992" w:type="dxa"/>
            <w:tcBorders>
              <w:left w:val="nil"/>
            </w:tcBorders>
          </w:tcPr>
          <w:p w14:paraId="58A993B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18.7</w:t>
            </w:r>
          </w:p>
        </w:tc>
        <w:tc>
          <w:tcPr>
            <w:tcW w:w="1129" w:type="dxa"/>
          </w:tcPr>
          <w:p w14:paraId="7C948A8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23.6</w:t>
            </w:r>
          </w:p>
        </w:tc>
        <w:tc>
          <w:tcPr>
            <w:tcW w:w="1117" w:type="dxa"/>
          </w:tcPr>
          <w:p w14:paraId="6994307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15.9</w:t>
            </w:r>
          </w:p>
        </w:tc>
        <w:tc>
          <w:tcPr>
            <w:tcW w:w="1114" w:type="dxa"/>
            <w:tcBorders>
              <w:top w:val="nil"/>
              <w:bottom w:val="nil"/>
              <w:right w:val="nil"/>
            </w:tcBorders>
          </w:tcPr>
          <w:p w14:paraId="75143F2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16.7</w:t>
            </w:r>
          </w:p>
        </w:tc>
        <w:tc>
          <w:tcPr>
            <w:tcW w:w="941" w:type="dxa"/>
            <w:tcBorders>
              <w:left w:val="nil"/>
              <w:right w:val="nil"/>
            </w:tcBorders>
          </w:tcPr>
          <w:p w14:paraId="24C70FD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19.5</w:t>
            </w:r>
          </w:p>
        </w:tc>
        <w:tc>
          <w:tcPr>
            <w:tcW w:w="792" w:type="dxa"/>
            <w:tcBorders>
              <w:left w:val="nil"/>
            </w:tcBorders>
          </w:tcPr>
          <w:p w14:paraId="03B8455D" w14:textId="77777777" w:rsidR="00E65317" w:rsidRPr="00E65317" w:rsidRDefault="00E65317" w:rsidP="00E65317">
            <w:pPr>
              <w:spacing w:after="160" w:line="259" w:lineRule="auto"/>
              <w:rPr>
                <w:rFonts w:cs="Times New Roman"/>
                <w:szCs w:val="24"/>
                <w:lang w:val="en-GB"/>
              </w:rPr>
            </w:pPr>
          </w:p>
        </w:tc>
      </w:tr>
      <w:tr w:rsidR="00E65317" w:rsidRPr="00E65317" w14:paraId="52076A4E" w14:textId="77777777" w:rsidTr="00752310">
        <w:tc>
          <w:tcPr>
            <w:tcW w:w="1738" w:type="dxa"/>
          </w:tcPr>
          <w:p w14:paraId="5AF6D01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Body image</w:t>
            </w:r>
          </w:p>
          <w:p w14:paraId="499A6D0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Concerns</w:t>
            </w:r>
          </w:p>
        </w:tc>
        <w:tc>
          <w:tcPr>
            <w:tcW w:w="1222" w:type="dxa"/>
          </w:tcPr>
          <w:p w14:paraId="4455A1D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w:t>
            </w:r>
          </w:p>
        </w:tc>
        <w:tc>
          <w:tcPr>
            <w:tcW w:w="1474" w:type="dxa"/>
          </w:tcPr>
          <w:p w14:paraId="242EE8C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1.4</w:t>
            </w:r>
          </w:p>
        </w:tc>
        <w:tc>
          <w:tcPr>
            <w:tcW w:w="1117" w:type="dxa"/>
          </w:tcPr>
          <w:p w14:paraId="36A5308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1.6</w:t>
            </w:r>
          </w:p>
        </w:tc>
        <w:tc>
          <w:tcPr>
            <w:tcW w:w="1114" w:type="dxa"/>
            <w:tcBorders>
              <w:top w:val="nil"/>
              <w:bottom w:val="nil"/>
              <w:right w:val="nil"/>
            </w:tcBorders>
          </w:tcPr>
          <w:p w14:paraId="7A4365C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1.6</w:t>
            </w:r>
          </w:p>
        </w:tc>
        <w:tc>
          <w:tcPr>
            <w:tcW w:w="941" w:type="dxa"/>
            <w:tcBorders>
              <w:left w:val="nil"/>
              <w:right w:val="nil"/>
            </w:tcBorders>
          </w:tcPr>
          <w:p w14:paraId="06A4B97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0.9</w:t>
            </w:r>
          </w:p>
        </w:tc>
        <w:tc>
          <w:tcPr>
            <w:tcW w:w="876" w:type="dxa"/>
            <w:tcBorders>
              <w:left w:val="nil"/>
              <w:right w:val="nil"/>
            </w:tcBorders>
          </w:tcPr>
          <w:p w14:paraId="786B13C4" w14:textId="77777777" w:rsidR="00E65317" w:rsidRPr="00E65317" w:rsidRDefault="00E65317" w:rsidP="00E65317">
            <w:pPr>
              <w:spacing w:after="160" w:line="259" w:lineRule="auto"/>
              <w:rPr>
                <w:rFonts w:cs="Times New Roman"/>
                <w:szCs w:val="24"/>
                <w:lang w:val="en-GB"/>
              </w:rPr>
            </w:pPr>
          </w:p>
        </w:tc>
        <w:tc>
          <w:tcPr>
            <w:tcW w:w="992" w:type="dxa"/>
            <w:tcBorders>
              <w:left w:val="nil"/>
            </w:tcBorders>
          </w:tcPr>
          <w:p w14:paraId="3EE23FB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2.6</w:t>
            </w:r>
          </w:p>
        </w:tc>
        <w:tc>
          <w:tcPr>
            <w:tcW w:w="1129" w:type="dxa"/>
          </w:tcPr>
          <w:p w14:paraId="08B4011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2.2</w:t>
            </w:r>
          </w:p>
        </w:tc>
        <w:tc>
          <w:tcPr>
            <w:tcW w:w="1117" w:type="dxa"/>
          </w:tcPr>
          <w:p w14:paraId="7C9B8C0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5.4</w:t>
            </w:r>
          </w:p>
        </w:tc>
        <w:tc>
          <w:tcPr>
            <w:tcW w:w="1114" w:type="dxa"/>
            <w:tcBorders>
              <w:top w:val="nil"/>
              <w:bottom w:val="nil"/>
              <w:right w:val="nil"/>
            </w:tcBorders>
          </w:tcPr>
          <w:p w14:paraId="7656CD5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w:t>
            </w:r>
          </w:p>
        </w:tc>
        <w:tc>
          <w:tcPr>
            <w:tcW w:w="941" w:type="dxa"/>
            <w:tcBorders>
              <w:left w:val="nil"/>
              <w:right w:val="nil"/>
            </w:tcBorders>
          </w:tcPr>
          <w:p w14:paraId="7B11623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2.6</w:t>
            </w:r>
          </w:p>
        </w:tc>
        <w:tc>
          <w:tcPr>
            <w:tcW w:w="792" w:type="dxa"/>
            <w:tcBorders>
              <w:left w:val="nil"/>
            </w:tcBorders>
          </w:tcPr>
          <w:p w14:paraId="64F2CF4B" w14:textId="77777777" w:rsidR="00E65317" w:rsidRPr="00E65317" w:rsidRDefault="00E65317" w:rsidP="00E65317">
            <w:pPr>
              <w:spacing w:after="160" w:line="259" w:lineRule="auto"/>
              <w:rPr>
                <w:rFonts w:cs="Times New Roman"/>
                <w:szCs w:val="24"/>
                <w:lang w:val="en-GB"/>
              </w:rPr>
            </w:pPr>
          </w:p>
        </w:tc>
      </w:tr>
      <w:tr w:rsidR="00E65317" w:rsidRPr="00E65317" w14:paraId="3EF516DD" w14:textId="77777777" w:rsidTr="00752310">
        <w:tc>
          <w:tcPr>
            <w:tcW w:w="1738" w:type="dxa"/>
          </w:tcPr>
          <w:p w14:paraId="0186080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Health</w:t>
            </w:r>
          </w:p>
          <w:p w14:paraId="0DEFD32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Problems</w:t>
            </w:r>
          </w:p>
        </w:tc>
        <w:tc>
          <w:tcPr>
            <w:tcW w:w="1222" w:type="dxa"/>
          </w:tcPr>
          <w:p w14:paraId="4483953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19.3</w:t>
            </w:r>
          </w:p>
        </w:tc>
        <w:tc>
          <w:tcPr>
            <w:tcW w:w="1474" w:type="dxa"/>
          </w:tcPr>
          <w:p w14:paraId="070070D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13.8</w:t>
            </w:r>
          </w:p>
        </w:tc>
        <w:tc>
          <w:tcPr>
            <w:tcW w:w="1117" w:type="dxa"/>
          </w:tcPr>
          <w:p w14:paraId="36F5515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28.9</w:t>
            </w:r>
          </w:p>
        </w:tc>
        <w:tc>
          <w:tcPr>
            <w:tcW w:w="1114" w:type="dxa"/>
            <w:tcBorders>
              <w:top w:val="nil"/>
              <w:bottom w:val="nil"/>
              <w:right w:val="nil"/>
            </w:tcBorders>
          </w:tcPr>
          <w:p w14:paraId="7C3DD4F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30.9</w:t>
            </w:r>
          </w:p>
        </w:tc>
        <w:tc>
          <w:tcPr>
            <w:tcW w:w="941" w:type="dxa"/>
            <w:tcBorders>
              <w:left w:val="nil"/>
              <w:right w:val="nil"/>
            </w:tcBorders>
          </w:tcPr>
          <w:p w14:paraId="6B1FCC3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22.0</w:t>
            </w:r>
          </w:p>
        </w:tc>
        <w:tc>
          <w:tcPr>
            <w:tcW w:w="876" w:type="dxa"/>
            <w:tcBorders>
              <w:left w:val="nil"/>
              <w:right w:val="nil"/>
            </w:tcBorders>
          </w:tcPr>
          <w:p w14:paraId="3DEA34B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.001</w:t>
            </w:r>
          </w:p>
        </w:tc>
        <w:tc>
          <w:tcPr>
            <w:tcW w:w="992" w:type="dxa"/>
            <w:tcBorders>
              <w:left w:val="nil"/>
            </w:tcBorders>
          </w:tcPr>
          <w:p w14:paraId="5CF54F7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23.2</w:t>
            </w:r>
          </w:p>
        </w:tc>
        <w:tc>
          <w:tcPr>
            <w:tcW w:w="1129" w:type="dxa"/>
          </w:tcPr>
          <w:p w14:paraId="49F71D5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17.0</w:t>
            </w:r>
          </w:p>
        </w:tc>
        <w:tc>
          <w:tcPr>
            <w:tcW w:w="1117" w:type="dxa"/>
          </w:tcPr>
          <w:p w14:paraId="282C7B0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32.0</w:t>
            </w:r>
          </w:p>
        </w:tc>
        <w:tc>
          <w:tcPr>
            <w:tcW w:w="1114" w:type="dxa"/>
            <w:tcBorders>
              <w:top w:val="nil"/>
              <w:bottom w:val="nil"/>
              <w:right w:val="nil"/>
            </w:tcBorders>
          </w:tcPr>
          <w:p w14:paraId="4D7883C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25.8</w:t>
            </w:r>
          </w:p>
        </w:tc>
        <w:tc>
          <w:tcPr>
            <w:tcW w:w="941" w:type="dxa"/>
            <w:tcBorders>
              <w:left w:val="nil"/>
              <w:right w:val="nil"/>
            </w:tcBorders>
          </w:tcPr>
          <w:p w14:paraId="236420A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23.2</w:t>
            </w:r>
          </w:p>
        </w:tc>
        <w:tc>
          <w:tcPr>
            <w:tcW w:w="792" w:type="dxa"/>
            <w:tcBorders>
              <w:left w:val="nil"/>
            </w:tcBorders>
          </w:tcPr>
          <w:p w14:paraId="5345FC83" w14:textId="77777777" w:rsidR="00E65317" w:rsidRPr="00E65317" w:rsidRDefault="00E65317" w:rsidP="00E65317">
            <w:pPr>
              <w:spacing w:after="160" w:line="259" w:lineRule="auto"/>
              <w:rPr>
                <w:rFonts w:cs="Times New Roman"/>
                <w:szCs w:val="24"/>
                <w:lang w:val="en-GB"/>
              </w:rPr>
            </w:pPr>
          </w:p>
        </w:tc>
      </w:tr>
      <w:tr w:rsidR="00E65317" w:rsidRPr="00E65317" w14:paraId="3E8C9DD3" w14:textId="77777777" w:rsidTr="00752310">
        <w:tc>
          <w:tcPr>
            <w:tcW w:w="1738" w:type="dxa"/>
          </w:tcPr>
          <w:p w14:paraId="5B7AFDF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Not interested </w:t>
            </w:r>
          </w:p>
          <w:p w14:paraId="186ECDB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lastRenderedPageBreak/>
              <w:t>on sex anymore</w:t>
            </w:r>
          </w:p>
        </w:tc>
        <w:tc>
          <w:tcPr>
            <w:tcW w:w="1222" w:type="dxa"/>
          </w:tcPr>
          <w:p w14:paraId="6DD6DA8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lastRenderedPageBreak/>
              <w:t>6.7</w:t>
            </w:r>
          </w:p>
        </w:tc>
        <w:tc>
          <w:tcPr>
            <w:tcW w:w="1474" w:type="dxa"/>
          </w:tcPr>
          <w:p w14:paraId="6689EF8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12.5</w:t>
            </w:r>
          </w:p>
        </w:tc>
        <w:tc>
          <w:tcPr>
            <w:tcW w:w="1117" w:type="dxa"/>
          </w:tcPr>
          <w:p w14:paraId="54B674A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12.1</w:t>
            </w:r>
          </w:p>
        </w:tc>
        <w:tc>
          <w:tcPr>
            <w:tcW w:w="1114" w:type="dxa"/>
            <w:tcBorders>
              <w:top w:val="nil"/>
              <w:bottom w:val="nil"/>
              <w:right w:val="nil"/>
            </w:tcBorders>
          </w:tcPr>
          <w:p w14:paraId="76A5A1A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4.6</w:t>
            </w:r>
          </w:p>
        </w:tc>
        <w:tc>
          <w:tcPr>
            <w:tcW w:w="941" w:type="dxa"/>
            <w:tcBorders>
              <w:left w:val="nil"/>
              <w:right w:val="nil"/>
            </w:tcBorders>
          </w:tcPr>
          <w:p w14:paraId="4B384B7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9.3</w:t>
            </w:r>
          </w:p>
        </w:tc>
        <w:tc>
          <w:tcPr>
            <w:tcW w:w="876" w:type="dxa"/>
            <w:tcBorders>
              <w:left w:val="nil"/>
              <w:right w:val="nil"/>
            </w:tcBorders>
          </w:tcPr>
          <w:p w14:paraId="49B47B3C" w14:textId="77777777" w:rsidR="00E65317" w:rsidRPr="00E65317" w:rsidRDefault="00E65317" w:rsidP="00E65317">
            <w:pPr>
              <w:spacing w:after="160" w:line="259" w:lineRule="auto"/>
              <w:rPr>
                <w:rFonts w:cs="Times New Roman"/>
                <w:szCs w:val="24"/>
                <w:lang w:val="en-GB"/>
              </w:rPr>
            </w:pPr>
          </w:p>
        </w:tc>
        <w:tc>
          <w:tcPr>
            <w:tcW w:w="992" w:type="dxa"/>
            <w:tcBorders>
              <w:left w:val="nil"/>
            </w:tcBorders>
          </w:tcPr>
          <w:p w14:paraId="2BE8869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11.3</w:t>
            </w:r>
          </w:p>
        </w:tc>
        <w:tc>
          <w:tcPr>
            <w:tcW w:w="1129" w:type="dxa"/>
          </w:tcPr>
          <w:p w14:paraId="127F0D0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17.3</w:t>
            </w:r>
          </w:p>
        </w:tc>
        <w:tc>
          <w:tcPr>
            <w:tcW w:w="1117" w:type="dxa"/>
          </w:tcPr>
          <w:p w14:paraId="2F232FF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19.8</w:t>
            </w:r>
          </w:p>
        </w:tc>
        <w:tc>
          <w:tcPr>
            <w:tcW w:w="1114" w:type="dxa"/>
            <w:tcBorders>
              <w:top w:val="nil"/>
              <w:bottom w:val="nil"/>
              <w:right w:val="nil"/>
            </w:tcBorders>
          </w:tcPr>
          <w:p w14:paraId="73F3E49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8.2</w:t>
            </w:r>
          </w:p>
        </w:tc>
        <w:tc>
          <w:tcPr>
            <w:tcW w:w="941" w:type="dxa"/>
            <w:tcBorders>
              <w:left w:val="nil"/>
              <w:right w:val="nil"/>
            </w:tcBorders>
          </w:tcPr>
          <w:p w14:paraId="6E94F76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14.4</w:t>
            </w:r>
          </w:p>
        </w:tc>
        <w:tc>
          <w:tcPr>
            <w:tcW w:w="792" w:type="dxa"/>
            <w:tcBorders>
              <w:left w:val="nil"/>
            </w:tcBorders>
          </w:tcPr>
          <w:p w14:paraId="63E40B2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.05</w:t>
            </w:r>
          </w:p>
        </w:tc>
      </w:tr>
      <w:tr w:rsidR="00E65317" w:rsidRPr="00E65317" w14:paraId="67765AE2" w14:textId="77777777" w:rsidTr="00752310">
        <w:tc>
          <w:tcPr>
            <w:tcW w:w="1738" w:type="dxa"/>
          </w:tcPr>
          <w:p w14:paraId="338F8C8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lastRenderedPageBreak/>
              <w:t>Other</w:t>
            </w:r>
          </w:p>
          <w:p w14:paraId="250E1D7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Reasons</w:t>
            </w:r>
          </w:p>
        </w:tc>
        <w:tc>
          <w:tcPr>
            <w:tcW w:w="1222" w:type="dxa"/>
          </w:tcPr>
          <w:p w14:paraId="298C0CB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32.8</w:t>
            </w:r>
          </w:p>
        </w:tc>
        <w:tc>
          <w:tcPr>
            <w:tcW w:w="1474" w:type="dxa"/>
          </w:tcPr>
          <w:p w14:paraId="7CD140D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18.5</w:t>
            </w:r>
          </w:p>
        </w:tc>
        <w:tc>
          <w:tcPr>
            <w:tcW w:w="1117" w:type="dxa"/>
          </w:tcPr>
          <w:p w14:paraId="02B263D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18.3</w:t>
            </w:r>
          </w:p>
        </w:tc>
        <w:tc>
          <w:tcPr>
            <w:tcW w:w="1114" w:type="dxa"/>
            <w:tcBorders>
              <w:top w:val="nil"/>
              <w:bottom w:val="single" w:sz="4" w:space="0" w:color="auto"/>
              <w:right w:val="nil"/>
            </w:tcBorders>
          </w:tcPr>
          <w:p w14:paraId="10ABCA0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21.0</w:t>
            </w:r>
          </w:p>
        </w:tc>
        <w:tc>
          <w:tcPr>
            <w:tcW w:w="941" w:type="dxa"/>
            <w:tcBorders>
              <w:left w:val="nil"/>
              <w:bottom w:val="single" w:sz="4" w:space="0" w:color="auto"/>
              <w:right w:val="nil"/>
            </w:tcBorders>
          </w:tcPr>
          <w:p w14:paraId="2973240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23.8</w:t>
            </w:r>
          </w:p>
        </w:tc>
        <w:tc>
          <w:tcPr>
            <w:tcW w:w="876" w:type="dxa"/>
            <w:tcBorders>
              <w:left w:val="nil"/>
              <w:bottom w:val="single" w:sz="4" w:space="0" w:color="auto"/>
              <w:right w:val="nil"/>
            </w:tcBorders>
          </w:tcPr>
          <w:p w14:paraId="4138E539" w14:textId="77777777" w:rsidR="00E65317" w:rsidRPr="00E65317" w:rsidRDefault="00E65317" w:rsidP="00E65317">
            <w:pPr>
              <w:spacing w:after="160" w:line="259" w:lineRule="auto"/>
              <w:rPr>
                <w:rFonts w:cs="Times New Roman"/>
                <w:szCs w:val="24"/>
                <w:lang w:val="en-GB"/>
              </w:rPr>
            </w:pPr>
          </w:p>
        </w:tc>
        <w:tc>
          <w:tcPr>
            <w:tcW w:w="992" w:type="dxa"/>
            <w:tcBorders>
              <w:left w:val="nil"/>
              <w:bottom w:val="single" w:sz="4" w:space="0" w:color="auto"/>
            </w:tcBorders>
          </w:tcPr>
          <w:p w14:paraId="3EBE91A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39.0</w:t>
            </w:r>
          </w:p>
        </w:tc>
        <w:tc>
          <w:tcPr>
            <w:tcW w:w="1129" w:type="dxa"/>
            <w:tcBorders>
              <w:bottom w:val="single" w:sz="4" w:space="0" w:color="auto"/>
            </w:tcBorders>
          </w:tcPr>
          <w:p w14:paraId="2FE6744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29.2</w:t>
            </w:r>
          </w:p>
        </w:tc>
        <w:tc>
          <w:tcPr>
            <w:tcW w:w="1117" w:type="dxa"/>
            <w:tcBorders>
              <w:bottom w:val="single" w:sz="4" w:space="0" w:color="auto"/>
            </w:tcBorders>
          </w:tcPr>
          <w:p w14:paraId="3706D17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23.4</w:t>
            </w:r>
          </w:p>
        </w:tc>
        <w:tc>
          <w:tcPr>
            <w:tcW w:w="1114" w:type="dxa"/>
            <w:tcBorders>
              <w:top w:val="nil"/>
              <w:bottom w:val="single" w:sz="4" w:space="0" w:color="auto"/>
              <w:right w:val="nil"/>
            </w:tcBorders>
          </w:tcPr>
          <w:p w14:paraId="1B9F3CC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27.0</w:t>
            </w:r>
          </w:p>
        </w:tc>
        <w:tc>
          <w:tcPr>
            <w:tcW w:w="941" w:type="dxa"/>
            <w:tcBorders>
              <w:left w:val="nil"/>
              <w:bottom w:val="single" w:sz="4" w:space="0" w:color="auto"/>
              <w:right w:val="nil"/>
            </w:tcBorders>
          </w:tcPr>
          <w:p w14:paraId="46EBFAC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31.2</w:t>
            </w:r>
          </w:p>
        </w:tc>
        <w:tc>
          <w:tcPr>
            <w:tcW w:w="792" w:type="dxa"/>
            <w:tcBorders>
              <w:left w:val="nil"/>
              <w:bottom w:val="single" w:sz="4" w:space="0" w:color="auto"/>
            </w:tcBorders>
          </w:tcPr>
          <w:p w14:paraId="6601A07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.01</w:t>
            </w:r>
          </w:p>
        </w:tc>
      </w:tr>
    </w:tbl>
    <w:p w14:paraId="428985E4" w14:textId="77777777" w:rsidR="00E65317" w:rsidRPr="00E65317" w:rsidRDefault="00E65317" w:rsidP="00E65317">
      <w:pPr>
        <w:spacing w:after="160" w:line="259" w:lineRule="auto"/>
        <w:rPr>
          <w:rFonts w:cs="Times New Roman"/>
          <w:szCs w:val="24"/>
          <w:lang w:val="en-GB"/>
        </w:rPr>
      </w:pPr>
      <w:r w:rsidRPr="00E65317">
        <w:rPr>
          <w:rFonts w:cs="Times New Roman"/>
          <w:i/>
          <w:szCs w:val="24"/>
          <w:lang w:val="en-GB"/>
        </w:rPr>
        <w:t>Notes</w:t>
      </w:r>
      <w:r w:rsidRPr="00E65317">
        <w:rPr>
          <w:rFonts w:cs="Times New Roman"/>
          <w:szCs w:val="24"/>
          <w:lang w:val="en-GB"/>
        </w:rPr>
        <w:t>. STI = Sexually Transmitted Infections; * Significant differences across country (Chi-square test was used)</w:t>
      </w:r>
    </w:p>
    <w:p w14:paraId="30E243FC" w14:textId="77777777" w:rsidR="00E65317" w:rsidRPr="00E65317" w:rsidRDefault="00E65317" w:rsidP="00E65317">
      <w:pPr>
        <w:spacing w:after="160" w:line="259" w:lineRule="auto"/>
        <w:rPr>
          <w:rFonts w:cs="Times New Roman"/>
          <w:szCs w:val="24"/>
          <w:lang w:val="en-GB"/>
        </w:rPr>
      </w:pPr>
    </w:p>
    <w:p w14:paraId="7356F150" w14:textId="77777777" w:rsidR="00E65317" w:rsidRPr="00E65317" w:rsidRDefault="00E65317" w:rsidP="00E65317">
      <w:pPr>
        <w:spacing w:after="160" w:line="259" w:lineRule="auto"/>
        <w:rPr>
          <w:rFonts w:cs="Times New Roman"/>
          <w:szCs w:val="24"/>
          <w:lang w:val="en-GB"/>
        </w:rPr>
      </w:pPr>
    </w:p>
    <w:p w14:paraId="697470F0" w14:textId="77777777" w:rsidR="00E65317" w:rsidRPr="00E65317" w:rsidRDefault="00E65317" w:rsidP="00E65317">
      <w:pPr>
        <w:spacing w:after="160" w:line="259" w:lineRule="auto"/>
        <w:rPr>
          <w:rFonts w:cs="Times New Roman"/>
          <w:szCs w:val="24"/>
          <w:lang w:val="en-GB"/>
        </w:rPr>
      </w:pPr>
    </w:p>
    <w:p w14:paraId="331D902A" w14:textId="77777777" w:rsidR="00E65317" w:rsidRPr="00E65317" w:rsidRDefault="00E65317" w:rsidP="00E65317">
      <w:pPr>
        <w:spacing w:after="160" w:line="259" w:lineRule="auto"/>
        <w:rPr>
          <w:rFonts w:cs="Times New Roman"/>
          <w:szCs w:val="24"/>
          <w:lang w:val="en-GB"/>
        </w:rPr>
      </w:pPr>
    </w:p>
    <w:p w14:paraId="10306118" w14:textId="77777777" w:rsidR="00E65317" w:rsidRPr="00E65317" w:rsidRDefault="00E65317" w:rsidP="00E65317">
      <w:pPr>
        <w:spacing w:after="160" w:line="259" w:lineRule="auto"/>
        <w:rPr>
          <w:rFonts w:cs="Times New Roman"/>
          <w:szCs w:val="24"/>
          <w:lang w:val="en-GB"/>
        </w:rPr>
      </w:pPr>
    </w:p>
    <w:p w14:paraId="2B099449" w14:textId="77777777" w:rsidR="00E65317" w:rsidRPr="00E65317" w:rsidRDefault="00E65317" w:rsidP="00E65317">
      <w:pPr>
        <w:spacing w:after="160" w:line="259" w:lineRule="auto"/>
        <w:rPr>
          <w:rFonts w:cs="Times New Roman"/>
          <w:szCs w:val="24"/>
          <w:lang w:val="en-GB"/>
        </w:rPr>
      </w:pPr>
    </w:p>
    <w:p w14:paraId="298A81B3" w14:textId="77777777" w:rsidR="00E65317" w:rsidRPr="00E65317" w:rsidRDefault="00E65317" w:rsidP="00E65317">
      <w:pPr>
        <w:spacing w:after="160" w:line="259" w:lineRule="auto"/>
        <w:rPr>
          <w:rFonts w:cs="Times New Roman"/>
          <w:szCs w:val="24"/>
          <w:lang w:val="en-GB"/>
        </w:rPr>
      </w:pPr>
    </w:p>
    <w:p w14:paraId="419E66F3" w14:textId="77777777" w:rsidR="00E65317" w:rsidRPr="00E65317" w:rsidRDefault="00E65317" w:rsidP="00E65317">
      <w:pPr>
        <w:spacing w:after="160" w:line="259" w:lineRule="auto"/>
        <w:rPr>
          <w:rFonts w:cs="Times New Roman"/>
          <w:szCs w:val="24"/>
          <w:lang w:val="en-GB"/>
        </w:rPr>
      </w:pPr>
    </w:p>
    <w:p w14:paraId="74E05795" w14:textId="77777777" w:rsidR="00E65317" w:rsidRPr="00E65317" w:rsidRDefault="00E65317" w:rsidP="00E65317">
      <w:pPr>
        <w:spacing w:after="160" w:line="259" w:lineRule="auto"/>
        <w:rPr>
          <w:rFonts w:cs="Times New Roman"/>
          <w:szCs w:val="24"/>
          <w:lang w:val="en-GB"/>
        </w:rPr>
      </w:pPr>
    </w:p>
    <w:p w14:paraId="5D8CF12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Table 4. Sociodemographic, Relational, and Health-Related Correlates/Predictors of Sexual Avoidance Among Partnered Men (N = 1087)</w:t>
      </w:r>
    </w:p>
    <w:p w14:paraId="030B5E87" w14:textId="77777777" w:rsidR="00E65317" w:rsidRPr="00E65317" w:rsidRDefault="00E65317" w:rsidP="00E65317">
      <w:pPr>
        <w:spacing w:after="160" w:line="259" w:lineRule="auto"/>
        <w:rPr>
          <w:rFonts w:cs="Times New Roman"/>
          <w:szCs w:val="24"/>
          <w:lang w:val="en-GB"/>
        </w:rPr>
      </w:pPr>
    </w:p>
    <w:tbl>
      <w:tblPr>
        <w:tblStyle w:val="TableGrid"/>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47"/>
        <w:gridCol w:w="3119"/>
        <w:gridCol w:w="3118"/>
      </w:tblGrid>
      <w:tr w:rsidR="00E65317" w:rsidRPr="00E65317" w14:paraId="74FDBA97" w14:textId="77777777" w:rsidTr="00752310">
        <w:tc>
          <w:tcPr>
            <w:tcW w:w="3828" w:type="dxa"/>
            <w:tcBorders>
              <w:top w:val="single" w:sz="4" w:space="0" w:color="auto"/>
              <w:bottom w:val="single" w:sz="4" w:space="0" w:color="auto"/>
            </w:tcBorders>
          </w:tcPr>
          <w:p w14:paraId="663604DB" w14:textId="77777777" w:rsidR="00E65317" w:rsidRPr="00E65317" w:rsidRDefault="00E65317" w:rsidP="00E65317">
            <w:pPr>
              <w:spacing w:after="160" w:line="259" w:lineRule="auto"/>
              <w:rPr>
                <w:rFonts w:cs="Times New Roman"/>
                <w:szCs w:val="24"/>
                <w:lang w:val="en-GB"/>
              </w:rPr>
            </w:pPr>
          </w:p>
        </w:tc>
        <w:tc>
          <w:tcPr>
            <w:tcW w:w="4247" w:type="dxa"/>
            <w:tcBorders>
              <w:top w:val="single" w:sz="4" w:space="0" w:color="auto"/>
              <w:bottom w:val="single" w:sz="4" w:space="0" w:color="auto"/>
            </w:tcBorders>
          </w:tcPr>
          <w:p w14:paraId="41653F0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Model A</w:t>
            </w:r>
          </w:p>
        </w:tc>
        <w:tc>
          <w:tcPr>
            <w:tcW w:w="3119" w:type="dxa"/>
            <w:tcBorders>
              <w:top w:val="single" w:sz="4" w:space="0" w:color="auto"/>
              <w:bottom w:val="single" w:sz="4" w:space="0" w:color="auto"/>
            </w:tcBorders>
          </w:tcPr>
          <w:p w14:paraId="642F7E2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Model B</w:t>
            </w:r>
          </w:p>
        </w:tc>
        <w:tc>
          <w:tcPr>
            <w:tcW w:w="3118" w:type="dxa"/>
            <w:tcBorders>
              <w:top w:val="single" w:sz="4" w:space="0" w:color="auto"/>
              <w:bottom w:val="single" w:sz="4" w:space="0" w:color="auto"/>
            </w:tcBorders>
          </w:tcPr>
          <w:p w14:paraId="0D07881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Model C</w:t>
            </w:r>
          </w:p>
        </w:tc>
      </w:tr>
      <w:tr w:rsidR="00E65317" w:rsidRPr="00E65317" w14:paraId="5286C1A6" w14:textId="77777777" w:rsidTr="00752310">
        <w:tc>
          <w:tcPr>
            <w:tcW w:w="3828" w:type="dxa"/>
            <w:tcBorders>
              <w:top w:val="single" w:sz="4" w:space="0" w:color="auto"/>
              <w:bottom w:val="single" w:sz="4" w:space="0" w:color="auto"/>
            </w:tcBorders>
          </w:tcPr>
          <w:p w14:paraId="44EC2EF0" w14:textId="77777777" w:rsidR="00E65317" w:rsidRPr="00E65317" w:rsidRDefault="00E65317" w:rsidP="00E65317">
            <w:pPr>
              <w:spacing w:after="160" w:line="259" w:lineRule="auto"/>
              <w:rPr>
                <w:rFonts w:cs="Times New Roman"/>
                <w:b/>
                <w:szCs w:val="24"/>
                <w:lang w:val="en-GB"/>
              </w:rPr>
            </w:pPr>
          </w:p>
        </w:tc>
        <w:tc>
          <w:tcPr>
            <w:tcW w:w="4247" w:type="dxa"/>
            <w:tcBorders>
              <w:top w:val="single" w:sz="4" w:space="0" w:color="auto"/>
              <w:bottom w:val="single" w:sz="4" w:space="0" w:color="auto"/>
            </w:tcBorders>
          </w:tcPr>
          <w:p w14:paraId="33D17F3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OR (95% CI)</w:t>
            </w:r>
          </w:p>
        </w:tc>
        <w:tc>
          <w:tcPr>
            <w:tcW w:w="3119" w:type="dxa"/>
            <w:tcBorders>
              <w:top w:val="single" w:sz="4" w:space="0" w:color="auto"/>
              <w:bottom w:val="single" w:sz="4" w:space="0" w:color="auto"/>
            </w:tcBorders>
          </w:tcPr>
          <w:p w14:paraId="070AF6A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OR (95% CI)</w:t>
            </w:r>
          </w:p>
        </w:tc>
        <w:tc>
          <w:tcPr>
            <w:tcW w:w="3118" w:type="dxa"/>
            <w:tcBorders>
              <w:top w:val="single" w:sz="4" w:space="0" w:color="auto"/>
              <w:bottom w:val="single" w:sz="4" w:space="0" w:color="auto"/>
            </w:tcBorders>
          </w:tcPr>
          <w:p w14:paraId="4AA5B7B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OR (95% CI)</w:t>
            </w:r>
          </w:p>
        </w:tc>
      </w:tr>
      <w:tr w:rsidR="00E65317" w:rsidRPr="00E65317" w14:paraId="33703CDB" w14:textId="77777777" w:rsidTr="00752310">
        <w:tc>
          <w:tcPr>
            <w:tcW w:w="3828" w:type="dxa"/>
            <w:tcBorders>
              <w:top w:val="single" w:sz="4" w:space="0" w:color="auto"/>
              <w:bottom w:val="nil"/>
            </w:tcBorders>
          </w:tcPr>
          <w:p w14:paraId="16BFDE0A" w14:textId="77777777" w:rsidR="00E65317" w:rsidRPr="00E65317" w:rsidRDefault="00E65317" w:rsidP="00E65317">
            <w:pPr>
              <w:spacing w:after="160" w:line="259" w:lineRule="auto"/>
              <w:rPr>
                <w:rFonts w:cs="Times New Roman"/>
                <w:b/>
                <w:szCs w:val="24"/>
                <w:lang w:val="en-GB"/>
              </w:rPr>
            </w:pPr>
            <w:r w:rsidRPr="00E65317">
              <w:rPr>
                <w:rFonts w:cs="Times New Roman"/>
                <w:b/>
                <w:szCs w:val="24"/>
                <w:lang w:val="en-GB"/>
              </w:rPr>
              <w:t>Sociodemographic indicators</w:t>
            </w:r>
          </w:p>
        </w:tc>
        <w:tc>
          <w:tcPr>
            <w:tcW w:w="4247" w:type="dxa"/>
            <w:tcBorders>
              <w:top w:val="single" w:sz="4" w:space="0" w:color="auto"/>
              <w:bottom w:val="nil"/>
            </w:tcBorders>
          </w:tcPr>
          <w:p w14:paraId="59B5EC37" w14:textId="77777777" w:rsidR="00E65317" w:rsidRPr="00E65317" w:rsidRDefault="00E65317" w:rsidP="00E65317">
            <w:pPr>
              <w:spacing w:after="160" w:line="259" w:lineRule="auto"/>
              <w:rPr>
                <w:rFonts w:cs="Times New Roman"/>
                <w:szCs w:val="24"/>
                <w:lang w:val="en-GB"/>
              </w:rPr>
            </w:pPr>
          </w:p>
        </w:tc>
        <w:tc>
          <w:tcPr>
            <w:tcW w:w="3119" w:type="dxa"/>
            <w:tcBorders>
              <w:top w:val="single" w:sz="4" w:space="0" w:color="auto"/>
              <w:bottom w:val="nil"/>
            </w:tcBorders>
          </w:tcPr>
          <w:p w14:paraId="3333D7DE" w14:textId="77777777" w:rsidR="00E65317" w:rsidRPr="00E65317" w:rsidRDefault="00E65317" w:rsidP="00E65317">
            <w:pPr>
              <w:spacing w:after="160" w:line="259" w:lineRule="auto"/>
              <w:rPr>
                <w:rFonts w:cs="Times New Roman"/>
                <w:szCs w:val="24"/>
                <w:lang w:val="en-GB"/>
              </w:rPr>
            </w:pPr>
          </w:p>
        </w:tc>
        <w:tc>
          <w:tcPr>
            <w:tcW w:w="3118" w:type="dxa"/>
            <w:tcBorders>
              <w:top w:val="single" w:sz="4" w:space="0" w:color="auto"/>
              <w:bottom w:val="nil"/>
            </w:tcBorders>
          </w:tcPr>
          <w:p w14:paraId="66ED29FA" w14:textId="77777777" w:rsidR="00E65317" w:rsidRPr="00E65317" w:rsidRDefault="00E65317" w:rsidP="00E65317">
            <w:pPr>
              <w:spacing w:after="160" w:line="259" w:lineRule="auto"/>
              <w:rPr>
                <w:rFonts w:cs="Times New Roman"/>
                <w:szCs w:val="24"/>
                <w:lang w:val="en-GB"/>
              </w:rPr>
            </w:pPr>
          </w:p>
        </w:tc>
      </w:tr>
      <w:tr w:rsidR="00E65317" w:rsidRPr="00E65317" w14:paraId="5A233F5F" w14:textId="77777777" w:rsidTr="00752310">
        <w:tc>
          <w:tcPr>
            <w:tcW w:w="3828" w:type="dxa"/>
            <w:tcBorders>
              <w:top w:val="nil"/>
            </w:tcBorders>
          </w:tcPr>
          <w:p w14:paraId="73DB59A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Country of residence</w:t>
            </w:r>
          </w:p>
        </w:tc>
        <w:tc>
          <w:tcPr>
            <w:tcW w:w="4247" w:type="dxa"/>
            <w:tcBorders>
              <w:top w:val="nil"/>
            </w:tcBorders>
          </w:tcPr>
          <w:p w14:paraId="410B2912" w14:textId="77777777" w:rsidR="00E65317" w:rsidRPr="00E65317" w:rsidRDefault="00E65317" w:rsidP="00E65317">
            <w:pPr>
              <w:spacing w:after="160" w:line="259" w:lineRule="auto"/>
              <w:rPr>
                <w:rFonts w:cs="Times New Roman"/>
                <w:szCs w:val="24"/>
                <w:lang w:val="en-GB"/>
              </w:rPr>
            </w:pPr>
          </w:p>
        </w:tc>
        <w:tc>
          <w:tcPr>
            <w:tcW w:w="3119" w:type="dxa"/>
            <w:tcBorders>
              <w:top w:val="nil"/>
            </w:tcBorders>
          </w:tcPr>
          <w:p w14:paraId="64336371" w14:textId="77777777" w:rsidR="00E65317" w:rsidRPr="00E65317" w:rsidRDefault="00E65317" w:rsidP="00E65317">
            <w:pPr>
              <w:spacing w:after="160" w:line="259" w:lineRule="auto"/>
              <w:rPr>
                <w:rFonts w:cs="Times New Roman"/>
                <w:szCs w:val="24"/>
                <w:lang w:val="en-GB"/>
              </w:rPr>
            </w:pPr>
          </w:p>
        </w:tc>
        <w:tc>
          <w:tcPr>
            <w:tcW w:w="3118" w:type="dxa"/>
            <w:tcBorders>
              <w:top w:val="nil"/>
            </w:tcBorders>
          </w:tcPr>
          <w:p w14:paraId="227ABFF8" w14:textId="77777777" w:rsidR="00E65317" w:rsidRPr="00E65317" w:rsidRDefault="00E65317" w:rsidP="00E65317">
            <w:pPr>
              <w:spacing w:after="160" w:line="259" w:lineRule="auto"/>
              <w:rPr>
                <w:rFonts w:cs="Times New Roman"/>
                <w:szCs w:val="24"/>
                <w:lang w:val="en-GB"/>
              </w:rPr>
            </w:pPr>
          </w:p>
        </w:tc>
      </w:tr>
      <w:tr w:rsidR="00E65317" w:rsidRPr="00E65317" w14:paraId="2241C5BE" w14:textId="77777777" w:rsidTr="00752310">
        <w:tc>
          <w:tcPr>
            <w:tcW w:w="3828" w:type="dxa"/>
          </w:tcPr>
          <w:p w14:paraId="1542F4C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lastRenderedPageBreak/>
              <w:t xml:space="preserve">  Norway</w:t>
            </w:r>
          </w:p>
        </w:tc>
        <w:tc>
          <w:tcPr>
            <w:tcW w:w="4247" w:type="dxa"/>
          </w:tcPr>
          <w:p w14:paraId="44B56B4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3119" w:type="dxa"/>
          </w:tcPr>
          <w:p w14:paraId="7EE08B3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3118" w:type="dxa"/>
          </w:tcPr>
          <w:p w14:paraId="07494DF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r>
      <w:tr w:rsidR="00E65317" w:rsidRPr="00E65317" w14:paraId="55440F9A" w14:textId="77777777" w:rsidTr="00752310">
        <w:tc>
          <w:tcPr>
            <w:tcW w:w="3828" w:type="dxa"/>
          </w:tcPr>
          <w:p w14:paraId="504BD3E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Denmark</w:t>
            </w:r>
          </w:p>
        </w:tc>
        <w:tc>
          <w:tcPr>
            <w:tcW w:w="4247" w:type="dxa"/>
          </w:tcPr>
          <w:p w14:paraId="080D228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.87 (.58 – 1.30)</w:t>
            </w:r>
          </w:p>
        </w:tc>
        <w:tc>
          <w:tcPr>
            <w:tcW w:w="3119" w:type="dxa"/>
          </w:tcPr>
          <w:p w14:paraId="7AF183A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.91 (.60 – 1.38)</w:t>
            </w:r>
          </w:p>
        </w:tc>
        <w:tc>
          <w:tcPr>
            <w:tcW w:w="3118" w:type="dxa"/>
          </w:tcPr>
          <w:p w14:paraId="1E559BB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.99 (.64 – 1.54)</w:t>
            </w:r>
          </w:p>
        </w:tc>
      </w:tr>
      <w:tr w:rsidR="00E65317" w:rsidRPr="00E65317" w14:paraId="4A3BF13B" w14:textId="77777777" w:rsidTr="00752310">
        <w:tc>
          <w:tcPr>
            <w:tcW w:w="3828" w:type="dxa"/>
          </w:tcPr>
          <w:p w14:paraId="2F17696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Belgium</w:t>
            </w:r>
          </w:p>
        </w:tc>
        <w:tc>
          <w:tcPr>
            <w:tcW w:w="4247" w:type="dxa"/>
          </w:tcPr>
          <w:p w14:paraId="303361D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1.28 (.87 – 1.90)</w:t>
            </w:r>
          </w:p>
        </w:tc>
        <w:tc>
          <w:tcPr>
            <w:tcW w:w="3119" w:type="dxa"/>
          </w:tcPr>
          <w:p w14:paraId="3E3C811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1.16 (.77 - 1.74)</w:t>
            </w:r>
          </w:p>
        </w:tc>
        <w:tc>
          <w:tcPr>
            <w:tcW w:w="3118" w:type="dxa"/>
          </w:tcPr>
          <w:p w14:paraId="32322ED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1.03 (.66 – 1.60)</w:t>
            </w:r>
          </w:p>
        </w:tc>
      </w:tr>
      <w:tr w:rsidR="00E65317" w:rsidRPr="00E65317" w14:paraId="2A1FE07F" w14:textId="77777777" w:rsidTr="00752310">
        <w:tc>
          <w:tcPr>
            <w:tcW w:w="3828" w:type="dxa"/>
          </w:tcPr>
          <w:p w14:paraId="78A2395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Portugal</w:t>
            </w:r>
          </w:p>
        </w:tc>
        <w:tc>
          <w:tcPr>
            <w:tcW w:w="4247" w:type="dxa"/>
          </w:tcPr>
          <w:p w14:paraId="027E1DA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.81 (.45 – 1.44)</w:t>
            </w:r>
          </w:p>
        </w:tc>
        <w:tc>
          <w:tcPr>
            <w:tcW w:w="3119" w:type="dxa"/>
          </w:tcPr>
          <w:p w14:paraId="3B43D30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.75 (.41 – 1.38)</w:t>
            </w:r>
          </w:p>
        </w:tc>
        <w:tc>
          <w:tcPr>
            <w:tcW w:w="3118" w:type="dxa"/>
          </w:tcPr>
          <w:p w14:paraId="3404759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.57 (.29 – 1.10)</w:t>
            </w:r>
          </w:p>
        </w:tc>
      </w:tr>
      <w:tr w:rsidR="00E65317" w:rsidRPr="00E65317" w14:paraId="75CCB1A0" w14:textId="77777777" w:rsidTr="00752310">
        <w:tc>
          <w:tcPr>
            <w:tcW w:w="3828" w:type="dxa"/>
          </w:tcPr>
          <w:p w14:paraId="23F43C4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Age</w:t>
            </w:r>
          </w:p>
        </w:tc>
        <w:tc>
          <w:tcPr>
            <w:tcW w:w="4247" w:type="dxa"/>
          </w:tcPr>
          <w:p w14:paraId="6BB96F5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1.04 (1.00 – 1.08)*</w:t>
            </w:r>
          </w:p>
        </w:tc>
        <w:tc>
          <w:tcPr>
            <w:tcW w:w="3119" w:type="dxa"/>
          </w:tcPr>
          <w:p w14:paraId="43F07C7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1.04 (1.01 – 1.09)*</w:t>
            </w:r>
          </w:p>
        </w:tc>
        <w:tc>
          <w:tcPr>
            <w:tcW w:w="3118" w:type="dxa"/>
          </w:tcPr>
          <w:p w14:paraId="7BE4062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1.04 (1.00 – 1.09)*</w:t>
            </w:r>
          </w:p>
        </w:tc>
      </w:tr>
      <w:tr w:rsidR="00E65317" w:rsidRPr="00E65317" w14:paraId="17ED580D" w14:textId="77777777" w:rsidTr="00752310">
        <w:tc>
          <w:tcPr>
            <w:tcW w:w="3828" w:type="dxa"/>
          </w:tcPr>
          <w:p w14:paraId="48C72E7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Educational level</w:t>
            </w:r>
          </w:p>
        </w:tc>
        <w:tc>
          <w:tcPr>
            <w:tcW w:w="4247" w:type="dxa"/>
            <w:vAlign w:val="center"/>
          </w:tcPr>
          <w:p w14:paraId="1C4DDE33" w14:textId="77777777" w:rsidR="00E65317" w:rsidRPr="00E65317" w:rsidRDefault="00E65317" w:rsidP="00E65317">
            <w:pPr>
              <w:spacing w:after="160" w:line="259" w:lineRule="auto"/>
              <w:rPr>
                <w:rFonts w:cs="Times New Roman"/>
                <w:szCs w:val="24"/>
                <w:lang w:val="en-GB"/>
              </w:rPr>
            </w:pPr>
          </w:p>
        </w:tc>
        <w:tc>
          <w:tcPr>
            <w:tcW w:w="3119" w:type="dxa"/>
          </w:tcPr>
          <w:p w14:paraId="72521DFF" w14:textId="77777777" w:rsidR="00E65317" w:rsidRPr="00E65317" w:rsidRDefault="00E65317" w:rsidP="00E65317">
            <w:pPr>
              <w:spacing w:after="160" w:line="259" w:lineRule="auto"/>
              <w:rPr>
                <w:rFonts w:cs="Times New Roman"/>
                <w:szCs w:val="24"/>
                <w:lang w:val="en-GB"/>
              </w:rPr>
            </w:pPr>
          </w:p>
        </w:tc>
        <w:tc>
          <w:tcPr>
            <w:tcW w:w="3118" w:type="dxa"/>
          </w:tcPr>
          <w:p w14:paraId="5355A6D0" w14:textId="77777777" w:rsidR="00E65317" w:rsidRPr="00E65317" w:rsidRDefault="00E65317" w:rsidP="00E65317">
            <w:pPr>
              <w:spacing w:after="160" w:line="259" w:lineRule="auto"/>
              <w:rPr>
                <w:rFonts w:cs="Times New Roman"/>
                <w:szCs w:val="24"/>
                <w:lang w:val="en-GB"/>
              </w:rPr>
            </w:pPr>
          </w:p>
        </w:tc>
      </w:tr>
      <w:tr w:rsidR="00E65317" w:rsidRPr="00E65317" w14:paraId="2D180390" w14:textId="77777777" w:rsidTr="00752310">
        <w:tc>
          <w:tcPr>
            <w:tcW w:w="3828" w:type="dxa"/>
          </w:tcPr>
          <w:p w14:paraId="0757A01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Primary education (ref)</w:t>
            </w:r>
          </w:p>
        </w:tc>
        <w:tc>
          <w:tcPr>
            <w:tcW w:w="4247" w:type="dxa"/>
          </w:tcPr>
          <w:p w14:paraId="47A4B8F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3119" w:type="dxa"/>
          </w:tcPr>
          <w:p w14:paraId="1558C13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3118" w:type="dxa"/>
          </w:tcPr>
          <w:p w14:paraId="08F7FFA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r>
      <w:tr w:rsidR="00E65317" w:rsidRPr="00E65317" w14:paraId="17BFB356" w14:textId="77777777" w:rsidTr="00752310">
        <w:tc>
          <w:tcPr>
            <w:tcW w:w="3828" w:type="dxa"/>
          </w:tcPr>
          <w:p w14:paraId="0D4D66E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Secondary education</w:t>
            </w:r>
          </w:p>
        </w:tc>
        <w:tc>
          <w:tcPr>
            <w:tcW w:w="4247" w:type="dxa"/>
          </w:tcPr>
          <w:p w14:paraId="6D70AF1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.84 (.53 – 1.33)</w:t>
            </w:r>
          </w:p>
        </w:tc>
        <w:tc>
          <w:tcPr>
            <w:tcW w:w="3119" w:type="dxa"/>
          </w:tcPr>
          <w:p w14:paraId="16F9C7A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.95 (.59 – 1.54)</w:t>
            </w:r>
          </w:p>
        </w:tc>
        <w:tc>
          <w:tcPr>
            <w:tcW w:w="3118" w:type="dxa"/>
          </w:tcPr>
          <w:p w14:paraId="076DBB8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.99 (.60 – 1.66)</w:t>
            </w:r>
          </w:p>
        </w:tc>
      </w:tr>
      <w:tr w:rsidR="00E65317" w:rsidRPr="00E65317" w14:paraId="5D2D70AD" w14:textId="77777777" w:rsidTr="00752310">
        <w:tc>
          <w:tcPr>
            <w:tcW w:w="3828" w:type="dxa"/>
          </w:tcPr>
          <w:p w14:paraId="304FB1C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University level</w:t>
            </w:r>
          </w:p>
        </w:tc>
        <w:tc>
          <w:tcPr>
            <w:tcW w:w="4247" w:type="dxa"/>
          </w:tcPr>
          <w:p w14:paraId="7C64CAD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.795 (.50 – 1.25)</w:t>
            </w:r>
          </w:p>
        </w:tc>
        <w:tc>
          <w:tcPr>
            <w:tcW w:w="3119" w:type="dxa"/>
          </w:tcPr>
          <w:p w14:paraId="41C7150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.85 (.53 – 1.37)</w:t>
            </w:r>
          </w:p>
        </w:tc>
        <w:tc>
          <w:tcPr>
            <w:tcW w:w="3118" w:type="dxa"/>
          </w:tcPr>
          <w:p w14:paraId="0D7F069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.98 (.60 – 1.62)</w:t>
            </w:r>
          </w:p>
        </w:tc>
      </w:tr>
      <w:tr w:rsidR="00E65317" w:rsidRPr="00E65317" w14:paraId="18BA728D" w14:textId="77777777" w:rsidTr="00752310">
        <w:tc>
          <w:tcPr>
            <w:tcW w:w="3828" w:type="dxa"/>
          </w:tcPr>
          <w:p w14:paraId="33488D2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Religiosity</w:t>
            </w:r>
          </w:p>
        </w:tc>
        <w:tc>
          <w:tcPr>
            <w:tcW w:w="4247" w:type="dxa"/>
          </w:tcPr>
          <w:p w14:paraId="015C68D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1.04 (.90 – 1.19)</w:t>
            </w:r>
          </w:p>
        </w:tc>
        <w:tc>
          <w:tcPr>
            <w:tcW w:w="3119" w:type="dxa"/>
          </w:tcPr>
          <w:p w14:paraId="512DC44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1.08 (.93 – 1.24)</w:t>
            </w:r>
          </w:p>
        </w:tc>
        <w:tc>
          <w:tcPr>
            <w:tcW w:w="3118" w:type="dxa"/>
          </w:tcPr>
          <w:p w14:paraId="63CF09D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1.10 (.94 – 1.28) </w:t>
            </w:r>
          </w:p>
        </w:tc>
      </w:tr>
      <w:tr w:rsidR="00E65317" w:rsidRPr="00E65317" w14:paraId="573A63EC" w14:textId="77777777" w:rsidTr="00752310">
        <w:tc>
          <w:tcPr>
            <w:tcW w:w="3828" w:type="dxa"/>
          </w:tcPr>
          <w:p w14:paraId="43C94A16" w14:textId="77777777" w:rsidR="00E65317" w:rsidRPr="00E65317" w:rsidRDefault="00E65317" w:rsidP="00E65317">
            <w:pPr>
              <w:spacing w:after="160" w:line="259" w:lineRule="auto"/>
              <w:rPr>
                <w:rFonts w:cs="Times New Roman"/>
                <w:b/>
                <w:szCs w:val="24"/>
                <w:lang w:val="en-GB"/>
              </w:rPr>
            </w:pPr>
            <w:r w:rsidRPr="00E65317">
              <w:rPr>
                <w:rFonts w:cs="Times New Roman"/>
                <w:b/>
                <w:szCs w:val="24"/>
                <w:lang w:val="en-GB"/>
              </w:rPr>
              <w:t>Relational indicators</w:t>
            </w:r>
          </w:p>
        </w:tc>
        <w:tc>
          <w:tcPr>
            <w:tcW w:w="4247" w:type="dxa"/>
          </w:tcPr>
          <w:p w14:paraId="1C2C170B" w14:textId="77777777" w:rsidR="00E65317" w:rsidRPr="00E65317" w:rsidRDefault="00E65317" w:rsidP="00E65317">
            <w:pPr>
              <w:spacing w:after="160" w:line="259" w:lineRule="auto"/>
              <w:rPr>
                <w:rFonts w:cs="Times New Roman"/>
                <w:szCs w:val="24"/>
                <w:lang w:val="en-GB"/>
              </w:rPr>
            </w:pPr>
          </w:p>
        </w:tc>
        <w:tc>
          <w:tcPr>
            <w:tcW w:w="3119" w:type="dxa"/>
            <w:vAlign w:val="center"/>
          </w:tcPr>
          <w:p w14:paraId="627CCDCC" w14:textId="77777777" w:rsidR="00E65317" w:rsidRPr="00E65317" w:rsidRDefault="00E65317" w:rsidP="00E65317">
            <w:pPr>
              <w:spacing w:after="160" w:line="259" w:lineRule="auto"/>
              <w:rPr>
                <w:rFonts w:cs="Times New Roman"/>
                <w:szCs w:val="24"/>
                <w:lang w:val="en-GB"/>
              </w:rPr>
            </w:pPr>
          </w:p>
        </w:tc>
        <w:tc>
          <w:tcPr>
            <w:tcW w:w="3118" w:type="dxa"/>
          </w:tcPr>
          <w:p w14:paraId="68EFEBEA" w14:textId="77777777" w:rsidR="00E65317" w:rsidRPr="00E65317" w:rsidRDefault="00E65317" w:rsidP="00E65317">
            <w:pPr>
              <w:spacing w:after="160" w:line="259" w:lineRule="auto"/>
              <w:rPr>
                <w:rFonts w:cs="Times New Roman"/>
                <w:szCs w:val="24"/>
                <w:lang w:val="en-GB"/>
              </w:rPr>
            </w:pPr>
          </w:p>
        </w:tc>
      </w:tr>
      <w:tr w:rsidR="00E65317" w:rsidRPr="00E65317" w14:paraId="10550C3C" w14:textId="77777777" w:rsidTr="00752310">
        <w:tc>
          <w:tcPr>
            <w:tcW w:w="3828" w:type="dxa"/>
          </w:tcPr>
          <w:p w14:paraId="76182E7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Relationship duration</w:t>
            </w:r>
          </w:p>
        </w:tc>
        <w:tc>
          <w:tcPr>
            <w:tcW w:w="4247" w:type="dxa"/>
          </w:tcPr>
          <w:p w14:paraId="18BCAF35" w14:textId="77777777" w:rsidR="00E65317" w:rsidRPr="00E65317" w:rsidRDefault="00E65317" w:rsidP="00E65317">
            <w:pPr>
              <w:spacing w:after="160" w:line="259" w:lineRule="auto"/>
              <w:rPr>
                <w:rFonts w:cs="Times New Roman"/>
                <w:szCs w:val="24"/>
                <w:lang w:val="en-GB"/>
              </w:rPr>
            </w:pPr>
          </w:p>
        </w:tc>
        <w:tc>
          <w:tcPr>
            <w:tcW w:w="3119" w:type="dxa"/>
          </w:tcPr>
          <w:p w14:paraId="199A3B7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.99 (.98 – 1.00)</w:t>
            </w:r>
          </w:p>
        </w:tc>
        <w:tc>
          <w:tcPr>
            <w:tcW w:w="3118" w:type="dxa"/>
          </w:tcPr>
          <w:p w14:paraId="4CE88C2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.99 (.98 – 1.00)</w:t>
            </w:r>
          </w:p>
        </w:tc>
      </w:tr>
      <w:tr w:rsidR="00E65317" w:rsidRPr="00E65317" w14:paraId="04593AE8" w14:textId="77777777" w:rsidTr="00752310">
        <w:tc>
          <w:tcPr>
            <w:tcW w:w="3828" w:type="dxa"/>
          </w:tcPr>
          <w:p w14:paraId="29C3146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Relationship satisfaction</w:t>
            </w:r>
          </w:p>
        </w:tc>
        <w:tc>
          <w:tcPr>
            <w:tcW w:w="4247" w:type="dxa"/>
          </w:tcPr>
          <w:p w14:paraId="3BF21BD1" w14:textId="77777777" w:rsidR="00E65317" w:rsidRPr="00E65317" w:rsidRDefault="00E65317" w:rsidP="00E65317">
            <w:pPr>
              <w:spacing w:after="160" w:line="259" w:lineRule="auto"/>
              <w:rPr>
                <w:rFonts w:cs="Times New Roman"/>
                <w:szCs w:val="24"/>
                <w:lang w:val="en-GB"/>
              </w:rPr>
            </w:pPr>
          </w:p>
        </w:tc>
        <w:tc>
          <w:tcPr>
            <w:tcW w:w="3119" w:type="dxa"/>
          </w:tcPr>
          <w:p w14:paraId="5221F27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1.29 (1.14 – </w:t>
            </w:r>
            <w:r w:rsidRPr="00E65317">
              <w:rPr>
                <w:rFonts w:cs="Times New Roman"/>
                <w:szCs w:val="24"/>
                <w:lang w:val="pt-PT"/>
              </w:rPr>
              <w:t>1.46)***</w:t>
            </w:r>
          </w:p>
        </w:tc>
        <w:tc>
          <w:tcPr>
            <w:tcW w:w="3118" w:type="dxa"/>
          </w:tcPr>
          <w:p w14:paraId="7B5EF13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1.14 (.99 – 1.31)</w:t>
            </w:r>
          </w:p>
        </w:tc>
      </w:tr>
      <w:tr w:rsidR="00E65317" w:rsidRPr="00E65317" w14:paraId="371EC38A" w14:textId="77777777" w:rsidTr="00752310">
        <w:tc>
          <w:tcPr>
            <w:tcW w:w="3828" w:type="dxa"/>
          </w:tcPr>
          <w:p w14:paraId="6E357B1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Relationship intimacy</w:t>
            </w:r>
          </w:p>
        </w:tc>
        <w:tc>
          <w:tcPr>
            <w:tcW w:w="4247" w:type="dxa"/>
          </w:tcPr>
          <w:p w14:paraId="14BF4280" w14:textId="77777777" w:rsidR="00E65317" w:rsidRPr="00E65317" w:rsidRDefault="00E65317" w:rsidP="00E65317">
            <w:pPr>
              <w:spacing w:after="160" w:line="259" w:lineRule="auto"/>
              <w:rPr>
                <w:rFonts w:cs="Times New Roman"/>
                <w:szCs w:val="24"/>
                <w:lang w:val="en-GB"/>
              </w:rPr>
            </w:pPr>
          </w:p>
        </w:tc>
        <w:tc>
          <w:tcPr>
            <w:tcW w:w="3119" w:type="dxa"/>
          </w:tcPr>
          <w:p w14:paraId="0866DDC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1.29 (1.00 – 1.68)</w:t>
            </w:r>
          </w:p>
        </w:tc>
        <w:tc>
          <w:tcPr>
            <w:tcW w:w="3118" w:type="dxa"/>
          </w:tcPr>
          <w:p w14:paraId="6D56D46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1.34 (1.01 – 1.78)*</w:t>
            </w:r>
          </w:p>
        </w:tc>
      </w:tr>
      <w:tr w:rsidR="00E65317" w:rsidRPr="00E65317" w14:paraId="5F5B6C6F" w14:textId="77777777" w:rsidTr="00752310">
        <w:tc>
          <w:tcPr>
            <w:tcW w:w="3828" w:type="dxa"/>
          </w:tcPr>
          <w:p w14:paraId="32405C6D" w14:textId="77777777" w:rsidR="00E65317" w:rsidRPr="00E65317" w:rsidRDefault="00E65317" w:rsidP="00E65317">
            <w:pPr>
              <w:spacing w:after="160" w:line="259" w:lineRule="auto"/>
              <w:rPr>
                <w:rFonts w:cs="Times New Roman"/>
                <w:b/>
                <w:szCs w:val="24"/>
                <w:lang w:val="en-GB"/>
              </w:rPr>
            </w:pPr>
            <w:r w:rsidRPr="00E65317">
              <w:rPr>
                <w:rFonts w:cs="Times New Roman"/>
                <w:b/>
                <w:szCs w:val="24"/>
                <w:lang w:val="en-GB"/>
              </w:rPr>
              <w:t>Health-related indicators</w:t>
            </w:r>
          </w:p>
        </w:tc>
        <w:tc>
          <w:tcPr>
            <w:tcW w:w="4247" w:type="dxa"/>
          </w:tcPr>
          <w:p w14:paraId="6A268C86" w14:textId="77777777" w:rsidR="00E65317" w:rsidRPr="00E65317" w:rsidRDefault="00E65317" w:rsidP="00E65317">
            <w:pPr>
              <w:spacing w:after="160" w:line="259" w:lineRule="auto"/>
              <w:rPr>
                <w:rFonts w:cs="Times New Roman"/>
                <w:szCs w:val="24"/>
                <w:lang w:val="en-GB"/>
              </w:rPr>
            </w:pPr>
          </w:p>
        </w:tc>
        <w:tc>
          <w:tcPr>
            <w:tcW w:w="3119" w:type="dxa"/>
          </w:tcPr>
          <w:p w14:paraId="63E9E318" w14:textId="77777777" w:rsidR="00E65317" w:rsidRPr="00E65317" w:rsidRDefault="00E65317" w:rsidP="00E65317">
            <w:pPr>
              <w:spacing w:after="160" w:line="259" w:lineRule="auto"/>
              <w:rPr>
                <w:rFonts w:cs="Times New Roman"/>
                <w:szCs w:val="24"/>
                <w:lang w:val="en-GB"/>
              </w:rPr>
            </w:pPr>
          </w:p>
        </w:tc>
        <w:tc>
          <w:tcPr>
            <w:tcW w:w="3118" w:type="dxa"/>
          </w:tcPr>
          <w:p w14:paraId="1EB9F792" w14:textId="77777777" w:rsidR="00E65317" w:rsidRPr="00E65317" w:rsidRDefault="00E65317" w:rsidP="00E65317">
            <w:pPr>
              <w:spacing w:after="160" w:line="259" w:lineRule="auto"/>
              <w:rPr>
                <w:rFonts w:cs="Times New Roman"/>
                <w:szCs w:val="24"/>
                <w:lang w:val="en-GB"/>
              </w:rPr>
            </w:pPr>
          </w:p>
        </w:tc>
      </w:tr>
      <w:tr w:rsidR="00E65317" w:rsidRPr="00E65317" w14:paraId="6D326417" w14:textId="77777777" w:rsidTr="00752310">
        <w:tc>
          <w:tcPr>
            <w:tcW w:w="3828" w:type="dxa"/>
          </w:tcPr>
          <w:p w14:paraId="515BDAB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SF-12 physical health</w:t>
            </w:r>
          </w:p>
        </w:tc>
        <w:tc>
          <w:tcPr>
            <w:tcW w:w="4247" w:type="dxa"/>
          </w:tcPr>
          <w:p w14:paraId="4BE2194F" w14:textId="77777777" w:rsidR="00E65317" w:rsidRPr="00E65317" w:rsidRDefault="00E65317" w:rsidP="00E65317">
            <w:pPr>
              <w:spacing w:after="160" w:line="259" w:lineRule="auto"/>
              <w:rPr>
                <w:rFonts w:cs="Times New Roman"/>
                <w:szCs w:val="24"/>
                <w:lang w:val="en-GB"/>
              </w:rPr>
            </w:pPr>
          </w:p>
        </w:tc>
        <w:tc>
          <w:tcPr>
            <w:tcW w:w="3119" w:type="dxa"/>
          </w:tcPr>
          <w:p w14:paraId="3BF1D772" w14:textId="77777777" w:rsidR="00E65317" w:rsidRPr="00E65317" w:rsidRDefault="00E65317" w:rsidP="00E65317">
            <w:pPr>
              <w:spacing w:after="160" w:line="259" w:lineRule="auto"/>
              <w:rPr>
                <w:rFonts w:cs="Times New Roman"/>
                <w:szCs w:val="24"/>
                <w:lang w:val="en-GB"/>
              </w:rPr>
            </w:pPr>
          </w:p>
        </w:tc>
        <w:tc>
          <w:tcPr>
            <w:tcW w:w="3118" w:type="dxa"/>
          </w:tcPr>
          <w:p w14:paraId="47E311E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.97 (.95 - .99)**</w:t>
            </w:r>
          </w:p>
        </w:tc>
      </w:tr>
      <w:tr w:rsidR="00E65317" w:rsidRPr="00E65317" w14:paraId="56AF784A" w14:textId="77777777" w:rsidTr="00752310">
        <w:tc>
          <w:tcPr>
            <w:tcW w:w="3828" w:type="dxa"/>
          </w:tcPr>
          <w:p w14:paraId="4136C7C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SF-12 mental health</w:t>
            </w:r>
          </w:p>
        </w:tc>
        <w:tc>
          <w:tcPr>
            <w:tcW w:w="4247" w:type="dxa"/>
          </w:tcPr>
          <w:p w14:paraId="6D9A2BA0" w14:textId="77777777" w:rsidR="00E65317" w:rsidRPr="00E65317" w:rsidRDefault="00E65317" w:rsidP="00E65317">
            <w:pPr>
              <w:spacing w:after="160" w:line="259" w:lineRule="auto"/>
              <w:rPr>
                <w:rFonts w:cs="Times New Roman"/>
                <w:szCs w:val="24"/>
                <w:lang w:val="en-GB"/>
              </w:rPr>
            </w:pPr>
          </w:p>
        </w:tc>
        <w:tc>
          <w:tcPr>
            <w:tcW w:w="3119" w:type="dxa"/>
          </w:tcPr>
          <w:p w14:paraId="4E888446" w14:textId="77777777" w:rsidR="00E65317" w:rsidRPr="00E65317" w:rsidRDefault="00E65317" w:rsidP="00E65317">
            <w:pPr>
              <w:spacing w:after="160" w:line="259" w:lineRule="auto"/>
              <w:rPr>
                <w:rFonts w:cs="Times New Roman"/>
                <w:szCs w:val="24"/>
                <w:lang w:val="en-GB"/>
              </w:rPr>
            </w:pPr>
          </w:p>
        </w:tc>
        <w:tc>
          <w:tcPr>
            <w:tcW w:w="3118" w:type="dxa"/>
          </w:tcPr>
          <w:p w14:paraId="664741A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1.00 (.98 – 1.03)</w:t>
            </w:r>
          </w:p>
        </w:tc>
      </w:tr>
      <w:tr w:rsidR="00E65317" w:rsidRPr="00E65317" w14:paraId="226A5E38" w14:textId="77777777" w:rsidTr="00752310">
        <w:tc>
          <w:tcPr>
            <w:tcW w:w="3828" w:type="dxa"/>
            <w:tcBorders>
              <w:bottom w:val="nil"/>
            </w:tcBorders>
          </w:tcPr>
          <w:p w14:paraId="24A6A50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Distressing sexual problems</w:t>
            </w:r>
          </w:p>
        </w:tc>
        <w:tc>
          <w:tcPr>
            <w:tcW w:w="4247" w:type="dxa"/>
            <w:tcBorders>
              <w:bottom w:val="nil"/>
            </w:tcBorders>
          </w:tcPr>
          <w:p w14:paraId="281681FF" w14:textId="77777777" w:rsidR="00E65317" w:rsidRPr="00E65317" w:rsidRDefault="00E65317" w:rsidP="00E65317">
            <w:pPr>
              <w:spacing w:after="160" w:line="259" w:lineRule="auto"/>
              <w:rPr>
                <w:rFonts w:cs="Times New Roman"/>
                <w:szCs w:val="24"/>
                <w:lang w:val="en-GB"/>
              </w:rPr>
            </w:pPr>
          </w:p>
        </w:tc>
        <w:tc>
          <w:tcPr>
            <w:tcW w:w="3119" w:type="dxa"/>
            <w:tcBorders>
              <w:bottom w:val="nil"/>
            </w:tcBorders>
          </w:tcPr>
          <w:p w14:paraId="0285D5CD" w14:textId="77777777" w:rsidR="00E65317" w:rsidRPr="00E65317" w:rsidRDefault="00E65317" w:rsidP="00E65317">
            <w:pPr>
              <w:spacing w:after="160" w:line="259" w:lineRule="auto"/>
              <w:rPr>
                <w:rFonts w:cs="Times New Roman"/>
                <w:szCs w:val="24"/>
                <w:lang w:val="en-GB"/>
              </w:rPr>
            </w:pPr>
          </w:p>
        </w:tc>
        <w:tc>
          <w:tcPr>
            <w:tcW w:w="3118" w:type="dxa"/>
            <w:tcBorders>
              <w:bottom w:val="nil"/>
            </w:tcBorders>
          </w:tcPr>
          <w:p w14:paraId="6367DBD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1.11 (1.08 - 1.15) ***</w:t>
            </w:r>
          </w:p>
        </w:tc>
      </w:tr>
      <w:tr w:rsidR="00E65317" w:rsidRPr="00E65317" w14:paraId="75BE20FE" w14:textId="77777777" w:rsidTr="00752310">
        <w:tc>
          <w:tcPr>
            <w:tcW w:w="3828" w:type="dxa"/>
            <w:tcBorders>
              <w:top w:val="nil"/>
              <w:bottom w:val="single" w:sz="4" w:space="0" w:color="auto"/>
            </w:tcBorders>
          </w:tcPr>
          <w:p w14:paraId="65AD45E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Partner’s sexual problems </w:t>
            </w:r>
          </w:p>
        </w:tc>
        <w:tc>
          <w:tcPr>
            <w:tcW w:w="4247" w:type="dxa"/>
            <w:tcBorders>
              <w:top w:val="nil"/>
              <w:bottom w:val="single" w:sz="4" w:space="0" w:color="auto"/>
            </w:tcBorders>
          </w:tcPr>
          <w:p w14:paraId="435FE4FE" w14:textId="77777777" w:rsidR="00E65317" w:rsidRPr="00E65317" w:rsidRDefault="00E65317" w:rsidP="00E65317">
            <w:pPr>
              <w:spacing w:after="160" w:line="259" w:lineRule="auto"/>
              <w:rPr>
                <w:rFonts w:cs="Times New Roman"/>
                <w:szCs w:val="24"/>
                <w:lang w:val="en-GB"/>
              </w:rPr>
            </w:pPr>
          </w:p>
        </w:tc>
        <w:tc>
          <w:tcPr>
            <w:tcW w:w="3119" w:type="dxa"/>
            <w:tcBorders>
              <w:top w:val="nil"/>
              <w:bottom w:val="single" w:sz="4" w:space="0" w:color="auto"/>
            </w:tcBorders>
          </w:tcPr>
          <w:p w14:paraId="50E0CCF3" w14:textId="77777777" w:rsidR="00E65317" w:rsidRPr="00E65317" w:rsidRDefault="00E65317" w:rsidP="00E65317">
            <w:pPr>
              <w:spacing w:after="160" w:line="259" w:lineRule="auto"/>
              <w:rPr>
                <w:rFonts w:cs="Times New Roman"/>
                <w:szCs w:val="24"/>
                <w:lang w:val="en-GB"/>
              </w:rPr>
            </w:pPr>
          </w:p>
        </w:tc>
        <w:tc>
          <w:tcPr>
            <w:tcW w:w="3118" w:type="dxa"/>
            <w:tcBorders>
              <w:top w:val="nil"/>
              <w:bottom w:val="single" w:sz="4" w:space="0" w:color="auto"/>
            </w:tcBorders>
          </w:tcPr>
          <w:p w14:paraId="5B23569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.76 (.66 - .88)***</w:t>
            </w:r>
          </w:p>
        </w:tc>
      </w:tr>
      <w:tr w:rsidR="00E65317" w:rsidRPr="00E65317" w14:paraId="1F4317F8" w14:textId="77777777" w:rsidTr="00752310">
        <w:tc>
          <w:tcPr>
            <w:tcW w:w="3828" w:type="dxa"/>
            <w:tcBorders>
              <w:top w:val="single" w:sz="4" w:space="0" w:color="auto"/>
              <w:bottom w:val="single" w:sz="4" w:space="0" w:color="auto"/>
            </w:tcBorders>
          </w:tcPr>
          <w:p w14:paraId="1A04A251" w14:textId="77777777" w:rsidR="00E65317" w:rsidRPr="00E65317" w:rsidRDefault="00E65317" w:rsidP="00E65317">
            <w:pPr>
              <w:spacing w:after="160" w:line="259" w:lineRule="auto"/>
              <w:rPr>
                <w:rFonts w:cs="Times New Roman"/>
                <w:i/>
                <w:iCs/>
                <w:szCs w:val="24"/>
                <w:lang w:val="en-GB"/>
              </w:rPr>
            </w:pPr>
            <w:r w:rsidRPr="00E65317">
              <w:rPr>
                <w:rFonts w:cs="Times New Roman"/>
                <w:szCs w:val="24"/>
                <w:lang w:val="en-GB"/>
              </w:rPr>
              <w:lastRenderedPageBreak/>
              <w:t xml:space="preserve"> Nagelkerke Δ</w:t>
            </w:r>
            <w:r w:rsidRPr="00E65317">
              <w:rPr>
                <w:rFonts w:cs="Times New Roman"/>
                <w:i/>
                <w:szCs w:val="24"/>
                <w:lang w:val="en-GB"/>
              </w:rPr>
              <w:t>R</w:t>
            </w:r>
            <w:r w:rsidRPr="00E65317">
              <w:rPr>
                <w:rFonts w:cs="Times New Roman"/>
                <w:i/>
                <w:szCs w:val="24"/>
                <w:vertAlign w:val="superscript"/>
                <w:lang w:val="en-GB"/>
              </w:rPr>
              <w:t>2</w:t>
            </w:r>
          </w:p>
        </w:tc>
        <w:tc>
          <w:tcPr>
            <w:tcW w:w="4247" w:type="dxa"/>
            <w:tcBorders>
              <w:top w:val="single" w:sz="4" w:space="0" w:color="auto"/>
              <w:bottom w:val="single" w:sz="4" w:space="0" w:color="auto"/>
            </w:tcBorders>
          </w:tcPr>
          <w:p w14:paraId="3ED3C29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.02</w:t>
            </w:r>
          </w:p>
        </w:tc>
        <w:tc>
          <w:tcPr>
            <w:tcW w:w="3119" w:type="dxa"/>
            <w:tcBorders>
              <w:top w:val="single" w:sz="4" w:space="0" w:color="auto"/>
              <w:bottom w:val="single" w:sz="4" w:space="0" w:color="auto"/>
            </w:tcBorders>
          </w:tcPr>
          <w:p w14:paraId="5CDCC11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.05</w:t>
            </w:r>
          </w:p>
        </w:tc>
        <w:tc>
          <w:tcPr>
            <w:tcW w:w="3118" w:type="dxa"/>
            <w:tcBorders>
              <w:top w:val="single" w:sz="4" w:space="0" w:color="auto"/>
              <w:bottom w:val="single" w:sz="4" w:space="0" w:color="auto"/>
            </w:tcBorders>
          </w:tcPr>
          <w:p w14:paraId="1BE79B7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.12</w:t>
            </w:r>
          </w:p>
        </w:tc>
      </w:tr>
    </w:tbl>
    <w:p w14:paraId="6BFB375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w:t>
      </w:r>
      <w:r w:rsidRPr="00E65317">
        <w:rPr>
          <w:rFonts w:cs="Times New Roman"/>
          <w:i/>
          <w:szCs w:val="24"/>
          <w:lang w:val="en-GB"/>
        </w:rPr>
        <w:t>p</w:t>
      </w:r>
      <w:r w:rsidRPr="00E65317">
        <w:rPr>
          <w:rFonts w:cs="Times New Roman"/>
          <w:szCs w:val="24"/>
          <w:lang w:val="en-GB"/>
        </w:rPr>
        <w:t xml:space="preserve"> &lt; .05, ** </w:t>
      </w:r>
      <w:r w:rsidRPr="00E65317">
        <w:rPr>
          <w:rFonts w:cs="Times New Roman"/>
          <w:i/>
          <w:szCs w:val="24"/>
          <w:lang w:val="en-GB"/>
        </w:rPr>
        <w:t>p</w:t>
      </w:r>
      <w:r w:rsidRPr="00E65317">
        <w:rPr>
          <w:rFonts w:cs="Times New Roman"/>
          <w:szCs w:val="24"/>
          <w:lang w:val="en-GB"/>
        </w:rPr>
        <w:t xml:space="preserve"> &lt; .01, *** </w:t>
      </w:r>
      <w:r w:rsidRPr="00E65317">
        <w:rPr>
          <w:rFonts w:cs="Times New Roman"/>
          <w:i/>
          <w:szCs w:val="24"/>
          <w:lang w:val="en-GB"/>
        </w:rPr>
        <w:t>p</w:t>
      </w:r>
      <w:r w:rsidRPr="00E65317">
        <w:rPr>
          <w:rFonts w:cs="Times New Roman"/>
          <w:szCs w:val="24"/>
          <w:lang w:val="en-GB"/>
        </w:rPr>
        <w:t xml:space="preserve"> &lt; .001</w:t>
      </w:r>
    </w:p>
    <w:p w14:paraId="1F880CC8" w14:textId="77777777" w:rsidR="00E65317" w:rsidRPr="00E65317" w:rsidRDefault="00E65317" w:rsidP="00E65317">
      <w:pPr>
        <w:spacing w:after="160" w:line="259" w:lineRule="auto"/>
        <w:rPr>
          <w:rFonts w:cs="Times New Roman"/>
          <w:szCs w:val="24"/>
          <w:lang w:val="en-GB"/>
        </w:rPr>
      </w:pPr>
    </w:p>
    <w:p w14:paraId="415F2368" w14:textId="77777777" w:rsidR="00E65317" w:rsidRPr="00E65317" w:rsidRDefault="00E65317" w:rsidP="00E65317">
      <w:pPr>
        <w:spacing w:after="160" w:line="259" w:lineRule="auto"/>
        <w:rPr>
          <w:rFonts w:cs="Times New Roman"/>
          <w:szCs w:val="24"/>
          <w:lang w:val="en-GB"/>
        </w:rPr>
      </w:pPr>
    </w:p>
    <w:p w14:paraId="79DE22F2" w14:textId="77777777" w:rsidR="00E65317" w:rsidRPr="00E65317" w:rsidRDefault="00E65317" w:rsidP="00E65317">
      <w:pPr>
        <w:spacing w:after="160" w:line="259" w:lineRule="auto"/>
        <w:rPr>
          <w:rFonts w:cs="Times New Roman"/>
          <w:szCs w:val="24"/>
          <w:lang w:val="en-GB"/>
        </w:rPr>
      </w:pPr>
    </w:p>
    <w:p w14:paraId="59EF99C5" w14:textId="77777777" w:rsidR="00E65317" w:rsidRPr="00E65317" w:rsidRDefault="00E65317" w:rsidP="00E65317">
      <w:pPr>
        <w:spacing w:after="160" w:line="259" w:lineRule="auto"/>
        <w:rPr>
          <w:rFonts w:cs="Times New Roman"/>
          <w:szCs w:val="24"/>
          <w:lang w:val="en-GB"/>
        </w:rPr>
      </w:pPr>
    </w:p>
    <w:p w14:paraId="57EAFE2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br w:type="page"/>
      </w:r>
      <w:r w:rsidRPr="00E65317">
        <w:rPr>
          <w:rFonts w:cs="Times New Roman"/>
          <w:szCs w:val="24"/>
          <w:lang w:val="en-GB"/>
        </w:rPr>
        <w:lastRenderedPageBreak/>
        <w:t>Table 5. Sociodemographic, Relational, and Health-Related Correlates/Predictors of Sexual Avoidance Among Partnered Women (N = 906)</w:t>
      </w:r>
    </w:p>
    <w:tbl>
      <w:tblPr>
        <w:tblStyle w:val="TableGrid"/>
        <w:tblW w:w="13887" w:type="dxa"/>
        <w:tblBorders>
          <w:left w:val="none" w:sz="0" w:space="0" w:color="auto"/>
          <w:right w:val="none" w:sz="0" w:space="0" w:color="auto"/>
          <w:insideV w:val="none" w:sz="0" w:space="0" w:color="auto"/>
        </w:tblBorders>
        <w:tblLook w:val="04A0" w:firstRow="1" w:lastRow="0" w:firstColumn="1" w:lastColumn="0" w:noHBand="0" w:noVBand="1"/>
      </w:tblPr>
      <w:tblGrid>
        <w:gridCol w:w="3828"/>
        <w:gridCol w:w="3822"/>
        <w:gridCol w:w="3544"/>
        <w:gridCol w:w="2693"/>
      </w:tblGrid>
      <w:tr w:rsidR="00E65317" w:rsidRPr="00E65317" w14:paraId="0640FD05" w14:textId="77777777" w:rsidTr="00752310">
        <w:tc>
          <w:tcPr>
            <w:tcW w:w="3828" w:type="dxa"/>
          </w:tcPr>
          <w:p w14:paraId="6D24BAA3" w14:textId="77777777" w:rsidR="00E65317" w:rsidRPr="00E65317" w:rsidRDefault="00E65317" w:rsidP="00E65317">
            <w:pPr>
              <w:spacing w:after="160" w:line="259" w:lineRule="auto"/>
              <w:rPr>
                <w:rFonts w:cs="Times New Roman"/>
                <w:szCs w:val="24"/>
                <w:lang w:val="en-GB"/>
              </w:rPr>
            </w:pPr>
          </w:p>
        </w:tc>
        <w:tc>
          <w:tcPr>
            <w:tcW w:w="3822" w:type="dxa"/>
          </w:tcPr>
          <w:p w14:paraId="3519005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Model A</w:t>
            </w:r>
          </w:p>
        </w:tc>
        <w:tc>
          <w:tcPr>
            <w:tcW w:w="3544" w:type="dxa"/>
          </w:tcPr>
          <w:p w14:paraId="1B2DFC1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Model B</w:t>
            </w:r>
          </w:p>
        </w:tc>
        <w:tc>
          <w:tcPr>
            <w:tcW w:w="2693" w:type="dxa"/>
          </w:tcPr>
          <w:p w14:paraId="4E2BED7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Model C</w:t>
            </w:r>
          </w:p>
        </w:tc>
      </w:tr>
      <w:tr w:rsidR="00E65317" w:rsidRPr="00E65317" w14:paraId="1AE32138" w14:textId="77777777" w:rsidTr="00752310">
        <w:tc>
          <w:tcPr>
            <w:tcW w:w="3828" w:type="dxa"/>
            <w:tcBorders>
              <w:bottom w:val="single" w:sz="4" w:space="0" w:color="auto"/>
            </w:tcBorders>
          </w:tcPr>
          <w:p w14:paraId="06374AB0" w14:textId="77777777" w:rsidR="00E65317" w:rsidRPr="00E65317" w:rsidRDefault="00E65317" w:rsidP="00E65317">
            <w:pPr>
              <w:spacing w:after="160" w:line="259" w:lineRule="auto"/>
              <w:rPr>
                <w:rFonts w:cs="Times New Roman"/>
                <w:b/>
                <w:szCs w:val="24"/>
                <w:lang w:val="en-GB"/>
              </w:rPr>
            </w:pPr>
          </w:p>
        </w:tc>
        <w:tc>
          <w:tcPr>
            <w:tcW w:w="3822" w:type="dxa"/>
            <w:tcBorders>
              <w:bottom w:val="single" w:sz="4" w:space="0" w:color="auto"/>
            </w:tcBorders>
          </w:tcPr>
          <w:p w14:paraId="1238F95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OR (95% CI)</w:t>
            </w:r>
          </w:p>
        </w:tc>
        <w:tc>
          <w:tcPr>
            <w:tcW w:w="3544" w:type="dxa"/>
            <w:tcBorders>
              <w:bottom w:val="single" w:sz="4" w:space="0" w:color="auto"/>
            </w:tcBorders>
          </w:tcPr>
          <w:p w14:paraId="2EC12E7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OR (95% CI)</w:t>
            </w:r>
          </w:p>
        </w:tc>
        <w:tc>
          <w:tcPr>
            <w:tcW w:w="2693" w:type="dxa"/>
            <w:tcBorders>
              <w:bottom w:val="single" w:sz="4" w:space="0" w:color="auto"/>
            </w:tcBorders>
          </w:tcPr>
          <w:p w14:paraId="4420016A"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OR (95% CI)</w:t>
            </w:r>
          </w:p>
        </w:tc>
      </w:tr>
      <w:tr w:rsidR="00E65317" w:rsidRPr="00E65317" w14:paraId="0DAA1973" w14:textId="77777777" w:rsidTr="00752310">
        <w:tc>
          <w:tcPr>
            <w:tcW w:w="3828" w:type="dxa"/>
            <w:tcBorders>
              <w:bottom w:val="nil"/>
            </w:tcBorders>
          </w:tcPr>
          <w:p w14:paraId="167E0F6D" w14:textId="77777777" w:rsidR="00E65317" w:rsidRPr="00E65317" w:rsidRDefault="00E65317" w:rsidP="00E65317">
            <w:pPr>
              <w:spacing w:after="160" w:line="259" w:lineRule="auto"/>
              <w:rPr>
                <w:rFonts w:cs="Times New Roman"/>
                <w:b/>
                <w:szCs w:val="24"/>
                <w:lang w:val="en-GB"/>
              </w:rPr>
            </w:pPr>
            <w:r w:rsidRPr="00E65317">
              <w:rPr>
                <w:rFonts w:cs="Times New Roman"/>
                <w:b/>
                <w:szCs w:val="24"/>
                <w:lang w:val="en-GB"/>
              </w:rPr>
              <w:t>Sociodemographic indicators</w:t>
            </w:r>
          </w:p>
        </w:tc>
        <w:tc>
          <w:tcPr>
            <w:tcW w:w="3822" w:type="dxa"/>
            <w:tcBorders>
              <w:bottom w:val="nil"/>
            </w:tcBorders>
          </w:tcPr>
          <w:p w14:paraId="7D229745" w14:textId="77777777" w:rsidR="00E65317" w:rsidRPr="00E65317" w:rsidRDefault="00E65317" w:rsidP="00E65317">
            <w:pPr>
              <w:spacing w:after="160" w:line="259" w:lineRule="auto"/>
              <w:rPr>
                <w:rFonts w:cs="Times New Roman"/>
                <w:szCs w:val="24"/>
                <w:lang w:val="en-GB"/>
              </w:rPr>
            </w:pPr>
          </w:p>
        </w:tc>
        <w:tc>
          <w:tcPr>
            <w:tcW w:w="3544" w:type="dxa"/>
            <w:tcBorders>
              <w:bottom w:val="nil"/>
            </w:tcBorders>
          </w:tcPr>
          <w:p w14:paraId="331227A1" w14:textId="77777777" w:rsidR="00E65317" w:rsidRPr="00E65317" w:rsidRDefault="00E65317" w:rsidP="00E65317">
            <w:pPr>
              <w:spacing w:after="160" w:line="259" w:lineRule="auto"/>
              <w:rPr>
                <w:rFonts w:cs="Times New Roman"/>
                <w:szCs w:val="24"/>
                <w:lang w:val="en-GB"/>
              </w:rPr>
            </w:pPr>
          </w:p>
        </w:tc>
        <w:tc>
          <w:tcPr>
            <w:tcW w:w="2693" w:type="dxa"/>
            <w:tcBorders>
              <w:bottom w:val="nil"/>
            </w:tcBorders>
          </w:tcPr>
          <w:p w14:paraId="5A87252D" w14:textId="77777777" w:rsidR="00E65317" w:rsidRPr="00E65317" w:rsidRDefault="00E65317" w:rsidP="00E65317">
            <w:pPr>
              <w:spacing w:after="160" w:line="259" w:lineRule="auto"/>
              <w:rPr>
                <w:rFonts w:cs="Times New Roman"/>
                <w:szCs w:val="24"/>
                <w:lang w:val="en-GB"/>
              </w:rPr>
            </w:pPr>
          </w:p>
        </w:tc>
      </w:tr>
      <w:tr w:rsidR="00E65317" w:rsidRPr="00E65317" w14:paraId="2FD46D24" w14:textId="77777777" w:rsidTr="00752310">
        <w:tc>
          <w:tcPr>
            <w:tcW w:w="3828" w:type="dxa"/>
            <w:tcBorders>
              <w:top w:val="nil"/>
              <w:bottom w:val="nil"/>
            </w:tcBorders>
          </w:tcPr>
          <w:p w14:paraId="519F0C0B"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Country of residence</w:t>
            </w:r>
          </w:p>
        </w:tc>
        <w:tc>
          <w:tcPr>
            <w:tcW w:w="3822" w:type="dxa"/>
            <w:tcBorders>
              <w:top w:val="nil"/>
              <w:bottom w:val="nil"/>
            </w:tcBorders>
          </w:tcPr>
          <w:p w14:paraId="5D9DF5D5"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0FECE58B"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0E2EADF6" w14:textId="77777777" w:rsidR="00E65317" w:rsidRPr="00E65317" w:rsidRDefault="00E65317" w:rsidP="00E65317">
            <w:pPr>
              <w:spacing w:after="160" w:line="259" w:lineRule="auto"/>
              <w:rPr>
                <w:rFonts w:cs="Times New Roman"/>
                <w:szCs w:val="24"/>
                <w:lang w:val="en-GB"/>
              </w:rPr>
            </w:pPr>
          </w:p>
        </w:tc>
      </w:tr>
      <w:tr w:rsidR="00E65317" w:rsidRPr="00E65317" w14:paraId="5D2011DB" w14:textId="77777777" w:rsidTr="00752310">
        <w:tc>
          <w:tcPr>
            <w:tcW w:w="3828" w:type="dxa"/>
            <w:tcBorders>
              <w:top w:val="nil"/>
              <w:bottom w:val="nil"/>
            </w:tcBorders>
          </w:tcPr>
          <w:p w14:paraId="036BCF7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Norway</w:t>
            </w:r>
          </w:p>
        </w:tc>
        <w:tc>
          <w:tcPr>
            <w:tcW w:w="3822" w:type="dxa"/>
            <w:tcBorders>
              <w:top w:val="nil"/>
              <w:bottom w:val="nil"/>
            </w:tcBorders>
          </w:tcPr>
          <w:p w14:paraId="5A0252A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3544" w:type="dxa"/>
            <w:tcBorders>
              <w:top w:val="nil"/>
              <w:bottom w:val="nil"/>
            </w:tcBorders>
          </w:tcPr>
          <w:p w14:paraId="2629D5B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2693" w:type="dxa"/>
            <w:tcBorders>
              <w:top w:val="nil"/>
              <w:bottom w:val="nil"/>
            </w:tcBorders>
          </w:tcPr>
          <w:p w14:paraId="2DF9A44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r>
      <w:tr w:rsidR="00E65317" w:rsidRPr="00E65317" w14:paraId="184E08B4" w14:textId="77777777" w:rsidTr="00752310">
        <w:tc>
          <w:tcPr>
            <w:tcW w:w="3828" w:type="dxa"/>
            <w:tcBorders>
              <w:top w:val="nil"/>
              <w:bottom w:val="nil"/>
            </w:tcBorders>
          </w:tcPr>
          <w:p w14:paraId="3259E52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Denmark</w:t>
            </w:r>
          </w:p>
        </w:tc>
        <w:tc>
          <w:tcPr>
            <w:tcW w:w="3822" w:type="dxa"/>
            <w:tcBorders>
              <w:top w:val="nil"/>
              <w:bottom w:val="nil"/>
            </w:tcBorders>
          </w:tcPr>
          <w:p w14:paraId="3DB83CB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1.13 (.80 - 1.58)</w:t>
            </w:r>
          </w:p>
        </w:tc>
        <w:tc>
          <w:tcPr>
            <w:tcW w:w="3544" w:type="dxa"/>
            <w:tcBorders>
              <w:top w:val="nil"/>
              <w:bottom w:val="nil"/>
            </w:tcBorders>
          </w:tcPr>
          <w:p w14:paraId="5FFF145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1.24 (.87 - 1.77)</w:t>
            </w:r>
          </w:p>
        </w:tc>
        <w:tc>
          <w:tcPr>
            <w:tcW w:w="2693" w:type="dxa"/>
            <w:tcBorders>
              <w:top w:val="nil"/>
              <w:bottom w:val="nil"/>
            </w:tcBorders>
          </w:tcPr>
          <w:p w14:paraId="57BD681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1.30 (.89 - 1.90)</w:t>
            </w:r>
          </w:p>
        </w:tc>
      </w:tr>
      <w:tr w:rsidR="00E65317" w:rsidRPr="00E65317" w14:paraId="3B51574D" w14:textId="77777777" w:rsidTr="00752310">
        <w:tc>
          <w:tcPr>
            <w:tcW w:w="3828" w:type="dxa"/>
            <w:tcBorders>
              <w:top w:val="nil"/>
              <w:bottom w:val="nil"/>
            </w:tcBorders>
          </w:tcPr>
          <w:p w14:paraId="04B0A18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Belgium</w:t>
            </w:r>
          </w:p>
        </w:tc>
        <w:tc>
          <w:tcPr>
            <w:tcW w:w="3822" w:type="dxa"/>
            <w:tcBorders>
              <w:top w:val="nil"/>
              <w:bottom w:val="nil"/>
            </w:tcBorders>
          </w:tcPr>
          <w:p w14:paraId="0731A47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1.14 (.77 - 1.70)</w:t>
            </w:r>
          </w:p>
        </w:tc>
        <w:tc>
          <w:tcPr>
            <w:tcW w:w="3544" w:type="dxa"/>
            <w:tcBorders>
              <w:top w:val="nil"/>
              <w:bottom w:val="nil"/>
            </w:tcBorders>
          </w:tcPr>
          <w:p w14:paraId="167F3CB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1.08 (.70 - 1.65)</w:t>
            </w:r>
          </w:p>
        </w:tc>
        <w:tc>
          <w:tcPr>
            <w:tcW w:w="2693" w:type="dxa"/>
            <w:tcBorders>
              <w:top w:val="nil"/>
              <w:bottom w:val="nil"/>
            </w:tcBorders>
          </w:tcPr>
          <w:p w14:paraId="2A48863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.89 (.56 - 1.40)</w:t>
            </w:r>
          </w:p>
        </w:tc>
      </w:tr>
      <w:tr w:rsidR="00E65317" w:rsidRPr="00E65317" w14:paraId="76DED16A" w14:textId="77777777" w:rsidTr="00752310">
        <w:tc>
          <w:tcPr>
            <w:tcW w:w="3828" w:type="dxa"/>
            <w:tcBorders>
              <w:top w:val="nil"/>
              <w:bottom w:val="nil"/>
            </w:tcBorders>
          </w:tcPr>
          <w:p w14:paraId="3A8EF9B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Portugal</w:t>
            </w:r>
          </w:p>
        </w:tc>
        <w:tc>
          <w:tcPr>
            <w:tcW w:w="3822" w:type="dxa"/>
            <w:tcBorders>
              <w:top w:val="nil"/>
              <w:bottom w:val="nil"/>
            </w:tcBorders>
          </w:tcPr>
          <w:p w14:paraId="1A0ECC0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.83 (.51 - 1.34)</w:t>
            </w:r>
          </w:p>
        </w:tc>
        <w:tc>
          <w:tcPr>
            <w:tcW w:w="3544" w:type="dxa"/>
            <w:tcBorders>
              <w:top w:val="nil"/>
              <w:bottom w:val="nil"/>
            </w:tcBorders>
          </w:tcPr>
          <w:p w14:paraId="44B60D9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.69 (.41 - 1.16)</w:t>
            </w:r>
          </w:p>
        </w:tc>
        <w:tc>
          <w:tcPr>
            <w:tcW w:w="2693" w:type="dxa"/>
            <w:tcBorders>
              <w:top w:val="nil"/>
              <w:bottom w:val="nil"/>
            </w:tcBorders>
          </w:tcPr>
          <w:p w14:paraId="173567E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.47 (.26 - .83)*</w:t>
            </w:r>
          </w:p>
        </w:tc>
      </w:tr>
      <w:tr w:rsidR="00E65317" w:rsidRPr="00E65317" w14:paraId="0C629052" w14:textId="77777777" w:rsidTr="00752310">
        <w:tc>
          <w:tcPr>
            <w:tcW w:w="3828" w:type="dxa"/>
            <w:tcBorders>
              <w:top w:val="nil"/>
              <w:bottom w:val="nil"/>
            </w:tcBorders>
          </w:tcPr>
          <w:p w14:paraId="5D14D5E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Age</w:t>
            </w:r>
          </w:p>
        </w:tc>
        <w:tc>
          <w:tcPr>
            <w:tcW w:w="3822" w:type="dxa"/>
            <w:tcBorders>
              <w:top w:val="nil"/>
              <w:bottom w:val="nil"/>
            </w:tcBorders>
          </w:tcPr>
          <w:p w14:paraId="035FE03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.96 (.92 - .99)*</w:t>
            </w:r>
          </w:p>
        </w:tc>
        <w:tc>
          <w:tcPr>
            <w:tcW w:w="3544" w:type="dxa"/>
            <w:tcBorders>
              <w:top w:val="nil"/>
              <w:bottom w:val="nil"/>
            </w:tcBorders>
          </w:tcPr>
          <w:p w14:paraId="1029157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.93 (.90 - .97)**</w:t>
            </w:r>
          </w:p>
        </w:tc>
        <w:tc>
          <w:tcPr>
            <w:tcW w:w="2693" w:type="dxa"/>
            <w:tcBorders>
              <w:top w:val="nil"/>
              <w:bottom w:val="nil"/>
            </w:tcBorders>
          </w:tcPr>
          <w:p w14:paraId="13284EC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.93 (.90 - .97)**</w:t>
            </w:r>
          </w:p>
        </w:tc>
      </w:tr>
      <w:tr w:rsidR="00E65317" w:rsidRPr="00E65317" w14:paraId="08EAE79A" w14:textId="77777777" w:rsidTr="00752310">
        <w:tc>
          <w:tcPr>
            <w:tcW w:w="3828" w:type="dxa"/>
            <w:tcBorders>
              <w:top w:val="nil"/>
              <w:bottom w:val="nil"/>
            </w:tcBorders>
          </w:tcPr>
          <w:p w14:paraId="3C474878"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Educational level</w:t>
            </w:r>
          </w:p>
        </w:tc>
        <w:tc>
          <w:tcPr>
            <w:tcW w:w="3822" w:type="dxa"/>
            <w:tcBorders>
              <w:top w:val="nil"/>
              <w:bottom w:val="nil"/>
            </w:tcBorders>
            <w:vAlign w:val="center"/>
          </w:tcPr>
          <w:p w14:paraId="15B403A8"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35FCF243"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43E6D0F4" w14:textId="77777777" w:rsidR="00E65317" w:rsidRPr="00E65317" w:rsidRDefault="00E65317" w:rsidP="00E65317">
            <w:pPr>
              <w:spacing w:after="160" w:line="259" w:lineRule="auto"/>
              <w:rPr>
                <w:rFonts w:cs="Times New Roman"/>
                <w:szCs w:val="24"/>
                <w:lang w:val="en-GB"/>
              </w:rPr>
            </w:pPr>
          </w:p>
        </w:tc>
      </w:tr>
      <w:tr w:rsidR="00E65317" w:rsidRPr="00E65317" w14:paraId="64C85073" w14:textId="77777777" w:rsidTr="00752310">
        <w:tc>
          <w:tcPr>
            <w:tcW w:w="3828" w:type="dxa"/>
            <w:tcBorders>
              <w:top w:val="nil"/>
              <w:bottom w:val="nil"/>
            </w:tcBorders>
          </w:tcPr>
          <w:p w14:paraId="36C3B2F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Primary education (ref)</w:t>
            </w:r>
          </w:p>
        </w:tc>
        <w:tc>
          <w:tcPr>
            <w:tcW w:w="3822" w:type="dxa"/>
            <w:tcBorders>
              <w:top w:val="nil"/>
              <w:bottom w:val="nil"/>
            </w:tcBorders>
          </w:tcPr>
          <w:p w14:paraId="0CB4CA0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3544" w:type="dxa"/>
            <w:tcBorders>
              <w:top w:val="nil"/>
              <w:bottom w:val="nil"/>
            </w:tcBorders>
          </w:tcPr>
          <w:p w14:paraId="0EB644E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c>
          <w:tcPr>
            <w:tcW w:w="2693" w:type="dxa"/>
            <w:tcBorders>
              <w:top w:val="nil"/>
              <w:bottom w:val="nil"/>
            </w:tcBorders>
          </w:tcPr>
          <w:p w14:paraId="017E492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w:t>
            </w:r>
          </w:p>
        </w:tc>
      </w:tr>
      <w:tr w:rsidR="00E65317" w:rsidRPr="00E65317" w14:paraId="072583A8" w14:textId="77777777" w:rsidTr="00752310">
        <w:tc>
          <w:tcPr>
            <w:tcW w:w="3828" w:type="dxa"/>
            <w:tcBorders>
              <w:top w:val="nil"/>
              <w:bottom w:val="nil"/>
            </w:tcBorders>
          </w:tcPr>
          <w:p w14:paraId="73C3475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Secondary education</w:t>
            </w:r>
          </w:p>
        </w:tc>
        <w:tc>
          <w:tcPr>
            <w:tcW w:w="3822" w:type="dxa"/>
            <w:tcBorders>
              <w:top w:val="nil"/>
              <w:bottom w:val="nil"/>
            </w:tcBorders>
          </w:tcPr>
          <w:p w14:paraId="2594815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.75 (.49 - 1.15)</w:t>
            </w:r>
          </w:p>
        </w:tc>
        <w:tc>
          <w:tcPr>
            <w:tcW w:w="3544" w:type="dxa"/>
            <w:tcBorders>
              <w:top w:val="nil"/>
              <w:bottom w:val="nil"/>
            </w:tcBorders>
          </w:tcPr>
          <w:p w14:paraId="4D32AB0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.80 (.51 - 1.26)</w:t>
            </w:r>
          </w:p>
        </w:tc>
        <w:tc>
          <w:tcPr>
            <w:tcW w:w="2693" w:type="dxa"/>
            <w:tcBorders>
              <w:top w:val="nil"/>
              <w:bottom w:val="nil"/>
            </w:tcBorders>
          </w:tcPr>
          <w:p w14:paraId="2BD78C13"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.82 (.51 - 1.32)</w:t>
            </w:r>
          </w:p>
        </w:tc>
      </w:tr>
      <w:tr w:rsidR="00E65317" w:rsidRPr="00E65317" w14:paraId="77F9F4D2" w14:textId="77777777" w:rsidTr="00752310">
        <w:tc>
          <w:tcPr>
            <w:tcW w:w="3828" w:type="dxa"/>
            <w:tcBorders>
              <w:top w:val="nil"/>
              <w:bottom w:val="nil"/>
            </w:tcBorders>
          </w:tcPr>
          <w:p w14:paraId="453873D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University level</w:t>
            </w:r>
          </w:p>
        </w:tc>
        <w:tc>
          <w:tcPr>
            <w:tcW w:w="3822" w:type="dxa"/>
            <w:tcBorders>
              <w:top w:val="nil"/>
              <w:bottom w:val="nil"/>
            </w:tcBorders>
          </w:tcPr>
          <w:p w14:paraId="21C0AE3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.64 (.41 - .99)</w:t>
            </w:r>
          </w:p>
        </w:tc>
        <w:tc>
          <w:tcPr>
            <w:tcW w:w="3544" w:type="dxa"/>
            <w:tcBorders>
              <w:top w:val="nil"/>
              <w:bottom w:val="nil"/>
            </w:tcBorders>
          </w:tcPr>
          <w:p w14:paraId="77E9174C"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.69 (.43 - 1.09)</w:t>
            </w:r>
          </w:p>
        </w:tc>
        <w:tc>
          <w:tcPr>
            <w:tcW w:w="2693" w:type="dxa"/>
            <w:tcBorders>
              <w:top w:val="nil"/>
              <w:bottom w:val="nil"/>
            </w:tcBorders>
          </w:tcPr>
          <w:p w14:paraId="442FC73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.71 (.43 - 1.16)</w:t>
            </w:r>
          </w:p>
        </w:tc>
      </w:tr>
      <w:tr w:rsidR="00E65317" w:rsidRPr="00E65317" w14:paraId="29A89F2C" w14:textId="77777777" w:rsidTr="00752310">
        <w:tc>
          <w:tcPr>
            <w:tcW w:w="3828" w:type="dxa"/>
            <w:tcBorders>
              <w:top w:val="nil"/>
              <w:bottom w:val="nil"/>
            </w:tcBorders>
          </w:tcPr>
          <w:p w14:paraId="4B3221D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Religiosity</w:t>
            </w:r>
          </w:p>
        </w:tc>
        <w:tc>
          <w:tcPr>
            <w:tcW w:w="3822" w:type="dxa"/>
            <w:tcBorders>
              <w:top w:val="nil"/>
              <w:bottom w:val="nil"/>
            </w:tcBorders>
          </w:tcPr>
          <w:p w14:paraId="5D47F66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.93 (.82 - 1.06)</w:t>
            </w:r>
          </w:p>
        </w:tc>
        <w:tc>
          <w:tcPr>
            <w:tcW w:w="3544" w:type="dxa"/>
            <w:tcBorders>
              <w:top w:val="nil"/>
              <w:bottom w:val="nil"/>
            </w:tcBorders>
          </w:tcPr>
          <w:p w14:paraId="2CC50FC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.93 (.81 - 1.07)</w:t>
            </w:r>
          </w:p>
        </w:tc>
        <w:tc>
          <w:tcPr>
            <w:tcW w:w="2693" w:type="dxa"/>
            <w:tcBorders>
              <w:top w:val="nil"/>
              <w:bottom w:val="nil"/>
            </w:tcBorders>
          </w:tcPr>
          <w:p w14:paraId="1EFB4C3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.92 (.80 - 1.07)</w:t>
            </w:r>
          </w:p>
        </w:tc>
      </w:tr>
      <w:tr w:rsidR="00E65317" w:rsidRPr="00E65317" w14:paraId="6F1A8F8C" w14:textId="77777777" w:rsidTr="00752310">
        <w:tc>
          <w:tcPr>
            <w:tcW w:w="3828" w:type="dxa"/>
            <w:tcBorders>
              <w:top w:val="nil"/>
              <w:bottom w:val="nil"/>
            </w:tcBorders>
          </w:tcPr>
          <w:p w14:paraId="44EF1AC0" w14:textId="77777777" w:rsidR="00E65317" w:rsidRPr="00E65317" w:rsidRDefault="00E65317" w:rsidP="00E65317">
            <w:pPr>
              <w:spacing w:after="160" w:line="259" w:lineRule="auto"/>
              <w:rPr>
                <w:rFonts w:cs="Times New Roman"/>
                <w:b/>
                <w:szCs w:val="24"/>
                <w:lang w:val="en-GB"/>
              </w:rPr>
            </w:pPr>
            <w:r w:rsidRPr="00E65317">
              <w:rPr>
                <w:rFonts w:cs="Times New Roman"/>
                <w:b/>
                <w:szCs w:val="24"/>
                <w:lang w:val="en-GB"/>
              </w:rPr>
              <w:t>Relational indicators</w:t>
            </w:r>
          </w:p>
        </w:tc>
        <w:tc>
          <w:tcPr>
            <w:tcW w:w="3822" w:type="dxa"/>
            <w:tcBorders>
              <w:top w:val="nil"/>
              <w:bottom w:val="nil"/>
            </w:tcBorders>
          </w:tcPr>
          <w:p w14:paraId="23E20155"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3059DB98"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024A152A" w14:textId="77777777" w:rsidR="00E65317" w:rsidRPr="00E65317" w:rsidRDefault="00E65317" w:rsidP="00E65317">
            <w:pPr>
              <w:spacing w:after="160" w:line="259" w:lineRule="auto"/>
              <w:rPr>
                <w:rFonts w:cs="Times New Roman"/>
                <w:szCs w:val="24"/>
                <w:lang w:val="en-GB"/>
              </w:rPr>
            </w:pPr>
          </w:p>
        </w:tc>
      </w:tr>
      <w:tr w:rsidR="00E65317" w:rsidRPr="00E65317" w14:paraId="759FF0B6" w14:textId="77777777" w:rsidTr="00752310">
        <w:tc>
          <w:tcPr>
            <w:tcW w:w="3828" w:type="dxa"/>
            <w:tcBorders>
              <w:top w:val="nil"/>
              <w:bottom w:val="nil"/>
            </w:tcBorders>
          </w:tcPr>
          <w:p w14:paraId="6901DCE7"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Relationship duration</w:t>
            </w:r>
          </w:p>
        </w:tc>
        <w:tc>
          <w:tcPr>
            <w:tcW w:w="3822" w:type="dxa"/>
            <w:tcBorders>
              <w:top w:val="nil"/>
              <w:bottom w:val="nil"/>
            </w:tcBorders>
          </w:tcPr>
          <w:p w14:paraId="0784822F"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0182E6A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1.01 (1.00 - 1.02)**</w:t>
            </w:r>
          </w:p>
        </w:tc>
        <w:tc>
          <w:tcPr>
            <w:tcW w:w="2693" w:type="dxa"/>
            <w:tcBorders>
              <w:top w:val="nil"/>
              <w:bottom w:val="nil"/>
            </w:tcBorders>
          </w:tcPr>
          <w:p w14:paraId="15D709C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1.01 (1.00 - 1.03)**</w:t>
            </w:r>
          </w:p>
        </w:tc>
      </w:tr>
      <w:tr w:rsidR="00E65317" w:rsidRPr="00E65317" w14:paraId="6AA33ECB" w14:textId="77777777" w:rsidTr="00752310">
        <w:tc>
          <w:tcPr>
            <w:tcW w:w="3828" w:type="dxa"/>
            <w:tcBorders>
              <w:top w:val="nil"/>
              <w:bottom w:val="nil"/>
            </w:tcBorders>
          </w:tcPr>
          <w:p w14:paraId="13E26966"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Relationship satisfaction</w:t>
            </w:r>
          </w:p>
        </w:tc>
        <w:tc>
          <w:tcPr>
            <w:tcW w:w="3822" w:type="dxa"/>
            <w:tcBorders>
              <w:top w:val="nil"/>
              <w:bottom w:val="nil"/>
            </w:tcBorders>
          </w:tcPr>
          <w:p w14:paraId="6FF21FE1"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36BDF2E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1.39 (1.18 - 1.63)***</w:t>
            </w:r>
          </w:p>
        </w:tc>
        <w:tc>
          <w:tcPr>
            <w:tcW w:w="2693" w:type="dxa"/>
            <w:tcBorders>
              <w:top w:val="nil"/>
              <w:bottom w:val="nil"/>
            </w:tcBorders>
          </w:tcPr>
          <w:p w14:paraId="301D2F1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1.18 (1.00 - 1.40)*</w:t>
            </w:r>
          </w:p>
        </w:tc>
      </w:tr>
      <w:tr w:rsidR="00E65317" w:rsidRPr="00E65317" w14:paraId="29EBBB47" w14:textId="77777777" w:rsidTr="00752310">
        <w:tc>
          <w:tcPr>
            <w:tcW w:w="3828" w:type="dxa"/>
            <w:tcBorders>
              <w:top w:val="nil"/>
              <w:bottom w:val="nil"/>
            </w:tcBorders>
          </w:tcPr>
          <w:p w14:paraId="13ACE49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Relationship intimacy</w:t>
            </w:r>
          </w:p>
        </w:tc>
        <w:tc>
          <w:tcPr>
            <w:tcW w:w="3822" w:type="dxa"/>
            <w:tcBorders>
              <w:top w:val="nil"/>
              <w:bottom w:val="nil"/>
            </w:tcBorders>
          </w:tcPr>
          <w:p w14:paraId="6ACB1FF8"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0D964B22"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1.62 (1.25 - 2.11)***</w:t>
            </w:r>
          </w:p>
        </w:tc>
        <w:tc>
          <w:tcPr>
            <w:tcW w:w="2693" w:type="dxa"/>
            <w:tcBorders>
              <w:top w:val="nil"/>
              <w:bottom w:val="nil"/>
            </w:tcBorders>
          </w:tcPr>
          <w:p w14:paraId="59CD095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1.52 (1.16 - 2.01)**</w:t>
            </w:r>
          </w:p>
        </w:tc>
      </w:tr>
      <w:tr w:rsidR="00E65317" w:rsidRPr="00E65317" w14:paraId="7C2A53DB" w14:textId="77777777" w:rsidTr="00752310">
        <w:tc>
          <w:tcPr>
            <w:tcW w:w="3828" w:type="dxa"/>
            <w:tcBorders>
              <w:top w:val="nil"/>
              <w:bottom w:val="nil"/>
            </w:tcBorders>
          </w:tcPr>
          <w:p w14:paraId="537C4B83" w14:textId="77777777" w:rsidR="00E65317" w:rsidRPr="00E65317" w:rsidRDefault="00E65317" w:rsidP="00E65317">
            <w:pPr>
              <w:spacing w:after="160" w:line="259" w:lineRule="auto"/>
              <w:rPr>
                <w:rFonts w:cs="Times New Roman"/>
                <w:b/>
                <w:szCs w:val="24"/>
                <w:lang w:val="en-GB"/>
              </w:rPr>
            </w:pPr>
            <w:r w:rsidRPr="00E65317">
              <w:rPr>
                <w:rFonts w:cs="Times New Roman"/>
                <w:b/>
                <w:szCs w:val="24"/>
                <w:lang w:val="en-GB"/>
              </w:rPr>
              <w:lastRenderedPageBreak/>
              <w:t>Health-related indicators</w:t>
            </w:r>
          </w:p>
        </w:tc>
        <w:tc>
          <w:tcPr>
            <w:tcW w:w="3822" w:type="dxa"/>
            <w:tcBorders>
              <w:top w:val="nil"/>
              <w:bottom w:val="nil"/>
            </w:tcBorders>
          </w:tcPr>
          <w:p w14:paraId="6269CDAF"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10049E66"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1C3D7125" w14:textId="77777777" w:rsidR="00E65317" w:rsidRPr="00E65317" w:rsidRDefault="00E65317" w:rsidP="00E65317">
            <w:pPr>
              <w:spacing w:after="160" w:line="259" w:lineRule="auto"/>
              <w:rPr>
                <w:rFonts w:cs="Times New Roman"/>
                <w:szCs w:val="24"/>
                <w:lang w:val="en-GB"/>
              </w:rPr>
            </w:pPr>
          </w:p>
        </w:tc>
      </w:tr>
      <w:tr w:rsidR="00E65317" w:rsidRPr="00E65317" w14:paraId="0D9FCF69" w14:textId="77777777" w:rsidTr="00752310">
        <w:tc>
          <w:tcPr>
            <w:tcW w:w="3828" w:type="dxa"/>
            <w:tcBorders>
              <w:top w:val="nil"/>
              <w:bottom w:val="nil"/>
            </w:tcBorders>
          </w:tcPr>
          <w:p w14:paraId="7EDFFA55"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SF-12 physical health</w:t>
            </w:r>
          </w:p>
        </w:tc>
        <w:tc>
          <w:tcPr>
            <w:tcW w:w="3822" w:type="dxa"/>
            <w:tcBorders>
              <w:top w:val="nil"/>
              <w:bottom w:val="nil"/>
            </w:tcBorders>
          </w:tcPr>
          <w:p w14:paraId="71937FCB"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429A84C2"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3CE3E39D"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.98 (.96 - .99)*</w:t>
            </w:r>
          </w:p>
        </w:tc>
      </w:tr>
      <w:tr w:rsidR="00E65317" w:rsidRPr="00E65317" w14:paraId="01FBC71B" w14:textId="77777777" w:rsidTr="00752310">
        <w:tc>
          <w:tcPr>
            <w:tcW w:w="3828" w:type="dxa"/>
            <w:tcBorders>
              <w:top w:val="nil"/>
              <w:bottom w:val="nil"/>
            </w:tcBorders>
          </w:tcPr>
          <w:p w14:paraId="46E4ACA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SF-12 mental health</w:t>
            </w:r>
          </w:p>
        </w:tc>
        <w:tc>
          <w:tcPr>
            <w:tcW w:w="3822" w:type="dxa"/>
            <w:tcBorders>
              <w:top w:val="nil"/>
              <w:bottom w:val="nil"/>
            </w:tcBorders>
          </w:tcPr>
          <w:p w14:paraId="4DC0AE1A"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73E40C0F"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0EAF9BE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.96 (.94 - .98)***</w:t>
            </w:r>
          </w:p>
        </w:tc>
      </w:tr>
      <w:tr w:rsidR="00E65317" w:rsidRPr="00E65317" w14:paraId="7BAFAE43" w14:textId="77777777" w:rsidTr="00752310">
        <w:tc>
          <w:tcPr>
            <w:tcW w:w="3828" w:type="dxa"/>
            <w:tcBorders>
              <w:top w:val="nil"/>
              <w:bottom w:val="nil"/>
            </w:tcBorders>
          </w:tcPr>
          <w:p w14:paraId="33120B69"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Distressing sexual problems</w:t>
            </w:r>
          </w:p>
        </w:tc>
        <w:tc>
          <w:tcPr>
            <w:tcW w:w="3822" w:type="dxa"/>
            <w:tcBorders>
              <w:top w:val="nil"/>
              <w:bottom w:val="nil"/>
            </w:tcBorders>
          </w:tcPr>
          <w:p w14:paraId="564C8241" w14:textId="77777777" w:rsidR="00E65317" w:rsidRPr="00E65317" w:rsidRDefault="00E65317" w:rsidP="00E65317">
            <w:pPr>
              <w:spacing w:after="160" w:line="259" w:lineRule="auto"/>
              <w:rPr>
                <w:rFonts w:cs="Times New Roman"/>
                <w:szCs w:val="24"/>
                <w:lang w:val="en-GB"/>
              </w:rPr>
            </w:pPr>
          </w:p>
        </w:tc>
        <w:tc>
          <w:tcPr>
            <w:tcW w:w="3544" w:type="dxa"/>
            <w:tcBorders>
              <w:top w:val="nil"/>
              <w:bottom w:val="nil"/>
            </w:tcBorders>
          </w:tcPr>
          <w:p w14:paraId="502DD08D" w14:textId="77777777" w:rsidR="00E65317" w:rsidRPr="00E65317" w:rsidRDefault="00E65317" w:rsidP="00E65317">
            <w:pPr>
              <w:spacing w:after="160" w:line="259" w:lineRule="auto"/>
              <w:rPr>
                <w:rFonts w:cs="Times New Roman"/>
                <w:szCs w:val="24"/>
                <w:lang w:val="en-GB"/>
              </w:rPr>
            </w:pPr>
          </w:p>
        </w:tc>
        <w:tc>
          <w:tcPr>
            <w:tcW w:w="2693" w:type="dxa"/>
            <w:tcBorders>
              <w:top w:val="nil"/>
              <w:bottom w:val="nil"/>
            </w:tcBorders>
          </w:tcPr>
          <w:p w14:paraId="08A6A25E"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1.10 (1.07 - 1.13)***</w:t>
            </w:r>
          </w:p>
        </w:tc>
      </w:tr>
      <w:tr w:rsidR="00E65317" w:rsidRPr="00E65317" w14:paraId="5A9ECC96" w14:textId="77777777" w:rsidTr="00752310">
        <w:tc>
          <w:tcPr>
            <w:tcW w:w="3828" w:type="dxa"/>
            <w:tcBorders>
              <w:top w:val="nil"/>
            </w:tcBorders>
          </w:tcPr>
          <w:p w14:paraId="1DBD306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Partner’s sexual problems </w:t>
            </w:r>
          </w:p>
        </w:tc>
        <w:tc>
          <w:tcPr>
            <w:tcW w:w="3822" w:type="dxa"/>
            <w:tcBorders>
              <w:top w:val="nil"/>
            </w:tcBorders>
          </w:tcPr>
          <w:p w14:paraId="7DF7E1F8" w14:textId="77777777" w:rsidR="00E65317" w:rsidRPr="00E65317" w:rsidRDefault="00E65317" w:rsidP="00E65317">
            <w:pPr>
              <w:spacing w:after="160" w:line="259" w:lineRule="auto"/>
              <w:rPr>
                <w:rFonts w:cs="Times New Roman"/>
                <w:szCs w:val="24"/>
                <w:lang w:val="en-GB"/>
              </w:rPr>
            </w:pPr>
          </w:p>
        </w:tc>
        <w:tc>
          <w:tcPr>
            <w:tcW w:w="3544" w:type="dxa"/>
            <w:tcBorders>
              <w:top w:val="nil"/>
            </w:tcBorders>
          </w:tcPr>
          <w:p w14:paraId="29A4EA85" w14:textId="77777777" w:rsidR="00E65317" w:rsidRPr="00E65317" w:rsidRDefault="00E65317" w:rsidP="00E65317">
            <w:pPr>
              <w:spacing w:after="160" w:line="259" w:lineRule="auto"/>
              <w:rPr>
                <w:rFonts w:cs="Times New Roman"/>
                <w:szCs w:val="24"/>
                <w:lang w:val="en-GB"/>
              </w:rPr>
            </w:pPr>
          </w:p>
        </w:tc>
        <w:tc>
          <w:tcPr>
            <w:tcW w:w="2693" w:type="dxa"/>
            <w:tcBorders>
              <w:top w:val="nil"/>
            </w:tcBorders>
          </w:tcPr>
          <w:p w14:paraId="36C5BADF"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pt-PT"/>
              </w:rPr>
              <w:t>.86 (.77 - .97)**</w:t>
            </w:r>
          </w:p>
        </w:tc>
      </w:tr>
      <w:tr w:rsidR="00E65317" w:rsidRPr="00E65317" w14:paraId="0BA326A5" w14:textId="77777777" w:rsidTr="00752310">
        <w:tc>
          <w:tcPr>
            <w:tcW w:w="3828" w:type="dxa"/>
          </w:tcPr>
          <w:p w14:paraId="191B6C96" w14:textId="77777777" w:rsidR="00E65317" w:rsidRPr="00E65317" w:rsidRDefault="00E65317" w:rsidP="00E65317">
            <w:pPr>
              <w:spacing w:after="160" w:line="259" w:lineRule="auto"/>
              <w:rPr>
                <w:rFonts w:cs="Times New Roman"/>
                <w:i/>
                <w:iCs/>
                <w:szCs w:val="24"/>
                <w:lang w:val="en-GB"/>
              </w:rPr>
            </w:pPr>
            <w:r w:rsidRPr="00E65317">
              <w:rPr>
                <w:rFonts w:cs="Times New Roman"/>
                <w:szCs w:val="24"/>
                <w:lang w:val="en-GB"/>
              </w:rPr>
              <w:t xml:space="preserve"> Nagelkerke Δ</w:t>
            </w:r>
            <w:r w:rsidRPr="00E65317">
              <w:rPr>
                <w:rFonts w:cs="Times New Roman"/>
                <w:i/>
                <w:szCs w:val="24"/>
                <w:lang w:val="en-GB"/>
              </w:rPr>
              <w:t>R</w:t>
            </w:r>
            <w:r w:rsidRPr="00E65317">
              <w:rPr>
                <w:rFonts w:cs="Times New Roman"/>
                <w:i/>
                <w:szCs w:val="24"/>
                <w:vertAlign w:val="superscript"/>
                <w:lang w:val="en-GB"/>
              </w:rPr>
              <w:t>2</w:t>
            </w:r>
          </w:p>
        </w:tc>
        <w:tc>
          <w:tcPr>
            <w:tcW w:w="3822" w:type="dxa"/>
          </w:tcPr>
          <w:p w14:paraId="4C21850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.02</w:t>
            </w:r>
          </w:p>
        </w:tc>
        <w:tc>
          <w:tcPr>
            <w:tcW w:w="3544" w:type="dxa"/>
          </w:tcPr>
          <w:p w14:paraId="3CF8D214"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.05</w:t>
            </w:r>
          </w:p>
        </w:tc>
        <w:tc>
          <w:tcPr>
            <w:tcW w:w="2693" w:type="dxa"/>
          </w:tcPr>
          <w:p w14:paraId="30A02B20"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.12</w:t>
            </w:r>
          </w:p>
        </w:tc>
      </w:tr>
    </w:tbl>
    <w:p w14:paraId="0D0E4E61" w14:textId="77777777" w:rsidR="00E65317" w:rsidRPr="00E65317" w:rsidRDefault="00E65317" w:rsidP="00E65317">
      <w:pPr>
        <w:spacing w:after="160" w:line="259" w:lineRule="auto"/>
        <w:rPr>
          <w:rFonts w:cs="Times New Roman"/>
          <w:szCs w:val="24"/>
          <w:lang w:val="en-GB"/>
        </w:rPr>
      </w:pPr>
      <w:r w:rsidRPr="00E65317">
        <w:rPr>
          <w:rFonts w:cs="Times New Roman"/>
          <w:szCs w:val="24"/>
          <w:lang w:val="en-GB"/>
        </w:rPr>
        <w:t xml:space="preserve">* </w:t>
      </w:r>
      <w:r w:rsidRPr="00E65317">
        <w:rPr>
          <w:rFonts w:cs="Times New Roman"/>
          <w:i/>
          <w:szCs w:val="24"/>
          <w:lang w:val="en-GB"/>
        </w:rPr>
        <w:t>p</w:t>
      </w:r>
      <w:r w:rsidRPr="00E65317">
        <w:rPr>
          <w:rFonts w:cs="Times New Roman"/>
          <w:szCs w:val="24"/>
          <w:lang w:val="en-GB"/>
        </w:rPr>
        <w:t xml:space="preserve"> &lt; .05, ** </w:t>
      </w:r>
      <w:r w:rsidRPr="00E65317">
        <w:rPr>
          <w:rFonts w:cs="Times New Roman"/>
          <w:i/>
          <w:szCs w:val="24"/>
          <w:lang w:val="en-GB"/>
        </w:rPr>
        <w:t>p</w:t>
      </w:r>
      <w:r w:rsidRPr="00E65317">
        <w:rPr>
          <w:rFonts w:cs="Times New Roman"/>
          <w:szCs w:val="24"/>
          <w:lang w:val="en-GB"/>
        </w:rPr>
        <w:t xml:space="preserve"> &lt; .01, *** </w:t>
      </w:r>
      <w:r w:rsidRPr="00E65317">
        <w:rPr>
          <w:rFonts w:cs="Times New Roman"/>
          <w:i/>
          <w:szCs w:val="24"/>
          <w:lang w:val="en-GB"/>
        </w:rPr>
        <w:t>p</w:t>
      </w:r>
      <w:r w:rsidRPr="00E65317">
        <w:rPr>
          <w:rFonts w:cs="Times New Roman"/>
          <w:szCs w:val="24"/>
          <w:lang w:val="en-GB"/>
        </w:rPr>
        <w:t xml:space="preserve"> &lt; .001</w:t>
      </w:r>
    </w:p>
    <w:p w14:paraId="78E188D2" w14:textId="77777777" w:rsidR="00E65317" w:rsidRPr="00E65317" w:rsidRDefault="00E65317" w:rsidP="00E65317">
      <w:pPr>
        <w:spacing w:after="160" w:line="259" w:lineRule="auto"/>
        <w:rPr>
          <w:rFonts w:cs="Times New Roman"/>
          <w:szCs w:val="24"/>
          <w:lang w:val="pt-PT"/>
        </w:rPr>
      </w:pPr>
    </w:p>
    <w:p w14:paraId="3884AC8A" w14:textId="15FECB3D" w:rsidR="00E65317" w:rsidRPr="00523FE7" w:rsidRDefault="00E65317" w:rsidP="003F1E74">
      <w:pPr>
        <w:spacing w:after="160" w:line="259" w:lineRule="auto"/>
        <w:rPr>
          <w:rFonts w:cs="Times New Roman"/>
          <w:szCs w:val="24"/>
        </w:rPr>
      </w:pPr>
    </w:p>
    <w:p w14:paraId="61D21B88" w14:textId="77777777" w:rsidR="003F1E74" w:rsidRPr="006C670D" w:rsidRDefault="003F1E74" w:rsidP="003F1E74">
      <w:pPr>
        <w:spacing w:after="0"/>
        <w:rPr>
          <w:rFonts w:cs="Times New Roman"/>
          <w:szCs w:val="24"/>
          <w:lang w:val="en-GB"/>
        </w:rPr>
      </w:pPr>
    </w:p>
    <w:p w14:paraId="4F9FCEC6" w14:textId="70221099" w:rsidR="00494D50" w:rsidRDefault="00494D50">
      <w:pPr>
        <w:spacing w:after="160" w:line="259" w:lineRule="auto"/>
        <w:rPr>
          <w:rStyle w:val="CommentReference"/>
          <w:rFonts w:cs="Times New Roman"/>
          <w:sz w:val="24"/>
          <w:szCs w:val="24"/>
        </w:rPr>
      </w:pPr>
      <w:r>
        <w:rPr>
          <w:rStyle w:val="CommentReference"/>
          <w:rFonts w:cs="Times New Roman"/>
          <w:sz w:val="24"/>
          <w:szCs w:val="24"/>
        </w:rPr>
        <w:br w:type="page"/>
      </w:r>
    </w:p>
    <w:sectPr w:rsidR="00494D50" w:rsidSect="00E65317">
      <w:pgSz w:w="16840" w:h="11900" w:orient="landscape"/>
      <w:pgMar w:top="1417" w:right="1417" w:bottom="1417" w:left="1417" w:header="708" w:footer="708"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59BD" w14:textId="77777777" w:rsidR="00C04941" w:rsidRDefault="00C04941">
      <w:pPr>
        <w:spacing w:after="0" w:line="240" w:lineRule="auto"/>
      </w:pPr>
      <w:r>
        <w:separator/>
      </w:r>
    </w:p>
  </w:endnote>
  <w:endnote w:type="continuationSeparator" w:id="0">
    <w:p w14:paraId="6AD93345" w14:textId="77777777" w:rsidR="00C04941" w:rsidRDefault="00C0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978850"/>
      <w:docPartObj>
        <w:docPartGallery w:val="Page Numbers (Bottom of Page)"/>
        <w:docPartUnique/>
      </w:docPartObj>
    </w:sdtPr>
    <w:sdtEndPr/>
    <w:sdtContent>
      <w:p w14:paraId="1A20E60E" w14:textId="77777777" w:rsidR="00AA0AD3" w:rsidRDefault="00E303E8">
        <w:pPr>
          <w:pStyle w:val="Footer"/>
          <w:jc w:val="right"/>
        </w:pPr>
        <w:r>
          <w:fldChar w:fldCharType="begin"/>
        </w:r>
        <w:r>
          <w:instrText>PAGE   \* MERGEFORMAT</w:instrText>
        </w:r>
        <w:r>
          <w:fldChar w:fldCharType="separate"/>
        </w:r>
        <w:r w:rsidR="00E65317" w:rsidRPr="00E65317">
          <w:rPr>
            <w:noProof/>
            <w:lang w:val="pt-PT"/>
          </w:rPr>
          <w:t>28</w:t>
        </w:r>
        <w:r>
          <w:fldChar w:fldCharType="end"/>
        </w:r>
      </w:p>
    </w:sdtContent>
  </w:sdt>
  <w:p w14:paraId="7B26669F" w14:textId="77777777" w:rsidR="00AA0AD3" w:rsidRDefault="00AA0A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1322" w14:textId="77777777" w:rsidR="00C04941" w:rsidRDefault="00C04941">
      <w:pPr>
        <w:spacing w:after="0" w:line="240" w:lineRule="auto"/>
      </w:pPr>
      <w:r>
        <w:separator/>
      </w:r>
    </w:p>
  </w:footnote>
  <w:footnote w:type="continuationSeparator" w:id="0">
    <w:p w14:paraId="4F8540B0" w14:textId="77777777" w:rsidR="00C04941" w:rsidRDefault="00C049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A39E8"/>
    <w:multiLevelType w:val="hybridMultilevel"/>
    <w:tmpl w:val="B51A19B8"/>
    <w:lvl w:ilvl="0" w:tplc="33BC20F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E8"/>
    <w:rsid w:val="00004954"/>
    <w:rsid w:val="00010350"/>
    <w:rsid w:val="0005527D"/>
    <w:rsid w:val="00090E59"/>
    <w:rsid w:val="000E4276"/>
    <w:rsid w:val="00183C7C"/>
    <w:rsid w:val="00196416"/>
    <w:rsid w:val="001A4A79"/>
    <w:rsid w:val="001C69B8"/>
    <w:rsid w:val="001C69EA"/>
    <w:rsid w:val="0021497F"/>
    <w:rsid w:val="0023411C"/>
    <w:rsid w:val="00247D3F"/>
    <w:rsid w:val="00267CA5"/>
    <w:rsid w:val="00356CC9"/>
    <w:rsid w:val="00395DB2"/>
    <w:rsid w:val="003F1E74"/>
    <w:rsid w:val="00467197"/>
    <w:rsid w:val="00494D50"/>
    <w:rsid w:val="004E7F86"/>
    <w:rsid w:val="00506DEF"/>
    <w:rsid w:val="00557E1E"/>
    <w:rsid w:val="005A58C0"/>
    <w:rsid w:val="00662063"/>
    <w:rsid w:val="00665403"/>
    <w:rsid w:val="006819AE"/>
    <w:rsid w:val="00696DAA"/>
    <w:rsid w:val="006F4061"/>
    <w:rsid w:val="00724DC1"/>
    <w:rsid w:val="00727035"/>
    <w:rsid w:val="00797055"/>
    <w:rsid w:val="008028F9"/>
    <w:rsid w:val="008505F2"/>
    <w:rsid w:val="0087728D"/>
    <w:rsid w:val="00886D3E"/>
    <w:rsid w:val="00895109"/>
    <w:rsid w:val="008A09B3"/>
    <w:rsid w:val="008E3317"/>
    <w:rsid w:val="00907F7C"/>
    <w:rsid w:val="00931F87"/>
    <w:rsid w:val="0095240B"/>
    <w:rsid w:val="00966C2D"/>
    <w:rsid w:val="00971E43"/>
    <w:rsid w:val="009A5BC3"/>
    <w:rsid w:val="009E4A1F"/>
    <w:rsid w:val="00A02261"/>
    <w:rsid w:val="00A130C0"/>
    <w:rsid w:val="00AA0AD3"/>
    <w:rsid w:val="00B1152C"/>
    <w:rsid w:val="00B60C82"/>
    <w:rsid w:val="00B96492"/>
    <w:rsid w:val="00C04941"/>
    <w:rsid w:val="00C23EB5"/>
    <w:rsid w:val="00C90F50"/>
    <w:rsid w:val="00CB1A6A"/>
    <w:rsid w:val="00CD0795"/>
    <w:rsid w:val="00D241AF"/>
    <w:rsid w:val="00D61036"/>
    <w:rsid w:val="00E23BD9"/>
    <w:rsid w:val="00E303E8"/>
    <w:rsid w:val="00E32C91"/>
    <w:rsid w:val="00E6189E"/>
    <w:rsid w:val="00E65317"/>
    <w:rsid w:val="00F0626C"/>
    <w:rsid w:val="00F21B4C"/>
    <w:rsid w:val="00F269D1"/>
    <w:rsid w:val="00FE73BE"/>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0A8F"/>
  <w15:chartTrackingRefBased/>
  <w15:docId w15:val="{46DB8B56-6C5A-4811-A36A-A2815DE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03E8"/>
    <w:pPr>
      <w:spacing w:after="200" w:line="360" w:lineRule="auto"/>
    </w:pPr>
    <w:rPr>
      <w:rFonts w:ascii="Times New Roman" w:eastAsiaTheme="minorEastAsia" w:hAnsi="Times New Roman"/>
      <w:sz w:val="24"/>
      <w:lang w:val="nb-NO" w:eastAsia="zh-CN"/>
    </w:rPr>
  </w:style>
  <w:style w:type="paragraph" w:styleId="Heading1">
    <w:name w:val="heading 1"/>
    <w:basedOn w:val="Normal"/>
    <w:next w:val="Normal"/>
    <w:link w:val="Heading1Char"/>
    <w:autoRedefine/>
    <w:uiPriority w:val="9"/>
    <w:qFormat/>
    <w:rsid w:val="00E303E8"/>
    <w:pPr>
      <w:keepNext/>
      <w:keepLines/>
      <w:spacing w:after="0"/>
      <w:outlineLvl w:val="0"/>
    </w:pPr>
    <w:rPr>
      <w:rFonts w:eastAsiaTheme="majorEastAsia" w:cs="Times New Roman"/>
      <w:b/>
      <w:szCs w:val="24"/>
      <w:lang w:val="en-US" w:eastAsia="en-US"/>
    </w:rPr>
  </w:style>
  <w:style w:type="paragraph" w:styleId="Heading2">
    <w:name w:val="heading 2"/>
    <w:basedOn w:val="Normal"/>
    <w:next w:val="Normal"/>
    <w:link w:val="Heading2Char"/>
    <w:autoRedefine/>
    <w:uiPriority w:val="9"/>
    <w:unhideWhenUsed/>
    <w:qFormat/>
    <w:rsid w:val="00E303E8"/>
    <w:pPr>
      <w:keepNext/>
      <w:keepLines/>
      <w:spacing w:before="40" w:after="0"/>
      <w:outlineLvl w:val="1"/>
    </w:pPr>
    <w:rPr>
      <w:rFonts w:eastAsiaTheme="majorEastAsia" w:cstheme="majorBidi"/>
      <w:b/>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3E8"/>
    <w:rPr>
      <w:rFonts w:ascii="Times New Roman" w:eastAsiaTheme="majorEastAsia" w:hAnsi="Times New Roman" w:cs="Times New Roman"/>
      <w:b/>
      <w:sz w:val="24"/>
      <w:szCs w:val="24"/>
      <w:lang w:val="en-US"/>
    </w:rPr>
  </w:style>
  <w:style w:type="character" w:customStyle="1" w:styleId="Heading2Char">
    <w:name w:val="Heading 2 Char"/>
    <w:basedOn w:val="DefaultParagraphFont"/>
    <w:link w:val="Heading2"/>
    <w:uiPriority w:val="9"/>
    <w:rsid w:val="00E303E8"/>
    <w:rPr>
      <w:rFonts w:ascii="Times New Roman" w:eastAsiaTheme="majorEastAsia" w:hAnsi="Times New Roman" w:cstheme="majorBidi"/>
      <w:b/>
      <w:sz w:val="24"/>
      <w:szCs w:val="26"/>
      <w:lang w:val="nb-NO"/>
    </w:rPr>
  </w:style>
  <w:style w:type="paragraph" w:styleId="Title">
    <w:name w:val="Title"/>
    <w:basedOn w:val="Normal"/>
    <w:next w:val="Normal"/>
    <w:link w:val="TitleChar"/>
    <w:uiPriority w:val="10"/>
    <w:qFormat/>
    <w:rsid w:val="00E30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3E8"/>
    <w:rPr>
      <w:rFonts w:asciiTheme="majorHAnsi" w:eastAsiaTheme="majorEastAsia" w:hAnsiTheme="majorHAnsi" w:cstheme="majorBidi"/>
      <w:spacing w:val="-10"/>
      <w:kern w:val="28"/>
      <w:sz w:val="56"/>
      <w:szCs w:val="56"/>
      <w:lang w:val="nb-NO" w:eastAsia="zh-CN"/>
    </w:rPr>
  </w:style>
  <w:style w:type="character" w:styleId="CommentReference">
    <w:name w:val="annotation reference"/>
    <w:basedOn w:val="DefaultParagraphFont"/>
    <w:uiPriority w:val="99"/>
    <w:semiHidden/>
    <w:unhideWhenUsed/>
    <w:rsid w:val="00E303E8"/>
    <w:rPr>
      <w:sz w:val="16"/>
      <w:szCs w:val="16"/>
    </w:rPr>
  </w:style>
  <w:style w:type="paragraph" w:styleId="CommentText">
    <w:name w:val="annotation text"/>
    <w:basedOn w:val="Normal"/>
    <w:link w:val="CommentTextChar"/>
    <w:uiPriority w:val="99"/>
    <w:unhideWhenUsed/>
    <w:rsid w:val="00E303E8"/>
    <w:pPr>
      <w:spacing w:line="240" w:lineRule="auto"/>
    </w:pPr>
    <w:rPr>
      <w:sz w:val="20"/>
      <w:szCs w:val="20"/>
    </w:rPr>
  </w:style>
  <w:style w:type="character" w:customStyle="1" w:styleId="CommentTextChar">
    <w:name w:val="Comment Text Char"/>
    <w:basedOn w:val="DefaultParagraphFont"/>
    <w:link w:val="CommentText"/>
    <w:uiPriority w:val="99"/>
    <w:rsid w:val="00E303E8"/>
    <w:rPr>
      <w:rFonts w:ascii="Times New Roman" w:eastAsiaTheme="minorEastAsia" w:hAnsi="Times New Roman"/>
      <w:sz w:val="20"/>
      <w:szCs w:val="20"/>
      <w:lang w:val="nb-NO" w:eastAsia="zh-CN"/>
    </w:rPr>
  </w:style>
  <w:style w:type="paragraph" w:styleId="Footer">
    <w:name w:val="footer"/>
    <w:basedOn w:val="Normal"/>
    <w:link w:val="FooterChar"/>
    <w:uiPriority w:val="99"/>
    <w:unhideWhenUsed/>
    <w:rsid w:val="00E303E8"/>
    <w:pPr>
      <w:tabs>
        <w:tab w:val="center" w:pos="4252"/>
        <w:tab w:val="right" w:pos="8504"/>
      </w:tabs>
      <w:spacing w:after="0" w:line="240" w:lineRule="auto"/>
    </w:pPr>
  </w:style>
  <w:style w:type="character" w:customStyle="1" w:styleId="FooterChar">
    <w:name w:val="Footer Char"/>
    <w:basedOn w:val="DefaultParagraphFont"/>
    <w:link w:val="Footer"/>
    <w:uiPriority w:val="99"/>
    <w:rsid w:val="00E303E8"/>
    <w:rPr>
      <w:rFonts w:ascii="Times New Roman" w:eastAsiaTheme="minorEastAsia" w:hAnsi="Times New Roman"/>
      <w:sz w:val="24"/>
      <w:lang w:val="nb-NO" w:eastAsia="zh-CN"/>
    </w:rPr>
  </w:style>
  <w:style w:type="character" w:styleId="Hyperlink">
    <w:name w:val="Hyperlink"/>
    <w:basedOn w:val="DefaultParagraphFont"/>
    <w:uiPriority w:val="99"/>
    <w:semiHidden/>
    <w:unhideWhenUsed/>
    <w:rsid w:val="00E303E8"/>
    <w:rPr>
      <w:color w:val="0000FF"/>
      <w:u w:val="single"/>
    </w:rPr>
  </w:style>
  <w:style w:type="character" w:customStyle="1" w:styleId="contribdegrees">
    <w:name w:val="contribdegrees"/>
    <w:basedOn w:val="DefaultParagraphFont"/>
    <w:rsid w:val="00E303E8"/>
  </w:style>
  <w:style w:type="character" w:customStyle="1" w:styleId="hlfld-contribauthor">
    <w:name w:val="hlfld-contribauthor"/>
    <w:basedOn w:val="DefaultParagraphFont"/>
    <w:rsid w:val="00E303E8"/>
  </w:style>
  <w:style w:type="character" w:customStyle="1" w:styleId="nlmgiven-names">
    <w:name w:val="nlm_given-names"/>
    <w:basedOn w:val="DefaultParagraphFont"/>
    <w:rsid w:val="00E303E8"/>
  </w:style>
  <w:style w:type="character" w:customStyle="1" w:styleId="nlmyear">
    <w:name w:val="nlm_year"/>
    <w:basedOn w:val="DefaultParagraphFont"/>
    <w:rsid w:val="00E303E8"/>
  </w:style>
  <w:style w:type="character" w:customStyle="1" w:styleId="nlmarticle-title">
    <w:name w:val="nlm_article-title"/>
    <w:basedOn w:val="DefaultParagraphFont"/>
    <w:rsid w:val="00E303E8"/>
  </w:style>
  <w:style w:type="character" w:customStyle="1" w:styleId="nlmfpage">
    <w:name w:val="nlm_fpage"/>
    <w:basedOn w:val="DefaultParagraphFont"/>
    <w:rsid w:val="00E303E8"/>
  </w:style>
  <w:style w:type="character" w:customStyle="1" w:styleId="nlmlpage">
    <w:name w:val="nlm_lpage"/>
    <w:basedOn w:val="DefaultParagraphFont"/>
    <w:rsid w:val="00E303E8"/>
  </w:style>
  <w:style w:type="paragraph" w:styleId="CommentSubject">
    <w:name w:val="annotation subject"/>
    <w:basedOn w:val="CommentText"/>
    <w:next w:val="CommentText"/>
    <w:link w:val="CommentSubjectChar"/>
    <w:uiPriority w:val="99"/>
    <w:semiHidden/>
    <w:unhideWhenUsed/>
    <w:rsid w:val="00C23EB5"/>
    <w:rPr>
      <w:b/>
      <w:bCs/>
    </w:rPr>
  </w:style>
  <w:style w:type="character" w:customStyle="1" w:styleId="CommentSubjectChar">
    <w:name w:val="Comment Subject Char"/>
    <w:basedOn w:val="CommentTextChar"/>
    <w:link w:val="CommentSubject"/>
    <w:uiPriority w:val="99"/>
    <w:semiHidden/>
    <w:rsid w:val="00C23EB5"/>
    <w:rPr>
      <w:rFonts w:ascii="Times New Roman" w:eastAsiaTheme="minorEastAsia" w:hAnsi="Times New Roman"/>
      <w:b/>
      <w:bCs/>
      <w:sz w:val="20"/>
      <w:szCs w:val="20"/>
      <w:lang w:val="nb-NO" w:eastAsia="zh-CN"/>
    </w:rPr>
  </w:style>
  <w:style w:type="paragraph" w:styleId="BalloonText">
    <w:name w:val="Balloon Text"/>
    <w:basedOn w:val="Normal"/>
    <w:link w:val="BalloonTextChar"/>
    <w:uiPriority w:val="99"/>
    <w:semiHidden/>
    <w:unhideWhenUsed/>
    <w:rsid w:val="00C23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B5"/>
    <w:rPr>
      <w:rFonts w:ascii="Segoe UI" w:eastAsiaTheme="minorEastAsia" w:hAnsi="Segoe UI" w:cs="Segoe UI"/>
      <w:sz w:val="18"/>
      <w:szCs w:val="18"/>
      <w:lang w:val="nb-NO" w:eastAsia="zh-CN"/>
    </w:rPr>
  </w:style>
  <w:style w:type="paragraph" w:styleId="PlainText">
    <w:name w:val="Plain Text"/>
    <w:basedOn w:val="Normal"/>
    <w:link w:val="PlainTextChar"/>
    <w:uiPriority w:val="99"/>
    <w:unhideWhenUsed/>
    <w:rsid w:val="00C23EB5"/>
    <w:pPr>
      <w:spacing w:after="0" w:line="240" w:lineRule="auto"/>
    </w:pPr>
    <w:rPr>
      <w:rFonts w:ascii="Calibri" w:eastAsiaTheme="minorHAnsi" w:hAnsi="Calibri"/>
      <w:sz w:val="22"/>
      <w:szCs w:val="21"/>
      <w:lang w:val="pt-PT" w:eastAsia="en-US"/>
    </w:rPr>
  </w:style>
  <w:style w:type="character" w:customStyle="1" w:styleId="PlainTextChar">
    <w:name w:val="Plain Text Char"/>
    <w:basedOn w:val="DefaultParagraphFont"/>
    <w:link w:val="PlainText"/>
    <w:uiPriority w:val="99"/>
    <w:rsid w:val="00C23EB5"/>
    <w:rPr>
      <w:rFonts w:ascii="Calibri" w:hAnsi="Calibri"/>
      <w:szCs w:val="21"/>
    </w:rPr>
  </w:style>
  <w:style w:type="table" w:styleId="TableGrid">
    <w:name w:val="Table Grid"/>
    <w:basedOn w:val="TableNormal"/>
    <w:uiPriority w:val="39"/>
    <w:rsid w:val="00E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317"/>
    <w:pPr>
      <w:spacing w:line="276" w:lineRule="auto"/>
      <w:ind w:left="720"/>
      <w:contextualSpacing/>
    </w:pPr>
    <w:rPr>
      <w:rFonts w:asciiTheme="minorHAnsi" w:eastAsia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95663">
      <w:bodyDiv w:val="1"/>
      <w:marLeft w:val="0"/>
      <w:marRight w:val="0"/>
      <w:marTop w:val="0"/>
      <w:marBottom w:val="0"/>
      <w:divBdr>
        <w:top w:val="none" w:sz="0" w:space="0" w:color="auto"/>
        <w:left w:val="none" w:sz="0" w:space="0" w:color="auto"/>
        <w:bottom w:val="none" w:sz="0" w:space="0" w:color="auto"/>
        <w:right w:val="none" w:sz="0" w:space="0" w:color="auto"/>
      </w:divBdr>
    </w:div>
    <w:div w:id="1732852529">
      <w:bodyDiv w:val="1"/>
      <w:marLeft w:val="0"/>
      <w:marRight w:val="0"/>
      <w:marTop w:val="0"/>
      <w:marBottom w:val="0"/>
      <w:divBdr>
        <w:top w:val="none" w:sz="0" w:space="0" w:color="auto"/>
        <w:left w:val="none" w:sz="0" w:space="0" w:color="auto"/>
        <w:bottom w:val="none" w:sz="0" w:space="0" w:color="auto"/>
        <w:right w:val="none" w:sz="0" w:space="0" w:color="auto"/>
      </w:divBdr>
    </w:div>
    <w:div w:id="2135755071">
      <w:bodyDiv w:val="1"/>
      <w:marLeft w:val="0"/>
      <w:marRight w:val="0"/>
      <w:marTop w:val="0"/>
      <w:marBottom w:val="0"/>
      <w:divBdr>
        <w:top w:val="none" w:sz="0" w:space="0" w:color="auto"/>
        <w:left w:val="none" w:sz="0" w:space="0" w:color="auto"/>
        <w:bottom w:val="none" w:sz="0" w:space="0" w:color="auto"/>
        <w:right w:val="none" w:sz="0" w:space="0" w:color="auto"/>
      </w:divBdr>
      <w:divsChild>
        <w:div w:id="214119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451292">
              <w:marLeft w:val="0"/>
              <w:marRight w:val="0"/>
              <w:marTop w:val="0"/>
              <w:marBottom w:val="0"/>
              <w:divBdr>
                <w:top w:val="none" w:sz="0" w:space="0" w:color="auto"/>
                <w:left w:val="none" w:sz="0" w:space="0" w:color="auto"/>
                <w:bottom w:val="none" w:sz="0" w:space="0" w:color="auto"/>
                <w:right w:val="none" w:sz="0" w:space="0" w:color="auto"/>
              </w:divBdr>
              <w:divsChild>
                <w:div w:id="8545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nlinelibrary.wiley.com/action/doSearch?ContribAuthorStored=Karraker%2C+Amelia" TargetMode="External"/><Relationship Id="rId9" Type="http://schemas.openxmlformats.org/officeDocument/2006/relationships/hyperlink" Target="https://onlinelibrary.wiley.com/action/doSearch?ContribAuthorStored=DeLamater%2C+John" TargetMode="Externa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CD5A-CF80-3E48-8B9A-0D344490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10717</Words>
  <Characters>61088</Characters>
  <Application>Microsoft Macintosh Word</Application>
  <DocSecurity>0</DocSecurity>
  <Lines>509</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Carvalheira</dc:creator>
  <cp:keywords/>
  <dc:description/>
  <cp:lastModifiedBy>Graham C.A.</cp:lastModifiedBy>
  <cp:revision>4</cp:revision>
  <dcterms:created xsi:type="dcterms:W3CDTF">2019-10-19T19:52:00Z</dcterms:created>
  <dcterms:modified xsi:type="dcterms:W3CDTF">2019-10-30T11:43:00Z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9366f68d-3193-3c0a-96b5-920c4e66c9de</vt:lpwstr>
  </property>
</Properties>
</file>