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F1F" w:rsidRPr="00A57EFF" w:rsidRDefault="00AA6F1F" w:rsidP="00A57EFF">
      <w:pPr>
        <w:spacing w:after="0" w:line="480" w:lineRule="auto"/>
        <w:contextualSpacing/>
        <w:jc w:val="center"/>
        <w:rPr>
          <w:rFonts w:ascii="Cambria" w:hAnsi="Cambria"/>
          <w:spacing w:val="-10"/>
          <w:kern w:val="28"/>
          <w:sz w:val="56"/>
        </w:rPr>
      </w:pPr>
      <w:r w:rsidRPr="00A57EFF">
        <w:rPr>
          <w:rFonts w:ascii="Cambria" w:hAnsi="Cambria"/>
          <w:spacing w:val="-10"/>
          <w:kern w:val="28"/>
          <w:sz w:val="56"/>
        </w:rPr>
        <w:t>Quantifying citrate-enhanced phosphate root uptake</w:t>
      </w:r>
      <w:r w:rsidRPr="00AA6F1F">
        <w:rPr>
          <w:rFonts w:ascii="Cambria" w:eastAsia="Times New Roman" w:hAnsi="Cambria" w:cs="Times New Roman"/>
          <w:spacing w:val="-10"/>
          <w:kern w:val="28"/>
          <w:sz w:val="56"/>
          <w:szCs w:val="56"/>
        </w:rPr>
        <w:t xml:space="preserve"> using microdialysis</w:t>
      </w:r>
    </w:p>
    <w:p w:rsidR="00AA6F1F" w:rsidRPr="00A57EFF" w:rsidRDefault="00AA6F1F" w:rsidP="00A57EFF">
      <w:pPr>
        <w:spacing w:after="200" w:line="480" w:lineRule="auto"/>
        <w:rPr>
          <w:rFonts w:ascii="Times New Roman" w:hAnsi="Times New Roman"/>
          <w:sz w:val="24"/>
        </w:rPr>
      </w:pPr>
      <w:r w:rsidRPr="00A57EFF">
        <w:rPr>
          <w:rFonts w:ascii="Times New Roman" w:hAnsi="Times New Roman"/>
          <w:sz w:val="24"/>
        </w:rPr>
        <w:t>D. M. McKay Fletcher</w:t>
      </w:r>
      <w:r w:rsidRPr="00A57EFF">
        <w:rPr>
          <w:rFonts w:ascii="Times New Roman" w:hAnsi="Times New Roman"/>
          <w:sz w:val="24"/>
          <w:vertAlign w:val="superscript"/>
        </w:rPr>
        <w:t>1</w:t>
      </w:r>
      <w:r w:rsidRPr="00A57EFF">
        <w:rPr>
          <w:rFonts w:ascii="Times New Roman" w:hAnsi="Times New Roman"/>
          <w:sz w:val="24"/>
        </w:rPr>
        <w:t>, R. Shaw</w:t>
      </w:r>
      <w:r w:rsidRPr="00A57EFF">
        <w:rPr>
          <w:rFonts w:ascii="Times New Roman" w:hAnsi="Times New Roman"/>
          <w:sz w:val="24"/>
          <w:vertAlign w:val="superscript"/>
        </w:rPr>
        <w:t>2</w:t>
      </w:r>
      <w:r w:rsidRPr="00A57EFF">
        <w:rPr>
          <w:rFonts w:ascii="Times New Roman" w:hAnsi="Times New Roman"/>
          <w:sz w:val="24"/>
        </w:rPr>
        <w:t>, A. R. Sánchez-Rodríguez</w:t>
      </w:r>
      <w:r w:rsidRPr="00A57EFF">
        <w:rPr>
          <w:rFonts w:ascii="Times New Roman" w:hAnsi="Times New Roman"/>
          <w:sz w:val="24"/>
          <w:vertAlign w:val="superscript"/>
        </w:rPr>
        <w:t>2,3</w:t>
      </w:r>
      <w:r w:rsidRPr="00A57EFF">
        <w:rPr>
          <w:rFonts w:ascii="Times New Roman" w:hAnsi="Times New Roman"/>
          <w:sz w:val="24"/>
        </w:rPr>
        <w:t>, K.R. Daly, A. van Veelen</w:t>
      </w:r>
      <w:r w:rsidRPr="00A57EFF">
        <w:rPr>
          <w:rFonts w:ascii="Times New Roman" w:hAnsi="Times New Roman"/>
          <w:sz w:val="24"/>
          <w:vertAlign w:val="superscript"/>
        </w:rPr>
        <w:t>1</w:t>
      </w:r>
      <w:r w:rsidRPr="00A57EFF">
        <w:rPr>
          <w:rFonts w:ascii="Times New Roman" w:hAnsi="Times New Roman"/>
          <w:sz w:val="24"/>
        </w:rPr>
        <w:t>, D.L. Jones</w:t>
      </w:r>
      <w:r w:rsidRPr="00A57EFF">
        <w:rPr>
          <w:rFonts w:ascii="Times New Roman" w:hAnsi="Times New Roman"/>
          <w:sz w:val="24"/>
          <w:vertAlign w:val="superscript"/>
        </w:rPr>
        <w:t>2,4</w:t>
      </w:r>
      <w:r w:rsidRPr="00A57EFF">
        <w:rPr>
          <w:rFonts w:ascii="Times New Roman" w:hAnsi="Times New Roman"/>
          <w:sz w:val="24"/>
        </w:rPr>
        <w:t>, T. Roose</w:t>
      </w:r>
      <w:r w:rsidRPr="00A57EFF">
        <w:rPr>
          <w:rFonts w:ascii="Times New Roman" w:hAnsi="Times New Roman"/>
          <w:sz w:val="24"/>
          <w:vertAlign w:val="superscript"/>
        </w:rPr>
        <w:t>1,$</w:t>
      </w:r>
      <w:r w:rsidRPr="00A57EFF">
        <w:rPr>
          <w:rFonts w:ascii="Times New Roman" w:hAnsi="Times New Roman"/>
          <w:sz w:val="24"/>
        </w:rPr>
        <w:t xml:space="preserve"> </w:t>
      </w:r>
    </w:p>
    <w:p w:rsidR="00AA6F1F" w:rsidRPr="00A57EFF" w:rsidRDefault="00AA6F1F" w:rsidP="00A57EFF">
      <w:pPr>
        <w:spacing w:after="200" w:line="480" w:lineRule="auto"/>
        <w:rPr>
          <w:rFonts w:ascii="Times New Roman" w:hAnsi="Times New Roman"/>
          <w:sz w:val="20"/>
        </w:rPr>
      </w:pPr>
      <w:r w:rsidRPr="00A57EFF">
        <w:rPr>
          <w:rFonts w:ascii="Times New Roman" w:hAnsi="Times New Roman"/>
          <w:sz w:val="20"/>
          <w:vertAlign w:val="superscript"/>
        </w:rPr>
        <w:t>1</w:t>
      </w:r>
      <w:r w:rsidRPr="00A57EFF">
        <w:rPr>
          <w:rFonts w:ascii="Times New Roman" w:hAnsi="Times New Roman"/>
          <w:sz w:val="20"/>
        </w:rPr>
        <w:t>Bioengineering Sciences Research Group, Department of Mechanical Engineering, School of Engineering Sciences, Faculty of Engineering and Physical Sciences, University of Southampton, Southampton, UK</w:t>
      </w:r>
    </w:p>
    <w:p w:rsidR="00AA6F1F" w:rsidRPr="00A57EFF" w:rsidRDefault="00AA6F1F" w:rsidP="00A57EFF">
      <w:pPr>
        <w:spacing w:after="200" w:line="480" w:lineRule="auto"/>
        <w:rPr>
          <w:rFonts w:ascii="Times New Roman" w:hAnsi="Times New Roman"/>
          <w:sz w:val="20"/>
        </w:rPr>
      </w:pPr>
      <w:r w:rsidRPr="00A57EFF">
        <w:rPr>
          <w:rFonts w:ascii="Times New Roman" w:hAnsi="Times New Roman"/>
          <w:sz w:val="20"/>
          <w:vertAlign w:val="superscript"/>
        </w:rPr>
        <w:t>2</w:t>
      </w:r>
      <w:r w:rsidRPr="00A57EFF">
        <w:rPr>
          <w:rFonts w:ascii="Times New Roman" w:hAnsi="Times New Roman"/>
          <w:sz w:val="20"/>
        </w:rPr>
        <w:t>Environment Centre Wales, Bangor University, Deiniol Road, Bangor, Gwynedd, LL57 2UW, UK</w:t>
      </w:r>
    </w:p>
    <w:p w:rsidR="00AA6F1F" w:rsidRPr="00A57EFF" w:rsidRDefault="00AA6F1F" w:rsidP="00A57EFF">
      <w:pPr>
        <w:spacing w:after="200" w:line="480" w:lineRule="auto"/>
        <w:rPr>
          <w:rFonts w:ascii="Times New Roman" w:hAnsi="Times New Roman"/>
          <w:sz w:val="20"/>
        </w:rPr>
      </w:pPr>
      <w:r w:rsidRPr="00A57EFF">
        <w:rPr>
          <w:rFonts w:ascii="Times New Roman" w:hAnsi="Times New Roman"/>
          <w:sz w:val="20"/>
          <w:vertAlign w:val="superscript"/>
        </w:rPr>
        <w:t>3</w:t>
      </w:r>
      <w:r w:rsidRPr="00A57EFF">
        <w:rPr>
          <w:rFonts w:ascii="Times New Roman" w:hAnsi="Times New Roman"/>
          <w:sz w:val="20"/>
        </w:rPr>
        <w:t xml:space="preserve">Agronomy Department, University of Córdoba, Campus de Rabanales. Edificio C4 Celestino Mutis, 14071 </w:t>
      </w:r>
      <w:bookmarkStart w:id="0" w:name="_GoBack"/>
      <w:bookmarkEnd w:id="0"/>
      <w:r w:rsidRPr="00A57EFF">
        <w:rPr>
          <w:rFonts w:ascii="Times New Roman" w:hAnsi="Times New Roman"/>
          <w:sz w:val="20"/>
        </w:rPr>
        <w:t>Córdoba, Spain</w:t>
      </w:r>
    </w:p>
    <w:p w:rsidR="00AA6F1F" w:rsidRPr="00A57EFF" w:rsidRDefault="00AA6F1F" w:rsidP="00A57EFF">
      <w:pPr>
        <w:spacing w:after="200" w:line="480" w:lineRule="auto"/>
        <w:rPr>
          <w:rFonts w:ascii="Times New Roman" w:hAnsi="Times New Roman"/>
          <w:sz w:val="20"/>
        </w:rPr>
      </w:pPr>
      <w:r w:rsidRPr="00A57EFF">
        <w:rPr>
          <w:rFonts w:ascii="Times New Roman" w:hAnsi="Times New Roman"/>
          <w:sz w:val="20"/>
          <w:vertAlign w:val="superscript"/>
        </w:rPr>
        <w:t>4</w:t>
      </w:r>
      <w:r w:rsidRPr="00A57EFF">
        <w:rPr>
          <w:rFonts w:ascii="Times New Roman" w:hAnsi="Times New Roman"/>
          <w:sz w:val="20"/>
        </w:rPr>
        <w:t xml:space="preserve">SoilsWest, UWA School of Agriculture and Environment, The University of Western Australia, </w:t>
      </w:r>
      <w:r w:rsidRPr="00AA6F1F">
        <w:rPr>
          <w:rFonts w:ascii="Times New Roman" w:eastAsia="Calibri" w:hAnsi="Times New Roman" w:cs="Times New Roman"/>
          <w:sz w:val="20"/>
          <w:szCs w:val="20"/>
        </w:rPr>
        <w:t>Perth</w:t>
      </w:r>
      <w:r w:rsidRPr="00A57EFF">
        <w:rPr>
          <w:rFonts w:ascii="Times New Roman" w:hAnsi="Times New Roman"/>
          <w:sz w:val="20"/>
        </w:rPr>
        <w:t>, WA  6009, Australia</w:t>
      </w:r>
    </w:p>
    <w:p w:rsidR="00AA6F1F" w:rsidRPr="00A57EFF" w:rsidRDefault="00AA6F1F" w:rsidP="00A57EFF">
      <w:pPr>
        <w:spacing w:after="200" w:line="480" w:lineRule="auto"/>
        <w:ind w:left="142" w:hanging="142"/>
        <w:contextualSpacing/>
        <w:jc w:val="both"/>
        <w:rPr>
          <w:rFonts w:ascii="Times New Roman" w:hAnsi="Times New Roman"/>
          <w:i/>
          <w:sz w:val="20"/>
        </w:rPr>
      </w:pPr>
      <w:r w:rsidRPr="00A57EFF">
        <w:rPr>
          <w:rFonts w:ascii="Times New Roman" w:hAnsi="Times New Roman"/>
          <w:sz w:val="20"/>
          <w:vertAlign w:val="superscript"/>
        </w:rPr>
        <w:t xml:space="preserve">$ </w:t>
      </w:r>
      <w:r w:rsidRPr="00A57EFF">
        <w:rPr>
          <w:rFonts w:ascii="Times New Roman" w:hAnsi="Times New Roman"/>
          <w:sz w:val="20"/>
        </w:rPr>
        <w:t xml:space="preserve">corresponding author: Tiina Roose, </w:t>
      </w:r>
      <w:hyperlink r:id="rId8" w:history="1">
        <w:r w:rsidRPr="00A57EFF">
          <w:rPr>
            <w:rFonts w:ascii="Times New Roman" w:hAnsi="Times New Roman"/>
            <w:color w:val="0000FF"/>
            <w:sz w:val="20"/>
            <w:u w:val="single"/>
          </w:rPr>
          <w:t>t.roose@soton.ac.uk</w:t>
        </w:r>
      </w:hyperlink>
      <w:r w:rsidRPr="00A57EFF">
        <w:rPr>
          <w:rFonts w:ascii="Times New Roman" w:hAnsi="Times New Roman"/>
          <w:sz w:val="20"/>
        </w:rPr>
        <w:t>, Bioengineering Sciences Research Group, Department of Mechanical Engineering, School of Engineering Sciences, Faculty of Engineering and Physical Sciences, University of Southampton, University Road, SO17 1BJ Southampton, United Kingdom.</w:t>
      </w:r>
    </w:p>
    <w:p w:rsidR="00AA6F1F" w:rsidRPr="00A57EFF" w:rsidRDefault="00AA6F1F" w:rsidP="00A57EFF">
      <w:pPr>
        <w:spacing w:after="200" w:line="480" w:lineRule="auto"/>
        <w:rPr>
          <w:rFonts w:ascii="Times New Roman" w:hAnsi="Times New Roman"/>
          <w:sz w:val="20"/>
        </w:rPr>
      </w:pPr>
    </w:p>
    <w:p w:rsidR="00AA6F1F" w:rsidRPr="00A57EFF" w:rsidRDefault="00AA6F1F" w:rsidP="00A57EFF">
      <w:pPr>
        <w:keepNext/>
        <w:keepLines/>
        <w:spacing w:before="240" w:after="0" w:line="480" w:lineRule="auto"/>
        <w:outlineLvl w:val="0"/>
        <w:rPr>
          <w:rFonts w:ascii="Cambria" w:hAnsi="Cambria"/>
          <w:color w:val="365F91"/>
          <w:sz w:val="32"/>
        </w:rPr>
      </w:pPr>
      <w:r w:rsidRPr="00A57EFF">
        <w:rPr>
          <w:rFonts w:ascii="Cambria" w:hAnsi="Cambria"/>
          <w:color w:val="365F91"/>
          <w:sz w:val="32"/>
        </w:rPr>
        <w:t>Abstract</w:t>
      </w:r>
    </w:p>
    <w:p w:rsidR="00AA6F1F" w:rsidRPr="00A57EFF" w:rsidRDefault="00AA6F1F" w:rsidP="00A57EFF">
      <w:pPr>
        <w:spacing w:after="200" w:line="480" w:lineRule="auto"/>
        <w:rPr>
          <w:rFonts w:ascii="Times New Roman" w:hAnsi="Times New Roman"/>
        </w:rPr>
      </w:pPr>
      <w:r w:rsidRPr="00A57EFF">
        <w:rPr>
          <w:rFonts w:ascii="Times New Roman" w:hAnsi="Times New Roman"/>
          <w:b/>
        </w:rPr>
        <w:t>Aims:</w:t>
      </w:r>
      <w:r w:rsidRPr="00A57EFF">
        <w:rPr>
          <w:rFonts w:ascii="Times New Roman" w:hAnsi="Times New Roman"/>
        </w:rPr>
        <w:t xml:space="preserve"> Organic acid exudation by plant roots is thought to promote phosphate (P) solubilisation and bioava</w:t>
      </w:r>
      <w:r w:rsidR="00AB3042" w:rsidRPr="00A57EFF">
        <w:rPr>
          <w:rFonts w:ascii="Times New Roman" w:hAnsi="Times New Roman"/>
        </w:rPr>
        <w:t>ilability in soils</w:t>
      </w:r>
      <w:r w:rsidR="00AB3042">
        <w:rPr>
          <w:rFonts w:ascii="Times New Roman" w:eastAsia="Calibri" w:hAnsi="Times New Roman" w:cs="Times New Roman"/>
        </w:rPr>
        <w:t xml:space="preserve"> with poorly available nutrients</w:t>
      </w:r>
      <w:r w:rsidRPr="00AA6F1F">
        <w:rPr>
          <w:rFonts w:ascii="Times New Roman" w:eastAsia="Calibri" w:hAnsi="Times New Roman" w:cs="Times New Roman"/>
        </w:rPr>
        <w:t>.</w:t>
      </w:r>
      <w:r w:rsidRPr="00A57EFF">
        <w:rPr>
          <w:rFonts w:ascii="Times New Roman" w:hAnsi="Times New Roman"/>
        </w:rPr>
        <w:t xml:space="preserve"> Here we describe a new </w:t>
      </w:r>
      <w:r w:rsidRPr="00AA6F1F">
        <w:rPr>
          <w:rFonts w:ascii="Times New Roman" w:eastAsia="Calibri" w:hAnsi="Times New Roman" w:cs="Times New Roman"/>
        </w:rPr>
        <w:t xml:space="preserve">combined experimental (microdialysis) and modelling </w:t>
      </w:r>
      <w:r w:rsidRPr="00A57EFF">
        <w:rPr>
          <w:rFonts w:ascii="Times New Roman" w:hAnsi="Times New Roman"/>
        </w:rPr>
        <w:t xml:space="preserve">approach to quantify citrate-enhanced </w:t>
      </w:r>
      <w:r w:rsidRPr="00AA6F1F">
        <w:rPr>
          <w:rFonts w:ascii="Times New Roman" w:eastAsia="Calibri" w:hAnsi="Times New Roman" w:cs="Times New Roman"/>
        </w:rPr>
        <w:t>P</w:t>
      </w:r>
      <w:r w:rsidRPr="00A57EFF">
        <w:rPr>
          <w:rFonts w:ascii="Times New Roman" w:hAnsi="Times New Roman"/>
        </w:rPr>
        <w:t xml:space="preserve"> desorption and its importance for root P uptake.</w:t>
      </w:r>
    </w:p>
    <w:p w:rsidR="00AA6F1F" w:rsidRPr="00A57EFF" w:rsidRDefault="00AA6F1F" w:rsidP="00A57EFF">
      <w:pPr>
        <w:spacing w:after="200" w:line="480" w:lineRule="auto"/>
        <w:rPr>
          <w:rFonts w:ascii="Times New Roman" w:hAnsi="Times New Roman"/>
        </w:rPr>
      </w:pPr>
      <w:r w:rsidRPr="00A57EFF">
        <w:rPr>
          <w:rFonts w:ascii="Times New Roman" w:hAnsi="Times New Roman"/>
          <w:b/>
        </w:rPr>
        <w:lastRenderedPageBreak/>
        <w:t>Methods:</w:t>
      </w:r>
      <w:r w:rsidRPr="00A57EFF">
        <w:rPr>
          <w:rFonts w:ascii="Times New Roman" w:hAnsi="Times New Roman"/>
        </w:rPr>
        <w:t xml:space="preserve"> To mimic the rhizosphere, microdialysis probes were placed in soil and perfused with citrate solutions </w:t>
      </w:r>
      <w:r w:rsidRPr="00AA6F1F">
        <w:rPr>
          <w:rFonts w:ascii="Times New Roman" w:eastAsia="Calibri" w:hAnsi="Times New Roman" w:cs="Times New Roman"/>
        </w:rPr>
        <w:t xml:space="preserve">(0.1, 1.0 and 10 mM) and the amount of P recovered from soil used </w:t>
      </w:r>
      <w:r w:rsidRPr="00A57EFF">
        <w:rPr>
          <w:rFonts w:ascii="Times New Roman" w:hAnsi="Times New Roman"/>
        </w:rPr>
        <w:t xml:space="preserve">to quantify rhizosphere P availability. Parameters in a mathematical model describing probe P uptake, citrate exudation, P movement and citrate-enhanced desorption were fit to the experimental data. These parameters </w:t>
      </w:r>
      <w:r w:rsidRPr="00AA6F1F">
        <w:rPr>
          <w:rFonts w:ascii="Times New Roman" w:eastAsia="Calibri" w:hAnsi="Times New Roman" w:cs="Times New Roman"/>
        </w:rPr>
        <w:t>were</w:t>
      </w:r>
      <w:r w:rsidRPr="00A57EFF">
        <w:rPr>
          <w:rFonts w:ascii="Times New Roman" w:hAnsi="Times New Roman"/>
        </w:rPr>
        <w:t xml:space="preserve"> used in a model of a root which exuded citrate and absorbed P. The importance of soil citrate-P mobilisation for root P uptake was then quantified using this model.</w:t>
      </w:r>
    </w:p>
    <w:p w:rsidR="00AA6F1F" w:rsidRPr="00A57EFF" w:rsidRDefault="00AA6F1F" w:rsidP="00A57EFF">
      <w:pPr>
        <w:spacing w:after="200" w:line="480" w:lineRule="auto"/>
        <w:rPr>
          <w:rFonts w:ascii="Times New Roman" w:hAnsi="Times New Roman"/>
        </w:rPr>
      </w:pPr>
      <w:r w:rsidRPr="00A57EFF">
        <w:rPr>
          <w:rFonts w:ascii="Times New Roman" w:hAnsi="Times New Roman"/>
          <w:b/>
        </w:rPr>
        <w:t xml:space="preserve">Results: </w:t>
      </w:r>
      <w:r w:rsidRPr="00AA6F1F">
        <w:rPr>
          <w:rFonts w:ascii="Times New Roman" w:eastAsia="Calibri" w:hAnsi="Times New Roman" w:cs="Times New Roman"/>
        </w:rPr>
        <w:t>A plant needs to exude</w:t>
      </w:r>
      <w:r w:rsidRPr="00A57EFF">
        <w:rPr>
          <w:rFonts w:ascii="Times New Roman" w:hAnsi="Times New Roman"/>
        </w:rPr>
        <w:t xml:space="preserve"> citrate </w:t>
      </w:r>
      <w:r w:rsidRPr="00AA6F1F">
        <w:rPr>
          <w:rFonts w:ascii="Times New Roman" w:eastAsia="Calibri" w:hAnsi="Times New Roman" w:cs="Times New Roman"/>
        </w:rPr>
        <w:t xml:space="preserve">at a rate </w:t>
      </w:r>
      <w:r w:rsidRPr="00A57EFF">
        <w:rPr>
          <w:rFonts w:ascii="Times New Roman" w:hAnsi="Times New Roman"/>
        </w:rPr>
        <w:t xml:space="preserve">of </w:t>
      </w:r>
      <w:r w:rsidRPr="00AA6F1F">
        <w:rPr>
          <w:rFonts w:ascii="Times New Roman" w:eastAsia="Calibri" w:hAnsi="Times New Roman" w:cs="Times New Roman"/>
        </w:rPr>
        <w:t>0.73</w:t>
      </w:r>
      <w:r w:rsidRPr="00A57EFF">
        <w:rPr>
          <w:rFonts w:ascii="Times New Roman" w:hAnsi="Times New Roman"/>
        </w:rPr>
        <w:t xml:space="preserve"> µmol</w:t>
      </w:r>
      <w:r w:rsidRPr="00AA6F1F">
        <w:rPr>
          <w:rFonts w:ascii="Times New Roman" w:eastAsia="Calibri" w:hAnsi="Times New Roman" w:cs="Times New Roman"/>
        </w:rPr>
        <w:t xml:space="preserve"> cm</w:t>
      </w:r>
      <w:r w:rsidRPr="00A57EFF">
        <w:rPr>
          <w:rFonts w:ascii="Times New Roman" w:hAnsi="Times New Roman"/>
          <w:vertAlign w:val="superscript"/>
        </w:rPr>
        <w:t>-1</w:t>
      </w:r>
      <w:r w:rsidRPr="00A57EFF">
        <w:rPr>
          <w:rFonts w:ascii="Times New Roman" w:hAnsi="Times New Roman"/>
        </w:rPr>
        <w:t xml:space="preserve"> of </w:t>
      </w:r>
      <w:r w:rsidRPr="00AA6F1F">
        <w:rPr>
          <w:rFonts w:ascii="Times New Roman" w:eastAsia="Calibri" w:hAnsi="Times New Roman" w:cs="Times New Roman"/>
        </w:rPr>
        <w:t>root h</w:t>
      </w:r>
      <w:r w:rsidRPr="00AA6F1F">
        <w:rPr>
          <w:rFonts w:ascii="Times New Roman" w:eastAsia="Calibri" w:hAnsi="Times New Roman" w:cs="Times New Roman"/>
          <w:vertAlign w:val="superscript"/>
        </w:rPr>
        <w:t>-1</w:t>
      </w:r>
      <w:r w:rsidRPr="00AA6F1F">
        <w:rPr>
          <w:rFonts w:ascii="Times New Roman" w:eastAsia="Calibri" w:hAnsi="Times New Roman" w:cs="Times New Roman"/>
        </w:rPr>
        <w:t xml:space="preserve"> to see a significant increase in </w:t>
      </w:r>
      <w:r w:rsidRPr="00A57EFF">
        <w:rPr>
          <w:rFonts w:ascii="Times New Roman" w:hAnsi="Times New Roman"/>
        </w:rPr>
        <w:t>P absorption</w:t>
      </w:r>
      <w:r w:rsidRPr="00AA6F1F">
        <w:rPr>
          <w:rFonts w:ascii="Times New Roman" w:eastAsia="Calibri" w:hAnsi="Times New Roman" w:cs="Times New Roman"/>
        </w:rPr>
        <w:t>.</w:t>
      </w:r>
      <w:r w:rsidRPr="00AA6F1F">
        <w:rPr>
          <w:rFonts w:ascii="Times New Roman" w:eastAsia="Times New Roman" w:hAnsi="Times New Roman" w:cs="Times New Roman"/>
        </w:rPr>
        <w:t xml:space="preserve"> </w:t>
      </w:r>
      <w:r w:rsidRPr="00AA6F1F">
        <w:rPr>
          <w:rFonts w:ascii="Times New Roman" w:eastAsia="Calibri" w:hAnsi="Times New Roman" w:cs="Times New Roman"/>
        </w:rPr>
        <w:t>Microdialysis</w:t>
      </w:r>
      <w:r w:rsidRPr="00A57EFF">
        <w:rPr>
          <w:rFonts w:ascii="Times New Roman" w:hAnsi="Times New Roman"/>
        </w:rPr>
        <w:t xml:space="preserve"> probes </w:t>
      </w:r>
      <w:r w:rsidRPr="00AA6F1F">
        <w:rPr>
          <w:rFonts w:ascii="Times New Roman" w:eastAsia="Calibri" w:hAnsi="Times New Roman" w:cs="Times New Roman"/>
        </w:rPr>
        <w:t>with citrate in the perfusate were shown to absorb</w:t>
      </w:r>
      <w:r w:rsidRPr="00A57EFF">
        <w:rPr>
          <w:rFonts w:ascii="Times New Roman" w:hAnsi="Times New Roman"/>
        </w:rPr>
        <w:t xml:space="preserve"> similar </w:t>
      </w:r>
      <w:r w:rsidRPr="00AA6F1F">
        <w:rPr>
          <w:rFonts w:ascii="Times New Roman" w:eastAsia="Calibri" w:hAnsi="Times New Roman" w:cs="Times New Roman"/>
        </w:rPr>
        <w:t xml:space="preserve">quantities of P </w:t>
      </w:r>
      <w:r w:rsidRPr="00A57EFF">
        <w:rPr>
          <w:rFonts w:ascii="Times New Roman" w:hAnsi="Times New Roman"/>
        </w:rPr>
        <w:t xml:space="preserve">to </w:t>
      </w:r>
      <w:r w:rsidRPr="00AA6F1F">
        <w:rPr>
          <w:rFonts w:ascii="Times New Roman" w:eastAsia="Calibri" w:hAnsi="Times New Roman" w:cs="Times New Roman"/>
        </w:rPr>
        <w:t xml:space="preserve">an </w:t>
      </w:r>
      <w:r w:rsidRPr="00A57EFF">
        <w:rPr>
          <w:rFonts w:ascii="Times New Roman" w:hAnsi="Times New Roman"/>
        </w:rPr>
        <w:t>exuding root.</w:t>
      </w:r>
      <w:r w:rsidRPr="00AA6F1F">
        <w:rPr>
          <w:rFonts w:ascii="Times New Roman" w:eastAsia="Calibri" w:hAnsi="Times New Roman" w:cs="Times New Roman"/>
        </w:rPr>
        <w:t xml:space="preserve"> </w:t>
      </w:r>
    </w:p>
    <w:p w:rsidR="00AA6F1F" w:rsidRPr="00A57EFF" w:rsidRDefault="00AA6F1F" w:rsidP="00A57EFF">
      <w:pPr>
        <w:spacing w:after="200" w:line="480" w:lineRule="auto"/>
        <w:rPr>
          <w:rFonts w:ascii="Times New Roman" w:hAnsi="Times New Roman"/>
        </w:rPr>
      </w:pPr>
      <w:r w:rsidRPr="00A57EFF">
        <w:rPr>
          <w:rFonts w:ascii="Times New Roman" w:hAnsi="Times New Roman"/>
          <w:b/>
        </w:rPr>
        <w:t>Conclusion:</w:t>
      </w:r>
      <w:r w:rsidRPr="00A57EFF">
        <w:rPr>
          <w:rFonts w:ascii="Times New Roman" w:hAnsi="Times New Roman"/>
        </w:rPr>
        <w:t xml:space="preserve"> A single root exuding citrate at a typical rate</w:t>
      </w:r>
      <w:r w:rsidRPr="00AA6F1F">
        <w:rPr>
          <w:rFonts w:ascii="Times New Roman" w:eastAsia="Calibri" w:hAnsi="Times New Roman" w:cs="Times New Roman"/>
        </w:rPr>
        <w:t xml:space="preserve"> (</w:t>
      </w:r>
      <m:oMath>
        <m:r>
          <w:rPr>
            <w:rFonts w:ascii="Cambria Math" w:eastAsia="Calibri" w:hAnsi="Cambria Math" w:cs="Times New Roman"/>
          </w:rPr>
          <m:t>4.3×</m:t>
        </m:r>
        <m:sSup>
          <m:sSupPr>
            <m:ctrlPr>
              <w:rPr>
                <w:rFonts w:ascii="Cambria Math" w:eastAsia="Calibri" w:hAnsi="Cambria Math" w:cs="Times New Roman"/>
                <w:i/>
              </w:rPr>
            </m:ctrlPr>
          </m:sSupPr>
          <m:e>
            <m:r>
              <w:rPr>
                <w:rFonts w:ascii="Cambria Math" w:eastAsia="Calibri" w:hAnsi="Cambria Math" w:cs="Times New Roman"/>
              </w:rPr>
              <m:t>10</m:t>
            </m:r>
          </m:e>
          <m:sup>
            <m:r>
              <w:rPr>
                <w:rFonts w:ascii="Cambria Math" w:eastAsia="Calibri" w:hAnsi="Cambria Math" w:cs="Times New Roman"/>
              </w:rPr>
              <m:t>-5</m:t>
            </m:r>
          </m:sup>
        </m:sSup>
      </m:oMath>
      <w:r w:rsidRPr="00AA6F1F">
        <w:rPr>
          <w:rFonts w:ascii="Times New Roman" w:eastAsia="Calibri" w:hAnsi="Times New Roman" w:cs="Times New Roman"/>
        </w:rPr>
        <w:t xml:space="preserve"> µmol m</w:t>
      </w:r>
      <w:r w:rsidR="003A5E64">
        <w:rPr>
          <w:rFonts w:ascii="Times New Roman" w:eastAsia="Calibri" w:hAnsi="Times New Roman" w:cs="Times New Roman"/>
          <w:vertAlign w:val="superscript"/>
        </w:rPr>
        <w:t>-1</w:t>
      </w:r>
      <w:r w:rsidR="003A5E64">
        <w:rPr>
          <w:rFonts w:ascii="Times New Roman" w:eastAsia="Calibri" w:hAnsi="Times New Roman" w:cs="Times New Roman"/>
        </w:rPr>
        <w:t xml:space="preserve"> of root h</w:t>
      </w:r>
      <w:r w:rsidR="003A5E64">
        <w:rPr>
          <w:rFonts w:ascii="Times New Roman" w:eastAsia="Calibri" w:hAnsi="Times New Roman" w:cs="Times New Roman"/>
          <w:vertAlign w:val="superscript"/>
        </w:rPr>
        <w:t>-1</w:t>
      </w:r>
      <w:r w:rsidRPr="00AA6F1F">
        <w:rPr>
          <w:rFonts w:ascii="Times New Roman" w:eastAsia="Calibri" w:hAnsi="Times New Roman" w:cs="Times New Roman"/>
        </w:rPr>
        <w:t>)</w:t>
      </w:r>
      <w:r w:rsidRPr="00A57EFF">
        <w:rPr>
          <w:rFonts w:ascii="Times New Roman" w:hAnsi="Times New Roman"/>
        </w:rPr>
        <w:t xml:space="preserve"> did not contribute significantly to P uptake. Microdialysis probes show promise for measuring rhizosphere processes when calibration experiments and mathematical modelling are used to decouple microdialysis and rhizosphere mechanisms.   </w:t>
      </w:r>
    </w:p>
    <w:p w:rsidR="00AA6F1F" w:rsidRPr="00A57EFF" w:rsidRDefault="00AA6F1F" w:rsidP="00A57EFF">
      <w:pPr>
        <w:spacing w:after="200" w:line="480" w:lineRule="auto"/>
        <w:rPr>
          <w:rFonts w:ascii="Times New Roman" w:hAnsi="Times New Roman"/>
          <w:color w:val="365F91"/>
          <w:sz w:val="32"/>
        </w:rPr>
      </w:pPr>
      <w:r w:rsidRPr="00A57EFF">
        <w:rPr>
          <w:rFonts w:ascii="Times New Roman" w:hAnsi="Times New Roman"/>
          <w:b/>
          <w:sz w:val="24"/>
        </w:rPr>
        <w:t>Keywords:</w:t>
      </w:r>
      <w:r w:rsidRPr="00A57EFF">
        <w:rPr>
          <w:rFonts w:ascii="Times New Roman" w:hAnsi="Times New Roman"/>
          <w:sz w:val="24"/>
        </w:rPr>
        <w:t xml:space="preserve"> method, modelling, nutrient uptake, phosphorus mobilisation, soil solution</w:t>
      </w:r>
    </w:p>
    <w:p w:rsidR="00AA6F1F" w:rsidRPr="00A57EFF" w:rsidRDefault="00AA6F1F" w:rsidP="00A57EFF">
      <w:pPr>
        <w:keepNext/>
        <w:keepLines/>
        <w:spacing w:after="0" w:line="480" w:lineRule="auto"/>
        <w:outlineLvl w:val="0"/>
        <w:rPr>
          <w:rFonts w:ascii="Times New Roman" w:hAnsi="Times New Roman"/>
          <w:color w:val="365F91"/>
          <w:sz w:val="32"/>
        </w:rPr>
      </w:pPr>
      <w:r w:rsidRPr="00A57EFF">
        <w:rPr>
          <w:rFonts w:ascii="Times New Roman" w:hAnsi="Times New Roman"/>
          <w:color w:val="365F91"/>
          <w:sz w:val="32"/>
        </w:rPr>
        <w:t>Introduction</w:t>
      </w:r>
    </w:p>
    <w:p w:rsidR="00AA6F1F" w:rsidRPr="00A57EFF" w:rsidRDefault="00AA6F1F" w:rsidP="00AA6F1F">
      <w:pPr>
        <w:spacing w:after="0" w:line="480" w:lineRule="auto"/>
        <w:jc w:val="both"/>
        <w:rPr>
          <w:rFonts w:ascii="Times New Roman" w:hAnsi="Times New Roman"/>
          <w:sz w:val="24"/>
        </w:rPr>
      </w:pPr>
      <w:r w:rsidRPr="00A57EFF">
        <w:rPr>
          <w:rFonts w:ascii="Times New Roman" w:hAnsi="Times New Roman"/>
          <w:sz w:val="24"/>
        </w:rPr>
        <w:t xml:space="preserve">Low phosphate (P) availability in soil is often one of the most severe constraints to crop production worldwide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&lt;EndNote&gt;&lt;Cite&gt;&lt;Author&gt;Barber&lt;/Author&gt;&lt;Year&gt;1995&lt;/Year&gt;&lt;RecNum&gt;60&lt;/RecNum&gt;&lt;DisplayText&gt;(Barber 1995; Vitousek et al. 2010)&lt;/DisplayText&gt;&lt;record&gt;&lt;rec-number&gt;60&lt;/rec-number&gt;&lt;foreign-keys&gt;&lt;key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Cite&gt;&lt;Author&gt;Vitousek&lt;/Author&gt;&lt;Year&gt;2010&lt;/Year&gt;&lt;RecNum&gt;71&lt;/RecNum&gt;&lt;record&gt;&lt;rec-number&gt;71&lt;/rec-number&gt;&lt;foreign-keys&gt;&lt;key app="EN" db-id="0sapex5pfwrt05ep5w3x2zd0tdt9050e5fax" timestamp="1487243429"&gt;71&lt;/key&gt;&lt;/foreign-keys&gt;&lt;ref-type name="Journal Article"&gt;17&lt;/ref-type&gt;&lt;contributors&gt;&lt;authors&gt;&lt;author&gt;Vitousek, Peter M&lt;/author&gt;&lt;author&gt;Porder, Stephen&lt;/author&gt;&lt;author&gt;Houlton, Benjamin Z&lt;/author&gt;&lt;author&gt;Chadwick, Oliver A&lt;/author&gt;&lt;/authors&gt;&lt;/contributors&gt;&lt;titles&gt;&lt;title&gt;Terrestrial phosphorus limitation: mechanisms, implications, and nitrogen–phosphorus interactions&lt;/title&gt;&lt;secondary-title&gt;Ecological applications&lt;/secondary-title&gt;&lt;/titles&gt;&lt;periodical&gt;&lt;full-title&gt;Ecological applications&lt;/full-title&gt;&lt;/periodical&gt;&lt;pages&gt;5-15&lt;/pages&gt;&lt;volume&gt;20&lt;/volume&gt;&lt;number&gt;1&lt;/number&gt;&lt;dates&gt;&lt;year&gt;2010&lt;/year&gt;&lt;/dates&gt;&lt;isbn&gt;1939-5582&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(Barber 1995; Vitousek et al. 2010)</w:t>
      </w:r>
      <w:r w:rsidRPr="00A57EFF">
        <w:rPr>
          <w:rFonts w:ascii="Times New Roman" w:hAnsi="Times New Roman"/>
          <w:sz w:val="24"/>
        </w:rPr>
        <w:fldChar w:fldCharType="end"/>
      </w:r>
      <w:r w:rsidRPr="00A57EFF">
        <w:rPr>
          <w:rFonts w:ascii="Times New Roman" w:hAnsi="Times New Roman"/>
          <w:sz w:val="24"/>
        </w:rPr>
        <w:t xml:space="preserve">. This is particularly pertinent in low income countries where farmers have insufficient capital to replenish their soil P supply with synthetic P fertilisers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&lt;EndNote&gt;&lt;Cite&gt;&lt;Author&gt;Sanchez&lt;/Author&gt;&lt;Year&gt;2002&lt;/Year&gt;&lt;RecNum&gt;72&lt;/RecNum&gt;&lt;DisplayText&gt;(Sanchez 2002)&lt;/DisplayText&gt;&lt;record&gt;&lt;rec-number&gt;72&lt;/rec-number&gt;&lt;foreign-keys&gt;&lt;key app="EN" db-id="0sapex5pfwrt05ep5w3x2zd0tdt9050e5fax" timestamp="1487244335"&gt;72&lt;/key&gt;&lt;/foreign-keys&gt;&lt;ref-type name="Journal Article"&gt;17&lt;/ref-type&gt;&lt;contributors&gt;&lt;authors&gt;&lt;author&gt;Sanchez, Pedro A&lt;/author&gt;&lt;/authors&gt;&lt;/contributors&gt;&lt;titles&gt;&lt;title&gt;Soil fertility and hunger in Africa&lt;/title&gt;&lt;secondary-title&gt;Science&lt;/secondary-title&gt;&lt;/titles&gt;&lt;periodical&gt;&lt;full-title&gt;Science&lt;/full-title&gt;&lt;/periodical&gt;&lt;pages&gt;2019-2020&lt;/pages&gt;&lt;volume&gt;295&lt;/volume&gt;&lt;number&gt;5562&lt;/number&gt;&lt;dates&gt;&lt;year&gt;2002&lt;/year&gt;&lt;/dates&gt;&lt;isbn&gt;0036-8075&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(Sanchez 2002)</w:t>
      </w:r>
      <w:r w:rsidRPr="00A57EFF">
        <w:rPr>
          <w:rFonts w:ascii="Times New Roman" w:hAnsi="Times New Roman"/>
          <w:sz w:val="24"/>
        </w:rPr>
        <w:fldChar w:fldCharType="end"/>
      </w:r>
      <w:r w:rsidRPr="00A57EFF">
        <w:rPr>
          <w:rFonts w:ascii="Times New Roman" w:hAnsi="Times New Roman"/>
          <w:sz w:val="24"/>
        </w:rPr>
        <w:t xml:space="preserve">. Under-fertilisation is not the only reason for low P availability in soils. P strongly adsorbs to soil particle surfaces (e.g. Fe/Al oxides) and can become immobilised by microbes, both of which decreases the amount of P directly available to plants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&lt;EndNote&gt;&lt;Cite&gt;&lt;Author&gt;Oburger&lt;/Author&gt;&lt;Year&gt;2011&lt;/Year&gt;&lt;RecNum&gt;70&lt;/RecNum&gt;&lt;DisplayText&gt;(Barber 1995; Oburger et al. 2011a)&lt;/DisplayText&gt;&lt;record&gt;&lt;rec-number&gt;70&lt;/rec-number&gt;&lt;foreign-keys&gt;&lt;key app="EN" db-id="0sapex5pfwrt05ep5w3x2zd0tdt9050e5fax" timestamp="1487241278"&gt;70&lt;/key&gt;&lt;/foreign-keys&gt;&lt;ref-type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Cite&gt;&lt;Author&gt;Barber&lt;/Author&gt;&lt;Year&gt;1995&lt;/Year&gt;&lt;RecNum&gt;60&lt;/RecNum&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(Barber 1995; Oburger et al. 2011a)</w:t>
      </w:r>
      <w:r w:rsidRPr="00A57EFF">
        <w:rPr>
          <w:rFonts w:ascii="Times New Roman" w:hAnsi="Times New Roman"/>
          <w:sz w:val="24"/>
        </w:rPr>
        <w:fldChar w:fldCharType="end"/>
      </w:r>
      <w:r w:rsidRPr="00A57EFF">
        <w:rPr>
          <w:rFonts w:ascii="Times New Roman" w:hAnsi="Times New Roman"/>
          <w:sz w:val="24"/>
        </w:rPr>
        <w:t xml:space="preserve">. </w:t>
      </w:r>
    </w:p>
    <w:p w:rsidR="00AA6F1F" w:rsidRPr="00A57EFF" w:rsidRDefault="00AA6F1F" w:rsidP="00AA6F1F">
      <w:pPr>
        <w:spacing w:after="0" w:line="480" w:lineRule="auto"/>
        <w:ind w:firstLine="720"/>
        <w:jc w:val="both"/>
        <w:rPr>
          <w:rFonts w:ascii="Times New Roman" w:hAnsi="Times New Roman"/>
          <w:sz w:val="24"/>
        </w:rPr>
      </w:pPr>
      <w:r w:rsidRPr="00A57EFF">
        <w:rPr>
          <w:rFonts w:ascii="Times New Roman" w:hAnsi="Times New Roman"/>
          <w:sz w:val="24"/>
        </w:rPr>
        <w:t xml:space="preserve">To overcome P limitation in soils, plants have evolved a range of strategies to manipulate the soil environment to increase P bioavailability. Of these, the exudation of organic acids (e.g. citrate and oxalate) by roots of many species has been shown to promote P mobilisation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&lt;EndNote&gt;&lt;Cite&gt;&lt;Author&gt;Chen&lt;/Author&gt;&lt;Year&gt;2016&lt;/Year&gt;&lt;RecNum&gt;210&lt;/RecNum&gt;&lt;DisplayText&gt;(Chen and Liao 2016)&lt;/DisplayText&gt;&lt;record&gt;&lt;rec-number&gt;210&lt;/rec-number&gt;&lt;foreign-keys&gt;&lt;key app="EN" db-id="0sapex5pfwrt05ep5w3x2zd0tdt9050e5fax" timestamp="1563282397"&gt;210&lt;/key&gt;&lt;/foreign-keys&gt;&lt;ref-type name="Journal Article"&gt;17&lt;/ref-type&gt;&lt;contributors&gt;&lt;authors&gt;&lt;author&gt;Chen, Zhi Chang&lt;/author&gt;&lt;author&gt;Liao, Hong&lt;/author&gt;&lt;/authors&gt;&lt;/contributors&gt;&lt;titles&gt;&lt;title&gt;Organic acid anions: an effective defensive weapon for plants against aluminum toxicity and phosphorus deficiency in acidic soils&lt;/title&gt;&lt;secondary-title&gt;Journal of genetics and genomics&lt;/secondary-title&gt;&lt;/titles&gt;&lt;periodical&gt;&lt;full-title&gt;Journal of genetics and genomics&lt;/full-title&gt;&lt;/periodical&gt;&lt;pages&gt;631-638&lt;/pages&gt;&lt;volume&gt;43&lt;/volume&gt;&lt;number&gt;11&lt;/number&gt;&lt;dates&gt;&lt;year&gt;2016&lt;/year&gt;&lt;/dates&gt;&lt;isbn&gt;1673-8527&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(Chen and Liao 2016)</w:t>
      </w:r>
      <w:r w:rsidRPr="00A57EFF">
        <w:rPr>
          <w:rFonts w:ascii="Times New Roman" w:hAnsi="Times New Roman"/>
          <w:sz w:val="24"/>
        </w:rPr>
        <w:fldChar w:fldCharType="end"/>
      </w:r>
      <w:r w:rsidRPr="00A57EFF">
        <w:rPr>
          <w:rFonts w:ascii="Times New Roman" w:hAnsi="Times New Roman"/>
          <w:sz w:val="24"/>
        </w:rPr>
        <w:t>. This has been shown to occur via four main mechanisms: 1) the co-excretion of H</w:t>
      </w:r>
      <w:r w:rsidRPr="00A57EFF">
        <w:rPr>
          <w:rFonts w:ascii="Times New Roman" w:hAnsi="Times New Roman"/>
          <w:sz w:val="24"/>
          <w:vertAlign w:val="superscript"/>
        </w:rPr>
        <w:t>+</w:t>
      </w:r>
      <w:r w:rsidRPr="00A57EFF">
        <w:rPr>
          <w:rFonts w:ascii="Times New Roman" w:hAnsi="Times New Roman"/>
          <w:sz w:val="24"/>
        </w:rPr>
        <w:t xml:space="preserve"> and organic acid anions to lower the pH of the soil solution and promote ligand competition and desorption of </w:t>
      </w:r>
      <w:r w:rsidRPr="00AA6F1F">
        <w:rPr>
          <w:rFonts w:ascii="Times New Roman" w:eastAsia="Calibri" w:hAnsi="Times New Roman" w:cs="Times New Roman"/>
          <w:sz w:val="24"/>
          <w:szCs w:val="24"/>
        </w:rPr>
        <w:t xml:space="preserve">inorganic </w:t>
      </w:r>
      <w:r w:rsidRPr="00A57EFF">
        <w:rPr>
          <w:rFonts w:ascii="Times New Roman" w:hAnsi="Times New Roman"/>
          <w:sz w:val="24"/>
        </w:rPr>
        <w:t xml:space="preserve">P held on </w:t>
      </w:r>
      <w:r w:rsidRPr="00AA6F1F">
        <w:rPr>
          <w:rFonts w:ascii="Times New Roman" w:eastAsia="Calibri" w:hAnsi="Times New Roman" w:cs="Times New Roman"/>
          <w:sz w:val="24"/>
          <w:szCs w:val="24"/>
        </w:rPr>
        <w:t xml:space="preserve">Fe and Al </w:t>
      </w:r>
      <w:r w:rsidRPr="00A57EFF">
        <w:rPr>
          <w:rFonts w:ascii="Times New Roman" w:hAnsi="Times New Roman"/>
          <w:sz w:val="24"/>
        </w:rPr>
        <w:t>mineral surfaces</w:t>
      </w:r>
      <w:r w:rsidRPr="00AA6F1F">
        <w:rPr>
          <w:rFonts w:ascii="Times New Roman" w:eastAsia="Calibri" w:hAnsi="Times New Roman" w:cs="Times New Roman"/>
          <w:sz w:val="24"/>
          <w:szCs w:val="24"/>
        </w:rPr>
        <w:t>, referred to as ‘specific adsorption’</w:t>
      </w:r>
      <w:r w:rsidRPr="00A57EFF">
        <w:rPr>
          <w:rFonts w:ascii="Times New Roman" w:hAnsi="Times New Roman"/>
          <w:sz w:val="24"/>
        </w:rPr>
        <w:t>; 2) release of organic acids leading to the complexation of cations in solution (e.g. Ca</w:t>
      </w:r>
      <w:r w:rsidRPr="00A57EFF">
        <w:rPr>
          <w:rFonts w:ascii="Times New Roman" w:hAnsi="Times New Roman"/>
          <w:sz w:val="24"/>
          <w:vertAlign w:val="superscript"/>
        </w:rPr>
        <w:t>2+</w:t>
      </w:r>
      <w:r w:rsidRPr="00A57EFF">
        <w:rPr>
          <w:rFonts w:ascii="Times New Roman" w:hAnsi="Times New Roman"/>
          <w:sz w:val="24"/>
        </w:rPr>
        <w:t xml:space="preserve">) which then promotes </w:t>
      </w:r>
      <w:r w:rsidRPr="00AA6F1F">
        <w:rPr>
          <w:rFonts w:ascii="Times New Roman" w:eastAsia="Calibri" w:hAnsi="Times New Roman" w:cs="Times New Roman"/>
          <w:sz w:val="24"/>
          <w:szCs w:val="24"/>
        </w:rPr>
        <w:t xml:space="preserve">P </w:t>
      </w:r>
      <w:r w:rsidRPr="00A57EFF">
        <w:rPr>
          <w:rFonts w:ascii="Times New Roman" w:hAnsi="Times New Roman"/>
          <w:sz w:val="24"/>
        </w:rPr>
        <w:t xml:space="preserve">mineral dissolution; 3) the direct attack and removal of cations on mineral surfaces (e.g. apatite) by organic acid anions leading to </w:t>
      </w:r>
      <w:r w:rsidRPr="00AA6F1F">
        <w:rPr>
          <w:rFonts w:ascii="Times New Roman" w:eastAsia="Calibri" w:hAnsi="Times New Roman" w:cs="Times New Roman"/>
          <w:sz w:val="24"/>
          <w:szCs w:val="24"/>
        </w:rPr>
        <w:t xml:space="preserve">inorganic </w:t>
      </w:r>
      <w:r w:rsidRPr="00A57EFF">
        <w:rPr>
          <w:rFonts w:ascii="Times New Roman" w:hAnsi="Times New Roman"/>
          <w:sz w:val="24"/>
        </w:rPr>
        <w:t>P release</w:t>
      </w:r>
      <w:r w:rsidRPr="00AA6F1F">
        <w:rPr>
          <w:rFonts w:ascii="Times New Roman" w:eastAsia="Calibri" w:hAnsi="Times New Roman" w:cs="Times New Roman"/>
          <w:sz w:val="24"/>
          <w:szCs w:val="24"/>
        </w:rPr>
        <w:t>, referred to as ‘ligand-promoted dissolution’</w:t>
      </w:r>
      <w:r w:rsidRPr="00A57EFF">
        <w:rPr>
          <w:rFonts w:ascii="Times New Roman" w:hAnsi="Times New Roman"/>
          <w:sz w:val="24"/>
        </w:rPr>
        <w:t xml:space="preserve">; and 4) solubilisation of organic P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&lt;EndNote&gt;&lt;Cite&gt;&lt;Author&gt;Oburger&lt;/Author&gt;&lt;Year&gt;2011&lt;/Year&gt;&lt;RecNum&gt;70&lt;/RecNum&gt;&lt;DisplayText&gt;(Oburger et al. 2011a)&lt;/DisplayText&gt;&lt;record&gt;&lt;rec-number&gt;70&lt;/rec-number&gt;&lt;foreign-keys&gt;&lt;key app="EN" db-id="0sapex5pfwrt05ep5w3x2zd0tdt9050e5fax" timestamp="1487241278"&gt;70&lt;/key&gt;&lt;/foreign-keys&gt;&lt;ref-type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(Oburger et al. 2011a)</w:t>
      </w:r>
      <w:r w:rsidRPr="00A57EFF">
        <w:rPr>
          <w:rFonts w:ascii="Times New Roman" w:hAnsi="Times New Roman"/>
          <w:sz w:val="24"/>
        </w:rPr>
        <w:fldChar w:fldCharType="end"/>
      </w:r>
      <w:r w:rsidRPr="00A57EFF">
        <w:rPr>
          <w:rFonts w:ascii="Times New Roman" w:hAnsi="Times New Roman"/>
          <w:sz w:val="24"/>
        </w:rPr>
        <w:t xml:space="preserve">. For soils in which the sorption sites have low P saturation, it was found that ligand-promoted dissolution was the dominant mechanism, while </w:t>
      </w:r>
      <w:r w:rsidRPr="00AA6F1F">
        <w:rPr>
          <w:rFonts w:ascii="Times New Roman" w:eastAsia="Calibri" w:hAnsi="Times New Roman" w:cs="Times New Roman"/>
          <w:sz w:val="24"/>
          <w:szCs w:val="24"/>
        </w:rPr>
        <w:t>specific adsorption</w:t>
      </w:r>
      <w:r w:rsidRPr="00A57EFF">
        <w:rPr>
          <w:rFonts w:ascii="Times New Roman" w:hAnsi="Times New Roman"/>
          <w:sz w:val="24"/>
        </w:rPr>
        <w:t xml:space="preserve"> is dominant when sorption sites in soil are saturated with P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&lt;EndNote&gt;&lt;Cite&gt;&lt;Author&gt;Oburger&lt;/Author&gt;&lt;Year&gt;2011&lt;/Year&gt;&lt;RecNum&gt;70&lt;/RecNum&gt;&lt;DisplayText&gt;(Oburger et al. 2011a)&lt;/DisplayText&gt;&lt;record&gt;&lt;rec-number&gt;70&lt;/rec-number&gt;&lt;foreign-keys&gt;&lt;key app="EN" db-id="0sapex5pfwrt05ep5w3x2zd0tdt9050e5fax" timestamp="1487241278"&gt;70&lt;/key&gt;&lt;/foreign-keys&gt;&lt;ref-type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(Oburger et al. 2011a)</w:t>
      </w:r>
      <w:r w:rsidRPr="00A57EFF">
        <w:rPr>
          <w:rFonts w:ascii="Times New Roman" w:hAnsi="Times New Roman"/>
          <w:sz w:val="24"/>
        </w:rPr>
        <w:fldChar w:fldCharType="end"/>
      </w:r>
      <w:r w:rsidRPr="00A57EFF">
        <w:rPr>
          <w:rFonts w:ascii="Times New Roman" w:hAnsi="Times New Roman"/>
          <w:sz w:val="24"/>
        </w:rPr>
        <w:t xml:space="preserve">. Typically, it is difficult to decouple these four effects from each other as they often occur simultaneously. However, </w:t>
      </w:r>
      <w:r w:rsidRPr="00AA6F1F">
        <w:rPr>
          <w:rFonts w:ascii="Times New Roman" w:eastAsia="Calibri" w:hAnsi="Times New Roman" w:cs="Times New Roman"/>
          <w:sz w:val="24"/>
          <w:szCs w:val="24"/>
        </w:rPr>
        <w:t>specific adsorption</w:t>
      </w:r>
      <w:r w:rsidRPr="00A57EFF">
        <w:rPr>
          <w:rFonts w:ascii="Times New Roman" w:hAnsi="Times New Roman"/>
          <w:sz w:val="24"/>
        </w:rPr>
        <w:t xml:space="preserve"> and ligand-promoted dissolution can be decoupled from pH in experiments by counteracting pH changes caused by organic acids with the addition of strong acids or bases to achieve constant pH levels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&lt;EndNote&gt;&lt;Cite&gt;&lt;Author&gt;Oburger&lt;/Author&gt;&lt;Year&gt;2011&lt;/Year&gt;&lt;RecNum&gt;70&lt;/RecNum&gt;&lt;DisplayText&gt;(Gerke et al. 2000a; Oburger et al. 2011a)&lt;/DisplayText&gt;&lt;record&gt;&lt;rec-number&gt;70&lt;/rec-number&gt;&lt;foreign-keys&gt;&lt;key app="EN" db-id="0sapex5pfwrt05ep5w3x2zd0tdt9050e5fax" timestamp="1487241278"&gt;70&lt;/key&gt;&lt;/foreign-keys&gt;&lt;ref-type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Cite&gt;&lt;Author&gt;Gerke&lt;/Author&gt;&lt;Year&gt;2000&lt;/Year&gt;&lt;RecNum&gt;17&lt;/RecNum&gt;&lt;record&gt;&lt;rec-number&gt;17&lt;/rec-number&gt;&lt;foreign-keys&gt;&lt;key app="EN" db-id="0sapex5pfwrt05ep5w3x2zd0tdt9050e5fax" timestamp="1455707624"&gt;17&lt;/key&gt;&lt;/foreign-keys&gt;&lt;ref-type name="Journal Article"&gt;17&lt;/ref-type&gt;&lt;contributors&gt;&lt;authors&gt;&lt;author&gt;Gerke, Jörg&lt;/author&gt;&lt;author&gt;Beißner, Lutz&lt;/author&gt;&lt;author&gt;Römer, Wilhelm&lt;/author&gt;&lt;/authors&gt;&lt;/contributors&gt;&lt;titles&gt;&lt;title&gt;The quantitative effect of chemical phosphate mobilization by carboxylate anions on P uptake by a single root. I. The basic concept and determination of soil parameters&lt;/title&gt;&lt;secondary-title&gt;Journal of Plant Nutrition and Soil Science&lt;/secondary-title&gt;&lt;/titles&gt;&lt;periodical&gt;&lt;full-title&gt;Journal of Plant Nutrition and Soil Science&lt;/full-title&gt;&lt;/periodical&gt;&lt;pages&gt;207-212&lt;/pages&gt;&lt;volume&gt;163&lt;/volume&gt;&lt;number&gt;2&lt;/number&gt;&lt;dates&gt;&lt;year&gt;2000&lt;/year&gt;&lt;/dates&gt;&lt;isbn&gt;1522-2624&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(Gerke et al. 2000a; Oburger et al. 2011a)</w:t>
      </w:r>
      <w:r w:rsidRPr="00A57EFF">
        <w:rPr>
          <w:rFonts w:ascii="Times New Roman" w:hAnsi="Times New Roman"/>
          <w:sz w:val="24"/>
        </w:rPr>
        <w:fldChar w:fldCharType="end"/>
      </w:r>
      <w:r w:rsidRPr="00A57EFF">
        <w:rPr>
          <w:rFonts w:ascii="Times New Roman" w:hAnsi="Times New Roman"/>
          <w:sz w:val="24"/>
        </w:rPr>
        <w:t>.</w:t>
      </w:r>
    </w:p>
    <w:p w:rsidR="00AA6F1F" w:rsidRPr="00AA6F1F" w:rsidRDefault="00AA6F1F" w:rsidP="00AA6F1F">
      <w:pPr>
        <w:spacing w:after="0" w:line="480" w:lineRule="auto"/>
        <w:ind w:firstLine="720"/>
        <w:jc w:val="both"/>
        <w:rPr>
          <w:rFonts w:ascii="Times New Roman" w:eastAsia="Calibri" w:hAnsi="Times New Roman" w:cs="Times New Roman"/>
          <w:sz w:val="24"/>
          <w:szCs w:val="24"/>
        </w:rPr>
      </w:pPr>
      <w:r w:rsidRPr="00AA6F1F">
        <w:rPr>
          <w:rFonts w:ascii="Times New Roman" w:eastAsia="Calibri" w:hAnsi="Times New Roman" w:cs="Times New Roman"/>
          <w:sz w:val="24"/>
          <w:szCs w:val="24"/>
        </w:rPr>
        <w:t xml:space="preserve">A number of models have been proposed to describe P solubilisation by organic acids. The simplest approach is to introduce a singular ‘solubilisation parameter’ per solubilised species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&lt;EndNote&gt;&lt;Cite&gt;&lt;Author&gt;Nye&lt;/Author&gt;&lt;Year&gt;1983&lt;/Year&gt;&lt;RecNum&gt;235&lt;/RecNum&gt;&lt;DisplayText&gt;(Nye 1983)&lt;/DisplayText&gt;&lt;record&gt;&lt;rec-number&gt;235&lt;/rec-number&gt;&lt;foreign-keys&gt;&lt;key app="EN" db-id="0sapex5pfwrt05ep5w3x2zd0tdt9050e5fax" timestamp="1569935443"&gt;235&lt;/key&gt;&lt;/foreign-keys&gt;&lt;ref-type name="Journal Article"&gt;17&lt;/ref-type&gt;&lt;contributors&gt;&lt;authors&gt;&lt;author&gt;Nye, PH&lt;/author&gt;&lt;/authors&gt;&lt;/contributors&gt;&lt;titles&gt;&lt;title&gt;The diffusion of two interacting solutes in soil&lt;/title&gt;&lt;secondary-title&gt;Journal of Soil Science&lt;/secondary-title&gt;&lt;/titles&gt;&lt;periodical&gt;&lt;full-title&gt;Journal of Soil Science&lt;/full-title&gt;&lt;/periodical&gt;&lt;pages&gt;677-691&lt;/pages&gt;&lt;volume&gt;34&lt;/volume&gt;&lt;number&gt;4&lt;/number&gt;&lt;dates&gt;&lt;year&gt;1983&lt;/year&gt;&lt;/dates&gt;&lt;isbn&gt;0022-4588&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sz w:val="24"/>
          <w:szCs w:val="24"/>
        </w:rPr>
        <w:t>(Nye 1983)</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 xml:space="preserve"> to increase solubility of one species based on the concentration of the competing species. Instances of models using this approach assume all solute-soil reactions are fast and hence the bound concentration is well approximated by solution concentration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&lt;EndNote&gt;&lt;Cite&gt;&lt;Author&gt;Gerke&lt;/Author&gt;&lt;Year&gt;2000&lt;/Year&gt;&lt;RecNum&gt;17&lt;/RecNum&gt;&lt;DisplayText&gt;(Gerke et al. 2000a; Zygalakis and Roose 2012)&lt;/DisplayText&gt;&lt;record&gt;&lt;rec-number&gt;17&lt;/rec-number&gt;&lt;foreign-keys&gt;&lt;key app="EN" db-id="0sapex5pfwrt05ep5w3x2zd0tdt9050e5fax" timestamp="1455707624"&gt;17&lt;/key&gt;&lt;/foreign-keys&gt;&lt;ref-type name="Journal Article"&gt;17&lt;/ref-type&gt;&lt;contributors&gt;&lt;authors&gt;&lt;author&gt;Gerke, Jörg&lt;/author&gt;&lt;author&gt;Beißner, Lutz&lt;/author&gt;&lt;author&gt;Römer, Wilhelm&lt;/author&gt;&lt;/authors&gt;&lt;/contributors&gt;&lt;titles&gt;&lt;title&gt;The quantitative effect of chemical phosphate mobilization by carboxylate anions on P uptake by a single root. I. The basic concept and determination of soil parameters&lt;/title&gt;&lt;secondary-title&gt;Journal of Plant Nutrition and Soil Science&lt;/secondary-title&gt;&lt;/titles&gt;&lt;periodical&gt;&lt;full-title&gt;Journal of Plant Nutrition and Soil Science&lt;/full-title&gt;&lt;/periodical&gt;&lt;pages&gt;207-212&lt;/pages&gt;&lt;volume&gt;163&lt;/volume&gt;&lt;number&gt;2&lt;/number&gt;&lt;dates&gt;&lt;year&gt;2000&lt;/year&gt;&lt;/dates&gt;&lt;isbn&gt;1522-2624&lt;/isbn&gt;&lt;urls&gt;&lt;/urls&gt;&lt;/record&gt;&lt;/Cite&gt;&lt;Cite&gt;&lt;Author&gt;Zygalakis&lt;/Author&gt;&lt;Year&gt;2012&lt;/Year&gt;&lt;RecNum&gt;16&lt;/RecNum&gt;&lt;record&gt;&lt;rec-number&gt;16&lt;/rec-number&gt;&lt;foreign-keys&gt;&lt;key app="EN" db-id="0sapex5pfwrt05ep5w3x2zd0tdt9050e5fax" timestamp="1454061516"&gt;16&lt;/key&gt;&lt;/foreign-keys&gt;&lt;ref-type name="Journal Article"&gt;17&lt;/ref-type&gt;&lt;contributors&gt;&lt;authors&gt;&lt;author&gt;Zygalakis, KC&lt;/author&gt;&lt;author&gt;Roose, T&lt;/author&gt;&lt;/authors&gt;&lt;/contributors&gt;&lt;titles&gt;&lt;title&gt;A mathematical model for investigating the effect of cluster roots on plant nutrient uptake&lt;/title&gt;&lt;secondary-title&gt;The European Physical Journal Special Topics&lt;/secondary-title&gt;&lt;/titles&gt;&lt;periodical&gt;&lt;full-title&gt;The European Physical Journal Special Topics&lt;/full-title&gt;&lt;/periodical&gt;&lt;pages&gt;103-118&lt;/pages&gt;&lt;volume&gt;204&lt;/volume&gt;&lt;number&gt;1&lt;/number&gt;&lt;dates&gt;&lt;year&gt;2012&lt;/year&gt;&lt;/dates&gt;&lt;isbn&gt;1951-6355&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sz w:val="24"/>
          <w:szCs w:val="24"/>
        </w:rPr>
        <w:t>(Gerke et al. 2000a; Zygalakis and Roose 2012)</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 xml:space="preserve">. Competitive Langmuir reaction equations assume there is a given number of binding sites per mass of soil, which two species compete for, each occupying a given number of binding sites per ion bound. This approach introduces three additional parameters along with the rate constants. Similar to the previous approach, this model is often considered in equilibrium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&lt;EndNote&gt;&lt;Cite&gt;&lt;Author&gt;Schnepf&lt;/Author&gt;&lt;Year&gt;2012&lt;/Year&gt;&lt;RecNum&gt;188&lt;/RecNum&gt;&lt;DisplayText&gt;(Schnepf et al. 2012)&lt;/DisplayText&gt;&lt;record&gt;&lt;rec-number&gt;188&lt;/rec-number&gt;&lt;foreign-keys&gt;&lt;key app="EN" db-id="0sapex5pfwrt05ep5w3x2zd0tdt9050e5fax" timestamp="1550580592"&gt;188&lt;/key&gt;&lt;/foreign-keys&gt;&lt;ref-type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sz w:val="24"/>
          <w:szCs w:val="24"/>
        </w:rPr>
        <w:t>(Schnepf et al. 2012)</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 xml:space="preserve">. Both approaches fail to capture the complex changes in soil reactions over long time periods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&lt;EndNote&gt;&lt;Cite&gt;&lt;Author&gt;Barrow&lt;/Author&gt;&lt;Year&gt;1989&lt;/Year&gt;&lt;RecNum&gt;236&lt;/RecNum&gt;&lt;DisplayText&gt;(Barrow 1989)&lt;/DisplayText&gt;&lt;record&gt;&lt;rec-number&gt;236&lt;/rec-number&gt;&lt;foreign-keys&gt;&lt;key app="EN" db-id="0sapex5pfwrt05ep5w3x2zd0tdt9050e5fax" timestamp="1569942923"&gt;236&lt;/key&gt;&lt;/foreign-keys&gt;&lt;ref-type name="Journal Article"&gt;17&lt;/ref-type&gt;&lt;contributors&gt;&lt;authors&gt;&lt;author&gt;Barrow, NJ&lt;/author&gt;&lt;/authors&gt;&lt;/contributors&gt;&lt;titles&gt;&lt;title&gt;Testing a mechanistic model. IX. Competition between anions for sorption by soil&lt;/title&gt;&lt;secondary-title&gt;Journal of soil science&lt;/secondary-title&gt;&lt;/titles&gt;&lt;periodical&gt;&lt;full-title&gt;Journal of Soil Science&lt;/full-title&gt;&lt;/periodical&gt;&lt;pages&gt;415-425&lt;/pages&gt;&lt;volume&gt;40&lt;/volume&gt;&lt;number&gt;2&lt;/number&gt;&lt;dates&gt;&lt;year&gt;1989&lt;/year&gt;&lt;/dates&gt;&lt;isbn&gt;0022-4588&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sz w:val="24"/>
          <w:szCs w:val="24"/>
        </w:rPr>
        <w:t>(Barrow 1989)</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w:t>
      </w:r>
    </w:p>
    <w:p w:rsidR="00AA6F1F" w:rsidRPr="00A57EFF" w:rsidRDefault="00AA6F1F" w:rsidP="00AA6F1F">
      <w:pPr>
        <w:spacing w:after="0" w:line="480" w:lineRule="auto"/>
        <w:ind w:firstLine="720"/>
        <w:jc w:val="both"/>
        <w:rPr>
          <w:rFonts w:ascii="Times New Roman" w:hAnsi="Times New Roman"/>
          <w:sz w:val="24"/>
        </w:rPr>
      </w:pPr>
      <w:r w:rsidRPr="00A57EFF">
        <w:rPr>
          <w:rFonts w:ascii="Times New Roman" w:hAnsi="Times New Roman"/>
          <w:sz w:val="24"/>
        </w:rPr>
        <w:t xml:space="preserve">Experiments used for studying the adsorption and desorption of molecules such as organic acids and P in soil can be classified into </w:t>
      </w:r>
      <w:r w:rsidRPr="00AA6F1F">
        <w:rPr>
          <w:rFonts w:ascii="Times New Roman" w:eastAsia="Calibri" w:hAnsi="Times New Roman" w:cs="Times New Roman"/>
          <w:sz w:val="24"/>
          <w:szCs w:val="24"/>
        </w:rPr>
        <w:t>‘equilibrium’</w:t>
      </w:r>
      <w:r w:rsidRPr="00A57EFF">
        <w:rPr>
          <w:rFonts w:ascii="Times New Roman" w:hAnsi="Times New Roman"/>
          <w:sz w:val="24"/>
        </w:rPr>
        <w:t xml:space="preserve"> and dynamic experiments. For the vast majority of equilibrium experiments, a known amount of P or organic acid is added to soil, the sample is left to </w:t>
      </w:r>
      <w:r w:rsidRPr="00AA6F1F">
        <w:rPr>
          <w:rFonts w:ascii="Times New Roman" w:eastAsia="Calibri" w:hAnsi="Times New Roman" w:cs="Times New Roman"/>
          <w:sz w:val="24"/>
          <w:szCs w:val="24"/>
        </w:rPr>
        <w:t>reach apparent equilibrium</w:t>
      </w:r>
      <w:r w:rsidRPr="00A57EFF">
        <w:rPr>
          <w:rFonts w:ascii="Times New Roman" w:hAnsi="Times New Roman"/>
          <w:sz w:val="24"/>
        </w:rPr>
        <w:t xml:space="preserve"> and then the amount of P and/or organic acid remaining in solution is measured </w:t>
      </w:r>
      <w:r w:rsidRPr="00A57EFF">
        <w:rPr>
          <w:rFonts w:ascii="Times New Roman" w:hAnsi="Times New Roman"/>
          <w:sz w:val="24"/>
        </w:rPr>
        <w:fldChar w:fldCharType="begin">
          <w:fldData xml:space="preserve">PEVuZE5vdGU+PENpdGU+PEF1dGhvcj5HZWVsaG9lZDwvQXV0aG9yPjxZZWFyPjE5OTg8L1llYXI+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</w:fldData>
        </w:fldChar>
      </w:r>
      <w:r w:rsidRPr="00A57EFF">
        <w:rPr>
          <w:rFonts w:ascii="Times New Roman" w:hAnsi="Times New Roman"/>
          <w:sz w:val="24"/>
        </w:rPr>
        <w:instrText xml:space="preserve"> ADDIN EN.CITE </w:instrText>
      </w:r>
      <w:r w:rsidRPr="00A57EFF">
        <w:rPr>
          <w:rFonts w:ascii="Times New Roman" w:hAnsi="Times New Roman"/>
          <w:sz w:val="24"/>
        </w:rPr>
        <w:fldChar w:fldCharType="begin">
          <w:fldData xml:space="preserve">PEVuZE5vdGU+PENpdGU+PEF1dGhvcj5HZWVsaG9lZDwvQXV0aG9yPjxZZWFyPjE5OTg8L1llYXI+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</w:fldData>
        </w:fldChar>
      </w:r>
      <w:r w:rsidRPr="00A57EFF">
        <w:rPr>
          <w:rFonts w:ascii="Times New Roman" w:hAnsi="Times New Roman"/>
          <w:sz w:val="24"/>
        </w:rPr>
        <w:instrText xml:space="preserve"> ADDIN EN.CITE.DATA </w:instrText>
      </w:r>
      <w:r w:rsidRPr="00A57EFF">
        <w:rPr>
          <w:rFonts w:ascii="Times New Roman" w:hAnsi="Times New Roman"/>
          <w:sz w:val="24"/>
        </w:rPr>
      </w:r>
      <w:r w:rsidRPr="00A57EFF">
        <w:rPr>
          <w:rFonts w:ascii="Times New Roman" w:hAnsi="Times New Roman"/>
          <w:sz w:val="24"/>
        </w:rPr>
        <w:fldChar w:fldCharType="end"/>
      </w:r>
      <w:r w:rsidRPr="00A57EFF">
        <w:rPr>
          <w:rFonts w:ascii="Times New Roman" w:hAnsi="Times New Roman"/>
          <w:sz w:val="24"/>
        </w:rPr>
      </w:r>
      <w:r w:rsidRPr="00A57EFF">
        <w:rPr>
          <w:rFonts w:ascii="Times New Roman" w:hAnsi="Times New Roman"/>
          <w:sz w:val="24"/>
        </w:rPr>
        <w:fldChar w:fldCharType="separate"/>
      </w:r>
      <w:r w:rsidRPr="00A57EFF">
        <w:rPr>
          <w:rFonts w:ascii="Times New Roman" w:hAnsi="Times New Roman"/>
          <w:sz w:val="24"/>
        </w:rPr>
        <w:t>(Barrow 1978; Geelhoed et al. 1998; Jones and Brassington 1998; Oburger et al. 2011b)</w:t>
      </w:r>
      <w:r w:rsidRPr="00A57EFF">
        <w:rPr>
          <w:rFonts w:ascii="Times New Roman" w:hAnsi="Times New Roman"/>
          <w:sz w:val="24"/>
        </w:rPr>
        <w:fldChar w:fldCharType="end"/>
      </w:r>
      <w:r w:rsidRPr="00A57EFF">
        <w:rPr>
          <w:rFonts w:ascii="Times New Roman" w:hAnsi="Times New Roman"/>
          <w:sz w:val="24"/>
        </w:rPr>
        <w:t xml:space="preserve">. However, these methods only assess the equilibrium behaviour of molecules in bulk soil, failing to capture the dynamic rhizosphere processes which are thought to be highly influential in plant P capture from soil. Dynamic experiments are less common when estimating P and organic acid adsorption as soil reactions are often assumed to reach equilibrium state quickly </w:t>
      </w:r>
      <w:r w:rsidRPr="00A57EFF">
        <w:rPr>
          <w:rFonts w:ascii="Times New Roman" w:hAnsi="Times New Roman"/>
          <w:sz w:val="24"/>
        </w:rPr>
        <w:fldChar w:fldCharType="begin">
          <w:fldData xml:space="preserve">PEVuZE5vdGU+PENpdGU+PEF1dGhvcj5aeWdhbGFraXM8L0F1dGhvcj48WWVhcj4yMDEyPC9ZZWFy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</w:fldData>
        </w:fldChar>
      </w:r>
      <w:r w:rsidRPr="00A57EFF">
        <w:rPr>
          <w:rFonts w:ascii="Times New Roman" w:hAnsi="Times New Roman"/>
          <w:sz w:val="24"/>
        </w:rPr>
        <w:instrText xml:space="preserve"> ADDIN EN.CITE </w:instrText>
      </w:r>
      <w:r w:rsidRPr="00A57EFF">
        <w:rPr>
          <w:rFonts w:ascii="Times New Roman" w:hAnsi="Times New Roman"/>
          <w:sz w:val="24"/>
        </w:rPr>
        <w:fldChar w:fldCharType="begin">
          <w:fldData xml:space="preserve">PEVuZE5vdGU+PENpdGU+PEF1dGhvcj5aeWdhbGFraXM8L0F1dGhvcj48WWVhcj4yMDEyPC9ZZWFy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</w:fldData>
        </w:fldChar>
      </w:r>
      <w:r w:rsidRPr="00A57EFF">
        <w:rPr>
          <w:rFonts w:ascii="Times New Roman" w:hAnsi="Times New Roman"/>
          <w:sz w:val="24"/>
        </w:rPr>
        <w:instrText xml:space="preserve"> ADDIN EN.CITE.DATA </w:instrText>
      </w:r>
      <w:r w:rsidRPr="00A57EFF">
        <w:rPr>
          <w:rFonts w:ascii="Times New Roman" w:hAnsi="Times New Roman"/>
          <w:sz w:val="24"/>
        </w:rPr>
      </w:r>
      <w:r w:rsidRPr="00A57EFF">
        <w:rPr>
          <w:rFonts w:ascii="Times New Roman" w:hAnsi="Times New Roman"/>
          <w:sz w:val="24"/>
        </w:rPr>
        <w:fldChar w:fldCharType="end"/>
      </w:r>
      <w:r w:rsidRPr="00A57EFF">
        <w:rPr>
          <w:rFonts w:ascii="Times New Roman" w:hAnsi="Times New Roman"/>
          <w:sz w:val="24"/>
        </w:rPr>
      </w:r>
      <w:r w:rsidRPr="00A57EFF">
        <w:rPr>
          <w:rFonts w:ascii="Times New Roman" w:hAnsi="Times New Roman"/>
          <w:sz w:val="24"/>
        </w:rPr>
        <w:fldChar w:fldCharType="separate"/>
      </w:r>
      <w:r w:rsidRPr="00A57EFF">
        <w:rPr>
          <w:rFonts w:ascii="Times New Roman" w:hAnsi="Times New Roman"/>
          <w:sz w:val="24"/>
        </w:rPr>
        <w:t>(Gerke et al. 2000a; Roose and Fowler 2004; Zygalakis and Roose 2012)</w:t>
      </w:r>
      <w:r w:rsidRPr="00A57EFF">
        <w:rPr>
          <w:rFonts w:ascii="Times New Roman" w:hAnsi="Times New Roman"/>
          <w:sz w:val="24"/>
        </w:rPr>
        <w:fldChar w:fldCharType="end"/>
      </w:r>
      <w:r w:rsidRPr="00A57EFF">
        <w:rPr>
          <w:rFonts w:ascii="Times New Roman" w:hAnsi="Times New Roman"/>
          <w:sz w:val="24"/>
        </w:rPr>
        <w:t xml:space="preserve">. Furthermore, it is difficult to analyse the dynamic processes without disrupting the </w:t>
      </w:r>
      <w:r w:rsidRPr="00A57EFF">
        <w:rPr>
          <w:rFonts w:ascii="Times New Roman" w:hAnsi="Times New Roman"/>
          <w:i/>
          <w:sz w:val="24"/>
        </w:rPr>
        <w:t>in situ</w:t>
      </w:r>
      <w:r w:rsidRPr="00A57EFF">
        <w:rPr>
          <w:rFonts w:ascii="Times New Roman" w:hAnsi="Times New Roman"/>
          <w:sz w:val="24"/>
        </w:rPr>
        <w:t xml:space="preserve"> soil sample during measurement. Pseudo-dynamic experiments to measure P and organic acid adsorption/desorption reaction rates have been undertaken whereby </w:t>
      </w:r>
      <w:r w:rsidRPr="00AA6F1F">
        <w:rPr>
          <w:rFonts w:ascii="Times New Roman" w:eastAsia="Calibri" w:hAnsi="Times New Roman" w:cs="Times New Roman"/>
          <w:sz w:val="24"/>
          <w:szCs w:val="24"/>
        </w:rPr>
        <w:t xml:space="preserve">different replicates are </w:t>
      </w:r>
      <w:r w:rsidR="00BD35DB">
        <w:rPr>
          <w:rFonts w:ascii="Times New Roman" w:eastAsia="Calibri" w:hAnsi="Times New Roman" w:cs="Times New Roman"/>
          <w:sz w:val="24"/>
          <w:szCs w:val="24"/>
        </w:rPr>
        <w:t>destructively</w:t>
      </w:r>
      <w:r w:rsidR="00BD35DB" w:rsidRPr="00A57EFF">
        <w:rPr>
          <w:rFonts w:ascii="Times New Roman" w:hAnsi="Times New Roman"/>
          <w:sz w:val="24"/>
        </w:rPr>
        <w:t xml:space="preserve"> sampled </w:t>
      </w:r>
      <w:r w:rsidRPr="00A57EFF">
        <w:rPr>
          <w:rFonts w:ascii="Times New Roman" w:hAnsi="Times New Roman"/>
          <w:sz w:val="24"/>
        </w:rPr>
        <w:t xml:space="preserve">after a range of equilibration times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&lt;EndNote&gt;&lt;Cite&gt;&lt;Author&gt;Oburger&lt;/Author&gt;&lt;Year&gt;2011&lt;/Year&gt;&lt;RecNum&gt;69&lt;/RecNum&gt;&lt;DisplayText&gt;(Keyes et al. 2013; Oburger et al. 2011b)&lt;/DisplayText&gt;&lt;record&gt;&lt;rec-number&gt;69&lt;/rec-number&gt;&lt;foreign-keys&gt;&lt;key app="EN" db-id="0sapex5pfwrt05ep5w3x2zd0tdt9050e5fax" timestamp="1486984901"&gt;69&lt;/key&gt;&lt;/foreign-keys&gt;&lt;ref-type name="Journal Article"&gt;17&lt;/ref-type&gt;&lt;contributors&gt;&lt;authors&gt;&lt;author&gt;Oburger, E&lt;/author&gt;&lt;author&gt;Leitner, D&lt;/author&gt;&lt;author&gt;Jones, DL&lt;/author&gt;&lt;author&gt;Zygalakis, KC&lt;/author&gt;&lt;author&gt;Schnepf, A&lt;/author&gt;&lt;author&gt;Roose, T&lt;/author&gt;&lt;/authors&gt;&lt;/contributors&gt;&lt;titles&gt;&lt;title&gt;Adsorption and desorption dynamics of citric acid anions in soil&lt;/title&gt;&lt;secondary-title&gt;European Journal of Soil Science&lt;/secondary-title&gt;&lt;/titles&gt;&lt;periodical&gt;&lt;full-title&gt;European Journal of Soil Science&lt;/full-title&gt;&lt;/periodical&gt;&lt;pages&gt;733-742&lt;/pages&gt;&lt;volume&gt;62&lt;/volume&gt;&lt;number&gt;5&lt;/number&gt;&lt;dates&gt;&lt;year&gt;2011&lt;/year&gt;&lt;/dates&gt;&lt;isbn&gt;1365-2389&lt;/isbn&gt;&lt;urls&gt;&lt;/urls&gt;&lt;/record&gt;&lt;/Cite&gt;&lt;Cite&gt;&lt;Author&gt;Keyes&lt;/Author&gt;&lt;Year&gt;2013&lt;/Year&gt;&lt;RecNum&gt;21&lt;/RecNum&gt;&lt;record&gt;&lt;rec-number&gt;21&lt;/rec-number&gt;&lt;foreign-keys&gt;&lt;key app="EN" db-id="0sapex5pfwrt05ep5w3x2zd0tdt9050e5fax" timestamp="1456231916"&gt;21&lt;/key&gt;&lt;/foreign-keys&gt;&lt;ref-type name="Journal Article"&gt;17&lt;/ref-type&gt;&lt;contributors&gt;&lt;authors&gt;&lt;author&gt;Keyes, Samuel D&lt;/author&gt;&lt;author&gt;Daly, Keith R&lt;/author&gt;&lt;author&gt;Gostling, Neil J&lt;/author&gt;&lt;author&gt;Jones, Davey L&lt;/author&gt;&lt;author&gt;Talboys, Peter&lt;/author&gt;&lt;author&gt;Pinzer, Bernd R&lt;/author&gt;&lt;author&gt;Boardman, Richard&lt;/author&gt;&lt;author&gt;Sinclair, Ian&lt;/author&gt;&lt;author&gt;Marchant, Alan&lt;/author&gt;&lt;author&gt;Roose, Tiina&lt;/author&gt;&lt;/authors&gt;&lt;/contributors&gt;&lt;titles&gt;&lt;title&gt;High resolution synchrotron imaging of wheat root hairs growing in soil and image based modelling of phosphate uptake&lt;/title&gt;&lt;secondary-title&gt;New Phytologist&lt;/secondary-title&gt;&lt;/titles&gt;&lt;periodical&gt;&lt;full-title&gt;New Phytologist&lt;/full-title&gt;&lt;/periodical&gt;&lt;pages&gt;1023-1029&lt;/pages&gt;&lt;volume&gt;198&lt;/volume&gt;&lt;number&gt;4&lt;/number&gt;&lt;dates&gt;&lt;year&gt;2013&lt;/year&gt;&lt;/dates&gt;&lt;isbn&gt;1469-8137&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(Keyes et al. 2013; Oburger et al. 2011b)</w:t>
      </w:r>
      <w:r w:rsidRPr="00A57EFF">
        <w:rPr>
          <w:rFonts w:ascii="Times New Roman" w:hAnsi="Times New Roman"/>
          <w:sz w:val="24"/>
        </w:rPr>
        <w:fldChar w:fldCharType="end"/>
      </w:r>
      <w:r w:rsidRPr="00A57EFF">
        <w:rPr>
          <w:rFonts w:ascii="Times New Roman" w:hAnsi="Times New Roman"/>
          <w:sz w:val="24"/>
        </w:rPr>
        <w:t xml:space="preserve">. </w:t>
      </w:r>
      <w:r w:rsidR="00D853B6">
        <w:rPr>
          <w:rFonts w:ascii="Times New Roman" w:eastAsia="Calibri" w:hAnsi="Times New Roman" w:cs="Times New Roman"/>
          <w:sz w:val="24"/>
          <w:szCs w:val="24"/>
        </w:rPr>
        <w:t>These measurements may to be representative of rhizosphere processes due to v</w:t>
      </w:r>
      <w:r w:rsidR="00BD35DB">
        <w:rPr>
          <w:rFonts w:ascii="Times New Roman" w:eastAsia="Calibri" w:hAnsi="Times New Roman" w:cs="Times New Roman"/>
          <w:sz w:val="24"/>
          <w:szCs w:val="24"/>
        </w:rPr>
        <w:t>ariation across replicates</w:t>
      </w:r>
      <w:r w:rsidR="00D853B6">
        <w:rPr>
          <w:rFonts w:ascii="Times New Roman" w:eastAsia="Calibri" w:hAnsi="Times New Roman" w:cs="Times New Roman"/>
          <w:sz w:val="24"/>
          <w:szCs w:val="24"/>
        </w:rPr>
        <w:t>.</w:t>
      </w:r>
      <w:r w:rsidR="00D853B6" w:rsidRPr="00A57EFF">
        <w:rPr>
          <w:rFonts w:ascii="Times New Roman" w:hAnsi="Times New Roman"/>
          <w:sz w:val="24"/>
        </w:rPr>
        <w:t xml:space="preserve"> </w:t>
      </w:r>
      <w:r w:rsidRPr="00A57EFF">
        <w:rPr>
          <w:rFonts w:ascii="Times New Roman" w:hAnsi="Times New Roman"/>
          <w:sz w:val="24"/>
        </w:rPr>
        <w:t xml:space="preserve">Consequently, estimating the significance of organic acids for alleviating P deficiency remains extremely difficult. </w:t>
      </w:r>
    </w:p>
    <w:p w:rsidR="00AA6F1F" w:rsidRPr="00A57EFF" w:rsidRDefault="00AA6F1F" w:rsidP="00AA6F1F">
      <w:pPr>
        <w:spacing w:after="0" w:line="480" w:lineRule="auto"/>
        <w:jc w:val="both"/>
        <w:rPr>
          <w:rFonts w:ascii="Times New Roman" w:hAnsi="Times New Roman"/>
          <w:sz w:val="24"/>
        </w:rPr>
      </w:pPr>
      <w:r w:rsidRPr="00A57EFF">
        <w:rPr>
          <w:rFonts w:ascii="Times New Roman" w:hAnsi="Times New Roman"/>
          <w:sz w:val="24"/>
        </w:rPr>
        <w:t xml:space="preserve"> Microdialysis probes offer a </w:t>
      </w:r>
      <w:r w:rsidRPr="00AA6F1F">
        <w:rPr>
          <w:rFonts w:ascii="Times New Roman" w:eastAsia="Calibri" w:hAnsi="Times New Roman" w:cs="Times New Roman"/>
          <w:sz w:val="24"/>
          <w:szCs w:val="24"/>
        </w:rPr>
        <w:t>non-destructive</w:t>
      </w:r>
      <w:r w:rsidRPr="00A57EFF">
        <w:rPr>
          <w:rFonts w:ascii="Times New Roman" w:hAnsi="Times New Roman"/>
          <w:sz w:val="24"/>
        </w:rPr>
        <w:t xml:space="preserve"> method for assessing soil solution ion concentrations with high spatial and temporal resolution. Microdialysis has been used to estimate nitrogen (N) availability and diffusion in soils </w:t>
      </w:r>
      <w:r w:rsidRPr="00A57EFF">
        <w:rPr>
          <w:rFonts w:ascii="Times New Roman" w:hAnsi="Times New Roman"/>
          <w:sz w:val="24"/>
        </w:rPr>
        <w:fldChar w:fldCharType="begin">
          <w:fldData xml:space="preserve">PEVuZE5vdGU+PENpdGU+PEF1dGhvcj5TaGF3PC9BdXRob3I+PFllYXI+MjAxNDwvWWVhcj48UmVj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</w:fldData>
        </w:fldChar>
      </w:r>
      <w:r w:rsidRPr="00A57EFF">
        <w:rPr>
          <w:rFonts w:ascii="Times New Roman" w:hAnsi="Times New Roman"/>
          <w:sz w:val="24"/>
        </w:rPr>
        <w:instrText xml:space="preserve"> ADDIN EN.CITE </w:instrText>
      </w:r>
      <w:r w:rsidRPr="00A57EFF">
        <w:rPr>
          <w:rFonts w:ascii="Times New Roman" w:hAnsi="Times New Roman"/>
          <w:sz w:val="24"/>
        </w:rPr>
        <w:fldChar w:fldCharType="begin">
          <w:fldData xml:space="preserve">PEVuZE5vdGU+PENpdGU+PEF1dGhvcj5TaGF3PC9BdXRob3I+PFllYXI+MjAxNDwvWWVhcj48UmVj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</w:fldData>
        </w:fldChar>
      </w:r>
      <w:r w:rsidRPr="00A57EFF">
        <w:rPr>
          <w:rFonts w:ascii="Times New Roman" w:hAnsi="Times New Roman"/>
          <w:sz w:val="24"/>
        </w:rPr>
        <w:instrText xml:space="preserve"> ADDIN EN.CITE.DATA </w:instrText>
      </w:r>
      <w:r w:rsidRPr="00A57EFF">
        <w:rPr>
          <w:rFonts w:ascii="Times New Roman" w:hAnsi="Times New Roman"/>
          <w:sz w:val="24"/>
        </w:rPr>
      </w:r>
      <w:r w:rsidRPr="00A57EFF">
        <w:rPr>
          <w:rFonts w:ascii="Times New Roman" w:hAnsi="Times New Roman"/>
          <w:sz w:val="24"/>
        </w:rPr>
        <w:fldChar w:fldCharType="end"/>
      </w:r>
      <w:r w:rsidRPr="00A57EFF">
        <w:rPr>
          <w:rFonts w:ascii="Times New Roman" w:hAnsi="Times New Roman"/>
          <w:sz w:val="24"/>
        </w:rPr>
      </w:r>
      <w:r w:rsidRPr="00A57EFF">
        <w:rPr>
          <w:rFonts w:ascii="Times New Roman" w:hAnsi="Times New Roman"/>
          <w:sz w:val="24"/>
        </w:rPr>
        <w:fldChar w:fldCharType="separate"/>
      </w:r>
      <w:r w:rsidRPr="00A57EFF">
        <w:rPr>
          <w:rFonts w:ascii="Times New Roman" w:hAnsi="Times New Roman"/>
          <w:sz w:val="24"/>
        </w:rPr>
        <w:t>(Inselsbacher and Näsholm 2012; Inselsbacher et al. 2011; Shaw et al. 2014)</w:t>
      </w:r>
      <w:r w:rsidRPr="00A57EFF">
        <w:rPr>
          <w:rFonts w:ascii="Times New Roman" w:hAnsi="Times New Roman"/>
          <w:sz w:val="24"/>
        </w:rPr>
        <w:fldChar w:fldCharType="end"/>
      </w:r>
      <w:r w:rsidRPr="00A57EFF">
        <w:rPr>
          <w:rFonts w:ascii="Times New Roman" w:hAnsi="Times New Roman"/>
          <w:sz w:val="24"/>
        </w:rPr>
        <w:t xml:space="preserve"> to sample Cu and Ni in soil solution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&lt;EndNote&gt;&lt;Cite&gt;&lt;Author&gt;Mosetlha&lt;/Author&gt;&lt;Year&gt;2007&lt;/Year&gt;&lt;RecNum&gt;91&lt;/RecNum&gt;&lt;DisplayText&gt;(Mosetlha et al. 2007)&lt;/DisplayText&gt;&lt;record&gt;&lt;rec-number&gt;91&lt;/rec-number&gt;&lt;foreign-keys&gt;&lt;key app="EN" db-id="0sapex5pfwrt05ep5w3x2zd0tdt9050e5fax" timestamp="1490777935"&gt;91&lt;/key&gt;&lt;/foreign-keys&gt;&lt;ref-type name="Journal Article"&gt;17&lt;/ref-type&gt;&lt;contributors&gt;&lt;authors&gt;&lt;author&gt;Mosetlha, Kabo&lt;/author&gt;&lt;author&gt;Torto, Nelson&lt;/author&gt;&lt;author&gt;Wibetoe, Grethe&lt;/author&gt;&lt;/authors&gt;&lt;/contributors&gt;&lt;titles&gt;&lt;title&gt;Determination of Cu and Ni in plants by microdialysis sampling: Comparison of dialyzable metal fractions with total metal content&lt;/title&gt;&lt;secondary-title&gt;Talanta&lt;/secondary-title&gt;&lt;/titles&gt;&lt;periodical&gt;&lt;full-title&gt;Talanta&lt;/full-title&gt;&lt;/periodical&gt;&lt;pages&gt;766-770&lt;/pages&gt;&lt;volume&gt;71&lt;/volume&gt;&lt;number&gt;2&lt;/number&gt;&lt;dates&gt;&lt;year&gt;2007&lt;/year&gt;&lt;/dates&gt;&lt;isbn&gt;0039-9140&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(Mosetlha et al. 2007)</w:t>
      </w:r>
      <w:r w:rsidRPr="00A57EFF">
        <w:rPr>
          <w:rFonts w:ascii="Times New Roman" w:hAnsi="Times New Roman"/>
          <w:sz w:val="24"/>
        </w:rPr>
        <w:fldChar w:fldCharType="end"/>
      </w:r>
      <w:r w:rsidRPr="00A57EFF">
        <w:rPr>
          <w:rFonts w:ascii="Times New Roman" w:hAnsi="Times New Roman"/>
          <w:sz w:val="24"/>
        </w:rPr>
        <w:t xml:space="preserve"> to sample organic acids exuded by roots in soil with high temporal and spatial resolution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&lt;EndNote&gt;&lt;Cite&gt;&lt;Author&gt;Sulyok&lt;/Author&gt;&lt;Year&gt;2005&lt;/Year&gt;&lt;RecNum&gt;92&lt;/RecNum&gt;&lt;DisplayText&gt;(Sulyok et al. 2005)&lt;/DisplayText&gt;&lt;record&gt;&lt;rec-number&gt;92&lt;/rec-number&gt;&lt;foreign-keys&gt;&lt;key app="EN" db-id="0sapex5pfwrt05ep5w3x2zd0tdt9050e5fax" timestamp="1490778342"&gt;92&lt;/key&gt;&lt;/foreign-keys&gt;&lt;ref-type name="Journal Article"&gt;17&lt;/ref-type&gt;&lt;contributors&gt;&lt;authors&gt;&lt;author&gt;Sulyok, Michael&lt;/author&gt;&lt;author&gt;Miró, Manuel&lt;/author&gt;&lt;author&gt;Stingeder, Gerhard&lt;/author&gt;&lt;author&gt;Koellensperger, Gunda&lt;/author&gt;&lt;/authors&gt;&lt;/contributors&gt;&lt;titles&gt;&lt;title&gt;The potential of flow-through microdialysis for probing low-molecular weight organic anions in rhizosphere soil solution&lt;/title&gt;&lt;secondary-title&gt;Analytica chimica acta&lt;/secondary-title&gt;&lt;/titles&gt;&lt;periodical&gt;&lt;full-title&gt;Analytica chimica acta&lt;/full-title&gt;&lt;/periodical&gt;&lt;pages&gt;1-10&lt;/pages&gt;&lt;volume&gt;546&lt;/volume&gt;&lt;number&gt;1&lt;/number&gt;&lt;dates&gt;&lt;year&gt;2005&lt;/year&gt;&lt;/dates&gt;&lt;isbn&gt;0003-2670&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(Sulyok et al. 2005)</w:t>
      </w:r>
      <w:r w:rsidRPr="00A57EFF">
        <w:rPr>
          <w:rFonts w:ascii="Times New Roman" w:hAnsi="Times New Roman"/>
          <w:sz w:val="24"/>
        </w:rPr>
        <w:fldChar w:fldCharType="end"/>
      </w:r>
      <w:r w:rsidRPr="00A57EFF">
        <w:rPr>
          <w:rFonts w:ascii="Times New Roman" w:hAnsi="Times New Roman"/>
          <w:sz w:val="24"/>
        </w:rPr>
        <w:t xml:space="preserve">; and P availability in soil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&lt;EndNote&gt;&lt;Cite&gt;&lt;Author&gt;Demand&lt;/Author&gt;&lt;Year&gt;2017&lt;/Year&gt;&lt;RecNum&gt;88&lt;/RecNum&gt;&lt;DisplayText&gt;(Demand et al. 2017)&lt;/DisplayText&gt;&lt;record&gt;&lt;rec-number&gt;88&lt;/rec-number&gt;&lt;foreign-keys&gt;&lt;key app="EN" db-id="0sapex5pfwrt05ep5w3x2zd0tdt9050e5fax" timestamp="1490205090"&gt;88&lt;/key&gt;&lt;/foreign-keys&gt;&lt;ref-type name="Journal Article"&gt;17&lt;/ref-type&gt;&lt;contributors&gt;&lt;authors&gt;&lt;author&gt;Demand, Dominic&lt;/author&gt;&lt;author&gt;Schack-Kirchner, Helmer&lt;/author&gt;&lt;author&gt;Lang, Friederike&lt;/author&gt;&lt;/authors&gt;&lt;/contributors&gt;&lt;titles&gt;&lt;title&gt;Assessment of diffusive phosphate supply in soils by microdialysis&lt;/title&gt;&lt;secondary-title&gt;Journal of Plant Nutrition and Soil Science&lt;/secondary-title&gt;&lt;/titles&gt;&lt;periodical&gt;&lt;full-title&gt;Journal of Plant Nutrition and Soil Science&lt;/full-title&gt;&lt;/periodical&gt;&lt;dates&gt;&lt;year&gt;2017&lt;/year&gt;&lt;/dates&gt;&lt;isbn&gt;1522-2624&lt;/isbn&gt;&lt;urls&gt;&lt;/urls&gt;&lt;/record&gt;&lt;/Cite&gt;&lt;/EndNote&gt;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(Demand et al. 2017)</w:t>
      </w:r>
      <w:r w:rsidRPr="00A57EFF">
        <w:rPr>
          <w:rFonts w:ascii="Times New Roman" w:hAnsi="Times New Roman"/>
          <w:sz w:val="24"/>
        </w:rPr>
        <w:fldChar w:fldCharType="end"/>
      </w:r>
      <w:r w:rsidRPr="00A57EFF">
        <w:rPr>
          <w:rFonts w:ascii="Times New Roman" w:hAnsi="Times New Roman"/>
          <w:sz w:val="24"/>
        </w:rPr>
        <w:t xml:space="preserve">. It has been argued that microdialysis probes may offer a superior method of assessing soil nutrient availability for plant-uptake due to its diffusive-based method of sampling (Inslelsbacher et al., 2012, Shaw et al., 2014). A further advantage of the microdialysis method is that it allows the simultaneous efflux of compounds from the dialysate and influx of solutes from the soil solution, creating a pseudo-rhizosphere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&lt;EndNote&gt;&lt;Cite&gt;&lt;Author&gt;Demand&lt;/Author&gt;&lt;Year&gt;2017&lt;/Year&gt;&lt;RecNum&gt;88&lt;/RecNum&gt;&lt;DisplayText&gt;(Demand et al. 2017)&lt;/DisplayText&gt;&lt;record&gt;&lt;rec-number&gt;88&lt;/rec-number&gt;&lt;foreign-keys&gt;&lt;key app="EN" db-id="0sapex5pfwrt05ep5w3x2zd0tdt9050e5fax" timestamp="1490205090"&gt;88&lt;/key&gt;&lt;/foreign-keys&gt;&lt;ref-type name="Journal Article"&gt;17&lt;/ref-type&gt;&lt;contributors&gt;&lt;authors&gt;&lt;author&gt;Demand, Dominic&lt;/author&gt;&lt;author&gt;Schack-Kirchner, Helmer&lt;/author&gt;&lt;author&gt;Lang, Friederike&lt;/author&gt;&lt;/authors&gt;&lt;/contributors&gt;&lt;titles&gt;&lt;title&gt;Assessment of diffusive phosphate supply in soils by microdialysis&lt;/title&gt;&lt;secondary-title&gt;Journal of Plant Nutrition and Soil Science&lt;/secondary-title&gt;&lt;/titles&gt;&lt;periodical&gt;&lt;full-title&gt;Journal of Plant Nutrition and Soil Science&lt;/full-title&gt;&lt;/periodical&gt;&lt;dates&gt;&lt;year&gt;2017&lt;/year&gt;&lt;/dates&gt;&lt;isbn&gt;1522-2624&lt;/isbn&gt;&lt;urls&gt;&lt;/urls&gt;&lt;/record&gt;&lt;/Cite&gt;&lt;/EndNote&gt;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(Demand et al. 2017)</w:t>
      </w:r>
      <w:r w:rsidRPr="00A57EFF">
        <w:rPr>
          <w:rFonts w:ascii="Times New Roman" w:hAnsi="Times New Roman"/>
          <w:sz w:val="24"/>
        </w:rPr>
        <w:fldChar w:fldCharType="end"/>
      </w:r>
      <w:r w:rsidRPr="00A57EFF">
        <w:rPr>
          <w:rFonts w:ascii="Times New Roman" w:hAnsi="Times New Roman"/>
          <w:sz w:val="24"/>
        </w:rPr>
        <w:t xml:space="preserve">.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 AuthorYear="1"&gt;&lt;Author&gt;Demand&lt;/Author&gt;&lt;Year&gt;2017&lt;/Year&gt;&lt;RecNum&gt;88&lt;/RecNum&gt;&lt;DisplayText&gt;Demand et al. (2017)&lt;/DisplayText&gt;&lt;record&gt;&lt;rec-number&gt;88&lt;/rec-number&gt;&lt;foreign-keys&gt;&lt;key app="EN" db-id="0sapex5pfwrt05ep5w3x2zd0tdt9050e5fax" timestamp="1490205090"&gt;88&lt;/key&gt;&lt;/foreign-keys&gt;&lt;ref-type name="Journal Article"&gt;17&lt;/ref-type&gt;&lt;contributors&gt;&lt;authors&gt;&lt;author&gt;Demand, Dominic&lt;/author&gt;&lt;author&gt;Schack-Kirchner, Helmer&lt;/author&gt;&lt;author&gt;Lang, Friederike&lt;/author&gt;&lt;/authors&gt;&lt;/contributors&gt;&lt;titles&gt;&lt;title&gt;Assessment of diffusive phosphate supply in soils by microdialysis&lt;/title&gt;&lt;secondary-title&gt;Journal of Plant Nutrition and Soil Science&lt;/secondary-title&gt;&lt;/titles&gt;&lt;periodical&gt;&lt;full-title&gt;Journal of Plant Nutrition and Soil Science&lt;/full-title&gt;&lt;/periodical&gt;&lt;dates&gt;&lt;year&gt;2017&lt;/year&gt;&lt;/dates&gt;&lt;isbn&gt;1522-2624&lt;/isbn&gt;&lt;urls&gt;&lt;/urls&gt;&lt;/record&gt;&lt;/Cite&gt;&lt;/EndNote&gt;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Demand et al. (2017)</w:t>
      </w:r>
      <w:r w:rsidRPr="00A57EFF">
        <w:rPr>
          <w:rFonts w:ascii="Times New Roman" w:hAnsi="Times New Roman"/>
          <w:sz w:val="24"/>
        </w:rPr>
        <w:fldChar w:fldCharType="end"/>
      </w:r>
      <w:r w:rsidRPr="00A57EFF">
        <w:rPr>
          <w:rFonts w:ascii="Times New Roman" w:hAnsi="Times New Roman"/>
          <w:sz w:val="24"/>
        </w:rPr>
        <w:t xml:space="preserve"> found perfusing the probes with citrate (1 mM) increased the uptake of P by the probe in an Endostagnic Luvisol soil</w:t>
      </w:r>
      <w:r w:rsidRPr="00AA6F1F">
        <w:rPr>
          <w:rFonts w:ascii="Times New Roman" w:eastAsia="Calibri" w:hAnsi="Times New Roman" w:cs="Times New Roman"/>
          <w:sz w:val="24"/>
          <w:szCs w:val="24"/>
        </w:rPr>
        <w:t xml:space="preserve"> (high water-extractable P),</w:t>
      </w:r>
      <w:r w:rsidRPr="00A57EFF">
        <w:rPr>
          <w:rFonts w:ascii="Times New Roman" w:hAnsi="Times New Roman"/>
          <w:sz w:val="24"/>
        </w:rPr>
        <w:t xml:space="preserve"> while in a Dystric Cambisol </w:t>
      </w:r>
      <w:r w:rsidRPr="00AA6F1F">
        <w:rPr>
          <w:rFonts w:ascii="Times New Roman" w:eastAsia="Calibri" w:hAnsi="Times New Roman" w:cs="Times New Roman"/>
          <w:sz w:val="24"/>
          <w:szCs w:val="24"/>
        </w:rPr>
        <w:t xml:space="preserve">(low water-extractable P) </w:t>
      </w:r>
      <w:r w:rsidRPr="00A57EFF">
        <w:rPr>
          <w:rFonts w:ascii="Times New Roman" w:hAnsi="Times New Roman"/>
          <w:sz w:val="24"/>
        </w:rPr>
        <w:t xml:space="preserve">little difference was seen. They also showed that the pH of the external solution did not alter probe P uptake between the ranges of 3.5 and 6.5. However, factors such as ionic strength were shown to have a large effect on the uptake rate of P by microdialysis probes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&lt;EndNote&gt;&lt;Cite&gt;&lt;Author&gt;Demand&lt;/Author&gt;&lt;Year&gt;2017&lt;/Year&gt;&lt;RecNum&gt;88&lt;/RecNum&gt;&lt;DisplayText&gt;(Demand et al. 2017)&lt;/DisplayText&gt;&lt;record&gt;&lt;rec-number&gt;88&lt;/rec-number&gt;&lt;foreign-keys&gt;&lt;key app="EN" db-id="0sapex5pfwrt05ep5w3x2zd0tdt9050e5fax" timestamp="1490205090"&gt;88&lt;/key&gt;&lt;/foreign-keys&gt;&lt;ref-type name="Journal Article"&gt;17&lt;/ref-type&gt;&lt;contributors&gt;&lt;authors&gt;&lt;author&gt;Demand, Dominic&lt;/author&gt;&lt;author&gt;Schack-Kirchner, Helmer&lt;/author&gt;&lt;author&gt;Lang, Friederike&lt;/author&gt;&lt;/authors&gt;&lt;/contributors&gt;&lt;titles&gt;&lt;title&gt;Assessment of diffusive phosphate supply in soils by microdialysis&lt;/title&gt;&lt;secondary-title&gt;Journal of Plant Nutrition and Soil Science&lt;/secondary-title&gt;&lt;/titles&gt;&lt;periodical&gt;&lt;full-title&gt;Journal of Plant Nutrition and Soil Science&lt;/full-title&gt;&lt;/periodical&gt;&lt;dates&gt;&lt;year&gt;2017&lt;/year&gt;&lt;/dates&gt;&lt;isbn&gt;1522-2624&lt;/isbn&gt;&lt;urls&gt;&lt;/urls&gt;&lt;/record&gt;&lt;/Cite&gt;&lt;/EndNote&gt;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(Demand et al. 2017)</w:t>
      </w:r>
      <w:r w:rsidRPr="00A57EFF">
        <w:rPr>
          <w:rFonts w:ascii="Times New Roman" w:hAnsi="Times New Roman"/>
          <w:sz w:val="24"/>
        </w:rPr>
        <w:fldChar w:fldCharType="end"/>
      </w:r>
      <w:r w:rsidRPr="00A57EFF">
        <w:rPr>
          <w:rFonts w:ascii="Times New Roman" w:hAnsi="Times New Roman"/>
          <w:sz w:val="24"/>
        </w:rPr>
        <w:t xml:space="preserve">. </w:t>
      </w:r>
      <w:r w:rsidRPr="00AA6F1F">
        <w:rPr>
          <w:rFonts w:ascii="Times New Roman" w:eastAsia="Calibri" w:hAnsi="Times New Roman" w:cs="Times New Roman"/>
          <w:sz w:val="24"/>
          <w:szCs w:val="24"/>
        </w:rPr>
        <w:t xml:space="preserve">Furthermore, a diffusive based method may not give reliable results for nutrients which are transported primarily via advection. </w:t>
      </w:r>
      <w:r w:rsidRPr="00A57EFF">
        <w:rPr>
          <w:rFonts w:ascii="Times New Roman" w:hAnsi="Times New Roman"/>
          <w:sz w:val="24"/>
        </w:rPr>
        <w:t xml:space="preserve">Thus, directly inferring plant-uptake or plant induced nutrient mobilisation using microdialysis probes may be a naïve approach; these measurements depend on a multitude of factors which can affect either the osmosis-driven mass flow movement of water in and out of the microdialysis probe or the diffusion of molecules into and out of the perfusate </w:t>
      </w:r>
      <w:r w:rsidRPr="00A57EFF">
        <w:rPr>
          <w:rFonts w:ascii="Times New Roman" w:hAnsi="Times New Roman"/>
          <w:sz w:val="24"/>
        </w:rPr>
        <w:fldChar w:fldCharType="begin">
          <w:fldData xml:space="preserve">PEVuZE5vdGU+PENpdGU+PEF1dGhvcj5NZW5hY2hlcnJ5PC9BdXRob3I+PFllYXI+MTk5MjwvWWVh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</w:fldData>
        </w:fldChar>
      </w:r>
      <w:r w:rsidRPr="00A57EFF">
        <w:rPr>
          <w:rFonts w:ascii="Times New Roman" w:hAnsi="Times New Roman"/>
          <w:sz w:val="24"/>
        </w:rPr>
        <w:instrText xml:space="preserve"> ADDIN EN.CITE </w:instrText>
      </w:r>
      <w:r w:rsidRPr="00A57EFF">
        <w:rPr>
          <w:rFonts w:ascii="Times New Roman" w:hAnsi="Times New Roman"/>
          <w:sz w:val="24"/>
        </w:rPr>
        <w:fldChar w:fldCharType="begin">
          <w:fldData xml:space="preserve">PEVuZE5vdGU+PENpdGU+PEF1dGhvcj5NZW5hY2hlcnJ5PC9BdXRob3I+PFllYXI+MTk5MjwvWWVh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</w:fldData>
        </w:fldChar>
      </w:r>
      <w:r w:rsidRPr="00A57EFF">
        <w:rPr>
          <w:rFonts w:ascii="Times New Roman" w:hAnsi="Times New Roman"/>
          <w:sz w:val="24"/>
        </w:rPr>
        <w:instrText xml:space="preserve"> ADDIN EN.CITE.DATA </w:instrText>
      </w:r>
      <w:r w:rsidRPr="00A57EFF">
        <w:rPr>
          <w:rFonts w:ascii="Times New Roman" w:hAnsi="Times New Roman"/>
          <w:sz w:val="24"/>
        </w:rPr>
      </w:r>
      <w:r w:rsidRPr="00A57EFF">
        <w:rPr>
          <w:rFonts w:ascii="Times New Roman" w:hAnsi="Times New Roman"/>
          <w:sz w:val="24"/>
        </w:rPr>
        <w:fldChar w:fldCharType="end"/>
      </w:r>
      <w:r w:rsidRPr="00A57EFF">
        <w:rPr>
          <w:rFonts w:ascii="Times New Roman" w:hAnsi="Times New Roman"/>
          <w:sz w:val="24"/>
        </w:rPr>
      </w:r>
      <w:r w:rsidRPr="00A57EFF">
        <w:rPr>
          <w:rFonts w:ascii="Times New Roman" w:hAnsi="Times New Roman"/>
          <w:sz w:val="24"/>
        </w:rPr>
        <w:fldChar w:fldCharType="separate"/>
      </w:r>
      <w:r w:rsidRPr="00A57EFF">
        <w:rPr>
          <w:rFonts w:ascii="Times New Roman" w:hAnsi="Times New Roman"/>
          <w:sz w:val="24"/>
        </w:rPr>
        <w:t>(Demand et al. 2017; Menacherry et al. 1992; Shaw et al. 2014)</w:t>
      </w:r>
      <w:r w:rsidRPr="00A57EFF">
        <w:rPr>
          <w:rFonts w:ascii="Times New Roman" w:hAnsi="Times New Roman"/>
          <w:sz w:val="24"/>
        </w:rPr>
        <w:fldChar w:fldCharType="end"/>
      </w:r>
      <w:r w:rsidRPr="00A57EFF">
        <w:rPr>
          <w:rFonts w:ascii="Times New Roman" w:hAnsi="Times New Roman"/>
          <w:sz w:val="24"/>
        </w:rPr>
        <w:t xml:space="preserve">. </w:t>
      </w:r>
      <w:r w:rsidRPr="00AA6F1F">
        <w:rPr>
          <w:rFonts w:ascii="Times New Roman" w:eastAsia="Calibri" w:hAnsi="Times New Roman" w:cs="Times New Roman"/>
          <w:sz w:val="24"/>
          <w:szCs w:val="24"/>
        </w:rPr>
        <w:t>Therefore</w:t>
      </w:r>
      <w:r w:rsidRPr="00A57EFF">
        <w:rPr>
          <w:rFonts w:ascii="Times New Roman" w:hAnsi="Times New Roman"/>
          <w:sz w:val="24"/>
        </w:rPr>
        <w:t xml:space="preserve">, the technique lends itself to a combined experimental-modelling approach to decouple the effects of varying microdialysis osmosis rates and </w:t>
      </w:r>
      <w:r w:rsidRPr="00A57EFF">
        <w:rPr>
          <w:rFonts w:ascii="Times New Roman" w:hAnsi="Times New Roman"/>
          <w:i/>
          <w:sz w:val="24"/>
        </w:rPr>
        <w:t>in-situ</w:t>
      </w:r>
      <w:r w:rsidRPr="00A57EFF">
        <w:rPr>
          <w:rFonts w:ascii="Times New Roman" w:hAnsi="Times New Roman"/>
          <w:sz w:val="24"/>
        </w:rPr>
        <w:t xml:space="preserve"> rhizosphere processes from the microdialysis measurements. This approach could provide a unique method for investigating how organic acids exuded by roots affect the availability of P and potentially increase plant uptake.</w:t>
      </w:r>
    </w:p>
    <w:p w:rsidR="00AA6F1F" w:rsidRPr="00A57EFF" w:rsidRDefault="00AA6F1F" w:rsidP="00AA6F1F">
      <w:pPr>
        <w:spacing w:after="0" w:line="480" w:lineRule="auto"/>
        <w:ind w:firstLine="720"/>
        <w:jc w:val="both"/>
        <w:rPr>
          <w:rFonts w:ascii="Times New Roman" w:hAnsi="Times New Roman"/>
          <w:sz w:val="24"/>
        </w:rPr>
      </w:pPr>
      <w:r w:rsidRPr="00A57EFF">
        <w:rPr>
          <w:rFonts w:ascii="Times New Roman" w:hAnsi="Times New Roman"/>
          <w:sz w:val="24"/>
        </w:rPr>
        <w:t>In this study, we aimed to quantify the effectiveness of citrate exuded by roots on</w:t>
      </w:r>
      <w:r w:rsidRPr="00AA6F1F">
        <w:rPr>
          <w:rFonts w:ascii="Times New Roman" w:eastAsia="Calibri" w:hAnsi="Times New Roman" w:cs="Times New Roman"/>
          <w:sz w:val="24"/>
          <w:szCs w:val="24"/>
        </w:rPr>
        <w:t xml:space="preserve"> improving</w:t>
      </w:r>
      <w:r w:rsidRPr="00A57EFF">
        <w:rPr>
          <w:rFonts w:ascii="Times New Roman" w:hAnsi="Times New Roman"/>
          <w:sz w:val="24"/>
        </w:rPr>
        <w:t xml:space="preserve"> P mobilisation in a Eutric Cambisol soil using microdialysis probes in combination with modelling. After careful calibration of microdialysis probe influx and efflux rates, the microdialysis probes were perfused with citrate at a range of concentrations to simulate root efflux. The recovery of added isotopically labelled phosphate from the soil was used to quantify the effect of the citrate efflux on P influx. As discussed above, understanding the mechanisms of soil P mobilisation directly through experimentation is difficult and interpreting microdialysis-derived results is complex. Therefore, the experimental data was used to parameterise a kinetic model that describes the efflux of citrate from the microdialysis probe and the subsequent uptake of P. The model was then used to explore how citrate efflux affected P availability in the rhizosphere. The experimental and modelling results are discussed within both a mechanistic and an ecological context. The results offer a better understanding of small-scale </w:t>
      </w:r>
      <w:r w:rsidRPr="00A57EFF">
        <w:rPr>
          <w:rFonts w:ascii="Times New Roman" w:hAnsi="Times New Roman"/>
          <w:i/>
          <w:sz w:val="24"/>
        </w:rPr>
        <w:t>in-situ</w:t>
      </w:r>
      <w:r w:rsidRPr="00A57EFF">
        <w:rPr>
          <w:rFonts w:ascii="Times New Roman" w:hAnsi="Times New Roman"/>
          <w:sz w:val="24"/>
        </w:rPr>
        <w:t xml:space="preserve"> rhizosphere processes. </w:t>
      </w:r>
    </w:p>
    <w:p w:rsidR="00AA6F1F" w:rsidRPr="00A57EFF" w:rsidRDefault="00AA6F1F" w:rsidP="00A57EFF">
      <w:pPr>
        <w:keepNext/>
        <w:keepLines/>
        <w:spacing w:before="240" w:after="0" w:line="480" w:lineRule="auto"/>
        <w:outlineLvl w:val="0"/>
        <w:rPr>
          <w:rFonts w:ascii="Times New Roman" w:hAnsi="Times New Roman"/>
          <w:color w:val="365F91"/>
          <w:sz w:val="32"/>
        </w:rPr>
      </w:pPr>
      <w:r w:rsidRPr="00A57EFF">
        <w:rPr>
          <w:rFonts w:ascii="Times New Roman" w:hAnsi="Times New Roman"/>
          <w:color w:val="365F91"/>
          <w:sz w:val="32"/>
        </w:rPr>
        <w:t>Materials and methods</w:t>
      </w:r>
    </w:p>
    <w:p w:rsidR="00AA6F1F" w:rsidRPr="00A57EFF" w:rsidRDefault="00AA6F1F" w:rsidP="00A57EFF">
      <w:pPr>
        <w:keepNext/>
        <w:keepLines/>
        <w:spacing w:before="40" w:after="0" w:line="480" w:lineRule="auto"/>
        <w:outlineLvl w:val="1"/>
        <w:rPr>
          <w:rFonts w:ascii="Times New Roman" w:hAnsi="Times New Roman"/>
          <w:color w:val="365F91"/>
          <w:sz w:val="26"/>
        </w:rPr>
      </w:pPr>
      <w:r w:rsidRPr="00A57EFF">
        <w:rPr>
          <w:rFonts w:ascii="Times New Roman" w:hAnsi="Times New Roman"/>
          <w:color w:val="365F91"/>
          <w:sz w:val="26"/>
        </w:rPr>
        <w:t>Soil characterisation and sampling</w:t>
      </w:r>
    </w:p>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The soil used in this study was sampled from the Ahp horizon of a </w:t>
      </w:r>
      <w:r w:rsidRPr="00A57EFF">
        <w:rPr>
          <w:rFonts w:ascii="Times New Roman" w:hAnsi="Times New Roman"/>
          <w:i/>
          <w:sz w:val="24"/>
        </w:rPr>
        <w:t>Lolium perenne</w:t>
      </w:r>
      <w:r w:rsidRPr="00A57EFF">
        <w:rPr>
          <w:rFonts w:ascii="Times New Roman" w:hAnsi="Times New Roman"/>
          <w:sz w:val="24"/>
        </w:rPr>
        <w:t xml:space="preserve"> L. dominated agricultural grassland located at the Henfaes Research Station, Abergwyngregyn, Wales, UK (53°14’N, 4°01’W). The soil is classified as a Eutric Cambisol and has a sandy clay loam texture and a fine crumb structure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&lt;EndNote&gt;&lt;Cite&gt;&lt;Author&gt;Wrb&lt;/Author&gt;&lt;Year&gt;2015&lt;/Year&gt;&lt;RecNum&gt;174&lt;/RecNum&gt;&lt;DisplayText&gt;(Wrb 2015)&lt;/DisplayText&gt;&lt;record&gt;&lt;rec-number&gt;174&lt;/rec-number&gt;&lt;foreign-keys&gt;&lt;key app="EN" db-id="0sapex5pfwrt05ep5w3x2zd0tdt9050e5fax" timestamp="1544611360"&gt;174&lt;/key&gt;&lt;/foreign-keys&gt;&lt;ref-type name="Journal Article"&gt;17&lt;/ref-type&gt;&lt;contributors&gt;&lt;authors&gt;&lt;author&gt;Iuss Working Group Wrb&lt;/author&gt;&lt;/authors&gt;&lt;/contributors&gt;&lt;titles&gt;&lt;title&gt;World Reference Base for Soil Resources 2014, update 2015 International soil classification system for naming soils and creating legends for soil maps&lt;/title&gt;&lt;secondary-title&gt;World Soil Resources Reports No. 106&lt;/secondary-title&gt;&lt;/titles&gt;&lt;periodical&gt;&lt;full-title&gt;World Soil Resources Reports No. 106&lt;/full-title&gt;&lt;/periodical&gt;&lt;pages&gt;192&lt;/pages&gt;&lt;dates&gt;&lt;year&gt;2015&lt;/year&gt;&lt;/dates&gt;&lt;urls&gt;&lt;/urls&gt;&lt;/record&gt;&lt;/Cite&gt;&lt;/EndNote&gt;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(Wrb 2015)</w:t>
      </w:r>
      <w:r w:rsidRPr="00A57EFF">
        <w:rPr>
          <w:rFonts w:ascii="Times New Roman" w:hAnsi="Times New Roman"/>
          <w:sz w:val="24"/>
        </w:rPr>
        <w:fldChar w:fldCharType="end"/>
      </w:r>
      <w:r w:rsidRPr="00A57EFF">
        <w:rPr>
          <w:rFonts w:ascii="Times New Roman" w:hAnsi="Times New Roman"/>
          <w:sz w:val="24"/>
        </w:rPr>
        <w:t>. Four independent soil samples (</w:t>
      </w:r>
      <w:r w:rsidRPr="00A57EFF">
        <w:rPr>
          <w:rFonts w:ascii="Times New Roman" w:hAnsi="Times New Roman"/>
          <w:i/>
          <w:sz w:val="24"/>
        </w:rPr>
        <w:t>n</w:t>
      </w:r>
      <w:r w:rsidRPr="00A57EFF">
        <w:rPr>
          <w:rFonts w:ascii="Times New Roman" w:hAnsi="Times New Roman"/>
          <w:sz w:val="24"/>
        </w:rPr>
        <w:t xml:space="preserve"> = 4) were taken to a depth of 15 cm from 30 × 30 cm areas within the field. The soil was sieved to pass 2 mm and refrigerated at 4°C until required. The properties of the soil are summarised in Table 1. </w:t>
      </w:r>
    </w:p>
    <w:p w:rsidR="00AA6F1F" w:rsidRPr="00A57EFF" w:rsidRDefault="00AA6F1F" w:rsidP="00A57EFF">
      <w:pPr>
        <w:spacing w:after="200" w:line="480" w:lineRule="auto"/>
        <w:jc w:val="center"/>
        <w:rPr>
          <w:rFonts w:ascii="Times New Roman" w:hAnsi="Times New Roman"/>
          <w:sz w:val="20"/>
        </w:rPr>
      </w:pPr>
      <w:r w:rsidRPr="00A57EFF">
        <w:rPr>
          <w:rFonts w:ascii="Times New Roman" w:hAnsi="Times New Roman"/>
          <w:b/>
          <w:sz w:val="20"/>
        </w:rPr>
        <w:t xml:space="preserve">Table 1 </w:t>
      </w:r>
      <w:r w:rsidRPr="00A57EFF">
        <w:rPr>
          <w:rFonts w:ascii="Times New Roman" w:hAnsi="Times New Roman"/>
          <w:sz w:val="20"/>
        </w:rPr>
        <w:t xml:space="preserve">General properties of the Eutric Cambisol soil used in the experiments. Measurements of crystalline and amorphous Fe and Al, and total Fe, Al and Ca taken from </w:t>
      </w:r>
      <w:r w:rsidRPr="00AA6F1F">
        <w:rPr>
          <w:rFonts w:ascii="Times New Roman" w:eastAsia="Calibri" w:hAnsi="Times New Roman" w:cs="Times New Roman"/>
          <w:sz w:val="20"/>
          <w:szCs w:val="20"/>
        </w:rPr>
        <w:fldChar w:fldCharType="begin"/>
      </w:r>
      <w:r w:rsidRPr="00AA6F1F">
        <w:rPr>
          <w:rFonts w:ascii="Times New Roman" w:eastAsia="Calibri" w:hAnsi="Times New Roman" w:cs="Times New Roman"/>
          <w:sz w:val="20"/>
          <w:szCs w:val="20"/>
        </w:rPr>
        <w:instrText xml:space="preserve"> ADDIN EN.CITE &lt;EndNote&gt;&lt;Cite AuthorYear="1"&gt;&lt;Author&gt;Oburger&lt;/Author&gt;&lt;Year&gt;2011&lt;/Year&gt;&lt;RecNum&gt;70&lt;/RecNum&gt;&lt;DisplayText&gt;Oburger et al. (2011a)&lt;/DisplayText&gt;&lt;record&gt;&lt;rec-number&gt;70&lt;/rec-number&gt;&lt;foreign-keys&gt;&lt;key app="EN" db-id="0sapex5pfwrt05ep5w3x2zd0tdt9050e5fax" timestamp="1487241278"&gt;70&lt;/key&gt;&lt;/foreign-keys&gt;&lt;ref-type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EndNote&gt;</w:instrText>
      </w:r>
      <w:r w:rsidRPr="00AA6F1F">
        <w:rPr>
          <w:rFonts w:ascii="Times New Roman" w:eastAsia="Calibri" w:hAnsi="Times New Roman" w:cs="Times New Roman"/>
          <w:sz w:val="20"/>
          <w:szCs w:val="20"/>
        </w:rPr>
        <w:fldChar w:fldCharType="separate"/>
      </w:r>
      <w:r w:rsidRPr="00AA6F1F">
        <w:rPr>
          <w:rFonts w:ascii="Times New Roman" w:eastAsia="Calibri" w:hAnsi="Times New Roman" w:cs="Times New Roman"/>
          <w:noProof/>
          <w:sz w:val="20"/>
          <w:szCs w:val="20"/>
        </w:rPr>
        <w:t>Oburger et al. (2011a)</w:t>
      </w:r>
      <w:r w:rsidRPr="00AA6F1F">
        <w:rPr>
          <w:rFonts w:ascii="Times New Roman" w:eastAsia="Calibri" w:hAnsi="Times New Roman" w:cs="Times New Roman"/>
          <w:sz w:val="20"/>
          <w:szCs w:val="20"/>
        </w:rPr>
        <w:fldChar w:fldCharType="end"/>
      </w:r>
      <w:r w:rsidRPr="00AA6F1F">
        <w:rPr>
          <w:rFonts w:ascii="Times New Roman" w:eastAsia="Calibri" w:hAnsi="Times New Roman" w:cs="Times New Roman"/>
          <w:sz w:val="20"/>
          <w:szCs w:val="20"/>
        </w:rPr>
        <w:t xml:space="preserve"> analysis on the same soil.</w:t>
      </w:r>
      <w:r w:rsidRPr="00A57EFF">
        <w:rPr>
          <w:rFonts w:ascii="Times New Roman" w:hAnsi="Times New Roman"/>
          <w:sz w:val="20"/>
        </w:rPr>
        <w:t xml:space="preserve"> CDB indicates citrate-dithionate-bicarbonate extractable </w:t>
      </w:r>
      <w:r w:rsidRPr="00A57EFF">
        <w:rPr>
          <w:rFonts w:ascii="Times New Roman" w:hAnsi="Times New Roman"/>
          <w:sz w:val="20"/>
        </w:rPr>
        <w:fldChar w:fldCharType="begin"/>
      </w:r>
      <w:r w:rsidRPr="00A57EFF">
        <w:rPr>
          <w:rFonts w:ascii="Times New Roman" w:hAnsi="Times New Roman"/>
          <w:sz w:val="20"/>
        </w:rPr>
        <w:instrText xml:space="preserve"> ADDIN EN.CITE &lt;EndNote&gt;&lt;Cite&gt;&lt;Author&gt;Jackson&lt;/Author&gt;&lt;Year&gt;1986&lt;/Year&gt;&lt;RecNum&gt;137&lt;/RecNum&gt;&lt;DisplayText&gt;(Jackson et al. 1986)&lt;/DisplayText&gt;&lt;record&gt;&lt;rec-number&gt;137&lt;/rec-number&gt;&lt;foreign-keys&gt;&lt;key app="EN" db-id="0sapex5pfwrt05ep5w3x2zd0tdt9050e5fax" timestamp="1521043921"&gt;137&lt;/key&gt;&lt;/foreign-keys&gt;&lt;ref-type name="Journal Article"&gt;17&lt;/ref-type&gt;&lt;contributors&gt;&lt;authors&gt;&lt;author&gt;Jackson, Marion L&lt;/author&gt;&lt;author&gt;Lim, Chin H&lt;/author&gt;&lt;author&gt;Zelazny, Lucian W&lt;/author&gt;&lt;/authors&gt;&lt;/contributors&gt;&lt;titles&gt;&lt;title&gt;Oxides, Hydroxides, and Aluminosilicates 1&lt;/title&gt;&lt;secondary-title&gt;Methods of Soil Analysis: Part 1—Physical and Mineralogical Methods&lt;/secondary-title&gt;&lt;/titles&gt;&lt;periodical&gt;&lt;full-title&gt;Methods of Soil Analysis: Part 1—Physical and Mineralogical Methods&lt;/full-title&gt;&lt;/periodical&gt;&lt;pages&gt;101-150&lt;/pages&gt;&lt;number&gt;methodsofsoilan1&lt;/number&gt;&lt;dates&gt;&lt;year&gt;1986&lt;/year&gt;&lt;/dates&gt;&lt;isbn&gt;0891188649&lt;/isbn&gt;&lt;urls&gt;&lt;/urls&gt;&lt;/record&gt;&lt;/Cite&gt;&lt;/EndNote&gt;</w:instrText>
      </w:r>
      <w:r w:rsidRPr="00A57EFF">
        <w:rPr>
          <w:rFonts w:ascii="Times New Roman" w:hAnsi="Times New Roman"/>
          <w:sz w:val="20"/>
        </w:rPr>
        <w:fldChar w:fldCharType="separate"/>
      </w:r>
      <w:r w:rsidRPr="00A57EFF">
        <w:rPr>
          <w:rFonts w:ascii="Times New Roman" w:hAnsi="Times New Roman"/>
          <w:sz w:val="20"/>
        </w:rPr>
        <w:t>(Jackson et al. 1986)</w:t>
      </w:r>
      <w:r w:rsidRPr="00A57EFF">
        <w:rPr>
          <w:rFonts w:ascii="Times New Roman" w:hAnsi="Times New Roman"/>
          <w:sz w:val="20"/>
        </w:rPr>
        <w:fldChar w:fldCharType="end"/>
      </w:r>
      <w:r w:rsidRPr="00A57EFF">
        <w:rPr>
          <w:rFonts w:ascii="Times New Roman" w:hAnsi="Times New Roman"/>
          <w:sz w:val="20"/>
        </w:rPr>
        <w:t xml:space="preserve">, AAO indicates acid-ammonium-oxalate extractable </w:t>
      </w:r>
      <w:r w:rsidRPr="00A57EFF">
        <w:rPr>
          <w:rFonts w:ascii="Times New Roman" w:hAnsi="Times New Roman"/>
          <w:sz w:val="20"/>
        </w:rPr>
        <w:fldChar w:fldCharType="begin"/>
      </w:r>
      <w:r w:rsidRPr="00A57EFF">
        <w:rPr>
          <w:rFonts w:ascii="Times New Roman" w:hAnsi="Times New Roman"/>
          <w:sz w:val="20"/>
        </w:rPr>
        <w:instrText xml:space="preserve"> ADDIN EN.CITE &lt;EndNote&gt;&lt;Cite&gt;&lt;Author&gt;Loeppert&lt;/Author&gt;&lt;Year&gt;1996&lt;/Year&gt;&lt;RecNum&gt;136&lt;/RecNum&gt;&lt;DisplayText&gt;(Loeppert and Inskeep 1996)&lt;/DisplayText&gt;&lt;record&gt;&lt;rec-number&gt;136&lt;/rec-number&gt;&lt;foreign-keys&gt;&lt;key app="EN" db-id="0sapex5pfwrt05ep5w3x2zd0tdt9050e5fax" timestamp="1521043281"&gt;136&lt;/key&gt;&lt;/foreign-keys&gt;&lt;ref-type name="Journal Article"&gt;17&lt;/ref-type&gt;&lt;contributors&gt;&lt;authors&gt;&lt;author&gt;Loeppert, RH&lt;/author&gt;&lt;author&gt;Inskeep, WP&lt;/author&gt;&lt;/authors&gt;&lt;/contributors&gt;&lt;titles&gt;&lt;title&gt;Iron. p. 639–664. DL Sparks (ed.) Methods of soil analysis. Part 3. SSSA Book Ser. 5. SSSA, Madison, WI&lt;/title&gt;&lt;secondary-title&gt;Iron. p. 639–664. In DL Sparks (ed.) Methods of soil analysis. Part 3. SSSA Book Ser. 5. SSSA, Madison, WI.&lt;/secondary-title&gt;&lt;/titles&gt;&lt;periodical&gt;&lt;full-title&gt;Iron. p. 639–664. In DL Sparks (ed.) Methods of soil analysis. Part 3. SSSA Book Ser. 5. SSSA, Madison, WI.&lt;/full-title&gt;&lt;/periodical&gt;&lt;pages&gt;-&lt;/pages&gt;&lt;dates&gt;&lt;year&gt;1996&lt;/year&gt;&lt;/dates&gt;&lt;urls&gt;&lt;/urls&gt;&lt;/record&gt;&lt;/Cite&gt;&lt;/EndNote&gt;</w:instrText>
      </w:r>
      <w:r w:rsidRPr="00A57EFF">
        <w:rPr>
          <w:rFonts w:ascii="Times New Roman" w:hAnsi="Times New Roman"/>
          <w:sz w:val="20"/>
        </w:rPr>
        <w:fldChar w:fldCharType="separate"/>
      </w:r>
      <w:r w:rsidRPr="00A57EFF">
        <w:rPr>
          <w:rFonts w:ascii="Times New Roman" w:hAnsi="Times New Roman"/>
          <w:sz w:val="20"/>
        </w:rPr>
        <w:t>(Loeppert and Inskeep 1996)</w:t>
      </w:r>
      <w:r w:rsidRPr="00A57EFF">
        <w:rPr>
          <w:rFonts w:ascii="Times New Roman" w:hAnsi="Times New Roman"/>
          <w:sz w:val="20"/>
        </w:rPr>
        <w:fldChar w:fldCharType="end"/>
      </w:r>
      <w:r w:rsidRPr="00A57EFF">
        <w:rPr>
          <w:rFonts w:ascii="Times New Roman" w:hAnsi="Times New Roman"/>
          <w:sz w:val="20"/>
        </w:rPr>
        <w:t>.</w:t>
      </w:r>
      <w:r w:rsidR="004817C2" w:rsidRPr="00A57EFF">
        <w:rPr>
          <w:rFonts w:ascii="Times New Roman" w:hAnsi="Times New Roman"/>
          <w:sz w:val="20"/>
        </w:rPr>
        <w:t xml:space="preserve"> </w:t>
      </w:r>
      <w:r w:rsidR="004817C2" w:rsidRPr="004817C2">
        <w:rPr>
          <w:rFonts w:ascii="Times New Roman" w:eastAsia="Calibri" w:hAnsi="Times New Roman" w:cs="Times New Roman"/>
          <w:sz w:val="20"/>
          <w:szCs w:val="20"/>
        </w:rPr>
        <w:t xml:space="preserve">Available phosphate was extracted with 0.5 M acetic acid using a soil-to-solution ratio (SSR) of 1:10 (w/v) </w:t>
      </w:r>
      <w:r w:rsidR="004817C2">
        <w:rPr>
          <w:rFonts w:ascii="Times New Roman" w:eastAsia="Calibri" w:hAnsi="Times New Roman" w:cs="Times New Roman"/>
          <w:sz w:val="20"/>
          <w:szCs w:val="20"/>
        </w:rPr>
        <w:fldChar w:fldCharType="begin"/>
      </w:r>
      <w:r w:rsidR="004817C2">
        <w:rPr>
          <w:rFonts w:ascii="Times New Roman" w:eastAsia="Calibri" w:hAnsi="Times New Roman" w:cs="Times New Roman"/>
          <w:sz w:val="20"/>
          <w:szCs w:val="20"/>
        </w:rPr>
        <w:instrText xml:space="preserve"> ADDIN EN.CITE &lt;EndNote&gt;&lt;Cite&gt;&lt;Author&gt;Oburger&lt;/Author&gt;&lt;Year&gt;2009&lt;/Year&gt;&lt;RecNum&gt;183&lt;/RecNum&gt;&lt;DisplayText&gt;(Oburger et al. 2009)&lt;/DisplayText&gt;&lt;record&gt;&lt;rec-number&gt;183&lt;/rec-number&gt;&lt;foreign-keys&gt;&lt;key app="EN" db-id="0sapex5pfwrt05ep5w3x2zd0tdt9050e5fax" timestamp="1547045817"&gt;183&lt;/key&gt;&lt;/foreign-keys&gt;&lt;ref-type name="Journal Article"&gt;17&lt;/ref-type&gt;&lt;contributors&gt;&lt;authors&gt;&lt;author&gt;Oburger, Eva&lt;/author&gt;&lt;author&gt;Kirk, Guy JD&lt;/author&gt;&lt;author&gt;Wenzel, Walter W&lt;/author&gt;&lt;author&gt;Puschenreiter, Markus&lt;/author&gt;&lt;author&gt;Jones, David L&lt;/author&gt;&lt;/authors&gt;&lt;/contributors&gt;&lt;titles&gt;&lt;title&gt;Interactive effects of organic acids in the rhizosphere&lt;/title&gt;&lt;secondary-title&gt;Soil Biology and Biochemistry&lt;/secondary-title&gt;&lt;/titles&gt;&lt;periodical&gt;&lt;full-title&gt;Soil Biology and Biochemistry&lt;/full-title&gt;&lt;/periodical&gt;&lt;pages&gt;449-457&lt;/pages&gt;&lt;volume&gt;41&lt;/volume&gt;&lt;number&gt;3&lt;/number&gt;&lt;dates&gt;&lt;year&gt;2009&lt;/year&gt;&lt;/dates&gt;&lt;isbn&gt;0038-0717&lt;/isbn&gt;&lt;urls&gt;&lt;/urls&gt;&lt;/record&gt;&lt;/Cite&gt;&lt;/EndNote&gt;</w:instrText>
      </w:r>
      <w:r w:rsidR="004817C2">
        <w:rPr>
          <w:rFonts w:ascii="Times New Roman" w:eastAsia="Calibri" w:hAnsi="Times New Roman" w:cs="Times New Roman"/>
          <w:sz w:val="20"/>
          <w:szCs w:val="20"/>
        </w:rPr>
        <w:fldChar w:fldCharType="separate"/>
      </w:r>
      <w:r w:rsidR="004817C2">
        <w:rPr>
          <w:rFonts w:ascii="Times New Roman" w:eastAsia="Calibri" w:hAnsi="Times New Roman" w:cs="Times New Roman"/>
          <w:noProof/>
          <w:sz w:val="20"/>
          <w:szCs w:val="20"/>
        </w:rPr>
        <w:t>(Oburger et al. 2009)</w:t>
      </w:r>
      <w:r w:rsidR="004817C2">
        <w:rPr>
          <w:rFonts w:ascii="Times New Roman" w:eastAsia="Calibri" w:hAnsi="Times New Roman" w:cs="Times New Roman"/>
          <w:sz w:val="20"/>
          <w:szCs w:val="20"/>
        </w:rPr>
        <w:fldChar w:fldCharType="end"/>
      </w:r>
      <w:r w:rsidR="004817C2">
        <w:rPr>
          <w:rFonts w:ascii="Times New Roman" w:eastAsia="Calibri" w:hAnsi="Times New Roman" w:cs="Times New Roman"/>
          <w:sz w:val="20"/>
          <w:szCs w:val="20"/>
        </w:rPr>
        <w:t xml:space="preserve">. </w:t>
      </w:r>
      <w:r w:rsidRPr="00AA6F1F">
        <w:rPr>
          <w:rFonts w:ascii="Times New Roman" w:eastAsia="Calibri" w:hAnsi="Times New Roman" w:cs="Times New Roman"/>
          <w:sz w:val="20"/>
          <w:szCs w:val="20"/>
        </w:rPr>
        <w:t>Values represent means ± Standard Error of the Mean (SEM). Nutrient data expressed on a dry soil weight basis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4"/>
        <w:gridCol w:w="1508"/>
      </w:tblGrid>
      <w:tr w:rsidR="00AA6F1F" w:rsidRPr="00AA6F1F" w:rsidTr="00AB3042">
        <w:trPr>
          <w:trHeight w:hRule="exact" w:val="340"/>
          <w:jc w:val="center"/>
        </w:trPr>
        <w:tc>
          <w:tcPr>
            <w:tcW w:w="0" w:type="auto"/>
            <w:tcBorders>
              <w:top w:val="single" w:sz="4" w:space="0" w:color="auto"/>
              <w:bottom w:val="single" w:sz="4" w:space="0" w:color="auto"/>
            </w:tcBorders>
            <w:vAlign w:val="center"/>
          </w:tcPr>
          <w:p w:rsidR="00AA6F1F" w:rsidRPr="00A57EFF" w:rsidRDefault="00AA6F1F" w:rsidP="00AA6F1F">
            <w:pPr>
              <w:spacing w:line="480" w:lineRule="auto"/>
              <w:jc w:val="both"/>
              <w:rPr>
                <w:rFonts w:ascii="Times New Roman" w:hAnsi="Times New Roman"/>
                <w:sz w:val="24"/>
                <w:vertAlign w:val="subscript"/>
              </w:rPr>
            </w:pPr>
            <w:r w:rsidRPr="00A57EFF">
              <w:rPr>
                <w:rFonts w:ascii="Times New Roman" w:hAnsi="Times New Roman"/>
                <w:sz w:val="24"/>
              </w:rPr>
              <w:t>Property</w:t>
            </w:r>
          </w:p>
        </w:tc>
        <w:tc>
          <w:tcPr>
            <w:tcW w:w="0" w:type="auto"/>
            <w:tcBorders>
              <w:top w:val="single" w:sz="4" w:space="0" w:color="auto"/>
              <w:bottom w:val="single" w:sz="4" w:space="0" w:color="auto"/>
            </w:tcBorders>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Mean ± SEM</w:t>
            </w:r>
          </w:p>
        </w:tc>
      </w:tr>
      <w:tr w:rsidR="00AA6F1F" w:rsidRPr="00AA6F1F" w:rsidTr="00AB3042">
        <w:trPr>
          <w:trHeight w:hRule="exact" w:val="340"/>
          <w:jc w:val="center"/>
        </w:trPr>
        <w:tc>
          <w:tcPr>
            <w:tcW w:w="0" w:type="auto"/>
            <w:tcBorders>
              <w:top w:val="single" w:sz="4" w:space="0" w:color="auto"/>
            </w:tcBorders>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pH</w:t>
            </w:r>
            <w:r w:rsidRPr="00A57EFF">
              <w:rPr>
                <w:rFonts w:ascii="Times New Roman" w:hAnsi="Times New Roman"/>
                <w:sz w:val="24"/>
                <w:vertAlign w:val="subscript"/>
              </w:rPr>
              <w:t>(H2O)</w:t>
            </w:r>
          </w:p>
        </w:tc>
        <w:tc>
          <w:tcPr>
            <w:tcW w:w="0" w:type="auto"/>
            <w:tcBorders>
              <w:top w:val="single" w:sz="4" w:space="0" w:color="auto"/>
            </w:tcBorders>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6.12 ± 0.05</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Electrical conductivity (µS cm</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A6F1F" w:rsidRDefault="00AA6F1F" w:rsidP="00AA6F1F">
            <w:pPr>
              <w:spacing w:line="480" w:lineRule="auto"/>
              <w:jc w:val="center"/>
              <w:rPr>
                <w:rFonts w:ascii="Times New Roman" w:eastAsia="Calibri" w:hAnsi="Times New Roman" w:cs="Times New Roman"/>
                <w:sz w:val="24"/>
                <w:szCs w:val="24"/>
              </w:rPr>
            </w:pPr>
            <w:r w:rsidRPr="00A57EFF">
              <w:rPr>
                <w:rFonts w:ascii="Times New Roman" w:hAnsi="Times New Roman"/>
                <w:sz w:val="24"/>
              </w:rPr>
              <w:t xml:space="preserve">26.5 ± 0.1 </w:t>
            </w:r>
          </w:p>
          <w:p w:rsidR="00AA6F1F" w:rsidRPr="00A57EFF" w:rsidRDefault="00AA6F1F" w:rsidP="00AA6F1F">
            <w:pPr>
              <w:spacing w:line="480" w:lineRule="auto"/>
              <w:jc w:val="center"/>
              <w:rPr>
                <w:rFonts w:ascii="Times New Roman" w:hAnsi="Times New Roman"/>
                <w:sz w:val="24"/>
              </w:rPr>
            </w:pPr>
          </w:p>
        </w:tc>
      </w:tr>
      <w:tr w:rsidR="00AA6F1F" w:rsidRPr="00AA6F1F" w:rsidTr="00AB3042">
        <w:trPr>
          <w:trHeight w:hRule="exact" w:val="340"/>
          <w:jc w:val="center"/>
        </w:trPr>
        <w:tc>
          <w:tcPr>
            <w:tcW w:w="0" w:type="auto"/>
            <w:vAlign w:val="center"/>
          </w:tcPr>
          <w:p w:rsidR="00AA6F1F" w:rsidRPr="00AA6F1F" w:rsidRDefault="00AA6F1F" w:rsidP="00AA6F1F">
            <w:pPr>
              <w:spacing w:line="480" w:lineRule="auto"/>
              <w:jc w:val="both"/>
              <w:rPr>
                <w:rFonts w:ascii="Times New Roman" w:eastAsia="Calibri" w:hAnsi="Times New Roman" w:cs="Times New Roman"/>
                <w:sz w:val="24"/>
                <w:szCs w:val="24"/>
              </w:rPr>
            </w:pPr>
            <w:r w:rsidRPr="00AA6F1F">
              <w:rPr>
                <w:rFonts w:ascii="Times New Roman" w:eastAsia="Calibri" w:hAnsi="Times New Roman" w:cs="Times New Roman"/>
                <w:sz w:val="24"/>
                <w:szCs w:val="24"/>
              </w:rPr>
              <w:t>Water holding capacity (g kg</w:t>
            </w:r>
            <w:r w:rsidRPr="00AA6F1F">
              <w:rPr>
                <w:rFonts w:ascii="Times New Roman" w:eastAsia="Calibri" w:hAnsi="Times New Roman" w:cs="Times New Roman"/>
                <w:sz w:val="24"/>
                <w:szCs w:val="24"/>
                <w:vertAlign w:val="superscript"/>
              </w:rPr>
              <w:t>-1</w:t>
            </w:r>
            <w:r w:rsidRPr="00AA6F1F">
              <w:rPr>
                <w:rFonts w:ascii="Times New Roman" w:eastAsia="Calibri" w:hAnsi="Times New Roman" w:cs="Times New Roman"/>
                <w:sz w:val="24"/>
                <w:szCs w:val="24"/>
              </w:rPr>
              <w:t>)</w:t>
            </w:r>
          </w:p>
        </w:tc>
        <w:tc>
          <w:tcPr>
            <w:tcW w:w="0" w:type="auto"/>
            <w:vAlign w:val="center"/>
          </w:tcPr>
          <w:p w:rsidR="00AA6F1F" w:rsidRPr="00AA6F1F" w:rsidRDefault="00AA6F1F" w:rsidP="00AA6F1F">
            <w:pPr>
              <w:spacing w:line="480" w:lineRule="auto"/>
              <w:jc w:val="center"/>
              <w:rPr>
                <w:rFonts w:ascii="Times New Roman" w:eastAsia="Calibri" w:hAnsi="Times New Roman" w:cs="Times New Roman"/>
                <w:sz w:val="24"/>
                <w:szCs w:val="24"/>
              </w:rPr>
            </w:pPr>
            <w:r w:rsidRPr="00AA6F1F">
              <w:rPr>
                <w:rFonts w:ascii="Times New Roman" w:eastAsia="Calibri" w:hAnsi="Times New Roman" w:cs="Times New Roman"/>
                <w:sz w:val="24"/>
                <w:szCs w:val="24"/>
              </w:rPr>
              <w:t>356 ± 6</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Total C (g kg</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 xml:space="preserve">25.35 ± 1.47 </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Total N (g kg</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 xml:space="preserve">2.95 ± 0.06 </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Clay (%)</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 xml:space="preserve">20 </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Silt (%)</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 xml:space="preserve">37 </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Sand (%)</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43</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Crystalline Fe/Al (CBD)</w:t>
            </w:r>
          </w:p>
        </w:tc>
        <w:tc>
          <w:tcPr>
            <w:tcW w:w="0" w:type="auto"/>
            <w:vAlign w:val="center"/>
          </w:tcPr>
          <w:p w:rsidR="00AA6F1F" w:rsidRPr="00A57EFF" w:rsidRDefault="00AA6F1F" w:rsidP="00AA6F1F">
            <w:pPr>
              <w:spacing w:line="480" w:lineRule="auto"/>
              <w:jc w:val="center"/>
              <w:rPr>
                <w:rFonts w:ascii="Times New Roman" w:hAnsi="Times New Roman"/>
                <w:sz w:val="24"/>
              </w:rPr>
            </w:pP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 xml:space="preserve">   Fe (g kg</w:t>
            </w:r>
            <w:r w:rsidRPr="00A57EFF">
              <w:rPr>
                <w:rFonts w:ascii="Times New Roman" w:hAnsi="Times New Roman"/>
                <w:sz w:val="24"/>
                <w:vertAlign w:val="superscript"/>
              </w:rPr>
              <w:t>-1</w:t>
            </w:r>
            <w:r w:rsidRPr="00A57EFF">
              <w:rPr>
                <w:rFonts w:ascii="Times New Roman" w:hAnsi="Times New Roman"/>
                <w:sz w:val="24"/>
              </w:rPr>
              <w:t xml:space="preserve">) </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 xml:space="preserve">1.4 ± 0.1 </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 xml:space="preserve">   Al (g kg</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1.4 ± 0.1</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Amorphous Fe/Al (AAO)</w:t>
            </w:r>
          </w:p>
        </w:tc>
        <w:tc>
          <w:tcPr>
            <w:tcW w:w="0" w:type="auto"/>
            <w:vAlign w:val="center"/>
          </w:tcPr>
          <w:p w:rsidR="00AA6F1F" w:rsidRPr="00A57EFF" w:rsidRDefault="00AA6F1F" w:rsidP="00AA6F1F">
            <w:pPr>
              <w:spacing w:line="480" w:lineRule="auto"/>
              <w:jc w:val="center"/>
              <w:rPr>
                <w:rFonts w:ascii="Times New Roman" w:hAnsi="Times New Roman"/>
                <w:sz w:val="24"/>
              </w:rPr>
            </w:pP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 xml:space="preserve">   Fe (g kg</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 xml:space="preserve">5.0 ± 0.1 </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 xml:space="preserve">   Al (g kg</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 xml:space="preserve">1.6 ± 0.0 </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Total (Aqua regia)</w:t>
            </w:r>
          </w:p>
        </w:tc>
        <w:tc>
          <w:tcPr>
            <w:tcW w:w="0" w:type="auto"/>
            <w:vAlign w:val="center"/>
          </w:tcPr>
          <w:p w:rsidR="00AA6F1F" w:rsidRPr="00A57EFF" w:rsidRDefault="00AA6F1F" w:rsidP="00AA6F1F">
            <w:pPr>
              <w:spacing w:line="480" w:lineRule="auto"/>
              <w:jc w:val="center"/>
              <w:rPr>
                <w:rFonts w:ascii="Times New Roman" w:hAnsi="Times New Roman"/>
                <w:sz w:val="24"/>
              </w:rPr>
            </w:pP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 xml:space="preserve">   Fe (g kg</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46 ± 0.5</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 xml:space="preserve">   Al (g kg</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 xml:space="preserve">28 ± 0.6 </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 xml:space="preserve">   Ca (g kg</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 xml:space="preserve">1.9 ± 0.1 </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Exchangeable Ca (mg kg</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 xml:space="preserve">501 ± 122 </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Exchangeable K (mg kg</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 xml:space="preserve">46.1 ± 12.6 </w:t>
            </w:r>
          </w:p>
        </w:tc>
      </w:tr>
      <w:tr w:rsidR="00AA6F1F" w:rsidRPr="00AA6F1F" w:rsidTr="00AB3042">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Exchangeable Na (mg kg</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 xml:space="preserve">25.4 ± 5.1 </w:t>
            </w:r>
          </w:p>
        </w:tc>
      </w:tr>
      <w:tr w:rsidR="00AA6F1F" w:rsidRPr="00AA6F1F" w:rsidTr="00A57EFF">
        <w:trPr>
          <w:trHeight w:hRule="exact" w:val="340"/>
          <w:jc w:val="center"/>
        </w:trPr>
        <w:tc>
          <w:tcPr>
            <w:tcW w:w="0" w:type="auto"/>
            <w:vAlign w:val="center"/>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Available P (mg kg</w:t>
            </w:r>
            <w:r w:rsidRPr="00A57EFF">
              <w:rPr>
                <w:rFonts w:ascii="Times New Roman" w:hAnsi="Times New Roman"/>
                <w:sz w:val="24"/>
                <w:vertAlign w:val="superscript"/>
              </w:rPr>
              <w:t>-1</w:t>
            </w:r>
            <w:r w:rsidRPr="00A57EFF">
              <w:rPr>
                <w:rFonts w:ascii="Times New Roman" w:hAnsi="Times New Roman"/>
                <w:sz w:val="24"/>
              </w:rPr>
              <w:t>)</w:t>
            </w:r>
          </w:p>
        </w:tc>
        <w:tc>
          <w:tcPr>
            <w:tcW w:w="0" w:type="auto"/>
            <w:vAlign w:val="center"/>
          </w:tcPr>
          <w:p w:rsidR="00AA6F1F" w:rsidRPr="00A57EFF" w:rsidRDefault="00AA6F1F" w:rsidP="00AA6F1F">
            <w:pPr>
              <w:spacing w:line="480" w:lineRule="auto"/>
              <w:jc w:val="center"/>
              <w:rPr>
                <w:rFonts w:ascii="Times New Roman" w:hAnsi="Times New Roman"/>
                <w:sz w:val="24"/>
              </w:rPr>
            </w:pPr>
            <w:r w:rsidRPr="00A57EFF">
              <w:rPr>
                <w:rFonts w:ascii="Times New Roman" w:hAnsi="Times New Roman"/>
                <w:sz w:val="24"/>
              </w:rPr>
              <w:t>22.6 ± 6.2</w:t>
            </w:r>
          </w:p>
        </w:tc>
      </w:tr>
      <w:tr w:rsidR="00AA6F1F" w:rsidRPr="00AA6F1F" w:rsidTr="00AB3042">
        <w:trPr>
          <w:trHeight w:hRule="exact" w:val="340"/>
          <w:jc w:val="center"/>
        </w:trPr>
        <w:tc>
          <w:tcPr>
            <w:tcW w:w="0" w:type="auto"/>
            <w:tcBorders>
              <w:bottom w:val="single" w:sz="4" w:space="0" w:color="auto"/>
            </w:tcBorders>
            <w:vAlign w:val="center"/>
          </w:tcPr>
          <w:p w:rsidR="00AA6F1F" w:rsidRPr="00AA6F1F" w:rsidRDefault="00AA6F1F" w:rsidP="00AA6F1F">
            <w:pPr>
              <w:spacing w:line="480" w:lineRule="auto"/>
              <w:jc w:val="both"/>
              <w:rPr>
                <w:rFonts w:ascii="Times New Roman" w:eastAsia="Calibri" w:hAnsi="Times New Roman" w:cs="Times New Roman"/>
                <w:sz w:val="24"/>
                <w:szCs w:val="24"/>
              </w:rPr>
            </w:pPr>
            <w:r w:rsidRPr="00AA6F1F">
              <w:rPr>
                <w:rFonts w:ascii="Times New Roman" w:eastAsia="Calibri" w:hAnsi="Times New Roman" w:cs="Times New Roman"/>
                <w:sz w:val="24"/>
                <w:szCs w:val="24"/>
              </w:rPr>
              <w:t>P sorption capacity (mg kg</w:t>
            </w:r>
            <w:r w:rsidRPr="00AA6F1F">
              <w:rPr>
                <w:rFonts w:ascii="Times New Roman" w:eastAsia="Calibri" w:hAnsi="Times New Roman" w:cs="Times New Roman"/>
                <w:sz w:val="24"/>
                <w:szCs w:val="24"/>
                <w:vertAlign w:val="superscript"/>
              </w:rPr>
              <w:t>-1</w:t>
            </w:r>
            <w:r w:rsidRPr="00AA6F1F">
              <w:rPr>
                <w:rFonts w:ascii="Times New Roman" w:eastAsia="Calibri" w:hAnsi="Times New Roman" w:cs="Times New Roman"/>
                <w:sz w:val="24"/>
                <w:szCs w:val="24"/>
              </w:rPr>
              <w:t>)</w:t>
            </w:r>
          </w:p>
        </w:tc>
        <w:tc>
          <w:tcPr>
            <w:tcW w:w="0" w:type="auto"/>
            <w:tcBorders>
              <w:bottom w:val="single" w:sz="4" w:space="0" w:color="auto"/>
            </w:tcBorders>
            <w:vAlign w:val="center"/>
          </w:tcPr>
          <w:p w:rsidR="00AA6F1F" w:rsidRPr="00AA6F1F" w:rsidRDefault="00AA6F1F" w:rsidP="00AA6F1F">
            <w:pPr>
              <w:spacing w:line="480" w:lineRule="auto"/>
              <w:jc w:val="center"/>
              <w:rPr>
                <w:rFonts w:ascii="Times New Roman" w:eastAsia="Calibri" w:hAnsi="Times New Roman" w:cs="Times New Roman"/>
                <w:sz w:val="24"/>
                <w:szCs w:val="24"/>
              </w:rPr>
            </w:pPr>
            <w:r w:rsidRPr="00AA6F1F">
              <w:rPr>
                <w:rFonts w:ascii="Times New Roman" w:eastAsia="Calibri" w:hAnsi="Times New Roman" w:cs="Times New Roman"/>
                <w:sz w:val="24"/>
                <w:szCs w:val="24"/>
              </w:rPr>
              <w:t>150</w:t>
            </w:r>
          </w:p>
        </w:tc>
      </w:tr>
    </w:tbl>
    <w:p w:rsidR="00AA6F1F" w:rsidRPr="00A57EFF" w:rsidRDefault="00AA6F1F" w:rsidP="00A57EFF">
      <w:pPr>
        <w:keepNext/>
        <w:keepLines/>
        <w:spacing w:before="40" w:after="0" w:line="480" w:lineRule="auto"/>
        <w:jc w:val="both"/>
        <w:outlineLvl w:val="1"/>
        <w:rPr>
          <w:rFonts w:ascii="Times New Roman" w:hAnsi="Times New Roman"/>
          <w:color w:val="365F91"/>
          <w:sz w:val="26"/>
        </w:rPr>
      </w:pPr>
      <w:r w:rsidRPr="00A57EFF">
        <w:rPr>
          <w:rFonts w:ascii="Times New Roman" w:hAnsi="Times New Roman"/>
          <w:color w:val="365F91"/>
          <w:sz w:val="26"/>
        </w:rPr>
        <w:t>Microdialysis setup</w:t>
      </w:r>
    </w:p>
    <w:p w:rsidR="00AA6F1F" w:rsidRPr="00A57EFF" w:rsidRDefault="00AA6F1F" w:rsidP="00AA6F1F">
      <w:pPr>
        <w:spacing w:after="0" w:line="480" w:lineRule="auto"/>
        <w:jc w:val="both"/>
        <w:rPr>
          <w:rFonts w:ascii="Times New Roman" w:hAnsi="Times New Roman"/>
          <w:sz w:val="24"/>
        </w:rPr>
      </w:pPr>
      <w:r w:rsidRPr="00A57EFF">
        <w:rPr>
          <w:rFonts w:ascii="Times New Roman" w:hAnsi="Times New Roman"/>
          <w:sz w:val="24"/>
        </w:rPr>
        <w:t xml:space="preserve">To characterise citrate P mobilisation using microdialysis, calibration of the microdialysis probes with P and citrate was required. </w:t>
      </w:r>
      <w:r w:rsidRPr="00AA6F1F">
        <w:rPr>
          <w:rFonts w:ascii="Times New Roman" w:eastAsia="Calibri" w:hAnsi="Times New Roman" w:cs="Times New Roman"/>
          <w:sz w:val="24"/>
        </w:rPr>
        <w:t xml:space="preserve">A description of microdialysis theory and nomenclature can be found in the Supplementary Material. </w:t>
      </w:r>
      <w:r w:rsidRPr="00A57EFF">
        <w:rPr>
          <w:rFonts w:ascii="Times New Roman" w:hAnsi="Times New Roman"/>
          <w:sz w:val="24"/>
        </w:rPr>
        <w:t>Two calibration experiments were designed to estimate the microdialysis probes efflux of citrate from the perfusate into the soil and the microdialysis probes influx of P into the probe at varying concentrations of citrate in the perfusate.</w:t>
      </w:r>
    </w:p>
    <w:p w:rsidR="00AA6F1F" w:rsidRPr="00A57EFF" w:rsidRDefault="00AA6F1F" w:rsidP="00AA6F1F">
      <w:pPr>
        <w:spacing w:after="0" w:line="480" w:lineRule="auto"/>
        <w:ind w:firstLine="720"/>
        <w:jc w:val="both"/>
        <w:rPr>
          <w:rFonts w:ascii="Times New Roman" w:hAnsi="Times New Roman"/>
          <w:sz w:val="24"/>
        </w:rPr>
      </w:pPr>
      <w:r w:rsidRPr="00A57EFF">
        <w:rPr>
          <w:rFonts w:ascii="Times New Roman" w:hAnsi="Times New Roman"/>
          <w:sz w:val="24"/>
        </w:rPr>
        <w:t xml:space="preserve">For all experiments described here, a WM-205u peristaltic pump (Watson-Marlow Ltd., Falmouth, UK) was used to </w:t>
      </w:r>
      <w:r w:rsidRPr="00AA6F1F">
        <w:rPr>
          <w:rFonts w:ascii="Times New Roman" w:eastAsia="Calibri" w:hAnsi="Times New Roman" w:cs="Times New Roman"/>
          <w:sz w:val="24"/>
          <w:szCs w:val="24"/>
        </w:rPr>
        <w:t xml:space="preserve">pump </w:t>
      </w:r>
      <w:r w:rsidRPr="00A57EFF">
        <w:rPr>
          <w:rFonts w:ascii="Times New Roman" w:hAnsi="Times New Roman"/>
          <w:sz w:val="24"/>
        </w:rPr>
        <w:t>citrate solutions through CMA 20 microdialysis probes (CMA Microdialysis AB, Kista, Sweeden). The probes had a 20 kDa molecular weight cut-off and polyethersulfone membrane (4 mm long, 500 μm external diameter). The pump flow rate was set to 3.3 µl min</w:t>
      </w:r>
      <w:r w:rsidRPr="00A57EFF">
        <w:rPr>
          <w:rFonts w:ascii="Times New Roman" w:hAnsi="Times New Roman"/>
          <w:sz w:val="24"/>
          <w:vertAlign w:val="superscript"/>
        </w:rPr>
        <w:t>-1</w:t>
      </w:r>
      <w:r w:rsidRPr="00A57EFF">
        <w:rPr>
          <w:rFonts w:ascii="Times New Roman" w:hAnsi="Times New Roman"/>
          <w:sz w:val="24"/>
        </w:rPr>
        <w:t xml:space="preserve"> to maximise the </w:t>
      </w:r>
      <w:r w:rsidRPr="00AA6F1F">
        <w:rPr>
          <w:rFonts w:ascii="Times New Roman" w:eastAsia="Calibri" w:hAnsi="Times New Roman" w:cs="Times New Roman"/>
          <w:sz w:val="24"/>
          <w:szCs w:val="24"/>
        </w:rPr>
        <w:t xml:space="preserve">relative </w:t>
      </w:r>
      <w:r w:rsidRPr="00A57EFF">
        <w:rPr>
          <w:rFonts w:ascii="Times New Roman" w:hAnsi="Times New Roman"/>
          <w:sz w:val="24"/>
        </w:rPr>
        <w:t>recovery of solutes from the soil (Inselsbacher et al. 2011). Dialysates were</w:t>
      </w:r>
      <w:r w:rsidRPr="00AA6F1F">
        <w:rPr>
          <w:rFonts w:ascii="Times New Roman" w:eastAsia="Calibri" w:hAnsi="Times New Roman" w:cs="Times New Roman"/>
          <w:sz w:val="24"/>
          <w:szCs w:val="24"/>
        </w:rPr>
        <w:t xml:space="preserve"> continuously</w:t>
      </w:r>
      <w:r w:rsidRPr="00A57EFF">
        <w:rPr>
          <w:rFonts w:ascii="Times New Roman" w:hAnsi="Times New Roman"/>
          <w:sz w:val="24"/>
        </w:rPr>
        <w:t xml:space="preserve"> collected in 1.5 ml microfuge tubes or 5 ml polypropylene vials, which were covered with Parafilm-M (Bemis Inc., Neenah, WI) to prevent evaporative losses. Prior to use, the microdialysis probes were placed in high purity water (18 MΩ resistance) and flushed with perfusate to remove any contaminants. Prior to dialysate collection, the microdialysis probes were run for approximately 10 min, to ensure the dead volume in the microdialysis probe had been flushed. Throughout the microdialysis experiments the soil moisture was maintained at 80% field capacity.</w:t>
      </w:r>
    </w:p>
    <w:p w:rsidR="00AA6F1F" w:rsidRPr="00A57EFF" w:rsidRDefault="00AA6F1F" w:rsidP="00AA6F1F">
      <w:pPr>
        <w:spacing w:after="0" w:line="480" w:lineRule="auto"/>
        <w:ind w:firstLine="720"/>
        <w:jc w:val="both"/>
        <w:rPr>
          <w:rFonts w:ascii="Times New Roman" w:hAnsi="Times New Roman"/>
          <w:sz w:val="24"/>
        </w:rPr>
      </w:pPr>
    </w:p>
    <w:p w:rsidR="00AA6F1F" w:rsidRPr="00A57EFF" w:rsidRDefault="00AA6F1F" w:rsidP="00A57EFF">
      <w:pPr>
        <w:keepNext/>
        <w:keepLines/>
        <w:spacing w:after="0" w:line="480" w:lineRule="auto"/>
        <w:outlineLvl w:val="2"/>
        <w:rPr>
          <w:rFonts w:ascii="Times New Roman" w:hAnsi="Times New Roman"/>
          <w:i/>
          <w:color w:val="243F60"/>
          <w:sz w:val="24"/>
        </w:rPr>
      </w:pPr>
      <w:r w:rsidRPr="00A57EFF">
        <w:rPr>
          <w:rFonts w:ascii="Times New Roman" w:hAnsi="Times New Roman"/>
          <w:color w:val="243F60"/>
          <w:sz w:val="24"/>
        </w:rPr>
        <w:t xml:space="preserve">Quantifying citrate efflux rate into the soil using microdialysis probes </w:t>
      </w:r>
    </w:p>
    <w:p w:rsidR="00AA6F1F" w:rsidRPr="00AA6F1F" w:rsidRDefault="00AA6F1F" w:rsidP="00AA6F1F">
      <w:pPr>
        <w:spacing w:after="0" w:line="480" w:lineRule="auto"/>
        <w:jc w:val="both"/>
        <w:rPr>
          <w:rFonts w:ascii="Times New Roman" w:eastAsia="Calibri" w:hAnsi="Times New Roman" w:cs="Times New Roman"/>
          <w:sz w:val="24"/>
          <w:szCs w:val="24"/>
        </w:rPr>
      </w:pPr>
      <w:r w:rsidRPr="00A57EFF">
        <w:rPr>
          <w:rFonts w:ascii="Times New Roman" w:hAnsi="Times New Roman"/>
          <w:sz w:val="24"/>
        </w:rPr>
        <w:t>Sieved field-moist soil (1.3 g; 1 g DW equivalent) was placed in a 1.5 ml microfuge tube and packed to a density of 1 g cm</w:t>
      </w:r>
      <w:r w:rsidRPr="00A57EFF">
        <w:rPr>
          <w:rFonts w:ascii="Times New Roman" w:hAnsi="Times New Roman"/>
          <w:sz w:val="24"/>
          <w:vertAlign w:val="superscript"/>
        </w:rPr>
        <w:t>-3</w:t>
      </w:r>
      <w:r w:rsidRPr="00A57EFF">
        <w:rPr>
          <w:rFonts w:ascii="Times New Roman" w:hAnsi="Times New Roman"/>
          <w:sz w:val="24"/>
        </w:rPr>
        <w:t xml:space="preserve">. A microdialysis probe was inserted into the soil using the needle and introducer supplied by the manufacturer so that the top of the probe membrane was located 5 mm below the soil surface. Sterile solutions of </w:t>
      </w:r>
      <w:r w:rsidRPr="00A57EFF">
        <w:rPr>
          <w:rFonts w:ascii="Times New Roman" w:hAnsi="Times New Roman"/>
          <w:sz w:val="24"/>
          <w:vertAlign w:val="superscript"/>
        </w:rPr>
        <w:t>14</w:t>
      </w:r>
      <w:r w:rsidRPr="00A57EFF">
        <w:rPr>
          <w:rFonts w:ascii="Times New Roman" w:hAnsi="Times New Roman"/>
          <w:sz w:val="24"/>
        </w:rPr>
        <w:t>C-labelled citrate at concentrations 0.1, 1 and 10 mM; 1.7 kBq ml</w:t>
      </w:r>
      <w:r w:rsidRPr="00A57EFF">
        <w:rPr>
          <w:rFonts w:ascii="Times New Roman" w:hAnsi="Times New Roman"/>
          <w:sz w:val="24"/>
          <w:vertAlign w:val="superscript"/>
        </w:rPr>
        <w:t>-1</w:t>
      </w:r>
      <w:r w:rsidRPr="00AA6F1F">
        <w:rPr>
          <w:rFonts w:ascii="Times New Roman" w:eastAsia="Calibri" w:hAnsi="Times New Roman" w:cs="Times New Roman"/>
          <w:sz w:val="24"/>
          <w:szCs w:val="24"/>
        </w:rPr>
        <w:t xml:space="preserve"> (with pH 5.6, 4.6 and 3.6 respectively</w:t>
      </w:r>
      <w:r w:rsidRPr="00A57EFF">
        <w:rPr>
          <w:rFonts w:ascii="Times New Roman" w:hAnsi="Times New Roman"/>
          <w:sz w:val="24"/>
        </w:rPr>
        <w:t xml:space="preserve">) were </w:t>
      </w:r>
      <w:r w:rsidRPr="00AA6F1F">
        <w:rPr>
          <w:rFonts w:ascii="Times New Roman" w:eastAsia="Calibri" w:hAnsi="Times New Roman" w:cs="Times New Roman"/>
          <w:sz w:val="24"/>
          <w:szCs w:val="24"/>
        </w:rPr>
        <w:t>pumped</w:t>
      </w:r>
      <w:r w:rsidRPr="00A57EFF">
        <w:rPr>
          <w:rFonts w:ascii="Times New Roman" w:hAnsi="Times New Roman"/>
          <w:sz w:val="24"/>
        </w:rPr>
        <w:t xml:space="preserve"> through the microdialysis probes and the dialysate collected after 1, 2, 3, 4, 5, 6, 8 and 12 h in 5 ml polypropylene vials (</w:t>
      </w:r>
      <w:r w:rsidRPr="00A57EFF">
        <w:rPr>
          <w:rFonts w:ascii="Times New Roman" w:hAnsi="Times New Roman"/>
          <w:i/>
          <w:sz w:val="24"/>
        </w:rPr>
        <w:t>n</w:t>
      </w:r>
      <w:r w:rsidRPr="00A57EFF">
        <w:rPr>
          <w:rFonts w:ascii="Times New Roman" w:hAnsi="Times New Roman"/>
          <w:sz w:val="24"/>
        </w:rPr>
        <w:t xml:space="preserve"> &gt; 3). The amount of </w:t>
      </w:r>
      <w:r w:rsidRPr="00A57EFF">
        <w:rPr>
          <w:rFonts w:ascii="Times New Roman" w:hAnsi="Times New Roman"/>
          <w:sz w:val="24"/>
          <w:vertAlign w:val="superscript"/>
        </w:rPr>
        <w:t>14</w:t>
      </w:r>
      <w:r w:rsidRPr="00A57EFF">
        <w:rPr>
          <w:rFonts w:ascii="Times New Roman" w:hAnsi="Times New Roman"/>
          <w:sz w:val="24"/>
        </w:rPr>
        <w:t>C-citrate remaining in the dialysate (</w:t>
      </w:r>
      <w:r w:rsidRPr="00A57EFF">
        <w:rPr>
          <w:rFonts w:ascii="Times New Roman" w:hAnsi="Times New Roman"/>
          <w:i/>
          <w:sz w:val="24"/>
        </w:rPr>
        <w:t>i.e.</w:t>
      </w:r>
      <w:r w:rsidRPr="00A57EFF">
        <w:rPr>
          <w:rFonts w:ascii="Times New Roman" w:hAnsi="Times New Roman"/>
          <w:sz w:val="24"/>
        </w:rPr>
        <w:t xml:space="preserve"> not passed into the soil) was determined using a Wallac 1404 liquid scintillation counter (PerkinElmer Inc., Waltham, MA) following the addition of 4 ml of HiSafe-3 scintillant (PerkinElmer Inc.). The amount of </w:t>
      </w:r>
      <w:r w:rsidRPr="00A57EFF">
        <w:rPr>
          <w:rFonts w:ascii="Times New Roman" w:hAnsi="Times New Roman"/>
          <w:sz w:val="24"/>
          <w:vertAlign w:val="superscript"/>
        </w:rPr>
        <w:t>14</w:t>
      </w:r>
      <w:r w:rsidRPr="00A57EFF">
        <w:rPr>
          <w:rFonts w:ascii="Times New Roman" w:hAnsi="Times New Roman"/>
          <w:sz w:val="24"/>
        </w:rPr>
        <w:t xml:space="preserve">C-citrate lost to the soil was calculated as the difference between the amount of </w:t>
      </w:r>
      <w:r w:rsidRPr="00A57EFF">
        <w:rPr>
          <w:rFonts w:ascii="Times New Roman" w:hAnsi="Times New Roman"/>
          <w:sz w:val="24"/>
          <w:vertAlign w:val="superscript"/>
        </w:rPr>
        <w:t>14</w:t>
      </w:r>
      <w:r w:rsidRPr="00A57EFF">
        <w:rPr>
          <w:rFonts w:ascii="Times New Roman" w:hAnsi="Times New Roman"/>
          <w:sz w:val="24"/>
        </w:rPr>
        <w:t xml:space="preserve">C in the influent versus that in the effluent (dialysate). The volume of dialysate recovered was also recorded to confirm that there was no </w:t>
      </w:r>
      <w:r w:rsidR="008A11A1">
        <w:rPr>
          <w:rFonts w:ascii="Times New Roman" w:eastAsia="Calibri" w:hAnsi="Times New Roman" w:cs="Times New Roman"/>
          <w:sz w:val="24"/>
          <w:szCs w:val="24"/>
        </w:rPr>
        <w:t>significant</w:t>
      </w:r>
      <w:r w:rsidRPr="00A57EFF">
        <w:rPr>
          <w:rFonts w:ascii="Times New Roman" w:hAnsi="Times New Roman"/>
          <w:sz w:val="24"/>
        </w:rPr>
        <w:t xml:space="preserve"> mass flow of water either into or out of the probes.</w:t>
      </w:r>
    </w:p>
    <w:p w:rsidR="00AA6F1F" w:rsidRPr="00A57EFF" w:rsidRDefault="00AA6F1F" w:rsidP="00AA6F1F">
      <w:pPr>
        <w:spacing w:after="0" w:line="480" w:lineRule="auto"/>
        <w:jc w:val="both"/>
        <w:rPr>
          <w:rFonts w:ascii="Times New Roman" w:hAnsi="Times New Roman"/>
          <w:sz w:val="24"/>
        </w:rPr>
      </w:pPr>
    </w:p>
    <w:p w:rsidR="00AA6F1F" w:rsidRPr="00A57EFF" w:rsidRDefault="00AA6F1F" w:rsidP="00A57EFF">
      <w:pPr>
        <w:keepNext/>
        <w:keepLines/>
        <w:spacing w:after="0" w:line="480" w:lineRule="auto"/>
        <w:outlineLvl w:val="2"/>
        <w:rPr>
          <w:rFonts w:ascii="Times New Roman" w:hAnsi="Times New Roman"/>
          <w:color w:val="243F60"/>
          <w:sz w:val="24"/>
        </w:rPr>
      </w:pPr>
      <w:r w:rsidRPr="00A57EFF">
        <w:rPr>
          <w:rFonts w:ascii="Times New Roman" w:hAnsi="Times New Roman"/>
          <w:color w:val="243F60"/>
          <w:sz w:val="24"/>
        </w:rPr>
        <w:t xml:space="preserve">P recovery from standard solutions using microdialysis probes </w:t>
      </w:r>
    </w:p>
    <w:p w:rsidR="00AA6F1F" w:rsidRPr="00A57EFF" w:rsidRDefault="00AA6F1F" w:rsidP="00AA6F1F">
      <w:pPr>
        <w:spacing w:after="0" w:line="480" w:lineRule="auto"/>
        <w:jc w:val="both"/>
        <w:rPr>
          <w:rFonts w:ascii="Times New Roman" w:hAnsi="Times New Roman"/>
          <w:sz w:val="24"/>
        </w:rPr>
      </w:pPr>
      <w:r w:rsidRPr="00A57EFF">
        <w:rPr>
          <w:rFonts w:ascii="Times New Roman" w:hAnsi="Times New Roman"/>
          <w:sz w:val="24"/>
        </w:rPr>
        <w:t xml:space="preserve">To calibrate P recovery by the microdialysis probes and to evaluate the osmotic effects of the citrate perfusate, a simple experiment was performed. Briefly, microdialysis probes were placed in 1.5 ml microfuge tubes containing 1 ml of a </w:t>
      </w:r>
      <w:r w:rsidRPr="00A57EFF">
        <w:rPr>
          <w:rFonts w:ascii="Times New Roman" w:hAnsi="Times New Roman"/>
          <w:sz w:val="24"/>
          <w:vertAlign w:val="superscript"/>
        </w:rPr>
        <w:t>33</w:t>
      </w:r>
      <w:r w:rsidRPr="00A57EFF">
        <w:rPr>
          <w:rFonts w:ascii="Times New Roman" w:hAnsi="Times New Roman"/>
          <w:sz w:val="24"/>
        </w:rPr>
        <w:t>P-labelled KH</w:t>
      </w:r>
      <w:r w:rsidRPr="00A57EFF">
        <w:rPr>
          <w:rFonts w:ascii="Times New Roman" w:hAnsi="Times New Roman"/>
          <w:sz w:val="24"/>
          <w:vertAlign w:val="subscript"/>
        </w:rPr>
        <w:t>2</w:t>
      </w:r>
      <w:r w:rsidRPr="00A57EFF">
        <w:rPr>
          <w:rFonts w:ascii="Times New Roman" w:hAnsi="Times New Roman"/>
          <w:sz w:val="24"/>
        </w:rPr>
        <w:t>PO</w:t>
      </w:r>
      <w:r w:rsidRPr="00A57EFF">
        <w:rPr>
          <w:rFonts w:ascii="Times New Roman" w:hAnsi="Times New Roman"/>
          <w:sz w:val="24"/>
          <w:vertAlign w:val="subscript"/>
        </w:rPr>
        <w:t>4</w:t>
      </w:r>
      <w:r w:rsidRPr="00A57EFF">
        <w:rPr>
          <w:rFonts w:ascii="Times New Roman" w:hAnsi="Times New Roman"/>
          <w:sz w:val="24"/>
        </w:rPr>
        <w:t xml:space="preserve"> standard solution (0, 0.1, 1 or 10 mM, </w:t>
      </w:r>
      <w:r w:rsidRPr="00A57EFF">
        <w:rPr>
          <w:rFonts w:ascii="Times New Roman" w:hAnsi="Times New Roman"/>
          <w:i/>
          <w:sz w:val="24"/>
        </w:rPr>
        <w:t xml:space="preserve">n </w:t>
      </w:r>
      <w:r w:rsidRPr="00A57EFF">
        <w:rPr>
          <w:rFonts w:ascii="Times New Roman" w:hAnsi="Times New Roman"/>
          <w:sz w:val="24"/>
        </w:rPr>
        <w:t>= 4; 1.7 kBq ml</w:t>
      </w:r>
      <w:r w:rsidRPr="00A57EFF">
        <w:rPr>
          <w:rFonts w:ascii="Times New Roman" w:hAnsi="Times New Roman"/>
          <w:sz w:val="24"/>
          <w:vertAlign w:val="superscript"/>
        </w:rPr>
        <w:t>-1</w:t>
      </w:r>
      <w:r w:rsidRPr="00A57EFF">
        <w:rPr>
          <w:rFonts w:ascii="Times New Roman" w:hAnsi="Times New Roman"/>
          <w:sz w:val="24"/>
        </w:rPr>
        <w:t xml:space="preserve">). The microdialysis probes were perfused with </w:t>
      </w:r>
      <w:r w:rsidRPr="00AA6F1F">
        <w:rPr>
          <w:rFonts w:ascii="Times New Roman" w:eastAsia="Calibri" w:hAnsi="Times New Roman" w:cs="Times New Roman"/>
          <w:sz w:val="24"/>
          <w:szCs w:val="24"/>
        </w:rPr>
        <w:t xml:space="preserve">solutions of </w:t>
      </w:r>
      <w:r w:rsidRPr="00A57EFF">
        <w:rPr>
          <w:rFonts w:ascii="Times New Roman" w:hAnsi="Times New Roman"/>
          <w:sz w:val="24"/>
        </w:rPr>
        <w:t xml:space="preserve">citrate </w:t>
      </w:r>
      <w:r w:rsidRPr="00AA6F1F">
        <w:rPr>
          <w:rFonts w:ascii="Times New Roman" w:eastAsia="Calibri" w:hAnsi="Times New Roman" w:cs="Times New Roman"/>
          <w:sz w:val="24"/>
          <w:szCs w:val="24"/>
        </w:rPr>
        <w:t>at</w:t>
      </w:r>
      <w:r w:rsidRPr="00A57EFF">
        <w:rPr>
          <w:rFonts w:ascii="Times New Roman" w:hAnsi="Times New Roman"/>
          <w:sz w:val="24"/>
        </w:rPr>
        <w:t xml:space="preserve"> concentrations </w:t>
      </w:r>
      <w:r w:rsidRPr="00AA6F1F">
        <w:rPr>
          <w:rFonts w:ascii="Times New Roman" w:eastAsia="Calibri" w:hAnsi="Times New Roman" w:cs="Times New Roman"/>
          <w:sz w:val="24"/>
          <w:szCs w:val="24"/>
        </w:rPr>
        <w:t xml:space="preserve">of </w:t>
      </w:r>
      <w:r w:rsidRPr="00A57EFF">
        <w:rPr>
          <w:rFonts w:ascii="Times New Roman" w:hAnsi="Times New Roman"/>
          <w:sz w:val="24"/>
        </w:rPr>
        <w:t>0, 0.1, 1 and 10 mM and the dialysate collected in 5 ml polypr</w:t>
      </w:r>
      <w:r w:rsidR="008A11A1" w:rsidRPr="00A57EFF">
        <w:rPr>
          <w:rFonts w:ascii="Times New Roman" w:hAnsi="Times New Roman"/>
          <w:sz w:val="24"/>
        </w:rPr>
        <w:t>opylene vials over a 1 h period</w:t>
      </w:r>
      <w:r w:rsidR="008A11A1">
        <w:rPr>
          <w:rFonts w:ascii="Times New Roman" w:eastAsia="Calibri" w:hAnsi="Times New Roman" w:cs="Times New Roman"/>
          <w:sz w:val="24"/>
          <w:szCs w:val="24"/>
        </w:rPr>
        <w:t>, t</w:t>
      </w:r>
      <w:r w:rsidRPr="00AA6F1F">
        <w:rPr>
          <w:rFonts w:ascii="Times New Roman" w:eastAsia="Calibri" w:hAnsi="Times New Roman" w:cs="Times New Roman"/>
          <w:sz w:val="24"/>
          <w:szCs w:val="24"/>
        </w:rPr>
        <w:t>he</w:t>
      </w:r>
      <w:r w:rsidRPr="00A57EFF">
        <w:rPr>
          <w:rFonts w:ascii="Times New Roman" w:hAnsi="Times New Roman"/>
          <w:sz w:val="24"/>
        </w:rPr>
        <w:t xml:space="preserve"> amount of </w:t>
      </w:r>
      <w:r w:rsidRPr="00A57EFF">
        <w:rPr>
          <w:rFonts w:ascii="Times New Roman" w:hAnsi="Times New Roman"/>
          <w:sz w:val="24"/>
          <w:vertAlign w:val="superscript"/>
        </w:rPr>
        <w:t>33</w:t>
      </w:r>
      <w:r w:rsidRPr="00A57EFF">
        <w:rPr>
          <w:rFonts w:ascii="Times New Roman" w:hAnsi="Times New Roman"/>
          <w:sz w:val="24"/>
        </w:rPr>
        <w:t xml:space="preserve">P in the dialysate and the volume of dialysate was determined as described above. </w:t>
      </w:r>
    </w:p>
    <w:p w:rsidR="00AA6F1F" w:rsidRPr="00A57EFF" w:rsidRDefault="00AA6F1F" w:rsidP="00AA6F1F">
      <w:pPr>
        <w:spacing w:after="0" w:line="480" w:lineRule="auto"/>
        <w:jc w:val="both"/>
        <w:rPr>
          <w:rFonts w:ascii="Times New Roman" w:hAnsi="Times New Roman"/>
          <w:sz w:val="24"/>
        </w:rPr>
      </w:pPr>
    </w:p>
    <w:p w:rsidR="00AA6F1F" w:rsidRPr="00A57EFF" w:rsidRDefault="00AA6F1F" w:rsidP="00A57EFF">
      <w:pPr>
        <w:keepNext/>
        <w:keepLines/>
        <w:spacing w:after="0" w:line="480" w:lineRule="auto"/>
        <w:outlineLvl w:val="2"/>
        <w:rPr>
          <w:rFonts w:ascii="Times New Roman" w:hAnsi="Times New Roman"/>
          <w:color w:val="243F60"/>
          <w:sz w:val="24"/>
        </w:rPr>
      </w:pPr>
      <w:r w:rsidRPr="00A57EFF">
        <w:rPr>
          <w:rFonts w:ascii="Times New Roman" w:hAnsi="Times New Roman"/>
          <w:color w:val="243F60"/>
          <w:sz w:val="24"/>
        </w:rPr>
        <w:t>P recovery from soil using microdialysis probes</w:t>
      </w:r>
    </w:p>
    <w:p w:rsidR="00AA6F1F" w:rsidRPr="00A57EFF" w:rsidRDefault="00AA6F1F" w:rsidP="00AA6F1F">
      <w:pPr>
        <w:spacing w:after="0" w:line="480" w:lineRule="auto"/>
        <w:jc w:val="both"/>
        <w:rPr>
          <w:rFonts w:ascii="Times New Roman" w:hAnsi="Times New Roman"/>
          <w:sz w:val="24"/>
        </w:rPr>
      </w:pPr>
      <w:r w:rsidRPr="00A57EFF">
        <w:rPr>
          <w:rFonts w:ascii="Times New Roman" w:hAnsi="Times New Roman"/>
          <w:sz w:val="24"/>
        </w:rPr>
        <w:t>Soil (1.3 g) was placed in individual microfuge tubes (</w:t>
      </w:r>
      <w:r w:rsidRPr="00A57EFF">
        <w:rPr>
          <w:rFonts w:ascii="Times New Roman" w:hAnsi="Times New Roman"/>
          <w:i/>
          <w:sz w:val="24"/>
        </w:rPr>
        <w:t>n</w:t>
      </w:r>
      <w:r w:rsidRPr="00A57EFF">
        <w:rPr>
          <w:rFonts w:ascii="Times New Roman" w:hAnsi="Times New Roman"/>
          <w:sz w:val="24"/>
        </w:rPr>
        <w:t xml:space="preserve"> = 4). Subsequently, 100 µl of a </w:t>
      </w:r>
      <w:r w:rsidRPr="00A57EFF">
        <w:rPr>
          <w:rFonts w:ascii="Times New Roman" w:hAnsi="Times New Roman"/>
          <w:sz w:val="24"/>
          <w:vertAlign w:val="superscript"/>
        </w:rPr>
        <w:t>33</w:t>
      </w:r>
      <w:r w:rsidRPr="00A57EFF">
        <w:rPr>
          <w:rFonts w:ascii="Times New Roman" w:hAnsi="Times New Roman"/>
          <w:sz w:val="24"/>
        </w:rPr>
        <w:t>P-labelled solution (1 mM KH</w:t>
      </w:r>
      <w:r w:rsidRPr="00A57EFF">
        <w:rPr>
          <w:rFonts w:ascii="Times New Roman" w:hAnsi="Times New Roman"/>
          <w:sz w:val="24"/>
          <w:vertAlign w:val="subscript"/>
        </w:rPr>
        <w:t>2</w:t>
      </w:r>
      <w:r w:rsidRPr="00A57EFF">
        <w:rPr>
          <w:rFonts w:ascii="Times New Roman" w:hAnsi="Times New Roman"/>
          <w:sz w:val="24"/>
        </w:rPr>
        <w:t>PO</w:t>
      </w:r>
      <w:r w:rsidRPr="00A57EFF">
        <w:rPr>
          <w:rFonts w:ascii="Times New Roman" w:hAnsi="Times New Roman"/>
          <w:sz w:val="24"/>
          <w:vertAlign w:val="subscript"/>
        </w:rPr>
        <w:t>4</w:t>
      </w:r>
      <w:r w:rsidRPr="00A57EFF">
        <w:rPr>
          <w:rFonts w:ascii="Times New Roman" w:hAnsi="Times New Roman"/>
          <w:sz w:val="24"/>
        </w:rPr>
        <w:t>; 370 kBq ml</w:t>
      </w:r>
      <w:r w:rsidRPr="00A57EFF">
        <w:rPr>
          <w:rFonts w:ascii="Times New Roman" w:hAnsi="Times New Roman"/>
          <w:sz w:val="24"/>
          <w:vertAlign w:val="superscript"/>
        </w:rPr>
        <w:t>-1</w:t>
      </w:r>
      <w:r w:rsidRPr="00A57EFF">
        <w:rPr>
          <w:rFonts w:ascii="Times New Roman" w:hAnsi="Times New Roman"/>
          <w:sz w:val="24"/>
        </w:rPr>
        <w:t xml:space="preserve">) was injected into the soil. The soil was mixed and left to stand at 20°C for 24 h to </w:t>
      </w:r>
      <w:r w:rsidRPr="00AA6F1F">
        <w:rPr>
          <w:rFonts w:ascii="Times New Roman" w:eastAsia="SimSun" w:hAnsi="Times New Roman" w:cs="Times New Roman"/>
          <w:sz w:val="24"/>
          <w:szCs w:val="24"/>
        </w:rPr>
        <w:t>approach equilibrium.</w:t>
      </w:r>
      <w:r w:rsidRPr="00A57EFF">
        <w:rPr>
          <w:rFonts w:ascii="Times New Roman" w:hAnsi="Times New Roman"/>
          <w:sz w:val="24"/>
        </w:rPr>
        <w:t xml:space="preserve"> A microdialysis probe was inserted into the soil as described above. Solutions of citrate (0, 0.1, 1 or 10 mM) were perfused through the microdialysis probe and the dialysate collected hourly over a 12 h period. The amount of </w:t>
      </w:r>
      <w:r w:rsidRPr="00A57EFF">
        <w:rPr>
          <w:rFonts w:ascii="Times New Roman" w:hAnsi="Times New Roman"/>
          <w:sz w:val="24"/>
          <w:vertAlign w:val="superscript"/>
        </w:rPr>
        <w:t>33</w:t>
      </w:r>
      <w:r w:rsidRPr="00A57EFF">
        <w:rPr>
          <w:rFonts w:ascii="Times New Roman" w:hAnsi="Times New Roman"/>
          <w:sz w:val="24"/>
        </w:rPr>
        <w:t xml:space="preserve">P in the dialysate was determined using liquid scintillation counting as described earlier. </w:t>
      </w:r>
    </w:p>
    <w:p w:rsidR="00AA6F1F" w:rsidRPr="00A57EFF" w:rsidRDefault="00AA6F1F" w:rsidP="00AA6F1F">
      <w:pPr>
        <w:spacing w:after="0" w:line="480" w:lineRule="auto"/>
        <w:jc w:val="both"/>
        <w:rPr>
          <w:rFonts w:ascii="Times New Roman" w:hAnsi="Times New Roman"/>
          <w:sz w:val="24"/>
        </w:rPr>
      </w:pPr>
      <w:r w:rsidRPr="00A57EFF">
        <w:rPr>
          <w:rFonts w:ascii="Times New Roman" w:hAnsi="Times New Roman"/>
          <w:sz w:val="24"/>
        </w:rPr>
        <w:t xml:space="preserve"> </w:t>
      </w:r>
    </w:p>
    <w:p w:rsidR="00AA6F1F" w:rsidRPr="00A57EFF" w:rsidRDefault="00AA6F1F" w:rsidP="00A57EFF">
      <w:pPr>
        <w:keepNext/>
        <w:keepLines/>
        <w:spacing w:after="0" w:line="480" w:lineRule="auto"/>
        <w:outlineLvl w:val="1"/>
        <w:rPr>
          <w:rFonts w:ascii="Times New Roman" w:hAnsi="Times New Roman"/>
          <w:color w:val="365F91"/>
          <w:sz w:val="26"/>
        </w:rPr>
      </w:pPr>
      <w:r w:rsidRPr="00A57EFF">
        <w:rPr>
          <w:rFonts w:ascii="Times New Roman" w:hAnsi="Times New Roman"/>
          <w:color w:val="365F91"/>
          <w:sz w:val="26"/>
        </w:rPr>
        <w:t>Modelling and Data Fitting</w:t>
      </w:r>
    </w:p>
    <w:p w:rsidR="00AA6F1F" w:rsidRPr="00A57EFF" w:rsidRDefault="00AA6F1F" w:rsidP="00A57EFF">
      <w:pPr>
        <w:keepNext/>
        <w:keepLines/>
        <w:spacing w:after="0" w:line="480" w:lineRule="auto"/>
        <w:outlineLvl w:val="2"/>
        <w:rPr>
          <w:rFonts w:ascii="Times New Roman" w:hAnsi="Times New Roman"/>
          <w:color w:val="243F60"/>
          <w:sz w:val="24"/>
        </w:rPr>
      </w:pPr>
      <w:r w:rsidRPr="00A57EFF">
        <w:rPr>
          <w:rFonts w:ascii="Times New Roman" w:hAnsi="Times New Roman"/>
          <w:color w:val="243F60"/>
          <w:sz w:val="24"/>
        </w:rPr>
        <w:t>Mathematical Model</w:t>
      </w:r>
    </w:p>
    <w:p w:rsidR="00AA6F1F" w:rsidRPr="00A57EFF" w:rsidRDefault="00AA6F1F" w:rsidP="00AA6F1F">
      <w:pPr>
        <w:spacing w:after="0" w:line="480" w:lineRule="auto"/>
        <w:jc w:val="both"/>
        <w:rPr>
          <w:rFonts w:ascii="Times New Roman" w:hAnsi="Times New Roman"/>
          <w:sz w:val="24"/>
        </w:rPr>
      </w:pPr>
      <w:r w:rsidRPr="00A57EFF">
        <w:rPr>
          <w:rFonts w:ascii="Times New Roman" w:hAnsi="Times New Roman"/>
          <w:sz w:val="24"/>
        </w:rPr>
        <w:t xml:space="preserve">The measurements obtained by the experiments are the result of pore scale reactions between citrate, P, soil and the microdialysis probe. Understanding these mechanisms directly through experiments is difficult. Thus, a model was constructed to aid the interpretation of the results. </w:t>
      </w:r>
      <w:r w:rsidRPr="00AA6F1F">
        <w:rPr>
          <w:rFonts w:ascii="Times New Roman" w:eastAsia="Calibri" w:hAnsi="Times New Roman" w:cs="Times New Roman"/>
          <w:sz w:val="24"/>
          <w:szCs w:val="24"/>
        </w:rPr>
        <w:t xml:space="preserve">Linear approximations of the mechanisms were used to circumvent the danger of over-fitting the data by introducing excess parameters. In particular, the experiments do not measure P or citrate isotherms, thus we cannot accurately parameterise models including the full set of parameters. The adsorption/desorption part of the model is similar to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&lt;EndNote&gt;&lt;Cite&gt;&lt;Author&gt;Zygalakis&lt;/Author&gt;&lt;Year&gt;2012&lt;/Year&gt;&lt;RecNum&gt;16&lt;/RecNum&gt;&lt;DisplayText&gt;(Zygalakis and Roose 2012)&lt;/DisplayText&gt;&lt;record&gt;&lt;rec-number&gt;16&lt;/rec-number&gt;&lt;foreign-keys&gt;&lt;key app="EN" db-id="0sapex5pfwrt05ep5w3x2zd0tdt9050e5fax" timestamp="1454061516"&gt;16&lt;/key&gt;&lt;/foreign-keys&gt;&lt;ref-type name="Journal Article"&gt;17&lt;/ref-type&gt;&lt;contributors&gt;&lt;authors&gt;&lt;author&gt;Zygalakis, KC&lt;/author&gt;&lt;author&gt;Roose, T&lt;/author&gt;&lt;/authors&gt;&lt;/contributors&gt;&lt;titles&gt;&lt;title&gt;A mathematical model for investigating the effect of cluster roots on plant nutrient uptake&lt;/title&gt;&lt;secondary-title&gt;The European Physical Journal Special Topics&lt;/secondary-title&gt;&lt;/titles&gt;&lt;periodical&gt;&lt;full-title&gt;The European Physical Journal Special Topics&lt;/full-title&gt;&lt;/periodical&gt;&lt;pages&gt;103-118&lt;/pages&gt;&lt;volume&gt;204&lt;/volume&gt;&lt;number&gt;1&lt;/number&gt;&lt;dates&gt;&lt;year&gt;2012&lt;/year&gt;&lt;/dates&gt;&lt;isbn&gt;1951-6355&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noProof/>
          <w:sz w:val="24"/>
          <w:szCs w:val="24"/>
        </w:rPr>
        <w:t>(Zygalakis and Roose 2012)</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 xml:space="preserve"> with the soil reactions maintained in their dynamic form. </w:t>
      </w:r>
      <w:r w:rsidRPr="00A57EFF">
        <w:rPr>
          <w:rFonts w:ascii="Times New Roman" w:hAnsi="Times New Roman"/>
          <w:sz w:val="24"/>
        </w:rPr>
        <w:t xml:space="preserve">The model used was a kinetic model that describes the efflux of citrate into the soil and the absorption of P by the microdialysis probe. The model considers the diffusion and buffering of citrate and P, and </w:t>
      </w:r>
      <w:r w:rsidRPr="00AA6F1F">
        <w:rPr>
          <w:rFonts w:ascii="Times New Roman" w:eastAsia="Calibri" w:hAnsi="Times New Roman" w:cs="Times New Roman"/>
          <w:sz w:val="24"/>
          <w:szCs w:val="24"/>
        </w:rPr>
        <w:t>specific adsorption</w:t>
      </w:r>
      <w:r w:rsidRPr="00A57EFF">
        <w:rPr>
          <w:rFonts w:ascii="Times New Roman" w:hAnsi="Times New Roman"/>
          <w:sz w:val="24"/>
        </w:rPr>
        <w:t xml:space="preserve"> between P and citrate on soil sorption sites. It is hypothesised that citrate mobilises P held on the soil, but also influences P influx rate at the probe-soil interface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&lt;EndNote&gt;&lt;Cite&gt;&lt;Author&gt;Demand&lt;/Author&gt;&lt;Year&gt;2017&lt;/Year&gt;&lt;RecNum&gt;88&lt;/RecNum&gt;&lt;DisplayText&gt;(Demand et al. 2017)&lt;/DisplayText&gt;&lt;record&gt;&lt;rec-number&gt;88&lt;/rec-number&gt;&lt;foreign-keys&gt;&lt;key app="EN" db-id="0sapex5pfwrt05ep5w3x2zd0tdt9050e5fax" timestamp="1490205090"&gt;88&lt;/key&gt;&lt;/foreign-keys&gt;&lt;ref-type name="Journal Article"&gt;17&lt;/ref-type&gt;&lt;contributors&gt;&lt;authors&gt;&lt;author&gt;Demand, Dominic&lt;/author&gt;&lt;author&gt;Schack-Kirchner, Helmer&lt;/author&gt;&lt;author&gt;Lang, Friederike&lt;/author&gt;&lt;/authors&gt;&lt;/contributors&gt;&lt;titles&gt;&lt;title&gt;Assessment of diffusive phosphate supply in soils by microdialysis&lt;/title&gt;&lt;secondary-title&gt;Journal of Plant Nutrition and Soil Science&lt;/secondary-title&gt;&lt;/titles&gt;&lt;periodical&gt;&lt;full-title&gt;Journal of Plant Nutrition and Soil Science&lt;/full-title&gt;&lt;/periodical&gt;&lt;dates&gt;&lt;year&gt;2017&lt;/year&gt;&lt;/dates&gt;&lt;isbn&gt;1522-2624&lt;/isbn&gt;&lt;urls&gt;&lt;/urls&gt;&lt;/record&gt;&lt;/Cite&gt;&lt;/EndNote&gt;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(Demand et al. 2017)</w:t>
      </w:r>
      <w:r w:rsidRPr="00A57EFF">
        <w:rPr>
          <w:rFonts w:ascii="Times New Roman" w:hAnsi="Times New Roman"/>
          <w:sz w:val="24"/>
        </w:rPr>
        <w:fldChar w:fldCharType="end"/>
      </w:r>
      <w:r w:rsidRPr="00A57EFF">
        <w:rPr>
          <w:rFonts w:ascii="Times New Roman" w:hAnsi="Times New Roman"/>
          <w:sz w:val="24"/>
        </w:rPr>
        <w:t xml:space="preserve">. The effect of acidity is not directly considered in the model because the effect of pH cannot be uncoupled from </w:t>
      </w:r>
      <w:r w:rsidRPr="00AA6F1F">
        <w:rPr>
          <w:rFonts w:ascii="Times New Roman" w:eastAsia="Calibri" w:hAnsi="Times New Roman" w:cs="Times New Roman"/>
          <w:sz w:val="24"/>
          <w:szCs w:val="24"/>
        </w:rPr>
        <w:t>specific adsorption</w:t>
      </w:r>
      <w:r w:rsidRPr="00A57EFF">
        <w:rPr>
          <w:rFonts w:ascii="Times New Roman" w:hAnsi="Times New Roman"/>
          <w:sz w:val="24"/>
        </w:rPr>
        <w:t xml:space="preserve"> in the current experiment</w:t>
      </w:r>
      <w:r w:rsidR="009B3588">
        <w:rPr>
          <w:rFonts w:ascii="Times New Roman" w:hAnsi="Times New Roman"/>
          <w:sz w:val="24"/>
        </w:rPr>
        <w:t>s; instead, any additional P absorbed by the probe due acidity is attributed</w:t>
      </w:r>
      <w:r w:rsidRPr="00A57EFF">
        <w:rPr>
          <w:rFonts w:ascii="Times New Roman" w:hAnsi="Times New Roman"/>
          <w:sz w:val="24"/>
        </w:rPr>
        <w:t xml:space="preserve"> </w:t>
      </w:r>
      <w:r w:rsidR="009B3588">
        <w:rPr>
          <w:rFonts w:ascii="Times New Roman" w:hAnsi="Times New Roman"/>
          <w:sz w:val="24"/>
        </w:rPr>
        <w:t xml:space="preserve">to the </w:t>
      </w:r>
      <w:r w:rsidRPr="00AA6F1F">
        <w:rPr>
          <w:rFonts w:ascii="Times New Roman" w:eastAsia="Calibri" w:hAnsi="Times New Roman" w:cs="Times New Roman"/>
          <w:sz w:val="24"/>
          <w:szCs w:val="24"/>
        </w:rPr>
        <w:t>specific adsorption</w:t>
      </w:r>
      <w:r w:rsidRPr="00A57EFF">
        <w:rPr>
          <w:rFonts w:ascii="Times New Roman" w:hAnsi="Times New Roman"/>
          <w:sz w:val="24"/>
        </w:rPr>
        <w:t xml:space="preserve"> mechanism</w:t>
      </w:r>
      <w:r w:rsidR="008A11A1">
        <w:rPr>
          <w:rFonts w:ascii="Times New Roman" w:eastAsia="Calibri" w:hAnsi="Times New Roman" w:cs="Times New Roman"/>
          <w:sz w:val="24"/>
          <w:szCs w:val="24"/>
        </w:rPr>
        <w:t xml:space="preserve"> during the subsequent data fitting</w:t>
      </w:r>
      <w:r w:rsidRPr="00A57EFF">
        <w:rPr>
          <w:rFonts w:ascii="Times New Roman" w:hAnsi="Times New Roman"/>
          <w:sz w:val="24"/>
        </w:rPr>
        <w:t>.</w:t>
      </w:r>
      <w:r w:rsidR="008B2869">
        <w:rPr>
          <w:rFonts w:ascii="Times New Roman" w:hAnsi="Times New Roman"/>
          <w:sz w:val="24"/>
        </w:rPr>
        <w:t xml:space="preserve"> This is a simplification of the complex relationship between pH and citrate mobilisation of phosphate, for example, at high pHs citrate can complex with calcium in the soil, reducing its effectiveness</w:t>
      </w:r>
      <w:r w:rsidR="00F23371">
        <w:rPr>
          <w:rFonts w:ascii="Times New Roman" w:hAnsi="Times New Roman"/>
          <w:sz w:val="24"/>
        </w:rPr>
        <w:t xml:space="preserve"> </w:t>
      </w:r>
      <w:r w:rsidR="00F23371">
        <w:rPr>
          <w:rFonts w:ascii="Times New Roman" w:hAnsi="Times New Roman"/>
          <w:sz w:val="24"/>
        </w:rPr>
        <w:fldChar w:fldCharType="begin"/>
      </w:r>
      <w:r w:rsidR="00F23371">
        <w:rPr>
          <w:rFonts w:ascii="Times New Roman" w:hAnsi="Times New Roman"/>
          <w:sz w:val="24"/>
        </w:rPr>
        <w:instrText xml:space="preserve"> ADDIN EN.CITE &lt;EndNote&gt;&lt;Cite&gt;&lt;Author&gt;Barrow&lt;/Author&gt;&lt;Year&gt;2018&lt;/Year&gt;&lt;RecNum&gt;241&lt;/RecNum&gt;&lt;DisplayText&gt;(Barrow et al. 2018)&lt;/DisplayText&gt;&lt;record&gt;&lt;rec-number&gt;241&lt;/rec-number&gt;&lt;foreign-keys&gt;&lt;key app="EN" db-id="0sapex5pfwrt05ep5w3x2zd0tdt9050e5fax" timestamp="1573116738"&gt;241&lt;/key&gt;&lt;/foreign-keys&gt;&lt;ref-type name="Journal Article"&gt;17&lt;/ref-type&gt;&lt;contributors&gt;&lt;authors&gt;&lt;author&gt;Barrow, NJ&lt;/author&gt;&lt;author&gt;Debnath, Abhijit&lt;/author&gt;&lt;author&gt;Sen, Arup&lt;/author&gt;&lt;/authors&gt;&lt;/contributors&gt;&lt;titles&gt;&lt;title&gt;Mechanisms by which citric acid increases phosphate availability&lt;/title&gt;&lt;secondary-title&gt;Plant and soil&lt;/secondary-title&gt;&lt;/titles&gt;&lt;periodical&gt;&lt;full-title&gt;Plant and Soil&lt;/full-title&gt;&lt;/periodical&gt;&lt;pages&gt;193-204&lt;/pages&gt;&lt;volume&gt;423&lt;/volume&gt;&lt;number&gt;1-2&lt;/number&gt;&lt;dates&gt;&lt;year&gt;2018&lt;/year&gt;&lt;/dates&gt;&lt;isbn&gt;0032-079X&lt;/isbn&gt;&lt;urls&gt;&lt;/urls&gt;&lt;/record&gt;&lt;/Cite&gt;&lt;/EndNote&gt;</w:instrText>
      </w:r>
      <w:r w:rsidR="00F23371">
        <w:rPr>
          <w:rFonts w:ascii="Times New Roman" w:hAnsi="Times New Roman"/>
          <w:sz w:val="24"/>
        </w:rPr>
        <w:fldChar w:fldCharType="separate"/>
      </w:r>
      <w:r w:rsidR="00F23371">
        <w:rPr>
          <w:rFonts w:ascii="Times New Roman" w:hAnsi="Times New Roman"/>
          <w:noProof/>
          <w:sz w:val="24"/>
        </w:rPr>
        <w:t>(Barrow et al. 2018)</w:t>
      </w:r>
      <w:r w:rsidR="00F23371">
        <w:rPr>
          <w:rFonts w:ascii="Times New Roman" w:hAnsi="Times New Roman"/>
          <w:sz w:val="24"/>
        </w:rPr>
        <w:fldChar w:fldCharType="end"/>
      </w:r>
      <w:r w:rsidR="008B2869">
        <w:rPr>
          <w:rFonts w:ascii="Times New Roman" w:hAnsi="Times New Roman"/>
          <w:sz w:val="24"/>
        </w:rPr>
        <w:t>.</w:t>
      </w:r>
    </w:p>
    <w:p w:rsidR="00AA6F1F" w:rsidRPr="00A57EFF" w:rsidRDefault="00AA6F1F" w:rsidP="00AA6F1F">
      <w:pPr>
        <w:spacing w:after="0" w:line="480" w:lineRule="auto"/>
        <w:ind w:firstLine="720"/>
        <w:jc w:val="both"/>
        <w:rPr>
          <w:rFonts w:ascii="Times New Roman" w:hAnsi="Times New Roman"/>
          <w:sz w:val="24"/>
        </w:rPr>
      </w:pPr>
      <w:r w:rsidRPr="00A57EFF">
        <w:rPr>
          <w:rFonts w:ascii="Times New Roman" w:hAnsi="Times New Roman"/>
          <w:sz w:val="24"/>
        </w:rPr>
        <w:t xml:space="preserve">The domain considered is a cylindrical region of soil with a diameter of 10 mm and height of 19.1 mm, centred about the cylindrical microdialysis probe with a diameter of 0.5 mm and height of 4 mm. These dimensions are chosen to match the experimental set up. The soil domain is denoted </w:t>
      </w:r>
      <m:oMath>
        <m:r>
          <m:rPr>
            <m:sty m:val="p"/>
          </m:rPr>
          <w:rPr>
            <w:rFonts w:ascii="Cambria Math" w:hAnsi="Cambria Math"/>
            <w:sz w:val="24"/>
          </w:rPr>
          <m:t>Ω</m:t>
        </m:r>
        <m:r>
          <w:rPr>
            <w:rFonts w:ascii="Cambria Math" w:hAnsi="Cambria Math"/>
            <w:sz w:val="24"/>
          </w:rPr>
          <m:t>⊂</m:t>
        </m:r>
        <m:sSup>
          <m:sSupPr>
            <m:ctrlPr>
              <w:rPr>
                <w:rFonts w:ascii="Cambria Math" w:hAnsi="Cambria Math"/>
                <w:b/>
                <w:bCs/>
                <w:i/>
                <w:sz w:val="24"/>
              </w:rPr>
            </m:ctrlPr>
          </m:sSupPr>
          <m:e>
            <m:r>
              <m:rPr>
                <m:scr m:val="double-struck"/>
                <m:sty m:val="bi"/>
              </m:rPr>
              <w:rPr>
                <w:rFonts w:ascii="Cambria Math" w:hAnsi="Cambria Math"/>
                <w:sz w:val="24"/>
              </w:rPr>
              <m:t>R</m:t>
            </m:r>
            <m:ctrlPr>
              <w:rPr>
                <w:rFonts w:ascii="Cambria Math" w:hAnsi="Cambria Math"/>
                <w:i/>
                <w:sz w:val="24"/>
              </w:rPr>
            </m:ctrlPr>
          </m:e>
          <m:sup>
            <m:r>
              <w:rPr>
                <w:rFonts w:ascii="Cambria Math" w:hAnsi="Cambria Math"/>
                <w:sz w:val="24"/>
              </w:rPr>
              <m:t>3</m:t>
            </m:r>
          </m:sup>
        </m:sSup>
      </m:oMath>
      <w:r w:rsidRPr="00A57EFF">
        <w:rPr>
          <w:rFonts w:ascii="Times New Roman" w:hAnsi="Times New Roman"/>
          <w:sz w:val="24"/>
        </w:rPr>
        <w:t xml:space="preserve">, the microdialysis probe membrane is denoted </w:t>
      </w:r>
      <m:oMath>
        <m:sSub>
          <m:sSubPr>
            <m:ctrlPr>
              <w:rPr>
                <w:rFonts w:ascii="Cambria Math" w:hAnsi="Cambria Math"/>
                <w:i/>
                <w:sz w:val="24"/>
              </w:rPr>
            </m:ctrlPr>
          </m:sSubPr>
          <m:e>
            <m:r>
              <m:rPr>
                <m:sty m:val="p"/>
              </m:rPr>
              <w:rPr>
                <w:rFonts w:ascii="Cambria Math" w:hAnsi="Cambria Math"/>
                <w:sz w:val="24"/>
              </w:rPr>
              <m:t>Γ</m:t>
            </m:r>
            <m:ctrlPr>
              <w:rPr>
                <w:rFonts w:ascii="Cambria Math" w:hAnsi="Cambria Math"/>
                <w:sz w:val="24"/>
              </w:rPr>
            </m:ctrlPr>
          </m:e>
          <m:sub>
            <m:r>
              <w:rPr>
                <w:rFonts w:ascii="Cambria Math" w:hAnsi="Cambria Math"/>
                <w:sz w:val="24"/>
              </w:rPr>
              <m:t>p</m:t>
            </m:r>
          </m:sub>
        </m:sSub>
      </m:oMath>
      <w:r w:rsidRPr="00A57EFF">
        <w:rPr>
          <w:rFonts w:ascii="Times New Roman" w:hAnsi="Times New Roman"/>
          <w:sz w:val="24"/>
        </w:rPr>
        <w:t xml:space="preserve"> and the remainder of the boundary is denoted </w:t>
      </w:r>
      <m:oMath>
        <m:sSub>
          <m:sSubPr>
            <m:ctrlPr>
              <w:rPr>
                <w:rFonts w:ascii="Cambria Math" w:hAnsi="Cambria Math"/>
                <w:i/>
                <w:sz w:val="24"/>
              </w:rPr>
            </m:ctrlPr>
          </m:sSubPr>
          <m:e>
            <m:r>
              <m:rPr>
                <m:sty m:val="p"/>
              </m:rPr>
              <w:rPr>
                <w:rFonts w:ascii="Cambria Math" w:hAnsi="Cambria Math"/>
                <w:sz w:val="24"/>
              </w:rPr>
              <m:t>Γ</m:t>
            </m:r>
            <m:ctrlPr>
              <w:rPr>
                <w:rFonts w:ascii="Cambria Math" w:hAnsi="Cambria Math"/>
                <w:sz w:val="24"/>
              </w:rPr>
            </m:ctrlPr>
          </m:e>
          <m:sub>
            <m:r>
              <w:rPr>
                <w:rFonts w:ascii="Cambria Math" w:hAnsi="Cambria Math"/>
                <w:sz w:val="24"/>
              </w:rPr>
              <m:t>e</m:t>
            </m:r>
          </m:sub>
        </m:sSub>
      </m:oMath>
      <w:r w:rsidRPr="00A57EFF">
        <w:rPr>
          <w:rFonts w:ascii="Times New Roman" w:hAnsi="Times New Roman"/>
          <w:sz w:val="24"/>
        </w:rPr>
        <w:t xml:space="preserve">. The soil is assumed to be homogenous with approximate volumetric water content </w:t>
      </w: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l</m:t>
            </m:r>
          </m:sub>
        </m:sSub>
      </m:oMath>
      <w:r w:rsidRPr="00A57EFF">
        <w:rPr>
          <w:rFonts w:ascii="Times New Roman" w:hAnsi="Times New Roman"/>
          <w:sz w:val="24"/>
        </w:rPr>
        <w:t xml:space="preserve"> [m</w:t>
      </w:r>
      <w:r w:rsidRPr="00A57EFF">
        <w:rPr>
          <w:rFonts w:ascii="Times New Roman" w:hAnsi="Times New Roman"/>
          <w:sz w:val="24"/>
          <w:vertAlign w:val="superscript"/>
        </w:rPr>
        <w:t>3</w:t>
      </w:r>
      <w:r w:rsidRPr="00A57EFF">
        <w:rPr>
          <w:rFonts w:ascii="Times New Roman" w:hAnsi="Times New Roman"/>
          <w:sz w:val="24"/>
        </w:rPr>
        <w:t xml:space="preserve"> of soil solution m</w:t>
      </w:r>
      <w:r w:rsidRPr="00A57EFF">
        <w:rPr>
          <w:rFonts w:ascii="Times New Roman" w:hAnsi="Times New Roman"/>
          <w:sz w:val="24"/>
          <w:vertAlign w:val="superscript"/>
        </w:rPr>
        <w:t>-3</w:t>
      </w:r>
      <w:r w:rsidRPr="00A57EFF">
        <w:rPr>
          <w:rFonts w:ascii="Times New Roman" w:hAnsi="Times New Roman"/>
          <w:sz w:val="24"/>
        </w:rPr>
        <w:t xml:space="preserve"> of total soil] and volumetric soil solid content </w:t>
      </w: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s</m:t>
            </m:r>
          </m:sub>
        </m:sSub>
      </m:oMath>
      <w:r w:rsidRPr="00A57EFF">
        <w:rPr>
          <w:rFonts w:ascii="Times New Roman" w:hAnsi="Times New Roman"/>
          <w:sz w:val="24"/>
        </w:rPr>
        <w:t xml:space="preserve"> [m</w:t>
      </w:r>
      <w:r w:rsidRPr="00A57EFF">
        <w:rPr>
          <w:rFonts w:ascii="Times New Roman" w:hAnsi="Times New Roman"/>
          <w:sz w:val="24"/>
          <w:vertAlign w:val="superscript"/>
        </w:rPr>
        <w:t>3</w:t>
      </w:r>
      <w:r w:rsidRPr="00A57EFF">
        <w:rPr>
          <w:rFonts w:ascii="Times New Roman" w:hAnsi="Times New Roman"/>
          <w:sz w:val="24"/>
        </w:rPr>
        <w:t xml:space="preserve"> of soil solid m</w:t>
      </w:r>
      <w:r w:rsidRPr="00A57EFF">
        <w:rPr>
          <w:rFonts w:ascii="Times New Roman" w:hAnsi="Times New Roman"/>
          <w:sz w:val="24"/>
          <w:vertAlign w:val="superscript"/>
        </w:rPr>
        <w:t>-3</w:t>
      </w:r>
      <w:r w:rsidRPr="00A57EFF">
        <w:rPr>
          <w:rFonts w:ascii="Times New Roman" w:hAnsi="Times New Roman"/>
          <w:sz w:val="24"/>
        </w:rPr>
        <w:t xml:space="preserve"> of total soil]. Due to rotational symmetry of the problem, the domain can be simplified to a 2D axisymmetric representation as shown in Fig. 1; for generality, the governing equations are stated in 3D Cartesian co-ordinates, but implemented numerically as 2D cylindrical co-ordinates.</w:t>
      </w:r>
    </w:p>
    <w:tbl>
      <w:tblPr>
        <w:tblStyle w:val="TableGrid"/>
        <w:tblW w:w="0" w:type="auto"/>
        <w:tblLook w:val="04A0" w:firstRow="1" w:lastRow="0" w:firstColumn="1" w:lastColumn="0" w:noHBand="0" w:noVBand="1"/>
      </w:tblPr>
      <w:tblGrid>
        <w:gridCol w:w="9016"/>
      </w:tblGrid>
      <w:tr w:rsidR="00AA6F1F" w:rsidRPr="00AA6F1F" w:rsidTr="00AB3042">
        <w:tc>
          <w:tcPr>
            <w:tcW w:w="9016" w:type="dxa"/>
            <w:tcBorders>
              <w:top w:val="nil"/>
              <w:left w:val="nil"/>
              <w:bottom w:val="nil"/>
              <w:right w:val="nil"/>
            </w:tcBorders>
          </w:tcPr>
          <w:p w:rsidR="00AA6F1F" w:rsidRPr="00A57EFF" w:rsidRDefault="00AA6F1F" w:rsidP="00AA6F1F">
            <w:pPr>
              <w:spacing w:line="480" w:lineRule="auto"/>
              <w:jc w:val="center"/>
              <w:rPr>
                <w:rFonts w:ascii="Times New Roman" w:hAnsi="Times New Roman"/>
                <w:sz w:val="24"/>
              </w:rPr>
            </w:pPr>
            <w:r w:rsidRPr="00AA6F1F">
              <w:rPr>
                <w:rFonts w:ascii="Times New Roman" w:eastAsia="Calibri" w:hAnsi="Times New Roman"/>
                <w:noProof/>
                <w:sz w:val="24"/>
                <w:szCs w:val="24"/>
                <w:lang w:eastAsia="en-GB"/>
              </w:rPr>
              <w:drawing>
                <wp:inline distT="0" distB="0" distL="0" distR="0">
                  <wp:extent cx="1409700" cy="4057650"/>
                  <wp:effectExtent l="0" t="0" r="0" b="0"/>
                  <wp:docPr id="22" name="Picture 22" descr="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domai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4057650"/>
                          </a:xfrm>
                          <a:prstGeom prst="rect">
                            <a:avLst/>
                          </a:prstGeom>
                          <a:noFill/>
                          <a:ln>
                            <a:noFill/>
                          </a:ln>
                        </pic:spPr>
                      </pic:pic>
                    </a:graphicData>
                  </a:graphic>
                </wp:inline>
              </w:drawing>
            </w:r>
          </w:p>
        </w:tc>
      </w:tr>
      <w:tr w:rsidR="00AA6F1F" w:rsidRPr="00AA6F1F" w:rsidTr="00AB3042">
        <w:tc>
          <w:tcPr>
            <w:tcW w:w="9016" w:type="dxa"/>
            <w:tcBorders>
              <w:top w:val="nil"/>
              <w:left w:val="nil"/>
              <w:bottom w:val="nil"/>
              <w:right w:val="nil"/>
            </w:tcBorders>
          </w:tcPr>
          <w:p w:rsidR="00AA6F1F" w:rsidRPr="00A57EFF" w:rsidRDefault="00AA6F1F" w:rsidP="00AA6F1F">
            <w:pPr>
              <w:spacing w:line="480" w:lineRule="auto"/>
              <w:jc w:val="center"/>
              <w:rPr>
                <w:rFonts w:ascii="Times New Roman" w:hAnsi="Times New Roman"/>
                <w:i/>
                <w:sz w:val="20"/>
              </w:rPr>
            </w:pPr>
            <w:r w:rsidRPr="00A57EFF">
              <w:rPr>
                <w:rFonts w:ascii="Times New Roman" w:hAnsi="Times New Roman"/>
                <w:b/>
                <w:sz w:val="20"/>
              </w:rPr>
              <w:t>Fig. 1</w:t>
            </w:r>
            <w:r w:rsidRPr="00A57EFF">
              <w:rPr>
                <w:rFonts w:ascii="Times New Roman" w:hAnsi="Times New Roman"/>
                <w:i/>
                <w:sz w:val="20"/>
              </w:rPr>
              <w:t xml:space="preserve"> </w:t>
            </w:r>
            <w:r w:rsidRPr="00A57EFF">
              <w:rPr>
                <w:rFonts w:ascii="Times New Roman" w:hAnsi="Times New Roman"/>
                <w:sz w:val="20"/>
              </w:rPr>
              <w:t xml:space="preserve">Axisymmetric representation of the domain for the model. The red-dashed line shows the axis of symmetry, </w:t>
            </w:r>
            <m:oMath>
              <m:r>
                <m:rPr>
                  <m:sty m:val="p"/>
                </m:rPr>
                <w:rPr>
                  <w:rFonts w:ascii="Cambria Math" w:eastAsia="Calibri" w:hAnsi="Cambria Math" w:cs="Times New Roman"/>
                  <w:sz w:val="20"/>
                  <w:szCs w:val="20"/>
                </w:rPr>
                <m:t>Ω</m:t>
              </m:r>
            </m:oMath>
            <w:r w:rsidRPr="00A57EFF">
              <w:rPr>
                <w:rFonts w:ascii="Times New Roman" w:hAnsi="Times New Roman"/>
                <w:sz w:val="20"/>
              </w:rPr>
              <w:t xml:space="preserve"> represents the homogenous soil within the 1.5 ml microfuge tube,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Γ</m:t>
                  </m:r>
                </m:e>
                <m:sub>
                  <m:r>
                    <m:rPr>
                      <m:sty m:val="p"/>
                    </m:rPr>
                    <w:rPr>
                      <w:rFonts w:ascii="Cambria Math" w:eastAsia="Calibri" w:hAnsi="Cambria Math" w:cs="Times New Roman"/>
                      <w:sz w:val="20"/>
                      <w:szCs w:val="20"/>
                    </w:rPr>
                    <m:t>p</m:t>
                  </m:r>
                </m:sub>
              </m:sSub>
            </m:oMath>
            <w:r w:rsidRPr="00A57EFF">
              <w:rPr>
                <w:rFonts w:ascii="Times New Roman" w:hAnsi="Times New Roman"/>
                <w:sz w:val="20"/>
              </w:rPr>
              <w:t xml:space="preserve"> represents the microdialysis probe membrane, shown in blue and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Γ</m:t>
                  </m:r>
                </m:e>
                <m:sub>
                  <m:r>
                    <m:rPr>
                      <m:sty m:val="p"/>
                    </m:rPr>
                    <w:rPr>
                      <w:rFonts w:ascii="Cambria Math" w:eastAsia="Times New Roman" w:hAnsi="Cambria Math" w:cs="Times New Roman"/>
                      <w:sz w:val="20"/>
                      <w:szCs w:val="20"/>
                    </w:rPr>
                    <m:t>e</m:t>
                  </m:r>
                </m:sub>
              </m:sSub>
            </m:oMath>
            <w:r w:rsidRPr="00A57EFF">
              <w:rPr>
                <w:rFonts w:ascii="Times New Roman" w:hAnsi="Times New Roman"/>
                <w:sz w:val="20"/>
              </w:rPr>
              <w:t xml:space="preserve"> represents the microfuge tube boundary and tip of the probe, shown in orange</w:t>
            </w:r>
          </w:p>
        </w:tc>
      </w:tr>
    </w:tbl>
    <w:p w:rsidR="00AA6F1F" w:rsidRPr="00A57EFF" w:rsidRDefault="00AA6F1F" w:rsidP="00AA6F1F">
      <w:pPr>
        <w:spacing w:after="0" w:line="480" w:lineRule="auto"/>
        <w:jc w:val="both"/>
        <w:rPr>
          <w:rFonts w:ascii="Times New Roman" w:hAnsi="Times New Roman"/>
          <w:sz w:val="24"/>
        </w:rPr>
      </w:pPr>
      <w:r w:rsidRPr="00A57EFF">
        <w:rPr>
          <w:rFonts w:ascii="Times New Roman" w:hAnsi="Times New Roman"/>
          <w:sz w:val="24"/>
        </w:rPr>
        <w:t xml:space="preserve">P and citrate are assumed to exist in either bound or unbound (in solution) states. In particular,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l</m:t>
            </m:r>
          </m:sub>
        </m:sSub>
        <m:d>
          <m:dPr>
            <m:ctrlPr>
              <w:rPr>
                <w:rFonts w:ascii="Cambria Math" w:hAnsi="Cambria Math"/>
                <w:i/>
                <w:sz w:val="24"/>
              </w:rPr>
            </m:ctrlPr>
          </m:dPr>
          <m:e>
            <m:r>
              <w:rPr>
                <w:rFonts w:ascii="Cambria Math" w:hAnsi="Cambria Math"/>
                <w:sz w:val="24"/>
              </w:rPr>
              <m:t>t,</m:t>
            </m:r>
            <m:r>
              <m:rPr>
                <m:sty m:val="bi"/>
              </m:rPr>
              <w:rPr>
                <w:rFonts w:ascii="Cambria Math" w:hAnsi="Cambria Math"/>
                <w:sz w:val="24"/>
              </w:rPr>
              <m:t>x</m:t>
            </m:r>
          </m:e>
        </m:d>
      </m:oMath>
      <w:r w:rsidRPr="00A57EFF">
        <w:rPr>
          <w:rFonts w:ascii="Times New Roman" w:hAnsi="Times New Roman"/>
          <w:sz w:val="24"/>
        </w:rPr>
        <w:t xml:space="preserve"> [µmol m</w:t>
      </w:r>
      <w:r w:rsidRPr="00A57EFF">
        <w:rPr>
          <w:rFonts w:ascii="Times New Roman" w:hAnsi="Times New Roman"/>
          <w:sz w:val="24"/>
          <w:vertAlign w:val="superscript"/>
        </w:rPr>
        <w:t>-3</w:t>
      </w:r>
      <w:r w:rsidRPr="00A57EFF">
        <w:rPr>
          <w:rFonts w:ascii="Times New Roman" w:hAnsi="Times New Roman"/>
          <w:sz w:val="24"/>
        </w:rPr>
        <w:t xml:space="preserve"> of soil solution] is the P concentration in solution,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l</m:t>
            </m:r>
          </m:sub>
        </m:sSub>
        <m:d>
          <m:dPr>
            <m:ctrlPr>
              <w:rPr>
                <w:rFonts w:ascii="Cambria Math" w:hAnsi="Cambria Math"/>
                <w:i/>
                <w:sz w:val="24"/>
              </w:rPr>
            </m:ctrlPr>
          </m:dPr>
          <m:e>
            <m:r>
              <w:rPr>
                <w:rFonts w:ascii="Cambria Math" w:hAnsi="Cambria Math"/>
                <w:sz w:val="24"/>
              </w:rPr>
              <m:t>t,</m:t>
            </m:r>
            <m:r>
              <m:rPr>
                <m:sty m:val="bi"/>
              </m:rPr>
              <w:rPr>
                <w:rFonts w:ascii="Cambria Math" w:hAnsi="Cambria Math"/>
                <w:sz w:val="24"/>
              </w:rPr>
              <m:t>x</m:t>
            </m:r>
          </m:e>
        </m:d>
      </m:oMath>
      <w:r w:rsidRPr="00A57EFF">
        <w:rPr>
          <w:rFonts w:ascii="Times New Roman" w:hAnsi="Times New Roman"/>
          <w:sz w:val="24"/>
        </w:rPr>
        <w:t xml:space="preserve">  [µmol m</w:t>
      </w:r>
      <w:r w:rsidRPr="00A57EFF">
        <w:rPr>
          <w:rFonts w:ascii="Times New Roman" w:hAnsi="Times New Roman"/>
          <w:sz w:val="24"/>
          <w:vertAlign w:val="superscript"/>
        </w:rPr>
        <w:t>-3</w:t>
      </w:r>
      <w:r w:rsidRPr="00A57EFF">
        <w:rPr>
          <w:rFonts w:ascii="Times New Roman" w:hAnsi="Times New Roman"/>
          <w:sz w:val="24"/>
        </w:rPr>
        <w:t xml:space="preserve"> of soil solution] represents citrate concentration in solution,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s</m:t>
            </m:r>
          </m:sub>
        </m:sSub>
        <m:r>
          <w:rPr>
            <w:rFonts w:ascii="Cambria Math" w:hAnsi="Cambria Math"/>
            <w:sz w:val="24"/>
          </w:rPr>
          <m:t>(t,</m:t>
        </m:r>
        <m:r>
          <m:rPr>
            <m:sty m:val="bi"/>
          </m:rPr>
          <w:rPr>
            <w:rFonts w:ascii="Cambria Math" w:hAnsi="Cambria Math"/>
            <w:sz w:val="24"/>
          </w:rPr>
          <m:t>x</m:t>
        </m:r>
        <m:r>
          <w:rPr>
            <w:rFonts w:ascii="Cambria Math" w:hAnsi="Cambria Math"/>
            <w:sz w:val="24"/>
          </w:rPr>
          <m:t>)</m:t>
        </m:r>
      </m:oMath>
      <w:r w:rsidRPr="00A57EFF">
        <w:rPr>
          <w:rFonts w:ascii="Times New Roman" w:hAnsi="Times New Roman"/>
          <w:sz w:val="24"/>
        </w:rPr>
        <w:t xml:space="preserve"> [µmol m</w:t>
      </w:r>
      <w:r w:rsidRPr="00A57EFF">
        <w:rPr>
          <w:rFonts w:ascii="Times New Roman" w:hAnsi="Times New Roman"/>
          <w:sz w:val="24"/>
          <w:vertAlign w:val="superscript"/>
        </w:rPr>
        <w:t>-3</w:t>
      </w:r>
      <w:r w:rsidRPr="00A57EFF">
        <w:rPr>
          <w:rFonts w:ascii="Times New Roman" w:hAnsi="Times New Roman"/>
          <w:sz w:val="24"/>
        </w:rPr>
        <w:t xml:space="preserve"> of soil solid] is the concentration of P bound to soil particles, and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s</m:t>
            </m:r>
          </m:sub>
        </m:sSub>
        <m:d>
          <m:dPr>
            <m:ctrlPr>
              <w:rPr>
                <w:rFonts w:ascii="Cambria Math" w:hAnsi="Cambria Math"/>
                <w:i/>
                <w:sz w:val="24"/>
              </w:rPr>
            </m:ctrlPr>
          </m:dPr>
          <m:e>
            <m:r>
              <w:rPr>
                <w:rFonts w:ascii="Cambria Math" w:hAnsi="Cambria Math"/>
                <w:sz w:val="24"/>
              </w:rPr>
              <m:t>t,</m:t>
            </m:r>
            <m:r>
              <m:rPr>
                <m:sty m:val="bi"/>
              </m:rPr>
              <w:rPr>
                <w:rFonts w:ascii="Cambria Math" w:hAnsi="Cambria Math"/>
                <w:sz w:val="24"/>
              </w:rPr>
              <m:t>x</m:t>
            </m:r>
          </m:e>
        </m:d>
        <m:r>
          <w:rPr>
            <w:rFonts w:ascii="Cambria Math" w:hAnsi="Cambria Math"/>
            <w:sz w:val="24"/>
          </w:rPr>
          <m:t>)</m:t>
        </m:r>
      </m:oMath>
      <w:r w:rsidRPr="00A57EFF">
        <w:rPr>
          <w:rFonts w:ascii="Times New Roman" w:hAnsi="Times New Roman"/>
          <w:sz w:val="24"/>
        </w:rPr>
        <w:t xml:space="preserve"> [µmol m</w:t>
      </w:r>
      <w:r w:rsidRPr="00A57EFF">
        <w:rPr>
          <w:rFonts w:ascii="Times New Roman" w:hAnsi="Times New Roman"/>
          <w:sz w:val="24"/>
          <w:vertAlign w:val="superscript"/>
        </w:rPr>
        <w:t>-3</w:t>
      </w:r>
      <w:r w:rsidRPr="00A57EFF">
        <w:rPr>
          <w:rFonts w:ascii="Times New Roman" w:hAnsi="Times New Roman"/>
          <w:sz w:val="24"/>
        </w:rPr>
        <w:t xml:space="preserve"> of soil solid]  is the amount of citrate bound to soil particles.</w:t>
      </w:r>
    </w:p>
    <w:p w:rsidR="00AA6F1F" w:rsidRPr="00A57EFF" w:rsidRDefault="00AA6F1F" w:rsidP="00A57EFF">
      <w:pPr>
        <w:spacing w:after="200" w:line="480" w:lineRule="auto"/>
        <w:ind w:firstLine="720"/>
        <w:jc w:val="both"/>
        <w:rPr>
          <w:rFonts w:ascii="Times New Roman" w:hAnsi="Times New Roman"/>
          <w:sz w:val="24"/>
        </w:rPr>
      </w:pPr>
      <w:r w:rsidRPr="00A57EFF">
        <w:rPr>
          <w:rFonts w:ascii="Times New Roman" w:hAnsi="Times New Roman"/>
          <w:sz w:val="24"/>
        </w:rPr>
        <w:t xml:space="preserve">P and citrate can adsorb to, and desorb from, soil particles. This was modelled using a reversible first-order chemical reaction. The process of </w:t>
      </w:r>
      <w:r w:rsidRPr="00AA6F1F">
        <w:rPr>
          <w:rFonts w:ascii="Times New Roman" w:eastAsia="Calibri" w:hAnsi="Times New Roman" w:cs="Times New Roman"/>
          <w:sz w:val="24"/>
          <w:szCs w:val="24"/>
        </w:rPr>
        <w:t>specific adsorption</w:t>
      </w:r>
      <w:r w:rsidRPr="00A57EFF">
        <w:rPr>
          <w:rFonts w:ascii="Times New Roman" w:hAnsi="Times New Roman"/>
          <w:sz w:val="24"/>
        </w:rPr>
        <w:t xml:space="preserve"> promotes P desorption as more citrate is adsorbed to the soil. This was implemented by a adding a cross term to the P desorption-adsorption reaction (</w:t>
      </w:r>
      <w:r w:rsidRPr="00AA6F1F">
        <w:rPr>
          <w:rFonts w:ascii="Times New Roman" w:eastAsia="Calibri" w:hAnsi="Times New Roman" w:cs="Times New Roman"/>
          <w:sz w:val="24"/>
          <w:szCs w:val="24"/>
        </w:rPr>
        <w:t>Equation</w:t>
      </w:r>
      <w:r w:rsidR="008A11A1">
        <w:rPr>
          <w:rFonts w:ascii="Times New Roman" w:eastAsia="Calibri" w:hAnsi="Times New Roman" w:cs="Times New Roman"/>
          <w:sz w:val="24"/>
          <w:szCs w:val="24"/>
        </w:rPr>
        <w:t>s</w:t>
      </w:r>
      <w:r w:rsidRPr="00A57EFF">
        <w:rPr>
          <w:rFonts w:ascii="Times New Roman" w:hAnsi="Times New Roman"/>
          <w:sz w:val="24"/>
        </w:rPr>
        <w:t xml:space="preserve"> (1-2)). Citrate is known to be consumed by microbes in the rhizosphere. However, sorption of citrate to soil particles causes a significant reduction in biodegradation rate (up to 99%)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&lt;EndNote&gt;&lt;Cite&gt;&lt;Author&gt;Jones&lt;/Author&gt;&lt;Year&gt;1998&lt;/Year&gt;&lt;RecNum&gt;6&lt;/RecNum&gt;&lt;DisplayText&gt;(Jones and Edwards 1998; Van Hees et al. 2003)&lt;/DisplayText&gt;&lt;record&gt;&lt;rec-number&gt;6&lt;/rec-number&gt;&lt;foreign-keys&gt;&lt;key app="EN" db-id="0sapex5pfwrt05ep5w3x2zd0tdt9050e5fax" timestamp="1453223343"&gt;6&lt;/key&gt;&lt;/foreign-keys&gt;&lt;ref-type name="Journal Article"&gt;17&lt;/ref-type&gt;&lt;contributors&gt;&lt;authors&gt;&lt;author&gt;Jones, DL&lt;/author&gt;&lt;author&gt;Edwards, AC&lt;/author&gt;&lt;/authors&gt;&lt;/contributors&gt;&lt;titles&gt;&lt;title&gt;Influence of sorption on the biological utilization of two simple carbon substrates&lt;/title&gt;&lt;secondary-title&gt;Soil Biology and Biochemistry&lt;/secondary-title&gt;&lt;/titles&gt;&lt;periodical&gt;&lt;full-title&gt;Soil Biology and Biochemistry&lt;/full-title&gt;&lt;/periodical&gt;&lt;pages&gt;1895-1902&lt;/pages&gt;&lt;volume&gt;30&lt;/volume&gt;&lt;number&gt;14&lt;/number&gt;&lt;dates&gt;&lt;year&gt;1998&lt;/year&gt;&lt;/dates&gt;&lt;isbn&gt;0038-0717&lt;/isbn&gt;&lt;urls&gt;&lt;/urls&gt;&lt;/record&gt;&lt;/Cite&gt;&lt;Cite&gt;&lt;Author&gt;Van Hees&lt;/Author&gt;&lt;Year&gt;2003&lt;/Year&gt;&lt;RecNum&gt;117&lt;/RecNum&gt;&lt;record&gt;&lt;rec-number&gt;117&lt;/rec-number&gt;&lt;foreign-keys&gt;&lt;key app="EN" db-id="0sapex5pfwrt05ep5w3x2zd0tdt9050e5fax" timestamp="1516035365"&gt;117&lt;/key&gt;&lt;/foreign-keys&gt;&lt;ref-type name="Journal Article"&gt;17&lt;/ref-type&gt;&lt;contributors&gt;&lt;authors&gt;&lt;author&gt;Van Hees, PAW&lt;/author&gt;&lt;author&gt;Vinogradoff, SI&lt;/author&gt;&lt;author&gt;Edwards, AC&lt;/author&gt;&lt;author&gt;Godbold, DL&lt;/author&gt;&lt;author&gt;Jones, DL&lt;/author&gt;&lt;/authors&gt;&lt;/contributors&gt;&lt;titles&gt;&lt;title&gt;Low molecular weight organic acid adsorption in forest soils: effects on soil solution concentrations and biodegradation rates&lt;/title&gt;&lt;secondary-title&gt;Soil Biology and Biochemistry&lt;/secondary-title&gt;&lt;/titles&gt;&lt;periodical&gt;&lt;full-title&gt;Soil Biology and Biochemistry&lt;/full-title&gt;&lt;/periodical&gt;&lt;pages&gt;1015-1026&lt;/pages&gt;&lt;volume&gt;35&lt;/volume&gt;&lt;number&gt;8&lt;/number&gt;&lt;dates&gt;&lt;year&gt;2003&lt;/year&gt;&lt;/dates&gt;&lt;isbn&gt;0038-0717&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(Jones and Edwards 1998; Van Hees et al. 2003)</w:t>
      </w:r>
      <w:r w:rsidRPr="00A57EFF">
        <w:rPr>
          <w:rFonts w:ascii="Times New Roman" w:hAnsi="Times New Roman"/>
          <w:sz w:val="24"/>
        </w:rPr>
        <w:fldChar w:fldCharType="end"/>
      </w:r>
      <w:r w:rsidRPr="00A57EFF">
        <w:rPr>
          <w:rFonts w:ascii="Times New Roman" w:hAnsi="Times New Roman"/>
          <w:sz w:val="24"/>
        </w:rPr>
        <w:t>. Therefore, citrate in the model is allowed to biodegrade only in the soil solution. Hence, assuming conservation of mass</w:t>
      </w:r>
      <w:r w:rsidR="008A11A1">
        <w:rPr>
          <w:rFonts w:ascii="Times New Roman" w:eastAsia="Calibri" w:hAnsi="Times New Roman" w:cs="Times New Roman"/>
          <w:sz w:val="24"/>
          <w:szCs w:val="24"/>
        </w:rPr>
        <w:t xml:space="preserve"> and neglecting convective transport</w:t>
      </w:r>
      <w:r w:rsidRPr="00A57EFF">
        <w:rPr>
          <w:rFonts w:ascii="Times New Roman" w:hAnsi="Times New Roman"/>
          <w:sz w:val="24"/>
        </w:rPr>
        <w:t>, the diffusion-sorption-reactions for P and citrate can be written as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7270"/>
        <w:gridCol w:w="540"/>
      </w:tblGrid>
      <w:tr w:rsidR="00AA6F1F" w:rsidRPr="00AA6F1F" w:rsidTr="00AB3042">
        <w:tc>
          <w:tcPr>
            <w:tcW w:w="486" w:type="dxa"/>
          </w:tcPr>
          <w:p w:rsidR="00AA6F1F" w:rsidRPr="00A57EFF" w:rsidRDefault="00AA6F1F" w:rsidP="00A57EFF">
            <w:pPr>
              <w:spacing w:after="120" w:line="480" w:lineRule="auto"/>
              <w:contextualSpacing/>
              <w:jc w:val="both"/>
              <w:rPr>
                <w:rFonts w:ascii="Times New Roman" w:hAnsi="Times New Roman"/>
                <w:color w:val="000000"/>
                <w:sz w:val="24"/>
              </w:rPr>
            </w:pPr>
          </w:p>
        </w:tc>
        <w:tc>
          <w:tcPr>
            <w:tcW w:w="7270" w:type="dxa"/>
          </w:tcPr>
          <w:p w:rsidR="00AA6F1F" w:rsidRPr="00A57EFF" w:rsidRDefault="00443791" w:rsidP="00A57EFF">
            <w:pPr>
              <w:spacing w:before="240" w:after="120" w:line="480" w:lineRule="auto"/>
              <w:contextualSpacing/>
              <w:jc w:val="both"/>
              <w:rPr>
                <w:rFonts w:ascii="Times New Roman" w:hAnsi="Times New Roman"/>
                <w:color w:val="000000"/>
                <w:sz w:val="24"/>
              </w:rPr>
            </w:pPr>
            <m:oMathPara>
              <m:oMath>
                <m:f>
                  <m:fPr>
                    <m:ctrlPr>
                      <w:rPr>
                        <w:rFonts w:ascii="Cambria Math" w:hAnsi="Cambria Math"/>
                        <w:i/>
                        <w:color w:val="000000"/>
                        <w:sz w:val="24"/>
                      </w:rPr>
                    </m:ctrlPr>
                  </m:fPr>
                  <m:num>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num>
                  <m:den>
                    <m:r>
                      <w:rPr>
                        <w:rFonts w:ascii="Cambria Math" w:hAnsi="Cambria Math"/>
                        <w:color w:val="000000"/>
                        <w:sz w:val="24"/>
                      </w:rPr>
                      <m:t>∂t</m:t>
                    </m:r>
                  </m:den>
                </m:f>
                <m:r>
                  <w:rPr>
                    <w:rFonts w:ascii="Cambria Math" w:hAnsi="Cambria Math"/>
                    <w:color w:val="000000"/>
                    <w:sz w:val="24"/>
                  </w:rPr>
                  <m:t>=</m:t>
                </m:r>
                <m:r>
                  <m:rPr>
                    <m:sty m:val="b"/>
                  </m:rPr>
                  <w:rPr>
                    <w:rFonts w:ascii="Cambria Math" w:hAnsi="Cambria Math"/>
                    <w:color w:val="000000"/>
                    <w:sz w:val="24"/>
                  </w:rPr>
                  <m:t>∇</m:t>
                </m:r>
                <m:r>
                  <m:rPr>
                    <m:sty m:val="p"/>
                  </m:rP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ϕ</m:t>
                    </m:r>
                    <m:ctrlPr>
                      <w:rPr>
                        <w:rFonts w:ascii="Cambria Math" w:hAnsi="Cambria Math"/>
                        <w:color w:val="000000"/>
                        <w:sz w:val="24"/>
                      </w:rPr>
                    </m:ctrlPr>
                  </m:e>
                  <m:sub>
                    <m:r>
                      <w:rPr>
                        <w:rFonts w:ascii="Cambria Math" w:hAnsi="Cambria Math"/>
                        <w:color w:val="000000"/>
                        <w:sz w:val="24"/>
                      </w:rPr>
                      <m:t>l</m:t>
                    </m:r>
                  </m:sub>
                </m:sSub>
                <m:sSub>
                  <m:sSubPr>
                    <m:ctrlPr>
                      <w:rPr>
                        <w:rFonts w:ascii="Cambria Math" w:hAnsi="Cambria Math"/>
                        <w:i/>
                        <w:color w:val="000000"/>
                        <w:sz w:val="24"/>
                      </w:rPr>
                    </m:ctrlPr>
                  </m:sSubPr>
                  <m:e>
                    <m:r>
                      <w:rPr>
                        <w:rFonts w:ascii="Cambria Math" w:hAnsi="Cambria Math"/>
                        <w:color w:val="000000"/>
                        <w:sz w:val="24"/>
                      </w:rPr>
                      <m:t>D</m:t>
                    </m:r>
                  </m:e>
                  <m:sub>
                    <m:r>
                      <w:rPr>
                        <w:rFonts w:ascii="Cambria Math" w:hAnsi="Cambria Math"/>
                        <w:color w:val="000000"/>
                        <w:sz w:val="24"/>
                      </w:rPr>
                      <m:t>P</m:t>
                    </m:r>
                  </m:sub>
                </m:sSub>
                <m:r>
                  <m:rPr>
                    <m:sty m:val="b"/>
                  </m:rP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sSub>
                  <m:sSubPr>
                    <m:ctrlPr>
                      <w:rPr>
                        <w:rFonts w:ascii="Cambria Math" w:hAnsi="Cambria Math"/>
                        <w:i/>
                        <w:color w:val="000000"/>
                        <w:sz w:val="24"/>
                      </w:rPr>
                    </m:ctrlPr>
                  </m:sSubPr>
                  <m:e>
                    <m:r>
                      <w:rPr>
                        <w:rFonts w:ascii="Cambria Math" w:hAnsi="Cambria Math"/>
                        <w:color w:val="000000"/>
                        <w:sz w:val="24"/>
                      </w:rPr>
                      <m:t>β</m:t>
                    </m:r>
                  </m:e>
                  <m:sub>
                    <m:r>
                      <w:rPr>
                        <w:rFonts w:ascii="Cambria Math" w:hAnsi="Cambria Math"/>
                        <w:color w:val="000000"/>
                        <w:sz w:val="24"/>
                      </w:rPr>
                      <m:t>1</m:t>
                    </m:r>
                  </m:sub>
                </m:sSub>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s</m:t>
                    </m:r>
                  </m:sub>
                </m:sSub>
                <m:sSub>
                  <m:sSubPr>
                    <m:ctrlPr>
                      <w:rPr>
                        <w:rFonts w:ascii="Cambria Math" w:hAnsi="Cambria Math"/>
                        <w:i/>
                        <w:color w:val="000000"/>
                        <w:sz w:val="24"/>
                      </w:rPr>
                    </m:ctrlPr>
                  </m:sSubPr>
                  <m:e>
                    <m:r>
                      <w:rPr>
                        <w:rFonts w:ascii="Cambria Math" w:hAnsi="Cambria Math"/>
                        <w:color w:val="000000"/>
                        <w:sz w:val="24"/>
                      </w:rPr>
                      <m:t>β</m:t>
                    </m:r>
                  </m:e>
                  <m:sub>
                    <m:r>
                      <w:rPr>
                        <w:rFonts w:ascii="Cambria Math" w:hAnsi="Cambria Math"/>
                        <w:color w:val="000000"/>
                        <w:sz w:val="24"/>
                      </w:rPr>
                      <m:t>2</m:t>
                    </m:r>
                  </m:sub>
                </m:sSub>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s</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s</m:t>
                    </m:r>
                  </m:sub>
                </m:sSub>
                <m:sSub>
                  <m:sSubPr>
                    <m:ctrlPr>
                      <w:rPr>
                        <w:rFonts w:ascii="Cambria Math" w:hAnsi="Cambria Math"/>
                        <w:i/>
                        <w:color w:val="000000"/>
                        <w:sz w:val="24"/>
                      </w:rPr>
                    </m:ctrlPr>
                  </m:sSubPr>
                  <m:e>
                    <m:r>
                      <w:rPr>
                        <w:rFonts w:ascii="Cambria Math" w:hAnsi="Cambria Math"/>
                        <w:color w:val="000000"/>
                        <w:sz w:val="24"/>
                      </w:rPr>
                      <m:t>β</m:t>
                    </m:r>
                  </m:e>
                  <m:sub>
                    <m:r>
                      <w:rPr>
                        <w:rFonts w:ascii="Cambria Math" w:hAnsi="Cambria Math"/>
                        <w:color w:val="000000"/>
                        <w:sz w:val="24"/>
                      </w:rPr>
                      <m:t>3</m:t>
                    </m:r>
                  </m:sub>
                </m:sSub>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s</m:t>
                    </m:r>
                  </m:sub>
                </m:sSub>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s</m:t>
                    </m:r>
                  </m:sub>
                </m:sSub>
                <m:r>
                  <w:rPr>
                    <w:rFonts w:ascii="Cambria Math" w:hAnsi="Cambria Math"/>
                    <w:color w:val="000000"/>
                    <w:sz w:val="24"/>
                  </w:rPr>
                  <m:t xml:space="preserve">,       </m:t>
                </m:r>
              </m:oMath>
            </m:oMathPara>
          </w:p>
        </w:tc>
        <w:tc>
          <w:tcPr>
            <w:tcW w:w="540"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(1)</w:t>
            </w:r>
          </w:p>
        </w:tc>
      </w:tr>
      <w:tr w:rsidR="00AA6F1F" w:rsidRPr="00AA6F1F" w:rsidTr="00AB3042">
        <w:tc>
          <w:tcPr>
            <w:tcW w:w="486" w:type="dxa"/>
          </w:tcPr>
          <w:p w:rsidR="00AA6F1F" w:rsidRPr="00A57EFF" w:rsidRDefault="00AA6F1F" w:rsidP="00A57EFF">
            <w:pPr>
              <w:spacing w:after="120" w:line="480" w:lineRule="auto"/>
              <w:contextualSpacing/>
              <w:jc w:val="both"/>
              <w:rPr>
                <w:rFonts w:ascii="Times New Roman" w:hAnsi="Times New Roman"/>
                <w:color w:val="000000"/>
                <w:sz w:val="24"/>
              </w:rPr>
            </w:pPr>
          </w:p>
        </w:tc>
        <w:tc>
          <w:tcPr>
            <w:tcW w:w="7270" w:type="dxa"/>
          </w:tcPr>
          <w:p w:rsidR="00AA6F1F" w:rsidRPr="00A57EFF" w:rsidRDefault="00443791" w:rsidP="00A57EFF">
            <w:pPr>
              <w:spacing w:after="120" w:line="480" w:lineRule="auto"/>
              <w:contextualSpacing/>
              <w:jc w:val="both"/>
              <w:rPr>
                <w:rFonts w:ascii="Times New Roman" w:hAnsi="Times New Roman"/>
                <w:color w:val="000000"/>
                <w:sz w:val="24"/>
              </w:rPr>
            </w:pPr>
            <m:oMathPara>
              <m:oMath>
                <m:f>
                  <m:fPr>
                    <m:ctrlPr>
                      <w:rPr>
                        <w:rFonts w:ascii="Cambria Math" w:hAnsi="Cambria Math"/>
                        <w:i/>
                        <w:color w:val="000000"/>
                        <w:sz w:val="24"/>
                      </w:rPr>
                    </m:ctrlPr>
                  </m:fPr>
                  <m:num>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s</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s</m:t>
                        </m:r>
                      </m:sub>
                    </m:sSub>
                  </m:num>
                  <m:den>
                    <m:r>
                      <w:rPr>
                        <w:rFonts w:ascii="Cambria Math" w:hAnsi="Cambria Math"/>
                        <w:color w:val="000000"/>
                        <w:sz w:val="24"/>
                      </w:rPr>
                      <m:t>∂t</m:t>
                    </m:r>
                  </m:den>
                </m:f>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sSub>
                  <m:sSubPr>
                    <m:ctrlPr>
                      <w:rPr>
                        <w:rFonts w:ascii="Cambria Math" w:hAnsi="Cambria Math"/>
                        <w:i/>
                        <w:color w:val="000000"/>
                        <w:sz w:val="24"/>
                      </w:rPr>
                    </m:ctrlPr>
                  </m:sSubPr>
                  <m:e>
                    <m:r>
                      <w:rPr>
                        <w:rFonts w:ascii="Cambria Math" w:hAnsi="Cambria Math"/>
                        <w:color w:val="000000"/>
                        <w:sz w:val="24"/>
                      </w:rPr>
                      <m:t>β</m:t>
                    </m:r>
                  </m:e>
                  <m:sub>
                    <m:r>
                      <w:rPr>
                        <w:rFonts w:ascii="Cambria Math" w:hAnsi="Cambria Math"/>
                        <w:color w:val="000000"/>
                        <w:sz w:val="24"/>
                      </w:rPr>
                      <m:t>1</m:t>
                    </m:r>
                  </m:sub>
                </m:sSub>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s</m:t>
                    </m:r>
                  </m:sub>
                </m:sSub>
                <m:sSub>
                  <m:sSubPr>
                    <m:ctrlPr>
                      <w:rPr>
                        <w:rFonts w:ascii="Cambria Math" w:hAnsi="Cambria Math"/>
                        <w:i/>
                        <w:color w:val="000000"/>
                        <w:sz w:val="24"/>
                      </w:rPr>
                    </m:ctrlPr>
                  </m:sSubPr>
                  <m:e>
                    <m:r>
                      <w:rPr>
                        <w:rFonts w:ascii="Cambria Math" w:hAnsi="Cambria Math"/>
                        <w:color w:val="000000"/>
                        <w:sz w:val="24"/>
                      </w:rPr>
                      <m:t>β</m:t>
                    </m:r>
                  </m:e>
                  <m:sub>
                    <m:r>
                      <w:rPr>
                        <w:rFonts w:ascii="Cambria Math" w:hAnsi="Cambria Math"/>
                        <w:color w:val="000000"/>
                        <w:sz w:val="24"/>
                      </w:rPr>
                      <m:t>2</m:t>
                    </m:r>
                  </m:sub>
                </m:sSub>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s</m:t>
                    </m:r>
                  </m:sub>
                </m:sSub>
                <m:r>
                  <w:rPr>
                    <w:rFonts w:ascii="Cambria Math" w:hAnsi="Cambria Math"/>
                    <w:color w:val="000000"/>
                    <w:sz w:val="24"/>
                  </w:rPr>
                  <m:t>-</m:t>
                </m:r>
                <m:sSub>
                  <m:sSubPr>
                    <m:ctrlPr>
                      <w:rPr>
                        <w:rFonts w:ascii="Cambria Math" w:hAnsi="Cambria Math"/>
                        <w:i/>
                        <w:color w:val="000000"/>
                        <w:sz w:val="24"/>
                      </w:rPr>
                    </m:ctrlPr>
                  </m:sSubPr>
                  <m:e>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s</m:t>
                        </m:r>
                      </m:sub>
                    </m:sSub>
                    <m:r>
                      <w:rPr>
                        <w:rFonts w:ascii="Cambria Math" w:hAnsi="Cambria Math"/>
                        <w:color w:val="000000"/>
                        <w:sz w:val="24"/>
                      </w:rPr>
                      <m:t>β</m:t>
                    </m:r>
                  </m:e>
                  <m:sub>
                    <m:r>
                      <w:rPr>
                        <w:rFonts w:ascii="Cambria Math" w:hAnsi="Cambria Math"/>
                        <w:color w:val="000000"/>
                        <w:sz w:val="24"/>
                      </w:rPr>
                      <m:t>3</m:t>
                    </m:r>
                  </m:sub>
                </m:sSub>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s</m:t>
                    </m:r>
                  </m:sub>
                </m:sSub>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s</m:t>
                    </m:r>
                  </m:sub>
                </m:sSub>
                <m:r>
                  <w:rPr>
                    <w:rFonts w:ascii="Cambria Math" w:hAnsi="Cambria Math"/>
                    <w:color w:val="000000"/>
                    <w:sz w:val="24"/>
                  </w:rPr>
                  <m:t xml:space="preserve">,                                          </m:t>
                </m:r>
              </m:oMath>
            </m:oMathPara>
          </w:p>
        </w:tc>
        <w:tc>
          <w:tcPr>
            <w:tcW w:w="540"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(2)</w:t>
            </w:r>
          </w:p>
        </w:tc>
      </w:tr>
      <w:tr w:rsidR="00AA6F1F" w:rsidRPr="00AA6F1F" w:rsidTr="00AB3042">
        <w:tc>
          <w:tcPr>
            <w:tcW w:w="486" w:type="dxa"/>
          </w:tcPr>
          <w:p w:rsidR="00AA6F1F" w:rsidRPr="00A57EFF" w:rsidRDefault="00AA6F1F" w:rsidP="00A57EFF">
            <w:pPr>
              <w:spacing w:after="120" w:line="480" w:lineRule="auto"/>
              <w:contextualSpacing/>
              <w:jc w:val="both"/>
              <w:rPr>
                <w:rFonts w:ascii="Times New Roman" w:hAnsi="Times New Roman"/>
                <w:color w:val="000000"/>
                <w:sz w:val="24"/>
              </w:rPr>
            </w:pPr>
          </w:p>
        </w:tc>
        <w:tc>
          <w:tcPr>
            <w:tcW w:w="7270" w:type="dxa"/>
          </w:tcPr>
          <w:p w:rsidR="00AA6F1F" w:rsidRPr="00A57EFF" w:rsidRDefault="00443791" w:rsidP="00A57EFF">
            <w:pPr>
              <w:spacing w:after="120" w:line="480" w:lineRule="auto"/>
              <w:contextualSpacing/>
              <w:jc w:val="both"/>
              <w:rPr>
                <w:rFonts w:ascii="Times New Roman" w:hAnsi="Times New Roman"/>
                <w:color w:val="000000"/>
                <w:sz w:val="24"/>
              </w:rPr>
            </w:pPr>
            <m:oMathPara>
              <m:oMath>
                <m:f>
                  <m:fPr>
                    <m:ctrlPr>
                      <w:rPr>
                        <w:rFonts w:ascii="Cambria Math" w:hAnsi="Cambria Math"/>
                        <w:i/>
                        <w:color w:val="000000"/>
                        <w:sz w:val="24"/>
                      </w:rPr>
                    </m:ctrlPr>
                  </m:fPr>
                  <m:num>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l</m:t>
                        </m:r>
                      </m:sub>
                    </m:sSub>
                  </m:num>
                  <m:den>
                    <m:r>
                      <w:rPr>
                        <w:rFonts w:ascii="Cambria Math" w:hAnsi="Cambria Math"/>
                        <w:color w:val="000000"/>
                        <w:sz w:val="24"/>
                      </w:rPr>
                      <m:t>∂t</m:t>
                    </m:r>
                  </m:den>
                </m:f>
                <m:r>
                  <w:rPr>
                    <w:rFonts w:ascii="Cambria Math" w:hAnsi="Cambria Math"/>
                    <w:color w:val="000000"/>
                    <w:sz w:val="24"/>
                  </w:rPr>
                  <m:t>=</m:t>
                </m:r>
                <m:r>
                  <m:rPr>
                    <m:sty m:val="b"/>
                  </m:rPr>
                  <w:rPr>
                    <w:rFonts w:ascii="Cambria Math" w:hAnsi="Cambria Math"/>
                    <w:color w:val="000000"/>
                    <w:sz w:val="24"/>
                  </w:rPr>
                  <m:t>∇</m:t>
                </m:r>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sSub>
                  <m:sSubPr>
                    <m:ctrlPr>
                      <w:rPr>
                        <w:rFonts w:ascii="Cambria Math" w:hAnsi="Cambria Math"/>
                        <w:i/>
                        <w:color w:val="000000"/>
                        <w:sz w:val="24"/>
                      </w:rPr>
                    </m:ctrlPr>
                  </m:sSubPr>
                  <m:e>
                    <m:r>
                      <w:rPr>
                        <w:rFonts w:ascii="Cambria Math" w:hAnsi="Cambria Math"/>
                        <w:color w:val="000000"/>
                        <w:sz w:val="24"/>
                      </w:rPr>
                      <m:t>D</m:t>
                    </m:r>
                  </m:e>
                  <m:sub>
                    <m:r>
                      <w:rPr>
                        <w:rFonts w:ascii="Cambria Math" w:hAnsi="Cambria Math"/>
                        <w:color w:val="000000"/>
                        <w:sz w:val="24"/>
                      </w:rPr>
                      <m:t>C</m:t>
                    </m:r>
                  </m:sub>
                </m:sSub>
                <m:r>
                  <m:rPr>
                    <m:sty m:val="b"/>
                  </m:rP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r>
                  <w:rPr>
                    <w:rFonts w:ascii="Cambria Math" w:hAnsi="Cambria Math"/>
                    <w:color w:val="000000"/>
                    <w:sz w:val="24"/>
                  </w:rPr>
                  <m:t xml:space="preserve">λ </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sSub>
                  <m:sSubPr>
                    <m:ctrlPr>
                      <w:rPr>
                        <w:rFonts w:ascii="Cambria Math" w:hAnsi="Cambria Math"/>
                        <w:i/>
                        <w:color w:val="000000"/>
                        <w:sz w:val="24"/>
                      </w:rPr>
                    </m:ctrlPr>
                  </m:sSubPr>
                  <m:e>
                    <m:r>
                      <w:rPr>
                        <w:rFonts w:ascii="Cambria Math" w:hAnsi="Cambria Math"/>
                        <w:color w:val="000000"/>
                        <w:sz w:val="24"/>
                      </w:rPr>
                      <m:t>γ</m:t>
                    </m:r>
                  </m:e>
                  <m:sub>
                    <m:r>
                      <w:rPr>
                        <w:rFonts w:ascii="Cambria Math" w:hAnsi="Cambria Math"/>
                        <w:color w:val="000000"/>
                        <w:sz w:val="24"/>
                      </w:rPr>
                      <m:t>1</m:t>
                    </m:r>
                  </m:sub>
                </m:sSub>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s</m:t>
                    </m:r>
                  </m:sub>
                </m:sSub>
                <m:sSub>
                  <m:sSubPr>
                    <m:ctrlPr>
                      <w:rPr>
                        <w:rFonts w:ascii="Cambria Math" w:hAnsi="Cambria Math"/>
                        <w:i/>
                        <w:color w:val="000000"/>
                        <w:sz w:val="24"/>
                      </w:rPr>
                    </m:ctrlPr>
                  </m:sSubPr>
                  <m:e>
                    <m:r>
                      <w:rPr>
                        <w:rFonts w:ascii="Cambria Math" w:hAnsi="Cambria Math"/>
                        <w:color w:val="000000"/>
                        <w:sz w:val="24"/>
                      </w:rPr>
                      <m:t>γ</m:t>
                    </m:r>
                  </m:e>
                  <m:sub>
                    <m:r>
                      <w:rPr>
                        <w:rFonts w:ascii="Cambria Math" w:hAnsi="Cambria Math"/>
                        <w:color w:val="000000"/>
                        <w:sz w:val="24"/>
                      </w:rPr>
                      <m:t>2</m:t>
                    </m:r>
                  </m:sub>
                </m:sSub>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s</m:t>
                    </m:r>
                  </m:sub>
                </m:sSub>
                <m:r>
                  <w:rPr>
                    <w:rFonts w:ascii="Cambria Math" w:hAnsi="Cambria Math"/>
                    <w:color w:val="000000"/>
                    <w:sz w:val="24"/>
                  </w:rPr>
                  <m:t>,</m:t>
                </m:r>
              </m:oMath>
            </m:oMathPara>
          </w:p>
        </w:tc>
        <w:tc>
          <w:tcPr>
            <w:tcW w:w="540"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(3)</w:t>
            </w:r>
          </w:p>
        </w:tc>
      </w:tr>
      <w:tr w:rsidR="00AA6F1F" w:rsidRPr="00AA6F1F" w:rsidTr="00AB3042">
        <w:tc>
          <w:tcPr>
            <w:tcW w:w="486" w:type="dxa"/>
          </w:tcPr>
          <w:p w:rsidR="00AA6F1F" w:rsidRPr="00A57EFF" w:rsidRDefault="00AA6F1F" w:rsidP="00A57EFF">
            <w:pPr>
              <w:spacing w:after="120" w:line="480" w:lineRule="auto"/>
              <w:contextualSpacing/>
              <w:jc w:val="both"/>
              <w:rPr>
                <w:rFonts w:ascii="Times New Roman" w:hAnsi="Times New Roman"/>
                <w:color w:val="000000"/>
                <w:sz w:val="24"/>
              </w:rPr>
            </w:pPr>
          </w:p>
        </w:tc>
        <w:tc>
          <w:tcPr>
            <w:tcW w:w="7270" w:type="dxa"/>
          </w:tcPr>
          <w:p w:rsidR="00AA6F1F" w:rsidRPr="00A57EFF" w:rsidRDefault="00443791" w:rsidP="00A57EFF">
            <w:pPr>
              <w:spacing w:after="120" w:line="480" w:lineRule="auto"/>
              <w:contextualSpacing/>
              <w:jc w:val="both"/>
              <w:rPr>
                <w:rFonts w:ascii="Times New Roman" w:hAnsi="Times New Roman"/>
                <w:color w:val="000000"/>
                <w:sz w:val="24"/>
              </w:rPr>
            </w:pPr>
            <m:oMathPara>
              <m:oMath>
                <m:f>
                  <m:fPr>
                    <m:ctrlPr>
                      <w:rPr>
                        <w:rFonts w:ascii="Cambria Math" w:hAnsi="Cambria Math"/>
                        <w:i/>
                        <w:color w:val="000000"/>
                        <w:sz w:val="24"/>
                      </w:rPr>
                    </m:ctrlPr>
                  </m:fPr>
                  <m:num>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s</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s</m:t>
                        </m:r>
                      </m:sub>
                    </m:sSub>
                  </m:num>
                  <m:den>
                    <m:r>
                      <w:rPr>
                        <w:rFonts w:ascii="Cambria Math" w:hAnsi="Cambria Math"/>
                        <w:color w:val="000000"/>
                        <w:sz w:val="24"/>
                      </w:rPr>
                      <m:t>∂t</m:t>
                    </m:r>
                  </m:den>
                </m:f>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sSub>
                  <m:sSubPr>
                    <m:ctrlPr>
                      <w:rPr>
                        <w:rFonts w:ascii="Cambria Math" w:hAnsi="Cambria Math"/>
                        <w:i/>
                        <w:color w:val="000000"/>
                        <w:sz w:val="24"/>
                      </w:rPr>
                    </m:ctrlPr>
                  </m:sSubPr>
                  <m:e>
                    <m:r>
                      <w:rPr>
                        <w:rFonts w:ascii="Cambria Math" w:hAnsi="Cambria Math"/>
                        <w:color w:val="000000"/>
                        <w:sz w:val="24"/>
                      </w:rPr>
                      <m:t>γ</m:t>
                    </m:r>
                  </m:e>
                  <m:sub>
                    <m:r>
                      <w:rPr>
                        <w:rFonts w:ascii="Cambria Math" w:hAnsi="Cambria Math"/>
                        <w:color w:val="000000"/>
                        <w:sz w:val="24"/>
                      </w:rPr>
                      <m:t>1</m:t>
                    </m:r>
                  </m:sub>
                </m:sSub>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s</m:t>
                        </m:r>
                      </m:sub>
                    </m:sSub>
                    <m:r>
                      <w:rPr>
                        <w:rFonts w:ascii="Cambria Math" w:hAnsi="Cambria Math"/>
                        <w:color w:val="000000"/>
                        <w:sz w:val="24"/>
                      </w:rPr>
                      <m:t>γ</m:t>
                    </m:r>
                  </m:e>
                  <m:sub>
                    <m:r>
                      <w:rPr>
                        <w:rFonts w:ascii="Cambria Math" w:hAnsi="Cambria Math"/>
                        <w:color w:val="000000"/>
                        <w:sz w:val="24"/>
                      </w:rPr>
                      <m:t>2</m:t>
                    </m:r>
                  </m:sub>
                </m:sSub>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s</m:t>
                    </m:r>
                  </m:sub>
                </m:sSub>
                <m:r>
                  <w:rPr>
                    <w:rFonts w:ascii="Cambria Math" w:hAnsi="Cambria Math"/>
                    <w:color w:val="000000"/>
                    <w:sz w:val="24"/>
                  </w:rPr>
                  <m:t xml:space="preserve">,                                                           </m:t>
                </m:r>
              </m:oMath>
            </m:oMathPara>
          </w:p>
        </w:tc>
        <w:tc>
          <w:tcPr>
            <w:tcW w:w="540"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(4)</w:t>
            </w:r>
          </w:p>
        </w:tc>
      </w:tr>
    </w:tbl>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where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oMath>
      <w:r w:rsidRPr="00A57EFF">
        <w:rPr>
          <w:rFonts w:ascii="Times New Roman" w:hAnsi="Times New Roman"/>
          <w:sz w:val="24"/>
        </w:rPr>
        <w:t xml:space="preserve"> [s</w:t>
      </w:r>
      <w:r w:rsidRPr="00A57EFF">
        <w:rPr>
          <w:rFonts w:ascii="Times New Roman" w:hAnsi="Times New Roman"/>
          <w:sz w:val="24"/>
          <w:vertAlign w:val="superscript"/>
        </w:rPr>
        <w:t>-1</w:t>
      </w:r>
      <w:r w:rsidRPr="00A57EFF">
        <w:rPr>
          <w:rFonts w:ascii="Times New Roman" w:hAnsi="Times New Roman"/>
          <w:sz w:val="24"/>
        </w:rPr>
        <w:t xml:space="preserve">] is the rate at which P adsorbs to soil particles,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oMath>
      <w:r w:rsidRPr="00A57EFF">
        <w:rPr>
          <w:rFonts w:ascii="Times New Roman" w:hAnsi="Times New Roman"/>
          <w:sz w:val="24"/>
        </w:rPr>
        <w:t xml:space="preserve"> [s</w:t>
      </w:r>
      <w:r w:rsidRPr="00A57EFF">
        <w:rPr>
          <w:rFonts w:ascii="Times New Roman" w:hAnsi="Times New Roman"/>
          <w:sz w:val="24"/>
          <w:vertAlign w:val="superscript"/>
        </w:rPr>
        <w:t>-1</w:t>
      </w:r>
      <w:r w:rsidRPr="00A57EFF">
        <w:rPr>
          <w:rFonts w:ascii="Times New Roman" w:hAnsi="Times New Roman"/>
          <w:sz w:val="24"/>
        </w:rPr>
        <w:t xml:space="preserve">] is the rate at which P desorbs from soil particles,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oMath>
      <w:r w:rsidRPr="00A57EFF">
        <w:rPr>
          <w:rFonts w:ascii="Times New Roman" w:hAnsi="Times New Roman"/>
          <w:sz w:val="24"/>
        </w:rPr>
        <w:t xml:space="preserve"> [m</w:t>
      </w:r>
      <w:r w:rsidRPr="00A57EFF">
        <w:rPr>
          <w:rFonts w:ascii="Times New Roman" w:hAnsi="Times New Roman"/>
          <w:sz w:val="24"/>
          <w:vertAlign w:val="superscript"/>
        </w:rPr>
        <w:t>3</w:t>
      </w:r>
      <w:r w:rsidRPr="00A57EFF">
        <w:rPr>
          <w:rFonts w:ascii="Times New Roman" w:hAnsi="Times New Roman"/>
          <w:sz w:val="24"/>
        </w:rPr>
        <w:t xml:space="preserve"> of soil solid s</w:t>
      </w:r>
      <w:r w:rsidRPr="00A57EFF">
        <w:rPr>
          <w:rFonts w:ascii="Times New Roman" w:hAnsi="Times New Roman"/>
          <w:sz w:val="24"/>
          <w:vertAlign w:val="superscript"/>
        </w:rPr>
        <w:t>-1</w:t>
      </w:r>
      <w:r w:rsidRPr="00A57EFF">
        <w:rPr>
          <w:rFonts w:ascii="Times New Roman" w:hAnsi="Times New Roman"/>
          <w:sz w:val="24"/>
        </w:rPr>
        <w:t xml:space="preserve"> µmol</w:t>
      </w:r>
      <w:r w:rsidRPr="00A57EFF">
        <w:rPr>
          <w:rFonts w:ascii="Times New Roman" w:hAnsi="Times New Roman"/>
          <w:sz w:val="24"/>
          <w:vertAlign w:val="superscript"/>
        </w:rPr>
        <w:t>-1</w:t>
      </w:r>
      <w:r w:rsidRPr="00A57EFF">
        <w:rPr>
          <w:rFonts w:ascii="Times New Roman" w:hAnsi="Times New Roman"/>
          <w:sz w:val="24"/>
        </w:rPr>
        <w:t xml:space="preserve">] is the rate associated with </w:t>
      </w:r>
      <w:r w:rsidRPr="00AA6F1F">
        <w:rPr>
          <w:rFonts w:ascii="Times New Roman" w:eastAsia="Calibri" w:hAnsi="Times New Roman" w:cs="Times New Roman"/>
          <w:sz w:val="24"/>
          <w:szCs w:val="24"/>
        </w:rPr>
        <w:t>specific adsorption</w:t>
      </w:r>
      <w:r w:rsidRPr="00A57EFF">
        <w:rPr>
          <w:rFonts w:ascii="Times New Roman" w:hAnsi="Times New Roman"/>
          <w:sz w:val="24"/>
        </w:rPr>
        <w:t xml:space="preserve"> between citrate and P on soil sorption sights, </w:t>
      </w:r>
      <m:oMath>
        <m:sSub>
          <m:sSubPr>
            <m:ctrlPr>
              <w:rPr>
                <w:rFonts w:ascii="Cambria Math" w:hAnsi="Cambria Math"/>
                <w:i/>
                <w:sz w:val="24"/>
              </w:rPr>
            </m:ctrlPr>
          </m:sSubPr>
          <m:e>
            <m:r>
              <w:rPr>
                <w:rFonts w:ascii="Cambria Math" w:hAnsi="Cambria Math"/>
                <w:sz w:val="24"/>
              </w:rPr>
              <m:t>γ</m:t>
            </m:r>
          </m:e>
          <m:sub>
            <m:r>
              <w:rPr>
                <w:rFonts w:ascii="Cambria Math" w:hAnsi="Cambria Math"/>
                <w:sz w:val="24"/>
              </w:rPr>
              <m:t>1</m:t>
            </m:r>
          </m:sub>
        </m:sSub>
      </m:oMath>
      <w:r w:rsidRPr="00A57EFF">
        <w:rPr>
          <w:rFonts w:ascii="Times New Roman" w:hAnsi="Times New Roman"/>
          <w:sz w:val="24"/>
        </w:rPr>
        <w:t xml:space="preserve"> [s</w:t>
      </w:r>
      <w:r w:rsidRPr="00A57EFF">
        <w:rPr>
          <w:rFonts w:ascii="Times New Roman" w:hAnsi="Times New Roman"/>
          <w:sz w:val="24"/>
          <w:vertAlign w:val="superscript"/>
        </w:rPr>
        <w:t>-1</w:t>
      </w:r>
      <w:r w:rsidRPr="00A57EFF">
        <w:rPr>
          <w:rFonts w:ascii="Times New Roman" w:hAnsi="Times New Roman"/>
          <w:sz w:val="24"/>
        </w:rPr>
        <w:t xml:space="preserve">] is the rate at which citrate adsorbs to soil particles, </w:t>
      </w:r>
      <m:oMath>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r>
          <w:rPr>
            <w:rFonts w:ascii="Cambria Math" w:hAnsi="Cambria Math"/>
            <w:sz w:val="24"/>
          </w:rPr>
          <m:t xml:space="preserve"> </m:t>
        </m:r>
      </m:oMath>
      <w:r w:rsidRPr="00A57EFF">
        <w:rPr>
          <w:rFonts w:ascii="Times New Roman" w:hAnsi="Times New Roman"/>
          <w:sz w:val="24"/>
        </w:rPr>
        <w:t>[s</w:t>
      </w:r>
      <w:r w:rsidRPr="00A57EFF">
        <w:rPr>
          <w:rFonts w:ascii="Times New Roman" w:hAnsi="Times New Roman"/>
          <w:sz w:val="24"/>
          <w:vertAlign w:val="superscript"/>
        </w:rPr>
        <w:t>-1</w:t>
      </w:r>
      <w:r w:rsidRPr="00A57EFF">
        <w:rPr>
          <w:rFonts w:ascii="Times New Roman" w:hAnsi="Times New Roman"/>
          <w:sz w:val="24"/>
        </w:rPr>
        <w:t xml:space="preserve">] is the rate at which citrate desorbs from soil particles,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P</m:t>
            </m:r>
          </m:sub>
        </m:sSub>
      </m:oMath>
      <w:r w:rsidR="006D5C74">
        <w:rPr>
          <w:rFonts w:ascii="Times New Roman" w:eastAsia="Calibri" w:hAnsi="Times New Roman" w:cs="Times New Roman"/>
          <w:sz w:val="24"/>
          <w:szCs w:val="24"/>
        </w:rPr>
        <w:t xml:space="preserve"> and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D</m:t>
            </m:r>
          </m:e>
          <m:sub>
            <m:r>
              <w:rPr>
                <w:rFonts w:ascii="Cambria Math" w:eastAsia="Calibri" w:hAnsi="Cambria Math" w:cs="Times New Roman"/>
                <w:sz w:val="24"/>
                <w:szCs w:val="24"/>
              </w:rPr>
              <m:t>C</m:t>
            </m:r>
          </m:sub>
        </m:sSub>
      </m:oMath>
      <w:r w:rsidR="006D5C74">
        <w:rPr>
          <w:rFonts w:ascii="Times New Roman" w:eastAsia="Calibri" w:hAnsi="Times New Roman" w:cs="Times New Roman"/>
          <w:sz w:val="24"/>
          <w:szCs w:val="24"/>
        </w:rPr>
        <w:t xml:space="preserve"> </w:t>
      </w:r>
      <w:r w:rsidRPr="00AA6F1F">
        <w:rPr>
          <w:rFonts w:ascii="Times New Roman" w:eastAsia="Calibri" w:hAnsi="Times New Roman" w:cs="Times New Roman"/>
          <w:sz w:val="24"/>
          <w:szCs w:val="24"/>
        </w:rPr>
        <w:t>[</w:t>
      </w:r>
      <w:r w:rsidRPr="00A57EFF">
        <w:rPr>
          <w:rFonts w:ascii="Times New Roman" w:hAnsi="Times New Roman"/>
          <w:sz w:val="24"/>
        </w:rPr>
        <w:t>m</w:t>
      </w:r>
      <w:r w:rsidRPr="00A57EFF">
        <w:rPr>
          <w:rFonts w:ascii="Times New Roman" w:hAnsi="Times New Roman"/>
          <w:sz w:val="24"/>
          <w:vertAlign w:val="superscript"/>
        </w:rPr>
        <w:t>2</w:t>
      </w:r>
      <w:r w:rsidRPr="00A57EFF">
        <w:rPr>
          <w:rFonts w:ascii="Times New Roman" w:hAnsi="Times New Roman"/>
          <w:sz w:val="24"/>
        </w:rPr>
        <w:t xml:space="preserve"> of soil solution s</w:t>
      </w:r>
      <w:r w:rsidRPr="00A57EFF">
        <w:rPr>
          <w:rFonts w:ascii="Times New Roman" w:hAnsi="Times New Roman"/>
          <w:sz w:val="24"/>
          <w:vertAlign w:val="superscript"/>
        </w:rPr>
        <w:t>-1</w:t>
      </w:r>
      <w:r w:rsidR="006D5C74" w:rsidRPr="00A57EFF">
        <w:rPr>
          <w:rFonts w:ascii="Times New Roman" w:hAnsi="Times New Roman"/>
          <w:sz w:val="24"/>
        </w:rPr>
        <w:t xml:space="preserve">] </w:t>
      </w:r>
      <w:r w:rsidR="006D5C74">
        <w:rPr>
          <w:rFonts w:ascii="Times New Roman" w:eastAsia="Calibri" w:hAnsi="Times New Roman" w:cs="Times New Roman"/>
          <w:sz w:val="24"/>
          <w:szCs w:val="24"/>
        </w:rPr>
        <w:t>are</w:t>
      </w:r>
      <w:r w:rsidR="00CE42AE" w:rsidRPr="00A57EFF">
        <w:rPr>
          <w:rFonts w:ascii="Times New Roman" w:hAnsi="Times New Roman"/>
          <w:sz w:val="24"/>
        </w:rPr>
        <w:t xml:space="preserve"> the diffusion </w:t>
      </w:r>
      <w:r w:rsidR="00CE42AE">
        <w:rPr>
          <w:rFonts w:ascii="Times New Roman" w:eastAsia="Calibri" w:hAnsi="Times New Roman" w:cs="Times New Roman"/>
          <w:sz w:val="24"/>
          <w:szCs w:val="24"/>
        </w:rPr>
        <w:t>coefficient</w:t>
      </w:r>
      <w:r w:rsidR="006D5C74">
        <w:rPr>
          <w:rFonts w:ascii="Times New Roman" w:eastAsia="Calibri" w:hAnsi="Times New Roman" w:cs="Times New Roman"/>
          <w:sz w:val="24"/>
          <w:szCs w:val="24"/>
        </w:rPr>
        <w:t>s</w:t>
      </w:r>
      <w:r w:rsidRPr="00A57EFF">
        <w:rPr>
          <w:rFonts w:ascii="Times New Roman" w:hAnsi="Times New Roman"/>
          <w:sz w:val="24"/>
        </w:rPr>
        <w:t xml:space="preserve"> of P</w:t>
      </w:r>
      <w:r w:rsidR="006D5C74" w:rsidRPr="00A57EFF">
        <w:rPr>
          <w:rFonts w:ascii="Times New Roman" w:hAnsi="Times New Roman"/>
          <w:sz w:val="24"/>
        </w:rPr>
        <w:t xml:space="preserve"> </w:t>
      </w:r>
      <w:r w:rsidR="00BF6604">
        <w:rPr>
          <w:rFonts w:ascii="Times New Roman" w:eastAsia="Calibri" w:hAnsi="Times New Roman" w:cs="Times New Roman"/>
          <w:sz w:val="24"/>
          <w:szCs w:val="24"/>
        </w:rPr>
        <w:t>and</w:t>
      </w:r>
      <w:r w:rsidR="00BF6604" w:rsidRPr="00A57EFF">
        <w:rPr>
          <w:rFonts w:ascii="Times New Roman" w:hAnsi="Times New Roman"/>
          <w:sz w:val="24"/>
        </w:rPr>
        <w:t xml:space="preserve"> citrate </w:t>
      </w:r>
      <w:r w:rsidR="006D5C74" w:rsidRPr="00A57EFF">
        <w:rPr>
          <w:rFonts w:ascii="Times New Roman" w:hAnsi="Times New Roman"/>
          <w:sz w:val="24"/>
        </w:rPr>
        <w:t xml:space="preserve">in </w:t>
      </w:r>
      <w:r w:rsidR="006D5C74">
        <w:rPr>
          <w:rFonts w:ascii="Times New Roman" w:eastAsia="Calibri" w:hAnsi="Times New Roman" w:cs="Times New Roman"/>
          <w:sz w:val="24"/>
          <w:szCs w:val="24"/>
        </w:rPr>
        <w:t>water</w:t>
      </w:r>
      <w:r w:rsidR="00BF6604">
        <w:rPr>
          <w:rFonts w:ascii="Times New Roman" w:eastAsia="Calibri" w:hAnsi="Times New Roman" w:cs="Times New Roman"/>
          <w:sz w:val="24"/>
          <w:szCs w:val="24"/>
        </w:rPr>
        <w:t xml:space="preserve"> </w:t>
      </w:r>
      <w:r w:rsidR="006D5C74">
        <w:rPr>
          <w:rFonts w:ascii="Times New Roman" w:eastAsia="Calibri" w:hAnsi="Times New Roman" w:cs="Times New Roman"/>
          <w:sz w:val="24"/>
          <w:szCs w:val="24"/>
        </w:rPr>
        <w:t xml:space="preserve">respectively (when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ϕ</m:t>
            </m:r>
          </m:e>
          <m:sub>
            <m:r>
              <w:rPr>
                <w:rFonts w:ascii="Cambria Math" w:eastAsia="Calibri" w:hAnsi="Cambria Math" w:cs="Times New Roman"/>
                <w:sz w:val="24"/>
                <w:szCs w:val="24"/>
              </w:rPr>
              <m:t>s</m:t>
            </m:r>
          </m:sub>
        </m:sSub>
        <m:r>
          <w:rPr>
            <w:rFonts w:ascii="Cambria Math" w:eastAsia="Calibri" w:hAnsi="Cambria Math" w:cs="Times New Roman"/>
            <w:sz w:val="24"/>
            <w:szCs w:val="24"/>
          </w:rPr>
          <m:t>&gt;0</m:t>
        </m:r>
      </m:oMath>
      <w:r w:rsidR="006D5C74">
        <w:rPr>
          <w:rFonts w:ascii="Times New Roman" w:eastAsia="Calibri" w:hAnsi="Times New Roman" w:cs="Times New Roman"/>
          <w:sz w:val="24"/>
          <w:szCs w:val="24"/>
        </w:rPr>
        <w:t>, these include a geometric impedance factor of 0.3)</w:t>
      </w:r>
      <w:r w:rsidRPr="00AA6F1F">
        <w:rPr>
          <w:rFonts w:ascii="Times New Roman" w:eastAsia="Calibri" w:hAnsi="Times New Roman" w:cs="Times New Roman"/>
          <w:sz w:val="24"/>
          <w:szCs w:val="24"/>
        </w:rPr>
        <w:t>,</w:t>
      </w:r>
      <w:r w:rsidRPr="00A57EFF">
        <w:rPr>
          <w:rFonts w:ascii="Times New Roman" w:hAnsi="Times New Roman"/>
          <w:sz w:val="24"/>
        </w:rPr>
        <w:t xml:space="preserve"> and </w:t>
      </w:r>
      <m:oMath>
        <m:r>
          <w:rPr>
            <w:rFonts w:ascii="Cambria Math" w:hAnsi="Cambria Math"/>
            <w:sz w:val="24"/>
          </w:rPr>
          <m:t>λ</m:t>
        </m:r>
      </m:oMath>
      <w:r w:rsidRPr="00A57EFF">
        <w:rPr>
          <w:rFonts w:ascii="Times New Roman" w:hAnsi="Times New Roman"/>
          <w:sz w:val="24"/>
        </w:rPr>
        <w:t xml:space="preserve"> [s</w:t>
      </w:r>
      <w:r w:rsidRPr="00A57EFF">
        <w:rPr>
          <w:rFonts w:ascii="Times New Roman" w:hAnsi="Times New Roman"/>
          <w:sz w:val="24"/>
          <w:vertAlign w:val="superscript"/>
        </w:rPr>
        <w:t>-1</w:t>
      </w:r>
      <w:r w:rsidRPr="00A57EFF">
        <w:rPr>
          <w:rFonts w:ascii="Times New Roman" w:hAnsi="Times New Roman"/>
          <w:sz w:val="24"/>
        </w:rPr>
        <w:t>] is the rate of citrate bio-degradation.</w:t>
      </w:r>
    </w:p>
    <w:p w:rsidR="00AA6F1F" w:rsidRPr="00A57EFF" w:rsidRDefault="00AA6F1F" w:rsidP="00A57EFF">
      <w:pPr>
        <w:spacing w:after="200" w:line="480" w:lineRule="auto"/>
        <w:ind w:firstLine="720"/>
        <w:jc w:val="both"/>
        <w:rPr>
          <w:rFonts w:ascii="Times New Roman" w:hAnsi="Times New Roman"/>
          <w:sz w:val="24"/>
        </w:rPr>
      </w:pPr>
      <w:r w:rsidRPr="00A57EFF">
        <w:rPr>
          <w:rFonts w:ascii="Times New Roman" w:hAnsi="Times New Roman"/>
          <w:sz w:val="24"/>
        </w:rPr>
        <w:t xml:space="preserve">In Equations (1-4), adsorbed citrate and P are treated as separate chemical species from citrate and P in solution. The terms in Equations (1) and (2) with no spatial derivative describe a reversible chemical reaction between adsorbed and solution P where adsorbed citrate acts as a catalyst for P desorption. The prefactors </w:t>
      </w: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l</m:t>
            </m:r>
          </m:sub>
        </m:sSub>
      </m:oMath>
      <w:r w:rsidRPr="00A57EFF">
        <w:rPr>
          <w:rFonts w:ascii="Times New Roman" w:hAnsi="Times New Roman"/>
          <w:sz w:val="24"/>
        </w:rPr>
        <w:t xml:space="preserve"> and </w:t>
      </w: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s</m:t>
            </m:r>
          </m:sub>
        </m:sSub>
      </m:oMath>
      <w:r w:rsidRPr="00A57EFF">
        <w:rPr>
          <w:rFonts w:ascii="Times New Roman" w:hAnsi="Times New Roman"/>
          <w:sz w:val="24"/>
        </w:rPr>
        <w:t xml:space="preserve"> are included to ensure that the model accounts for changes in soil saturation, </w:t>
      </w:r>
      <w:r w:rsidRPr="00A57EFF">
        <w:rPr>
          <w:rFonts w:ascii="Times New Roman" w:hAnsi="Times New Roman"/>
          <w:i/>
          <w:sz w:val="24"/>
        </w:rPr>
        <w:t>i.e.</w:t>
      </w:r>
      <w:r w:rsidRPr="00A57EFF">
        <w:rPr>
          <w:rFonts w:ascii="Times New Roman" w:hAnsi="Times New Roman"/>
          <w:sz w:val="24"/>
        </w:rPr>
        <w:t xml:space="preserve"> when soil saturation or soil content approaches zero the reaction terms are altered accordingly.</w:t>
      </w:r>
    </w:p>
    <w:p w:rsidR="00AA6F1F" w:rsidRPr="00A57EFF" w:rsidRDefault="00AA6F1F" w:rsidP="00A57EFF">
      <w:pPr>
        <w:spacing w:after="200" w:line="480" w:lineRule="auto"/>
        <w:ind w:firstLine="720"/>
        <w:jc w:val="both"/>
        <w:rPr>
          <w:rFonts w:ascii="Times New Roman" w:hAnsi="Times New Roman"/>
          <w:sz w:val="24"/>
        </w:rPr>
      </w:pPr>
      <w:r w:rsidRPr="00A57EFF">
        <w:rPr>
          <w:rFonts w:ascii="Times New Roman" w:hAnsi="Times New Roman"/>
          <w:sz w:val="24"/>
        </w:rPr>
        <w:t>To solve Equations (1-4), a set of boundary equations is required for the microdialysis probe. The pump rate of the microdialysis probe is assumed to be fast enough so that there is an infinite supply of citrate and when P is absorbed by the microdialysis probe it is instantly transported away. It is assumed that the microdialysis probe exudes citrate at a rate proportional to the difference in concentration of citrate in the perfusate and in solution,</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
        <w:gridCol w:w="7295"/>
        <w:gridCol w:w="523"/>
      </w:tblGrid>
      <w:tr w:rsidR="00AA6F1F" w:rsidRPr="00AA6F1F" w:rsidTr="00AB3042">
        <w:tc>
          <w:tcPr>
            <w:tcW w:w="522" w:type="dxa"/>
          </w:tcPr>
          <w:p w:rsidR="00AA6F1F" w:rsidRPr="00A57EFF" w:rsidRDefault="00AA6F1F" w:rsidP="00A57EFF">
            <w:pPr>
              <w:spacing w:after="120" w:line="480" w:lineRule="auto"/>
              <w:contextualSpacing/>
              <w:jc w:val="both"/>
              <w:rPr>
                <w:rFonts w:ascii="Times New Roman" w:hAnsi="Times New Roman"/>
                <w:color w:val="000000"/>
                <w:sz w:val="24"/>
              </w:rPr>
            </w:pPr>
          </w:p>
        </w:tc>
        <w:tc>
          <w:tcPr>
            <w:tcW w:w="8080" w:type="dxa"/>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sSub>
                  <m:sSubPr>
                    <m:ctrlPr>
                      <w:rPr>
                        <w:rFonts w:ascii="Cambria Math" w:hAnsi="Cambria Math"/>
                        <w:i/>
                        <w:color w:val="000000"/>
                        <w:sz w:val="24"/>
                      </w:rPr>
                    </m:ctrlPr>
                  </m:sSubPr>
                  <m:e>
                    <m:r>
                      <w:rPr>
                        <w:rFonts w:ascii="Cambria Math" w:hAnsi="Cambria Math"/>
                        <w:color w:val="000000"/>
                        <w:sz w:val="24"/>
                      </w:rPr>
                      <m:t>D</m:t>
                    </m:r>
                  </m:e>
                  <m:sub>
                    <m:r>
                      <w:rPr>
                        <w:rFonts w:ascii="Cambria Math" w:hAnsi="Cambria Math"/>
                        <w:color w:val="000000"/>
                        <w:sz w:val="24"/>
                      </w:rPr>
                      <m:t>C</m:t>
                    </m:r>
                  </m:sub>
                </m:sSub>
                <m:r>
                  <m:rPr>
                    <m:sty m:val="b"/>
                  </m:rPr>
                  <w:rPr>
                    <w:rFonts w:ascii="Cambria Math" w:hAnsi="Cambria Math"/>
                    <w:color w:val="000000"/>
                    <w:sz w:val="24"/>
                  </w:rPr>
                  <m:t>∇</m:t>
                </m:r>
                <m:sSub>
                  <m:sSubPr>
                    <m:ctrlPr>
                      <w:rPr>
                        <w:rFonts w:ascii="Cambria Math" w:hAnsi="Cambria Math"/>
                        <w:color w:val="000000"/>
                        <w:sz w:val="24"/>
                      </w:rPr>
                    </m:ctrlPr>
                  </m:sSubPr>
                  <m:e>
                    <m:r>
                      <m:rPr>
                        <m:sty m:val="p"/>
                      </m:rPr>
                      <w:rPr>
                        <w:rFonts w:ascii="Cambria Math" w:hAnsi="Cambria Math"/>
                        <w:color w:val="000000"/>
                        <w:sz w:val="24"/>
                      </w:rPr>
                      <m:t>C</m:t>
                    </m:r>
                  </m:e>
                  <m:sub>
                    <m:r>
                      <m:rPr>
                        <m:sty m:val="p"/>
                      </m:rP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m:rPr>
                        <m:sty m:val="bi"/>
                      </m:rPr>
                      <w:rPr>
                        <w:rFonts w:ascii="Cambria Math" w:hAnsi="Cambria Math"/>
                        <w:color w:val="000000"/>
                        <w:sz w:val="24"/>
                      </w:rPr>
                      <m:t>n</m:t>
                    </m:r>
                  </m:e>
                  <m:sub>
                    <m:r>
                      <w:rPr>
                        <w:rFonts w:ascii="Cambria Math" w:hAnsi="Cambria Math"/>
                        <w:color w:val="000000"/>
                        <w:sz w:val="24"/>
                      </w:rPr>
                      <m:t>p</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δ</m:t>
                    </m:r>
                  </m:e>
                  <m:sub>
                    <m:r>
                      <w:rPr>
                        <w:rFonts w:ascii="Cambria Math" w:hAnsi="Cambria Math"/>
                        <w:color w:val="000000"/>
                        <w:sz w:val="24"/>
                      </w:rPr>
                      <m:t>c</m:t>
                    </m:r>
                  </m:sub>
                </m:sSub>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0</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l</m:t>
                        </m:r>
                      </m:sub>
                    </m:sSub>
                  </m:e>
                </m:d>
                <m:r>
                  <w:rPr>
                    <w:rFonts w:ascii="Cambria Math" w:hAnsi="Cambria Math"/>
                    <w:color w:val="000000"/>
                    <w:sz w:val="24"/>
                  </w:rPr>
                  <m:t xml:space="preserve">,    </m:t>
                </m:r>
                <m:r>
                  <m:rPr>
                    <m:sty m:val="bi"/>
                  </m:rPr>
                  <w:rPr>
                    <w:rFonts w:ascii="Cambria Math" w:hAnsi="Cambria Math"/>
                    <w:color w:val="000000"/>
                    <w:sz w:val="24"/>
                  </w:rPr>
                  <m:t>x</m:t>
                </m:r>
                <m:r>
                  <w:rPr>
                    <w:rFonts w:ascii="Cambria Math" w:hAnsi="Cambria Math"/>
                    <w:color w:val="000000"/>
                    <w:sz w:val="24"/>
                  </w:rPr>
                  <m:t>∈</m:t>
                </m:r>
                <m:sSub>
                  <m:sSubPr>
                    <m:ctrlPr>
                      <w:rPr>
                        <w:rFonts w:ascii="Cambria Math" w:hAnsi="Cambria Math"/>
                        <w:i/>
                        <w:color w:val="000000"/>
                        <w:sz w:val="24"/>
                      </w:rPr>
                    </m:ctrlPr>
                  </m:sSubPr>
                  <m:e>
                    <m:r>
                      <m:rPr>
                        <m:sty m:val="p"/>
                      </m:rPr>
                      <w:rPr>
                        <w:rFonts w:ascii="Cambria Math" w:hAnsi="Cambria Math"/>
                        <w:color w:val="000000"/>
                        <w:sz w:val="24"/>
                      </w:rPr>
                      <m:t>Γ</m:t>
                    </m:r>
                  </m:e>
                  <m:sub>
                    <m:r>
                      <w:rPr>
                        <w:rFonts w:ascii="Cambria Math" w:hAnsi="Cambria Math"/>
                        <w:color w:val="000000"/>
                        <w:sz w:val="24"/>
                      </w:rPr>
                      <m:t>p</m:t>
                    </m:r>
                  </m:sub>
                </m:sSub>
                <m:r>
                  <w:rPr>
                    <w:rFonts w:ascii="Cambria Math" w:hAnsi="Cambria Math"/>
                    <w:color w:val="000000"/>
                    <w:sz w:val="24"/>
                  </w:rPr>
                  <m:t>,</m:t>
                </m:r>
              </m:oMath>
            </m:oMathPara>
          </w:p>
        </w:tc>
        <w:tc>
          <w:tcPr>
            <w:tcW w:w="526"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(5)</w:t>
            </w:r>
          </w:p>
        </w:tc>
      </w:tr>
    </w:tbl>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where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 xml:space="preserve"> </m:t>
        </m:r>
      </m:oMath>
      <w:r w:rsidRPr="00A57EFF">
        <w:rPr>
          <w:rFonts w:ascii="Times New Roman" w:hAnsi="Times New Roman"/>
          <w:sz w:val="24"/>
        </w:rPr>
        <w:t>[µmol m</w:t>
      </w:r>
      <w:r w:rsidRPr="00A57EFF">
        <w:rPr>
          <w:rFonts w:ascii="Times New Roman" w:hAnsi="Times New Roman"/>
          <w:sz w:val="24"/>
          <w:vertAlign w:val="superscript"/>
        </w:rPr>
        <w:t xml:space="preserve">-3 </w:t>
      </w:r>
      <w:r w:rsidRPr="00A57EFF">
        <w:rPr>
          <w:rFonts w:ascii="Times New Roman" w:hAnsi="Times New Roman"/>
          <w:sz w:val="24"/>
        </w:rPr>
        <w:t xml:space="preserve">of perfusate] is the concentration of citrate in the perfusate, </w:t>
      </w:r>
      <m:oMath>
        <m:sSub>
          <m:sSubPr>
            <m:ctrlPr>
              <w:rPr>
                <w:rFonts w:ascii="Cambria Math" w:hAnsi="Cambria Math"/>
                <w:i/>
                <w:sz w:val="24"/>
              </w:rPr>
            </m:ctrlPr>
          </m:sSubPr>
          <m:e>
            <m:r>
              <m:rPr>
                <m:sty m:val="bi"/>
              </m:rPr>
              <w:rPr>
                <w:rFonts w:ascii="Cambria Math" w:hAnsi="Cambria Math"/>
                <w:sz w:val="24"/>
              </w:rPr>
              <m:t>n</m:t>
            </m:r>
            <m:ctrlPr>
              <w:rPr>
                <w:rFonts w:ascii="Cambria Math" w:hAnsi="Cambria Math"/>
                <w:b/>
                <w:i/>
                <w:sz w:val="24"/>
              </w:rPr>
            </m:ctrlPr>
          </m:e>
          <m:sub>
            <m:r>
              <w:rPr>
                <w:rFonts w:ascii="Cambria Math" w:hAnsi="Cambria Math"/>
                <w:sz w:val="24"/>
              </w:rPr>
              <m:t>p</m:t>
            </m:r>
          </m:sub>
        </m:sSub>
        <m:r>
          <w:rPr>
            <w:rFonts w:ascii="Cambria Math" w:hAnsi="Cambria Math"/>
            <w:sz w:val="24"/>
          </w:rPr>
          <m:t>(</m:t>
        </m:r>
        <m:r>
          <m:rPr>
            <m:sty m:val="bi"/>
          </m:rPr>
          <w:rPr>
            <w:rFonts w:ascii="Cambria Math" w:hAnsi="Cambria Math"/>
            <w:sz w:val="24"/>
          </w:rPr>
          <m:t>x</m:t>
        </m:r>
        <m:r>
          <w:rPr>
            <w:rFonts w:ascii="Cambria Math" w:hAnsi="Cambria Math"/>
            <w:sz w:val="24"/>
          </w:rPr>
          <m:t>)</m:t>
        </m:r>
      </m:oMath>
      <w:r w:rsidRPr="00A57EFF">
        <w:rPr>
          <w:rFonts w:ascii="Times New Roman" w:hAnsi="Times New Roman"/>
          <w:sz w:val="24"/>
        </w:rPr>
        <w:t xml:space="preserve"> is the unit normal to </w:t>
      </w:r>
      <m:oMath>
        <m:sSub>
          <m:sSubPr>
            <m:ctrlPr>
              <w:rPr>
                <w:rFonts w:ascii="Cambria Math" w:hAnsi="Cambria Math"/>
                <w:i/>
                <w:sz w:val="24"/>
              </w:rPr>
            </m:ctrlPr>
          </m:sSubPr>
          <m:e>
            <m:r>
              <m:rPr>
                <m:sty m:val="p"/>
              </m:rPr>
              <w:rPr>
                <w:rFonts w:ascii="Cambria Math" w:hAnsi="Cambria Math"/>
                <w:sz w:val="24"/>
              </w:rPr>
              <m:t>Γ</m:t>
            </m:r>
            <m:ctrlPr>
              <w:rPr>
                <w:rFonts w:ascii="Cambria Math" w:hAnsi="Cambria Math"/>
                <w:sz w:val="24"/>
              </w:rPr>
            </m:ctrlPr>
          </m:e>
          <m:sub>
            <m:r>
              <w:rPr>
                <w:rFonts w:ascii="Cambria Math" w:hAnsi="Cambria Math"/>
                <w:sz w:val="24"/>
              </w:rPr>
              <m:t>p</m:t>
            </m:r>
          </m:sub>
        </m:sSub>
        <m:r>
          <w:rPr>
            <w:rFonts w:ascii="Cambria Math" w:hAnsi="Cambria Math"/>
            <w:sz w:val="24"/>
          </w:rPr>
          <m:t xml:space="preserve"> </m:t>
        </m:r>
      </m:oMath>
      <w:r w:rsidRPr="00A57EFF">
        <w:rPr>
          <w:rFonts w:ascii="Times New Roman" w:hAnsi="Times New Roman"/>
          <w:sz w:val="24"/>
        </w:rPr>
        <w:t xml:space="preserve">pointing out of </w:t>
      </w:r>
      <m:oMath>
        <m:r>
          <m:rPr>
            <m:sty m:val="p"/>
          </m:rPr>
          <w:rPr>
            <w:rFonts w:ascii="Cambria Math" w:hAnsi="Cambria Math"/>
            <w:sz w:val="24"/>
          </w:rPr>
          <m:t>Ω</m:t>
        </m:r>
      </m:oMath>
      <w:r w:rsidRPr="00A57EFF">
        <w:rPr>
          <w:rFonts w:ascii="Times New Roman" w:hAnsi="Times New Roman"/>
          <w:sz w:val="24"/>
        </w:rPr>
        <w:t xml:space="preserve"> for </w:t>
      </w:r>
      <m:oMath>
        <m:r>
          <m:rPr>
            <m:sty m:val="bi"/>
          </m:rPr>
          <w:rPr>
            <w:rFonts w:ascii="Cambria Math" w:hAnsi="Cambria Math"/>
            <w:sz w:val="24"/>
          </w:rPr>
          <m:t>x</m:t>
        </m:r>
        <m: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Γ</m:t>
            </m:r>
          </m:e>
          <m:sub>
            <m:r>
              <w:rPr>
                <w:rFonts w:ascii="Cambria Math" w:hAnsi="Cambria Math"/>
                <w:sz w:val="24"/>
              </w:rPr>
              <m:t>p</m:t>
            </m:r>
          </m:sub>
        </m:sSub>
      </m:oMath>
      <w:r w:rsidRPr="00A57EFF">
        <w:rPr>
          <w:rFonts w:ascii="Times New Roman" w:hAnsi="Times New Roman"/>
          <w:sz w:val="24"/>
        </w:rPr>
        <w:t xml:space="preserve">, and </w:t>
      </w:r>
      <m:oMath>
        <m:sSub>
          <m:sSubPr>
            <m:ctrlPr>
              <w:rPr>
                <w:rFonts w:ascii="Cambria Math" w:hAnsi="Cambria Math"/>
                <w:i/>
                <w:sz w:val="24"/>
              </w:rPr>
            </m:ctrlPr>
          </m:sSubPr>
          <m:e>
            <m:r>
              <w:rPr>
                <w:rFonts w:ascii="Cambria Math" w:hAnsi="Cambria Math"/>
                <w:sz w:val="24"/>
              </w:rPr>
              <m:t>δ</m:t>
            </m:r>
          </m:e>
          <m:sub>
            <m:r>
              <w:rPr>
                <w:rFonts w:ascii="Cambria Math" w:hAnsi="Cambria Math"/>
                <w:sz w:val="24"/>
              </w:rPr>
              <m:t>C</m:t>
            </m:r>
          </m:sub>
        </m:sSub>
        <m:r>
          <w:rPr>
            <w:rFonts w:ascii="Cambria Math" w:hAnsi="Cambria Math"/>
            <w:sz w:val="24"/>
          </w:rPr>
          <m:t xml:space="preserve"> </m:t>
        </m:r>
      </m:oMath>
      <w:r w:rsidRPr="00A57EFF">
        <w:rPr>
          <w:rFonts w:ascii="Times New Roman" w:hAnsi="Times New Roman"/>
          <w:sz w:val="24"/>
        </w:rPr>
        <w:t>[ms</w:t>
      </w:r>
      <w:r w:rsidRPr="00A57EFF">
        <w:rPr>
          <w:rFonts w:ascii="Times New Roman" w:hAnsi="Times New Roman"/>
          <w:sz w:val="24"/>
          <w:vertAlign w:val="superscript"/>
        </w:rPr>
        <w:t>-1</w:t>
      </w:r>
      <w:r w:rsidRPr="00A57EFF">
        <w:rPr>
          <w:rFonts w:ascii="Times New Roman" w:hAnsi="Times New Roman"/>
          <w:sz w:val="24"/>
        </w:rPr>
        <w:t>] is the</w:t>
      </w:r>
      <w:r w:rsidR="00AA41DF" w:rsidRPr="00A57EFF">
        <w:rPr>
          <w:rFonts w:ascii="Times New Roman" w:hAnsi="Times New Roman"/>
          <w:sz w:val="24"/>
        </w:rPr>
        <w:t xml:space="preserve"> membrane</w:t>
      </w:r>
      <w:r w:rsidR="00AA41DF">
        <w:rPr>
          <w:rFonts w:ascii="Times New Roman" w:eastAsia="Calibri" w:hAnsi="Times New Roman" w:cs="Times New Roman"/>
          <w:sz w:val="24"/>
          <w:szCs w:val="24"/>
        </w:rPr>
        <w:t xml:space="preserve"> permeability</w:t>
      </w:r>
      <w:r w:rsidRPr="00AA6F1F">
        <w:rPr>
          <w:rFonts w:ascii="Times New Roman" w:eastAsia="Calibri" w:hAnsi="Times New Roman" w:cs="Times New Roman"/>
          <w:sz w:val="24"/>
          <w:szCs w:val="24"/>
        </w:rPr>
        <w:t>.</w:t>
      </w:r>
      <w:r w:rsidRPr="00A57EFF">
        <w:rPr>
          <w:rFonts w:ascii="Times New Roman" w:hAnsi="Times New Roman"/>
          <w:sz w:val="24"/>
        </w:rPr>
        <w:t xml:space="preserve"> In the absence of citrate, the microdialysis probe absorbs P at a rate proportional to the concentration of P in soil solution. </w:t>
      </w:r>
      <w:r w:rsidRPr="00AA6F1F">
        <w:rPr>
          <w:rFonts w:ascii="Times New Roman" w:eastAsia="Calibri" w:hAnsi="Times New Roman" w:cs="Times New Roman"/>
          <w:sz w:val="24"/>
          <w:szCs w:val="24"/>
        </w:rPr>
        <w:t>Ionic strength of the external solution is known to alter</w:t>
      </w:r>
      <w:r w:rsidRPr="00A57EFF">
        <w:rPr>
          <w:rFonts w:ascii="Times New Roman" w:hAnsi="Times New Roman"/>
          <w:sz w:val="24"/>
        </w:rPr>
        <w:t xml:space="preserve"> microdialysis probe uptake</w:t>
      </w:r>
      <w:r w:rsidRPr="00AA6F1F">
        <w:rPr>
          <w:rFonts w:ascii="Times New Roman" w:eastAsia="Calibri" w:hAnsi="Times New Roman" w:cs="Times New Roman"/>
          <w:sz w:val="24"/>
          <w:szCs w:val="24"/>
        </w:rPr>
        <w:t xml:space="preserve"> rates, hence, in the model citrate can alter microdialysis probe P uptake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&lt;EndNote&gt;&lt;Cite&gt;&lt;Author&gt;Demand&lt;/Author&gt;&lt;Year&gt;2017&lt;/Year&gt;&lt;RecNum&gt;88&lt;/RecNum&gt;&lt;DisplayText&gt;(Demand et al. 2017)&lt;/DisplayText&gt;&lt;record&gt;&lt;rec-number&gt;88&lt;/rec-number&gt;&lt;foreign-keys&gt;&lt;key app="EN" db-id="0sapex5pfwrt05ep5w3x2zd0tdt9050e5fax" timestamp="1490205090"&gt;88&lt;/key&gt;&lt;/foreign-keys&gt;&lt;ref-type name="Journal Article"&gt;17&lt;/ref-type&gt;&lt;contributors&gt;&lt;authors&gt;&lt;author&gt;Demand, Dominic&lt;/author&gt;&lt;author&gt;Schack-Kirchner, Helmer&lt;/author&gt;&lt;author&gt;Lang, Friederike&lt;/author&gt;&lt;/authors&gt;&lt;/contributors&gt;&lt;titles&gt;&lt;title&gt;Assessment of diffusive phosphate supply in soils by microdialysis&lt;/title&gt;&lt;secondary-title&gt;Journal of Plant Nutrition and Soil Science&lt;/secondary-title&gt;&lt;/titles&gt;&lt;periodical&gt;&lt;full-title&gt;Journal of Plant Nutrition and Soil Science&lt;/full-title&gt;&lt;/periodical&gt;&lt;dates&gt;&lt;year&gt;2017&lt;/year&gt;&lt;/dates&gt;&lt;isbn&gt;1522-2624&lt;/isbn&gt;&lt;urls&gt;&lt;/urls&gt;&lt;/record&gt;&lt;/Cite&gt;&lt;/EndNote&gt;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noProof/>
          <w:sz w:val="24"/>
          <w:szCs w:val="24"/>
        </w:rPr>
        <w:t>(Demand et al. 2017)</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 This process is not fully understood so</w:t>
      </w:r>
      <w:r w:rsidRPr="00A57EFF">
        <w:rPr>
          <w:rFonts w:ascii="Times New Roman" w:hAnsi="Times New Roman"/>
          <w:sz w:val="24"/>
        </w:rPr>
        <w:t xml:space="preserve"> the most general </w:t>
      </w:r>
      <w:r w:rsidRPr="00AA6F1F">
        <w:rPr>
          <w:rFonts w:ascii="Times New Roman" w:eastAsia="Calibri" w:hAnsi="Times New Roman" w:cs="Times New Roman"/>
          <w:sz w:val="24"/>
          <w:szCs w:val="24"/>
        </w:rPr>
        <w:t xml:space="preserve">citrate dependent </w:t>
      </w:r>
      <w:r w:rsidRPr="00A57EFF">
        <w:rPr>
          <w:rFonts w:ascii="Times New Roman" w:hAnsi="Times New Roman"/>
          <w:sz w:val="24"/>
        </w:rPr>
        <w:t xml:space="preserve">microdialysis probe P uptake </w:t>
      </w:r>
      <w:r w:rsidRPr="00AA6F1F">
        <w:rPr>
          <w:rFonts w:ascii="Times New Roman" w:eastAsia="Calibri" w:hAnsi="Times New Roman" w:cs="Times New Roman"/>
          <w:sz w:val="24"/>
          <w:szCs w:val="24"/>
        </w:rPr>
        <w:t>rate is used</w:t>
      </w:r>
      <w:r w:rsidRPr="00A57EFF">
        <w:rPr>
          <w:rFonts w:ascii="Times New Roman" w:hAnsi="Times New Roman"/>
          <w:sz w:val="24"/>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
        <w:gridCol w:w="7300"/>
        <w:gridCol w:w="522"/>
      </w:tblGrid>
      <w:tr w:rsidR="00AA6F1F" w:rsidRPr="00AA6F1F" w:rsidTr="00AB3042">
        <w:tc>
          <w:tcPr>
            <w:tcW w:w="522" w:type="dxa"/>
          </w:tcPr>
          <w:p w:rsidR="00AA6F1F" w:rsidRPr="00A57EFF" w:rsidRDefault="00AA6F1F" w:rsidP="00A57EFF">
            <w:pPr>
              <w:spacing w:after="120" w:line="480" w:lineRule="auto"/>
              <w:contextualSpacing/>
              <w:jc w:val="both"/>
              <w:rPr>
                <w:rFonts w:ascii="Times New Roman" w:hAnsi="Times New Roman"/>
                <w:color w:val="000000"/>
                <w:sz w:val="24"/>
              </w:rPr>
            </w:pPr>
          </w:p>
        </w:tc>
        <w:tc>
          <w:tcPr>
            <w:tcW w:w="8080" w:type="dxa"/>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sSub>
                  <m:sSubPr>
                    <m:ctrlPr>
                      <w:rPr>
                        <w:rFonts w:ascii="Cambria Math" w:hAnsi="Cambria Math"/>
                        <w:i/>
                        <w:color w:val="000000"/>
                        <w:sz w:val="24"/>
                      </w:rPr>
                    </m:ctrlPr>
                  </m:sSubPr>
                  <m:e>
                    <m:r>
                      <w:rPr>
                        <w:rFonts w:ascii="Cambria Math" w:hAnsi="Cambria Math"/>
                        <w:color w:val="000000"/>
                        <w:sz w:val="24"/>
                      </w:rPr>
                      <m:t>D</m:t>
                    </m:r>
                  </m:e>
                  <m:sub>
                    <m:r>
                      <w:rPr>
                        <w:rFonts w:ascii="Cambria Math" w:hAnsi="Cambria Math"/>
                        <w:color w:val="000000"/>
                        <w:sz w:val="24"/>
                      </w:rPr>
                      <m:t>P</m:t>
                    </m:r>
                  </m:sub>
                </m:sSub>
                <m:r>
                  <m:rPr>
                    <m:sty m:val="b"/>
                  </m:rP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m:rPr>
                        <m:sty m:val="bi"/>
                      </m:rPr>
                      <w:rPr>
                        <w:rFonts w:ascii="Cambria Math" w:hAnsi="Cambria Math"/>
                        <w:color w:val="000000"/>
                        <w:sz w:val="24"/>
                      </w:rPr>
                      <m:t>n</m:t>
                    </m:r>
                  </m:e>
                  <m:sub>
                    <m:r>
                      <w:rPr>
                        <w:rFonts w:ascii="Cambria Math" w:hAnsi="Cambria Math"/>
                        <w:color w:val="000000"/>
                        <w:sz w:val="24"/>
                      </w:rPr>
                      <m:t>p</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δ</m:t>
                    </m:r>
                  </m:e>
                  <m:sub>
                    <m:r>
                      <w:rPr>
                        <w:rFonts w:ascii="Cambria Math" w:hAnsi="Cambria Math"/>
                        <w:color w:val="000000"/>
                        <w:sz w:val="24"/>
                      </w:rPr>
                      <m:t>P</m:t>
                    </m:r>
                  </m:sub>
                </m:sSub>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l</m:t>
                        </m:r>
                      </m:sub>
                    </m:sSub>
                  </m:e>
                </m:d>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r>
                  <w:rPr>
                    <w:rFonts w:ascii="Cambria Math" w:hAnsi="Cambria Math"/>
                    <w:color w:val="000000"/>
                    <w:sz w:val="24"/>
                  </w:rPr>
                  <m:t xml:space="preserve">,    </m:t>
                </m:r>
                <m:r>
                  <m:rPr>
                    <m:sty m:val="bi"/>
                  </m:rPr>
                  <w:rPr>
                    <w:rFonts w:ascii="Cambria Math" w:hAnsi="Cambria Math"/>
                    <w:color w:val="000000"/>
                    <w:sz w:val="24"/>
                  </w:rPr>
                  <m:t>x</m:t>
                </m:r>
                <m:r>
                  <w:rPr>
                    <w:rFonts w:ascii="Cambria Math" w:hAnsi="Cambria Math"/>
                    <w:color w:val="000000"/>
                    <w:sz w:val="24"/>
                  </w:rPr>
                  <m:t>∈</m:t>
                </m:r>
                <m:sSub>
                  <m:sSubPr>
                    <m:ctrlPr>
                      <w:rPr>
                        <w:rFonts w:ascii="Cambria Math" w:hAnsi="Cambria Math"/>
                        <w:i/>
                        <w:color w:val="000000"/>
                        <w:sz w:val="24"/>
                      </w:rPr>
                    </m:ctrlPr>
                  </m:sSubPr>
                  <m:e>
                    <m:r>
                      <m:rPr>
                        <m:sty m:val="p"/>
                      </m:rPr>
                      <w:rPr>
                        <w:rFonts w:ascii="Cambria Math" w:hAnsi="Cambria Math"/>
                        <w:color w:val="000000"/>
                        <w:sz w:val="24"/>
                      </w:rPr>
                      <m:t>Γ</m:t>
                    </m:r>
                  </m:e>
                  <m:sub>
                    <m:r>
                      <w:rPr>
                        <w:rFonts w:ascii="Cambria Math" w:hAnsi="Cambria Math"/>
                        <w:color w:val="000000"/>
                        <w:sz w:val="24"/>
                      </w:rPr>
                      <m:t>p,</m:t>
                    </m:r>
                  </m:sub>
                </m:sSub>
              </m:oMath>
            </m:oMathPara>
          </w:p>
        </w:tc>
        <w:tc>
          <w:tcPr>
            <w:tcW w:w="526"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(6)</w:t>
            </w:r>
          </w:p>
        </w:tc>
      </w:tr>
    </w:tbl>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where </w:t>
      </w:r>
      <m:oMath>
        <m:sSub>
          <m:sSubPr>
            <m:ctrlPr>
              <w:rPr>
                <w:rFonts w:ascii="Cambria Math" w:hAnsi="Cambria Math"/>
                <w:i/>
                <w:sz w:val="24"/>
              </w:rPr>
            </m:ctrlPr>
          </m:sSubPr>
          <m:e>
            <m:r>
              <w:rPr>
                <w:rFonts w:ascii="Cambria Math" w:hAnsi="Cambria Math"/>
                <w:sz w:val="24"/>
              </w:rPr>
              <m:t>δ</m:t>
            </m:r>
          </m:e>
          <m:sub>
            <m:r>
              <w:rPr>
                <w:rFonts w:ascii="Cambria Math" w:hAnsi="Cambria Math"/>
                <w:sz w:val="24"/>
              </w:rPr>
              <m:t>P</m:t>
            </m:r>
          </m:sub>
        </m:sSub>
      </m:oMath>
      <w:r w:rsidRPr="00A57EFF">
        <w:rPr>
          <w:rFonts w:ascii="Times New Roman" w:hAnsi="Times New Roman"/>
          <w:sz w:val="24"/>
        </w:rPr>
        <w:t xml:space="preserve"> [m of soil solution s</w:t>
      </w:r>
      <w:r w:rsidRPr="00A57EFF">
        <w:rPr>
          <w:rFonts w:ascii="Times New Roman" w:hAnsi="Times New Roman"/>
          <w:sz w:val="24"/>
          <w:vertAlign w:val="superscript"/>
        </w:rPr>
        <w:t>-1</w:t>
      </w:r>
      <w:r w:rsidRPr="00A57EFF">
        <w:rPr>
          <w:rFonts w:ascii="Times New Roman" w:hAnsi="Times New Roman"/>
          <w:sz w:val="24"/>
        </w:rPr>
        <w:t xml:space="preserve">] is a function of citrate concentration that controls microdialysis probe P uptake. In general, </w:t>
      </w:r>
      <m:oMath>
        <m:sSub>
          <m:sSubPr>
            <m:ctrlPr>
              <w:rPr>
                <w:rFonts w:ascii="Cambria Math" w:hAnsi="Cambria Math"/>
                <w:i/>
                <w:sz w:val="24"/>
              </w:rPr>
            </m:ctrlPr>
          </m:sSubPr>
          <m:e>
            <m:r>
              <w:rPr>
                <w:rFonts w:ascii="Cambria Math" w:hAnsi="Cambria Math"/>
                <w:sz w:val="24"/>
              </w:rPr>
              <m:t>δ</m:t>
            </m:r>
          </m:e>
          <m:sub>
            <m:r>
              <w:rPr>
                <w:rFonts w:ascii="Cambria Math" w:hAnsi="Cambria Math"/>
                <w:sz w:val="24"/>
              </w:rPr>
              <m:t>P</m:t>
            </m:r>
          </m:sub>
        </m:sSub>
        <m:r>
          <w:rPr>
            <w:rFonts w:ascii="Cambria Math" w:hAnsi="Cambria Math"/>
            <w:sz w:val="24"/>
          </w:rPr>
          <m:t xml:space="preserve"> </m:t>
        </m:r>
      </m:oMath>
      <w:r w:rsidRPr="00A57EFF">
        <w:rPr>
          <w:rFonts w:ascii="Times New Roman" w:hAnsi="Times New Roman"/>
          <w:sz w:val="24"/>
        </w:rPr>
        <w:t xml:space="preserve">is a function of microdialysis probe membrane thickness, porosity and surface chemistry etc. To fit the data, </w:t>
      </w:r>
      <m:oMath>
        <m:sSub>
          <m:sSubPr>
            <m:ctrlPr>
              <w:rPr>
                <w:rFonts w:ascii="Cambria Math" w:hAnsi="Cambria Math"/>
                <w:i/>
                <w:sz w:val="24"/>
              </w:rPr>
            </m:ctrlPr>
          </m:sSubPr>
          <m:e>
            <m:r>
              <w:rPr>
                <w:rFonts w:ascii="Cambria Math" w:hAnsi="Cambria Math"/>
                <w:sz w:val="24"/>
              </w:rPr>
              <m:t>δ</m:t>
            </m:r>
          </m:e>
          <m:sub>
            <m:r>
              <w:rPr>
                <w:rFonts w:ascii="Cambria Math" w:hAnsi="Cambria Math"/>
                <w:sz w:val="24"/>
              </w:rPr>
              <m:t>P</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C</m:t>
                </m:r>
              </m:e>
              <m:sub>
                <m:r>
                  <w:rPr>
                    <w:rFonts w:ascii="Cambria Math" w:hAnsi="Cambria Math"/>
                    <w:sz w:val="24"/>
                  </w:rPr>
                  <m:t>l</m:t>
                </m:r>
              </m:sub>
            </m:sSub>
          </m:e>
        </m:d>
      </m:oMath>
      <w:r w:rsidRPr="00A57EFF">
        <w:rPr>
          <w:rFonts w:ascii="Times New Roman" w:hAnsi="Times New Roman"/>
          <w:sz w:val="24"/>
        </w:rPr>
        <w:t xml:space="preserve"> needs to be specified, but we do not know its functional form. To overcome this, </w:t>
      </w:r>
      <m:oMath>
        <m:sSub>
          <m:sSubPr>
            <m:ctrlPr>
              <w:rPr>
                <w:rFonts w:ascii="Cambria Math" w:hAnsi="Cambria Math"/>
                <w:i/>
                <w:sz w:val="24"/>
              </w:rPr>
            </m:ctrlPr>
          </m:sSubPr>
          <m:e>
            <m:r>
              <w:rPr>
                <w:rFonts w:ascii="Cambria Math" w:hAnsi="Cambria Math"/>
                <w:sz w:val="24"/>
              </w:rPr>
              <m:t>δ</m:t>
            </m:r>
          </m:e>
          <m:sub>
            <m:r>
              <w:rPr>
                <w:rFonts w:ascii="Cambria Math" w:hAnsi="Cambria Math"/>
                <w:sz w:val="24"/>
              </w:rPr>
              <m:t>P</m:t>
            </m:r>
          </m:sub>
        </m:sSub>
      </m:oMath>
      <w:r w:rsidRPr="00A57EFF">
        <w:rPr>
          <w:rFonts w:ascii="Times New Roman" w:hAnsi="Times New Roman"/>
          <w:sz w:val="24"/>
        </w:rPr>
        <w:t xml:space="preserve"> is approximated as its first order Taylor expansion about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l</m:t>
            </m:r>
          </m:sub>
        </m:sSub>
        <m:r>
          <w:rPr>
            <w:rFonts w:ascii="Cambria Math" w:hAnsi="Cambria Math"/>
            <w:sz w:val="24"/>
          </w:rPr>
          <m:t>=0,</m:t>
        </m:r>
      </m:oMath>
    </w:p>
    <w:tbl>
      <w:tblPr>
        <w:tblStyle w:val="TableGrid"/>
        <w:tblW w:w="0" w:type="auto"/>
        <w:tblInd w:w="720" w:type="dxa"/>
        <w:tblLook w:val="04A0" w:firstRow="1" w:lastRow="0" w:firstColumn="1" w:lastColumn="0" w:noHBand="0" w:noVBand="1"/>
      </w:tblPr>
      <w:tblGrid>
        <w:gridCol w:w="488"/>
        <w:gridCol w:w="7295"/>
        <w:gridCol w:w="523"/>
      </w:tblGrid>
      <w:tr w:rsidR="00AA6F1F" w:rsidRPr="00AA6F1F" w:rsidTr="00AB3042">
        <w:tc>
          <w:tcPr>
            <w:tcW w:w="522" w:type="dxa"/>
            <w:tcBorders>
              <w:top w:val="nil"/>
              <w:left w:val="nil"/>
              <w:bottom w:val="nil"/>
              <w:right w:val="nil"/>
            </w:tcBorders>
          </w:tcPr>
          <w:p w:rsidR="00AA6F1F" w:rsidRPr="00A57EFF" w:rsidRDefault="00AA6F1F" w:rsidP="00A57EFF">
            <w:pPr>
              <w:spacing w:after="120" w:line="480" w:lineRule="auto"/>
              <w:contextualSpacing/>
              <w:jc w:val="both"/>
              <w:rPr>
                <w:rFonts w:ascii="Times New Roman" w:hAnsi="Times New Roman"/>
                <w:color w:val="000000"/>
                <w:sz w:val="24"/>
              </w:rPr>
            </w:pPr>
          </w:p>
        </w:tc>
        <w:tc>
          <w:tcPr>
            <w:tcW w:w="8080" w:type="dxa"/>
            <w:tcBorders>
              <w:top w:val="nil"/>
              <w:left w:val="nil"/>
              <w:bottom w:val="nil"/>
              <w:right w:val="nil"/>
            </w:tcBorders>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δ</m:t>
                    </m:r>
                  </m:e>
                  <m:sub>
                    <m:r>
                      <w:rPr>
                        <w:rFonts w:ascii="Cambria Math" w:hAnsi="Cambria Math"/>
                        <w:color w:val="000000"/>
                        <w:sz w:val="24"/>
                      </w:rPr>
                      <m:t>P</m:t>
                    </m:r>
                  </m:sub>
                </m:sSub>
                <m:r>
                  <w:rPr>
                    <w:rFonts w:ascii="Cambria Math" w:hAnsi="Cambria Math"/>
                    <w:color w:val="000000"/>
                    <w:sz w:val="24"/>
                  </w:rPr>
                  <m:t>=</m:t>
                </m:r>
                <m:sSubSup>
                  <m:sSubSupPr>
                    <m:ctrlPr>
                      <w:rPr>
                        <w:rFonts w:ascii="Cambria Math" w:hAnsi="Cambria Math"/>
                        <w:i/>
                        <w:color w:val="000000"/>
                        <w:sz w:val="24"/>
                      </w:rPr>
                    </m:ctrlPr>
                  </m:sSubSupPr>
                  <m:e>
                    <m:r>
                      <w:rPr>
                        <w:rFonts w:ascii="Cambria Math" w:hAnsi="Cambria Math"/>
                        <w:color w:val="000000"/>
                        <w:sz w:val="24"/>
                      </w:rPr>
                      <m:t>δ</m:t>
                    </m:r>
                  </m:e>
                  <m:sub>
                    <m:r>
                      <w:rPr>
                        <w:rFonts w:ascii="Cambria Math" w:hAnsi="Cambria Math"/>
                        <w:color w:val="000000"/>
                        <w:sz w:val="24"/>
                      </w:rPr>
                      <m:t>P</m:t>
                    </m:r>
                  </m:sub>
                  <m:sup>
                    <m:r>
                      <w:rPr>
                        <w:rFonts w:ascii="Cambria Math" w:hAnsi="Cambria Math"/>
                        <w:color w:val="000000"/>
                        <w:sz w:val="24"/>
                      </w:rPr>
                      <m:t>0</m:t>
                    </m:r>
                  </m:sup>
                </m:sSubSup>
                <m:r>
                  <w:rPr>
                    <w:rFonts w:ascii="Cambria Math" w:hAnsi="Cambria Math"/>
                    <w:color w:val="000000"/>
                    <w:sz w:val="24"/>
                  </w:rPr>
                  <m:t>+</m:t>
                </m:r>
                <m:sSubSup>
                  <m:sSubSupPr>
                    <m:ctrlPr>
                      <w:rPr>
                        <w:rFonts w:ascii="Cambria Math" w:hAnsi="Cambria Math"/>
                        <w:i/>
                        <w:color w:val="000000"/>
                        <w:sz w:val="24"/>
                      </w:rPr>
                    </m:ctrlPr>
                  </m:sSubSupPr>
                  <m:e>
                    <m:r>
                      <w:rPr>
                        <w:rFonts w:ascii="Cambria Math" w:hAnsi="Cambria Math"/>
                        <w:color w:val="000000"/>
                        <w:sz w:val="24"/>
                      </w:rPr>
                      <m:t>δ</m:t>
                    </m:r>
                  </m:e>
                  <m:sub>
                    <m:r>
                      <w:rPr>
                        <w:rFonts w:ascii="Cambria Math" w:hAnsi="Cambria Math"/>
                        <w:color w:val="000000"/>
                        <w:sz w:val="24"/>
                      </w:rPr>
                      <m:t>P</m:t>
                    </m:r>
                  </m:sub>
                  <m:sup>
                    <m:r>
                      <w:rPr>
                        <w:rFonts w:ascii="Cambria Math" w:hAnsi="Cambria Math"/>
                        <w:color w:val="000000"/>
                        <w:sz w:val="24"/>
                      </w:rPr>
                      <m:t>1</m:t>
                    </m:r>
                  </m:sup>
                </m:sSubSup>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l</m:t>
                    </m:r>
                  </m:sub>
                </m:sSub>
                <m:r>
                  <w:rPr>
                    <w:rFonts w:ascii="Cambria Math" w:eastAsia="Times New Roman" w:hAnsi="Cambria Math" w:cs="Times New Roman"/>
                    <w:color w:val="000000"/>
                    <w:sz w:val="24"/>
                    <w:szCs w:val="24"/>
                  </w:rPr>
                  <m:t>+O(</m:t>
                </m:r>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C</m:t>
                    </m:r>
                  </m:e>
                  <m:sub>
                    <m:r>
                      <w:rPr>
                        <w:rFonts w:ascii="Cambria Math" w:eastAsia="Times New Roman" w:hAnsi="Cambria Math" w:cs="Times New Roman"/>
                        <w:color w:val="000000"/>
                        <w:sz w:val="24"/>
                        <w:szCs w:val="24"/>
                      </w:rPr>
                      <m:t>l</m:t>
                    </m:r>
                  </m:sub>
                  <m:sup>
                    <m:r>
                      <w:rPr>
                        <w:rFonts w:ascii="Cambria Math" w:eastAsia="Times New Roman" w:hAnsi="Cambria Math" w:cs="Times New Roman"/>
                        <w:color w:val="000000"/>
                        <w:sz w:val="24"/>
                        <w:szCs w:val="24"/>
                      </w:rPr>
                      <m:t>2</m:t>
                    </m:r>
                  </m:sup>
                </m:sSubSup>
                <m:r>
                  <w:rPr>
                    <w:rFonts w:ascii="Cambria Math" w:eastAsia="Times New Roman" w:hAnsi="Cambria Math" w:cs="Times New Roman"/>
                    <w:color w:val="000000"/>
                    <w:sz w:val="24"/>
                    <w:szCs w:val="24"/>
                  </w:rPr>
                  <m:t>).</m:t>
                </m:r>
              </m:oMath>
            </m:oMathPara>
          </w:p>
        </w:tc>
        <w:tc>
          <w:tcPr>
            <w:tcW w:w="526" w:type="dxa"/>
            <w:tcBorders>
              <w:top w:val="nil"/>
              <w:left w:val="nil"/>
              <w:bottom w:val="nil"/>
              <w:right w:val="nil"/>
            </w:tcBorders>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(7)</w:t>
            </w:r>
          </w:p>
        </w:tc>
      </w:tr>
    </w:tbl>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Using this approximation, Equation (6) becomes,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7299"/>
        <w:gridCol w:w="522"/>
      </w:tblGrid>
      <w:tr w:rsidR="00AA6F1F" w:rsidRPr="00AA6F1F" w:rsidTr="00AB3042">
        <w:tc>
          <w:tcPr>
            <w:tcW w:w="522" w:type="dxa"/>
          </w:tcPr>
          <w:p w:rsidR="00AA6F1F" w:rsidRPr="00A57EFF" w:rsidRDefault="00AA6F1F" w:rsidP="00A57EFF">
            <w:pPr>
              <w:spacing w:after="120" w:line="480" w:lineRule="auto"/>
              <w:contextualSpacing/>
              <w:jc w:val="both"/>
              <w:rPr>
                <w:rFonts w:ascii="Times New Roman" w:hAnsi="Times New Roman"/>
                <w:color w:val="000000"/>
                <w:sz w:val="24"/>
              </w:rPr>
            </w:pPr>
          </w:p>
        </w:tc>
        <w:tc>
          <w:tcPr>
            <w:tcW w:w="8080" w:type="dxa"/>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sSub>
                  <m:sSubPr>
                    <m:ctrlPr>
                      <w:rPr>
                        <w:rFonts w:ascii="Cambria Math" w:hAnsi="Cambria Math"/>
                        <w:i/>
                        <w:color w:val="000000"/>
                        <w:sz w:val="24"/>
                      </w:rPr>
                    </m:ctrlPr>
                  </m:sSubPr>
                  <m:e>
                    <m:r>
                      <w:rPr>
                        <w:rFonts w:ascii="Cambria Math" w:hAnsi="Cambria Math"/>
                        <w:color w:val="000000"/>
                        <w:sz w:val="24"/>
                      </w:rPr>
                      <m:t>D</m:t>
                    </m:r>
                  </m:e>
                  <m:sub>
                    <m:r>
                      <w:rPr>
                        <w:rFonts w:ascii="Cambria Math" w:hAnsi="Cambria Math"/>
                        <w:color w:val="000000"/>
                        <w:sz w:val="24"/>
                      </w:rPr>
                      <m:t>P</m:t>
                    </m:r>
                  </m:sub>
                </m:sSub>
                <m:r>
                  <m:rPr>
                    <m:sty m:val="b"/>
                  </m:rP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m:rPr>
                        <m:sty m:val="bi"/>
                      </m:rPr>
                      <w:rPr>
                        <w:rFonts w:ascii="Cambria Math" w:hAnsi="Cambria Math"/>
                        <w:color w:val="000000"/>
                        <w:sz w:val="24"/>
                      </w:rPr>
                      <m:t>n</m:t>
                    </m:r>
                  </m:e>
                  <m:sub>
                    <m:r>
                      <w:rPr>
                        <w:rFonts w:ascii="Cambria Math" w:hAnsi="Cambria Math"/>
                        <w:color w:val="000000"/>
                        <w:sz w:val="24"/>
                      </w:rPr>
                      <m:t>p</m:t>
                    </m:r>
                  </m:sub>
                </m:sSub>
                <m:r>
                  <w:rPr>
                    <w:rFonts w:ascii="Cambria Math" w:hAnsi="Cambria Math"/>
                    <w:color w:val="000000"/>
                    <w:sz w:val="24"/>
                  </w:rPr>
                  <m:t>= -</m:t>
                </m:r>
                <m:d>
                  <m:dPr>
                    <m:ctrlPr>
                      <w:rPr>
                        <w:rFonts w:ascii="Cambria Math" w:eastAsia="Times New Roman" w:hAnsi="Cambria Math" w:cs="Times New Roman"/>
                        <w:i/>
                        <w:color w:val="000000"/>
                        <w:sz w:val="24"/>
                        <w:szCs w:val="24"/>
                      </w:rPr>
                    </m:ctrlPr>
                  </m:dPr>
                  <m:e>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δ</m:t>
                        </m:r>
                      </m:e>
                      <m:sub>
                        <m:r>
                          <w:rPr>
                            <w:rFonts w:ascii="Cambria Math" w:eastAsia="Times New Roman" w:hAnsi="Cambria Math" w:cs="Times New Roman"/>
                            <w:color w:val="000000"/>
                            <w:sz w:val="24"/>
                            <w:szCs w:val="24"/>
                          </w:rPr>
                          <m:t>P</m:t>
                        </m:r>
                      </m:sub>
                      <m:sup>
                        <m:r>
                          <w:rPr>
                            <w:rFonts w:ascii="Cambria Math" w:eastAsia="Times New Roman" w:hAnsi="Cambria Math" w:cs="Times New Roman"/>
                            <w:color w:val="000000"/>
                            <w:sz w:val="24"/>
                            <w:szCs w:val="24"/>
                          </w:rPr>
                          <m:t>0</m:t>
                        </m:r>
                      </m:sup>
                    </m:sSubSup>
                    <m:r>
                      <w:rPr>
                        <w:rFonts w:ascii="Cambria Math" w:eastAsia="Times New Roman" w:hAnsi="Cambria Math" w:cs="Times New Roman"/>
                        <w:color w:val="000000"/>
                        <w:sz w:val="24"/>
                        <w:szCs w:val="24"/>
                      </w:rPr>
                      <m:t>+</m:t>
                    </m:r>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δ</m:t>
                        </m:r>
                      </m:e>
                      <m:sub>
                        <m:r>
                          <w:rPr>
                            <w:rFonts w:ascii="Cambria Math" w:eastAsia="Times New Roman" w:hAnsi="Cambria Math" w:cs="Times New Roman"/>
                            <w:color w:val="000000"/>
                            <w:sz w:val="24"/>
                            <w:szCs w:val="24"/>
                          </w:rPr>
                          <m:t>P</m:t>
                        </m:r>
                      </m:sub>
                      <m:sup>
                        <m:r>
                          <w:rPr>
                            <w:rFonts w:ascii="Cambria Math" w:eastAsia="Times New Roman" w:hAnsi="Cambria Math" w:cs="Times New Roman"/>
                            <w:color w:val="000000"/>
                            <w:sz w:val="24"/>
                            <w:szCs w:val="24"/>
                          </w:rPr>
                          <m:t>1</m:t>
                        </m:r>
                      </m:sup>
                    </m:sSubSup>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C</m:t>
                        </m:r>
                      </m:e>
                      <m:sub>
                        <m:r>
                          <w:rPr>
                            <w:rFonts w:ascii="Cambria Math" w:eastAsia="Times New Roman" w:hAnsi="Cambria Math" w:cs="Times New Roman"/>
                            <w:color w:val="000000"/>
                            <w:sz w:val="24"/>
                            <w:szCs w:val="24"/>
                          </w:rPr>
                          <m:t>l</m:t>
                        </m:r>
                      </m:sub>
                    </m:sSub>
                    <m:r>
                      <w:rPr>
                        <w:rFonts w:ascii="Cambria Math" w:eastAsia="Times New Roman" w:hAnsi="Cambria Math" w:cs="Times New Roman"/>
                        <w:color w:val="000000"/>
                        <w:sz w:val="24"/>
                        <w:szCs w:val="24"/>
                      </w:rPr>
                      <m:t>+O(</m:t>
                    </m:r>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C</m:t>
                        </m:r>
                      </m:e>
                      <m:sub>
                        <m:r>
                          <w:rPr>
                            <w:rFonts w:ascii="Cambria Math" w:eastAsia="Times New Roman" w:hAnsi="Cambria Math" w:cs="Times New Roman"/>
                            <w:color w:val="000000"/>
                            <w:sz w:val="24"/>
                            <w:szCs w:val="24"/>
                          </w:rPr>
                          <m:t>l</m:t>
                        </m:r>
                      </m:sub>
                      <m:sup>
                        <m:r>
                          <w:rPr>
                            <w:rFonts w:ascii="Cambria Math" w:eastAsia="Times New Roman" w:hAnsi="Cambria Math" w:cs="Times New Roman"/>
                            <w:color w:val="000000"/>
                            <w:sz w:val="24"/>
                            <w:szCs w:val="24"/>
                          </w:rPr>
                          <m:t>2</m:t>
                        </m:r>
                      </m:sup>
                    </m:sSubSup>
                    <m:r>
                      <w:rPr>
                        <w:rFonts w:ascii="Cambria Math" w:eastAsia="Times New Roman" w:hAnsi="Cambria Math" w:cs="Times New Roman"/>
                        <w:color w:val="000000"/>
                        <w:sz w:val="24"/>
                        <w:szCs w:val="24"/>
                      </w:rPr>
                      <m:t>)</m:t>
                    </m:r>
                  </m:e>
                </m:d>
                <m:sSub>
                  <m:sSubPr>
                    <m:ctrlPr>
                      <w:rPr>
                        <w:rFonts w:ascii="Cambria Math" w:eastAsia="Times New Roman" w:hAnsi="Cambria Math" w:cs="Times New Roman"/>
                        <w:i/>
                        <w:color w:val="000000"/>
                        <w:sz w:val="24"/>
                        <w:szCs w:val="24"/>
                      </w:rPr>
                    </m:ctrlPr>
                  </m:sSubPr>
                  <m:e>
                    <m:r>
                      <w:rPr>
                        <w:rFonts w:ascii="Cambria Math" w:eastAsia="Times New Roman" w:hAnsi="Cambria Math" w:cs="Times New Roman"/>
                        <w:color w:val="000000"/>
                        <w:sz w:val="24"/>
                        <w:szCs w:val="24"/>
                      </w:rPr>
                      <m:t>P</m:t>
                    </m:r>
                  </m:e>
                  <m:sub>
                    <m:r>
                      <w:rPr>
                        <w:rFonts w:ascii="Cambria Math" w:eastAsia="Times New Roman" w:hAnsi="Cambria Math" w:cs="Times New Roman"/>
                        <w:color w:val="000000"/>
                        <w:sz w:val="24"/>
                        <w:szCs w:val="24"/>
                      </w:rPr>
                      <m:t>l</m:t>
                    </m:r>
                  </m:sub>
                </m:sSub>
                <m:r>
                  <w:rPr>
                    <w:rFonts w:ascii="Cambria Math" w:hAnsi="Cambria Math"/>
                    <w:color w:val="000000"/>
                    <w:sz w:val="24"/>
                  </w:rPr>
                  <m:t xml:space="preserve">,    </m:t>
                </m:r>
                <m:r>
                  <m:rPr>
                    <m:sty m:val="bi"/>
                  </m:rPr>
                  <w:rPr>
                    <w:rFonts w:ascii="Cambria Math" w:hAnsi="Cambria Math"/>
                    <w:color w:val="000000"/>
                    <w:sz w:val="24"/>
                  </w:rPr>
                  <m:t>x</m:t>
                </m:r>
                <m:r>
                  <w:rPr>
                    <w:rFonts w:ascii="Cambria Math" w:hAnsi="Cambria Math"/>
                    <w:color w:val="000000"/>
                    <w:sz w:val="24"/>
                  </w:rPr>
                  <m:t>∈</m:t>
                </m:r>
                <m:sSub>
                  <m:sSubPr>
                    <m:ctrlPr>
                      <w:rPr>
                        <w:rFonts w:ascii="Cambria Math" w:hAnsi="Cambria Math"/>
                        <w:i/>
                        <w:color w:val="000000"/>
                        <w:sz w:val="24"/>
                      </w:rPr>
                    </m:ctrlPr>
                  </m:sSubPr>
                  <m:e>
                    <m:r>
                      <m:rPr>
                        <m:sty m:val="p"/>
                      </m:rPr>
                      <w:rPr>
                        <w:rFonts w:ascii="Cambria Math" w:hAnsi="Cambria Math"/>
                        <w:color w:val="000000"/>
                        <w:sz w:val="24"/>
                      </w:rPr>
                      <m:t>Γ</m:t>
                    </m:r>
                  </m:e>
                  <m:sub>
                    <m:r>
                      <w:rPr>
                        <w:rFonts w:ascii="Cambria Math" w:hAnsi="Cambria Math"/>
                        <w:color w:val="000000"/>
                        <w:sz w:val="24"/>
                      </w:rPr>
                      <m:t>p,</m:t>
                    </m:r>
                  </m:sub>
                </m:sSub>
              </m:oMath>
            </m:oMathPara>
          </w:p>
        </w:tc>
        <w:tc>
          <w:tcPr>
            <w:tcW w:w="526"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(8)</w:t>
            </w:r>
          </w:p>
        </w:tc>
      </w:tr>
    </w:tbl>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where </w:t>
      </w:r>
      <m:oMath>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0</m:t>
            </m:r>
          </m:sup>
        </m:sSubSup>
      </m:oMath>
      <w:r w:rsidRPr="00A57EFF">
        <w:rPr>
          <w:rFonts w:ascii="Times New Roman" w:hAnsi="Times New Roman"/>
          <w:sz w:val="24"/>
        </w:rPr>
        <w:t xml:space="preserve"> has units [m of soil solution s</w:t>
      </w:r>
      <w:r w:rsidRPr="00A57EFF">
        <w:rPr>
          <w:rFonts w:ascii="Times New Roman" w:hAnsi="Times New Roman"/>
          <w:sz w:val="24"/>
          <w:vertAlign w:val="superscript"/>
        </w:rPr>
        <w:t>-1</w:t>
      </w:r>
      <w:r w:rsidRPr="00A57EFF">
        <w:rPr>
          <w:rFonts w:ascii="Times New Roman" w:hAnsi="Times New Roman"/>
          <w:sz w:val="24"/>
        </w:rPr>
        <w:t xml:space="preserve">] and </w:t>
      </w:r>
      <m:oMath>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1</m:t>
            </m:r>
          </m:sup>
        </m:sSubSup>
      </m:oMath>
      <w:r w:rsidRPr="00A57EFF">
        <w:rPr>
          <w:rFonts w:ascii="Times New Roman" w:hAnsi="Times New Roman"/>
          <w:sz w:val="24"/>
        </w:rPr>
        <w:t xml:space="preserve"> has units [m</w:t>
      </w:r>
      <w:r w:rsidRPr="00A57EFF">
        <w:rPr>
          <w:rFonts w:ascii="Times New Roman" w:hAnsi="Times New Roman"/>
          <w:sz w:val="24"/>
          <w:vertAlign w:val="superscript"/>
        </w:rPr>
        <w:t>4</w:t>
      </w:r>
      <w:r w:rsidRPr="00A57EFF">
        <w:rPr>
          <w:rFonts w:ascii="Times New Roman" w:hAnsi="Times New Roman"/>
          <w:sz w:val="24"/>
        </w:rPr>
        <w:t xml:space="preserve"> of soil solution s</w:t>
      </w:r>
      <w:r w:rsidRPr="00A57EFF">
        <w:rPr>
          <w:rFonts w:ascii="Times New Roman" w:hAnsi="Times New Roman"/>
          <w:sz w:val="24"/>
          <w:vertAlign w:val="superscript"/>
        </w:rPr>
        <w:t>-1</w:t>
      </w:r>
      <w:r w:rsidRPr="00A57EFF">
        <w:rPr>
          <w:rFonts w:ascii="Times New Roman" w:hAnsi="Times New Roman"/>
          <w:sz w:val="24"/>
        </w:rPr>
        <w:t xml:space="preserve"> µmol</w:t>
      </w:r>
      <w:r w:rsidRPr="00A57EFF">
        <w:rPr>
          <w:rFonts w:ascii="Times New Roman" w:hAnsi="Times New Roman"/>
          <w:sz w:val="24"/>
          <w:vertAlign w:val="superscript"/>
        </w:rPr>
        <w:t>-1</w:t>
      </w:r>
      <w:r w:rsidRPr="00A57EFF">
        <w:rPr>
          <w:rFonts w:ascii="Times New Roman" w:hAnsi="Times New Roman"/>
          <w:sz w:val="24"/>
        </w:rPr>
        <w:t xml:space="preserve">] . The parameters </w:t>
      </w:r>
      <m:oMath>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i</m:t>
            </m:r>
          </m:sup>
        </m:sSubSup>
      </m:oMath>
      <w:r w:rsidRPr="00A57EFF">
        <w:rPr>
          <w:rFonts w:ascii="Times New Roman" w:hAnsi="Times New Roman"/>
          <w:sz w:val="24"/>
        </w:rPr>
        <w:t xml:space="preserve">  are constants and can be fit using standard methods explained in the following section. The remaining parts of the boundary are closed and are described using no flux conditions,</w:t>
      </w:r>
    </w:p>
    <w:tbl>
      <w:tblPr>
        <w:tblStyle w:val="TableGrid"/>
        <w:tblW w:w="0" w:type="auto"/>
        <w:tblInd w:w="720" w:type="dxa"/>
        <w:tblLook w:val="04A0" w:firstRow="1" w:lastRow="0" w:firstColumn="1" w:lastColumn="0" w:noHBand="0" w:noVBand="1"/>
      </w:tblPr>
      <w:tblGrid>
        <w:gridCol w:w="484"/>
        <w:gridCol w:w="7155"/>
        <w:gridCol w:w="657"/>
      </w:tblGrid>
      <w:tr w:rsidR="00AA6F1F" w:rsidRPr="00AA6F1F" w:rsidTr="00AB3042">
        <w:tc>
          <w:tcPr>
            <w:tcW w:w="484" w:type="dxa"/>
            <w:tcBorders>
              <w:top w:val="nil"/>
              <w:left w:val="nil"/>
              <w:bottom w:val="nil"/>
              <w:right w:val="nil"/>
            </w:tcBorders>
          </w:tcPr>
          <w:p w:rsidR="00AA6F1F" w:rsidRPr="00A57EFF" w:rsidRDefault="00AA6F1F" w:rsidP="00A57EFF">
            <w:pPr>
              <w:spacing w:after="120" w:line="480" w:lineRule="auto"/>
              <w:contextualSpacing/>
              <w:jc w:val="both"/>
              <w:rPr>
                <w:rFonts w:ascii="Times New Roman" w:hAnsi="Times New Roman"/>
                <w:color w:val="000000"/>
                <w:sz w:val="24"/>
              </w:rPr>
            </w:pPr>
          </w:p>
        </w:tc>
        <w:tc>
          <w:tcPr>
            <w:tcW w:w="7155" w:type="dxa"/>
            <w:tcBorders>
              <w:top w:val="nil"/>
              <w:left w:val="nil"/>
              <w:bottom w:val="nil"/>
              <w:right w:val="nil"/>
            </w:tcBorders>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D</m:t>
                    </m:r>
                  </m:e>
                  <m:sub>
                    <m:r>
                      <w:rPr>
                        <w:rFonts w:ascii="Cambria Math" w:hAnsi="Cambria Math"/>
                        <w:color w:val="000000"/>
                        <w:sz w:val="24"/>
                      </w:rPr>
                      <m:t>P</m:t>
                    </m:r>
                  </m:sub>
                </m:sSub>
                <m:r>
                  <m:rPr>
                    <m:sty m:val="b"/>
                  </m:rP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m:rPr>
                        <m:sty m:val="bi"/>
                      </m:rPr>
                      <w:rPr>
                        <w:rFonts w:ascii="Cambria Math" w:hAnsi="Cambria Math"/>
                        <w:color w:val="000000"/>
                        <w:sz w:val="24"/>
                      </w:rPr>
                      <m:t>n</m:t>
                    </m:r>
                  </m:e>
                  <m:sub>
                    <m:r>
                      <w:rPr>
                        <w:rFonts w:ascii="Cambria Math" w:hAnsi="Cambria Math"/>
                        <w:color w:val="000000"/>
                        <w:sz w:val="24"/>
                      </w:rPr>
                      <m:t>e</m:t>
                    </m:r>
                  </m:sub>
                </m:sSub>
                <m:r>
                  <w:rPr>
                    <w:rFonts w:ascii="Cambria Math" w:hAnsi="Cambria Math"/>
                    <w:color w:val="000000"/>
                    <w:sz w:val="24"/>
                  </w:rPr>
                  <m:t xml:space="preserve">=0,    </m:t>
                </m:r>
                <m:r>
                  <m:rPr>
                    <m:sty m:val="bi"/>
                  </m:rPr>
                  <w:rPr>
                    <w:rFonts w:ascii="Cambria Math" w:hAnsi="Cambria Math"/>
                    <w:color w:val="000000"/>
                    <w:sz w:val="24"/>
                  </w:rPr>
                  <m:t>x</m:t>
                </m:r>
                <m:r>
                  <w:rPr>
                    <w:rFonts w:ascii="Cambria Math" w:hAnsi="Cambria Math"/>
                    <w:color w:val="000000"/>
                    <w:sz w:val="24"/>
                  </w:rPr>
                  <m:t>∈</m:t>
                </m:r>
                <m:sSub>
                  <m:sSubPr>
                    <m:ctrlPr>
                      <w:rPr>
                        <w:rFonts w:ascii="Cambria Math" w:hAnsi="Cambria Math"/>
                        <w:i/>
                        <w:color w:val="000000"/>
                        <w:sz w:val="24"/>
                      </w:rPr>
                    </m:ctrlPr>
                  </m:sSubPr>
                  <m:e>
                    <m:r>
                      <m:rPr>
                        <m:sty m:val="p"/>
                      </m:rPr>
                      <w:rPr>
                        <w:rFonts w:ascii="Cambria Math" w:hAnsi="Cambria Math"/>
                        <w:color w:val="000000"/>
                        <w:sz w:val="24"/>
                      </w:rPr>
                      <m:t>Γ</m:t>
                    </m:r>
                  </m:e>
                  <m:sub>
                    <m:r>
                      <w:rPr>
                        <w:rFonts w:ascii="Cambria Math" w:hAnsi="Cambria Math"/>
                        <w:color w:val="000000"/>
                        <w:sz w:val="24"/>
                      </w:rPr>
                      <m:t>e</m:t>
                    </m:r>
                  </m:sub>
                </m:sSub>
                <m:r>
                  <w:rPr>
                    <w:rFonts w:ascii="Cambria Math" w:hAnsi="Cambria Math"/>
                    <w:color w:val="000000"/>
                    <w:sz w:val="24"/>
                  </w:rPr>
                  <m:t>,</m:t>
                </m:r>
              </m:oMath>
            </m:oMathPara>
          </w:p>
        </w:tc>
        <w:tc>
          <w:tcPr>
            <w:tcW w:w="657" w:type="dxa"/>
            <w:tcBorders>
              <w:top w:val="nil"/>
              <w:left w:val="nil"/>
              <w:bottom w:val="nil"/>
              <w:right w:val="nil"/>
            </w:tcBorders>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(9)</w:t>
            </w:r>
          </w:p>
        </w:tc>
      </w:tr>
      <w:tr w:rsidR="00AA6F1F" w:rsidRPr="00AA6F1F" w:rsidTr="00AB3042">
        <w:tc>
          <w:tcPr>
            <w:tcW w:w="484" w:type="dxa"/>
            <w:tcBorders>
              <w:top w:val="nil"/>
              <w:left w:val="nil"/>
              <w:bottom w:val="nil"/>
              <w:right w:val="nil"/>
            </w:tcBorders>
          </w:tcPr>
          <w:p w:rsidR="00AA6F1F" w:rsidRPr="00A57EFF" w:rsidRDefault="00AA6F1F" w:rsidP="00A57EFF">
            <w:pPr>
              <w:spacing w:after="120" w:line="480" w:lineRule="auto"/>
              <w:contextualSpacing/>
              <w:jc w:val="both"/>
              <w:rPr>
                <w:rFonts w:ascii="Times New Roman" w:hAnsi="Times New Roman"/>
                <w:color w:val="000000"/>
                <w:sz w:val="24"/>
              </w:rPr>
            </w:pPr>
          </w:p>
        </w:tc>
        <w:tc>
          <w:tcPr>
            <w:tcW w:w="7155" w:type="dxa"/>
            <w:tcBorders>
              <w:top w:val="nil"/>
              <w:left w:val="nil"/>
              <w:bottom w:val="nil"/>
              <w:right w:val="nil"/>
            </w:tcBorders>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D</m:t>
                    </m:r>
                  </m:e>
                  <m:sub>
                    <m:r>
                      <w:rPr>
                        <w:rFonts w:ascii="Cambria Math" w:hAnsi="Cambria Math"/>
                        <w:color w:val="000000"/>
                        <w:sz w:val="24"/>
                      </w:rPr>
                      <m:t>C</m:t>
                    </m:r>
                  </m:sub>
                </m:sSub>
                <m:r>
                  <m:rPr>
                    <m:sty m:val="b"/>
                  </m:rPr>
                  <w:rPr>
                    <w:rFonts w:ascii="Cambria Math" w:hAnsi="Cambria Math"/>
                    <w:color w:val="000000"/>
                    <w:sz w:val="24"/>
                  </w:rPr>
                  <m:t>∇</m:t>
                </m:r>
                <m:sSub>
                  <m:sSubPr>
                    <m:ctrlPr>
                      <w:rPr>
                        <w:rFonts w:ascii="Cambria Math" w:hAnsi="Cambria Math"/>
                        <w:color w:val="000000"/>
                        <w:sz w:val="24"/>
                      </w:rPr>
                    </m:ctrlPr>
                  </m:sSubPr>
                  <m:e>
                    <m:r>
                      <m:rPr>
                        <m:sty m:val="p"/>
                      </m:rPr>
                      <w:rPr>
                        <w:rFonts w:ascii="Cambria Math" w:hAnsi="Cambria Math"/>
                        <w:color w:val="000000"/>
                        <w:sz w:val="24"/>
                      </w:rPr>
                      <m:t>C</m:t>
                    </m:r>
                  </m:e>
                  <m:sub>
                    <m:r>
                      <m:rPr>
                        <m:sty m:val="p"/>
                      </m:rP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m:rPr>
                        <m:sty m:val="bi"/>
                      </m:rPr>
                      <w:rPr>
                        <w:rFonts w:ascii="Cambria Math" w:hAnsi="Cambria Math"/>
                        <w:color w:val="000000"/>
                        <w:sz w:val="24"/>
                      </w:rPr>
                      <m:t>n</m:t>
                    </m:r>
                  </m:e>
                  <m:sub>
                    <m:r>
                      <w:rPr>
                        <w:rFonts w:ascii="Cambria Math" w:hAnsi="Cambria Math"/>
                        <w:color w:val="000000"/>
                        <w:sz w:val="24"/>
                      </w:rPr>
                      <m:t>e</m:t>
                    </m:r>
                  </m:sub>
                </m:sSub>
                <m:r>
                  <w:rPr>
                    <w:rFonts w:ascii="Cambria Math" w:hAnsi="Cambria Math"/>
                    <w:color w:val="000000"/>
                    <w:sz w:val="24"/>
                  </w:rPr>
                  <m:t xml:space="preserve">=0,    </m:t>
                </m:r>
                <m:r>
                  <m:rPr>
                    <m:sty m:val="bi"/>
                  </m:rPr>
                  <w:rPr>
                    <w:rFonts w:ascii="Cambria Math" w:hAnsi="Cambria Math"/>
                    <w:color w:val="000000"/>
                    <w:sz w:val="24"/>
                  </w:rPr>
                  <m:t>x</m:t>
                </m:r>
                <m:r>
                  <w:rPr>
                    <w:rFonts w:ascii="Cambria Math" w:hAnsi="Cambria Math"/>
                    <w:color w:val="000000"/>
                    <w:sz w:val="24"/>
                  </w:rPr>
                  <m:t>∈</m:t>
                </m:r>
                <m:sSub>
                  <m:sSubPr>
                    <m:ctrlPr>
                      <w:rPr>
                        <w:rFonts w:ascii="Cambria Math" w:hAnsi="Cambria Math"/>
                        <w:i/>
                        <w:color w:val="000000"/>
                        <w:sz w:val="24"/>
                      </w:rPr>
                    </m:ctrlPr>
                  </m:sSubPr>
                  <m:e>
                    <m:r>
                      <m:rPr>
                        <m:sty m:val="p"/>
                      </m:rPr>
                      <w:rPr>
                        <w:rFonts w:ascii="Cambria Math" w:hAnsi="Cambria Math"/>
                        <w:color w:val="000000"/>
                        <w:sz w:val="24"/>
                      </w:rPr>
                      <m:t>Γ</m:t>
                    </m:r>
                  </m:e>
                  <m:sub>
                    <m:r>
                      <w:rPr>
                        <w:rFonts w:ascii="Cambria Math" w:hAnsi="Cambria Math"/>
                        <w:color w:val="000000"/>
                        <w:sz w:val="24"/>
                      </w:rPr>
                      <m:t>e</m:t>
                    </m:r>
                  </m:sub>
                </m:sSub>
                <m:r>
                  <w:rPr>
                    <w:rFonts w:ascii="Cambria Math" w:hAnsi="Cambria Math"/>
                    <w:color w:val="000000"/>
                    <w:sz w:val="24"/>
                  </w:rPr>
                  <m:t>,</m:t>
                </m:r>
              </m:oMath>
            </m:oMathPara>
          </w:p>
        </w:tc>
        <w:tc>
          <w:tcPr>
            <w:tcW w:w="657" w:type="dxa"/>
            <w:tcBorders>
              <w:top w:val="nil"/>
              <w:left w:val="nil"/>
              <w:bottom w:val="nil"/>
              <w:right w:val="nil"/>
            </w:tcBorders>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(10)</w:t>
            </w:r>
          </w:p>
        </w:tc>
      </w:tr>
    </w:tbl>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where </w:t>
      </w:r>
      <m:oMath>
        <m:sSub>
          <m:sSubPr>
            <m:ctrlPr>
              <w:rPr>
                <w:rFonts w:ascii="Cambria Math" w:hAnsi="Cambria Math"/>
                <w:i/>
                <w:sz w:val="24"/>
              </w:rPr>
            </m:ctrlPr>
          </m:sSubPr>
          <m:e>
            <m:r>
              <m:rPr>
                <m:sty m:val="bi"/>
              </m:rPr>
              <w:rPr>
                <w:rFonts w:ascii="Cambria Math" w:hAnsi="Cambria Math"/>
                <w:sz w:val="24"/>
              </w:rPr>
              <m:t>n</m:t>
            </m:r>
            <m:ctrlPr>
              <w:rPr>
                <w:rFonts w:ascii="Cambria Math" w:hAnsi="Cambria Math"/>
                <w:b/>
                <w:i/>
                <w:sz w:val="24"/>
              </w:rPr>
            </m:ctrlPr>
          </m:e>
          <m:sub>
            <m:r>
              <w:rPr>
                <w:rFonts w:ascii="Cambria Math" w:hAnsi="Cambria Math"/>
                <w:sz w:val="24"/>
              </w:rPr>
              <m:t>e</m:t>
            </m:r>
          </m:sub>
        </m:sSub>
        <m:d>
          <m:dPr>
            <m:ctrlPr>
              <w:rPr>
                <w:rFonts w:ascii="Cambria Math" w:hAnsi="Cambria Math"/>
                <w:i/>
                <w:sz w:val="24"/>
              </w:rPr>
            </m:ctrlPr>
          </m:dPr>
          <m:e>
            <m:r>
              <m:rPr>
                <m:sty m:val="bi"/>
              </m:rPr>
              <w:rPr>
                <w:rFonts w:ascii="Cambria Math" w:hAnsi="Cambria Math"/>
                <w:sz w:val="24"/>
              </w:rPr>
              <m:t>x</m:t>
            </m:r>
            <m:ctrlPr>
              <w:rPr>
                <w:rFonts w:ascii="Cambria Math" w:hAnsi="Cambria Math"/>
                <w:b/>
                <w:i/>
                <w:sz w:val="24"/>
              </w:rPr>
            </m:ctrlPr>
          </m:e>
        </m:d>
      </m:oMath>
      <w:r w:rsidRPr="00A57EFF">
        <w:rPr>
          <w:rFonts w:ascii="Times New Roman" w:hAnsi="Times New Roman"/>
          <w:b/>
          <w:sz w:val="24"/>
        </w:rPr>
        <w:t xml:space="preserve"> </w:t>
      </w:r>
      <w:r w:rsidRPr="00A57EFF">
        <w:rPr>
          <w:rFonts w:ascii="Times New Roman" w:hAnsi="Times New Roman"/>
          <w:sz w:val="24"/>
        </w:rPr>
        <w:t xml:space="preserve">is the unit normal pointing out of  </w:t>
      </w:r>
      <m:oMath>
        <m:r>
          <m:rPr>
            <m:sty m:val="p"/>
          </m:rPr>
          <w:rPr>
            <w:rFonts w:ascii="Cambria Math" w:hAnsi="Cambria Math"/>
            <w:sz w:val="24"/>
          </w:rPr>
          <m:t>Ω</m:t>
        </m:r>
      </m:oMath>
      <w:r w:rsidRPr="00A57EFF">
        <w:rPr>
          <w:rFonts w:ascii="Times New Roman" w:hAnsi="Times New Roman"/>
          <w:sz w:val="24"/>
        </w:rPr>
        <w:t xml:space="preserve"> for </w:t>
      </w:r>
      <m:oMath>
        <m:r>
          <m:rPr>
            <m:sty m:val="bi"/>
          </m:rPr>
          <w:rPr>
            <w:rFonts w:ascii="Cambria Math" w:hAnsi="Cambria Math"/>
            <w:sz w:val="24"/>
          </w:rPr>
          <m:t>x</m:t>
        </m:r>
        <m: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Γ</m:t>
            </m:r>
          </m:e>
          <m:sub>
            <m:r>
              <w:rPr>
                <w:rFonts w:ascii="Cambria Math" w:hAnsi="Cambria Math"/>
                <w:sz w:val="24"/>
              </w:rPr>
              <m:t>e</m:t>
            </m:r>
          </m:sub>
        </m:sSub>
        <m:r>
          <w:rPr>
            <w:rFonts w:ascii="Cambria Math" w:hAnsi="Cambria Math"/>
            <w:sz w:val="24"/>
          </w:rPr>
          <m:t xml:space="preserve">. </m:t>
        </m:r>
      </m:oMath>
      <w:r w:rsidRPr="00A57EFF">
        <w:rPr>
          <w:rFonts w:ascii="Times New Roman" w:hAnsi="Times New Roman"/>
          <w:sz w:val="24"/>
        </w:rPr>
        <w:t>Finally, the initial conditions are given by,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
        <w:gridCol w:w="9"/>
        <w:gridCol w:w="7173"/>
        <w:gridCol w:w="636"/>
      </w:tblGrid>
      <w:tr w:rsidR="00AA6F1F" w:rsidRPr="00AA6F1F" w:rsidTr="00AB3042">
        <w:tc>
          <w:tcPr>
            <w:tcW w:w="478" w:type="dxa"/>
          </w:tcPr>
          <w:p w:rsidR="00AA6F1F" w:rsidRPr="00A57EFF" w:rsidRDefault="00AA6F1F" w:rsidP="00A57EFF">
            <w:pPr>
              <w:spacing w:after="120" w:line="480" w:lineRule="auto"/>
              <w:contextualSpacing/>
              <w:jc w:val="both"/>
              <w:rPr>
                <w:rFonts w:ascii="Times New Roman" w:hAnsi="Times New Roman"/>
                <w:color w:val="000000"/>
                <w:sz w:val="24"/>
              </w:rPr>
            </w:pPr>
          </w:p>
        </w:tc>
        <w:tc>
          <w:tcPr>
            <w:tcW w:w="7182" w:type="dxa"/>
            <w:gridSpan w:val="2"/>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l</m:t>
                    </m:r>
                  </m:sub>
                </m:sSub>
                <m:d>
                  <m:dPr>
                    <m:ctrlPr>
                      <w:rPr>
                        <w:rFonts w:ascii="Cambria Math" w:hAnsi="Cambria Math"/>
                        <w:i/>
                        <w:color w:val="000000"/>
                        <w:sz w:val="24"/>
                      </w:rPr>
                    </m:ctrlPr>
                  </m:dPr>
                  <m:e>
                    <m:r>
                      <w:rPr>
                        <w:rFonts w:ascii="Cambria Math" w:hAnsi="Cambria Math"/>
                        <w:color w:val="000000"/>
                        <w:sz w:val="24"/>
                      </w:rPr>
                      <m:t>0,</m:t>
                    </m:r>
                    <m:r>
                      <m:rPr>
                        <m:sty m:val="bi"/>
                      </m:rPr>
                      <w:rPr>
                        <w:rFonts w:ascii="Cambria Math" w:hAnsi="Cambria Math"/>
                        <w:color w:val="000000"/>
                        <w:sz w:val="24"/>
                      </w:rPr>
                      <m:t>x</m:t>
                    </m:r>
                  </m:e>
                </m:d>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s</m:t>
                    </m:r>
                  </m:sub>
                </m:sSub>
                <m:d>
                  <m:dPr>
                    <m:ctrlPr>
                      <w:rPr>
                        <w:rFonts w:ascii="Cambria Math" w:hAnsi="Cambria Math"/>
                        <w:i/>
                        <w:color w:val="000000"/>
                        <w:sz w:val="24"/>
                      </w:rPr>
                    </m:ctrlPr>
                  </m:dPr>
                  <m:e>
                    <m:r>
                      <w:rPr>
                        <w:rFonts w:ascii="Cambria Math" w:hAnsi="Cambria Math"/>
                        <w:color w:val="000000"/>
                        <w:sz w:val="24"/>
                      </w:rPr>
                      <m:t>0,</m:t>
                    </m:r>
                    <m:r>
                      <m:rPr>
                        <m:sty m:val="bi"/>
                      </m:rPr>
                      <w:rPr>
                        <w:rFonts w:ascii="Cambria Math" w:hAnsi="Cambria Math"/>
                        <w:color w:val="000000"/>
                        <w:sz w:val="24"/>
                      </w:rPr>
                      <m:t>x</m:t>
                    </m:r>
                  </m:e>
                </m:d>
                <m:r>
                  <w:rPr>
                    <w:rFonts w:ascii="Cambria Math" w:hAnsi="Cambria Math"/>
                    <w:color w:val="000000"/>
                    <w:sz w:val="24"/>
                  </w:rPr>
                  <m:t xml:space="preserve">=0,   </m:t>
                </m:r>
              </m:oMath>
            </m:oMathPara>
          </w:p>
        </w:tc>
        <w:tc>
          <w:tcPr>
            <w:tcW w:w="636"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(11)</w:t>
            </w:r>
          </w:p>
        </w:tc>
      </w:tr>
      <w:tr w:rsidR="00AA6F1F" w:rsidRPr="00AA6F1F" w:rsidTr="00AB3042">
        <w:tc>
          <w:tcPr>
            <w:tcW w:w="478" w:type="dxa"/>
          </w:tcPr>
          <w:p w:rsidR="00AA6F1F" w:rsidRPr="00A57EFF" w:rsidRDefault="00AA6F1F" w:rsidP="00A57EFF">
            <w:pPr>
              <w:spacing w:after="120" w:line="480" w:lineRule="auto"/>
              <w:contextualSpacing/>
              <w:jc w:val="both"/>
              <w:rPr>
                <w:rFonts w:ascii="Times New Roman" w:hAnsi="Times New Roman"/>
                <w:color w:val="000000"/>
                <w:sz w:val="24"/>
              </w:rPr>
            </w:pPr>
          </w:p>
        </w:tc>
        <w:tc>
          <w:tcPr>
            <w:tcW w:w="7182" w:type="dxa"/>
            <w:gridSpan w:val="2"/>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d>
                  <m:dPr>
                    <m:ctrlPr>
                      <w:rPr>
                        <w:rFonts w:ascii="Cambria Math" w:hAnsi="Cambria Math"/>
                        <w:i/>
                        <w:color w:val="000000"/>
                        <w:sz w:val="24"/>
                      </w:rPr>
                    </m:ctrlPr>
                  </m:dPr>
                  <m:e>
                    <m:r>
                      <w:rPr>
                        <w:rFonts w:ascii="Cambria Math" w:hAnsi="Cambria Math"/>
                        <w:color w:val="000000"/>
                        <w:sz w:val="24"/>
                      </w:rPr>
                      <m:t>0,</m:t>
                    </m:r>
                    <m:r>
                      <m:rPr>
                        <m:sty m:val="bi"/>
                      </m:rPr>
                      <w:rPr>
                        <w:rFonts w:ascii="Cambria Math" w:hAnsi="Cambria Math"/>
                        <w:color w:val="000000"/>
                        <w:sz w:val="24"/>
                      </w:rPr>
                      <m:t>x</m:t>
                    </m:r>
                  </m:e>
                </m:d>
                <m:r>
                  <w:rPr>
                    <w:rFonts w:ascii="Cambria Math" w:hAnsi="Cambria Math"/>
                    <w:color w:val="000000"/>
                    <w:sz w:val="24"/>
                  </w:rPr>
                  <m:t>=</m:t>
                </m:r>
                <m:f>
                  <m:fPr>
                    <m:ctrlPr>
                      <w:rPr>
                        <w:rFonts w:ascii="Cambria Math" w:hAnsi="Cambria Math"/>
                        <w:i/>
                        <w:color w:val="000000"/>
                        <w:sz w:val="24"/>
                      </w:rPr>
                    </m:ctrlPr>
                  </m:fPr>
                  <m:num>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add</m:t>
                        </m:r>
                      </m:sub>
                    </m:sSub>
                  </m:num>
                  <m:den>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r>
                      <w:rPr>
                        <w:rFonts w:ascii="Cambria Math" w:hAnsi="Cambria Math"/>
                        <w:color w:val="000000"/>
                        <w:sz w:val="24"/>
                      </w:rPr>
                      <m:t>(1+</m:t>
                    </m:r>
                    <m:sSub>
                      <m:sSubPr>
                        <m:ctrlPr>
                          <w:rPr>
                            <w:rFonts w:ascii="Cambria Math" w:hAnsi="Cambria Math"/>
                            <w:i/>
                            <w:color w:val="000000"/>
                            <w:sz w:val="24"/>
                          </w:rPr>
                        </m:ctrlPr>
                      </m:sSubPr>
                      <m:e>
                        <m:r>
                          <w:rPr>
                            <w:rFonts w:ascii="Cambria Math" w:hAnsi="Cambria Math"/>
                            <w:color w:val="000000"/>
                            <w:sz w:val="24"/>
                          </w:rPr>
                          <m:t>b</m:t>
                        </m:r>
                      </m:e>
                      <m:sub>
                        <m:r>
                          <w:rPr>
                            <w:rFonts w:ascii="Cambria Math" w:hAnsi="Cambria Math"/>
                            <w:color w:val="000000"/>
                            <w:sz w:val="24"/>
                          </w:rPr>
                          <m:t>P</m:t>
                        </m:r>
                      </m:sub>
                    </m:sSub>
                    <m:r>
                      <w:rPr>
                        <w:rFonts w:ascii="Cambria Math" w:hAnsi="Cambria Math"/>
                        <w:color w:val="000000"/>
                        <w:sz w:val="24"/>
                      </w:rPr>
                      <m:t>)</m:t>
                    </m:r>
                  </m:den>
                </m:f>
                <m:r>
                  <w:rPr>
                    <w:rFonts w:ascii="Cambria Math" w:hAnsi="Cambria Math"/>
                    <w:color w:val="000000"/>
                    <w:sz w:val="24"/>
                  </w:rPr>
                  <m:t>,</m:t>
                </m:r>
              </m:oMath>
            </m:oMathPara>
          </w:p>
        </w:tc>
        <w:tc>
          <w:tcPr>
            <w:tcW w:w="636"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(12)</w:t>
            </w:r>
          </w:p>
        </w:tc>
      </w:tr>
      <w:tr w:rsidR="00AA6F1F" w:rsidRPr="00AA6F1F" w:rsidTr="00AB3042">
        <w:tc>
          <w:tcPr>
            <w:tcW w:w="487" w:type="dxa"/>
            <w:gridSpan w:val="2"/>
          </w:tcPr>
          <w:p w:rsidR="00AA6F1F" w:rsidRPr="00A57EFF" w:rsidRDefault="00AA6F1F" w:rsidP="00A57EFF">
            <w:pPr>
              <w:spacing w:after="120" w:line="480" w:lineRule="auto"/>
              <w:contextualSpacing/>
              <w:jc w:val="both"/>
              <w:rPr>
                <w:rFonts w:ascii="Times New Roman" w:hAnsi="Times New Roman"/>
                <w:color w:val="000000"/>
                <w:sz w:val="24"/>
              </w:rPr>
            </w:pPr>
          </w:p>
        </w:tc>
        <w:tc>
          <w:tcPr>
            <w:tcW w:w="7173" w:type="dxa"/>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s</m:t>
                    </m:r>
                  </m:sub>
                </m:sSub>
                <m:d>
                  <m:dPr>
                    <m:ctrlPr>
                      <w:rPr>
                        <w:rFonts w:ascii="Cambria Math" w:hAnsi="Cambria Math"/>
                        <w:i/>
                        <w:color w:val="000000"/>
                        <w:sz w:val="24"/>
                      </w:rPr>
                    </m:ctrlPr>
                  </m:dPr>
                  <m:e>
                    <m:r>
                      <w:rPr>
                        <w:rFonts w:ascii="Cambria Math" w:hAnsi="Cambria Math"/>
                        <w:color w:val="000000"/>
                        <w:sz w:val="24"/>
                      </w:rPr>
                      <m:t>0,</m:t>
                    </m:r>
                    <m:r>
                      <m:rPr>
                        <m:sty m:val="bi"/>
                      </m:rPr>
                      <w:rPr>
                        <w:rFonts w:ascii="Cambria Math" w:hAnsi="Cambria Math"/>
                        <w:color w:val="000000"/>
                        <w:sz w:val="24"/>
                      </w:rPr>
                      <m:t>x</m:t>
                    </m:r>
                  </m:e>
                </m:d>
                <m:r>
                  <w:rPr>
                    <w:rFonts w:ascii="Cambria Math" w:hAnsi="Cambria Math"/>
                    <w:color w:val="000000"/>
                    <w:sz w:val="24"/>
                  </w:rPr>
                  <m:t>=</m:t>
                </m:r>
                <m:f>
                  <m:fPr>
                    <m:ctrlPr>
                      <w:rPr>
                        <w:rFonts w:ascii="Cambria Math" w:hAnsi="Cambria Math"/>
                        <w:i/>
                        <w:color w:val="000000"/>
                        <w:sz w:val="24"/>
                      </w:rPr>
                    </m:ctrlPr>
                  </m:fPr>
                  <m:num>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num>
                  <m:den>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s</m:t>
                        </m:r>
                      </m:sub>
                    </m:sSub>
                  </m:den>
                </m:f>
                <m:sSub>
                  <m:sSubPr>
                    <m:ctrlPr>
                      <w:rPr>
                        <w:rFonts w:ascii="Cambria Math" w:hAnsi="Cambria Math"/>
                        <w:i/>
                        <w:color w:val="000000"/>
                        <w:sz w:val="24"/>
                      </w:rPr>
                    </m:ctrlPr>
                  </m:sSubPr>
                  <m:e>
                    <m:r>
                      <w:rPr>
                        <w:rFonts w:ascii="Cambria Math" w:hAnsi="Cambria Math"/>
                        <w:color w:val="000000"/>
                        <w:sz w:val="24"/>
                      </w:rPr>
                      <m:t>b</m:t>
                    </m:r>
                  </m:e>
                  <m:sub>
                    <m:r>
                      <w:rPr>
                        <w:rFonts w:ascii="Cambria Math" w:hAnsi="Cambria Math"/>
                        <w:color w:val="000000"/>
                        <w:sz w:val="24"/>
                      </w:rPr>
                      <m:t>P</m:t>
                    </m:r>
                  </m:sub>
                </m:sSub>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r>
                  <w:rPr>
                    <w:rFonts w:ascii="Cambria Math" w:hAnsi="Cambria Math"/>
                    <w:color w:val="000000"/>
                    <w:sz w:val="24"/>
                  </w:rPr>
                  <m:t>(0,</m:t>
                </m:r>
                <m:r>
                  <m:rPr>
                    <m:sty m:val="bi"/>
                  </m:rPr>
                  <w:rPr>
                    <w:rFonts w:ascii="Cambria Math" w:hAnsi="Cambria Math"/>
                    <w:color w:val="000000"/>
                    <w:sz w:val="24"/>
                  </w:rPr>
                  <m:t>x</m:t>
                </m:r>
                <m:r>
                  <w:rPr>
                    <w:rFonts w:ascii="Cambria Math" w:hAnsi="Cambria Math"/>
                    <w:color w:val="000000"/>
                    <w:sz w:val="24"/>
                  </w:rPr>
                  <m:t xml:space="preserve">)          </m:t>
                </m:r>
              </m:oMath>
            </m:oMathPara>
          </w:p>
        </w:tc>
        <w:tc>
          <w:tcPr>
            <w:tcW w:w="636"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(13)</w:t>
            </w:r>
          </w:p>
        </w:tc>
      </w:tr>
    </w:tbl>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where </w:t>
      </w:r>
      <m:oMath>
        <m:sSub>
          <m:sSubPr>
            <m:ctrlPr>
              <w:rPr>
                <w:rFonts w:ascii="Cambria Math" w:hAnsi="Cambria Math"/>
                <w:i/>
                <w:sz w:val="24"/>
              </w:rPr>
            </m:ctrlPr>
          </m:sSubPr>
          <m:e>
            <m:r>
              <w:rPr>
                <w:rFonts w:ascii="Cambria Math" w:hAnsi="Cambria Math"/>
                <w:sz w:val="24"/>
              </w:rPr>
              <m:t>b</m:t>
            </m:r>
          </m:e>
          <m:sub>
            <m:r>
              <w:rPr>
                <w:rFonts w:ascii="Cambria Math" w:hAnsi="Cambria Math"/>
                <w:sz w:val="24"/>
              </w:rPr>
              <m:t>P</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oMath>
      <w:r w:rsidRPr="00A57EFF">
        <w:rPr>
          <w:rFonts w:ascii="Times New Roman" w:hAnsi="Times New Roman"/>
          <w:sz w:val="24"/>
        </w:rPr>
        <w:t xml:space="preserve"> [1] is the buffer power of P in soil and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add</m:t>
            </m:r>
          </m:sub>
        </m:sSub>
      </m:oMath>
      <w:r w:rsidRPr="00A57EFF">
        <w:rPr>
          <w:rFonts w:ascii="Times New Roman" w:hAnsi="Times New Roman"/>
          <w:sz w:val="24"/>
        </w:rPr>
        <w:t xml:space="preserve"> [µmol m</w:t>
      </w:r>
      <w:r w:rsidRPr="00A57EFF">
        <w:rPr>
          <w:rFonts w:ascii="Times New Roman" w:hAnsi="Times New Roman"/>
          <w:sz w:val="24"/>
          <w:vertAlign w:val="superscript"/>
        </w:rPr>
        <w:t>-3</w:t>
      </w:r>
      <w:r w:rsidRPr="00A57EFF">
        <w:rPr>
          <w:rFonts w:ascii="Times New Roman" w:hAnsi="Times New Roman"/>
          <w:sz w:val="24"/>
        </w:rPr>
        <w:t xml:space="preserve"> of total soil] is the concentration of labelled P added to the soil. Notice, after time-equilibration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s</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ϕ</m:t>
                </m:r>
              </m:e>
              <m:sub>
                <m:r>
                  <w:rPr>
                    <w:rFonts w:ascii="Cambria Math" w:hAnsi="Cambria Math"/>
                    <w:sz w:val="24"/>
                  </w:rPr>
                  <m:t>l</m:t>
                </m:r>
              </m:sub>
            </m:sSub>
          </m:num>
          <m:den>
            <m:sSub>
              <m:sSubPr>
                <m:ctrlPr>
                  <w:rPr>
                    <w:rFonts w:ascii="Cambria Math" w:hAnsi="Cambria Math"/>
                    <w:i/>
                    <w:sz w:val="24"/>
                  </w:rPr>
                </m:ctrlPr>
              </m:sSubPr>
              <m:e>
                <m:r>
                  <w:rPr>
                    <w:rFonts w:ascii="Cambria Math" w:hAnsi="Cambria Math"/>
                    <w:sz w:val="24"/>
                  </w:rPr>
                  <m:t>ϕ</m:t>
                </m:r>
              </m:e>
              <m:sub>
                <m:r>
                  <w:rPr>
                    <w:rFonts w:ascii="Cambria Math" w:hAnsi="Cambria Math"/>
                    <w:sz w:val="24"/>
                  </w:rPr>
                  <m:t>s</m:t>
                </m:r>
              </m:sub>
            </m:sSub>
          </m:den>
        </m:f>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b</m:t>
                </m:r>
              </m:e>
              <m:sub>
                <m:r>
                  <w:rPr>
                    <w:rFonts w:ascii="Cambria Math" w:hAnsi="Cambria Math"/>
                    <w:sz w:val="24"/>
                  </w:rPr>
                  <m:t>P</m:t>
                </m:r>
              </m:sub>
            </m:sSub>
            <m:r>
              <w:rPr>
                <w:rFonts w:ascii="Cambria Math" w:hAnsi="Cambria Math"/>
                <w:sz w:val="24"/>
              </w:rPr>
              <m:t>P</m:t>
            </m:r>
          </m:e>
          <m:sub>
            <m:r>
              <w:rPr>
                <w:rFonts w:ascii="Cambria Math" w:hAnsi="Cambria Math"/>
                <w:sz w:val="24"/>
              </w:rPr>
              <m:t>l</m:t>
            </m:r>
          </m:sub>
        </m:sSub>
      </m:oMath>
      <w:r w:rsidRPr="00A57EFF">
        <w:rPr>
          <w:rFonts w:ascii="Times New Roman" w:hAnsi="Times New Roman"/>
          <w:sz w:val="24"/>
        </w:rPr>
        <w:t xml:space="preserve">,  thus we have </w:t>
      </w:r>
      <m:oMath>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ϕ</m:t>
                </m:r>
              </m:e>
              <m:sub>
                <m:r>
                  <w:rPr>
                    <w:rFonts w:ascii="Cambria Math" w:hAnsi="Cambria Math"/>
                    <w:sz w:val="24"/>
                  </w:rPr>
                  <m:t>l</m:t>
                </m:r>
              </m:sub>
            </m:sSub>
            <m:r>
              <w:rPr>
                <w:rFonts w:ascii="Cambria Math" w:hAnsi="Cambria Math"/>
                <w:sz w:val="24"/>
              </w:rPr>
              <m:t>P</m:t>
            </m:r>
          </m:e>
          <m:sub>
            <m:r>
              <w:rPr>
                <w:rFonts w:ascii="Cambria Math" w:hAnsi="Cambria Math"/>
                <w:sz w:val="24"/>
              </w:rPr>
              <m:t>l</m:t>
            </m:r>
          </m:sub>
        </m:sSub>
        <m:r>
          <w:rPr>
            <w:rFonts w:ascii="Cambria Math" w:hAnsi="Cambria Math"/>
            <w:sz w:val="24"/>
          </w:rPr>
          <m:t>+</m:t>
        </m:r>
        <m:sSub>
          <m:sSubPr>
            <m:ctrlPr>
              <w:rPr>
                <w:rFonts w:ascii="Cambria Math" w:hAnsi="Cambria Math"/>
                <w:i/>
                <w:sz w:val="24"/>
              </w:rPr>
            </m:ctrlPr>
          </m:sSubPr>
          <m:e>
            <m:r>
              <w:rPr>
                <w:rFonts w:ascii="Cambria Math" w:hAnsi="Cambria Math"/>
                <w:sz w:val="24"/>
              </w:rPr>
              <m:t>ϕ</m:t>
            </m:r>
          </m:e>
          <m:sub>
            <m:r>
              <w:rPr>
                <w:rFonts w:ascii="Cambria Math" w:hAnsi="Cambria Math"/>
                <w:sz w:val="24"/>
              </w:rPr>
              <m:t>s</m:t>
            </m:r>
          </m:sub>
        </m:sSub>
        <m:sSub>
          <m:sSubPr>
            <m:ctrlPr>
              <w:rPr>
                <w:rFonts w:ascii="Cambria Math" w:hAnsi="Cambria Math"/>
                <w:i/>
                <w:sz w:val="24"/>
              </w:rPr>
            </m:ctrlPr>
          </m:sSubPr>
          <m:e>
            <m:r>
              <w:rPr>
                <w:rFonts w:ascii="Cambria Math" w:hAnsi="Cambria Math"/>
                <w:sz w:val="24"/>
              </w:rPr>
              <m:t>P</m:t>
            </m:r>
          </m:e>
          <m:sub>
            <m:r>
              <w:rPr>
                <w:rFonts w:ascii="Cambria Math" w:hAnsi="Cambria Math"/>
                <w:sz w:val="24"/>
              </w:rPr>
              <m:t>s</m:t>
            </m:r>
          </m:sub>
        </m:sSub>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add</m:t>
            </m:r>
          </m:sub>
        </m:sSub>
      </m:oMath>
      <w:r w:rsidRPr="00A57EFF">
        <w:rPr>
          <w:rFonts w:ascii="Times New Roman" w:hAnsi="Times New Roman"/>
          <w:sz w:val="24"/>
        </w:rPr>
        <w:t xml:space="preserve"> and therefore mass is conserved in the initial conditions.</w:t>
      </w:r>
    </w:p>
    <w:p w:rsidR="00AA6F1F" w:rsidRPr="00A57EFF" w:rsidRDefault="00AA6F1F" w:rsidP="00A57EFF">
      <w:pPr>
        <w:spacing w:after="200" w:line="480" w:lineRule="auto"/>
        <w:ind w:firstLine="720"/>
        <w:jc w:val="both"/>
        <w:rPr>
          <w:rFonts w:ascii="Times New Roman" w:hAnsi="Times New Roman"/>
          <w:sz w:val="24"/>
        </w:rPr>
      </w:pPr>
      <w:r w:rsidRPr="00A57EFF">
        <w:rPr>
          <w:rFonts w:ascii="Times New Roman" w:hAnsi="Times New Roman"/>
          <w:sz w:val="24"/>
        </w:rPr>
        <w:t xml:space="preserve">There are 9 unknown parameters introduced by the model, namely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 xml:space="preserve"> β</m:t>
            </m:r>
          </m:e>
          <m:sub>
            <m:r>
              <w:rPr>
                <w:rFonts w:ascii="Cambria Math" w:hAnsi="Cambria Math"/>
                <w:sz w:val="24"/>
              </w:rPr>
              <m:t>2</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γ</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r>
          <w:rPr>
            <w:rFonts w:ascii="Cambria Math" w:hAnsi="Cambria Math"/>
            <w:sz w:val="24"/>
          </w:rPr>
          <m:t xml:space="preserve">,λ, </m:t>
        </m:r>
        <m:sSub>
          <m:sSubPr>
            <m:ctrlPr>
              <w:rPr>
                <w:rFonts w:ascii="Cambria Math" w:hAnsi="Cambria Math"/>
                <w:i/>
                <w:sz w:val="24"/>
              </w:rPr>
            </m:ctrlPr>
          </m:sSubPr>
          <m:e>
            <m:r>
              <w:rPr>
                <w:rFonts w:ascii="Cambria Math" w:hAnsi="Cambria Math"/>
                <w:sz w:val="24"/>
              </w:rPr>
              <m:t>δ</m:t>
            </m:r>
          </m:e>
          <m:sub>
            <m:r>
              <w:rPr>
                <w:rFonts w:ascii="Cambria Math" w:hAnsi="Cambria Math"/>
                <w:sz w:val="24"/>
              </w:rPr>
              <m:t>C</m:t>
            </m:r>
          </m:sub>
        </m:sSub>
        <m:r>
          <w:rPr>
            <w:rFonts w:ascii="Cambria Math" w:hAnsi="Cambria Math"/>
            <w:sz w:val="24"/>
          </w:rPr>
          <m:t xml:space="preserve">, </m:t>
        </m:r>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0</m:t>
            </m:r>
          </m:sup>
        </m:sSubSup>
        <m:r>
          <w:rPr>
            <w:rFonts w:ascii="Cambria Math" w:hAnsi="Cambria Math"/>
            <w:sz w:val="24"/>
          </w:rPr>
          <m:t xml:space="preserve">, </m:t>
        </m:r>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1</m:t>
            </m:r>
          </m:sup>
        </m:sSubSup>
      </m:oMath>
      <w:r w:rsidRPr="00A57EFF">
        <w:rPr>
          <w:rFonts w:ascii="Times New Roman" w:hAnsi="Times New Roman"/>
          <w:sz w:val="24"/>
        </w:rPr>
        <w:t xml:space="preserve"> which are summarised in Table 2. In the past, the soil reaction parameters have been estimated based purely </w:t>
      </w:r>
      <w:r w:rsidRPr="00AA6F1F">
        <w:rPr>
          <w:rFonts w:ascii="Times New Roman" w:eastAsia="Calibri" w:hAnsi="Times New Roman" w:cs="Times New Roman"/>
          <w:sz w:val="24"/>
          <w:szCs w:val="24"/>
        </w:rPr>
        <w:t>on</w:t>
      </w:r>
      <w:r w:rsidRPr="00A57EFF">
        <w:rPr>
          <w:rFonts w:ascii="Times New Roman" w:hAnsi="Times New Roman"/>
          <w:sz w:val="24"/>
        </w:rPr>
        <w:t xml:space="preserve"> physical intuition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&lt;EndNote&gt;&lt;Cite&gt;&lt;Author&gt;Zygalakis&lt;/Author&gt;&lt;Year&gt;2012&lt;/Year&gt;&lt;RecNum&gt;16&lt;/RecNum&gt;&lt;DisplayText&gt;(Zygalakis and Roose 2012)&lt;/DisplayText&gt;&lt;record&gt;&lt;rec-number&gt;16&lt;/rec-number&gt;&lt;foreign-keys&gt;&lt;key app="EN" db-id="0sapex5pfwrt05ep5w3x2zd0tdt9050e5fax" timestamp="1454061516"&gt;16&lt;/key&gt;&lt;/foreign-keys&gt;&lt;ref-type name="Journal Article"&gt;17&lt;/ref-type&gt;&lt;contributors&gt;&lt;authors&gt;&lt;author&gt;Zygalakis, KC&lt;/author&gt;&lt;author&gt;Roose, T&lt;/author&gt;&lt;/authors&gt;&lt;/contributors&gt;&lt;titles&gt;&lt;title&gt;A mathematical model for investigating the effect of cluster roots on plant nutrient uptake&lt;/title&gt;&lt;secondary-title&gt;The European Physical Journal Special Topics&lt;/secondary-title&gt;&lt;/titles&gt;&lt;periodical&gt;&lt;full-title&gt;The European Physical Journal Special Topics&lt;/full-title&gt;&lt;/periodical&gt;&lt;pages&gt;103-118&lt;/pages&gt;&lt;volume&gt;204&lt;/volume&gt;&lt;number&gt;1&lt;/number&gt;&lt;dates&gt;&lt;year&gt;2012&lt;/year&gt;&lt;/dates&gt;&lt;isbn&gt;1951-6355&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(Zygalakis and Roose 2012)</w:t>
      </w:r>
      <w:r w:rsidRPr="00A57EFF">
        <w:rPr>
          <w:rFonts w:ascii="Times New Roman" w:hAnsi="Times New Roman"/>
          <w:sz w:val="24"/>
        </w:rPr>
        <w:fldChar w:fldCharType="end"/>
      </w:r>
      <w:r w:rsidRPr="00A57EFF">
        <w:rPr>
          <w:rFonts w:ascii="Times New Roman" w:hAnsi="Times New Roman"/>
          <w:sz w:val="24"/>
        </w:rPr>
        <w:t xml:space="preserve"> or have been simplified to equilibrium reaction models (</w:t>
      </w:r>
      <w:r w:rsidRPr="00A57EFF">
        <w:rPr>
          <w:rFonts w:ascii="Times New Roman" w:hAnsi="Times New Roman"/>
          <w:i/>
          <w:sz w:val="24"/>
        </w:rPr>
        <w:t xml:space="preserve">i.e. </w:t>
      </w:r>
      <w:r w:rsidRPr="00A57EFF">
        <w:rPr>
          <w:rFonts w:ascii="Times New Roman" w:hAnsi="Times New Roman"/>
          <w:sz w:val="24"/>
        </w:rPr>
        <w:t xml:space="preserve">they approximate sorbed P by solution P using the buffer power) by assuming the reaction rates are fast and parameterised using bulk equilibrium experiments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&lt;EndNote&gt;&lt;Cite&gt;&lt;Author&gt;Gerke&lt;/Author&gt;&lt;Year&gt;2000&lt;/Year&gt;&lt;RecNum&gt;17&lt;/RecNum&gt;&lt;DisplayText&gt;(Gerke et al. 2000a)&lt;/DisplayText&gt;&lt;record&gt;&lt;rec-number&gt;17&lt;/rec-number&gt;&lt;foreign-keys&gt;&lt;key app="EN" db-id="0sapex5pfwrt05ep5w3x2zd0tdt9050e5fax" timestamp="1455707624"&gt;17&lt;/key&gt;&lt;/foreign-keys&gt;&lt;ref-type name="Journal Article"&gt;17&lt;/ref-type&gt;&lt;contributors&gt;&lt;authors&gt;&lt;author&gt;Gerke, Jörg&lt;/author&gt;&lt;author&gt;Beißner, Lutz&lt;/author&gt;&lt;author&gt;Römer, Wilhelm&lt;/author&gt;&lt;/authors&gt;&lt;/contributors&gt;&lt;titles&gt;&lt;title&gt;The quantitative effect of chemical phosphate mobilization by carboxylate anions on P uptake by a single root. I. The basic concept and determination of soil parameters&lt;/title&gt;&lt;secondary-title&gt;Journal of Plant Nutrition and Soil Science&lt;/secondary-title&gt;&lt;/titles&gt;&lt;periodical&gt;&lt;full-title&gt;Journal of Plant Nutrition and Soil Science&lt;/full-title&gt;&lt;/periodical&gt;&lt;pages&gt;207-212&lt;/pages&gt;&lt;volume&gt;163&lt;/volume&gt;&lt;number&gt;2&lt;/number&gt;&lt;dates&gt;&lt;year&gt;2000&lt;/year&gt;&lt;/dates&gt;&lt;isbn&gt;1522-2624&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(Gerke et al. 2000a)</w:t>
      </w:r>
      <w:r w:rsidRPr="00A57EFF">
        <w:rPr>
          <w:rFonts w:ascii="Times New Roman" w:hAnsi="Times New Roman"/>
          <w:sz w:val="24"/>
        </w:rPr>
        <w:fldChar w:fldCharType="end"/>
      </w:r>
      <w:r w:rsidRPr="00A57EFF">
        <w:rPr>
          <w:rFonts w:ascii="Times New Roman" w:hAnsi="Times New Roman"/>
          <w:sz w:val="24"/>
        </w:rPr>
        <w:t xml:space="preserve">. In order to </w:t>
      </w:r>
      <w:r w:rsidR="00FF5FA4">
        <w:rPr>
          <w:rFonts w:ascii="Times New Roman" w:eastAsia="Calibri" w:hAnsi="Times New Roman" w:cs="Times New Roman"/>
          <w:sz w:val="24"/>
          <w:szCs w:val="24"/>
        </w:rPr>
        <w:t>resolve soil sorption</w:t>
      </w:r>
      <w:r w:rsidRPr="00A57EFF">
        <w:rPr>
          <w:rFonts w:ascii="Times New Roman" w:hAnsi="Times New Roman"/>
          <w:sz w:val="24"/>
        </w:rPr>
        <w:t xml:space="preserve">, the reaction rate parameters must be carefully fit to experimental data. The value of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oMath>
      <w:r w:rsidRPr="00A57EFF">
        <w:rPr>
          <w:rFonts w:ascii="Times New Roman" w:hAnsi="Times New Roman"/>
          <w:sz w:val="24"/>
        </w:rPr>
        <w:t xml:space="preserve"> is of particular interest for understanding P mobilisation by citrate. However, to calculate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oMath>
      <w:r w:rsidRPr="00A57EFF">
        <w:rPr>
          <w:rFonts w:ascii="Times New Roman" w:hAnsi="Times New Roman"/>
          <w:sz w:val="24"/>
        </w:rPr>
        <w:t xml:space="preserve"> the other parameters must also be known.</w:t>
      </w:r>
    </w:p>
    <w:p w:rsidR="00AA6F1F" w:rsidRPr="00A57EFF" w:rsidRDefault="00AA6F1F" w:rsidP="00A57EFF">
      <w:pPr>
        <w:spacing w:after="200" w:line="480" w:lineRule="auto"/>
        <w:jc w:val="center"/>
        <w:rPr>
          <w:rFonts w:ascii="Times New Roman" w:hAnsi="Times New Roman"/>
          <w:sz w:val="20"/>
        </w:rPr>
      </w:pPr>
      <w:r w:rsidRPr="00A57EFF">
        <w:rPr>
          <w:rFonts w:ascii="Times New Roman" w:hAnsi="Times New Roman"/>
          <w:b/>
          <w:sz w:val="20"/>
        </w:rPr>
        <w:t>Table 2</w:t>
      </w:r>
      <w:r w:rsidRPr="00A57EFF">
        <w:rPr>
          <w:rFonts w:ascii="Times New Roman" w:hAnsi="Times New Roman"/>
          <w:sz w:val="20"/>
        </w:rPr>
        <w:t xml:space="preserve"> Parameters used in the model</w:t>
      </w:r>
    </w:p>
    <w:tbl>
      <w:tblPr>
        <w:tblStyle w:val="TableGrid"/>
        <w:tblW w:w="0" w:type="auto"/>
        <w:tblLook w:val="04A0" w:firstRow="1" w:lastRow="0" w:firstColumn="1" w:lastColumn="0" w:noHBand="0" w:noVBand="1"/>
      </w:tblPr>
      <w:tblGrid>
        <w:gridCol w:w="1309"/>
        <w:gridCol w:w="3686"/>
        <w:gridCol w:w="2126"/>
        <w:gridCol w:w="1701"/>
      </w:tblGrid>
      <w:tr w:rsidR="00AA6F1F" w:rsidRPr="00AA6F1F" w:rsidTr="00AB3042">
        <w:tc>
          <w:tcPr>
            <w:tcW w:w="1271" w:type="dxa"/>
          </w:tcPr>
          <w:p w:rsidR="00AA6F1F" w:rsidRPr="00A57EFF" w:rsidRDefault="00AA6F1F" w:rsidP="00AA6F1F">
            <w:pPr>
              <w:spacing w:line="480" w:lineRule="auto"/>
              <w:jc w:val="both"/>
              <w:rPr>
                <w:rFonts w:ascii="Times New Roman" w:hAnsi="Times New Roman"/>
                <w:b/>
                <w:sz w:val="24"/>
              </w:rPr>
            </w:pPr>
            <w:r w:rsidRPr="00A57EFF">
              <w:rPr>
                <w:rFonts w:ascii="Times New Roman" w:hAnsi="Times New Roman"/>
                <w:b/>
                <w:sz w:val="24"/>
              </w:rPr>
              <w:t>Parameter</w:t>
            </w:r>
          </w:p>
        </w:tc>
        <w:tc>
          <w:tcPr>
            <w:tcW w:w="3686" w:type="dxa"/>
          </w:tcPr>
          <w:p w:rsidR="00AA6F1F" w:rsidRPr="00A57EFF" w:rsidRDefault="00AA6F1F" w:rsidP="00AA6F1F">
            <w:pPr>
              <w:spacing w:line="480" w:lineRule="auto"/>
              <w:jc w:val="both"/>
              <w:rPr>
                <w:rFonts w:ascii="Times New Roman" w:hAnsi="Times New Roman"/>
                <w:b/>
                <w:sz w:val="24"/>
              </w:rPr>
            </w:pPr>
            <w:r w:rsidRPr="00A57EFF">
              <w:rPr>
                <w:rFonts w:ascii="Times New Roman" w:hAnsi="Times New Roman"/>
                <w:b/>
                <w:sz w:val="24"/>
              </w:rPr>
              <w:t>Description</w:t>
            </w:r>
          </w:p>
        </w:tc>
        <w:tc>
          <w:tcPr>
            <w:tcW w:w="2126" w:type="dxa"/>
          </w:tcPr>
          <w:p w:rsidR="00AA6F1F" w:rsidRPr="00A57EFF" w:rsidRDefault="00AA6F1F" w:rsidP="00AA6F1F">
            <w:pPr>
              <w:spacing w:line="480" w:lineRule="auto"/>
              <w:jc w:val="both"/>
              <w:rPr>
                <w:rFonts w:ascii="Times New Roman" w:hAnsi="Times New Roman"/>
                <w:b/>
                <w:sz w:val="24"/>
              </w:rPr>
            </w:pPr>
            <w:r w:rsidRPr="00A57EFF">
              <w:rPr>
                <w:rFonts w:ascii="Times New Roman" w:hAnsi="Times New Roman"/>
                <w:b/>
                <w:sz w:val="24"/>
              </w:rPr>
              <w:t>Unit</w:t>
            </w:r>
          </w:p>
        </w:tc>
        <w:tc>
          <w:tcPr>
            <w:tcW w:w="1701" w:type="dxa"/>
          </w:tcPr>
          <w:p w:rsidR="00AA6F1F" w:rsidRPr="00A57EFF" w:rsidRDefault="00AA6F1F" w:rsidP="00AA6F1F">
            <w:pPr>
              <w:spacing w:line="480" w:lineRule="auto"/>
              <w:jc w:val="both"/>
              <w:rPr>
                <w:rFonts w:ascii="Times New Roman" w:hAnsi="Times New Roman"/>
                <w:b/>
                <w:sz w:val="24"/>
              </w:rPr>
            </w:pPr>
            <w:r w:rsidRPr="00A57EFF">
              <w:rPr>
                <w:rFonts w:ascii="Times New Roman" w:hAnsi="Times New Roman"/>
                <w:b/>
                <w:sz w:val="24"/>
              </w:rPr>
              <w:t>Value</w:t>
            </w: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ϕ</m:t>
                    </m:r>
                  </m:e>
                  <m:sub>
                    <m:r>
                      <w:rPr>
                        <w:rFonts w:ascii="Cambria Math" w:hAnsi="Cambria Math"/>
                        <w:sz w:val="24"/>
                      </w:rPr>
                      <m:t>l</m:t>
                    </m:r>
                  </m:sub>
                </m:sSub>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m</w:t>
            </w:r>
            <w:r w:rsidRPr="00A57EFF">
              <w:rPr>
                <w:rFonts w:ascii="Times New Roman" w:hAnsi="Times New Roman"/>
                <w:sz w:val="24"/>
                <w:vertAlign w:val="superscript"/>
              </w:rPr>
              <w:t>3</w:t>
            </w:r>
            <w:r w:rsidRPr="00A57EFF">
              <w:rPr>
                <w:rFonts w:ascii="Times New Roman" w:hAnsi="Times New Roman"/>
                <w:sz w:val="24"/>
              </w:rPr>
              <w:t xml:space="preserve"> of soil solution per m</w:t>
            </w:r>
            <w:r w:rsidRPr="00A57EFF">
              <w:rPr>
                <w:rFonts w:ascii="Times New Roman" w:hAnsi="Times New Roman"/>
                <w:sz w:val="24"/>
                <w:vertAlign w:val="superscript"/>
              </w:rPr>
              <w:t>3</w:t>
            </w:r>
            <w:r w:rsidRPr="00A57EFF">
              <w:rPr>
                <w:rFonts w:ascii="Times New Roman" w:hAnsi="Times New Roman"/>
                <w:sz w:val="24"/>
              </w:rPr>
              <w:t xml:space="preserve"> of total soil</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m</w:t>
            </w:r>
            <w:r w:rsidRPr="00A57EFF">
              <w:rPr>
                <w:rFonts w:ascii="Times New Roman" w:hAnsi="Times New Roman"/>
                <w:sz w:val="24"/>
                <w:vertAlign w:val="superscript"/>
              </w:rPr>
              <w:t>3</w:t>
            </w:r>
            <w:r w:rsidRPr="00A57EFF">
              <w:rPr>
                <w:rFonts w:ascii="Times New Roman" w:hAnsi="Times New Roman"/>
                <w:sz w:val="24"/>
              </w:rPr>
              <w:t xml:space="preserve"> of soil solution m</w:t>
            </w:r>
            <w:r w:rsidRPr="00A57EFF">
              <w:rPr>
                <w:rFonts w:ascii="Times New Roman" w:hAnsi="Times New Roman"/>
                <w:sz w:val="24"/>
                <w:vertAlign w:val="superscript"/>
              </w:rPr>
              <w:t>-3</w:t>
            </w:r>
            <w:r w:rsidRPr="00A57EFF">
              <w:rPr>
                <w:rFonts w:ascii="Times New Roman" w:hAnsi="Times New Roman"/>
                <w:sz w:val="24"/>
              </w:rPr>
              <w:t xml:space="preserve"> of total soil</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0.3 or 1</w:t>
            </w: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ϕ</m:t>
                    </m:r>
                  </m:e>
                  <m:sub>
                    <m:r>
                      <w:rPr>
                        <w:rFonts w:ascii="Cambria Math" w:hAnsi="Cambria Math"/>
                        <w:sz w:val="24"/>
                      </w:rPr>
                      <m:t>s</m:t>
                    </m:r>
                  </m:sub>
                </m:sSub>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m</w:t>
            </w:r>
            <w:r w:rsidRPr="00A57EFF">
              <w:rPr>
                <w:rFonts w:ascii="Times New Roman" w:hAnsi="Times New Roman"/>
                <w:sz w:val="24"/>
                <w:vertAlign w:val="superscript"/>
              </w:rPr>
              <w:t>3</w:t>
            </w:r>
            <w:r w:rsidRPr="00A57EFF">
              <w:rPr>
                <w:rFonts w:ascii="Times New Roman" w:hAnsi="Times New Roman"/>
                <w:sz w:val="24"/>
              </w:rPr>
              <w:t xml:space="preserve"> of solid soil per m</w:t>
            </w:r>
            <w:r w:rsidRPr="00A57EFF">
              <w:rPr>
                <w:rFonts w:ascii="Times New Roman" w:hAnsi="Times New Roman"/>
                <w:sz w:val="24"/>
                <w:vertAlign w:val="superscript"/>
              </w:rPr>
              <w:t>3</w:t>
            </w:r>
            <w:r w:rsidRPr="00A57EFF">
              <w:rPr>
                <w:rFonts w:ascii="Times New Roman" w:hAnsi="Times New Roman"/>
                <w:sz w:val="24"/>
              </w:rPr>
              <w:t xml:space="preserve"> of total soil</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m</w:t>
            </w:r>
            <w:r w:rsidRPr="00A57EFF">
              <w:rPr>
                <w:rFonts w:ascii="Times New Roman" w:hAnsi="Times New Roman"/>
                <w:sz w:val="24"/>
                <w:vertAlign w:val="superscript"/>
              </w:rPr>
              <w:t>3</w:t>
            </w:r>
            <w:r w:rsidRPr="00A57EFF">
              <w:rPr>
                <w:rFonts w:ascii="Times New Roman" w:hAnsi="Times New Roman"/>
                <w:sz w:val="24"/>
              </w:rPr>
              <w:t xml:space="preserve"> of soil solid m</w:t>
            </w:r>
            <w:r w:rsidRPr="00A57EFF">
              <w:rPr>
                <w:rFonts w:ascii="Times New Roman" w:hAnsi="Times New Roman"/>
                <w:sz w:val="24"/>
                <w:vertAlign w:val="superscript"/>
              </w:rPr>
              <w:t>-3</w:t>
            </w:r>
            <w:r w:rsidRPr="00A57EFF">
              <w:rPr>
                <w:rFonts w:ascii="Times New Roman" w:hAnsi="Times New Roman"/>
                <w:sz w:val="24"/>
              </w:rPr>
              <w:t xml:space="preserve"> of total soil</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0.6 or 0</w:t>
            </w: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b</m:t>
                    </m:r>
                  </m:e>
                  <m:sub>
                    <m:r>
                      <w:rPr>
                        <w:rFonts w:ascii="Cambria Math" w:hAnsi="Cambria Math"/>
                        <w:sz w:val="24"/>
                      </w:rPr>
                      <m:t>P</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den>
                </m:f>
                <m:r>
                  <w:rPr>
                    <w:rFonts w:ascii="Cambria Math" w:hAnsi="Cambria Math"/>
                    <w:sz w:val="24"/>
                  </w:rPr>
                  <m:t xml:space="preserve"> </m:t>
                </m:r>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Buffer power of P in soil</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1</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Fit</w:t>
            </w: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b</m:t>
                    </m:r>
                  </m:e>
                  <m:sub>
                    <m:r>
                      <w:rPr>
                        <w:rFonts w:ascii="Cambria Math" w:hAnsi="Cambria Math"/>
                        <w:sz w:val="24"/>
                      </w:rPr>
                      <m:t>C</m:t>
                    </m:r>
                  </m:sub>
                </m:sSub>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γ</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den>
                </m:f>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Buffer power of citrate in soil</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1</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 xml:space="preserve">4.78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&lt;EndNote&gt;&lt;Cite&gt;&lt;Author&gt;Oburger&lt;/Author&gt;&lt;Year&gt;2011&lt;/Year&gt;&lt;RecNum&gt;70&lt;/RecNum&gt;&lt;DisplayText&gt;(Oburger et al. 2011a)&lt;/DisplayText&gt;&lt;record&gt;&lt;rec-number&gt;70&lt;/rec-number&gt;&lt;foreign-keys&gt;&lt;key app="EN" db-id="0sapex5pfwrt05ep5w3x2zd0tdt9050e5fax" timestamp="1487241278"&gt;70&lt;/key&gt;&lt;/foreign-keys&gt;&lt;ref-type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(Oburger et al. 2011a)</w:t>
            </w:r>
            <w:r w:rsidRPr="00A57EFF">
              <w:rPr>
                <w:rFonts w:ascii="Times New Roman" w:hAnsi="Times New Roman"/>
                <w:sz w:val="24"/>
              </w:rPr>
              <w:fldChar w:fldCharType="end"/>
            </w: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P adsorption rate to solid soil</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s</w:t>
            </w:r>
            <w:r w:rsidRPr="00A57EFF">
              <w:rPr>
                <w:rFonts w:ascii="Times New Roman" w:hAnsi="Times New Roman"/>
                <w:sz w:val="24"/>
                <w:vertAlign w:val="superscript"/>
              </w:rPr>
              <w:t xml:space="preserve">-1 </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Fit</w:t>
            </w: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P desorption rate from solid soil</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s</w:t>
            </w:r>
            <w:r w:rsidRPr="00A57EFF">
              <w:rPr>
                <w:rFonts w:ascii="Times New Roman" w:hAnsi="Times New Roman"/>
                <w:sz w:val="24"/>
                <w:vertAlign w:val="superscript"/>
              </w:rPr>
              <w:t>-1</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Fit</w:t>
            </w: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P enhanced desorption from soil solid due to adsorbed citrate</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m</w:t>
            </w:r>
            <w:r w:rsidRPr="00A57EFF">
              <w:rPr>
                <w:rFonts w:ascii="Times New Roman" w:hAnsi="Times New Roman"/>
                <w:sz w:val="24"/>
                <w:vertAlign w:val="superscript"/>
              </w:rPr>
              <w:t>3</w:t>
            </w:r>
            <w:r w:rsidRPr="00A57EFF">
              <w:rPr>
                <w:rFonts w:ascii="Times New Roman" w:hAnsi="Times New Roman"/>
                <w:sz w:val="24"/>
              </w:rPr>
              <w:t xml:space="preserve"> of soil solid s</w:t>
            </w:r>
            <w:r w:rsidRPr="00A57EFF">
              <w:rPr>
                <w:rFonts w:ascii="Times New Roman" w:hAnsi="Times New Roman"/>
                <w:sz w:val="24"/>
                <w:vertAlign w:val="superscript"/>
              </w:rPr>
              <w:t>-1</w:t>
            </w:r>
            <w:r w:rsidRPr="00A57EFF">
              <w:rPr>
                <w:rFonts w:ascii="Times New Roman" w:hAnsi="Times New Roman"/>
                <w:sz w:val="24"/>
              </w:rPr>
              <w:t xml:space="preserve"> µmol</w:t>
            </w:r>
            <w:r w:rsidRPr="00A57EFF">
              <w:rPr>
                <w:rFonts w:ascii="Times New Roman" w:hAnsi="Times New Roman"/>
                <w:sz w:val="24"/>
                <w:vertAlign w:val="superscript"/>
              </w:rPr>
              <w:t>-1</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Fit</w:t>
            </w: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γ</m:t>
                    </m:r>
                  </m:e>
                  <m:sub>
                    <m:r>
                      <w:rPr>
                        <w:rFonts w:ascii="Cambria Math" w:hAnsi="Cambria Math"/>
                        <w:sz w:val="24"/>
                      </w:rPr>
                      <m:t>1</m:t>
                    </m:r>
                  </m:sub>
                </m:sSub>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Citrate adsorption rate to solid soil</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s</w:t>
            </w:r>
            <w:r w:rsidRPr="00A57EFF">
              <w:rPr>
                <w:rFonts w:ascii="Times New Roman" w:hAnsi="Times New Roman"/>
                <w:sz w:val="24"/>
                <w:vertAlign w:val="superscript"/>
              </w:rPr>
              <w:t>-1</w:t>
            </w:r>
          </w:p>
        </w:tc>
        <w:tc>
          <w:tcPr>
            <w:tcW w:w="170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b</m:t>
                    </m:r>
                  </m:e>
                  <m:sub>
                    <m:r>
                      <w:rPr>
                        <w:rFonts w:ascii="Cambria Math" w:hAnsi="Cambria Math"/>
                        <w:sz w:val="24"/>
                      </w:rPr>
                      <m:t>C</m:t>
                    </m:r>
                  </m:sub>
                </m:sSub>
                <m:r>
                  <w:rPr>
                    <w:rFonts w:ascii="Cambria Math" w:hAnsi="Cambria Math"/>
                    <w:sz w:val="24"/>
                  </w:rPr>
                  <m:t>×</m:t>
                </m:r>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oMath>
            </m:oMathPara>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Citrate desorption rate to solid soil</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s</w:t>
            </w:r>
            <w:r w:rsidRPr="00A57EFF">
              <w:rPr>
                <w:rFonts w:ascii="Times New Roman" w:hAnsi="Times New Roman"/>
                <w:sz w:val="24"/>
                <w:vertAlign w:val="superscript"/>
              </w:rPr>
              <w:t>-1</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Fit</w:t>
            </w:r>
          </w:p>
        </w:tc>
      </w:tr>
      <w:tr w:rsidR="00AA6F1F" w:rsidRPr="00AA6F1F" w:rsidTr="00AB3042">
        <w:tc>
          <w:tcPr>
            <w:tcW w:w="1271" w:type="dxa"/>
          </w:tcPr>
          <w:p w:rsidR="00AA6F1F" w:rsidRPr="00A57EFF" w:rsidRDefault="00AA6F1F" w:rsidP="00AA6F1F">
            <w:pPr>
              <w:spacing w:line="480" w:lineRule="auto"/>
              <w:jc w:val="both"/>
              <w:rPr>
                <w:rFonts w:ascii="Times New Roman" w:hAnsi="Times New Roman"/>
                <w:sz w:val="24"/>
              </w:rPr>
            </w:pPr>
            <m:oMathPara>
              <m:oMath>
                <m:r>
                  <w:rPr>
                    <w:rFonts w:ascii="Cambria Math" w:hAnsi="Cambria Math"/>
                    <w:sz w:val="24"/>
                  </w:rPr>
                  <m:t>λ</m:t>
                </m:r>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Rate of citrate biodegradation</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s</w:t>
            </w:r>
            <w:r w:rsidRPr="00A57EFF">
              <w:rPr>
                <w:rFonts w:ascii="Times New Roman" w:hAnsi="Times New Roman"/>
                <w:sz w:val="24"/>
                <w:vertAlign w:val="superscript"/>
              </w:rPr>
              <w:t>-1</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Fit</w:t>
            </w: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δ</m:t>
                    </m:r>
                  </m:e>
                  <m:sub>
                    <m:r>
                      <w:rPr>
                        <w:rFonts w:ascii="Cambria Math" w:hAnsi="Cambria Math"/>
                        <w:sz w:val="24"/>
                      </w:rPr>
                      <m:t>C</m:t>
                    </m:r>
                  </m:sub>
                </m:sSub>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Efflux of citrate from perfusate into the system</w:t>
            </w:r>
          </w:p>
        </w:tc>
        <w:tc>
          <w:tcPr>
            <w:tcW w:w="2126" w:type="dxa"/>
          </w:tcPr>
          <w:p w:rsidR="00AA6F1F" w:rsidRPr="00A57EFF" w:rsidRDefault="00AA6F1F" w:rsidP="00AA6F1F">
            <w:pPr>
              <w:spacing w:line="480" w:lineRule="auto"/>
              <w:jc w:val="both"/>
              <w:rPr>
                <w:rFonts w:ascii="Times New Roman" w:hAnsi="Times New Roman"/>
                <w:sz w:val="24"/>
                <w:vertAlign w:val="superscript"/>
              </w:rPr>
            </w:pPr>
            <w:r w:rsidRPr="00A57EFF">
              <w:rPr>
                <w:rFonts w:ascii="Times New Roman" w:hAnsi="Times New Roman"/>
                <w:sz w:val="24"/>
              </w:rPr>
              <w:t>m</w:t>
            </w:r>
            <w:r w:rsidRPr="00A57EFF">
              <w:rPr>
                <w:rFonts w:ascii="Times New Roman" w:hAnsi="Times New Roman"/>
                <w:sz w:val="24"/>
                <w:vertAlign w:val="superscript"/>
              </w:rPr>
              <w:t>4</w:t>
            </w:r>
            <w:r w:rsidRPr="00A57EFF">
              <w:rPr>
                <w:rFonts w:ascii="Times New Roman" w:hAnsi="Times New Roman"/>
                <w:sz w:val="24"/>
              </w:rPr>
              <w:t xml:space="preserve"> of soil solution m</w:t>
            </w:r>
            <w:r w:rsidRPr="00A57EFF">
              <w:rPr>
                <w:rFonts w:ascii="Times New Roman" w:hAnsi="Times New Roman"/>
                <w:sz w:val="24"/>
                <w:vertAlign w:val="superscript"/>
              </w:rPr>
              <w:t>-3</w:t>
            </w:r>
            <w:r w:rsidRPr="00A57EFF">
              <w:rPr>
                <w:rFonts w:ascii="Times New Roman" w:hAnsi="Times New Roman"/>
                <w:sz w:val="24"/>
              </w:rPr>
              <w:t xml:space="preserve"> of total soil s</w:t>
            </w:r>
            <w:r w:rsidRPr="00A57EFF">
              <w:rPr>
                <w:rFonts w:ascii="Times New Roman" w:hAnsi="Times New Roman"/>
                <w:sz w:val="24"/>
                <w:vertAlign w:val="superscript"/>
              </w:rPr>
              <w:t>-1</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Fit</w:t>
            </w: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0</m:t>
                    </m:r>
                  </m:sup>
                </m:sSubSup>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Absorption rate of P by microdialysis probe when no citrate is present</w:t>
            </w:r>
          </w:p>
        </w:tc>
        <w:tc>
          <w:tcPr>
            <w:tcW w:w="2126" w:type="dxa"/>
          </w:tcPr>
          <w:p w:rsidR="00AA6F1F" w:rsidRPr="00A57EFF" w:rsidRDefault="00AA6F1F" w:rsidP="00AA6F1F">
            <w:pPr>
              <w:spacing w:line="480" w:lineRule="auto"/>
              <w:jc w:val="both"/>
              <w:rPr>
                <w:rFonts w:ascii="Times New Roman" w:hAnsi="Times New Roman"/>
                <w:sz w:val="24"/>
                <w:vertAlign w:val="superscript"/>
              </w:rPr>
            </w:pPr>
            <w:r w:rsidRPr="00A57EFF">
              <w:rPr>
                <w:rFonts w:ascii="Times New Roman" w:hAnsi="Times New Roman"/>
                <w:sz w:val="24"/>
              </w:rPr>
              <w:t>m of soil solution   s</w:t>
            </w:r>
            <w:r w:rsidRPr="00A57EFF">
              <w:rPr>
                <w:rFonts w:ascii="Times New Roman" w:hAnsi="Times New Roman"/>
                <w:sz w:val="24"/>
                <w:vertAlign w:val="superscript"/>
              </w:rPr>
              <w:t xml:space="preserve">-1 </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Fit</w:t>
            </w: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1</m:t>
                    </m:r>
                  </m:sup>
                </m:sSubSup>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Absorption rate of P by microdialysis probe affected by citrate</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m</w:t>
            </w:r>
            <w:r w:rsidRPr="00A57EFF">
              <w:rPr>
                <w:rFonts w:ascii="Times New Roman" w:hAnsi="Times New Roman"/>
                <w:sz w:val="24"/>
                <w:vertAlign w:val="superscript"/>
              </w:rPr>
              <w:t>4</w:t>
            </w:r>
            <w:r w:rsidRPr="00A57EFF">
              <w:rPr>
                <w:rFonts w:ascii="Times New Roman" w:hAnsi="Times New Roman"/>
                <w:sz w:val="24"/>
              </w:rPr>
              <w:t xml:space="preserve"> of soil solution s</w:t>
            </w:r>
            <w:r w:rsidRPr="00A57EFF">
              <w:rPr>
                <w:rFonts w:ascii="Times New Roman" w:hAnsi="Times New Roman"/>
                <w:sz w:val="24"/>
                <w:vertAlign w:val="superscript"/>
              </w:rPr>
              <w:t>-1</w:t>
            </w:r>
            <w:r w:rsidRPr="00A57EFF">
              <w:rPr>
                <w:rFonts w:ascii="Times New Roman" w:hAnsi="Times New Roman"/>
                <w:sz w:val="24"/>
              </w:rPr>
              <w:t xml:space="preserve"> µmol</w:t>
            </w:r>
            <w:r w:rsidRPr="00A57EFF">
              <w:rPr>
                <w:rFonts w:ascii="Times New Roman" w:hAnsi="Times New Roman"/>
                <w:sz w:val="24"/>
                <w:vertAlign w:val="superscript"/>
              </w:rPr>
              <w:t>-1</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Fit</w:t>
            </w: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D</m:t>
                    </m:r>
                  </m:e>
                  <m:sub>
                    <m:r>
                      <w:rPr>
                        <w:rFonts w:ascii="Cambria Math" w:hAnsi="Cambria Math"/>
                        <w:sz w:val="24"/>
                      </w:rPr>
                      <m:t>P/C</m:t>
                    </m:r>
                  </m:sub>
                </m:sSub>
              </m:oMath>
            </m:oMathPara>
          </w:p>
        </w:tc>
        <w:tc>
          <w:tcPr>
            <w:tcW w:w="3686" w:type="dxa"/>
          </w:tcPr>
          <w:p w:rsidR="00AA6F1F" w:rsidRPr="00A57EFF" w:rsidRDefault="00862526" w:rsidP="00AA6F1F">
            <w:pPr>
              <w:spacing w:line="480" w:lineRule="auto"/>
              <w:jc w:val="both"/>
              <w:rPr>
                <w:rFonts w:ascii="Times New Roman" w:hAnsi="Times New Roman"/>
                <w:sz w:val="24"/>
              </w:rPr>
            </w:pPr>
            <w:r>
              <w:rPr>
                <w:rFonts w:ascii="Times New Roman" w:eastAsia="Calibri" w:hAnsi="Times New Roman" w:cs="Times New Roman"/>
                <w:sz w:val="24"/>
                <w:szCs w:val="24"/>
              </w:rPr>
              <w:t>D</w:t>
            </w:r>
            <w:r w:rsidR="00AA6F1F" w:rsidRPr="00AA6F1F">
              <w:rPr>
                <w:rFonts w:ascii="Times New Roman" w:eastAsia="Calibri" w:hAnsi="Times New Roman" w:cs="Times New Roman"/>
                <w:sz w:val="24"/>
                <w:szCs w:val="24"/>
              </w:rPr>
              <w:t>iffusion</w:t>
            </w:r>
            <w:r w:rsidR="00AA6F1F" w:rsidRPr="00A57EFF">
              <w:rPr>
                <w:rFonts w:ascii="Times New Roman" w:hAnsi="Times New Roman"/>
                <w:sz w:val="24"/>
              </w:rPr>
              <w:t xml:space="preserve"> rate of P or citrate in soil</w:t>
            </w:r>
            <w:r w:rsidR="00470B61">
              <w:rPr>
                <w:rFonts w:ascii="Times New Roman" w:eastAsia="Calibri" w:hAnsi="Times New Roman" w:cs="Times New Roman"/>
                <w:sz w:val="24"/>
                <w:szCs w:val="24"/>
              </w:rPr>
              <w:t xml:space="preserve"> water</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m</w:t>
            </w:r>
            <w:r w:rsidRPr="00A57EFF">
              <w:rPr>
                <w:rFonts w:ascii="Times New Roman" w:hAnsi="Times New Roman"/>
                <w:sz w:val="24"/>
                <w:vertAlign w:val="superscript"/>
              </w:rPr>
              <w:t>5</w:t>
            </w:r>
            <w:r w:rsidRPr="00A57EFF">
              <w:rPr>
                <w:rFonts w:ascii="Times New Roman" w:hAnsi="Times New Roman"/>
                <w:sz w:val="24"/>
              </w:rPr>
              <w:t xml:space="preserve"> of soil solution m</w:t>
            </w:r>
            <w:r w:rsidRPr="00A57EFF">
              <w:rPr>
                <w:rFonts w:ascii="Times New Roman" w:hAnsi="Times New Roman"/>
                <w:sz w:val="24"/>
                <w:vertAlign w:val="superscript"/>
              </w:rPr>
              <w:t>-3</w:t>
            </w:r>
            <w:r w:rsidRPr="00A57EFF">
              <w:rPr>
                <w:rFonts w:ascii="Times New Roman" w:hAnsi="Times New Roman"/>
                <w:sz w:val="24"/>
              </w:rPr>
              <w:t xml:space="preserve"> of total soil s</w:t>
            </w:r>
            <w:r w:rsidRPr="00A57EFF">
              <w:rPr>
                <w:rFonts w:ascii="Times New Roman" w:hAnsi="Times New Roman"/>
                <w:sz w:val="24"/>
                <w:vertAlign w:val="superscript"/>
              </w:rPr>
              <w:t>-1</w:t>
            </w:r>
          </w:p>
        </w:tc>
        <w:tc>
          <w:tcPr>
            <w:tcW w:w="1701" w:type="dxa"/>
          </w:tcPr>
          <w:p w:rsidR="00576447" w:rsidRPr="00F31D45" w:rsidRDefault="00AA6F1F" w:rsidP="0016150B">
            <w:pPr>
              <w:spacing w:line="480" w:lineRule="auto"/>
              <w:jc w:val="both"/>
              <w:rPr>
                <w:rFonts w:ascii="Times New Roman" w:eastAsia="Calibri" w:hAnsi="Times New Roman" w:cs="Times New Roman"/>
                <w:sz w:val="24"/>
                <w:szCs w:val="24"/>
              </w:rPr>
            </w:pPr>
            <m:oMath>
              <m:r>
                <w:rPr>
                  <w:rFonts w:ascii="Cambria Math" w:hAnsi="Cambria Math"/>
                  <w:sz w:val="24"/>
                </w:rPr>
                <m:t>7×</m:t>
              </m:r>
              <m:sSup>
                <m:sSupPr>
                  <m:ctrlPr>
                    <w:rPr>
                      <w:rFonts w:ascii="Cambria Math" w:hAnsi="Cambria Math"/>
                      <w:i/>
                      <w:sz w:val="24"/>
                    </w:rPr>
                  </m:ctrlPr>
                </m:sSupPr>
                <m:e>
                  <m:r>
                    <w:rPr>
                      <w:rFonts w:ascii="Cambria Math" w:hAnsi="Cambria Math"/>
                      <w:sz w:val="24"/>
                    </w:rPr>
                    <m:t>10</m:t>
                  </m:r>
                </m:e>
                <m:sup>
                  <m:r>
                    <w:rPr>
                      <w:rFonts w:ascii="Cambria Math" w:hAnsi="Cambria Math"/>
                      <w:sz w:val="24"/>
                    </w:rPr>
                    <m:t>-10</m:t>
                  </m:r>
                </m:sup>
              </m:sSup>
            </m:oMath>
            <w:r w:rsidR="00F31D45">
              <w:rPr>
                <w:rFonts w:ascii="Times New Roman" w:eastAsia="Calibri" w:hAnsi="Times New Roman" w:cs="Times New Roman"/>
                <w:sz w:val="24"/>
                <w:szCs w:val="24"/>
              </w:rPr>
              <w:t xml:space="preserve"> or</w:t>
            </w:r>
          </w:p>
          <w:p w:rsidR="00F31D45" w:rsidRPr="00F31D45" w:rsidRDefault="00F31D45" w:rsidP="0016150B">
            <w:pPr>
              <w:spacing w:line="480"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0.3×7×</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-10</m:t>
                    </m:r>
                  </m:sup>
                </m:sSup>
              </m:oMath>
            </m:oMathPara>
          </w:p>
          <w:p w:rsidR="00F31D45" w:rsidRPr="00A57EFF" w:rsidRDefault="00F31D45" w:rsidP="0016150B">
            <w:pPr>
              <w:spacing w:line="480" w:lineRule="auto"/>
              <w:jc w:val="both"/>
              <w:rPr>
                <w:rFonts w:ascii="Times New Roman" w:hAnsi="Times New Roman"/>
                <w:sz w:val="24"/>
              </w:rPr>
            </w:pPr>
          </w:p>
        </w:tc>
      </w:tr>
      <w:tr w:rsidR="00AA6F1F" w:rsidRPr="00AA6F1F" w:rsidTr="00AB3042">
        <w:tc>
          <w:tcPr>
            <w:tcW w:w="1271"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t</m:t>
                    </m:r>
                  </m:e>
                  <m:sub>
                    <m:r>
                      <w:rPr>
                        <w:rFonts w:ascii="Cambria Math" w:hAnsi="Cambria Math"/>
                        <w:sz w:val="24"/>
                      </w:rPr>
                      <m:t>max</m:t>
                    </m:r>
                  </m:sub>
                </m:sSub>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Time scale of experiment</w:t>
            </w:r>
          </w:p>
        </w:tc>
        <w:tc>
          <w:tcPr>
            <w:tcW w:w="212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hours</w:t>
            </w:r>
          </w:p>
        </w:tc>
        <w:tc>
          <w:tcPr>
            <w:tcW w:w="1701"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1 or 12</w:t>
            </w:r>
          </w:p>
        </w:tc>
      </w:tr>
      <w:tr w:rsidR="00AA6F1F" w:rsidRPr="00AA6F1F" w:rsidTr="00AB3042">
        <w:tc>
          <w:tcPr>
            <w:tcW w:w="1271" w:type="dxa"/>
          </w:tcPr>
          <w:p w:rsidR="00AA6F1F" w:rsidRPr="00A57EFF" w:rsidRDefault="00AA6F1F" w:rsidP="00AA6F1F">
            <w:pPr>
              <w:spacing w:line="480" w:lineRule="auto"/>
              <w:jc w:val="both"/>
              <w:rPr>
                <w:rFonts w:ascii="Times New Roman" w:hAnsi="Times New Roman"/>
                <w:sz w:val="24"/>
              </w:rPr>
            </w:pPr>
            <m:oMathPara>
              <m:oMath>
                <m:r>
                  <w:rPr>
                    <w:rFonts w:ascii="Cambria Math" w:hAnsi="Cambria Math"/>
                    <w:sz w:val="24"/>
                  </w:rPr>
                  <m:t>|</m:t>
                </m:r>
                <m:sSub>
                  <m:sSubPr>
                    <m:ctrlPr>
                      <w:rPr>
                        <w:rFonts w:ascii="Cambria Math" w:hAnsi="Cambria Math"/>
                        <w:i/>
                        <w:sz w:val="24"/>
                      </w:rPr>
                    </m:ctrlPr>
                  </m:sSubPr>
                  <m:e>
                    <m:r>
                      <m:rPr>
                        <m:sty m:val="p"/>
                      </m:rPr>
                      <w:rPr>
                        <w:rFonts w:ascii="Cambria Math" w:hAnsi="Cambria Math"/>
                        <w:sz w:val="24"/>
                      </w:rPr>
                      <m:t>Γ</m:t>
                    </m:r>
                  </m:e>
                  <m:sub>
                    <m:r>
                      <w:rPr>
                        <w:rFonts w:ascii="Cambria Math" w:hAnsi="Cambria Math"/>
                        <w:sz w:val="24"/>
                      </w:rPr>
                      <m:t>P</m:t>
                    </m:r>
                  </m:sub>
                </m:sSub>
                <m:r>
                  <w:rPr>
                    <w:rFonts w:ascii="Cambria Math" w:hAnsi="Cambria Math"/>
                    <w:sz w:val="24"/>
                  </w:rPr>
                  <m:t>|</m:t>
                </m:r>
              </m:oMath>
            </m:oMathPara>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 xml:space="preserve">Surface area of the semi-permeable membrane </w:t>
            </w:r>
          </w:p>
        </w:tc>
        <w:tc>
          <w:tcPr>
            <w:tcW w:w="2126" w:type="dxa"/>
          </w:tcPr>
          <w:p w:rsidR="00AA6F1F" w:rsidRPr="00A57EFF" w:rsidRDefault="00AA6F1F" w:rsidP="00AA6F1F">
            <w:pPr>
              <w:spacing w:line="480" w:lineRule="auto"/>
              <w:jc w:val="both"/>
              <w:rPr>
                <w:rFonts w:ascii="Times New Roman" w:hAnsi="Times New Roman"/>
                <w:sz w:val="24"/>
                <w:vertAlign w:val="superscript"/>
              </w:rPr>
            </w:pPr>
            <w:r w:rsidRPr="00A57EFF">
              <w:rPr>
                <w:rFonts w:ascii="Times New Roman" w:hAnsi="Times New Roman"/>
                <w:sz w:val="24"/>
              </w:rPr>
              <w:t>m</w:t>
            </w:r>
            <w:r w:rsidRPr="00A57EFF">
              <w:rPr>
                <w:rFonts w:ascii="Times New Roman" w:hAnsi="Times New Roman"/>
                <w:sz w:val="24"/>
                <w:vertAlign w:val="superscript"/>
              </w:rPr>
              <w:t>2</w:t>
            </w:r>
          </w:p>
        </w:tc>
        <w:tc>
          <w:tcPr>
            <w:tcW w:w="1701" w:type="dxa"/>
          </w:tcPr>
          <w:p w:rsidR="00AA6F1F" w:rsidRPr="00A57EFF" w:rsidRDefault="00AA6F1F" w:rsidP="00AA6F1F">
            <w:pPr>
              <w:spacing w:line="480" w:lineRule="auto"/>
              <w:jc w:val="both"/>
              <w:rPr>
                <w:rFonts w:ascii="Times New Roman" w:hAnsi="Times New Roman"/>
                <w:sz w:val="24"/>
              </w:rPr>
            </w:pPr>
            <m:oMathPara>
              <m:oMath>
                <m:r>
                  <w:rPr>
                    <w:rFonts w:ascii="Cambria Math" w:hAnsi="Cambria Math"/>
                    <w:sz w:val="24"/>
                  </w:rPr>
                  <m:t>5.0265×</m:t>
                </m:r>
                <m:sSup>
                  <m:sSupPr>
                    <m:ctrlPr>
                      <w:rPr>
                        <w:rFonts w:ascii="Cambria Math" w:hAnsi="Cambria Math"/>
                        <w:i/>
                        <w:sz w:val="24"/>
                      </w:rPr>
                    </m:ctrlPr>
                  </m:sSupPr>
                  <m:e>
                    <m:r>
                      <w:rPr>
                        <w:rFonts w:ascii="Cambria Math" w:hAnsi="Cambria Math"/>
                        <w:sz w:val="24"/>
                      </w:rPr>
                      <m:t>10</m:t>
                    </m:r>
                  </m:e>
                  <m:sup>
                    <m:r>
                      <w:rPr>
                        <w:rFonts w:ascii="Cambria Math" w:hAnsi="Cambria Math"/>
                        <w:sz w:val="24"/>
                      </w:rPr>
                      <m:t xml:space="preserve">-6 </m:t>
                    </m:r>
                  </m:sup>
                </m:sSup>
              </m:oMath>
            </m:oMathPara>
          </w:p>
        </w:tc>
      </w:tr>
      <w:tr w:rsidR="00AA6F1F" w:rsidRPr="00AA6F1F" w:rsidTr="00AB3042">
        <w:tc>
          <w:tcPr>
            <w:tcW w:w="1271" w:type="dxa"/>
          </w:tcPr>
          <w:p w:rsidR="00AA6F1F" w:rsidRPr="00A57EFF" w:rsidRDefault="00AA6F1F" w:rsidP="00A57EFF">
            <w:pPr>
              <w:spacing w:line="480" w:lineRule="auto"/>
              <w:jc w:val="center"/>
              <w:rPr>
                <w:rFonts w:ascii="Times New Roman" w:hAnsi="Times New Roman"/>
                <w:sz w:val="24"/>
              </w:rPr>
            </w:pPr>
            <m:oMath>
              <m:r>
                <w:rPr>
                  <w:rFonts w:ascii="Cambria Math" w:hAnsi="Cambria Math"/>
                  <w:sz w:val="24"/>
                </w:rPr>
                <m:t>|</m:t>
              </m:r>
              <m:r>
                <m:rPr>
                  <m:sty m:val="p"/>
                </m:rPr>
                <w:rPr>
                  <w:rFonts w:ascii="Cambria Math" w:hAnsi="Cambria Math"/>
                  <w:sz w:val="24"/>
                </w:rPr>
                <m:t>Ω</m:t>
              </m:r>
            </m:oMath>
            <w:r w:rsidRPr="00A57EFF">
              <w:rPr>
                <w:rFonts w:ascii="Times New Roman" w:hAnsi="Times New Roman"/>
                <w:sz w:val="24"/>
              </w:rPr>
              <w:t>|</w:t>
            </w:r>
          </w:p>
        </w:tc>
        <w:tc>
          <w:tcPr>
            <w:tcW w:w="3686" w:type="dxa"/>
          </w:tcPr>
          <w:p w:rsidR="00AA6F1F" w:rsidRPr="00A57EFF" w:rsidRDefault="00AA6F1F" w:rsidP="00AA6F1F">
            <w:pPr>
              <w:spacing w:line="480" w:lineRule="auto"/>
              <w:jc w:val="both"/>
              <w:rPr>
                <w:rFonts w:ascii="Times New Roman" w:hAnsi="Times New Roman"/>
                <w:sz w:val="24"/>
              </w:rPr>
            </w:pPr>
            <w:r w:rsidRPr="00A57EFF">
              <w:rPr>
                <w:rFonts w:ascii="Times New Roman" w:hAnsi="Times New Roman"/>
                <w:sz w:val="24"/>
              </w:rPr>
              <w:t>Eppendorf tube volume</w:t>
            </w:r>
          </w:p>
        </w:tc>
        <w:tc>
          <w:tcPr>
            <w:tcW w:w="2126" w:type="dxa"/>
          </w:tcPr>
          <w:p w:rsidR="00AA6F1F" w:rsidRPr="00A57EFF" w:rsidRDefault="00AA6F1F" w:rsidP="00AA6F1F">
            <w:pPr>
              <w:spacing w:line="480" w:lineRule="auto"/>
              <w:jc w:val="both"/>
              <w:rPr>
                <w:rFonts w:ascii="Times New Roman" w:hAnsi="Times New Roman"/>
                <w:sz w:val="24"/>
                <w:vertAlign w:val="superscript"/>
              </w:rPr>
            </w:pPr>
            <w:r w:rsidRPr="00A57EFF">
              <w:rPr>
                <w:rFonts w:ascii="Times New Roman" w:hAnsi="Times New Roman"/>
                <w:sz w:val="24"/>
              </w:rPr>
              <w:t>m</w:t>
            </w:r>
            <w:r w:rsidRPr="00A57EFF">
              <w:rPr>
                <w:rFonts w:ascii="Times New Roman" w:hAnsi="Times New Roman"/>
                <w:sz w:val="24"/>
                <w:vertAlign w:val="superscript"/>
              </w:rPr>
              <w:t>3</w:t>
            </w:r>
          </w:p>
        </w:tc>
        <w:tc>
          <w:tcPr>
            <w:tcW w:w="1701" w:type="dxa"/>
          </w:tcPr>
          <w:p w:rsidR="00AA6F1F" w:rsidRPr="00A57EFF" w:rsidRDefault="00AA6F1F" w:rsidP="00AA6F1F">
            <w:pPr>
              <w:spacing w:line="480" w:lineRule="auto"/>
              <w:jc w:val="both"/>
              <w:rPr>
                <w:rFonts w:ascii="Times New Roman" w:hAnsi="Times New Roman"/>
                <w:sz w:val="24"/>
              </w:rPr>
            </w:pPr>
            <m:oMathPara>
              <m:oMath>
                <m:r>
                  <w:rPr>
                    <w:rFonts w:ascii="Cambria Math" w:hAnsi="Cambria Math"/>
                    <w:sz w:val="24"/>
                  </w:rPr>
                  <m:t>1.5×</m:t>
                </m:r>
                <m:sSup>
                  <m:sSupPr>
                    <m:ctrlPr>
                      <w:rPr>
                        <w:rFonts w:ascii="Cambria Math" w:hAnsi="Cambria Math"/>
                        <w:i/>
                        <w:sz w:val="24"/>
                      </w:rPr>
                    </m:ctrlPr>
                  </m:sSupPr>
                  <m:e>
                    <m:r>
                      <w:rPr>
                        <w:rFonts w:ascii="Cambria Math" w:hAnsi="Cambria Math"/>
                        <w:sz w:val="24"/>
                      </w:rPr>
                      <m:t>10</m:t>
                    </m:r>
                  </m:e>
                  <m:sup>
                    <m:r>
                      <w:rPr>
                        <w:rFonts w:ascii="Cambria Math" w:hAnsi="Cambria Math"/>
                        <w:sz w:val="24"/>
                      </w:rPr>
                      <m:t>-6</m:t>
                    </m:r>
                  </m:sup>
                </m:sSup>
              </m:oMath>
            </m:oMathPara>
          </w:p>
        </w:tc>
      </w:tr>
    </w:tbl>
    <w:p w:rsidR="00AA6F1F" w:rsidRPr="00A57EFF" w:rsidRDefault="00AA6F1F" w:rsidP="00A57EFF">
      <w:pPr>
        <w:tabs>
          <w:tab w:val="left" w:pos="4027"/>
        </w:tabs>
        <w:spacing w:after="200" w:line="480" w:lineRule="auto"/>
        <w:jc w:val="both"/>
        <w:rPr>
          <w:rFonts w:ascii="Times New Roman" w:hAnsi="Times New Roman"/>
          <w:sz w:val="24"/>
        </w:rPr>
      </w:pPr>
    </w:p>
    <w:p w:rsidR="00AA6F1F" w:rsidRPr="00A57EFF" w:rsidRDefault="00AA6F1F" w:rsidP="00A57EFF">
      <w:pPr>
        <w:keepNext/>
        <w:keepLines/>
        <w:spacing w:before="40" w:after="0" w:line="480" w:lineRule="auto"/>
        <w:outlineLvl w:val="2"/>
        <w:rPr>
          <w:rFonts w:ascii="Times New Roman" w:hAnsi="Times New Roman"/>
          <w:color w:val="243F60"/>
          <w:sz w:val="24"/>
        </w:rPr>
      </w:pPr>
      <w:r w:rsidRPr="00A57EFF">
        <w:rPr>
          <w:rFonts w:ascii="Times New Roman" w:hAnsi="Times New Roman"/>
          <w:color w:val="243F60"/>
          <w:sz w:val="24"/>
        </w:rPr>
        <w:t>Data fitting</w:t>
      </w:r>
    </w:p>
    <w:p w:rsidR="00AA6F1F" w:rsidRPr="00AA6F1F" w:rsidRDefault="00AA6F1F" w:rsidP="00AA6F1F">
      <w:pPr>
        <w:spacing w:after="200" w:line="480" w:lineRule="auto"/>
        <w:jc w:val="both"/>
        <w:rPr>
          <w:rFonts w:ascii="Times New Roman" w:eastAsia="Times New Roman" w:hAnsi="Times New Roman" w:cs="Times New Roman"/>
          <w:sz w:val="24"/>
          <w:szCs w:val="24"/>
        </w:rPr>
      </w:pPr>
      <w:r w:rsidRPr="00A57EFF">
        <w:rPr>
          <w:rFonts w:ascii="Times New Roman" w:hAnsi="Times New Roman"/>
          <w:sz w:val="24"/>
        </w:rPr>
        <w:t xml:space="preserve">To calculate the parameters controlling P mobilization by citrate, model parameters were varied and numerical solutions were compared to experimental results to achieve the best fit. First, the parameters controlling citrate efflux and soil reactions were fit to the results from the microdialysis organic acid calibration experiments as these parameters are independent of the P parameters. Next, the P efflux rates were fit to the results of the microdialysis P calibration results for the standard solutions as these are independent of soil reactions. Following this process, the only unknown parameters are those controlling P adsorption/desorption to soil; these were then fit to the results of the microdialysis P recovery experiments performed in soil. In each phase of the data fitting, the least-squares distance between the experimental and model values </w:t>
      </w:r>
      <w:r w:rsidRPr="00AA6F1F">
        <w:rPr>
          <w:rFonts w:ascii="Times New Roman" w:eastAsia="Times New Roman" w:hAnsi="Times New Roman" w:cs="Times New Roman"/>
          <w:sz w:val="24"/>
          <w:szCs w:val="24"/>
        </w:rPr>
        <w:t>normalised</w:t>
      </w:r>
      <w:r w:rsidRPr="00A57EFF">
        <w:rPr>
          <w:rFonts w:ascii="Times New Roman" w:hAnsi="Times New Roman"/>
          <w:sz w:val="24"/>
        </w:rPr>
        <w:t xml:space="preserve"> by the standard deviation of the experimental data was used as an objective function. A schematic explaining the data fitting procedures is presented in Fig. 2.</w:t>
      </w:r>
    </w:p>
    <w:p w:rsidR="00AA6F1F" w:rsidRPr="00AA6F1F" w:rsidRDefault="00AA6F1F" w:rsidP="00AA6F1F">
      <w:pPr>
        <w:spacing w:after="200" w:line="480" w:lineRule="auto"/>
        <w:jc w:val="both"/>
        <w:rPr>
          <w:rFonts w:ascii="Times New Roman" w:eastAsia="Times New Roman" w:hAnsi="Times New Roman" w:cs="Times New Roman"/>
          <w:sz w:val="24"/>
          <w:szCs w:val="24"/>
        </w:rPr>
      </w:pPr>
    </w:p>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 Instances of the model were solved numerically on the 2D-axisymmetric domain displayed in Fig. 1, using a finite element method implemented in Comsol Multiphysics 5.3 (Comsol Ltd., Cambridge, UK). Minimisations were calculated using MATLAB 2016 (MathWorks Inc., Natick, MA) fmincon implementation of an interior-point algorithm.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A6F1F" w:rsidRPr="00AA6F1F" w:rsidTr="00AB3042">
        <w:tc>
          <w:tcPr>
            <w:tcW w:w="9026" w:type="dxa"/>
          </w:tcPr>
          <w:p w:rsidR="00AA6F1F" w:rsidRPr="00A57EFF" w:rsidRDefault="00AA6F1F" w:rsidP="00AA6F1F">
            <w:pPr>
              <w:spacing w:line="480" w:lineRule="auto"/>
              <w:jc w:val="center"/>
              <w:rPr>
                <w:rFonts w:ascii="Times New Roman" w:hAnsi="Times New Roman"/>
                <w:sz w:val="24"/>
              </w:rPr>
            </w:pPr>
            <w:r w:rsidRPr="00AA6F1F">
              <w:rPr>
                <w:rFonts w:ascii="Times New Roman" w:eastAsia="Calibri" w:hAnsi="Times New Roman"/>
                <w:noProof/>
                <w:sz w:val="24"/>
                <w:szCs w:val="24"/>
                <w:lang w:eastAsia="en-GB"/>
              </w:rPr>
              <w:drawing>
                <wp:inline distT="0" distB="0" distL="0" distR="0">
                  <wp:extent cx="5715000" cy="3600450"/>
                  <wp:effectExtent l="0" t="0" r="0" b="0"/>
                  <wp:docPr id="21" name="Picture 21" descr="fitting_schematic_fli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fitting_schematic_flipp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a:noFill/>
                          </a:ln>
                        </pic:spPr>
                      </pic:pic>
                    </a:graphicData>
                  </a:graphic>
                </wp:inline>
              </w:drawing>
            </w:r>
          </w:p>
        </w:tc>
      </w:tr>
      <w:tr w:rsidR="00AA6F1F" w:rsidRPr="00AA6F1F" w:rsidTr="00AB3042">
        <w:tc>
          <w:tcPr>
            <w:tcW w:w="9026" w:type="dxa"/>
          </w:tcPr>
          <w:p w:rsidR="00AA6F1F" w:rsidRPr="00A57EFF" w:rsidRDefault="00AA6F1F" w:rsidP="00AA6F1F">
            <w:pPr>
              <w:spacing w:line="480" w:lineRule="auto"/>
              <w:jc w:val="center"/>
              <w:rPr>
                <w:rFonts w:ascii="Times New Roman" w:hAnsi="Times New Roman"/>
                <w:i/>
                <w:sz w:val="20"/>
              </w:rPr>
            </w:pPr>
            <w:r w:rsidRPr="00A57EFF">
              <w:rPr>
                <w:rFonts w:ascii="Times New Roman" w:hAnsi="Times New Roman"/>
                <w:b/>
                <w:sz w:val="20"/>
              </w:rPr>
              <w:t>Fig. 2</w:t>
            </w:r>
            <w:r w:rsidRPr="00A57EFF">
              <w:rPr>
                <w:rFonts w:ascii="Times New Roman" w:hAnsi="Times New Roman"/>
                <w:i/>
                <w:sz w:val="20"/>
              </w:rPr>
              <w:t xml:space="preserve"> </w:t>
            </w:r>
            <w:r w:rsidRPr="00A57EFF">
              <w:rPr>
                <w:rFonts w:ascii="Times New Roman" w:hAnsi="Times New Roman"/>
                <w:sz w:val="20"/>
              </w:rPr>
              <w:t>Schematic of all the data fitting procedures. The numbers dictate the order of the data fitting and the arrows represent the data fitting’s dependencies.</w:t>
            </w:r>
          </w:p>
        </w:tc>
      </w:tr>
    </w:tbl>
    <w:p w:rsidR="00AA6F1F" w:rsidRPr="00A57EFF" w:rsidRDefault="00AA6F1F" w:rsidP="00AA6F1F">
      <w:pPr>
        <w:spacing w:after="0" w:line="480" w:lineRule="auto"/>
        <w:jc w:val="both"/>
        <w:rPr>
          <w:rFonts w:ascii="Times New Roman" w:hAnsi="Times New Roman"/>
          <w:sz w:val="24"/>
        </w:rPr>
      </w:pPr>
    </w:p>
    <w:p w:rsidR="00AA6F1F" w:rsidRPr="00A57EFF" w:rsidRDefault="00AA6F1F" w:rsidP="00A57EFF">
      <w:pPr>
        <w:tabs>
          <w:tab w:val="left" w:pos="6851"/>
        </w:tabs>
        <w:spacing w:after="200" w:line="480" w:lineRule="auto"/>
        <w:jc w:val="both"/>
        <w:rPr>
          <w:rFonts w:ascii="Times New Roman" w:hAnsi="Times New Roman"/>
          <w:b/>
          <w:color w:val="244061"/>
          <w:sz w:val="24"/>
        </w:rPr>
      </w:pPr>
      <w:r w:rsidRPr="00A57EFF">
        <w:rPr>
          <w:rFonts w:ascii="Times New Roman" w:hAnsi="Times New Roman"/>
          <w:b/>
          <w:color w:val="244061"/>
          <w:sz w:val="24"/>
        </w:rPr>
        <w:t>Calculating microdialysis probe citrate efflux and citrate soil reactions</w:t>
      </w:r>
      <w:r w:rsidR="006B3053">
        <w:rPr>
          <w:rFonts w:ascii="Times New Roman" w:eastAsia="Calibri" w:hAnsi="Times New Roman" w:cs="Times New Roman"/>
          <w:b/>
          <w:color w:val="244061"/>
          <w:sz w:val="24"/>
          <w:szCs w:val="24"/>
        </w:rPr>
        <w:t xml:space="preserve"> in this specific soil</w:t>
      </w:r>
      <w:r w:rsidRPr="00A57EFF">
        <w:rPr>
          <w:rFonts w:ascii="Times New Roman" w:hAnsi="Times New Roman"/>
          <w:b/>
          <w:color w:val="244061"/>
          <w:sz w:val="24"/>
        </w:rPr>
        <w:t xml:space="preserve">, </w:t>
      </w:r>
      <m:oMath>
        <m:sSub>
          <m:sSubPr>
            <m:ctrlPr>
              <w:rPr>
                <w:rFonts w:ascii="Cambria Math" w:hAnsi="Cambria Math"/>
                <w:b/>
                <w:i/>
                <w:color w:val="244061"/>
                <w:sz w:val="24"/>
              </w:rPr>
            </m:ctrlPr>
          </m:sSubPr>
          <m:e>
            <m:r>
              <m:rPr>
                <m:sty m:val="bi"/>
              </m:rPr>
              <w:rPr>
                <w:rFonts w:ascii="Cambria Math" w:hAnsi="Cambria Math"/>
                <w:color w:val="244061"/>
                <w:sz w:val="24"/>
              </w:rPr>
              <m:t>δ</m:t>
            </m:r>
          </m:e>
          <m:sub>
            <m:r>
              <m:rPr>
                <m:sty m:val="bi"/>
              </m:rPr>
              <w:rPr>
                <w:rFonts w:ascii="Cambria Math" w:hAnsi="Cambria Math"/>
                <w:color w:val="244061"/>
                <w:sz w:val="24"/>
              </w:rPr>
              <m:t>C</m:t>
            </m:r>
          </m:sub>
        </m:sSub>
      </m:oMath>
      <w:r w:rsidRPr="00A57EFF">
        <w:rPr>
          <w:rFonts w:ascii="Times New Roman" w:hAnsi="Times New Roman"/>
          <w:b/>
          <w:color w:val="244061"/>
          <w:sz w:val="24"/>
        </w:rPr>
        <w:t xml:space="preserve">, </w:t>
      </w:r>
      <m:oMath>
        <m:sSub>
          <m:sSubPr>
            <m:ctrlPr>
              <w:rPr>
                <w:rFonts w:ascii="Cambria Math" w:hAnsi="Cambria Math"/>
                <w:b/>
                <w:i/>
                <w:color w:val="244061"/>
                <w:sz w:val="24"/>
              </w:rPr>
            </m:ctrlPr>
          </m:sSubPr>
          <m:e>
            <m:r>
              <m:rPr>
                <m:sty m:val="bi"/>
              </m:rPr>
              <w:rPr>
                <w:rFonts w:ascii="Cambria Math" w:hAnsi="Cambria Math"/>
                <w:color w:val="244061"/>
                <w:sz w:val="24"/>
              </w:rPr>
              <m:t>γ</m:t>
            </m:r>
          </m:e>
          <m:sub>
            <m:r>
              <m:rPr>
                <m:sty m:val="bi"/>
              </m:rPr>
              <w:rPr>
                <w:rFonts w:ascii="Cambria Math" w:hAnsi="Cambria Math"/>
                <w:color w:val="244061"/>
                <w:sz w:val="24"/>
              </w:rPr>
              <m:t>2</m:t>
            </m:r>
          </m:sub>
        </m:sSub>
      </m:oMath>
      <w:r w:rsidRPr="00A57EFF">
        <w:rPr>
          <w:rFonts w:ascii="Times New Roman" w:hAnsi="Times New Roman"/>
          <w:b/>
          <w:color w:val="244061"/>
          <w:sz w:val="24"/>
        </w:rPr>
        <w:t xml:space="preserve"> and </w:t>
      </w:r>
      <m:oMath>
        <m:r>
          <m:rPr>
            <m:sty m:val="bi"/>
          </m:rPr>
          <w:rPr>
            <w:rFonts w:ascii="Cambria Math" w:hAnsi="Cambria Math"/>
            <w:color w:val="244061"/>
            <w:sz w:val="24"/>
          </w:rPr>
          <m:t>λ</m:t>
        </m:r>
      </m:oMath>
    </w:p>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The model was compared to the results of the experiment described in the ‘Quantifying citrate efflux rate into the soil using microdialysis probes’ experiment </w:t>
      </w:r>
      <w:r w:rsidRPr="00A57EFF">
        <w:rPr>
          <w:rFonts w:ascii="Times New Roman" w:hAnsi="Times New Roman"/>
          <w:i/>
          <w:sz w:val="24"/>
        </w:rPr>
        <w:t xml:space="preserve">i.e., </w:t>
      </w:r>
      <w:r w:rsidRPr="00A57EFF">
        <w:rPr>
          <w:rFonts w:ascii="Times New Roman" w:hAnsi="Times New Roman"/>
          <w:sz w:val="24"/>
        </w:rPr>
        <w:t>step 1 shown on Fig. 2. As</w:t>
      </w:r>
      <m:oMath>
        <m:sSub>
          <m:sSubPr>
            <m:ctrlPr>
              <w:rPr>
                <w:rFonts w:ascii="Cambria Math" w:hAnsi="Cambria Math"/>
                <w:i/>
                <w:sz w:val="24"/>
              </w:rPr>
            </m:ctrlPr>
          </m:sSubPr>
          <m:e>
            <m:r>
              <w:rPr>
                <w:rFonts w:ascii="Cambria Math" w:hAnsi="Cambria Math"/>
                <w:sz w:val="24"/>
              </w:rPr>
              <m:t xml:space="preserve"> γ</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b</m:t>
            </m:r>
          </m:e>
          <m:sub>
            <m:r>
              <w:rPr>
                <w:rFonts w:ascii="Cambria Math" w:hAnsi="Cambria Math"/>
                <w:sz w:val="24"/>
              </w:rPr>
              <m:t>C</m:t>
            </m:r>
          </m:sub>
        </m:sSub>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oMath>
      <w:r w:rsidRPr="00A57EFF">
        <w:rPr>
          <w:rFonts w:ascii="Times New Roman" w:hAnsi="Times New Roman"/>
          <w:sz w:val="24"/>
        </w:rPr>
        <w:t xml:space="preserve">, where </w:t>
      </w:r>
      <m:oMath>
        <m:sSub>
          <m:sSubPr>
            <m:ctrlPr>
              <w:rPr>
                <w:rFonts w:ascii="Cambria Math" w:hAnsi="Cambria Math"/>
                <w:i/>
                <w:sz w:val="24"/>
              </w:rPr>
            </m:ctrlPr>
          </m:sSubPr>
          <m:e>
            <m:r>
              <w:rPr>
                <w:rFonts w:ascii="Cambria Math" w:hAnsi="Cambria Math"/>
                <w:sz w:val="24"/>
              </w:rPr>
              <m:t>b</m:t>
            </m:r>
          </m:e>
          <m:sub>
            <m:r>
              <w:rPr>
                <w:rFonts w:ascii="Cambria Math" w:hAnsi="Cambria Math"/>
                <w:sz w:val="24"/>
              </w:rPr>
              <m:t>C</m:t>
            </m:r>
          </m:sub>
        </m:sSub>
      </m:oMath>
      <w:r w:rsidRPr="00A57EFF">
        <w:rPr>
          <w:rFonts w:ascii="Times New Roman" w:hAnsi="Times New Roman"/>
          <w:sz w:val="24"/>
        </w:rPr>
        <w:t xml:space="preserve"> is the known buffer power of citrate in soil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&lt;EndNote&gt;&lt;Cite&gt;&lt;Author&gt;Oburger&lt;/Author&gt;&lt;Year&gt;2011&lt;/Year&gt;&lt;RecNum&gt;70&lt;/RecNum&gt;&lt;DisplayText&gt;(Oburger et al. 2011a)&lt;/DisplayText&gt;&lt;record&gt;&lt;rec-number&gt;70&lt;/rec-number&gt;&lt;foreign-keys&gt;&lt;key app="EN" db-id="0sapex5pfwrt05ep5w3x2zd0tdt9050e5fax" timestamp="1487241278"&gt;70&lt;/key&gt;&lt;/foreign-keys&gt;&lt;ref-type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(Oburger et al. 2011a)</w:t>
      </w:r>
      <w:r w:rsidRPr="00A57EFF">
        <w:rPr>
          <w:rFonts w:ascii="Times New Roman" w:hAnsi="Times New Roman"/>
          <w:sz w:val="24"/>
        </w:rPr>
        <w:fldChar w:fldCharType="end"/>
      </w:r>
      <w:r w:rsidRPr="00A57EFF">
        <w:rPr>
          <w:rFonts w:ascii="Times New Roman" w:hAnsi="Times New Roman"/>
          <w:sz w:val="24"/>
        </w:rPr>
        <w:t xml:space="preserve">, only one of the soil reaction parameters needed to be fit, in this case </w:t>
      </w:r>
      <m:oMath>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oMath>
      <w:r w:rsidRPr="00A57EFF">
        <w:rPr>
          <w:rFonts w:ascii="Times New Roman" w:hAnsi="Times New Roman"/>
          <w:sz w:val="24"/>
        </w:rPr>
        <w:t>.  There was no P in this case, so the experiment is modelled by Equations (1-13) with P initial conditions, Equations (12) and (13), exchanged with,</w:t>
      </w:r>
    </w:p>
    <w:tbl>
      <w:tblPr>
        <w:tblStyle w:val="TableGrid"/>
        <w:tblW w:w="0" w:type="auto"/>
        <w:tblInd w:w="720" w:type="dxa"/>
        <w:tblLook w:val="04A0" w:firstRow="1" w:lastRow="0" w:firstColumn="1" w:lastColumn="0" w:noHBand="0" w:noVBand="1"/>
      </w:tblPr>
      <w:tblGrid>
        <w:gridCol w:w="479"/>
        <w:gridCol w:w="7061"/>
        <w:gridCol w:w="756"/>
      </w:tblGrid>
      <w:tr w:rsidR="00AA6F1F" w:rsidRPr="00AA6F1F" w:rsidTr="00A57EFF">
        <w:tc>
          <w:tcPr>
            <w:tcW w:w="479" w:type="dxa"/>
            <w:tcBorders>
              <w:top w:val="nil"/>
              <w:left w:val="nil"/>
              <w:bottom w:val="nil"/>
              <w:right w:val="nil"/>
            </w:tcBorders>
          </w:tcPr>
          <w:p w:rsidR="00AA6F1F" w:rsidRPr="00A57EFF" w:rsidRDefault="00AA6F1F" w:rsidP="00A57EFF">
            <w:pPr>
              <w:spacing w:after="120" w:line="480" w:lineRule="auto"/>
              <w:contextualSpacing/>
              <w:jc w:val="both"/>
              <w:rPr>
                <w:rFonts w:ascii="Times New Roman" w:hAnsi="Times New Roman"/>
                <w:color w:val="000000"/>
                <w:sz w:val="24"/>
              </w:rPr>
            </w:pPr>
          </w:p>
        </w:tc>
        <w:tc>
          <w:tcPr>
            <w:tcW w:w="7061" w:type="dxa"/>
            <w:tcBorders>
              <w:top w:val="nil"/>
              <w:left w:val="nil"/>
              <w:bottom w:val="nil"/>
              <w:right w:val="nil"/>
            </w:tcBorders>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d>
                  <m:dPr>
                    <m:ctrlPr>
                      <w:rPr>
                        <w:rFonts w:ascii="Cambria Math" w:hAnsi="Cambria Math"/>
                        <w:i/>
                        <w:color w:val="000000"/>
                        <w:sz w:val="24"/>
                      </w:rPr>
                    </m:ctrlPr>
                  </m:dPr>
                  <m:e>
                    <m:r>
                      <w:rPr>
                        <w:rFonts w:ascii="Cambria Math" w:hAnsi="Cambria Math"/>
                        <w:color w:val="000000"/>
                        <w:sz w:val="24"/>
                      </w:rPr>
                      <m:t>0,</m:t>
                    </m:r>
                    <m:r>
                      <m:rPr>
                        <m:sty m:val="bi"/>
                      </m:rPr>
                      <w:rPr>
                        <w:rFonts w:ascii="Cambria Math" w:hAnsi="Cambria Math"/>
                        <w:color w:val="000000"/>
                        <w:sz w:val="24"/>
                      </w:rPr>
                      <m:t>x</m:t>
                    </m:r>
                  </m:e>
                </m:d>
                <m:r>
                  <w:rPr>
                    <w:rFonts w:ascii="Cambria Math" w:hAnsi="Cambria Math"/>
                    <w:color w:val="000000"/>
                    <w:sz w:val="24"/>
                  </w:rPr>
                  <m:t>=0,</m:t>
                </m:r>
              </m:oMath>
            </m:oMathPara>
          </w:p>
        </w:tc>
        <w:tc>
          <w:tcPr>
            <w:tcW w:w="756" w:type="dxa"/>
            <w:tcBorders>
              <w:top w:val="nil"/>
              <w:left w:val="nil"/>
              <w:bottom w:val="nil"/>
              <w:right w:val="nil"/>
            </w:tcBorders>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(14)</w:t>
            </w:r>
          </w:p>
        </w:tc>
      </w:tr>
      <w:tr w:rsidR="00AA6F1F" w:rsidRPr="00AA6F1F" w:rsidTr="00A57EFF">
        <w:tc>
          <w:tcPr>
            <w:tcW w:w="479" w:type="dxa"/>
            <w:tcBorders>
              <w:top w:val="nil"/>
              <w:left w:val="nil"/>
              <w:bottom w:val="nil"/>
              <w:right w:val="nil"/>
            </w:tcBorders>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 xml:space="preserve"> </w:t>
            </w:r>
            <w:r w:rsidRPr="00A57EFF">
              <w:rPr>
                <w:rFonts w:ascii="Times New Roman" w:hAnsi="Times New Roman"/>
                <w:color w:val="000000"/>
                <w:sz w:val="24"/>
              </w:rPr>
              <w:br w:type="page"/>
            </w:r>
          </w:p>
        </w:tc>
        <w:tc>
          <w:tcPr>
            <w:tcW w:w="7061" w:type="dxa"/>
            <w:tcBorders>
              <w:top w:val="nil"/>
              <w:left w:val="nil"/>
              <w:bottom w:val="nil"/>
              <w:right w:val="nil"/>
            </w:tcBorders>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s</m:t>
                    </m:r>
                  </m:sub>
                </m:sSub>
                <m:d>
                  <m:dPr>
                    <m:ctrlPr>
                      <w:rPr>
                        <w:rFonts w:ascii="Cambria Math" w:hAnsi="Cambria Math"/>
                        <w:i/>
                        <w:color w:val="000000"/>
                        <w:sz w:val="24"/>
                      </w:rPr>
                    </m:ctrlPr>
                  </m:dPr>
                  <m:e>
                    <m:r>
                      <w:rPr>
                        <w:rFonts w:ascii="Cambria Math" w:hAnsi="Cambria Math"/>
                        <w:color w:val="000000"/>
                        <w:sz w:val="24"/>
                      </w:rPr>
                      <m:t>0,</m:t>
                    </m:r>
                    <m:r>
                      <m:rPr>
                        <m:sty m:val="bi"/>
                      </m:rPr>
                      <w:rPr>
                        <w:rFonts w:ascii="Cambria Math" w:hAnsi="Cambria Math"/>
                        <w:color w:val="000000"/>
                        <w:sz w:val="24"/>
                      </w:rPr>
                      <m:t>x</m:t>
                    </m:r>
                  </m:e>
                </m:d>
                <m:r>
                  <w:rPr>
                    <w:rFonts w:ascii="Cambria Math" w:hAnsi="Cambria Math"/>
                    <w:color w:val="000000"/>
                    <w:sz w:val="24"/>
                  </w:rPr>
                  <m:t>=0,</m:t>
                </m:r>
              </m:oMath>
            </m:oMathPara>
          </w:p>
        </w:tc>
        <w:tc>
          <w:tcPr>
            <w:tcW w:w="756" w:type="dxa"/>
            <w:tcBorders>
              <w:top w:val="nil"/>
              <w:left w:val="nil"/>
              <w:bottom w:val="nil"/>
              <w:right w:val="nil"/>
            </w:tcBorders>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(15)</w:t>
            </w:r>
          </w:p>
        </w:tc>
      </w:tr>
    </w:tbl>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so that there is no P in the model. If </w:t>
      </w:r>
      <m:oMath>
        <m:sSubSup>
          <m:sSubSupPr>
            <m:ctrlPr>
              <w:rPr>
                <w:rFonts w:ascii="Cambria Math" w:hAnsi="Cambria Math"/>
                <w:i/>
                <w:sz w:val="24"/>
              </w:rPr>
            </m:ctrlPr>
          </m:sSubSupPr>
          <m:e>
            <m:r>
              <w:rPr>
                <w:rFonts w:ascii="Cambria Math" w:hAnsi="Cambria Math"/>
                <w:sz w:val="24"/>
              </w:rPr>
              <m:t>C</m:t>
            </m:r>
          </m:e>
          <m:sub>
            <m:r>
              <w:rPr>
                <w:rFonts w:ascii="Cambria Math" w:hAnsi="Cambria Math"/>
                <w:sz w:val="24"/>
              </w:rPr>
              <m:t>l</m:t>
            </m:r>
          </m:sub>
          <m:sup>
            <m:sSub>
              <m:sSubPr>
                <m:ctrlPr>
                  <w:rPr>
                    <w:rFonts w:ascii="Cambria Math" w:hAnsi="Cambria Math"/>
                    <w:i/>
                    <w:sz w:val="24"/>
                  </w:rPr>
                </m:ctrlPr>
              </m:sSubPr>
              <m:e>
                <m:r>
                  <w:rPr>
                    <w:rFonts w:ascii="Cambria Math" w:hAnsi="Cambria Math"/>
                    <w:sz w:val="24"/>
                  </w:rPr>
                  <m:t>δ</m:t>
                </m:r>
              </m:e>
              <m:sub>
                <m:r>
                  <w:rPr>
                    <w:rFonts w:ascii="Cambria Math" w:hAnsi="Cambria Math"/>
                    <w:sz w:val="24"/>
                  </w:rPr>
                  <m:t>C</m:t>
                </m:r>
              </m:sub>
            </m:sSub>
            <m:r>
              <w:rPr>
                <w:rFonts w:ascii="Cambria Math" w:hAnsi="Cambria Math"/>
                <w:sz w:val="24"/>
              </w:rPr>
              <m:t>,</m:t>
            </m:r>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r>
              <w:rPr>
                <w:rFonts w:ascii="Cambria Math" w:hAnsi="Cambria Math"/>
                <w:sz w:val="24"/>
              </w:rPr>
              <m:t>,</m:t>
            </m:r>
            <m:sSub>
              <m:sSubPr>
                <m:ctrlPr>
                  <w:rPr>
                    <w:rFonts w:ascii="Cambria Math" w:hAnsi="Cambria Math"/>
                    <w:i/>
                    <w:sz w:val="24"/>
                  </w:rPr>
                </m:ctrlPr>
              </m:sSubPr>
              <m:e>
                <m:r>
                  <w:rPr>
                    <w:rFonts w:ascii="Cambria Math" w:hAnsi="Cambria Math"/>
                    <w:sz w:val="24"/>
                  </w:rPr>
                  <m:t>λ;C</m:t>
                </m:r>
              </m:e>
              <m:sub>
                <m:r>
                  <w:rPr>
                    <w:rFonts w:ascii="Cambria Math" w:hAnsi="Cambria Math"/>
                    <w:sz w:val="24"/>
                  </w:rPr>
                  <m:t>0</m:t>
                </m:r>
              </m:sub>
            </m:sSub>
          </m:sup>
        </m:sSubSup>
        <m:r>
          <w:rPr>
            <w:rFonts w:ascii="Cambria Math" w:hAnsi="Cambria Math"/>
            <w:sz w:val="24"/>
          </w:rPr>
          <m:t xml:space="preserve"> </m:t>
        </m:r>
      </m:oMath>
      <w:r w:rsidRPr="00A57EFF">
        <w:rPr>
          <w:rFonts w:ascii="Times New Roman" w:hAnsi="Times New Roman"/>
          <w:sz w:val="24"/>
        </w:rPr>
        <w:t xml:space="preserve">is the solution to Equations (1-12)+(14,15) with </w:t>
      </w: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l</m:t>
            </m:r>
          </m:sub>
        </m:sSub>
        <m:r>
          <w:rPr>
            <w:rFonts w:ascii="Cambria Math" w:hAnsi="Cambria Math"/>
            <w:sz w:val="24"/>
          </w:rPr>
          <m:t>=0.3</m:t>
        </m:r>
      </m:oMath>
      <w:r w:rsidRPr="00A57EFF">
        <w:rPr>
          <w:rFonts w:ascii="Times New Roman" w:hAnsi="Times New Roman"/>
          <w:sz w:val="24"/>
        </w:rPr>
        <w:t xml:space="preserve"> and </w:t>
      </w: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s</m:t>
            </m:r>
          </m:sub>
        </m:sSub>
        <m:r>
          <w:rPr>
            <w:rFonts w:ascii="Cambria Math" w:hAnsi="Cambria Math"/>
            <w:sz w:val="24"/>
          </w:rPr>
          <m:t>=0.6</m:t>
        </m:r>
      </m:oMath>
      <w:r w:rsidRPr="00A57EFF">
        <w:rPr>
          <w:rFonts w:ascii="Times New Roman" w:hAnsi="Times New Roman"/>
          <w:sz w:val="24"/>
        </w:rPr>
        <w:t xml:space="preserve"> for a given </w:t>
      </w:r>
      <m:oMath>
        <m:sSub>
          <m:sSubPr>
            <m:ctrlPr>
              <w:rPr>
                <w:rFonts w:ascii="Cambria Math" w:hAnsi="Cambria Math"/>
                <w:i/>
                <w:sz w:val="24"/>
              </w:rPr>
            </m:ctrlPr>
          </m:sSubPr>
          <m:e>
            <m:r>
              <w:rPr>
                <w:rFonts w:ascii="Cambria Math" w:hAnsi="Cambria Math"/>
                <w:sz w:val="24"/>
              </w:rPr>
              <m:t>δ</m:t>
            </m:r>
          </m:e>
          <m:sub>
            <m:r>
              <w:rPr>
                <w:rFonts w:ascii="Cambria Math" w:hAnsi="Cambria Math"/>
                <w:sz w:val="24"/>
              </w:rPr>
              <m:t>c</m:t>
            </m:r>
          </m:sub>
        </m:sSub>
      </m:oMath>
      <w:r w:rsidRPr="00A57EFF">
        <w:rPr>
          <w:rFonts w:ascii="Times New Roman" w:hAnsi="Times New Roman"/>
          <w:sz w:val="24"/>
        </w:rPr>
        <w:t xml:space="preserve">, </w:t>
      </w:r>
      <m:oMath>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r>
          <w:rPr>
            <w:rFonts w:ascii="Cambria Math" w:hAnsi="Cambria Math"/>
            <w:sz w:val="24"/>
          </w:rPr>
          <m:t xml:space="preserve">, λ </m:t>
        </m:r>
      </m:oMath>
      <w:r w:rsidRPr="00A57EFF">
        <w:rPr>
          <w:rFonts w:ascii="Times New Roman" w:hAnsi="Times New Roman"/>
          <w:sz w:val="24"/>
        </w:rPr>
        <w:t xml:space="preserve">and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oMath>
      <w:r w:rsidRPr="00A57EFF">
        <w:rPr>
          <w:rFonts w:ascii="Times New Roman" w:hAnsi="Times New Roman"/>
          <w:sz w:val="24"/>
        </w:rPr>
        <w:t xml:space="preserve"> then the model </w:t>
      </w:r>
      <w:r w:rsidR="001B755C">
        <w:rPr>
          <w:rFonts w:ascii="Times New Roman" w:eastAsia="Times New Roman" w:hAnsi="Times New Roman" w:cs="Times New Roman"/>
          <w:sz w:val="24"/>
          <w:szCs w:val="24"/>
        </w:rPr>
        <w:t>total</w:t>
      </w:r>
      <w:r w:rsidR="001B755C" w:rsidRPr="00A57EFF">
        <w:rPr>
          <w:rFonts w:ascii="Times New Roman" w:hAnsi="Times New Roman"/>
          <w:sz w:val="24"/>
        </w:rPr>
        <w:t xml:space="preserve"> </w:t>
      </w:r>
      <w:r w:rsidRPr="00A57EFF">
        <w:rPr>
          <w:rFonts w:ascii="Times New Roman" w:hAnsi="Times New Roman"/>
          <w:sz w:val="24"/>
        </w:rPr>
        <w:t>citrate</w:t>
      </w:r>
      <w:r w:rsidR="001B755C">
        <w:rPr>
          <w:rFonts w:ascii="Times New Roman" w:eastAsia="Times New Roman" w:hAnsi="Times New Roman" w:cs="Times New Roman"/>
          <w:sz w:val="24"/>
          <w:szCs w:val="24"/>
        </w:rPr>
        <w:t xml:space="preserve"> exudation</w:t>
      </w:r>
      <w:r w:rsidRPr="00A57EFF">
        <w:rPr>
          <w:rFonts w:ascii="Times New Roman" w:hAnsi="Times New Roman"/>
          <w:sz w:val="24"/>
        </w:rPr>
        <w:t xml:space="preserve"> at time </w:t>
      </w:r>
      <m:oMath>
        <m:r>
          <w:rPr>
            <w:rFonts w:ascii="Cambria Math" w:hAnsi="Cambria Math"/>
            <w:sz w:val="24"/>
          </w:rPr>
          <m:t>t</m:t>
        </m:r>
      </m:oMath>
      <w:r w:rsidRPr="00A57EFF">
        <w:rPr>
          <w:rFonts w:ascii="Times New Roman" w:hAnsi="Times New Roman"/>
          <w:sz w:val="24"/>
        </w:rPr>
        <w:t xml:space="preserve"> is given by,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
        <w:gridCol w:w="7215"/>
        <w:gridCol w:w="616"/>
      </w:tblGrid>
      <w:tr w:rsidR="00AA6F1F" w:rsidRPr="00AA6F1F" w:rsidTr="00AB3042">
        <w:tc>
          <w:tcPr>
            <w:tcW w:w="522" w:type="dxa"/>
          </w:tcPr>
          <w:p w:rsidR="00AA6F1F" w:rsidRPr="00A57EFF" w:rsidRDefault="00AA6F1F" w:rsidP="00A57EFF">
            <w:pPr>
              <w:spacing w:after="120" w:line="480" w:lineRule="auto"/>
              <w:contextualSpacing/>
              <w:jc w:val="both"/>
              <w:rPr>
                <w:rFonts w:ascii="Times New Roman" w:hAnsi="Times New Roman"/>
                <w:color w:val="000000"/>
                <w:sz w:val="24"/>
              </w:rPr>
            </w:pPr>
          </w:p>
        </w:tc>
        <w:tc>
          <w:tcPr>
            <w:tcW w:w="8080" w:type="dxa"/>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J</m:t>
                    </m:r>
                  </m:e>
                  <m:sub>
                    <m:sSub>
                      <m:sSubPr>
                        <m:ctrlPr>
                          <w:rPr>
                            <w:rFonts w:ascii="Cambria Math" w:hAnsi="Cambria Math"/>
                            <w:i/>
                            <w:color w:val="000000"/>
                            <w:sz w:val="24"/>
                          </w:rPr>
                        </m:ctrlPr>
                      </m:sSubPr>
                      <m:e>
                        <m:r>
                          <w:rPr>
                            <w:rFonts w:ascii="Cambria Math" w:hAnsi="Cambria Math"/>
                            <w:color w:val="000000"/>
                            <w:sz w:val="24"/>
                          </w:rPr>
                          <m:t>M</m:t>
                        </m:r>
                      </m:e>
                      <m:sub>
                        <m:r>
                          <w:rPr>
                            <w:rFonts w:ascii="Cambria Math" w:hAnsi="Cambria Math"/>
                            <w:color w:val="000000"/>
                            <w:sz w:val="24"/>
                          </w:rPr>
                          <m:t>1</m:t>
                        </m:r>
                      </m:sub>
                    </m:sSub>
                  </m:sub>
                </m:sSub>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0</m:t>
                        </m:r>
                      </m:sub>
                    </m:sSub>
                    <m:r>
                      <w:rPr>
                        <w:rFonts w:ascii="Cambria Math" w:hAnsi="Cambria Math"/>
                        <w:color w:val="000000"/>
                        <w:sz w:val="24"/>
                      </w:rPr>
                      <m:t>,t;</m:t>
                    </m:r>
                    <m:sSub>
                      <m:sSubPr>
                        <m:ctrlPr>
                          <w:rPr>
                            <w:rFonts w:ascii="Cambria Math" w:hAnsi="Cambria Math"/>
                            <w:i/>
                            <w:color w:val="000000"/>
                            <w:sz w:val="24"/>
                          </w:rPr>
                        </m:ctrlPr>
                      </m:sSubPr>
                      <m:e>
                        <m:r>
                          <w:rPr>
                            <w:rFonts w:ascii="Cambria Math" w:hAnsi="Cambria Math"/>
                            <w:color w:val="000000"/>
                            <w:sz w:val="24"/>
                          </w:rPr>
                          <m:t>δ</m:t>
                        </m:r>
                      </m:e>
                      <m:sub>
                        <m:r>
                          <w:rPr>
                            <w:rFonts w:ascii="Cambria Math" w:hAnsi="Cambria Math"/>
                            <w:color w:val="000000"/>
                            <w:sz w:val="24"/>
                          </w:rPr>
                          <m:t>C</m:t>
                        </m:r>
                      </m:sub>
                    </m:sSub>
                    <m:r>
                      <w:rPr>
                        <w:rFonts w:ascii="Cambria Math" w:hAnsi="Cambria Math"/>
                        <w:color w:val="000000"/>
                        <w:sz w:val="24"/>
                      </w:rPr>
                      <m:t xml:space="preserve">, </m:t>
                    </m:r>
                    <m:sSub>
                      <m:sSubPr>
                        <m:ctrlPr>
                          <w:rPr>
                            <w:rFonts w:ascii="Cambria Math" w:hAnsi="Cambria Math"/>
                            <w:i/>
                            <w:color w:val="000000"/>
                            <w:sz w:val="24"/>
                          </w:rPr>
                        </m:ctrlPr>
                      </m:sSubPr>
                      <m:e>
                        <m:r>
                          <w:rPr>
                            <w:rFonts w:ascii="Cambria Math" w:hAnsi="Cambria Math"/>
                            <w:color w:val="000000"/>
                            <w:sz w:val="24"/>
                          </w:rPr>
                          <m:t>γ</m:t>
                        </m:r>
                      </m:e>
                      <m:sub>
                        <m:r>
                          <w:rPr>
                            <w:rFonts w:ascii="Cambria Math" w:hAnsi="Cambria Math"/>
                            <w:color w:val="000000"/>
                            <w:sz w:val="24"/>
                          </w:rPr>
                          <m:t>2</m:t>
                        </m:r>
                      </m:sub>
                    </m:sSub>
                    <m:r>
                      <w:rPr>
                        <w:rFonts w:ascii="Cambria Math" w:hAnsi="Cambria Math"/>
                        <w:color w:val="000000"/>
                        <w:sz w:val="24"/>
                      </w:rPr>
                      <m:t>,λ</m:t>
                    </m:r>
                  </m:e>
                </m:d>
                <m:r>
                  <w:rPr>
                    <w:rFonts w:ascii="Cambria Math" w:hAnsi="Cambria Math"/>
                    <w:color w:val="000000"/>
                    <w:sz w:val="24"/>
                  </w:rPr>
                  <m:t>=</m:t>
                </m:r>
                <m:nary>
                  <m:naryPr>
                    <m:ctrlPr>
                      <w:rPr>
                        <w:rFonts w:ascii="Cambria Math" w:eastAsia="Times New Roman" w:hAnsi="Cambria Math" w:cs="Times New Roman"/>
                        <w:i/>
                        <w:color w:val="000000"/>
                        <w:sz w:val="24"/>
                        <w:szCs w:val="24"/>
                      </w:rPr>
                    </m:ctrlPr>
                  </m:naryPr>
                  <m:sub>
                    <m:r>
                      <w:rPr>
                        <w:rFonts w:ascii="Cambria Math" w:eastAsia="Times New Roman" w:hAnsi="Cambria Math" w:cs="Times New Roman"/>
                        <w:color w:val="000000"/>
                        <w:sz w:val="24"/>
                        <w:szCs w:val="24"/>
                      </w:rPr>
                      <m:t>0</m:t>
                    </m:r>
                  </m:sub>
                  <m:sup>
                    <m:r>
                      <w:rPr>
                        <w:rFonts w:ascii="Cambria Math" w:eastAsia="Times New Roman" w:hAnsi="Cambria Math" w:cs="Times New Roman"/>
                        <w:color w:val="000000"/>
                        <w:sz w:val="24"/>
                        <w:szCs w:val="24"/>
                      </w:rPr>
                      <m:t>t</m:t>
                    </m:r>
                  </m:sup>
                  <m:e>
                    <m:nary>
                      <m:naryPr>
                        <m:supHide m:val="1"/>
                        <m:ctrlPr>
                          <w:rPr>
                            <w:rFonts w:ascii="Cambria Math" w:eastAsia="Times New Roman" w:hAnsi="Cambria Math" w:cs="Times New Roman"/>
                            <w:i/>
                            <w:color w:val="000000"/>
                            <w:sz w:val="24"/>
                            <w:szCs w:val="24"/>
                          </w:rPr>
                        </m:ctrlPr>
                      </m:naryPr>
                      <m:sub>
                        <m:sSub>
                          <m:sSubPr>
                            <m:ctrlPr>
                              <w:rPr>
                                <w:rFonts w:ascii="Cambria Math" w:eastAsia="Times New Roman" w:hAnsi="Cambria Math" w:cs="Times New Roman"/>
                                <w:i/>
                                <w:color w:val="000000"/>
                                <w:sz w:val="24"/>
                                <w:szCs w:val="24"/>
                              </w:rPr>
                            </m:ctrlPr>
                          </m:sSubPr>
                          <m:e>
                            <m:r>
                              <m:rPr>
                                <m:sty m:val="p"/>
                              </m:rPr>
                              <w:rPr>
                                <w:rFonts w:ascii="Cambria Math" w:eastAsia="Times New Roman" w:hAnsi="Cambria Math" w:cs="Times New Roman"/>
                                <w:color w:val="000000"/>
                                <w:sz w:val="24"/>
                                <w:szCs w:val="24"/>
                              </w:rPr>
                              <m:t>Γ</m:t>
                            </m:r>
                          </m:e>
                          <m:sub>
                            <m:r>
                              <w:rPr>
                                <w:rFonts w:ascii="Cambria Math" w:eastAsia="Times New Roman" w:hAnsi="Cambria Math" w:cs="Times New Roman"/>
                                <w:color w:val="000000"/>
                                <w:sz w:val="24"/>
                                <w:szCs w:val="24"/>
                              </w:rPr>
                              <m:t>p</m:t>
                            </m:r>
                          </m:sub>
                        </m:sSub>
                      </m:sub>
                      <m:sup/>
                      <m:e>
                        <m:sSubSup>
                          <m:sSubSupPr>
                            <m:ctrlPr>
                              <w:rPr>
                                <w:rFonts w:ascii="Cambria Math" w:eastAsia="Times New Roman" w:hAnsi="Cambria Math" w:cs="Times New Roman"/>
                                <w:i/>
                                <w:color w:val="000000"/>
                                <w:sz w:val="24"/>
                                <w:szCs w:val="24"/>
                              </w:rPr>
                            </m:ctrlPr>
                          </m:sSubSupPr>
                          <m:e>
                            <m:r>
                              <w:rPr>
                                <w:rFonts w:ascii="Cambria Math" w:eastAsia="Times New Roman" w:hAnsi="Cambria Math" w:cs="Times New Roman"/>
                                <w:color w:val="000000"/>
                                <w:sz w:val="24"/>
                                <w:szCs w:val="24"/>
                              </w:rPr>
                              <m:t>D</m:t>
                            </m:r>
                          </m:e>
                          <m:sub>
                            <m:r>
                              <w:rPr>
                                <w:rFonts w:ascii="Cambria Math" w:eastAsia="Times New Roman" w:hAnsi="Cambria Math" w:cs="Times New Roman"/>
                                <w:color w:val="000000"/>
                                <w:sz w:val="24"/>
                                <w:szCs w:val="24"/>
                              </w:rPr>
                              <m:t>C</m:t>
                            </m:r>
                          </m:sub>
                          <m:sup>
                            <m:r>
                              <w:rPr>
                                <w:rFonts w:ascii="Cambria Math" w:eastAsia="Times New Roman" w:hAnsi="Cambria Math" w:cs="Times New Roman"/>
                                <w:color w:val="000000"/>
                                <w:sz w:val="24"/>
                                <w:szCs w:val="24"/>
                              </w:rPr>
                              <m:t xml:space="preserve"> </m:t>
                            </m:r>
                          </m:sup>
                        </m:sSubSup>
                      </m:e>
                    </m:nary>
                  </m:e>
                </m:nary>
                <m:r>
                  <m:rPr>
                    <m:sty m:val="b"/>
                  </m:rPr>
                  <w:rPr>
                    <w:rFonts w:ascii="Cambria Math" w:hAnsi="Cambria Math"/>
                    <w:color w:val="000000"/>
                    <w:sz w:val="24"/>
                  </w:rPr>
                  <m:t>∇</m:t>
                </m:r>
                <m:sSubSup>
                  <m:sSubSupPr>
                    <m:ctrlPr>
                      <w:rPr>
                        <w:rFonts w:ascii="Cambria Math" w:hAnsi="Cambria Math"/>
                        <w:i/>
                        <w:color w:val="000000"/>
                        <w:sz w:val="24"/>
                      </w:rPr>
                    </m:ctrlPr>
                  </m:sSubSupPr>
                  <m:e>
                    <m:r>
                      <w:rPr>
                        <w:rFonts w:ascii="Cambria Math" w:hAnsi="Cambria Math"/>
                        <w:color w:val="000000"/>
                        <w:sz w:val="24"/>
                      </w:rPr>
                      <m:t>C</m:t>
                    </m:r>
                  </m:e>
                  <m:sub>
                    <m:r>
                      <w:rPr>
                        <w:rFonts w:ascii="Cambria Math" w:hAnsi="Cambria Math"/>
                        <w:color w:val="000000"/>
                        <w:sz w:val="24"/>
                      </w:rPr>
                      <m:t>l</m:t>
                    </m:r>
                  </m:sub>
                  <m:sup>
                    <m:sSub>
                      <m:sSubPr>
                        <m:ctrlPr>
                          <w:rPr>
                            <w:rFonts w:ascii="Cambria Math" w:hAnsi="Cambria Math"/>
                            <w:i/>
                            <w:color w:val="000000"/>
                            <w:sz w:val="24"/>
                          </w:rPr>
                        </m:ctrlPr>
                      </m:sSubPr>
                      <m:e>
                        <m:r>
                          <w:rPr>
                            <w:rFonts w:ascii="Cambria Math" w:hAnsi="Cambria Math"/>
                            <w:color w:val="000000"/>
                            <w:sz w:val="24"/>
                          </w:rPr>
                          <m:t>δ</m:t>
                        </m:r>
                      </m:e>
                      <m:sub>
                        <m:r>
                          <w:rPr>
                            <w:rFonts w:ascii="Cambria Math" w:hAnsi="Cambria Math"/>
                            <w:color w:val="000000"/>
                            <w:sz w:val="24"/>
                          </w:rPr>
                          <m:t>C</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γ</m:t>
                        </m:r>
                      </m:e>
                      <m:sub>
                        <m:r>
                          <w:rPr>
                            <w:rFonts w:ascii="Cambria Math" w:hAnsi="Cambria Math"/>
                            <w:color w:val="000000"/>
                            <w:sz w:val="24"/>
                          </w:rPr>
                          <m:t>2</m:t>
                        </m:r>
                      </m:sub>
                    </m:sSub>
                    <m:r>
                      <w:rPr>
                        <w:rFonts w:ascii="Cambria Math" w:hAnsi="Cambria Math"/>
                        <w:color w:val="000000"/>
                        <w:sz w:val="24"/>
                      </w:rPr>
                      <m:t>,λ;</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0</m:t>
                        </m:r>
                      </m:sub>
                    </m:sSub>
                  </m:sup>
                </m:sSubSup>
                <m:r>
                  <w:rPr>
                    <w:rFonts w:ascii="Cambria Math" w:hAnsi="Cambria Math"/>
                    <w:color w:val="000000"/>
                    <w:sz w:val="24"/>
                  </w:rPr>
                  <m:t>⋅</m:t>
                </m:r>
                <m:sSub>
                  <m:sSubPr>
                    <m:ctrlPr>
                      <w:rPr>
                        <w:rFonts w:ascii="Cambria Math" w:hAnsi="Cambria Math"/>
                        <w:b/>
                        <w:color w:val="000000"/>
                        <w:sz w:val="24"/>
                      </w:rPr>
                    </m:ctrlPr>
                  </m:sSubPr>
                  <m:e>
                    <m:r>
                      <m:rPr>
                        <m:sty m:val="b"/>
                      </m:rPr>
                      <w:rPr>
                        <w:rFonts w:ascii="Cambria Math" w:hAnsi="Cambria Math"/>
                        <w:color w:val="000000"/>
                        <w:sz w:val="24"/>
                      </w:rPr>
                      <m:t>n</m:t>
                    </m:r>
                    <m:ctrlPr>
                      <w:rPr>
                        <w:rFonts w:ascii="Cambria Math" w:hAnsi="Cambria Math"/>
                        <w:i/>
                        <w:color w:val="000000"/>
                        <w:sz w:val="24"/>
                      </w:rPr>
                    </m:ctrlPr>
                  </m:e>
                  <m:sub>
                    <m:r>
                      <m:rPr>
                        <m:sty m:val="b"/>
                      </m:rPr>
                      <w:rPr>
                        <w:rFonts w:ascii="Cambria Math" w:hAnsi="Cambria Math"/>
                        <w:color w:val="000000"/>
                        <w:sz w:val="24"/>
                      </w:rPr>
                      <m:t>p</m:t>
                    </m:r>
                  </m:sub>
                </m:sSub>
                <m:r>
                  <w:rPr>
                    <w:rFonts w:ascii="Cambria Math" w:hAnsi="Cambria Math"/>
                    <w:color w:val="000000"/>
                    <w:sz w:val="24"/>
                  </w:rPr>
                  <m:t>d</m:t>
                </m:r>
                <m:r>
                  <m:rPr>
                    <m:sty m:val="bi"/>
                  </m:rPr>
                  <w:rPr>
                    <w:rFonts w:ascii="Cambria Math" w:hAnsi="Cambria Math"/>
                    <w:color w:val="000000"/>
                    <w:sz w:val="24"/>
                  </w:rPr>
                  <m:t>x</m:t>
                </m:r>
                <m:r>
                  <w:rPr>
                    <w:rFonts w:ascii="Cambria Math" w:hAnsi="Cambria Math"/>
                    <w:color w:val="000000"/>
                    <w:sz w:val="24"/>
                  </w:rPr>
                  <m:t>dτ.</m:t>
                </m:r>
              </m:oMath>
            </m:oMathPara>
          </w:p>
        </w:tc>
        <w:tc>
          <w:tcPr>
            <w:tcW w:w="526"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(16)</w:t>
            </w:r>
          </w:p>
        </w:tc>
      </w:tr>
    </w:tbl>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The</w:t>
      </w:r>
      <w:r w:rsidRPr="00AA6F1F">
        <w:rPr>
          <w:rFonts w:ascii="Times New Roman" w:eastAsia="Times New Roman" w:hAnsi="Times New Roman" w:cs="Times New Roman"/>
          <w:sz w:val="24"/>
          <w:szCs w:val="24"/>
        </w:rPr>
        <w:t xml:space="preserve"> average</w:t>
      </w:r>
      <w:r w:rsidRPr="00A57EFF">
        <w:rPr>
          <w:rFonts w:ascii="Times New Roman" w:hAnsi="Times New Roman"/>
          <w:sz w:val="24"/>
        </w:rPr>
        <w:t xml:space="preserve"> experimental flux at time </w:t>
      </w:r>
      <m:oMath>
        <m:r>
          <w:rPr>
            <w:rFonts w:ascii="Cambria Math" w:hAnsi="Cambria Math"/>
            <w:sz w:val="24"/>
          </w:rPr>
          <m:t>t</m:t>
        </m:r>
      </m:oMath>
      <w:r w:rsidRPr="00A57EFF">
        <w:rPr>
          <w:rFonts w:ascii="Times New Roman" w:hAnsi="Times New Roman"/>
          <w:sz w:val="24"/>
        </w:rPr>
        <w:t xml:space="preserve"> for a given concentration of citrate in the perfusate,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oMath>
      <w:r w:rsidRPr="00A57EFF">
        <w:rPr>
          <w:rFonts w:ascii="Times New Roman" w:hAnsi="Times New Roman"/>
          <w:sz w:val="24"/>
        </w:rPr>
        <w:t xml:space="preserve">, is denoted </w:t>
      </w:r>
      <m:oMath>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E</m:t>
                </m:r>
              </m:e>
              <m:sub>
                <m:r>
                  <w:rPr>
                    <w:rFonts w:ascii="Cambria Math" w:hAnsi="Cambria Math"/>
                    <w:sz w:val="24"/>
                  </w:rPr>
                  <m:t>1</m:t>
                </m:r>
              </m:sub>
            </m:sSub>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,t)</m:t>
        </m:r>
      </m:oMath>
      <w:r w:rsidRPr="00A57EFF">
        <w:rPr>
          <w:rFonts w:ascii="Times New Roman" w:hAnsi="Times New Roman"/>
          <w:sz w:val="24"/>
        </w:rPr>
        <w:t xml:space="preserve"> (Fig. 3), with corresponding standard deviation </w:t>
      </w:r>
      <m:oMath>
        <m:sSub>
          <m:sSubPr>
            <m:ctrlPr>
              <w:rPr>
                <w:rFonts w:ascii="Cambria Math" w:hAnsi="Cambria Math"/>
                <w:i/>
                <w:sz w:val="24"/>
              </w:rPr>
            </m:ctrlPr>
          </m:sSubPr>
          <m:e>
            <m:r>
              <w:rPr>
                <w:rFonts w:ascii="Cambria Math" w:hAnsi="Cambria Math"/>
                <w:sz w:val="24"/>
              </w:rPr>
              <m:t>σ</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,t)</m:t>
        </m:r>
      </m:oMath>
      <w:r w:rsidRPr="00A57EFF">
        <w:rPr>
          <w:rFonts w:ascii="Times New Roman" w:hAnsi="Times New Roman"/>
          <w:sz w:val="24"/>
        </w:rPr>
        <w:t xml:space="preserve">. Then </w:t>
      </w:r>
      <m:oMath>
        <m:sSub>
          <m:sSubPr>
            <m:ctrlPr>
              <w:rPr>
                <w:rFonts w:ascii="Cambria Math" w:hAnsi="Cambria Math"/>
                <w:i/>
                <w:sz w:val="24"/>
              </w:rPr>
            </m:ctrlPr>
          </m:sSubPr>
          <m:e>
            <m:r>
              <w:rPr>
                <w:rFonts w:ascii="Cambria Math" w:hAnsi="Cambria Math"/>
                <w:sz w:val="24"/>
              </w:rPr>
              <m:t>δ</m:t>
            </m:r>
          </m:e>
          <m:sub>
            <m:r>
              <w:rPr>
                <w:rFonts w:ascii="Cambria Math" w:hAnsi="Cambria Math"/>
                <w:sz w:val="24"/>
              </w:rPr>
              <m:t>C</m:t>
            </m:r>
          </m:sub>
        </m:sSub>
      </m:oMath>
      <w:r w:rsidRPr="00A57EFF">
        <w:rPr>
          <w:rFonts w:ascii="Times New Roman" w:hAnsi="Times New Roman"/>
          <w:sz w:val="24"/>
        </w:rPr>
        <w:t xml:space="preserve"> and </w:t>
      </w:r>
      <m:oMath>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oMath>
      <w:r w:rsidRPr="00A57EFF">
        <w:rPr>
          <w:rFonts w:ascii="Times New Roman" w:hAnsi="Times New Roman"/>
          <w:sz w:val="24"/>
        </w:rPr>
        <w:t xml:space="preserve"> were found by minimising the absolute difference between </w:t>
      </w:r>
      <m:oMath>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M</m:t>
                </m:r>
              </m:e>
              <m:sub>
                <m:r>
                  <w:rPr>
                    <w:rFonts w:ascii="Cambria Math" w:hAnsi="Cambria Math"/>
                    <w:sz w:val="24"/>
                  </w:rPr>
                  <m:t>1</m:t>
                </m:r>
              </m:sub>
            </m:sSub>
          </m:sub>
        </m:sSub>
      </m:oMath>
      <w:r w:rsidRPr="00A57EFF">
        <w:rPr>
          <w:rFonts w:ascii="Times New Roman" w:hAnsi="Times New Roman"/>
          <w:sz w:val="24"/>
        </w:rPr>
        <w:t xml:space="preserve"> and  </w:t>
      </w:r>
      <m:oMath>
        <m:sSub>
          <m:sSubPr>
            <m:ctrlPr>
              <w:rPr>
                <w:rFonts w:ascii="Cambria Math" w:hAnsi="Cambria Math"/>
                <w:i/>
                <w:sz w:val="24"/>
              </w:rPr>
            </m:ctrlPr>
          </m:sSubPr>
          <m:e>
            <m:r>
              <w:rPr>
                <w:rFonts w:ascii="Cambria Math" w:hAnsi="Cambria Math"/>
                <w:sz w:val="24"/>
              </w:rPr>
              <m:t>J</m:t>
            </m:r>
          </m:e>
          <m:sub>
            <m:r>
              <w:rPr>
                <w:rFonts w:ascii="Cambria Math" w:hAnsi="Cambria Math"/>
                <w:sz w:val="24"/>
              </w:rPr>
              <m:t>E</m:t>
            </m:r>
            <m:sSub>
              <m:sSubPr>
                <m:ctrlPr>
                  <w:rPr>
                    <w:rFonts w:ascii="Cambria Math" w:hAnsi="Cambria Math"/>
                    <w:i/>
                    <w:sz w:val="24"/>
                  </w:rPr>
                </m:ctrlPr>
              </m:sSubPr>
              <m:e>
                <m:r>
                  <m:rPr>
                    <m:sty m:val="p"/>
                  </m:rPr>
                  <w:rPr>
                    <w:rFonts w:ascii="Cambria Math" w:hAnsi="Cambria Math"/>
                    <w:sz w:val="24"/>
                  </w:rPr>
                  <w:softHyphen/>
                </m:r>
              </m:e>
              <m:sub>
                <m:r>
                  <w:rPr>
                    <w:rFonts w:ascii="Cambria Math" w:hAnsi="Cambria Math"/>
                    <w:sz w:val="24"/>
                  </w:rPr>
                  <m:t>1</m:t>
                </m:r>
              </m:sub>
            </m:sSub>
            <m:r>
              <w:rPr>
                <w:rFonts w:ascii="Cambria Math" w:hAnsi="Cambria Math"/>
                <w:sz w:val="24"/>
              </w:rPr>
              <m:t xml:space="preserve"> </m:t>
            </m:r>
          </m:sub>
        </m:sSub>
      </m:oMath>
      <w:r w:rsidRPr="00A57EFF">
        <w:rPr>
          <w:rFonts w:ascii="Times New Roman" w:hAnsi="Times New Roman"/>
          <w:sz w:val="24"/>
        </w:rPr>
        <w:t xml:space="preserve">. As the data is spread over a large range, it was normalised by its standard deviation. Thus, to approximate </w:t>
      </w:r>
      <m:oMath>
        <m:sSub>
          <m:sSubPr>
            <m:ctrlPr>
              <w:rPr>
                <w:rFonts w:ascii="Cambria Math" w:hAnsi="Cambria Math"/>
                <w:i/>
                <w:sz w:val="24"/>
              </w:rPr>
            </m:ctrlPr>
          </m:sSubPr>
          <m:e>
            <m:r>
              <w:rPr>
                <w:rFonts w:ascii="Cambria Math" w:hAnsi="Cambria Math"/>
                <w:sz w:val="24"/>
              </w:rPr>
              <m:t>δ</m:t>
            </m:r>
          </m:e>
          <m:sub>
            <m:r>
              <w:rPr>
                <w:rFonts w:ascii="Cambria Math" w:hAnsi="Cambria Math"/>
                <w:sz w:val="24"/>
              </w:rPr>
              <m:t>C</m:t>
            </m:r>
          </m:sub>
        </m:sSub>
      </m:oMath>
      <w:r w:rsidRPr="00A57EFF">
        <w:rPr>
          <w:rFonts w:ascii="Times New Roman" w:hAnsi="Times New Roman"/>
          <w:sz w:val="24"/>
        </w:rPr>
        <w:t xml:space="preserve">, </w:t>
      </w:r>
      <m:oMath>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oMath>
      <w:r w:rsidRPr="00A57EFF">
        <w:rPr>
          <w:rFonts w:ascii="Times New Roman" w:hAnsi="Times New Roman"/>
          <w:sz w:val="24"/>
        </w:rPr>
        <w:t xml:space="preserve"> and </w:t>
      </w:r>
      <m:oMath>
        <m:r>
          <w:rPr>
            <w:rFonts w:ascii="Cambria Math" w:hAnsi="Cambria Math"/>
            <w:sz w:val="24"/>
          </w:rPr>
          <m:t>λ</m:t>
        </m:r>
      </m:oMath>
      <w:r w:rsidRPr="00A57EFF">
        <w:rPr>
          <w:rFonts w:ascii="Times New Roman" w:hAnsi="Times New Roman"/>
          <w:sz w:val="24"/>
        </w:rPr>
        <w:t xml:space="preserve"> the following objective function was minimised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
        <w:gridCol w:w="7243"/>
        <w:gridCol w:w="616"/>
      </w:tblGrid>
      <w:tr w:rsidR="00AA6F1F" w:rsidRPr="00AA6F1F" w:rsidTr="00AB3042">
        <w:tc>
          <w:tcPr>
            <w:tcW w:w="522" w:type="dxa"/>
          </w:tcPr>
          <w:p w:rsidR="00AA6F1F" w:rsidRPr="00A57EFF" w:rsidRDefault="00AA6F1F" w:rsidP="00A57EFF">
            <w:pPr>
              <w:spacing w:after="120" w:line="480" w:lineRule="auto"/>
              <w:contextualSpacing/>
              <w:jc w:val="both"/>
              <w:rPr>
                <w:rFonts w:ascii="Times New Roman" w:hAnsi="Times New Roman"/>
                <w:color w:val="000000"/>
                <w:sz w:val="24"/>
              </w:rPr>
            </w:pPr>
          </w:p>
        </w:tc>
        <w:tc>
          <w:tcPr>
            <w:tcW w:w="8080" w:type="dxa"/>
            <w:vAlign w:val="center"/>
          </w:tcPr>
          <w:p w:rsidR="00AA6F1F" w:rsidRPr="00A57EFF" w:rsidRDefault="00AA6F1F" w:rsidP="00A57EFF">
            <w:pPr>
              <w:spacing w:after="120" w:line="480" w:lineRule="auto"/>
              <w:contextualSpacing/>
              <w:jc w:val="both"/>
              <w:rPr>
                <w:rFonts w:ascii="Times New Roman" w:hAnsi="Times New Roman"/>
                <w:color w:val="000000"/>
                <w:sz w:val="24"/>
              </w:rPr>
            </w:pPr>
            <m:oMathPara>
              <m:oMath>
                <m:r>
                  <w:rPr>
                    <w:rFonts w:ascii="Cambria Math" w:hAnsi="Cambria Math"/>
                    <w:color w:val="000000"/>
                    <w:sz w:val="24"/>
                  </w:rPr>
                  <m:t>ob</m:t>
                </m:r>
                <m:sSub>
                  <m:sSubPr>
                    <m:ctrlPr>
                      <w:rPr>
                        <w:rFonts w:ascii="Cambria Math" w:hAnsi="Cambria Math"/>
                        <w:i/>
                        <w:color w:val="000000"/>
                        <w:sz w:val="24"/>
                      </w:rPr>
                    </m:ctrlPr>
                  </m:sSubPr>
                  <m:e>
                    <m:sSub>
                      <m:sSubPr>
                        <m:ctrlPr>
                          <w:rPr>
                            <w:rFonts w:ascii="Cambria Math" w:hAnsi="Cambria Math"/>
                            <w:i/>
                            <w:color w:val="000000"/>
                            <w:sz w:val="24"/>
                          </w:rPr>
                        </m:ctrlPr>
                      </m:sSubPr>
                      <m:e>
                        <m:r>
                          <w:rPr>
                            <w:rFonts w:ascii="Cambria Math" w:hAnsi="Cambria Math"/>
                            <w:color w:val="000000"/>
                            <w:sz w:val="24"/>
                          </w:rPr>
                          <m:t>j</m:t>
                        </m:r>
                      </m:e>
                      <m:sub>
                        <m:r>
                          <w:rPr>
                            <w:rFonts w:ascii="Cambria Math" w:hAnsi="Cambria Math"/>
                            <w:color w:val="000000"/>
                            <w:sz w:val="24"/>
                          </w:rPr>
                          <m:t>1</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δ</m:t>
                        </m:r>
                      </m:e>
                      <m:sub>
                        <m:r>
                          <w:rPr>
                            <w:rFonts w:ascii="Cambria Math" w:hAnsi="Cambria Math"/>
                            <w:color w:val="000000"/>
                            <w:sz w:val="24"/>
                          </w:rPr>
                          <m:t>C</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γ</m:t>
                        </m:r>
                      </m:e>
                      <m:sub>
                        <m:r>
                          <w:rPr>
                            <w:rFonts w:ascii="Cambria Math" w:hAnsi="Cambria Math"/>
                            <w:color w:val="000000"/>
                            <w:sz w:val="24"/>
                          </w:rPr>
                          <m:t>2</m:t>
                        </m:r>
                      </m:sub>
                    </m:sSub>
                    <m:r>
                      <w:rPr>
                        <w:rFonts w:ascii="Cambria Math" w:hAnsi="Cambria Math"/>
                        <w:color w:val="000000"/>
                        <w:sz w:val="24"/>
                      </w:rPr>
                      <m:t>,λ )</m:t>
                    </m:r>
                  </m:e>
                  <m:sub>
                    <m:r>
                      <w:rPr>
                        <w:rFonts w:ascii="Cambria Math" w:hAnsi="Cambria Math"/>
                        <w:color w:val="000000"/>
                        <w:sz w:val="24"/>
                      </w:rPr>
                      <m:t xml:space="preserve"> </m:t>
                    </m:r>
                  </m:sub>
                </m:sSub>
                <m:r>
                  <w:rPr>
                    <w:rFonts w:ascii="Cambria Math" w:hAnsi="Cambria Math"/>
                    <w:color w:val="000000"/>
                    <w:sz w:val="24"/>
                  </w:rPr>
                  <m:t>=</m:t>
                </m:r>
                <m:nary>
                  <m:naryPr>
                    <m:chr m:val="∑"/>
                    <m:supHide m:val="1"/>
                    <m:ctrlPr>
                      <w:rPr>
                        <w:rFonts w:ascii="Cambria Math" w:hAnsi="Cambria Math"/>
                        <w:i/>
                        <w:color w:val="000000"/>
                        <w:sz w:val="24"/>
                      </w:rPr>
                    </m:ctrlPr>
                  </m:naryPr>
                  <m:sub>
                    <m:r>
                      <w:rPr>
                        <w:rFonts w:ascii="Cambria Math" w:hAnsi="Cambria Math"/>
                        <w:color w:val="000000"/>
                        <w:sz w:val="24"/>
                      </w:rPr>
                      <m:t>t∈</m:t>
                    </m:r>
                    <m:sSub>
                      <m:sSubPr>
                        <m:ctrlPr>
                          <w:rPr>
                            <w:rFonts w:ascii="Cambria Math" w:hAnsi="Cambria Math"/>
                            <w:i/>
                            <w:color w:val="000000"/>
                            <w:sz w:val="24"/>
                          </w:rPr>
                        </m:ctrlPr>
                      </m:sSubPr>
                      <m:e>
                        <m:r>
                          <w:rPr>
                            <w:rFonts w:ascii="Cambria Math" w:hAnsi="Cambria Math"/>
                            <w:color w:val="000000"/>
                            <w:sz w:val="24"/>
                          </w:rPr>
                          <m:t>T</m:t>
                        </m:r>
                      </m:e>
                      <m:sub>
                        <m:r>
                          <w:rPr>
                            <w:rFonts w:ascii="Cambria Math" w:hAnsi="Cambria Math"/>
                            <w:color w:val="000000"/>
                            <w:sz w:val="24"/>
                          </w:rPr>
                          <m:t>1</m:t>
                        </m:r>
                      </m:sub>
                    </m:sSub>
                    <m:r>
                      <w:rPr>
                        <w:rFonts w:ascii="Cambria Math" w:hAnsi="Cambria Math"/>
                        <w:color w:val="000000"/>
                        <w:sz w:val="24"/>
                      </w:rPr>
                      <m:t xml:space="preserve"> </m:t>
                    </m:r>
                  </m:sub>
                  <m:sup/>
                  <m:e>
                    <m:nary>
                      <m:naryPr>
                        <m:chr m:val="∑"/>
                        <m:supHide m:val="1"/>
                        <m:ctrlPr>
                          <w:rPr>
                            <w:rFonts w:ascii="Cambria Math" w:hAnsi="Cambria Math"/>
                            <w:i/>
                            <w:color w:val="000000"/>
                            <w:sz w:val="24"/>
                          </w:rPr>
                        </m:ctrlPr>
                      </m:naryPr>
                      <m:sub>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0</m:t>
                            </m:r>
                          </m:sub>
                        </m:sSub>
                        <m:r>
                          <w:rPr>
                            <w:rFonts w:ascii="Cambria Math" w:hAnsi="Cambria Math"/>
                            <w:color w:val="000000"/>
                            <w:sz w:val="24"/>
                          </w:rPr>
                          <m:t>∈c</m:t>
                        </m:r>
                      </m:sub>
                      <m:sup/>
                      <m:e>
                        <m:f>
                          <m:fPr>
                            <m:ctrlPr>
                              <w:rPr>
                                <w:rFonts w:ascii="Cambria Math" w:hAnsi="Cambria Math"/>
                                <w:i/>
                                <w:color w:val="000000"/>
                                <w:sz w:val="24"/>
                              </w:rPr>
                            </m:ctrlPr>
                          </m:fPr>
                          <m:num>
                            <m:sSup>
                              <m:sSupPr>
                                <m:ctrlPr>
                                  <w:rPr>
                                    <w:rFonts w:ascii="Cambria Math" w:hAnsi="Cambria Math"/>
                                    <w:i/>
                                    <w:color w:val="000000"/>
                                    <w:sz w:val="24"/>
                                  </w:rPr>
                                </m:ctrlPr>
                              </m:sSupPr>
                              <m:e>
                                <m:d>
                                  <m:dPr>
                                    <m:begChr m:val="|"/>
                                    <m:endChr m:val="|"/>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J</m:t>
                                        </m:r>
                                      </m:e>
                                      <m:sub>
                                        <m:sSub>
                                          <m:sSubPr>
                                            <m:ctrlPr>
                                              <w:rPr>
                                                <w:rFonts w:ascii="Cambria Math" w:hAnsi="Cambria Math"/>
                                                <w:i/>
                                                <w:color w:val="000000"/>
                                                <w:sz w:val="24"/>
                                              </w:rPr>
                                            </m:ctrlPr>
                                          </m:sSubPr>
                                          <m:e>
                                            <m:r>
                                              <w:rPr>
                                                <w:rFonts w:ascii="Cambria Math" w:hAnsi="Cambria Math"/>
                                                <w:color w:val="000000"/>
                                                <w:sz w:val="24"/>
                                              </w:rPr>
                                              <m:t>M</m:t>
                                            </m:r>
                                          </m:e>
                                          <m:sub>
                                            <m:r>
                                              <w:rPr>
                                                <w:rFonts w:ascii="Cambria Math" w:hAnsi="Cambria Math"/>
                                                <w:color w:val="000000"/>
                                                <w:sz w:val="24"/>
                                              </w:rPr>
                                              <m:t>1</m:t>
                                            </m:r>
                                          </m:sub>
                                        </m:sSub>
                                      </m:sub>
                                    </m:sSub>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0</m:t>
                                            </m:r>
                                          </m:sub>
                                        </m:sSub>
                                        <m:r>
                                          <w:rPr>
                                            <w:rFonts w:ascii="Cambria Math" w:hAnsi="Cambria Math"/>
                                            <w:color w:val="000000"/>
                                            <w:sz w:val="24"/>
                                          </w:rPr>
                                          <m:t>,t;</m:t>
                                        </m:r>
                                        <m:sSub>
                                          <m:sSubPr>
                                            <m:ctrlPr>
                                              <w:rPr>
                                                <w:rFonts w:ascii="Cambria Math" w:hAnsi="Cambria Math"/>
                                                <w:i/>
                                                <w:color w:val="000000"/>
                                                <w:sz w:val="24"/>
                                              </w:rPr>
                                            </m:ctrlPr>
                                          </m:sSubPr>
                                          <m:e>
                                            <m:r>
                                              <w:rPr>
                                                <w:rFonts w:ascii="Cambria Math" w:hAnsi="Cambria Math"/>
                                                <w:color w:val="000000"/>
                                                <w:sz w:val="24"/>
                                              </w:rPr>
                                              <m:t>δ</m:t>
                                            </m:r>
                                          </m:e>
                                          <m:sub>
                                            <m:r>
                                              <w:rPr>
                                                <w:rFonts w:ascii="Cambria Math" w:hAnsi="Cambria Math"/>
                                                <w:color w:val="000000"/>
                                                <w:sz w:val="24"/>
                                              </w:rPr>
                                              <m:t>C,</m:t>
                                            </m:r>
                                          </m:sub>
                                        </m:sSub>
                                        <m:sSub>
                                          <m:sSubPr>
                                            <m:ctrlPr>
                                              <w:rPr>
                                                <w:rFonts w:ascii="Cambria Math" w:hAnsi="Cambria Math"/>
                                                <w:i/>
                                                <w:color w:val="000000"/>
                                                <w:sz w:val="24"/>
                                              </w:rPr>
                                            </m:ctrlPr>
                                          </m:sSubPr>
                                          <m:e>
                                            <m:r>
                                              <w:rPr>
                                                <w:rFonts w:ascii="Cambria Math" w:hAnsi="Cambria Math"/>
                                                <w:color w:val="000000"/>
                                                <w:sz w:val="24"/>
                                              </w:rPr>
                                              <m:t>γ</m:t>
                                            </m:r>
                                          </m:e>
                                          <m:sub>
                                            <m:r>
                                              <w:rPr>
                                                <w:rFonts w:ascii="Cambria Math" w:hAnsi="Cambria Math"/>
                                                <w:color w:val="000000"/>
                                                <w:sz w:val="24"/>
                                              </w:rPr>
                                              <m:t>2</m:t>
                                            </m:r>
                                          </m:sub>
                                        </m:sSub>
                                        <m:r>
                                          <w:rPr>
                                            <w:rFonts w:ascii="Cambria Math" w:hAnsi="Cambria Math"/>
                                            <w:color w:val="000000"/>
                                            <w:sz w:val="24"/>
                                          </w:rPr>
                                          <m:t>,λ</m:t>
                                        </m:r>
                                      </m:e>
                                    </m:d>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J</m:t>
                                        </m:r>
                                      </m:e>
                                      <m:sub>
                                        <m:sSub>
                                          <m:sSubPr>
                                            <m:ctrlPr>
                                              <w:rPr>
                                                <w:rFonts w:ascii="Cambria Math" w:hAnsi="Cambria Math"/>
                                                <w:i/>
                                                <w:color w:val="000000"/>
                                                <w:sz w:val="24"/>
                                              </w:rPr>
                                            </m:ctrlPr>
                                          </m:sSubPr>
                                          <m:e>
                                            <m:r>
                                              <w:rPr>
                                                <w:rFonts w:ascii="Cambria Math" w:hAnsi="Cambria Math"/>
                                                <w:color w:val="000000"/>
                                                <w:sz w:val="24"/>
                                              </w:rPr>
                                              <m:t>E</m:t>
                                            </m:r>
                                          </m:e>
                                          <m:sub>
                                            <m:r>
                                              <w:rPr>
                                                <w:rFonts w:ascii="Cambria Math" w:hAnsi="Cambria Math"/>
                                                <w:color w:val="000000"/>
                                                <w:sz w:val="24"/>
                                              </w:rPr>
                                              <m:t>1</m:t>
                                            </m:r>
                                          </m:sub>
                                        </m:sSub>
                                      </m:sub>
                                    </m:sSub>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0</m:t>
                                            </m:r>
                                          </m:sub>
                                        </m:sSub>
                                        <m:r>
                                          <w:rPr>
                                            <w:rFonts w:ascii="Cambria Math" w:hAnsi="Cambria Math"/>
                                            <w:color w:val="000000"/>
                                            <w:sz w:val="24"/>
                                          </w:rPr>
                                          <m:t>,t</m:t>
                                        </m:r>
                                      </m:e>
                                    </m:d>
                                  </m:e>
                                </m:d>
                              </m:e>
                              <m:sup>
                                <m:r>
                                  <w:rPr>
                                    <w:rFonts w:ascii="Cambria Math" w:hAnsi="Cambria Math"/>
                                    <w:color w:val="000000"/>
                                    <w:sz w:val="24"/>
                                  </w:rPr>
                                  <m:t>2</m:t>
                                </m:r>
                              </m:sup>
                            </m:sSup>
                          </m:num>
                          <m:den>
                            <m:sSub>
                              <m:sSubPr>
                                <m:ctrlPr>
                                  <w:rPr>
                                    <w:rFonts w:ascii="Cambria Math" w:hAnsi="Cambria Math"/>
                                    <w:i/>
                                    <w:color w:val="000000"/>
                                    <w:sz w:val="24"/>
                                  </w:rPr>
                                </m:ctrlPr>
                              </m:sSubPr>
                              <m:e>
                                <m:r>
                                  <w:rPr>
                                    <w:rFonts w:ascii="Cambria Math" w:hAnsi="Cambria Math"/>
                                    <w:color w:val="000000"/>
                                    <w:sz w:val="24"/>
                                  </w:rPr>
                                  <m:t>σ</m:t>
                                </m:r>
                              </m:e>
                              <m:sub>
                                <m:r>
                                  <w:rPr>
                                    <w:rFonts w:ascii="Cambria Math" w:hAnsi="Cambria Math"/>
                                    <w:color w:val="000000"/>
                                    <w:sz w:val="24"/>
                                  </w:rPr>
                                  <m:t>1</m:t>
                                </m:r>
                              </m:sub>
                            </m:sSub>
                            <m:sSup>
                              <m:sSupPr>
                                <m:ctrlPr>
                                  <w:rPr>
                                    <w:rFonts w:ascii="Cambria Math" w:hAnsi="Cambria Math"/>
                                    <w:i/>
                                    <w:color w:val="000000"/>
                                    <w:sz w:val="24"/>
                                  </w:rPr>
                                </m:ctrlPr>
                              </m:sSupPr>
                              <m:e>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0</m:t>
                                        </m:r>
                                      </m:sub>
                                    </m:sSub>
                                    <m:r>
                                      <w:rPr>
                                        <w:rFonts w:ascii="Cambria Math" w:hAnsi="Cambria Math"/>
                                        <w:color w:val="000000"/>
                                        <w:sz w:val="24"/>
                                      </w:rPr>
                                      <m:t>,t</m:t>
                                    </m:r>
                                  </m:e>
                                </m:d>
                              </m:e>
                              <m:sup>
                                <m:r>
                                  <w:rPr>
                                    <w:rFonts w:ascii="Cambria Math" w:hAnsi="Cambria Math"/>
                                    <w:color w:val="000000"/>
                                    <w:sz w:val="24"/>
                                  </w:rPr>
                                  <m:t>2</m:t>
                                </m:r>
                              </m:sup>
                            </m:sSup>
                          </m:den>
                        </m:f>
                      </m:e>
                    </m:nary>
                    <m:r>
                      <w:rPr>
                        <w:rFonts w:ascii="Cambria Math" w:hAnsi="Cambria Math"/>
                        <w:color w:val="000000"/>
                        <w:sz w:val="24"/>
                      </w:rPr>
                      <m:t xml:space="preserve">,  </m:t>
                    </m:r>
                  </m:e>
                </m:nary>
                <m:r>
                  <w:rPr>
                    <w:rFonts w:ascii="Cambria Math" w:hAnsi="Cambria Math"/>
                    <w:color w:val="000000"/>
                    <w:sz w:val="24"/>
                  </w:rPr>
                  <m:t xml:space="preserve"> </m:t>
                </m:r>
                <m:r>
                  <m:rPr>
                    <m:sty m:val="p"/>
                  </m:rPr>
                  <w:rPr>
                    <w:rFonts w:ascii="Cambria Math" w:hAnsi="Cambria Math"/>
                    <w:color w:val="000000"/>
                    <w:sz w:val="24"/>
                  </w:rPr>
                  <m:t xml:space="preserve"> </m:t>
                </m:r>
              </m:oMath>
            </m:oMathPara>
          </w:p>
        </w:tc>
        <w:tc>
          <w:tcPr>
            <w:tcW w:w="526"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(17)</w:t>
            </w:r>
          </w:p>
        </w:tc>
      </w:tr>
    </w:tbl>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where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1</m:t>
            </m:r>
          </m:sub>
        </m:sSub>
        <m:r>
          <w:rPr>
            <w:rFonts w:ascii="Cambria Math" w:hAnsi="Cambria Math"/>
            <w:sz w:val="24"/>
          </w:rPr>
          <m:t>=[</m:t>
        </m:r>
        <m:r>
          <m:rPr>
            <m:sty m:val="p"/>
          </m:rPr>
          <w:rPr>
            <w:rFonts w:ascii="Cambria Math" w:hAnsi="Cambria Math"/>
            <w:sz w:val="24"/>
          </w:rPr>
          <m:t>1, 2, 3, 4, 5, 6 ,8 ,</m:t>
        </m:r>
        <m:r>
          <w:rPr>
            <w:rFonts w:ascii="Cambria Math" w:hAnsi="Cambria Math"/>
            <w:sz w:val="24"/>
          </w:rPr>
          <m:t>12]</m:t>
        </m:r>
      </m:oMath>
      <w:r w:rsidRPr="00A57EFF">
        <w:rPr>
          <w:rFonts w:ascii="Times New Roman" w:hAnsi="Times New Roman"/>
          <w:sz w:val="24"/>
        </w:rPr>
        <w:t xml:space="preserve"> hours and </w:t>
      </w:r>
      <m:oMath>
        <m:r>
          <w:rPr>
            <w:rFonts w:ascii="Cambria Math" w:hAnsi="Cambria Math"/>
            <w:sz w:val="24"/>
          </w:rPr>
          <m:t>c=</m:t>
        </m:r>
        <m:d>
          <m:dPr>
            <m:begChr m:val="["/>
            <m:endChr m:val="]"/>
            <m:ctrlPr>
              <w:rPr>
                <w:rFonts w:ascii="Cambria Math" w:hAnsi="Cambria Math"/>
                <w:i/>
                <w:sz w:val="24"/>
              </w:rPr>
            </m:ctrlPr>
          </m:dPr>
          <m:e>
            <m:r>
              <w:rPr>
                <w:rFonts w:ascii="Cambria Math" w:hAnsi="Cambria Math"/>
                <w:sz w:val="24"/>
              </w:rPr>
              <m:t>100,1000,10000</m:t>
            </m:r>
          </m:e>
        </m:d>
      </m:oMath>
      <w:r w:rsidRPr="00A57EFF">
        <w:rPr>
          <w:rFonts w:ascii="Times New Roman" w:hAnsi="Times New Roman"/>
          <w:sz w:val="24"/>
        </w:rPr>
        <w:t xml:space="preserve"> µM.</w:t>
      </w:r>
    </w:p>
    <w:p w:rsidR="00AA6F1F" w:rsidRPr="00A57EFF" w:rsidRDefault="00AA6F1F" w:rsidP="00A57EFF">
      <w:pPr>
        <w:spacing w:after="200" w:line="480" w:lineRule="auto"/>
        <w:rPr>
          <w:rFonts w:ascii="Times New Roman" w:hAnsi="Times New Roman"/>
          <w:sz w:val="24"/>
        </w:rPr>
      </w:pPr>
      <w:r w:rsidRPr="00A57EFF">
        <w:rPr>
          <w:rFonts w:ascii="Times New Roman" w:hAnsi="Times New Roman"/>
          <w:sz w:val="24"/>
        </w:rPr>
        <w:t>The data fitting approach for calculating the other unknown parameters was similar to the above, as such, they are summarized in Table 3. For example, the above data fitting procedure is summarised in the first row of Table 3.</w:t>
      </w:r>
      <w:r w:rsidRPr="00AA6F1F">
        <w:rPr>
          <w:rFonts w:ascii="Times New Roman" w:eastAsia="Calibri" w:hAnsi="Times New Roman" w:cs="Times New Roman"/>
          <w:sz w:val="24"/>
        </w:rPr>
        <w:t xml:space="preserve"> As a measure of relative error of the fits, the percentage difference in cumulative exuded/absorbed citrate/P between the experiment and the model for each initial condition was reported. For example, after fitting </w:t>
      </w:r>
      <m:oMath>
        <m:sSub>
          <m:sSubPr>
            <m:ctrlPr>
              <w:rPr>
                <w:rFonts w:ascii="Cambria Math" w:eastAsia="Calibri" w:hAnsi="Cambria Math" w:cs="Times New Roman"/>
                <w:i/>
                <w:sz w:val="24"/>
              </w:rPr>
            </m:ctrlPr>
          </m:sSubPr>
          <m:e>
            <m:r>
              <w:rPr>
                <w:rFonts w:ascii="Cambria Math" w:eastAsia="Calibri" w:hAnsi="Cambria Math" w:cs="Times New Roman"/>
                <w:sz w:val="24"/>
              </w:rPr>
              <m:t>δ</m:t>
            </m:r>
          </m:e>
          <m:sub>
            <m:r>
              <w:rPr>
                <w:rFonts w:ascii="Cambria Math" w:eastAsia="Calibri" w:hAnsi="Cambria Math" w:cs="Times New Roman"/>
                <w:sz w:val="24"/>
              </w:rPr>
              <m:t>C</m:t>
            </m:r>
          </m:sub>
        </m:sSub>
        <m:r>
          <w:rPr>
            <w:rFonts w:ascii="Cambria Math" w:eastAsia="Calibri" w:hAnsi="Cambria Math" w:cs="Times New Roman"/>
            <w:sz w:val="24"/>
          </w:rPr>
          <m:t xml:space="preserve">, </m:t>
        </m:r>
        <m:sSub>
          <m:sSubPr>
            <m:ctrlPr>
              <w:rPr>
                <w:rFonts w:ascii="Cambria Math" w:eastAsia="Calibri" w:hAnsi="Cambria Math" w:cs="Times New Roman"/>
                <w:i/>
                <w:sz w:val="24"/>
              </w:rPr>
            </m:ctrlPr>
          </m:sSubPr>
          <m:e>
            <m:r>
              <w:rPr>
                <w:rFonts w:ascii="Cambria Math" w:eastAsia="Calibri" w:hAnsi="Cambria Math" w:cs="Times New Roman"/>
                <w:sz w:val="24"/>
              </w:rPr>
              <m:t>γ</m:t>
            </m:r>
          </m:e>
          <m:sub>
            <m:r>
              <w:rPr>
                <w:rFonts w:ascii="Cambria Math" w:eastAsia="Calibri" w:hAnsi="Cambria Math" w:cs="Times New Roman"/>
                <w:sz w:val="24"/>
              </w:rPr>
              <m:t>2</m:t>
            </m:r>
          </m:sub>
        </m:sSub>
      </m:oMath>
      <w:r w:rsidRPr="00AA6F1F">
        <w:rPr>
          <w:rFonts w:ascii="Times New Roman" w:eastAsia="Times New Roman" w:hAnsi="Times New Roman" w:cs="Times New Roman"/>
          <w:sz w:val="24"/>
        </w:rPr>
        <w:t xml:space="preserve"> and </w:t>
      </w:r>
      <m:oMath>
        <m:r>
          <w:rPr>
            <w:rFonts w:ascii="Cambria Math" w:eastAsia="Times New Roman" w:hAnsi="Cambria Math" w:cs="Times New Roman"/>
            <w:sz w:val="24"/>
          </w:rPr>
          <m:t>λ</m:t>
        </m:r>
      </m:oMath>
      <w:r w:rsidRPr="00AA6F1F">
        <w:rPr>
          <w:rFonts w:ascii="Times New Roman" w:eastAsia="Times New Roman" w:hAnsi="Times New Roman" w:cs="Times New Roman"/>
          <w:sz w:val="24"/>
        </w:rPr>
        <w:t xml:space="preserve"> the percentage error for 100 </w:t>
      </w:r>
      <w:r w:rsidRPr="00AA6F1F">
        <w:rPr>
          <w:rFonts w:ascii="Times New Roman" w:eastAsia="Times New Roman" w:hAnsi="Times New Roman" w:cs="Times New Roman"/>
          <w:sz w:val="24"/>
          <w:szCs w:val="24"/>
        </w:rPr>
        <w:t>µM of citrate in the perfusate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0</m:t>
            </m:r>
          </m:sub>
        </m:sSub>
        <m:r>
          <w:rPr>
            <w:rFonts w:ascii="Cambria Math" w:eastAsia="Times New Roman" w:hAnsi="Cambria Math" w:cs="Times New Roman"/>
            <w:sz w:val="24"/>
            <w:szCs w:val="24"/>
          </w:rPr>
          <m:t>=100)</m:t>
        </m:r>
      </m:oMath>
      <w:r w:rsidRPr="00AA6F1F">
        <w:rPr>
          <w:rFonts w:ascii="Times New Roman" w:eastAsia="Times New Roman" w:hAnsi="Times New Roman" w:cs="Times New Roman"/>
          <w:sz w:val="24"/>
          <w:szCs w:val="24"/>
        </w:rPr>
        <w:t xml:space="preserve"> case is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
        <w:gridCol w:w="7445"/>
        <w:gridCol w:w="432"/>
      </w:tblGrid>
      <w:tr w:rsidR="00AA6F1F" w:rsidRPr="00AA6F1F" w:rsidTr="00AB3042">
        <w:tc>
          <w:tcPr>
            <w:tcW w:w="522" w:type="dxa"/>
          </w:tcPr>
          <w:p w:rsidR="00AA6F1F" w:rsidRPr="00AA6F1F" w:rsidRDefault="00AA6F1F" w:rsidP="00AA6F1F">
            <w:pPr>
              <w:spacing w:after="120" w:line="480" w:lineRule="auto"/>
              <w:contextualSpacing/>
              <w:jc w:val="both"/>
              <w:rPr>
                <w:rFonts w:ascii="Times New Roman" w:eastAsia="Times New Roman" w:hAnsi="Times New Roman" w:cs="Times New Roman"/>
                <w:color w:val="000000"/>
                <w:sz w:val="24"/>
                <w:szCs w:val="24"/>
              </w:rPr>
            </w:pPr>
          </w:p>
        </w:tc>
        <w:tc>
          <w:tcPr>
            <w:tcW w:w="8080" w:type="dxa"/>
            <w:vAlign w:val="center"/>
          </w:tcPr>
          <w:p w:rsidR="00AA6F1F" w:rsidRPr="00AA6F1F" w:rsidRDefault="00443791" w:rsidP="00AA6F1F">
            <w:pPr>
              <w:rPr>
                <w:rFonts w:ascii="Times New Roman" w:eastAsia="Calibri" w:hAnsi="Times New Roman" w:cs="Times New Roman"/>
                <w:sz w:val="24"/>
              </w:rPr>
            </w:pPr>
            <m:oMathPara>
              <m:oMath>
                <m:f>
                  <m:fPr>
                    <m:ctrlPr>
                      <w:rPr>
                        <w:rFonts w:ascii="Cambria Math" w:eastAsia="Times New Roman" w:hAnsi="Cambria Math" w:cs="Times New Roman"/>
                        <w:i/>
                        <w:sz w:val="24"/>
                      </w:rPr>
                    </m:ctrlPr>
                  </m:fPr>
                  <m:num>
                    <m:sSub>
                      <m:sSubPr>
                        <m:ctrlPr>
                          <w:rPr>
                            <w:rFonts w:ascii="Cambria Math" w:eastAsia="Calibri" w:hAnsi="Cambria Math" w:cs="Times New Roman"/>
                            <w:i/>
                            <w:sz w:val="24"/>
                          </w:rPr>
                        </m:ctrlPr>
                      </m:sSubPr>
                      <m:e>
                        <m:r>
                          <w:rPr>
                            <w:rFonts w:ascii="Cambria Math" w:eastAsia="Calibri" w:hAnsi="Cambria Math" w:cs="Times New Roman"/>
                            <w:sz w:val="24"/>
                          </w:rPr>
                          <m:t>J</m:t>
                        </m:r>
                      </m:e>
                      <m:sub>
                        <m:sSub>
                          <m:sSubPr>
                            <m:ctrlPr>
                              <w:rPr>
                                <w:rFonts w:ascii="Cambria Math" w:eastAsia="Calibri" w:hAnsi="Cambria Math" w:cs="Times New Roman"/>
                                <w:i/>
                                <w:sz w:val="24"/>
                              </w:rPr>
                            </m:ctrlPr>
                          </m:sSubPr>
                          <m:e>
                            <m:r>
                              <w:rPr>
                                <w:rFonts w:ascii="Cambria Math" w:eastAsia="Calibri" w:hAnsi="Cambria Math" w:cs="Times New Roman"/>
                                <w:sz w:val="24"/>
                              </w:rPr>
                              <m:t>M</m:t>
                            </m:r>
                          </m:e>
                          <m:sub>
                            <m:r>
                              <w:rPr>
                                <w:rFonts w:ascii="Cambria Math" w:eastAsia="Calibri" w:hAnsi="Cambria Math" w:cs="Times New Roman"/>
                                <w:sz w:val="24"/>
                              </w:rPr>
                              <m:t>1</m:t>
                            </m:r>
                          </m:sub>
                        </m:sSub>
                      </m:sub>
                    </m:sSub>
                    <m:d>
                      <m:dPr>
                        <m:ctrlPr>
                          <w:rPr>
                            <w:rFonts w:ascii="Cambria Math" w:eastAsia="Calibri" w:hAnsi="Cambria Math" w:cs="Times New Roman"/>
                            <w:i/>
                            <w:sz w:val="24"/>
                          </w:rPr>
                        </m:ctrlPr>
                      </m:dPr>
                      <m:e>
                        <m:sSub>
                          <m:sSubPr>
                            <m:ctrlPr>
                              <w:rPr>
                                <w:rFonts w:ascii="Cambria Math" w:eastAsia="Calibri" w:hAnsi="Cambria Math" w:cs="Times New Roman"/>
                                <w:i/>
                                <w:sz w:val="24"/>
                              </w:rPr>
                            </m:ctrlPr>
                          </m:sSubPr>
                          <m:e>
                            <m:r>
                              <w:rPr>
                                <w:rFonts w:ascii="Cambria Math" w:eastAsia="Calibri" w:hAnsi="Cambria Math" w:cs="Times New Roman"/>
                                <w:sz w:val="24"/>
                              </w:rPr>
                              <m:t>C</m:t>
                            </m:r>
                          </m:e>
                          <m:sub>
                            <m:r>
                              <w:rPr>
                                <w:rFonts w:ascii="Cambria Math" w:eastAsia="Calibri" w:hAnsi="Cambria Math" w:cs="Times New Roman"/>
                                <w:sz w:val="24"/>
                              </w:rPr>
                              <m:t>0</m:t>
                            </m:r>
                          </m:sub>
                        </m:sSub>
                        <m:r>
                          <w:rPr>
                            <w:rFonts w:ascii="Cambria Math" w:eastAsia="Calibri" w:hAnsi="Cambria Math" w:cs="Times New Roman"/>
                            <w:sz w:val="24"/>
                          </w:rPr>
                          <m:t>=100,t=12</m:t>
                        </m:r>
                        <m:r>
                          <w:rPr>
                            <w:rFonts w:ascii="Cambria Math" w:eastAsia="Calibri" w:hAnsi="Cambria Math" w:cs="Times New Roman"/>
                            <w:sz w:val="24"/>
                          </w:rPr>
                          <m:t>hours;</m:t>
                        </m:r>
                        <m:sSub>
                          <m:sSubPr>
                            <m:ctrlPr>
                              <w:rPr>
                                <w:rFonts w:ascii="Cambria Math" w:eastAsia="Calibri" w:hAnsi="Cambria Math" w:cs="Times New Roman"/>
                                <w:i/>
                                <w:sz w:val="24"/>
                              </w:rPr>
                            </m:ctrlPr>
                          </m:sSubPr>
                          <m:e>
                            <m:r>
                              <w:rPr>
                                <w:rFonts w:ascii="Cambria Math" w:eastAsia="Calibri" w:hAnsi="Cambria Math" w:cs="Times New Roman"/>
                                <w:sz w:val="24"/>
                              </w:rPr>
                              <m:t>δ</m:t>
                            </m:r>
                          </m:e>
                          <m:sub>
                            <m:r>
                              <w:rPr>
                                <w:rFonts w:ascii="Cambria Math" w:eastAsia="Calibri" w:hAnsi="Cambria Math" w:cs="Times New Roman"/>
                                <w:sz w:val="24"/>
                              </w:rPr>
                              <m:t>C,</m:t>
                            </m:r>
                          </m:sub>
                        </m:sSub>
                        <m:sSub>
                          <m:sSubPr>
                            <m:ctrlPr>
                              <w:rPr>
                                <w:rFonts w:ascii="Cambria Math" w:eastAsia="Calibri" w:hAnsi="Cambria Math" w:cs="Times New Roman"/>
                                <w:i/>
                                <w:sz w:val="24"/>
                              </w:rPr>
                            </m:ctrlPr>
                          </m:sSubPr>
                          <m:e>
                            <m:r>
                              <w:rPr>
                                <w:rFonts w:ascii="Cambria Math" w:eastAsia="Calibri" w:hAnsi="Cambria Math" w:cs="Times New Roman"/>
                                <w:sz w:val="24"/>
                              </w:rPr>
                              <m:t>γ</m:t>
                            </m:r>
                          </m:e>
                          <m:sub>
                            <m:r>
                              <w:rPr>
                                <w:rFonts w:ascii="Cambria Math" w:eastAsia="Calibri" w:hAnsi="Cambria Math" w:cs="Times New Roman"/>
                                <w:sz w:val="24"/>
                              </w:rPr>
                              <m:t>2</m:t>
                            </m:r>
                          </m:sub>
                        </m:sSub>
                        <m:r>
                          <w:rPr>
                            <w:rFonts w:ascii="Cambria Math" w:eastAsia="Calibri" w:hAnsi="Cambria Math" w:cs="Times New Roman"/>
                            <w:sz w:val="24"/>
                          </w:rPr>
                          <m:t>,λ</m:t>
                        </m:r>
                      </m:e>
                    </m:d>
                    <m:r>
                      <w:rPr>
                        <w:rFonts w:ascii="Cambria Math" w:eastAsia="Calibri" w:hAnsi="Cambria Math" w:cs="Times New Roman"/>
                        <w:sz w:val="24"/>
                      </w:rPr>
                      <m:t>-</m:t>
                    </m:r>
                    <m:sSub>
                      <m:sSubPr>
                        <m:ctrlPr>
                          <w:rPr>
                            <w:rFonts w:ascii="Cambria Math" w:eastAsia="Calibri" w:hAnsi="Cambria Math" w:cs="Times New Roman"/>
                            <w:i/>
                            <w:sz w:val="24"/>
                          </w:rPr>
                        </m:ctrlPr>
                      </m:sSubPr>
                      <m:e>
                        <m:r>
                          <w:rPr>
                            <w:rFonts w:ascii="Cambria Math" w:eastAsia="Calibri" w:hAnsi="Cambria Math" w:cs="Times New Roman"/>
                            <w:sz w:val="24"/>
                          </w:rPr>
                          <m:t>J</m:t>
                        </m:r>
                      </m:e>
                      <m:sub>
                        <m:sSub>
                          <m:sSubPr>
                            <m:ctrlPr>
                              <w:rPr>
                                <w:rFonts w:ascii="Cambria Math" w:eastAsia="Calibri" w:hAnsi="Cambria Math" w:cs="Times New Roman"/>
                                <w:i/>
                                <w:sz w:val="24"/>
                              </w:rPr>
                            </m:ctrlPr>
                          </m:sSubPr>
                          <m:e>
                            <m:r>
                              <w:rPr>
                                <w:rFonts w:ascii="Cambria Math" w:eastAsia="Calibri" w:hAnsi="Cambria Math" w:cs="Times New Roman"/>
                                <w:sz w:val="24"/>
                              </w:rPr>
                              <m:t>E</m:t>
                            </m:r>
                          </m:e>
                          <m:sub>
                            <m:r>
                              <w:rPr>
                                <w:rFonts w:ascii="Cambria Math" w:eastAsia="Calibri" w:hAnsi="Cambria Math" w:cs="Times New Roman"/>
                                <w:sz w:val="24"/>
                              </w:rPr>
                              <m:t>1</m:t>
                            </m:r>
                          </m:sub>
                        </m:sSub>
                      </m:sub>
                    </m:sSub>
                    <m:r>
                      <w:rPr>
                        <w:rFonts w:ascii="Cambria Math" w:eastAsia="Calibri" w:hAnsi="Cambria Math" w:cs="Times New Roman"/>
                        <w:sz w:val="24"/>
                      </w:rPr>
                      <m:t>(100,12</m:t>
                    </m:r>
                    <m:r>
                      <w:rPr>
                        <w:rFonts w:ascii="Cambria Math" w:eastAsia="Calibri" w:hAnsi="Cambria Math" w:cs="Times New Roman"/>
                        <w:sz w:val="24"/>
                      </w:rPr>
                      <m:t>hours)</m:t>
                    </m:r>
                  </m:num>
                  <m:den>
                    <m:sSub>
                      <m:sSubPr>
                        <m:ctrlPr>
                          <w:rPr>
                            <w:rFonts w:ascii="Cambria Math" w:eastAsia="Calibri" w:hAnsi="Cambria Math" w:cs="Times New Roman"/>
                            <w:i/>
                            <w:sz w:val="24"/>
                          </w:rPr>
                        </m:ctrlPr>
                      </m:sSubPr>
                      <m:e>
                        <m:r>
                          <w:rPr>
                            <w:rFonts w:ascii="Cambria Math" w:eastAsia="Calibri" w:hAnsi="Cambria Math" w:cs="Times New Roman"/>
                            <w:sz w:val="24"/>
                          </w:rPr>
                          <m:t>J</m:t>
                        </m:r>
                      </m:e>
                      <m:sub>
                        <m:sSub>
                          <m:sSubPr>
                            <m:ctrlPr>
                              <w:rPr>
                                <w:rFonts w:ascii="Cambria Math" w:eastAsia="Calibri" w:hAnsi="Cambria Math" w:cs="Times New Roman"/>
                                <w:i/>
                                <w:sz w:val="24"/>
                              </w:rPr>
                            </m:ctrlPr>
                          </m:sSubPr>
                          <m:e>
                            <m:r>
                              <w:rPr>
                                <w:rFonts w:ascii="Cambria Math" w:eastAsia="Calibri" w:hAnsi="Cambria Math" w:cs="Times New Roman"/>
                                <w:sz w:val="24"/>
                              </w:rPr>
                              <m:t>E</m:t>
                            </m:r>
                          </m:e>
                          <m:sub>
                            <m:r>
                              <w:rPr>
                                <w:rFonts w:ascii="Cambria Math" w:eastAsia="Calibri" w:hAnsi="Cambria Math" w:cs="Times New Roman"/>
                                <w:sz w:val="24"/>
                              </w:rPr>
                              <m:t>1</m:t>
                            </m:r>
                          </m:sub>
                        </m:sSub>
                      </m:sub>
                    </m:sSub>
                    <m:r>
                      <w:rPr>
                        <w:rFonts w:ascii="Cambria Math" w:eastAsia="Calibri" w:hAnsi="Cambria Math" w:cs="Times New Roman"/>
                        <w:sz w:val="24"/>
                      </w:rPr>
                      <m:t xml:space="preserve">(100,12 </m:t>
                    </m:r>
                    <m:r>
                      <w:rPr>
                        <w:rFonts w:ascii="Cambria Math" w:eastAsia="Calibri" w:hAnsi="Cambria Math" w:cs="Times New Roman"/>
                        <w:sz w:val="24"/>
                      </w:rPr>
                      <m:t>hours)</m:t>
                    </m:r>
                  </m:den>
                </m:f>
                <m:r>
                  <w:rPr>
                    <w:rFonts w:ascii="Cambria Math" w:eastAsia="Calibri" w:hAnsi="Cambria Math" w:cs="Times New Roman"/>
                    <w:sz w:val="24"/>
                  </w:rPr>
                  <m:t>×100</m:t>
                </m:r>
                <m:r>
                  <w:rPr>
                    <w:rFonts w:ascii="Cambria Math" w:eastAsia="Times New Roman" w:hAnsi="Cambria Math" w:cs="Times New Roman"/>
                    <w:sz w:val="24"/>
                  </w:rPr>
                  <m:t>.</m:t>
                </m:r>
              </m:oMath>
            </m:oMathPara>
          </w:p>
        </w:tc>
        <w:tc>
          <w:tcPr>
            <w:tcW w:w="526" w:type="dxa"/>
          </w:tcPr>
          <w:p w:rsidR="00AA6F1F" w:rsidRPr="00AA6F1F" w:rsidRDefault="00AA6F1F" w:rsidP="00AA6F1F">
            <w:pPr>
              <w:spacing w:after="120" w:line="480" w:lineRule="auto"/>
              <w:contextualSpacing/>
              <w:jc w:val="both"/>
              <w:rPr>
                <w:rFonts w:ascii="Times New Roman" w:eastAsia="Times New Roman" w:hAnsi="Times New Roman" w:cs="Times New Roman"/>
                <w:color w:val="000000"/>
                <w:sz w:val="24"/>
                <w:szCs w:val="24"/>
              </w:rPr>
            </w:pPr>
          </w:p>
        </w:tc>
      </w:tr>
    </w:tbl>
    <w:p w:rsidR="00AA6F1F" w:rsidRPr="00AA6F1F" w:rsidRDefault="00AA6F1F" w:rsidP="00AA6F1F">
      <w:pPr>
        <w:spacing w:after="200" w:line="480" w:lineRule="auto"/>
        <w:rPr>
          <w:rFonts w:ascii="Times New Roman" w:eastAsia="Calibri" w:hAnsi="Times New Roman" w:cs="Times New Roman"/>
          <w:sz w:val="24"/>
        </w:rPr>
      </w:pPr>
      <w:r w:rsidRPr="00AA6F1F">
        <w:rPr>
          <w:rFonts w:ascii="Times New Roman" w:eastAsia="Calibri" w:hAnsi="Times New Roman" w:cs="Times New Roman"/>
          <w:sz w:val="24"/>
        </w:rPr>
        <w:t>When the percentage error is positive, the model over predicts exudation/absorption.</w:t>
      </w:r>
    </w:p>
    <w:p w:rsidR="00AA6F1F" w:rsidRPr="00A57EFF" w:rsidRDefault="00AA6F1F" w:rsidP="00A57EFF">
      <w:pPr>
        <w:spacing w:after="200" w:line="480" w:lineRule="auto"/>
        <w:jc w:val="center"/>
        <w:rPr>
          <w:rFonts w:ascii="Times New Roman" w:hAnsi="Times New Roman"/>
          <w:sz w:val="20"/>
        </w:rPr>
      </w:pPr>
      <w:r w:rsidRPr="00A57EFF">
        <w:rPr>
          <w:rFonts w:ascii="Times New Roman" w:hAnsi="Times New Roman"/>
          <w:b/>
          <w:sz w:val="20"/>
        </w:rPr>
        <w:t>Table 3</w:t>
      </w:r>
      <w:r w:rsidRPr="00A57EFF">
        <w:rPr>
          <w:rFonts w:ascii="Times New Roman" w:hAnsi="Times New Roman"/>
          <w:sz w:val="20"/>
        </w:rPr>
        <w:t xml:space="preserve"> Data fitting details for unknown model parameters. The corresponding experimental flux to model flux </w:t>
      </w: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J</m:t>
            </m:r>
          </m:e>
          <m:sub>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M</m:t>
                </m:r>
              </m:e>
              <m:sub>
                <m:r>
                  <w:rPr>
                    <w:rFonts w:ascii="Cambria Math" w:eastAsia="Calibri" w:hAnsi="Cambria Math" w:cs="Times New Roman"/>
                    <w:sz w:val="20"/>
                    <w:szCs w:val="20"/>
                  </w:rPr>
                  <m:t>i</m:t>
                </m:r>
              </m:sub>
            </m:sSub>
          </m:sub>
        </m:sSub>
      </m:oMath>
      <w:r w:rsidRPr="00A57EFF">
        <w:rPr>
          <w:rFonts w:ascii="Times New Roman" w:hAnsi="Times New Roman"/>
          <w:sz w:val="20"/>
        </w:rPr>
        <w:t xml:space="preserve"> is denoted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J</m:t>
            </m:r>
          </m:e>
          <m:sub>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E</m:t>
                </m:r>
              </m:e>
              <m:sub>
                <m:r>
                  <w:rPr>
                    <w:rFonts w:ascii="Cambria Math" w:eastAsia="Times New Roman" w:hAnsi="Cambria Math" w:cs="Times New Roman"/>
                    <w:sz w:val="20"/>
                    <w:szCs w:val="20"/>
                  </w:rPr>
                  <m:t>i</m:t>
                </m:r>
              </m:sub>
            </m:sSub>
          </m:sub>
        </m:sSub>
      </m:oMath>
      <w:r w:rsidRPr="00A57EFF">
        <w:rPr>
          <w:rFonts w:ascii="Times New Roman" w:hAnsi="Times New Roman"/>
          <w:sz w:val="20"/>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ϕ</m:t>
            </m:r>
          </m:e>
          <m:sub>
            <m:r>
              <w:rPr>
                <w:rFonts w:ascii="Cambria Math" w:eastAsia="Times New Roman" w:hAnsi="Cambria Math" w:cs="Times New Roman"/>
                <w:sz w:val="20"/>
                <w:szCs w:val="20"/>
              </w:rPr>
              <m:t>l</m:t>
            </m:r>
          </m:sub>
        </m:sSub>
        <m:r>
          <w:rPr>
            <w:rFonts w:ascii="Cambria Math" w:eastAsia="Times New Roman" w:hAnsi="Cambria Math" w:cs="Times New Roman"/>
            <w:sz w:val="20"/>
            <w:szCs w:val="20"/>
          </w:rPr>
          <m:t>=0.3</m:t>
        </m:r>
      </m:oMath>
      <w:r w:rsidRPr="00A57EFF">
        <w:rPr>
          <w:rFonts w:ascii="Times New Roman" w:hAnsi="Times New Roman"/>
          <w:sz w:val="20"/>
        </w:rPr>
        <w:t xml:space="preserve"> and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ϕ</m:t>
            </m:r>
          </m:e>
          <m:sub>
            <m:r>
              <w:rPr>
                <w:rFonts w:ascii="Cambria Math" w:eastAsia="Times New Roman" w:hAnsi="Cambria Math" w:cs="Times New Roman"/>
                <w:sz w:val="20"/>
                <w:szCs w:val="20"/>
              </w:rPr>
              <m:t>s</m:t>
            </m:r>
          </m:sub>
        </m:sSub>
        <m:r>
          <w:rPr>
            <w:rFonts w:ascii="Cambria Math" w:eastAsia="Times New Roman" w:hAnsi="Cambria Math" w:cs="Times New Roman"/>
            <w:sz w:val="20"/>
            <w:szCs w:val="20"/>
          </w:rPr>
          <m:t>=0.6</m:t>
        </m:r>
      </m:oMath>
      <w:r w:rsidRPr="00A57EFF">
        <w:rPr>
          <w:rFonts w:ascii="Times New Roman" w:hAnsi="Times New Roman"/>
          <w:sz w:val="20"/>
        </w:rPr>
        <w:t xml:space="preserve"> unless stated otherwise,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1,2,3,4,5,6,8,12</m:t>
            </m:r>
          </m:e>
        </m:d>
      </m:oMath>
      <w:r w:rsidRPr="00A57EFF">
        <w:rPr>
          <w:rFonts w:ascii="Times New Roman" w:hAnsi="Times New Roman"/>
          <w:sz w:val="20"/>
        </w:rPr>
        <w:t xml:space="preserve"> hours, </w:t>
      </w: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T</m:t>
            </m:r>
          </m:e>
          <m:sub>
            <m:r>
              <w:rPr>
                <w:rFonts w:ascii="Cambria Math" w:eastAsia="Calibri" w:hAnsi="Cambria Math" w:cs="Times New Roman"/>
                <w:sz w:val="20"/>
                <w:szCs w:val="20"/>
              </w:rPr>
              <m:t>2</m:t>
            </m:r>
          </m:sub>
        </m:sSub>
        <m:r>
          <w:rPr>
            <w:rFonts w:ascii="Cambria Math" w:eastAsia="Calibri" w:hAnsi="Cambria Math" w:cs="Times New Roman"/>
            <w:sz w:val="20"/>
            <w:szCs w:val="20"/>
          </w:rPr>
          <m:t>=[</m:t>
        </m:r>
        <m:r>
          <m:rPr>
            <m:sty m:val="p"/>
          </m:rPr>
          <w:rPr>
            <w:rFonts w:ascii="Cambria Math" w:eastAsia="Calibri" w:hAnsi="Cambria Math" w:cs="Times New Roman"/>
            <w:sz w:val="20"/>
            <w:szCs w:val="20"/>
          </w:rPr>
          <m:t>1, 2, 3, 4, 5, 6 ,7,8,9,10,11 ,</m:t>
        </m:r>
        <m:r>
          <w:rPr>
            <w:rFonts w:ascii="Cambria Math" w:eastAsia="Calibri" w:hAnsi="Cambria Math" w:cs="Times New Roman"/>
            <w:sz w:val="20"/>
            <w:szCs w:val="20"/>
          </w:rPr>
          <m:t>12]</m:t>
        </m:r>
      </m:oMath>
      <w:r w:rsidRPr="00A57EFF">
        <w:rPr>
          <w:rFonts w:ascii="Times New Roman" w:hAnsi="Times New Roman"/>
          <w:sz w:val="20"/>
        </w:rPr>
        <w:t xml:space="preserve"> hours, </w:t>
      </w:r>
      <m:oMath>
        <m:r>
          <w:rPr>
            <w:rFonts w:ascii="Cambria Math" w:eastAsia="Times New Roman" w:hAnsi="Cambria Math" w:cs="Times New Roman"/>
            <w:sz w:val="20"/>
            <w:szCs w:val="20"/>
          </w:rPr>
          <m:t>c=</m:t>
        </m:r>
        <m:d>
          <m:dPr>
            <m:begChr m:val="["/>
            <m:endChr m:val="]"/>
            <m:ctrlPr>
              <w:rPr>
                <w:rFonts w:ascii="Cambria Math" w:eastAsia="Times New Roman" w:hAnsi="Cambria Math" w:cs="Times New Roman"/>
                <w:i/>
                <w:sz w:val="20"/>
                <w:szCs w:val="20"/>
              </w:rPr>
            </m:ctrlPr>
          </m:dPr>
          <m:e>
            <m:r>
              <w:rPr>
                <w:rFonts w:ascii="Cambria Math" w:eastAsia="Times New Roman" w:hAnsi="Cambria Math" w:cs="Times New Roman"/>
                <w:sz w:val="20"/>
                <w:szCs w:val="20"/>
              </w:rPr>
              <m:t>100,1000,10000</m:t>
            </m:r>
          </m:e>
        </m:d>
      </m:oMath>
      <w:r w:rsidRPr="00A57EFF">
        <w:rPr>
          <w:rFonts w:ascii="Times New Roman" w:hAnsi="Times New Roman"/>
          <w:sz w:val="20"/>
        </w:rPr>
        <w:t xml:space="preserve"> µM</w:t>
      </w:r>
      <w:r w:rsidRPr="00A57EFF">
        <w:rPr>
          <w:rFonts w:ascii="Times New Roman" w:hAnsi="Times New Roman"/>
          <w:i/>
          <w:sz w:val="20"/>
        </w:rPr>
        <w:t xml:space="preserve"> </w:t>
      </w:r>
      <w:r w:rsidRPr="00A57EFF">
        <w:rPr>
          <w:rFonts w:ascii="Times New Roman" w:hAnsi="Times New Roman"/>
          <w:sz w:val="20"/>
        </w:rPr>
        <w:t xml:space="preserve">citrate, </w:t>
      </w:r>
      <m:oMath>
        <m:r>
          <w:rPr>
            <w:rFonts w:ascii="Cambria Math" w:eastAsia="Times New Roman" w:hAnsi="Cambria Math" w:cs="Times New Roman"/>
            <w:sz w:val="20"/>
            <w:szCs w:val="20"/>
          </w:rPr>
          <m:t>p=[0,100,1000,10000]</m:t>
        </m:r>
      </m:oMath>
      <w:r w:rsidRPr="00A57EFF">
        <w:rPr>
          <w:rFonts w:ascii="Times New Roman" w:hAnsi="Times New Roman"/>
          <w:sz w:val="20"/>
        </w:rPr>
        <w:t xml:space="preserve"> µM</w:t>
      </w:r>
      <w:r w:rsidRPr="00A57EFF">
        <w:rPr>
          <w:rFonts w:ascii="Times New Roman" w:hAnsi="Times New Roman"/>
          <w:i/>
          <w:sz w:val="20"/>
        </w:rPr>
        <w:t xml:space="preserve"> </w:t>
      </w:r>
      <w:r w:rsidRPr="00A57EFF">
        <w:rPr>
          <w:rFonts w:ascii="Times New Roman" w:hAnsi="Times New Roman"/>
          <w:sz w:val="20"/>
        </w:rPr>
        <w:t xml:space="preserve">P,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P</m:t>
            </m:r>
          </m:e>
          <m:sub>
            <m:r>
              <w:rPr>
                <w:rFonts w:ascii="Cambria Math" w:eastAsia="Times New Roman" w:hAnsi="Cambria Math" w:cs="Times New Roman"/>
                <w:sz w:val="20"/>
                <w:szCs w:val="20"/>
              </w:rPr>
              <m:t>l</m:t>
            </m:r>
          </m:sub>
          <m:sup>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N</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0</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C</m:t>
                </m:r>
              </m:e>
              <m:sub>
                <m:r>
                  <w:rPr>
                    <w:rFonts w:ascii="Cambria Math" w:eastAsia="Times New Roman" w:hAnsi="Cambria Math" w:cs="Times New Roman"/>
                    <w:sz w:val="20"/>
                    <w:szCs w:val="20"/>
                  </w:rPr>
                  <m:t>0</m:t>
                </m:r>
              </m:sub>
            </m:sSub>
          </m:sup>
        </m:sSubSup>
      </m:oMath>
      <w:r w:rsidRPr="00A57EFF">
        <w:rPr>
          <w:rFonts w:ascii="Times New Roman" w:hAnsi="Times New Roman"/>
          <w:sz w:val="20"/>
        </w:rPr>
        <w:t xml:space="preserve"> is the solution to the model with parameters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N</m:t>
            </m:r>
          </m:sub>
        </m:sSub>
      </m:oMath>
      <w:r w:rsidRPr="00A57EFF">
        <w:rPr>
          <w:rFonts w:ascii="Times New Roman" w:hAnsi="Times New Roman"/>
          <w:sz w:val="20"/>
        </w:rPr>
        <w:t xml:space="preserve"> and initial conditions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0</m:t>
            </m:r>
          </m:sub>
        </m:sSub>
      </m:oMath>
      <w:r w:rsidRPr="00A57EFF">
        <w:rPr>
          <w:rFonts w:ascii="Times New Roman" w:hAnsi="Times New Roman"/>
          <w:sz w:val="20"/>
        </w:rPr>
        <w:t xml:space="preserve"> and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C</m:t>
            </m:r>
          </m:e>
          <m:sub>
            <m:r>
              <w:rPr>
                <w:rFonts w:ascii="Cambria Math" w:eastAsia="Times New Roman" w:hAnsi="Cambria Math" w:cs="Times New Roman"/>
                <w:sz w:val="20"/>
                <w:szCs w:val="20"/>
              </w:rPr>
              <m:t>0</m:t>
            </m:r>
          </m:sub>
        </m:sSub>
      </m:oMath>
      <w:r w:rsidRPr="00A57EFF">
        <w:rPr>
          <w:rFonts w:ascii="Times New Roman" w:hAnsi="Times New Roman"/>
          <w:sz w:val="20"/>
        </w:rPr>
        <w:t xml:space="preserve">, and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C</m:t>
            </m:r>
          </m:e>
          <m:sub>
            <m:r>
              <w:rPr>
                <w:rFonts w:ascii="Cambria Math" w:eastAsia="Times New Roman" w:hAnsi="Cambria Math" w:cs="Times New Roman"/>
                <w:sz w:val="20"/>
                <w:szCs w:val="20"/>
              </w:rPr>
              <m:t>l</m:t>
            </m:r>
          </m:sub>
          <m:sup>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N</m:t>
                </m:r>
              </m:sub>
            </m:sSub>
            <m:r>
              <w:rPr>
                <w:rFonts w:ascii="Cambria Math" w:eastAsia="Times New Roman" w:hAnsi="Cambria Math" w:cs="Times New Roman"/>
                <w:sz w:val="20"/>
                <w:szCs w:val="20"/>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C</m:t>
                </m:r>
              </m:e>
              <m:sub>
                <m:r>
                  <w:rPr>
                    <w:rFonts w:ascii="Cambria Math" w:eastAsia="Times New Roman" w:hAnsi="Cambria Math" w:cs="Times New Roman"/>
                    <w:sz w:val="20"/>
                    <w:szCs w:val="20"/>
                  </w:rPr>
                  <m:t>0</m:t>
                </m:r>
              </m:sub>
            </m:sSub>
          </m:sup>
        </m:sSubSup>
      </m:oMath>
      <w:r w:rsidRPr="00A57EFF">
        <w:rPr>
          <w:rFonts w:ascii="Times New Roman" w:hAnsi="Times New Roman"/>
          <w:sz w:val="20"/>
        </w:rPr>
        <w:t xml:space="preserve"> is the solution to the model with parameters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1</m:t>
            </m:r>
          </m:sub>
        </m:sSub>
        <m:r>
          <w:rPr>
            <w:rFonts w:ascii="Cambria Math" w:eastAsia="Times New Roman" w:hAnsi="Cambria Math" w:cs="Times New Roman"/>
            <w:sz w:val="20"/>
            <w:szCs w:val="20"/>
          </w:rPr>
          <m:t>,… ,</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p</m:t>
            </m:r>
          </m:e>
          <m:sub>
            <m:r>
              <w:rPr>
                <w:rFonts w:ascii="Cambria Math" w:eastAsia="Times New Roman" w:hAnsi="Cambria Math" w:cs="Times New Roman"/>
                <w:sz w:val="20"/>
                <w:szCs w:val="20"/>
              </w:rPr>
              <m:t>N</m:t>
            </m:r>
          </m:sub>
        </m:sSub>
      </m:oMath>
      <w:r w:rsidRPr="00A57EFF">
        <w:rPr>
          <w:rFonts w:ascii="Times New Roman" w:hAnsi="Times New Roman"/>
          <w:sz w:val="20"/>
        </w:rPr>
        <w:t xml:space="preserve"> and initial condition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C</m:t>
            </m:r>
          </m:e>
          <m:sub>
            <m:r>
              <w:rPr>
                <w:rFonts w:ascii="Cambria Math" w:eastAsia="Times New Roman" w:hAnsi="Cambria Math" w:cs="Times New Roman"/>
                <w:sz w:val="20"/>
                <w:szCs w:val="20"/>
              </w:rPr>
              <m:t>0</m:t>
            </m:r>
          </m:sub>
        </m:sSub>
      </m:oMath>
      <w:r w:rsidRPr="00A57EFF">
        <w:rPr>
          <w:rFonts w:ascii="Times New Roman" w:hAnsi="Times New Roman"/>
          <w:sz w:val="20"/>
        </w:rPr>
        <w:t>.</w:t>
      </w:r>
    </w:p>
    <w:tbl>
      <w:tblPr>
        <w:tblStyle w:val="TableGrid"/>
        <w:tblW w:w="9776" w:type="dxa"/>
        <w:tblLook w:val="04A0" w:firstRow="1" w:lastRow="0" w:firstColumn="1" w:lastColumn="0" w:noHBand="0" w:noVBand="1"/>
      </w:tblPr>
      <w:tblGrid>
        <w:gridCol w:w="1402"/>
        <w:gridCol w:w="1270"/>
        <w:gridCol w:w="2510"/>
        <w:gridCol w:w="4660"/>
      </w:tblGrid>
      <w:tr w:rsidR="00AA6F1F" w:rsidRPr="00AA6F1F" w:rsidTr="00AB3042">
        <w:tc>
          <w:tcPr>
            <w:tcW w:w="1348" w:type="dxa"/>
          </w:tcPr>
          <w:p w:rsidR="00AA6F1F" w:rsidRPr="00A57EFF" w:rsidRDefault="00AA6F1F" w:rsidP="00AA6F1F">
            <w:pPr>
              <w:spacing w:line="480" w:lineRule="auto"/>
              <w:rPr>
                <w:rFonts w:ascii="Times New Roman" w:hAnsi="Times New Roman"/>
                <w:b/>
                <w:sz w:val="24"/>
              </w:rPr>
            </w:pPr>
            <w:r w:rsidRPr="00A57EFF">
              <w:rPr>
                <w:rFonts w:ascii="Times New Roman" w:hAnsi="Times New Roman"/>
                <w:b/>
                <w:sz w:val="24"/>
              </w:rPr>
              <w:t>Parameters fit</w:t>
            </w:r>
          </w:p>
        </w:tc>
        <w:tc>
          <w:tcPr>
            <w:tcW w:w="2049" w:type="dxa"/>
          </w:tcPr>
          <w:p w:rsidR="00AA6F1F" w:rsidRPr="00A57EFF" w:rsidRDefault="00AA6F1F" w:rsidP="00AA6F1F">
            <w:pPr>
              <w:spacing w:line="480" w:lineRule="auto"/>
              <w:rPr>
                <w:rFonts w:ascii="Times New Roman" w:hAnsi="Times New Roman"/>
                <w:b/>
                <w:sz w:val="24"/>
              </w:rPr>
            </w:pPr>
            <w:r w:rsidRPr="00A57EFF">
              <w:rPr>
                <w:rFonts w:ascii="Times New Roman" w:hAnsi="Times New Roman"/>
                <w:b/>
                <w:sz w:val="24"/>
              </w:rPr>
              <w:t>Model conditions</w:t>
            </w:r>
          </w:p>
        </w:tc>
        <w:tc>
          <w:tcPr>
            <w:tcW w:w="1511" w:type="dxa"/>
          </w:tcPr>
          <w:p w:rsidR="00AA6F1F" w:rsidRPr="00A57EFF" w:rsidRDefault="00AA6F1F" w:rsidP="00AA6F1F">
            <w:pPr>
              <w:spacing w:line="480" w:lineRule="auto"/>
              <w:rPr>
                <w:rFonts w:ascii="Times New Roman" w:hAnsi="Times New Roman"/>
                <w:b/>
                <w:sz w:val="24"/>
              </w:rPr>
            </w:pPr>
            <w:r w:rsidRPr="00A57EFF">
              <w:rPr>
                <w:rFonts w:ascii="Times New Roman" w:hAnsi="Times New Roman"/>
                <w:b/>
                <w:sz w:val="24"/>
              </w:rPr>
              <w:t>Model flux</w:t>
            </w:r>
          </w:p>
        </w:tc>
        <w:tc>
          <w:tcPr>
            <w:tcW w:w="4868" w:type="dxa"/>
          </w:tcPr>
          <w:p w:rsidR="00AA6F1F" w:rsidRPr="00A57EFF" w:rsidRDefault="00AA6F1F" w:rsidP="00AA6F1F">
            <w:pPr>
              <w:spacing w:line="480" w:lineRule="auto"/>
              <w:rPr>
                <w:rFonts w:ascii="Times New Roman" w:hAnsi="Times New Roman"/>
                <w:b/>
                <w:sz w:val="24"/>
              </w:rPr>
            </w:pPr>
            <w:r w:rsidRPr="00A57EFF">
              <w:rPr>
                <w:rFonts w:ascii="Times New Roman" w:hAnsi="Times New Roman"/>
                <w:b/>
                <w:sz w:val="24"/>
              </w:rPr>
              <w:t>Objective function</w:t>
            </w:r>
          </w:p>
        </w:tc>
      </w:tr>
      <w:tr w:rsidR="00AA6F1F" w:rsidRPr="00AA6F1F" w:rsidTr="00AB3042">
        <w:tc>
          <w:tcPr>
            <w:tcW w:w="1348" w:type="dxa"/>
          </w:tcPr>
          <w:p w:rsidR="00AA6F1F" w:rsidRPr="00A57EFF" w:rsidRDefault="00443791" w:rsidP="00AA6F1F">
            <w:pPr>
              <w:spacing w:line="480" w:lineRule="auto"/>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δ</m:t>
                    </m:r>
                  </m:e>
                  <m:sub>
                    <m:r>
                      <w:rPr>
                        <w:rFonts w:ascii="Cambria Math" w:hAnsi="Cambria Math"/>
                        <w:sz w:val="24"/>
                      </w:rPr>
                      <m:t>C</m:t>
                    </m:r>
                  </m:sub>
                </m:sSub>
                <m:r>
                  <w:rPr>
                    <w:rFonts w:ascii="Cambria Math" w:hAnsi="Cambria Math"/>
                    <w:sz w:val="24"/>
                  </w:rPr>
                  <m:t>,</m:t>
                </m:r>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r>
                  <w:rPr>
                    <w:rFonts w:ascii="Cambria Math" w:hAnsi="Cambria Math"/>
                    <w:sz w:val="24"/>
                  </w:rPr>
                  <m:t>,λ</m:t>
                </m:r>
              </m:oMath>
            </m:oMathPara>
          </w:p>
        </w:tc>
        <w:tc>
          <w:tcPr>
            <w:tcW w:w="2049" w:type="dxa"/>
          </w:tcPr>
          <w:p w:rsidR="00AA6F1F" w:rsidRPr="00A57EFF" w:rsidRDefault="00443791" w:rsidP="00AA6F1F">
            <w:pPr>
              <w:spacing w:line="480" w:lineRule="auto"/>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P</m:t>
                    </m:r>
                  </m:e>
                  <m:sub>
                    <m:r>
                      <w:rPr>
                        <w:rFonts w:ascii="Cambria Math" w:hAnsi="Cambria Math"/>
                        <w:sz w:val="24"/>
                      </w:rPr>
                      <m:t>add</m:t>
                    </m:r>
                  </m:sub>
                </m:sSub>
                <m:r>
                  <w:rPr>
                    <w:rFonts w:ascii="Cambria Math" w:hAnsi="Cambria Math"/>
                    <w:sz w:val="24"/>
                  </w:rPr>
                  <m:t>=0</m:t>
                </m:r>
              </m:oMath>
            </m:oMathPara>
          </w:p>
        </w:tc>
        <w:tc>
          <w:tcPr>
            <w:tcW w:w="1511" w:type="dxa"/>
          </w:tcPr>
          <w:p w:rsidR="00AA6F1F" w:rsidRPr="00A57EFF" w:rsidRDefault="00443791" w:rsidP="00AA6F1F">
            <w:pPr>
              <w:spacing w:line="480" w:lineRule="auto"/>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M</m:t>
                        </m:r>
                      </m:e>
                      <m:sub>
                        <m:r>
                          <w:rPr>
                            <w:rFonts w:ascii="Cambria Math" w:hAnsi="Cambria Math"/>
                            <w:sz w:val="24"/>
                          </w:rPr>
                          <m:t>1</m:t>
                        </m:r>
                      </m:sub>
                    </m:sSub>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,t;</m:t>
                    </m:r>
                    <m:sSub>
                      <m:sSubPr>
                        <m:ctrlPr>
                          <w:rPr>
                            <w:rFonts w:ascii="Cambria Math" w:hAnsi="Cambria Math"/>
                            <w:i/>
                            <w:sz w:val="24"/>
                          </w:rPr>
                        </m:ctrlPr>
                      </m:sSubPr>
                      <m:e>
                        <m:r>
                          <w:rPr>
                            <w:rFonts w:ascii="Cambria Math" w:hAnsi="Cambria Math"/>
                            <w:sz w:val="24"/>
                          </w:rPr>
                          <m:t>δ</m:t>
                        </m:r>
                      </m:e>
                      <m:sub>
                        <m:r>
                          <w:rPr>
                            <w:rFonts w:ascii="Cambria Math" w:hAnsi="Cambria Math"/>
                            <w:sz w:val="24"/>
                          </w:rPr>
                          <m:t>C</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r>
                      <w:rPr>
                        <w:rFonts w:ascii="Cambria Math" w:hAnsi="Cambria Math"/>
                        <w:sz w:val="24"/>
                      </w:rPr>
                      <m:t>,λ</m:t>
                    </m:r>
                  </m:e>
                </m:d>
                <m:r>
                  <w:rPr>
                    <w:rFonts w:ascii="Cambria Math" w:hAnsi="Cambria Math"/>
                    <w:sz w:val="24"/>
                  </w:rPr>
                  <m:t>=</m:t>
                </m:r>
                <m:nary>
                  <m:naryPr>
                    <m:ctrlPr>
                      <w:rPr>
                        <w:rFonts w:ascii="Cambria Math" w:hAnsi="Cambria Math"/>
                        <w:i/>
                        <w:sz w:val="24"/>
                      </w:rPr>
                    </m:ctrlPr>
                  </m:naryPr>
                  <m:sub>
                    <m:r>
                      <w:rPr>
                        <w:rFonts w:ascii="Cambria Math" w:hAnsi="Cambria Math"/>
                        <w:sz w:val="24"/>
                      </w:rPr>
                      <m:t>0</m:t>
                    </m:r>
                  </m:sub>
                  <m:sup>
                    <m:r>
                      <w:rPr>
                        <w:rFonts w:ascii="Cambria Math" w:hAnsi="Cambria Math"/>
                        <w:sz w:val="24"/>
                      </w:rPr>
                      <m:t>t</m:t>
                    </m:r>
                  </m:sup>
                  <m:e>
                    <m:nary>
                      <m:naryPr>
                        <m:supHide m:val="1"/>
                        <m:ctrlPr>
                          <w:rPr>
                            <w:rFonts w:ascii="Cambria Math" w:hAnsi="Cambria Math"/>
                            <w:i/>
                            <w:sz w:val="24"/>
                          </w:rPr>
                        </m:ctrlPr>
                      </m:naryPr>
                      <m:sub>
                        <m:sSub>
                          <m:sSubPr>
                            <m:ctrlPr>
                              <w:rPr>
                                <w:rFonts w:ascii="Cambria Math" w:hAnsi="Cambria Math"/>
                                <w:i/>
                                <w:sz w:val="24"/>
                              </w:rPr>
                            </m:ctrlPr>
                          </m:sSubPr>
                          <m:e>
                            <m:r>
                              <m:rPr>
                                <m:sty m:val="p"/>
                              </m:rPr>
                              <w:rPr>
                                <w:rFonts w:ascii="Cambria Math" w:hAnsi="Cambria Math"/>
                                <w:sz w:val="24"/>
                              </w:rPr>
                              <m:t>Γ</m:t>
                            </m:r>
                          </m:e>
                          <m:sub>
                            <m:r>
                              <w:rPr>
                                <w:rFonts w:ascii="Cambria Math" w:hAnsi="Cambria Math"/>
                                <w:sz w:val="24"/>
                              </w:rPr>
                              <m:t>p</m:t>
                            </m:r>
                          </m:sub>
                        </m:sSub>
                      </m:sub>
                      <m:sup/>
                      <m:e>
                        <m:sSup>
                          <m:sSupPr>
                            <m:ctrlPr>
                              <w:rPr>
                                <w:rFonts w:ascii="Cambria Math" w:hAnsi="Cambria Math"/>
                                <w:i/>
                                <w:sz w:val="24"/>
                              </w:rPr>
                            </m:ctrlPr>
                          </m:sSupPr>
                          <m:e>
                            <m:r>
                              <w:rPr>
                                <w:rFonts w:ascii="Cambria Math" w:hAnsi="Cambria Math"/>
                                <w:sz w:val="24"/>
                              </w:rPr>
                              <m:t>D</m:t>
                            </m:r>
                          </m:e>
                          <m:sup>
                            <m:r>
                              <w:rPr>
                                <w:rFonts w:ascii="Cambria Math" w:hAnsi="Cambria Math"/>
                                <w:sz w:val="24"/>
                              </w:rPr>
                              <m:t>C</m:t>
                            </m:r>
                          </m:sup>
                        </m:sSup>
                      </m:e>
                    </m:nary>
                  </m:e>
                </m:nary>
                <m:r>
                  <m:rPr>
                    <m:sty m:val="b"/>
                  </m:rPr>
                  <w:rPr>
                    <w:rFonts w:ascii="Cambria Math" w:hAnsi="Cambria Math"/>
                    <w:sz w:val="24"/>
                  </w:rPr>
                  <m:t>∇</m:t>
                </m:r>
                <m:sSubSup>
                  <m:sSubSupPr>
                    <m:ctrlPr>
                      <w:rPr>
                        <w:rFonts w:ascii="Cambria Math" w:hAnsi="Cambria Math"/>
                        <w:i/>
                        <w:sz w:val="24"/>
                      </w:rPr>
                    </m:ctrlPr>
                  </m:sSubSupPr>
                  <m:e>
                    <m:r>
                      <w:rPr>
                        <w:rFonts w:ascii="Cambria Math" w:hAnsi="Cambria Math"/>
                        <w:sz w:val="24"/>
                      </w:rPr>
                      <m:t>C</m:t>
                    </m:r>
                  </m:e>
                  <m:sub>
                    <m:r>
                      <w:rPr>
                        <w:rFonts w:ascii="Cambria Math" w:hAnsi="Cambria Math"/>
                        <w:sz w:val="24"/>
                      </w:rPr>
                      <m:t>l</m:t>
                    </m:r>
                  </m:sub>
                  <m:sup>
                    <m:sSub>
                      <m:sSubPr>
                        <m:ctrlPr>
                          <w:rPr>
                            <w:rFonts w:ascii="Cambria Math" w:hAnsi="Cambria Math"/>
                            <w:i/>
                            <w:sz w:val="24"/>
                          </w:rPr>
                        </m:ctrlPr>
                      </m:sSubPr>
                      <m:e>
                        <m:r>
                          <w:rPr>
                            <w:rFonts w:ascii="Cambria Math" w:hAnsi="Cambria Math"/>
                            <w:sz w:val="24"/>
                          </w:rPr>
                          <m:t>δ</m:t>
                        </m:r>
                      </m:e>
                      <m:sub>
                        <m:r>
                          <w:rPr>
                            <w:rFonts w:ascii="Cambria Math" w:hAnsi="Cambria Math"/>
                            <w:sz w:val="24"/>
                          </w:rPr>
                          <m:t>C</m:t>
                        </m:r>
                      </m:sub>
                    </m:sSub>
                    <m:r>
                      <w:rPr>
                        <w:rFonts w:ascii="Cambria Math" w:hAnsi="Cambria Math"/>
                        <w:sz w:val="24"/>
                      </w:rPr>
                      <m:t>,</m:t>
                    </m:r>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r>
                      <w:rPr>
                        <w:rFonts w:ascii="Cambria Math" w:hAnsi="Cambria Math"/>
                        <w:sz w:val="24"/>
                      </w:rPr>
                      <m:t xml:space="preserve">,λ, </m:t>
                    </m:r>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sup>
                </m:sSubSup>
                <m:r>
                  <w:rPr>
                    <w:rFonts w:ascii="Cambria Math" w:hAnsi="Cambria Math"/>
                    <w:sz w:val="24"/>
                  </w:rPr>
                  <m:t>⋅</m:t>
                </m:r>
                <m:sSub>
                  <m:sSubPr>
                    <m:ctrlPr>
                      <w:rPr>
                        <w:rFonts w:ascii="Cambria Math" w:hAnsi="Cambria Math"/>
                        <w:b/>
                        <w:sz w:val="24"/>
                      </w:rPr>
                    </m:ctrlPr>
                  </m:sSubPr>
                  <m:e>
                    <m:r>
                      <m:rPr>
                        <m:sty m:val="b"/>
                      </m:rPr>
                      <w:rPr>
                        <w:rFonts w:ascii="Cambria Math" w:hAnsi="Cambria Math"/>
                        <w:sz w:val="24"/>
                      </w:rPr>
                      <m:t>n</m:t>
                    </m:r>
                    <m:ctrlPr>
                      <w:rPr>
                        <w:rFonts w:ascii="Cambria Math" w:hAnsi="Cambria Math"/>
                        <w:i/>
                        <w:sz w:val="24"/>
                      </w:rPr>
                    </m:ctrlPr>
                  </m:e>
                  <m:sub>
                    <m:r>
                      <m:rPr>
                        <m:sty m:val="b"/>
                      </m:rPr>
                      <w:rPr>
                        <w:rFonts w:ascii="Cambria Math" w:hAnsi="Cambria Math"/>
                        <w:sz w:val="24"/>
                      </w:rPr>
                      <m:t>p</m:t>
                    </m:r>
                  </m:sub>
                </m:sSub>
                <m:r>
                  <w:rPr>
                    <w:rFonts w:ascii="Cambria Math" w:hAnsi="Cambria Math"/>
                    <w:sz w:val="24"/>
                  </w:rPr>
                  <m:t>d</m:t>
                </m:r>
                <m:r>
                  <m:rPr>
                    <m:sty m:val="bi"/>
                  </m:rPr>
                  <w:rPr>
                    <w:rFonts w:ascii="Cambria Math" w:hAnsi="Cambria Math"/>
                    <w:sz w:val="24"/>
                  </w:rPr>
                  <m:t>x</m:t>
                </m:r>
                <m:r>
                  <w:rPr>
                    <w:rFonts w:ascii="Cambria Math" w:hAnsi="Cambria Math"/>
                    <w:sz w:val="24"/>
                  </w:rPr>
                  <m:t>dτ</m:t>
                </m:r>
              </m:oMath>
            </m:oMathPara>
          </w:p>
        </w:tc>
        <w:tc>
          <w:tcPr>
            <w:tcW w:w="4868" w:type="dxa"/>
          </w:tcPr>
          <w:p w:rsidR="00AA6F1F" w:rsidRPr="00A57EFF" w:rsidRDefault="00AA6F1F" w:rsidP="00AA6F1F">
            <w:pPr>
              <w:spacing w:line="480" w:lineRule="auto"/>
              <w:rPr>
                <w:rFonts w:ascii="Times New Roman" w:hAnsi="Times New Roman"/>
                <w:sz w:val="24"/>
              </w:rPr>
            </w:pPr>
            <m:oMathPara>
              <m:oMath>
                <m:r>
                  <w:rPr>
                    <w:rFonts w:ascii="Cambria Math" w:hAnsi="Cambria Math"/>
                    <w:sz w:val="24"/>
                  </w:rPr>
                  <m:t>ob</m:t>
                </m:r>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j</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δ</m:t>
                        </m:r>
                      </m:e>
                      <m:sub>
                        <m:r>
                          <w:rPr>
                            <w:rFonts w:ascii="Cambria Math" w:hAnsi="Cambria Math"/>
                            <w:sz w:val="24"/>
                          </w:rPr>
                          <m:t>C</m:t>
                        </m:r>
                      </m:sub>
                    </m:sSub>
                    <m:r>
                      <w:rPr>
                        <w:rFonts w:ascii="Cambria Math" w:hAnsi="Cambria Math"/>
                        <w:sz w:val="24"/>
                      </w:rPr>
                      <m:t>,</m:t>
                    </m:r>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r>
                      <w:rPr>
                        <w:rFonts w:ascii="Cambria Math" w:hAnsi="Cambria Math"/>
                        <w:sz w:val="24"/>
                      </w:rPr>
                      <m:t>,λ )</m:t>
                    </m:r>
                  </m:e>
                  <m:sub>
                    <m:r>
                      <w:rPr>
                        <w:rFonts w:ascii="Cambria Math" w:hAnsi="Cambria Math"/>
                        <w:sz w:val="24"/>
                      </w:rPr>
                      <m:t xml:space="preserve"> </m:t>
                    </m:r>
                  </m:sub>
                </m:sSub>
                <m:r>
                  <w:rPr>
                    <w:rFonts w:ascii="Cambria Math" w:hAnsi="Cambria Math"/>
                    <w:sz w:val="24"/>
                  </w:rPr>
                  <m:t>=</m:t>
                </m:r>
                <m:nary>
                  <m:naryPr>
                    <m:chr m:val="∑"/>
                    <m:supHide m:val="1"/>
                    <m:ctrlPr>
                      <w:rPr>
                        <w:rFonts w:ascii="Cambria Math" w:hAnsi="Cambria Math"/>
                        <w:i/>
                        <w:sz w:val="24"/>
                      </w:rPr>
                    </m:ctrlPr>
                  </m:naryPr>
                  <m:sub>
                    <m:r>
                      <w:rPr>
                        <w:rFonts w:ascii="Cambria Math" w:hAnsi="Cambria Math"/>
                        <w:sz w:val="24"/>
                      </w:rPr>
                      <m:t>t∈</m:t>
                    </m:r>
                    <m:sSub>
                      <m:sSubPr>
                        <m:ctrlPr>
                          <w:rPr>
                            <w:rFonts w:ascii="Cambria Math" w:hAnsi="Cambria Math"/>
                            <w:i/>
                            <w:sz w:val="24"/>
                          </w:rPr>
                        </m:ctrlPr>
                      </m:sSubPr>
                      <m:e>
                        <m:r>
                          <w:rPr>
                            <w:rFonts w:ascii="Cambria Math" w:hAnsi="Cambria Math"/>
                            <w:sz w:val="24"/>
                          </w:rPr>
                          <m:t>T</m:t>
                        </m:r>
                      </m:e>
                      <m:sub>
                        <m:r>
                          <w:rPr>
                            <w:rFonts w:ascii="Cambria Math" w:hAnsi="Cambria Math"/>
                            <w:sz w:val="24"/>
                          </w:rPr>
                          <m:t>1</m:t>
                        </m:r>
                      </m:sub>
                    </m:sSub>
                    <m:r>
                      <w:rPr>
                        <w:rFonts w:ascii="Cambria Math" w:hAnsi="Cambria Math"/>
                        <w:sz w:val="24"/>
                      </w:rPr>
                      <m:t xml:space="preserve"> </m:t>
                    </m:r>
                  </m:sub>
                  <m:sup/>
                  <m:e>
                    <m:nary>
                      <m:naryPr>
                        <m:chr m:val="∑"/>
                        <m:supHide m:val="1"/>
                        <m:ctrlPr>
                          <w:rPr>
                            <w:rFonts w:ascii="Cambria Math" w:hAnsi="Cambria Math"/>
                            <w:i/>
                            <w:sz w:val="24"/>
                          </w:rPr>
                        </m:ctrlPr>
                      </m:naryPr>
                      <m:sub>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∈c</m:t>
                        </m:r>
                      </m:sub>
                      <m:sup/>
                      <m:e>
                        <m:f>
                          <m:fPr>
                            <m:ctrlPr>
                              <w:rPr>
                                <w:rFonts w:ascii="Cambria Math" w:hAnsi="Cambria Math"/>
                                <w:i/>
                                <w:sz w:val="24"/>
                              </w:rPr>
                            </m:ctrlPr>
                          </m:fPr>
                          <m:num>
                            <m:sSup>
                              <m:sSupPr>
                                <m:ctrlPr>
                                  <w:rPr>
                                    <w:rFonts w:ascii="Cambria Math" w:hAnsi="Cambria Math"/>
                                    <w:i/>
                                    <w:sz w:val="24"/>
                                  </w:rPr>
                                </m:ctrlPr>
                              </m:sSupPr>
                              <m:e>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M</m:t>
                                            </m:r>
                                          </m:e>
                                          <m:sub>
                                            <m:r>
                                              <w:rPr>
                                                <w:rFonts w:ascii="Cambria Math" w:hAnsi="Cambria Math"/>
                                                <w:sz w:val="24"/>
                                              </w:rPr>
                                              <m:t>1</m:t>
                                            </m:r>
                                          </m:sub>
                                        </m:sSub>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,t;</m:t>
                                        </m:r>
                                        <m:sSub>
                                          <m:sSubPr>
                                            <m:ctrlPr>
                                              <w:rPr>
                                                <w:rFonts w:ascii="Cambria Math" w:hAnsi="Cambria Math"/>
                                                <w:i/>
                                                <w:sz w:val="24"/>
                                              </w:rPr>
                                            </m:ctrlPr>
                                          </m:sSubPr>
                                          <m:e>
                                            <m:r>
                                              <w:rPr>
                                                <w:rFonts w:ascii="Cambria Math" w:hAnsi="Cambria Math"/>
                                                <w:sz w:val="24"/>
                                              </w:rPr>
                                              <m:t>δ</m:t>
                                            </m:r>
                                          </m:e>
                                          <m:sub>
                                            <m:r>
                                              <w:rPr>
                                                <w:rFonts w:ascii="Cambria Math" w:hAnsi="Cambria Math"/>
                                                <w:sz w:val="24"/>
                                              </w:rPr>
                                              <m:t>C,</m:t>
                                            </m:r>
                                          </m:sub>
                                        </m:sSub>
                                        <m:sSub>
                                          <m:sSubPr>
                                            <m:ctrlPr>
                                              <w:rPr>
                                                <w:rFonts w:ascii="Cambria Math" w:hAnsi="Cambria Math"/>
                                                <w:i/>
                                                <w:sz w:val="24"/>
                                              </w:rPr>
                                            </m:ctrlPr>
                                          </m:sSubPr>
                                          <m:e>
                                            <m:r>
                                              <w:rPr>
                                                <w:rFonts w:ascii="Cambria Math" w:hAnsi="Cambria Math"/>
                                                <w:sz w:val="24"/>
                                              </w:rPr>
                                              <m:t>γ</m:t>
                                            </m:r>
                                          </m:e>
                                          <m:sub>
                                            <m:r>
                                              <w:rPr>
                                                <w:rFonts w:ascii="Cambria Math" w:hAnsi="Cambria Math"/>
                                                <w:sz w:val="24"/>
                                              </w:rPr>
                                              <m:t>2</m:t>
                                            </m:r>
                                          </m:sub>
                                        </m:sSub>
                                        <m:r>
                                          <w:rPr>
                                            <w:rFonts w:ascii="Cambria Math" w:hAnsi="Cambria Math"/>
                                            <w:sz w:val="24"/>
                                          </w:rPr>
                                          <m:t>,λ</m:t>
                                        </m:r>
                                      </m:e>
                                    </m:d>
                                    <m:r>
                                      <w:rPr>
                                        <w:rFonts w:ascii="Cambria Math" w:hAnsi="Cambria Math"/>
                                        <w:sz w:val="24"/>
                                      </w:rPr>
                                      <m:t>-</m:t>
                                    </m:r>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E</m:t>
                                            </m:r>
                                          </m:e>
                                          <m:sub>
                                            <m:r>
                                              <w:rPr>
                                                <w:rFonts w:ascii="Cambria Math" w:hAnsi="Cambria Math"/>
                                                <w:sz w:val="24"/>
                                              </w:rPr>
                                              <m:t>1</m:t>
                                            </m:r>
                                          </m:sub>
                                        </m:sSub>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,t</m:t>
                                        </m:r>
                                      </m:e>
                                    </m:d>
                                  </m:e>
                                </m:d>
                              </m:e>
                              <m:sup>
                                <m:r>
                                  <w:rPr>
                                    <w:rFonts w:ascii="Cambria Math" w:hAnsi="Cambria Math"/>
                                    <w:sz w:val="24"/>
                                  </w:rPr>
                                  <m:t>2</m:t>
                                </m:r>
                              </m:sup>
                            </m:sSup>
                          </m:num>
                          <m:den>
                            <m:sSub>
                              <m:sSubPr>
                                <m:ctrlPr>
                                  <w:rPr>
                                    <w:rFonts w:ascii="Cambria Math" w:hAnsi="Cambria Math"/>
                                    <w:i/>
                                    <w:sz w:val="24"/>
                                  </w:rPr>
                                </m:ctrlPr>
                              </m:sSubPr>
                              <m:e>
                                <m:r>
                                  <w:rPr>
                                    <w:rFonts w:ascii="Cambria Math" w:hAnsi="Cambria Math"/>
                                    <w:sz w:val="24"/>
                                  </w:rPr>
                                  <m:t>σ</m:t>
                                </m:r>
                              </m:e>
                              <m:sub>
                                <m:r>
                                  <w:rPr>
                                    <w:rFonts w:ascii="Cambria Math" w:hAnsi="Cambria Math"/>
                                    <w:sz w:val="24"/>
                                  </w:rPr>
                                  <m:t>1</m:t>
                                </m:r>
                              </m:sub>
                            </m:sSub>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,t</m:t>
                                    </m:r>
                                  </m:e>
                                </m:d>
                              </m:e>
                              <m:sup>
                                <m:r>
                                  <w:rPr>
                                    <w:rFonts w:ascii="Cambria Math" w:hAnsi="Cambria Math"/>
                                    <w:sz w:val="24"/>
                                  </w:rPr>
                                  <m:t>2</m:t>
                                </m:r>
                              </m:sup>
                            </m:sSup>
                          </m:den>
                        </m:f>
                      </m:e>
                    </m:nary>
                    <m:r>
                      <w:rPr>
                        <w:rFonts w:ascii="Cambria Math" w:hAnsi="Cambria Math"/>
                        <w:sz w:val="24"/>
                      </w:rPr>
                      <m:t xml:space="preserve">  </m:t>
                    </m:r>
                  </m:e>
                </m:nary>
              </m:oMath>
            </m:oMathPara>
          </w:p>
        </w:tc>
      </w:tr>
      <w:tr w:rsidR="00AA6F1F" w:rsidRPr="00AA6F1F" w:rsidTr="00AB3042">
        <w:tc>
          <w:tcPr>
            <w:tcW w:w="1348" w:type="dxa"/>
          </w:tcPr>
          <w:p w:rsidR="00AA6F1F" w:rsidRPr="00A57EFF" w:rsidRDefault="00443791" w:rsidP="00AA6F1F">
            <w:pPr>
              <w:spacing w:line="480" w:lineRule="auto"/>
              <w:rPr>
                <w:rFonts w:ascii="Times New Roman" w:hAnsi="Times New Roman"/>
                <w:sz w:val="24"/>
              </w:rPr>
            </w:pPr>
            <m:oMathPara>
              <m:oMath>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0</m:t>
                    </m:r>
                  </m:sup>
                </m:sSubSup>
              </m:oMath>
            </m:oMathPara>
          </w:p>
        </w:tc>
        <w:tc>
          <w:tcPr>
            <w:tcW w:w="2049" w:type="dxa"/>
          </w:tcPr>
          <w:p w:rsidR="00AA6F1F" w:rsidRPr="00A57EFF" w:rsidRDefault="00443791" w:rsidP="00AA6F1F">
            <w:pPr>
              <w:spacing w:line="480" w:lineRule="auto"/>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=0,</m:t>
                </m:r>
              </m:oMath>
            </m:oMathPara>
          </w:p>
          <w:p w:rsidR="00AA6F1F" w:rsidRPr="00A57EFF" w:rsidRDefault="00443791" w:rsidP="00AA6F1F">
            <w:pPr>
              <w:spacing w:line="480" w:lineRule="auto"/>
              <w:rPr>
                <w:rFonts w:ascii="Times New Roman" w:hAnsi="Times New Roman"/>
                <w:sz w:val="24"/>
              </w:rPr>
            </w:pP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l</m:t>
                  </m:r>
                </m:sub>
              </m:sSub>
              <m:r>
                <w:rPr>
                  <w:rFonts w:ascii="Cambria Math" w:hAnsi="Cambria Math"/>
                  <w:sz w:val="24"/>
                </w:rPr>
                <m:t>=1</m:t>
              </m:r>
            </m:oMath>
            <w:r w:rsidR="00AA6F1F" w:rsidRPr="00A57EFF">
              <w:rPr>
                <w:rFonts w:ascii="Times New Roman" w:hAnsi="Times New Roman"/>
                <w:sz w:val="24"/>
              </w:rPr>
              <w:t xml:space="preserve">, </w:t>
            </w: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s</m:t>
                  </m:r>
                </m:sub>
              </m:sSub>
              <m:r>
                <w:rPr>
                  <w:rFonts w:ascii="Cambria Math" w:hAnsi="Cambria Math"/>
                  <w:sz w:val="24"/>
                </w:rPr>
                <m:t>=0</m:t>
              </m:r>
            </m:oMath>
          </w:p>
        </w:tc>
        <w:tc>
          <w:tcPr>
            <w:tcW w:w="1511" w:type="dxa"/>
          </w:tcPr>
          <w:p w:rsidR="00AA6F1F" w:rsidRPr="00A57EFF" w:rsidRDefault="00443791" w:rsidP="00AA6F1F">
            <w:pPr>
              <w:spacing w:line="480" w:lineRule="auto"/>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M</m:t>
                        </m:r>
                      </m:e>
                      <m:sub>
                        <m:r>
                          <w:rPr>
                            <w:rFonts w:ascii="Cambria Math" w:hAnsi="Cambria Math"/>
                            <w:sz w:val="24"/>
                          </w:rPr>
                          <m:t>2</m:t>
                        </m:r>
                      </m:sub>
                    </m:sSub>
                    <m:r>
                      <w:rPr>
                        <w:rFonts w:ascii="Cambria Math" w:hAnsi="Cambria Math"/>
                        <w:sz w:val="24"/>
                      </w:rPr>
                      <m:t xml:space="preserve"> </m:t>
                    </m:r>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r>
                      <w:rPr>
                        <w:rFonts w:ascii="Cambria Math" w:hAnsi="Cambria Math"/>
                        <w:sz w:val="24"/>
                      </w:rPr>
                      <m:t>,t;</m:t>
                    </m:r>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0</m:t>
                        </m:r>
                      </m:sup>
                    </m:sSubSup>
                  </m:e>
                </m:d>
                <m:r>
                  <w:rPr>
                    <w:rFonts w:ascii="Cambria Math" w:hAnsi="Cambria Math"/>
                    <w:sz w:val="24"/>
                  </w:rPr>
                  <m:t>=</m:t>
                </m:r>
                <m:nary>
                  <m:naryPr>
                    <m:ctrlPr>
                      <w:rPr>
                        <w:rFonts w:ascii="Cambria Math" w:hAnsi="Cambria Math"/>
                        <w:i/>
                        <w:sz w:val="24"/>
                      </w:rPr>
                    </m:ctrlPr>
                  </m:naryPr>
                  <m:sub>
                    <m:r>
                      <w:rPr>
                        <w:rFonts w:ascii="Cambria Math" w:hAnsi="Cambria Math"/>
                        <w:sz w:val="24"/>
                      </w:rPr>
                      <m:t>0</m:t>
                    </m:r>
                  </m:sub>
                  <m:sup>
                    <m:r>
                      <w:rPr>
                        <w:rFonts w:ascii="Cambria Math" w:hAnsi="Cambria Math"/>
                        <w:sz w:val="24"/>
                      </w:rPr>
                      <m:t>t</m:t>
                    </m:r>
                  </m:sup>
                  <m:e>
                    <m:nary>
                      <m:naryPr>
                        <m:supHide m:val="1"/>
                        <m:ctrlPr>
                          <w:rPr>
                            <w:rFonts w:ascii="Cambria Math" w:hAnsi="Cambria Math"/>
                            <w:i/>
                            <w:sz w:val="24"/>
                          </w:rPr>
                        </m:ctrlPr>
                      </m:naryPr>
                      <m:sub>
                        <m:sSub>
                          <m:sSubPr>
                            <m:ctrlPr>
                              <w:rPr>
                                <w:rFonts w:ascii="Cambria Math" w:hAnsi="Cambria Math"/>
                                <w:i/>
                                <w:sz w:val="24"/>
                              </w:rPr>
                            </m:ctrlPr>
                          </m:sSubPr>
                          <m:e>
                            <m:r>
                              <m:rPr>
                                <m:sty m:val="p"/>
                              </m:rPr>
                              <w:rPr>
                                <w:rFonts w:ascii="Cambria Math" w:hAnsi="Cambria Math"/>
                                <w:sz w:val="24"/>
                              </w:rPr>
                              <m:t>Γ</m:t>
                            </m:r>
                          </m:e>
                          <m:sub>
                            <m:r>
                              <w:rPr>
                                <w:rFonts w:ascii="Cambria Math" w:hAnsi="Cambria Math"/>
                                <w:sz w:val="24"/>
                              </w:rPr>
                              <m:t>p</m:t>
                            </m:r>
                          </m:sub>
                        </m:sSub>
                      </m:sub>
                      <m:sup/>
                      <m:e>
                        <m:sSup>
                          <m:sSupPr>
                            <m:ctrlPr>
                              <w:rPr>
                                <w:rFonts w:ascii="Cambria Math" w:hAnsi="Cambria Math"/>
                                <w:i/>
                                <w:sz w:val="24"/>
                              </w:rPr>
                            </m:ctrlPr>
                          </m:sSupPr>
                          <m:e>
                            <m:r>
                              <w:rPr>
                                <w:rFonts w:ascii="Cambria Math" w:hAnsi="Cambria Math"/>
                                <w:sz w:val="24"/>
                              </w:rPr>
                              <m:t>D</m:t>
                            </m:r>
                          </m:e>
                          <m:sup>
                            <m:r>
                              <w:rPr>
                                <w:rFonts w:ascii="Cambria Math" w:hAnsi="Cambria Math"/>
                                <w:sz w:val="24"/>
                              </w:rPr>
                              <m:t>P</m:t>
                            </m:r>
                          </m:sup>
                        </m:sSup>
                      </m:e>
                    </m:nary>
                  </m:e>
                </m:nary>
                <m:r>
                  <m:rPr>
                    <m:sty m:val="b"/>
                  </m:rPr>
                  <w:rPr>
                    <w:rFonts w:ascii="Cambria Math" w:hAnsi="Cambria Math"/>
                    <w:sz w:val="24"/>
                  </w:rPr>
                  <m:t>∇</m:t>
                </m:r>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l</m:t>
                    </m:r>
                  </m:sub>
                  <m:sup>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0</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sup>
                </m:sSubSup>
                <m:r>
                  <w:rPr>
                    <w:rFonts w:ascii="Cambria Math" w:hAnsi="Cambria Math"/>
                    <w:sz w:val="24"/>
                  </w:rPr>
                  <m:t>⋅</m:t>
                </m:r>
                <m:sSub>
                  <m:sSubPr>
                    <m:ctrlPr>
                      <w:rPr>
                        <w:rFonts w:ascii="Cambria Math" w:hAnsi="Cambria Math"/>
                        <w:b/>
                        <w:sz w:val="24"/>
                      </w:rPr>
                    </m:ctrlPr>
                  </m:sSubPr>
                  <m:e>
                    <m:r>
                      <m:rPr>
                        <m:sty m:val="b"/>
                      </m:rPr>
                      <w:rPr>
                        <w:rFonts w:ascii="Cambria Math" w:hAnsi="Cambria Math"/>
                        <w:sz w:val="24"/>
                      </w:rPr>
                      <m:t>n</m:t>
                    </m:r>
                    <m:ctrlPr>
                      <w:rPr>
                        <w:rFonts w:ascii="Cambria Math" w:hAnsi="Cambria Math"/>
                        <w:i/>
                        <w:sz w:val="24"/>
                      </w:rPr>
                    </m:ctrlPr>
                  </m:e>
                  <m:sub>
                    <m:r>
                      <m:rPr>
                        <m:sty m:val="b"/>
                      </m:rPr>
                      <w:rPr>
                        <w:rFonts w:ascii="Cambria Math" w:hAnsi="Cambria Math"/>
                        <w:sz w:val="24"/>
                      </w:rPr>
                      <m:t>p</m:t>
                    </m:r>
                  </m:sub>
                </m:sSub>
                <m:r>
                  <w:rPr>
                    <w:rFonts w:ascii="Cambria Math" w:hAnsi="Cambria Math"/>
                    <w:sz w:val="24"/>
                  </w:rPr>
                  <m:t>d</m:t>
                </m:r>
                <m:r>
                  <m:rPr>
                    <m:sty m:val="bi"/>
                  </m:rPr>
                  <w:rPr>
                    <w:rFonts w:ascii="Cambria Math" w:hAnsi="Cambria Math"/>
                    <w:sz w:val="24"/>
                  </w:rPr>
                  <m:t>x</m:t>
                </m:r>
                <m:r>
                  <w:rPr>
                    <w:rFonts w:ascii="Cambria Math" w:hAnsi="Cambria Math"/>
                    <w:sz w:val="24"/>
                  </w:rPr>
                  <m:t>dτ</m:t>
                </m:r>
              </m:oMath>
            </m:oMathPara>
          </w:p>
        </w:tc>
        <w:tc>
          <w:tcPr>
            <w:tcW w:w="4868" w:type="dxa"/>
          </w:tcPr>
          <w:p w:rsidR="00AA6F1F" w:rsidRPr="00A57EFF" w:rsidRDefault="00AA6F1F" w:rsidP="00AA6F1F">
            <w:pPr>
              <w:spacing w:line="480" w:lineRule="auto"/>
              <w:rPr>
                <w:rFonts w:ascii="Times New Roman" w:hAnsi="Times New Roman"/>
                <w:sz w:val="24"/>
              </w:rPr>
            </w:pPr>
            <m:oMathPara>
              <m:oMath>
                <m:r>
                  <w:rPr>
                    <w:rFonts w:ascii="Cambria Math" w:hAnsi="Cambria Math"/>
                    <w:sz w:val="24"/>
                  </w:rPr>
                  <m:t>ob</m:t>
                </m:r>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j</m:t>
                        </m:r>
                      </m:e>
                      <m:sub>
                        <m:r>
                          <w:rPr>
                            <w:rFonts w:ascii="Cambria Math" w:hAnsi="Cambria Math"/>
                            <w:sz w:val="24"/>
                          </w:rPr>
                          <m:t>2</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0</m:t>
                        </m:r>
                      </m:sup>
                    </m:sSubSup>
                    <m:r>
                      <w:rPr>
                        <w:rFonts w:ascii="Cambria Math" w:hAnsi="Cambria Math"/>
                        <w:sz w:val="24"/>
                      </w:rPr>
                      <m:t>)</m:t>
                    </m:r>
                  </m:e>
                  <m:sub>
                    <m:r>
                      <w:rPr>
                        <w:rFonts w:ascii="Cambria Math" w:hAnsi="Cambria Math"/>
                        <w:sz w:val="24"/>
                      </w:rPr>
                      <m:t xml:space="preserve"> </m:t>
                    </m:r>
                  </m:sub>
                </m:sSub>
                <m:r>
                  <w:rPr>
                    <w:rFonts w:ascii="Cambria Math" w:hAnsi="Cambria Math"/>
                    <w:sz w:val="24"/>
                  </w:rPr>
                  <m:t>=</m:t>
                </m:r>
                <m:nary>
                  <m:naryPr>
                    <m:chr m:val="∑"/>
                    <m:supHide m:val="1"/>
                    <m:ctrlPr>
                      <w:rPr>
                        <w:rFonts w:ascii="Cambria Math" w:hAnsi="Cambria Math"/>
                        <w:i/>
                        <w:sz w:val="24"/>
                      </w:rPr>
                    </m:ctrlPr>
                  </m:naryPr>
                  <m:sub>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r>
                      <w:rPr>
                        <w:rFonts w:ascii="Cambria Math" w:hAnsi="Cambria Math"/>
                        <w:sz w:val="24"/>
                      </w:rPr>
                      <m:t>∈p</m:t>
                    </m:r>
                  </m:sub>
                  <m:sup/>
                  <m:e>
                    <m:f>
                      <m:fPr>
                        <m:ctrlPr>
                          <w:rPr>
                            <w:rFonts w:ascii="Cambria Math" w:hAnsi="Cambria Math"/>
                            <w:i/>
                            <w:sz w:val="24"/>
                          </w:rPr>
                        </m:ctrlPr>
                      </m:fPr>
                      <m:num>
                        <m:sSup>
                          <m:sSupPr>
                            <m:ctrlPr>
                              <w:rPr>
                                <w:rFonts w:ascii="Cambria Math" w:hAnsi="Cambria Math"/>
                                <w:i/>
                                <w:sz w:val="24"/>
                              </w:rPr>
                            </m:ctrlPr>
                          </m:sSupPr>
                          <m:e>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M</m:t>
                                        </m:r>
                                      </m:e>
                                      <m:sub>
                                        <m:r>
                                          <w:rPr>
                                            <w:rFonts w:ascii="Cambria Math" w:hAnsi="Cambria Math"/>
                                            <w:sz w:val="24"/>
                                          </w:rPr>
                                          <m:t>2</m:t>
                                        </m:r>
                                      </m:sub>
                                    </m:sSub>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r>
                                      <w:rPr>
                                        <w:rFonts w:ascii="Cambria Math" w:hAnsi="Cambria Math"/>
                                        <w:sz w:val="24"/>
                                      </w:rPr>
                                      <m:t>,</m:t>
                                    </m:r>
                                    <m:sSup>
                                      <m:sSupPr>
                                        <m:ctrlPr>
                                          <w:rPr>
                                            <w:rFonts w:ascii="Cambria Math" w:hAnsi="Cambria Math"/>
                                            <w:i/>
                                            <w:sz w:val="24"/>
                                          </w:rPr>
                                        </m:ctrlPr>
                                      </m:sSupPr>
                                      <m:e>
                                        <m:r>
                                          <w:rPr>
                                            <w:rFonts w:ascii="Cambria Math" w:hAnsi="Cambria Math"/>
                                            <w:sz w:val="24"/>
                                          </w:rPr>
                                          <m:t>t</m:t>
                                        </m:r>
                                      </m:e>
                                      <m:sup>
                                        <m:r>
                                          <w:rPr>
                                            <w:rFonts w:ascii="Cambria Math" w:hAnsi="Cambria Math"/>
                                            <w:sz w:val="24"/>
                                          </w:rPr>
                                          <m:t>*</m:t>
                                        </m:r>
                                      </m:sup>
                                    </m:sSup>
                                    <m:r>
                                      <w:rPr>
                                        <w:rFonts w:ascii="Cambria Math" w:hAnsi="Cambria Math"/>
                                        <w:sz w:val="24"/>
                                      </w:rPr>
                                      <m:t>;</m:t>
                                    </m:r>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0</m:t>
                                        </m:r>
                                      </m:sup>
                                    </m:sSubSup>
                                  </m:e>
                                </m:d>
                                <m:r>
                                  <w:rPr>
                                    <w:rFonts w:ascii="Cambria Math" w:hAnsi="Cambria Math"/>
                                    <w:sz w:val="24"/>
                                  </w:rPr>
                                  <m:t>-</m:t>
                                </m:r>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E</m:t>
                                        </m:r>
                                      </m:e>
                                      <m:sub>
                                        <m:r>
                                          <w:rPr>
                                            <w:rFonts w:ascii="Cambria Math" w:hAnsi="Cambria Math"/>
                                            <w:sz w:val="24"/>
                                          </w:rPr>
                                          <m:t>2</m:t>
                                        </m:r>
                                      </m:sub>
                                    </m:sSub>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e>
                                </m:d>
                              </m:e>
                            </m:d>
                          </m:e>
                          <m:sup>
                            <m:r>
                              <w:rPr>
                                <w:rFonts w:ascii="Cambria Math" w:hAnsi="Cambria Math"/>
                                <w:sz w:val="24"/>
                              </w:rPr>
                              <m:t>2</m:t>
                            </m:r>
                          </m:sup>
                        </m:sSup>
                      </m:num>
                      <m:den>
                        <m:sSub>
                          <m:sSubPr>
                            <m:ctrlPr>
                              <w:rPr>
                                <w:rFonts w:ascii="Cambria Math" w:hAnsi="Cambria Math"/>
                                <w:i/>
                                <w:sz w:val="24"/>
                              </w:rPr>
                            </m:ctrlPr>
                          </m:sSubPr>
                          <m:e>
                            <m:r>
                              <w:rPr>
                                <w:rFonts w:ascii="Cambria Math" w:hAnsi="Cambria Math"/>
                                <w:sz w:val="24"/>
                              </w:rPr>
                              <m:t>σ</m:t>
                            </m:r>
                          </m:e>
                          <m:sub>
                            <m:r>
                              <w:rPr>
                                <w:rFonts w:ascii="Cambria Math" w:hAnsi="Cambria Math"/>
                                <w:sz w:val="24"/>
                              </w:rPr>
                              <m:t>2</m:t>
                            </m:r>
                          </m:sub>
                        </m:sSub>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e>
                            </m:d>
                          </m:e>
                          <m:sup>
                            <m:r>
                              <w:rPr>
                                <w:rFonts w:ascii="Cambria Math" w:hAnsi="Cambria Math"/>
                                <w:sz w:val="24"/>
                              </w:rPr>
                              <m:t>2</m:t>
                            </m:r>
                          </m:sup>
                        </m:sSup>
                      </m:den>
                    </m:f>
                  </m:e>
                </m:nary>
              </m:oMath>
            </m:oMathPara>
          </w:p>
        </w:tc>
      </w:tr>
      <w:tr w:rsidR="00AA6F1F" w:rsidRPr="00AA6F1F" w:rsidTr="00AB3042">
        <w:tc>
          <w:tcPr>
            <w:tcW w:w="1348" w:type="dxa"/>
          </w:tcPr>
          <w:p w:rsidR="00AA6F1F" w:rsidRPr="00A57EFF" w:rsidRDefault="00443791" w:rsidP="00AA6F1F">
            <w:pPr>
              <w:spacing w:line="480" w:lineRule="auto"/>
              <w:rPr>
                <w:rFonts w:ascii="Times New Roman" w:hAnsi="Times New Roman"/>
                <w:sz w:val="24"/>
              </w:rPr>
            </w:pPr>
            <m:oMathPara>
              <m:oMath>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1</m:t>
                    </m:r>
                  </m:sup>
                </m:sSubSup>
              </m:oMath>
            </m:oMathPara>
          </w:p>
        </w:tc>
        <w:tc>
          <w:tcPr>
            <w:tcW w:w="2049" w:type="dxa"/>
          </w:tcPr>
          <w:p w:rsidR="00AA6F1F" w:rsidRPr="00A57EFF" w:rsidRDefault="00443791" w:rsidP="00AA6F1F">
            <w:pPr>
              <w:spacing w:line="480" w:lineRule="auto"/>
              <w:rPr>
                <w:rFonts w:ascii="Times New Roman" w:hAnsi="Times New Roman"/>
                <w:sz w:val="24"/>
              </w:rPr>
            </w:pP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l</m:t>
                  </m:r>
                </m:sub>
              </m:sSub>
              <m:r>
                <w:rPr>
                  <w:rFonts w:ascii="Cambria Math" w:hAnsi="Cambria Math"/>
                  <w:sz w:val="24"/>
                </w:rPr>
                <m:t>=1</m:t>
              </m:r>
            </m:oMath>
            <w:r w:rsidR="00AA6F1F" w:rsidRPr="00A57EFF">
              <w:rPr>
                <w:rFonts w:ascii="Times New Roman" w:hAnsi="Times New Roman"/>
                <w:sz w:val="24"/>
              </w:rPr>
              <w:t xml:space="preserve">, </w:t>
            </w:r>
            <m:oMath>
              <m:sSub>
                <m:sSubPr>
                  <m:ctrlPr>
                    <w:rPr>
                      <w:rFonts w:ascii="Cambria Math" w:hAnsi="Cambria Math"/>
                      <w:i/>
                      <w:sz w:val="24"/>
                    </w:rPr>
                  </m:ctrlPr>
                </m:sSubPr>
                <m:e>
                  <m:r>
                    <w:rPr>
                      <w:rFonts w:ascii="Cambria Math" w:hAnsi="Cambria Math"/>
                      <w:sz w:val="24"/>
                    </w:rPr>
                    <m:t>ϕ</m:t>
                  </m:r>
                </m:e>
                <m:sub>
                  <m:r>
                    <w:rPr>
                      <w:rFonts w:ascii="Cambria Math" w:hAnsi="Cambria Math"/>
                      <w:sz w:val="24"/>
                    </w:rPr>
                    <m:t>s</m:t>
                  </m:r>
                </m:sub>
              </m:sSub>
              <m:r>
                <w:rPr>
                  <w:rFonts w:ascii="Cambria Math" w:hAnsi="Cambria Math"/>
                  <w:sz w:val="24"/>
                </w:rPr>
                <m:t>=0</m:t>
              </m:r>
            </m:oMath>
          </w:p>
        </w:tc>
        <w:tc>
          <w:tcPr>
            <w:tcW w:w="1511" w:type="dxa"/>
          </w:tcPr>
          <w:p w:rsidR="00AA6F1F" w:rsidRPr="00A57EFF" w:rsidRDefault="00443791" w:rsidP="00AA6F1F">
            <w:pPr>
              <w:spacing w:line="480" w:lineRule="auto"/>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M</m:t>
                        </m:r>
                      </m:e>
                      <m:sub>
                        <m:r>
                          <w:rPr>
                            <w:rFonts w:ascii="Cambria Math" w:hAnsi="Cambria Math"/>
                            <w:sz w:val="24"/>
                          </w:rPr>
                          <m:t>3</m:t>
                        </m:r>
                      </m:sub>
                    </m:sSub>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,t;</m:t>
                    </m:r>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1</m:t>
                        </m:r>
                      </m:sup>
                    </m:sSubSup>
                  </m:e>
                </m:d>
                <m:r>
                  <w:rPr>
                    <w:rFonts w:ascii="Cambria Math" w:hAnsi="Cambria Math"/>
                    <w:sz w:val="24"/>
                  </w:rPr>
                  <m:t>=</m:t>
                </m:r>
                <m:nary>
                  <m:naryPr>
                    <m:ctrlPr>
                      <w:rPr>
                        <w:rFonts w:ascii="Cambria Math" w:hAnsi="Cambria Math"/>
                        <w:i/>
                        <w:sz w:val="24"/>
                      </w:rPr>
                    </m:ctrlPr>
                  </m:naryPr>
                  <m:sub>
                    <m:r>
                      <w:rPr>
                        <w:rFonts w:ascii="Cambria Math" w:hAnsi="Cambria Math"/>
                        <w:sz w:val="24"/>
                      </w:rPr>
                      <m:t>0</m:t>
                    </m:r>
                  </m:sub>
                  <m:sup>
                    <m:r>
                      <w:rPr>
                        <w:rFonts w:ascii="Cambria Math" w:hAnsi="Cambria Math"/>
                        <w:sz w:val="24"/>
                      </w:rPr>
                      <m:t>t</m:t>
                    </m:r>
                  </m:sup>
                  <m:e>
                    <m:nary>
                      <m:naryPr>
                        <m:supHide m:val="1"/>
                        <m:ctrlPr>
                          <w:rPr>
                            <w:rFonts w:ascii="Cambria Math" w:hAnsi="Cambria Math"/>
                            <w:i/>
                            <w:sz w:val="24"/>
                          </w:rPr>
                        </m:ctrlPr>
                      </m:naryPr>
                      <m:sub>
                        <m:sSub>
                          <m:sSubPr>
                            <m:ctrlPr>
                              <w:rPr>
                                <w:rFonts w:ascii="Cambria Math" w:hAnsi="Cambria Math"/>
                                <w:i/>
                                <w:sz w:val="24"/>
                              </w:rPr>
                            </m:ctrlPr>
                          </m:sSubPr>
                          <m:e>
                            <m:r>
                              <m:rPr>
                                <m:sty m:val="p"/>
                              </m:rPr>
                              <w:rPr>
                                <w:rFonts w:ascii="Cambria Math" w:hAnsi="Cambria Math"/>
                                <w:sz w:val="24"/>
                              </w:rPr>
                              <m:t>Γ</m:t>
                            </m:r>
                          </m:e>
                          <m:sub>
                            <m:r>
                              <w:rPr>
                                <w:rFonts w:ascii="Cambria Math" w:hAnsi="Cambria Math"/>
                                <w:sz w:val="24"/>
                              </w:rPr>
                              <m:t>p</m:t>
                            </m:r>
                          </m:sub>
                        </m:sSub>
                      </m:sub>
                      <m:sup/>
                      <m:e>
                        <m:sSup>
                          <m:sSupPr>
                            <m:ctrlPr>
                              <w:rPr>
                                <w:rFonts w:ascii="Cambria Math" w:hAnsi="Cambria Math"/>
                                <w:i/>
                                <w:sz w:val="24"/>
                              </w:rPr>
                            </m:ctrlPr>
                          </m:sSupPr>
                          <m:e>
                            <m:r>
                              <w:rPr>
                                <w:rFonts w:ascii="Cambria Math" w:hAnsi="Cambria Math"/>
                                <w:sz w:val="24"/>
                              </w:rPr>
                              <m:t>D</m:t>
                            </m:r>
                          </m:e>
                          <m:sup>
                            <m:r>
                              <w:rPr>
                                <w:rFonts w:ascii="Cambria Math" w:hAnsi="Cambria Math"/>
                                <w:sz w:val="24"/>
                              </w:rPr>
                              <m:t>P</m:t>
                            </m:r>
                          </m:sup>
                        </m:sSup>
                      </m:e>
                    </m:nary>
                  </m:e>
                </m:nary>
                <m:r>
                  <m:rPr>
                    <m:sty m:val="b"/>
                  </m:rPr>
                  <w:rPr>
                    <w:rFonts w:ascii="Cambria Math" w:hAnsi="Cambria Math"/>
                    <w:sz w:val="24"/>
                  </w:rPr>
                  <m:t>∇</m:t>
                </m:r>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l</m:t>
                    </m:r>
                  </m:sub>
                  <m:sup>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1</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sup>
                </m:sSubSup>
                <m:r>
                  <w:rPr>
                    <w:rFonts w:ascii="Cambria Math" w:hAnsi="Cambria Math"/>
                    <w:sz w:val="24"/>
                  </w:rPr>
                  <m:t>⋅</m:t>
                </m:r>
                <m:sSub>
                  <m:sSubPr>
                    <m:ctrlPr>
                      <w:rPr>
                        <w:rFonts w:ascii="Cambria Math" w:hAnsi="Cambria Math"/>
                        <w:b/>
                        <w:sz w:val="24"/>
                      </w:rPr>
                    </m:ctrlPr>
                  </m:sSubPr>
                  <m:e>
                    <m:r>
                      <m:rPr>
                        <m:sty m:val="b"/>
                      </m:rPr>
                      <w:rPr>
                        <w:rFonts w:ascii="Cambria Math" w:hAnsi="Cambria Math"/>
                        <w:sz w:val="24"/>
                      </w:rPr>
                      <m:t>n</m:t>
                    </m:r>
                    <m:ctrlPr>
                      <w:rPr>
                        <w:rFonts w:ascii="Cambria Math" w:hAnsi="Cambria Math"/>
                        <w:i/>
                        <w:sz w:val="24"/>
                      </w:rPr>
                    </m:ctrlPr>
                  </m:e>
                  <m:sub>
                    <m:r>
                      <m:rPr>
                        <m:sty m:val="b"/>
                      </m:rPr>
                      <w:rPr>
                        <w:rFonts w:ascii="Cambria Math" w:hAnsi="Cambria Math"/>
                        <w:sz w:val="24"/>
                      </w:rPr>
                      <m:t>p</m:t>
                    </m:r>
                  </m:sub>
                </m:sSub>
                <m:r>
                  <w:rPr>
                    <w:rFonts w:ascii="Cambria Math" w:hAnsi="Cambria Math"/>
                    <w:sz w:val="24"/>
                  </w:rPr>
                  <m:t>d</m:t>
                </m:r>
                <m:r>
                  <m:rPr>
                    <m:sty m:val="bi"/>
                  </m:rPr>
                  <w:rPr>
                    <w:rFonts w:ascii="Cambria Math" w:hAnsi="Cambria Math"/>
                    <w:sz w:val="24"/>
                  </w:rPr>
                  <m:t>x</m:t>
                </m:r>
                <m:r>
                  <w:rPr>
                    <w:rFonts w:ascii="Cambria Math" w:hAnsi="Cambria Math"/>
                    <w:sz w:val="24"/>
                  </w:rPr>
                  <m:t>dτ</m:t>
                </m:r>
              </m:oMath>
            </m:oMathPara>
          </w:p>
        </w:tc>
        <w:tc>
          <w:tcPr>
            <w:tcW w:w="4868" w:type="dxa"/>
          </w:tcPr>
          <w:p w:rsidR="00AA6F1F" w:rsidRPr="00A57EFF" w:rsidRDefault="00AA6F1F" w:rsidP="00AA6F1F">
            <w:pPr>
              <w:spacing w:line="480" w:lineRule="auto"/>
              <w:rPr>
                <w:rFonts w:ascii="Times New Roman" w:hAnsi="Times New Roman"/>
                <w:sz w:val="24"/>
              </w:rPr>
            </w:pPr>
            <m:oMathPara>
              <m:oMath>
                <m:r>
                  <w:rPr>
                    <w:rFonts w:ascii="Cambria Math" w:hAnsi="Cambria Math"/>
                    <w:sz w:val="24"/>
                  </w:rPr>
                  <m:t>ob</m:t>
                </m:r>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j</m:t>
                        </m:r>
                      </m:e>
                      <m:sub>
                        <m:r>
                          <w:rPr>
                            <w:rFonts w:ascii="Cambria Math" w:hAnsi="Cambria Math"/>
                            <w:sz w:val="24"/>
                          </w:rPr>
                          <m:t>3</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1</m:t>
                        </m:r>
                      </m:sup>
                    </m:sSubSup>
                    <m:r>
                      <w:rPr>
                        <w:rFonts w:ascii="Cambria Math" w:hAnsi="Cambria Math"/>
                        <w:sz w:val="24"/>
                      </w:rPr>
                      <m:t>)</m:t>
                    </m:r>
                  </m:e>
                  <m:sub>
                    <m:r>
                      <w:rPr>
                        <w:rFonts w:ascii="Cambria Math" w:hAnsi="Cambria Math"/>
                        <w:sz w:val="24"/>
                      </w:rPr>
                      <m:t xml:space="preserve"> </m:t>
                    </m:r>
                  </m:sub>
                </m:sSub>
                <m:r>
                  <w:rPr>
                    <w:rFonts w:ascii="Cambria Math" w:hAnsi="Cambria Math"/>
                    <w:sz w:val="24"/>
                  </w:rPr>
                  <m:t>=</m:t>
                </m:r>
                <m:nary>
                  <m:naryPr>
                    <m:chr m:val="∑"/>
                    <m:supHide m:val="1"/>
                    <m:ctrlPr>
                      <w:rPr>
                        <w:rFonts w:ascii="Cambria Math" w:hAnsi="Cambria Math"/>
                        <w:i/>
                        <w:sz w:val="24"/>
                      </w:rPr>
                    </m:ctrlPr>
                  </m:naryPr>
                  <m:sub>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r>
                      <w:rPr>
                        <w:rFonts w:ascii="Cambria Math" w:hAnsi="Cambria Math"/>
                        <w:sz w:val="24"/>
                      </w:rPr>
                      <m:t>∈p</m:t>
                    </m:r>
                  </m:sub>
                  <m:sup/>
                  <m:e>
                    <m:nary>
                      <m:naryPr>
                        <m:chr m:val="∑"/>
                        <m:supHide m:val="1"/>
                        <m:ctrlPr>
                          <w:rPr>
                            <w:rFonts w:ascii="Cambria Math" w:hAnsi="Cambria Math"/>
                            <w:i/>
                            <w:sz w:val="24"/>
                          </w:rPr>
                        </m:ctrlPr>
                      </m:naryPr>
                      <m:sub>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∈c</m:t>
                        </m:r>
                      </m:sub>
                      <m:sup/>
                      <m:e>
                        <m:f>
                          <m:fPr>
                            <m:ctrlPr>
                              <w:rPr>
                                <w:rFonts w:ascii="Cambria Math" w:hAnsi="Cambria Math"/>
                                <w:i/>
                                <w:sz w:val="24"/>
                              </w:rPr>
                            </m:ctrlPr>
                          </m:fPr>
                          <m:num>
                            <m:sSup>
                              <m:sSupPr>
                                <m:ctrlPr>
                                  <w:rPr>
                                    <w:rFonts w:ascii="Cambria Math" w:hAnsi="Cambria Math"/>
                                    <w:i/>
                                    <w:sz w:val="24"/>
                                  </w:rPr>
                                </m:ctrlPr>
                              </m:sSupPr>
                              <m:e>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M</m:t>
                                            </m:r>
                                          </m:e>
                                          <m:sub>
                                            <m:r>
                                              <w:rPr>
                                                <w:rFonts w:ascii="Cambria Math" w:hAnsi="Cambria Math"/>
                                                <w:sz w:val="24"/>
                                              </w:rPr>
                                              <m:t>3</m:t>
                                            </m:r>
                                          </m:sub>
                                        </m:sSub>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m:t>
                                        </m:r>
                                        <m:sSup>
                                          <m:sSupPr>
                                            <m:ctrlPr>
                                              <w:rPr>
                                                <w:rFonts w:ascii="Cambria Math" w:hAnsi="Cambria Math"/>
                                                <w:i/>
                                                <w:sz w:val="24"/>
                                              </w:rPr>
                                            </m:ctrlPr>
                                          </m:sSupPr>
                                          <m:e>
                                            <m:r>
                                              <w:rPr>
                                                <w:rFonts w:ascii="Cambria Math" w:hAnsi="Cambria Math"/>
                                                <w:sz w:val="24"/>
                                              </w:rPr>
                                              <m:t>t</m:t>
                                            </m:r>
                                          </m:e>
                                          <m:sup>
                                            <m:r>
                                              <w:rPr>
                                                <w:rFonts w:ascii="Cambria Math" w:hAnsi="Cambria Math"/>
                                                <w:sz w:val="24"/>
                                              </w:rPr>
                                              <m:t>*</m:t>
                                            </m:r>
                                          </m:sup>
                                        </m:sSup>
                                        <m:r>
                                          <w:rPr>
                                            <w:rFonts w:ascii="Cambria Math" w:hAnsi="Cambria Math"/>
                                            <w:sz w:val="24"/>
                                          </w:rPr>
                                          <m:t>;</m:t>
                                        </m:r>
                                        <m:sSubSup>
                                          <m:sSubSupPr>
                                            <m:ctrlPr>
                                              <w:rPr>
                                                <w:rFonts w:ascii="Cambria Math" w:hAnsi="Cambria Math"/>
                                                <w:i/>
                                                <w:sz w:val="24"/>
                                              </w:rPr>
                                            </m:ctrlPr>
                                          </m:sSubSupPr>
                                          <m:e>
                                            <m:r>
                                              <w:rPr>
                                                <w:rFonts w:ascii="Cambria Math" w:hAnsi="Cambria Math"/>
                                                <w:sz w:val="24"/>
                                              </w:rPr>
                                              <m:t>δ</m:t>
                                            </m:r>
                                          </m:e>
                                          <m:sub>
                                            <m:r>
                                              <w:rPr>
                                                <w:rFonts w:ascii="Cambria Math" w:hAnsi="Cambria Math"/>
                                                <w:sz w:val="24"/>
                                              </w:rPr>
                                              <m:t>P</m:t>
                                            </m:r>
                                          </m:sub>
                                          <m:sup>
                                            <m:r>
                                              <w:rPr>
                                                <w:rFonts w:ascii="Cambria Math" w:hAnsi="Cambria Math"/>
                                                <w:sz w:val="24"/>
                                              </w:rPr>
                                              <m:t>1</m:t>
                                            </m:r>
                                          </m:sup>
                                        </m:sSubSup>
                                      </m:e>
                                    </m:d>
                                    <m:r>
                                      <w:rPr>
                                        <w:rFonts w:ascii="Cambria Math" w:hAnsi="Cambria Math"/>
                                        <w:sz w:val="24"/>
                                      </w:rPr>
                                      <m:t>-</m:t>
                                    </m:r>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E</m:t>
                                            </m:r>
                                          </m:e>
                                          <m:sub>
                                            <m:r>
                                              <w:rPr>
                                                <w:rFonts w:ascii="Cambria Math" w:hAnsi="Cambria Math"/>
                                                <w:sz w:val="24"/>
                                              </w:rPr>
                                              <m:t>3</m:t>
                                            </m:r>
                                          </m:sub>
                                        </m:sSub>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e>
                                    </m:d>
                                  </m:e>
                                </m:d>
                              </m:e>
                              <m:sup>
                                <m:r>
                                  <w:rPr>
                                    <w:rFonts w:ascii="Cambria Math" w:hAnsi="Cambria Math"/>
                                    <w:sz w:val="24"/>
                                  </w:rPr>
                                  <m:t>2</m:t>
                                </m:r>
                              </m:sup>
                            </m:sSup>
                          </m:num>
                          <m:den>
                            <m:sSub>
                              <m:sSubPr>
                                <m:ctrlPr>
                                  <w:rPr>
                                    <w:rFonts w:ascii="Cambria Math" w:hAnsi="Cambria Math"/>
                                    <w:i/>
                                    <w:sz w:val="24"/>
                                  </w:rPr>
                                </m:ctrlPr>
                              </m:sSubPr>
                              <m:e>
                                <m:r>
                                  <w:rPr>
                                    <w:rFonts w:ascii="Cambria Math" w:hAnsi="Cambria Math"/>
                                    <w:sz w:val="24"/>
                                  </w:rPr>
                                  <m:t>σ</m:t>
                                </m:r>
                              </m:e>
                              <m:sub>
                                <m:r>
                                  <w:rPr>
                                    <w:rFonts w:ascii="Cambria Math" w:hAnsi="Cambria Math"/>
                                    <w:sz w:val="24"/>
                                  </w:rPr>
                                  <m:t>3</m:t>
                                </m:r>
                              </m:sub>
                            </m:sSub>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P</m:t>
                                        </m:r>
                                      </m:e>
                                      <m:sub>
                                        <m:r>
                                          <w:rPr>
                                            <w:rFonts w:ascii="Cambria Math" w:hAnsi="Cambria Math"/>
                                            <w:sz w:val="24"/>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e>
                                </m:d>
                              </m:e>
                              <m:sup>
                                <m:r>
                                  <w:rPr>
                                    <w:rFonts w:ascii="Cambria Math" w:hAnsi="Cambria Math"/>
                                    <w:sz w:val="24"/>
                                  </w:rPr>
                                  <m:t>2</m:t>
                                </m:r>
                              </m:sup>
                            </m:sSup>
                          </m:den>
                        </m:f>
                      </m:e>
                    </m:nary>
                  </m:e>
                </m:nary>
              </m:oMath>
            </m:oMathPara>
          </w:p>
        </w:tc>
      </w:tr>
      <w:tr w:rsidR="00AA6F1F" w:rsidRPr="00AA6F1F" w:rsidTr="00AB3042">
        <w:tc>
          <w:tcPr>
            <w:tcW w:w="1348"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oMath>
            </m:oMathPara>
          </w:p>
          <w:p w:rsidR="00AA6F1F" w:rsidRPr="00A57EFF" w:rsidRDefault="00AA6F1F" w:rsidP="00AA6F1F">
            <w:pPr>
              <w:spacing w:line="480" w:lineRule="auto"/>
              <w:rPr>
                <w:rFonts w:ascii="Times New Roman" w:hAnsi="Times New Roman"/>
                <w:sz w:val="24"/>
              </w:rPr>
            </w:pPr>
          </w:p>
        </w:tc>
        <w:tc>
          <w:tcPr>
            <w:tcW w:w="2049" w:type="dxa"/>
          </w:tcPr>
          <w:p w:rsidR="00AA6F1F" w:rsidRPr="00A57EFF" w:rsidRDefault="00443791" w:rsidP="00AA6F1F">
            <w:pPr>
              <w:spacing w:line="480" w:lineRule="auto"/>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=0</m:t>
                </m:r>
              </m:oMath>
            </m:oMathPara>
          </w:p>
          <w:p w:rsidR="00AA6F1F" w:rsidRPr="00A57EFF" w:rsidRDefault="00443791" w:rsidP="00AA6F1F">
            <w:pPr>
              <w:spacing w:line="480" w:lineRule="auto"/>
              <w:rPr>
                <w:rFonts w:ascii="Times New Roman" w:hAnsi="Times New Roman"/>
                <w:sz w:val="24"/>
              </w:rPr>
            </w:pPr>
            <m:oMath>
              <m:sSub>
                <m:sSubPr>
                  <m:ctrlPr>
                    <w:rPr>
                      <w:rFonts w:ascii="Cambria Math" w:hAnsi="Cambria Math"/>
                      <w:i/>
                      <w:sz w:val="24"/>
                    </w:rPr>
                  </m:ctrlPr>
                </m:sSubPr>
                <m:e>
                  <m:r>
                    <w:rPr>
                      <w:rFonts w:ascii="Cambria Math" w:hAnsi="Cambria Math"/>
                      <w:sz w:val="24"/>
                    </w:rPr>
                    <m:t>P</m:t>
                  </m:r>
                </m:e>
                <m:sub>
                  <m:r>
                    <w:rPr>
                      <w:rFonts w:ascii="Cambria Math" w:hAnsi="Cambria Math"/>
                      <w:sz w:val="24"/>
                    </w:rPr>
                    <m:t>add</m:t>
                  </m:r>
                </m:sub>
              </m:sSub>
              <m:r>
                <w:rPr>
                  <w:rFonts w:ascii="Cambria Math" w:hAnsi="Cambria Math"/>
                  <w:sz w:val="24"/>
                </w:rPr>
                <m:t>=66731</m:t>
              </m:r>
            </m:oMath>
            <w:r w:rsidR="00AA6F1F" w:rsidRPr="00AA6F1F">
              <w:rPr>
                <w:rFonts w:ascii="Times New Roman" w:eastAsia="Times New Roman" w:hAnsi="Times New Roman" w:cs="Times New Roman"/>
                <w:sz w:val="24"/>
                <w:szCs w:val="24"/>
              </w:rPr>
              <w:t xml:space="preserve"> µmol</w:t>
            </w:r>
          </w:p>
        </w:tc>
        <w:tc>
          <w:tcPr>
            <w:tcW w:w="1511" w:type="dxa"/>
          </w:tcPr>
          <w:p w:rsidR="00AA6F1F" w:rsidRPr="00A57EFF" w:rsidRDefault="00AA6F1F" w:rsidP="00AA6F1F">
            <w:pPr>
              <w:spacing w:line="480" w:lineRule="auto"/>
              <w:rPr>
                <w:rFonts w:ascii="Times New Roman" w:hAnsi="Times New Roman"/>
                <w:sz w:val="24"/>
              </w:rPr>
            </w:pPr>
            <w:r w:rsidRPr="00AA6F1F">
              <w:rPr>
                <w:rFonts w:ascii="Times New Roman" w:eastAsia="Times New Roman" w:hAnsi="Times New Roman" w:cs="Times New Roman"/>
                <w:sz w:val="24"/>
              </w:rPr>
              <w:t xml:space="preserve"> </w:t>
            </w:r>
            <m:oMath>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M</m:t>
                      </m:r>
                    </m:e>
                    <m:sub>
                      <m:r>
                        <w:rPr>
                          <w:rFonts w:ascii="Cambria Math" w:hAnsi="Cambria Math"/>
                          <w:sz w:val="24"/>
                        </w:rPr>
                        <m:t>4</m:t>
                      </m:r>
                    </m:sub>
                  </m:sSub>
                </m:sub>
              </m:sSub>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e>
              </m:d>
              <m:r>
                <w:rPr>
                  <w:rFonts w:ascii="Cambria Math" w:hAnsi="Cambria Math"/>
                  <w:sz w:val="24"/>
                </w:rPr>
                <m:t>=</m:t>
              </m:r>
              <m:nary>
                <m:naryPr>
                  <m:ctrlPr>
                    <w:rPr>
                      <w:rFonts w:ascii="Cambria Math" w:hAnsi="Cambria Math"/>
                      <w:i/>
                      <w:sz w:val="24"/>
                    </w:rPr>
                  </m:ctrlPr>
                </m:naryPr>
                <m:sub>
                  <m:r>
                    <w:rPr>
                      <w:rFonts w:ascii="Cambria Math" w:hAnsi="Cambria Math"/>
                      <w:sz w:val="24"/>
                    </w:rPr>
                    <m:t>0</m:t>
                  </m:r>
                </m:sub>
                <m:sup>
                  <m:r>
                    <w:rPr>
                      <w:rFonts w:ascii="Cambria Math" w:hAnsi="Cambria Math"/>
                      <w:sz w:val="24"/>
                    </w:rPr>
                    <m:t>t</m:t>
                  </m:r>
                </m:sup>
                <m:e>
                  <m:nary>
                    <m:naryPr>
                      <m:supHide m:val="1"/>
                      <m:ctrlPr>
                        <w:rPr>
                          <w:rFonts w:ascii="Cambria Math" w:hAnsi="Cambria Math"/>
                          <w:i/>
                          <w:sz w:val="24"/>
                        </w:rPr>
                      </m:ctrlPr>
                    </m:naryPr>
                    <m:sub>
                      <m:sSub>
                        <m:sSubPr>
                          <m:ctrlPr>
                            <w:rPr>
                              <w:rFonts w:ascii="Cambria Math" w:hAnsi="Cambria Math"/>
                              <w:i/>
                              <w:sz w:val="24"/>
                            </w:rPr>
                          </m:ctrlPr>
                        </m:sSubPr>
                        <m:e>
                          <m:r>
                            <m:rPr>
                              <m:sty m:val="p"/>
                            </m:rPr>
                            <w:rPr>
                              <w:rFonts w:ascii="Cambria Math" w:hAnsi="Cambria Math"/>
                              <w:sz w:val="24"/>
                            </w:rPr>
                            <m:t>Γ</m:t>
                          </m:r>
                        </m:e>
                        <m:sub>
                          <m:r>
                            <w:rPr>
                              <w:rFonts w:ascii="Cambria Math" w:hAnsi="Cambria Math"/>
                              <w:sz w:val="24"/>
                            </w:rPr>
                            <m:t>p</m:t>
                          </m:r>
                        </m:sub>
                      </m:sSub>
                    </m:sub>
                    <m:sup/>
                    <m:e>
                      <m:sSup>
                        <m:sSupPr>
                          <m:ctrlPr>
                            <w:rPr>
                              <w:rFonts w:ascii="Cambria Math" w:hAnsi="Cambria Math"/>
                              <w:i/>
                              <w:sz w:val="24"/>
                            </w:rPr>
                          </m:ctrlPr>
                        </m:sSupPr>
                        <m:e>
                          <m:r>
                            <w:rPr>
                              <w:rFonts w:ascii="Cambria Math" w:hAnsi="Cambria Math"/>
                              <w:sz w:val="24"/>
                            </w:rPr>
                            <m:t>D</m:t>
                          </m:r>
                        </m:e>
                        <m:sup>
                          <m:r>
                            <w:rPr>
                              <w:rFonts w:ascii="Cambria Math" w:hAnsi="Cambria Math"/>
                              <w:sz w:val="24"/>
                            </w:rPr>
                            <m:t>P</m:t>
                          </m:r>
                        </m:sup>
                      </m:sSup>
                    </m:e>
                  </m:nary>
                </m:e>
              </m:nary>
              <m:r>
                <m:rPr>
                  <m:sty m:val="b"/>
                </m:rPr>
                <w:rPr>
                  <w:rFonts w:ascii="Cambria Math" w:hAnsi="Cambria Math"/>
                  <w:sz w:val="24"/>
                </w:rPr>
                <m:t>∇</m:t>
              </m:r>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l</m:t>
                  </m:r>
                </m:sub>
                <m:sup>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,β</m:t>
                      </m:r>
                    </m:e>
                    <m:sub>
                      <m:r>
                        <w:rPr>
                          <w:rFonts w:ascii="Cambria Math" w:hAnsi="Cambria Math"/>
                          <w:sz w:val="24"/>
                        </w:rPr>
                        <m:t>2</m:t>
                      </m:r>
                    </m:sub>
                  </m:sSub>
                </m:sup>
              </m:sSubSup>
              <m:r>
                <w:rPr>
                  <w:rFonts w:ascii="Cambria Math" w:hAnsi="Cambria Math"/>
                  <w:sz w:val="24"/>
                </w:rPr>
                <m:t>⋅</m:t>
              </m:r>
              <m:sSub>
                <m:sSubPr>
                  <m:ctrlPr>
                    <w:rPr>
                      <w:rFonts w:ascii="Cambria Math" w:hAnsi="Cambria Math"/>
                      <w:b/>
                      <w:sz w:val="24"/>
                    </w:rPr>
                  </m:ctrlPr>
                </m:sSubPr>
                <m:e>
                  <m:r>
                    <m:rPr>
                      <m:sty m:val="b"/>
                    </m:rPr>
                    <w:rPr>
                      <w:rFonts w:ascii="Cambria Math" w:hAnsi="Cambria Math"/>
                      <w:sz w:val="24"/>
                    </w:rPr>
                    <m:t>n</m:t>
                  </m:r>
                  <m:ctrlPr>
                    <w:rPr>
                      <w:rFonts w:ascii="Cambria Math" w:hAnsi="Cambria Math"/>
                      <w:i/>
                      <w:sz w:val="24"/>
                    </w:rPr>
                  </m:ctrlPr>
                </m:e>
                <m:sub>
                  <m:r>
                    <m:rPr>
                      <m:sty m:val="b"/>
                    </m:rPr>
                    <w:rPr>
                      <w:rFonts w:ascii="Cambria Math" w:hAnsi="Cambria Math"/>
                      <w:sz w:val="24"/>
                    </w:rPr>
                    <m:t>p</m:t>
                  </m:r>
                </m:sub>
              </m:sSub>
              <m:r>
                <w:rPr>
                  <w:rFonts w:ascii="Cambria Math" w:hAnsi="Cambria Math"/>
                  <w:sz w:val="24"/>
                </w:rPr>
                <m:t>d</m:t>
              </m:r>
              <m:r>
                <m:rPr>
                  <m:sty m:val="bi"/>
                </m:rPr>
                <w:rPr>
                  <w:rFonts w:ascii="Cambria Math" w:hAnsi="Cambria Math"/>
                  <w:sz w:val="24"/>
                </w:rPr>
                <m:t>x</m:t>
              </m:r>
              <m:r>
                <w:rPr>
                  <w:rFonts w:ascii="Cambria Math" w:hAnsi="Cambria Math"/>
                  <w:sz w:val="24"/>
                </w:rPr>
                <m:t>dτ</m:t>
              </m:r>
            </m:oMath>
          </w:p>
        </w:tc>
        <w:tc>
          <w:tcPr>
            <w:tcW w:w="4868" w:type="dxa"/>
          </w:tcPr>
          <w:p w:rsidR="00AA6F1F" w:rsidRPr="00A57EFF" w:rsidRDefault="00AA6F1F" w:rsidP="00AA6F1F">
            <w:pPr>
              <w:spacing w:line="480" w:lineRule="auto"/>
              <w:rPr>
                <w:rFonts w:ascii="Times New Roman" w:hAnsi="Times New Roman"/>
                <w:sz w:val="24"/>
              </w:rPr>
            </w:pPr>
            <m:oMathPara>
              <m:oMath>
                <m:r>
                  <w:rPr>
                    <w:rFonts w:ascii="Cambria Math" w:hAnsi="Cambria Math"/>
                    <w:sz w:val="24"/>
                  </w:rPr>
                  <m:t>ob</m:t>
                </m:r>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j</m:t>
                        </m:r>
                      </m:e>
                      <m:sub>
                        <m:r>
                          <w:rPr>
                            <w:rFonts w:ascii="Cambria Math" w:hAnsi="Cambria Math"/>
                            <w:sz w:val="24"/>
                          </w:rPr>
                          <m:t>4</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r>
                      <w:rPr>
                        <w:rFonts w:ascii="Cambria Math" w:hAnsi="Cambria Math"/>
                        <w:sz w:val="24"/>
                      </w:rPr>
                      <m:t>)</m:t>
                    </m:r>
                  </m:e>
                  <m:sub>
                    <m:r>
                      <w:rPr>
                        <w:rFonts w:ascii="Cambria Math" w:hAnsi="Cambria Math"/>
                        <w:sz w:val="24"/>
                      </w:rPr>
                      <m:t xml:space="preserve"> </m:t>
                    </m:r>
                  </m:sub>
                </m:sSub>
                <m:r>
                  <w:rPr>
                    <w:rFonts w:ascii="Cambria Math" w:hAnsi="Cambria Math"/>
                    <w:sz w:val="24"/>
                  </w:rPr>
                  <m:t>=</m:t>
                </m:r>
                <m:nary>
                  <m:naryPr>
                    <m:chr m:val="∑"/>
                    <m:supHide m:val="1"/>
                    <m:ctrlPr>
                      <w:rPr>
                        <w:rFonts w:ascii="Cambria Math" w:hAnsi="Cambria Math"/>
                        <w:i/>
                        <w:sz w:val="24"/>
                      </w:rPr>
                    </m:ctrlPr>
                  </m:naryPr>
                  <m:sub>
                    <m:r>
                      <w:rPr>
                        <w:rFonts w:ascii="Cambria Math" w:hAnsi="Cambria Math"/>
                        <w:sz w:val="24"/>
                      </w:rPr>
                      <m:t>t∈</m:t>
                    </m:r>
                    <m:sSub>
                      <m:sSubPr>
                        <m:ctrlPr>
                          <w:rPr>
                            <w:rFonts w:ascii="Cambria Math" w:hAnsi="Cambria Math"/>
                            <w:i/>
                            <w:sz w:val="24"/>
                          </w:rPr>
                        </m:ctrlPr>
                      </m:sSubPr>
                      <m:e>
                        <m:r>
                          <w:rPr>
                            <w:rFonts w:ascii="Cambria Math" w:hAnsi="Cambria Math"/>
                            <w:sz w:val="24"/>
                          </w:rPr>
                          <m:t>T</m:t>
                        </m:r>
                      </m:e>
                      <m:sub>
                        <m:r>
                          <w:rPr>
                            <w:rFonts w:ascii="Cambria Math" w:hAnsi="Cambria Math"/>
                            <w:sz w:val="24"/>
                          </w:rPr>
                          <m:t>2</m:t>
                        </m:r>
                      </m:sub>
                    </m:sSub>
                    <m:r>
                      <w:rPr>
                        <w:rFonts w:ascii="Cambria Math" w:hAnsi="Cambria Math"/>
                        <w:sz w:val="24"/>
                      </w:rPr>
                      <m:t xml:space="preserve"> </m:t>
                    </m:r>
                  </m:sub>
                  <m:sup/>
                  <m:e>
                    <m:f>
                      <m:fPr>
                        <m:ctrlPr>
                          <w:rPr>
                            <w:rFonts w:ascii="Cambria Math" w:hAnsi="Cambria Math"/>
                            <w:i/>
                            <w:sz w:val="24"/>
                          </w:rPr>
                        </m:ctrlPr>
                      </m:fPr>
                      <m:num>
                        <m:sSup>
                          <m:sSupPr>
                            <m:ctrlPr>
                              <w:rPr>
                                <w:rFonts w:ascii="Cambria Math" w:hAnsi="Cambria Math"/>
                                <w:i/>
                                <w:sz w:val="24"/>
                              </w:rPr>
                            </m:ctrlPr>
                          </m:sSupPr>
                          <m:e>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M</m:t>
                                        </m:r>
                                      </m:e>
                                      <m:sub>
                                        <m:r>
                                          <w:rPr>
                                            <w:rFonts w:ascii="Cambria Math" w:hAnsi="Cambria Math"/>
                                            <w:sz w:val="24"/>
                                          </w:rPr>
                                          <m:t>4</m:t>
                                        </m:r>
                                      </m:sub>
                                    </m:sSub>
                                  </m:sub>
                                </m:sSub>
                                <m:d>
                                  <m:dPr>
                                    <m:ctrlPr>
                                      <w:rPr>
                                        <w:rFonts w:ascii="Cambria Math" w:hAnsi="Cambria Math"/>
                                        <w:i/>
                                        <w:sz w:val="24"/>
                                      </w:rPr>
                                    </m:ctrlPr>
                                  </m:dPr>
                                  <m:e>
                                    <m:r>
                                      <w:rPr>
                                        <w:rFonts w:ascii="Cambria Math" w:hAnsi="Cambria Math"/>
                                        <w:sz w:val="24"/>
                                      </w:rPr>
                                      <m:t>t;</m:t>
                                    </m:r>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e>
                                </m:d>
                                <m:r>
                                  <w:rPr>
                                    <w:rFonts w:ascii="Cambria Math" w:hAnsi="Cambria Math"/>
                                    <w:sz w:val="24"/>
                                  </w:rPr>
                                  <m:t>-</m:t>
                                </m:r>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E</m:t>
                                        </m:r>
                                      </m:e>
                                      <m:sub>
                                        <m:r>
                                          <w:rPr>
                                            <w:rFonts w:ascii="Cambria Math" w:hAnsi="Cambria Math"/>
                                            <w:sz w:val="24"/>
                                          </w:rPr>
                                          <m:t>4</m:t>
                                        </m:r>
                                      </m:sub>
                                    </m:sSub>
                                  </m:sub>
                                </m:sSub>
                                <m:d>
                                  <m:dPr>
                                    <m:ctrlPr>
                                      <w:rPr>
                                        <w:rFonts w:ascii="Cambria Math" w:hAnsi="Cambria Math"/>
                                        <w:i/>
                                        <w:sz w:val="24"/>
                                      </w:rPr>
                                    </m:ctrlPr>
                                  </m:dPr>
                                  <m:e>
                                    <m:r>
                                      <w:rPr>
                                        <w:rFonts w:ascii="Cambria Math" w:hAnsi="Cambria Math"/>
                                        <w:sz w:val="24"/>
                                      </w:rPr>
                                      <m:t>t</m:t>
                                    </m:r>
                                  </m:e>
                                </m:d>
                              </m:e>
                            </m:d>
                          </m:e>
                          <m:sup>
                            <m:r>
                              <w:rPr>
                                <w:rFonts w:ascii="Cambria Math" w:hAnsi="Cambria Math"/>
                                <w:sz w:val="24"/>
                              </w:rPr>
                              <m:t>2</m:t>
                            </m:r>
                          </m:sup>
                        </m:sSup>
                      </m:num>
                      <m:den>
                        <m:sSub>
                          <m:sSubPr>
                            <m:ctrlPr>
                              <w:rPr>
                                <w:rFonts w:ascii="Cambria Math" w:hAnsi="Cambria Math"/>
                                <w:i/>
                                <w:sz w:val="24"/>
                              </w:rPr>
                            </m:ctrlPr>
                          </m:sSubPr>
                          <m:e>
                            <m:r>
                              <w:rPr>
                                <w:rFonts w:ascii="Cambria Math" w:hAnsi="Cambria Math"/>
                                <w:sz w:val="24"/>
                              </w:rPr>
                              <m:t>σ</m:t>
                            </m:r>
                          </m:e>
                          <m:sub>
                            <m:r>
                              <w:rPr>
                                <w:rFonts w:ascii="Cambria Math" w:hAnsi="Cambria Math"/>
                                <w:sz w:val="24"/>
                              </w:rPr>
                              <m:t>4</m:t>
                            </m:r>
                          </m:sub>
                        </m:sSub>
                        <m:sSup>
                          <m:sSupPr>
                            <m:ctrlPr>
                              <w:rPr>
                                <w:rFonts w:ascii="Cambria Math" w:hAnsi="Cambria Math"/>
                                <w:i/>
                                <w:sz w:val="24"/>
                              </w:rPr>
                            </m:ctrlPr>
                          </m:sSupPr>
                          <m:e>
                            <m:d>
                              <m:dPr>
                                <m:ctrlPr>
                                  <w:rPr>
                                    <w:rFonts w:ascii="Cambria Math" w:hAnsi="Cambria Math"/>
                                    <w:i/>
                                    <w:sz w:val="24"/>
                                  </w:rPr>
                                </m:ctrlPr>
                              </m:dPr>
                              <m:e>
                                <m:r>
                                  <w:rPr>
                                    <w:rFonts w:ascii="Cambria Math" w:hAnsi="Cambria Math"/>
                                    <w:sz w:val="24"/>
                                  </w:rPr>
                                  <m:t>t</m:t>
                                </m:r>
                              </m:e>
                            </m:d>
                          </m:e>
                          <m:sup>
                            <m:r>
                              <w:rPr>
                                <w:rFonts w:ascii="Cambria Math" w:hAnsi="Cambria Math"/>
                                <w:sz w:val="24"/>
                              </w:rPr>
                              <m:t>2</m:t>
                            </m:r>
                          </m:sup>
                        </m:sSup>
                      </m:den>
                    </m:f>
                    <m:r>
                      <w:rPr>
                        <w:rFonts w:ascii="Cambria Math" w:hAnsi="Cambria Math"/>
                        <w:sz w:val="24"/>
                      </w:rPr>
                      <m:t xml:space="preserve"> </m:t>
                    </m:r>
                  </m:e>
                </m:nary>
              </m:oMath>
            </m:oMathPara>
          </w:p>
        </w:tc>
      </w:tr>
      <w:tr w:rsidR="00AA6F1F" w:rsidRPr="00AA6F1F" w:rsidTr="00AB3042">
        <w:tc>
          <w:tcPr>
            <w:tcW w:w="1348" w:type="dxa"/>
          </w:tcPr>
          <w:p w:rsidR="00AA6F1F" w:rsidRPr="00A57EFF" w:rsidRDefault="00443791" w:rsidP="00AA6F1F">
            <w:pPr>
              <w:spacing w:line="480" w:lineRule="auto"/>
              <w:jc w:val="both"/>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oMath>
            </m:oMathPara>
          </w:p>
        </w:tc>
        <w:tc>
          <w:tcPr>
            <w:tcW w:w="2049" w:type="dxa"/>
          </w:tcPr>
          <w:p w:rsidR="002512B0" w:rsidRPr="006C1AE2" w:rsidRDefault="00443791" w:rsidP="00AA6F1F">
            <w:pPr>
              <w:spacing w:line="480" w:lineRule="auto"/>
              <w:rPr>
                <w:rFonts w:ascii="Times New Roman" w:eastAsiaTheme="minorEastAsia" w:hAnsi="Times New Roman"/>
                <w:sz w:val="24"/>
              </w:rPr>
            </w:pPr>
            <m:oMath>
              <m:sSub>
                <m:sSubPr>
                  <m:ctrlPr>
                    <w:rPr>
                      <w:rFonts w:ascii="Cambria Math" w:hAnsi="Cambria Math"/>
                      <w:i/>
                      <w:sz w:val="24"/>
                    </w:rPr>
                  </m:ctrlPr>
                </m:sSubPr>
                <m:e>
                  <m:r>
                    <w:rPr>
                      <w:rFonts w:ascii="Cambria Math" w:hAnsi="Cambria Math"/>
                      <w:sz w:val="24"/>
                    </w:rPr>
                    <m:t>P</m:t>
                  </m:r>
                </m:e>
                <m:sub>
                  <m:r>
                    <w:rPr>
                      <w:rFonts w:ascii="Cambria Math" w:hAnsi="Cambria Math"/>
                      <w:sz w:val="24"/>
                    </w:rPr>
                    <m:t>add</m:t>
                  </m:r>
                </m:sub>
              </m:sSub>
              <m:r>
                <w:rPr>
                  <w:rFonts w:ascii="Cambria Math" w:hAnsi="Cambria Math"/>
                  <w:sz w:val="24"/>
                </w:rPr>
                <m:t>=66731</m:t>
              </m:r>
            </m:oMath>
            <w:r w:rsidR="006C1AE2">
              <w:rPr>
                <w:rFonts w:ascii="Times New Roman" w:eastAsiaTheme="minorEastAsia" w:hAnsi="Times New Roman"/>
                <w:sz w:val="24"/>
              </w:rPr>
              <w:t xml:space="preserve"> </w:t>
            </w:r>
            <w:r w:rsidR="002512B0" w:rsidRPr="00AA6F1F">
              <w:rPr>
                <w:rFonts w:ascii="Times New Roman" w:eastAsia="Times New Roman" w:hAnsi="Times New Roman" w:cs="Times New Roman"/>
                <w:sz w:val="24"/>
                <w:szCs w:val="24"/>
              </w:rPr>
              <w:t>µmol</w:t>
            </w:r>
          </w:p>
        </w:tc>
        <w:tc>
          <w:tcPr>
            <w:tcW w:w="1511" w:type="dxa"/>
          </w:tcPr>
          <w:p w:rsidR="00AA6F1F" w:rsidRPr="00A57EFF" w:rsidRDefault="00443791" w:rsidP="00AA6F1F">
            <w:pPr>
              <w:spacing w:line="480" w:lineRule="auto"/>
              <w:rPr>
                <w:rFonts w:ascii="Times New Roman" w:hAnsi="Times New Roman"/>
                <w:sz w:val="24"/>
              </w:rPr>
            </w:pPr>
            <m:oMathPara>
              <m:oMath>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M</m:t>
                        </m:r>
                      </m:e>
                      <m:sub>
                        <m:r>
                          <w:rPr>
                            <w:rFonts w:ascii="Cambria Math" w:hAnsi="Cambria Math"/>
                            <w:sz w:val="24"/>
                          </w:rPr>
                          <m:t>5</m:t>
                        </m:r>
                      </m:sub>
                    </m:sSub>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,t;</m:t>
                    </m:r>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e>
                </m:d>
                <m:r>
                  <w:rPr>
                    <w:rFonts w:ascii="Cambria Math" w:hAnsi="Cambria Math"/>
                    <w:sz w:val="24"/>
                  </w:rPr>
                  <m:t>=</m:t>
                </m:r>
                <m:nary>
                  <m:naryPr>
                    <m:ctrlPr>
                      <w:rPr>
                        <w:rFonts w:ascii="Cambria Math" w:hAnsi="Cambria Math"/>
                        <w:i/>
                        <w:sz w:val="24"/>
                      </w:rPr>
                    </m:ctrlPr>
                  </m:naryPr>
                  <m:sub>
                    <m:r>
                      <w:rPr>
                        <w:rFonts w:ascii="Cambria Math" w:hAnsi="Cambria Math"/>
                        <w:sz w:val="24"/>
                      </w:rPr>
                      <m:t>0</m:t>
                    </m:r>
                  </m:sub>
                  <m:sup>
                    <m:r>
                      <w:rPr>
                        <w:rFonts w:ascii="Cambria Math" w:hAnsi="Cambria Math"/>
                        <w:sz w:val="24"/>
                      </w:rPr>
                      <m:t>t</m:t>
                    </m:r>
                  </m:sup>
                  <m:e>
                    <m:nary>
                      <m:naryPr>
                        <m:supHide m:val="1"/>
                        <m:ctrlPr>
                          <w:rPr>
                            <w:rFonts w:ascii="Cambria Math" w:hAnsi="Cambria Math"/>
                            <w:i/>
                            <w:sz w:val="24"/>
                          </w:rPr>
                        </m:ctrlPr>
                      </m:naryPr>
                      <m:sub>
                        <m:sSub>
                          <m:sSubPr>
                            <m:ctrlPr>
                              <w:rPr>
                                <w:rFonts w:ascii="Cambria Math" w:hAnsi="Cambria Math"/>
                                <w:i/>
                                <w:sz w:val="24"/>
                              </w:rPr>
                            </m:ctrlPr>
                          </m:sSubPr>
                          <m:e>
                            <m:r>
                              <m:rPr>
                                <m:sty m:val="p"/>
                              </m:rPr>
                              <w:rPr>
                                <w:rFonts w:ascii="Cambria Math" w:hAnsi="Cambria Math"/>
                                <w:sz w:val="24"/>
                              </w:rPr>
                              <m:t>Γ</m:t>
                            </m:r>
                          </m:e>
                          <m:sub>
                            <m:r>
                              <w:rPr>
                                <w:rFonts w:ascii="Cambria Math" w:hAnsi="Cambria Math"/>
                                <w:sz w:val="24"/>
                              </w:rPr>
                              <m:t>p</m:t>
                            </m:r>
                          </m:sub>
                        </m:sSub>
                      </m:sub>
                      <m:sup/>
                      <m:e>
                        <m:sSup>
                          <m:sSupPr>
                            <m:ctrlPr>
                              <w:rPr>
                                <w:rFonts w:ascii="Cambria Math" w:hAnsi="Cambria Math"/>
                                <w:i/>
                                <w:sz w:val="24"/>
                              </w:rPr>
                            </m:ctrlPr>
                          </m:sSupPr>
                          <m:e>
                            <m:r>
                              <w:rPr>
                                <w:rFonts w:ascii="Cambria Math" w:hAnsi="Cambria Math"/>
                                <w:sz w:val="24"/>
                              </w:rPr>
                              <m:t>D</m:t>
                            </m:r>
                          </m:e>
                          <m:sup>
                            <m:r>
                              <w:rPr>
                                <w:rFonts w:ascii="Cambria Math" w:hAnsi="Cambria Math"/>
                                <w:sz w:val="24"/>
                              </w:rPr>
                              <m:t>P</m:t>
                            </m:r>
                          </m:sup>
                        </m:sSup>
                      </m:e>
                    </m:nary>
                  </m:e>
                </m:nary>
                <m:r>
                  <m:rPr>
                    <m:sty m:val="b"/>
                  </m:rPr>
                  <w:rPr>
                    <w:rFonts w:ascii="Cambria Math" w:hAnsi="Cambria Math"/>
                    <w:sz w:val="24"/>
                  </w:rPr>
                  <m:t>∇</m:t>
                </m:r>
                <m:sSubSup>
                  <m:sSubSupPr>
                    <m:ctrlPr>
                      <w:rPr>
                        <w:rFonts w:ascii="Cambria Math" w:hAnsi="Cambria Math"/>
                        <w:i/>
                        <w:sz w:val="24"/>
                      </w:rPr>
                    </m:ctrlPr>
                  </m:sSubSupPr>
                  <m:e>
                    <m:r>
                      <w:rPr>
                        <w:rFonts w:ascii="Cambria Math" w:hAnsi="Cambria Math"/>
                        <w:sz w:val="24"/>
                      </w:rPr>
                      <m:t>P</m:t>
                    </m:r>
                  </m:e>
                  <m:sub>
                    <m:r>
                      <w:rPr>
                        <w:rFonts w:ascii="Cambria Math" w:hAnsi="Cambria Math"/>
                        <w:sz w:val="24"/>
                      </w:rPr>
                      <m:t>l</m:t>
                    </m:r>
                  </m:sub>
                  <m:sup>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r>
                      <w:rPr>
                        <w:rFonts w:ascii="Cambria Math" w:hAnsi="Cambria Math"/>
                        <w:sz w:val="24"/>
                      </w:rPr>
                      <m:t>,</m:t>
                    </m:r>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sup>
                </m:sSubSup>
                <m:r>
                  <w:rPr>
                    <w:rFonts w:ascii="Cambria Math" w:hAnsi="Cambria Math"/>
                    <w:sz w:val="24"/>
                  </w:rPr>
                  <m:t>⋅</m:t>
                </m:r>
                <m:sSub>
                  <m:sSubPr>
                    <m:ctrlPr>
                      <w:rPr>
                        <w:rFonts w:ascii="Cambria Math" w:hAnsi="Cambria Math"/>
                        <w:b/>
                        <w:sz w:val="24"/>
                      </w:rPr>
                    </m:ctrlPr>
                  </m:sSubPr>
                  <m:e>
                    <m:r>
                      <m:rPr>
                        <m:sty m:val="b"/>
                      </m:rPr>
                      <w:rPr>
                        <w:rFonts w:ascii="Cambria Math" w:hAnsi="Cambria Math"/>
                        <w:sz w:val="24"/>
                      </w:rPr>
                      <m:t>n</m:t>
                    </m:r>
                    <m:ctrlPr>
                      <w:rPr>
                        <w:rFonts w:ascii="Cambria Math" w:hAnsi="Cambria Math"/>
                        <w:i/>
                        <w:sz w:val="24"/>
                      </w:rPr>
                    </m:ctrlPr>
                  </m:e>
                  <m:sub>
                    <m:r>
                      <m:rPr>
                        <m:sty m:val="b"/>
                      </m:rPr>
                      <w:rPr>
                        <w:rFonts w:ascii="Cambria Math" w:hAnsi="Cambria Math"/>
                        <w:sz w:val="24"/>
                      </w:rPr>
                      <m:t>p</m:t>
                    </m:r>
                  </m:sub>
                </m:sSub>
                <m:r>
                  <w:rPr>
                    <w:rFonts w:ascii="Cambria Math" w:hAnsi="Cambria Math"/>
                    <w:sz w:val="24"/>
                  </w:rPr>
                  <m:t>d</m:t>
                </m:r>
                <m:r>
                  <m:rPr>
                    <m:sty m:val="bi"/>
                  </m:rPr>
                  <w:rPr>
                    <w:rFonts w:ascii="Cambria Math" w:hAnsi="Cambria Math"/>
                    <w:sz w:val="24"/>
                  </w:rPr>
                  <m:t>x</m:t>
                </m:r>
                <m:r>
                  <w:rPr>
                    <w:rFonts w:ascii="Cambria Math" w:hAnsi="Cambria Math"/>
                    <w:sz w:val="24"/>
                  </w:rPr>
                  <m:t>dτ.</m:t>
                </m:r>
              </m:oMath>
            </m:oMathPara>
          </w:p>
        </w:tc>
        <w:tc>
          <w:tcPr>
            <w:tcW w:w="4868" w:type="dxa"/>
          </w:tcPr>
          <w:p w:rsidR="00AA6F1F" w:rsidRPr="00A57EFF" w:rsidRDefault="00AA6F1F" w:rsidP="00AA6F1F">
            <w:pPr>
              <w:spacing w:line="480" w:lineRule="auto"/>
              <w:rPr>
                <w:rFonts w:ascii="Times New Roman" w:hAnsi="Times New Roman"/>
                <w:sz w:val="24"/>
              </w:rPr>
            </w:pPr>
            <m:oMathPara>
              <m:oMath>
                <m:r>
                  <w:rPr>
                    <w:rFonts w:ascii="Cambria Math" w:hAnsi="Cambria Math"/>
                    <w:sz w:val="24"/>
                  </w:rPr>
                  <m:t>ob</m:t>
                </m:r>
                <m:sSub>
                  <m:sSubPr>
                    <m:ctrlPr>
                      <w:rPr>
                        <w:rFonts w:ascii="Cambria Math" w:hAnsi="Cambria Math"/>
                        <w:i/>
                        <w:sz w:val="24"/>
                      </w:rPr>
                    </m:ctrlPr>
                  </m:sSubPr>
                  <m:e>
                    <m:sSub>
                      <m:sSubPr>
                        <m:ctrlPr>
                          <w:rPr>
                            <w:rFonts w:ascii="Cambria Math" w:hAnsi="Cambria Math"/>
                            <w:i/>
                            <w:sz w:val="24"/>
                          </w:rPr>
                        </m:ctrlPr>
                      </m:sSubPr>
                      <m:e>
                        <m:r>
                          <w:rPr>
                            <w:rFonts w:ascii="Cambria Math" w:hAnsi="Cambria Math"/>
                            <w:sz w:val="24"/>
                          </w:rPr>
                          <m:t>j</m:t>
                        </m:r>
                      </m:e>
                      <m:sub>
                        <m:r>
                          <w:rPr>
                            <w:rFonts w:ascii="Cambria Math" w:hAnsi="Cambria Math"/>
                            <w:sz w:val="24"/>
                          </w:rPr>
                          <m:t>5</m:t>
                        </m:r>
                      </m:sub>
                    </m:sSub>
                    <m:r>
                      <w:rPr>
                        <w:rFonts w:ascii="Cambria Math" w:hAnsi="Cambria Math"/>
                        <w:sz w:val="24"/>
                      </w:rPr>
                      <m:t>(</m:t>
                    </m:r>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r>
                      <w:rPr>
                        <w:rFonts w:ascii="Cambria Math" w:hAnsi="Cambria Math"/>
                        <w:sz w:val="24"/>
                      </w:rPr>
                      <m:t>)</m:t>
                    </m:r>
                  </m:e>
                  <m:sub>
                    <m:r>
                      <w:rPr>
                        <w:rFonts w:ascii="Cambria Math" w:hAnsi="Cambria Math"/>
                        <w:sz w:val="24"/>
                      </w:rPr>
                      <m:t xml:space="preserve"> </m:t>
                    </m:r>
                  </m:sub>
                </m:sSub>
                <m:r>
                  <w:rPr>
                    <w:rFonts w:ascii="Cambria Math" w:hAnsi="Cambria Math"/>
                    <w:sz w:val="24"/>
                  </w:rPr>
                  <m:t>=</m:t>
                </m:r>
                <m:nary>
                  <m:naryPr>
                    <m:chr m:val="∑"/>
                    <m:supHide m:val="1"/>
                    <m:ctrlPr>
                      <w:rPr>
                        <w:rFonts w:ascii="Cambria Math" w:hAnsi="Cambria Math"/>
                        <w:i/>
                        <w:sz w:val="24"/>
                      </w:rPr>
                    </m:ctrlPr>
                  </m:naryPr>
                  <m:sub>
                    <m:r>
                      <w:rPr>
                        <w:rFonts w:ascii="Cambria Math" w:hAnsi="Cambria Math"/>
                        <w:sz w:val="24"/>
                      </w:rPr>
                      <m:t>t∈</m:t>
                    </m:r>
                    <m:sSub>
                      <m:sSubPr>
                        <m:ctrlPr>
                          <w:rPr>
                            <w:rFonts w:ascii="Cambria Math" w:hAnsi="Cambria Math"/>
                            <w:i/>
                            <w:sz w:val="24"/>
                          </w:rPr>
                        </m:ctrlPr>
                      </m:sSubPr>
                      <m:e>
                        <m:r>
                          <w:rPr>
                            <w:rFonts w:ascii="Cambria Math" w:hAnsi="Cambria Math"/>
                            <w:sz w:val="24"/>
                          </w:rPr>
                          <m:t>T</m:t>
                        </m:r>
                      </m:e>
                      <m:sub>
                        <m:r>
                          <w:rPr>
                            <w:rFonts w:ascii="Cambria Math" w:hAnsi="Cambria Math"/>
                            <w:sz w:val="24"/>
                          </w:rPr>
                          <m:t>2</m:t>
                        </m:r>
                      </m:sub>
                    </m:sSub>
                    <m:r>
                      <w:rPr>
                        <w:rFonts w:ascii="Cambria Math" w:hAnsi="Cambria Math"/>
                        <w:sz w:val="24"/>
                      </w:rPr>
                      <m:t xml:space="preserve"> </m:t>
                    </m:r>
                  </m:sub>
                  <m:sup/>
                  <m:e>
                    <m:nary>
                      <m:naryPr>
                        <m:chr m:val="∑"/>
                        <m:supHide m:val="1"/>
                        <m:ctrlPr>
                          <w:rPr>
                            <w:rFonts w:ascii="Cambria Math" w:hAnsi="Cambria Math"/>
                            <w:i/>
                            <w:sz w:val="24"/>
                          </w:rPr>
                        </m:ctrlPr>
                      </m:naryPr>
                      <m:sub>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∈c</m:t>
                        </m:r>
                      </m:sub>
                      <m:sup/>
                      <m:e>
                        <m:f>
                          <m:fPr>
                            <m:ctrlPr>
                              <w:rPr>
                                <w:rFonts w:ascii="Cambria Math" w:hAnsi="Cambria Math"/>
                                <w:i/>
                                <w:sz w:val="24"/>
                              </w:rPr>
                            </m:ctrlPr>
                          </m:fPr>
                          <m:num>
                            <m:sSup>
                              <m:sSupPr>
                                <m:ctrlPr>
                                  <w:rPr>
                                    <w:rFonts w:ascii="Cambria Math" w:hAnsi="Cambria Math"/>
                                    <w:i/>
                                    <w:sz w:val="24"/>
                                  </w:rPr>
                                </m:ctrlPr>
                              </m:sSupPr>
                              <m:e>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M</m:t>
                                            </m:r>
                                          </m:e>
                                          <m:sub>
                                            <m:r>
                                              <w:rPr>
                                                <w:rFonts w:ascii="Cambria Math" w:hAnsi="Cambria Math"/>
                                                <w:sz w:val="24"/>
                                              </w:rPr>
                                              <m:t>5</m:t>
                                            </m:r>
                                          </m:sub>
                                        </m:sSub>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,t;</m:t>
                                        </m:r>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e>
                                    </m:d>
                                    <m:r>
                                      <w:rPr>
                                        <w:rFonts w:ascii="Cambria Math" w:hAnsi="Cambria Math"/>
                                        <w:sz w:val="24"/>
                                      </w:rPr>
                                      <m:t>-</m:t>
                                    </m:r>
                                    <m:sSub>
                                      <m:sSubPr>
                                        <m:ctrlPr>
                                          <w:rPr>
                                            <w:rFonts w:ascii="Cambria Math" w:hAnsi="Cambria Math"/>
                                            <w:i/>
                                            <w:sz w:val="24"/>
                                          </w:rPr>
                                        </m:ctrlPr>
                                      </m:sSubPr>
                                      <m:e>
                                        <m:r>
                                          <w:rPr>
                                            <w:rFonts w:ascii="Cambria Math" w:hAnsi="Cambria Math"/>
                                            <w:sz w:val="24"/>
                                          </w:rPr>
                                          <m:t>J</m:t>
                                        </m:r>
                                      </m:e>
                                      <m:sub>
                                        <m:sSub>
                                          <m:sSubPr>
                                            <m:ctrlPr>
                                              <w:rPr>
                                                <w:rFonts w:ascii="Cambria Math" w:hAnsi="Cambria Math"/>
                                                <w:i/>
                                                <w:sz w:val="24"/>
                                              </w:rPr>
                                            </m:ctrlPr>
                                          </m:sSubPr>
                                          <m:e>
                                            <m:r>
                                              <w:rPr>
                                                <w:rFonts w:ascii="Cambria Math" w:hAnsi="Cambria Math"/>
                                                <w:sz w:val="24"/>
                                              </w:rPr>
                                              <m:t>E</m:t>
                                            </m:r>
                                          </m:e>
                                          <m:sub>
                                            <m:r>
                                              <w:rPr>
                                                <w:rFonts w:ascii="Cambria Math" w:hAnsi="Cambria Math"/>
                                                <w:sz w:val="24"/>
                                              </w:rPr>
                                              <m:t>5</m:t>
                                            </m:r>
                                          </m:sub>
                                        </m:sSub>
                                      </m:sub>
                                    </m:sSub>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,t</m:t>
                                        </m:r>
                                      </m:e>
                                    </m:d>
                                  </m:e>
                                </m:d>
                              </m:e>
                              <m:sup>
                                <m:r>
                                  <w:rPr>
                                    <w:rFonts w:ascii="Cambria Math" w:hAnsi="Cambria Math"/>
                                    <w:sz w:val="24"/>
                                  </w:rPr>
                                  <m:t>2</m:t>
                                </m:r>
                              </m:sup>
                            </m:sSup>
                          </m:num>
                          <m:den>
                            <m:sSub>
                              <m:sSubPr>
                                <m:ctrlPr>
                                  <w:rPr>
                                    <w:rFonts w:ascii="Cambria Math" w:hAnsi="Cambria Math"/>
                                    <w:i/>
                                    <w:sz w:val="24"/>
                                  </w:rPr>
                                </m:ctrlPr>
                              </m:sSubPr>
                              <m:e>
                                <m:r>
                                  <w:rPr>
                                    <w:rFonts w:ascii="Cambria Math" w:hAnsi="Cambria Math"/>
                                    <w:sz w:val="24"/>
                                  </w:rPr>
                                  <m:t>σ</m:t>
                                </m:r>
                              </m:e>
                              <m:sub>
                                <m:r>
                                  <w:rPr>
                                    <w:rFonts w:ascii="Cambria Math" w:hAnsi="Cambria Math"/>
                                    <w:sz w:val="24"/>
                                  </w:rPr>
                                  <m:t>5</m:t>
                                </m:r>
                              </m:sub>
                            </m:sSub>
                            <m:sSup>
                              <m:sSupPr>
                                <m:ctrlPr>
                                  <w:rPr>
                                    <w:rFonts w:ascii="Cambria Math" w:hAnsi="Cambria Math"/>
                                    <w:i/>
                                    <w:sz w:val="24"/>
                                  </w:rPr>
                                </m:ctrlPr>
                              </m:sSupPr>
                              <m:e>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,t</m:t>
                                    </m:r>
                                  </m:e>
                                </m:d>
                              </m:e>
                              <m:sup>
                                <m:r>
                                  <w:rPr>
                                    <w:rFonts w:ascii="Cambria Math" w:hAnsi="Cambria Math"/>
                                    <w:sz w:val="24"/>
                                  </w:rPr>
                                  <m:t>2</m:t>
                                </m:r>
                              </m:sup>
                            </m:sSup>
                          </m:den>
                        </m:f>
                      </m:e>
                    </m:nary>
                    <m:r>
                      <w:rPr>
                        <w:rFonts w:ascii="Cambria Math" w:hAnsi="Cambria Math"/>
                        <w:sz w:val="24"/>
                      </w:rPr>
                      <m:t xml:space="preserve"> </m:t>
                    </m:r>
                  </m:e>
                </m:nary>
              </m:oMath>
            </m:oMathPara>
          </w:p>
        </w:tc>
      </w:tr>
    </w:tbl>
    <w:p w:rsidR="00AA6F1F" w:rsidRPr="00A57EFF" w:rsidRDefault="00AA6F1F" w:rsidP="00A57EFF">
      <w:pPr>
        <w:spacing w:after="200" w:line="480" w:lineRule="auto"/>
        <w:rPr>
          <w:rFonts w:ascii="Times New Roman" w:hAnsi="Times New Roman"/>
          <w:sz w:val="24"/>
        </w:rPr>
      </w:pPr>
    </w:p>
    <w:p w:rsidR="00AA6F1F" w:rsidRPr="00A57EFF" w:rsidRDefault="00AA6F1F" w:rsidP="00A57EFF">
      <w:pPr>
        <w:keepNext/>
        <w:keepLines/>
        <w:spacing w:before="40" w:after="0" w:line="480" w:lineRule="auto"/>
        <w:outlineLvl w:val="2"/>
        <w:rPr>
          <w:rFonts w:ascii="Times New Roman" w:hAnsi="Times New Roman"/>
          <w:color w:val="243F60"/>
          <w:sz w:val="24"/>
        </w:rPr>
      </w:pPr>
      <w:r w:rsidRPr="00A57EFF">
        <w:rPr>
          <w:rFonts w:ascii="Times New Roman" w:hAnsi="Times New Roman"/>
          <w:color w:val="243F60"/>
          <w:sz w:val="24"/>
        </w:rPr>
        <w:t>Numerical Experiments</w:t>
      </w:r>
    </w:p>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Once the model was calibrated to the microdialysis data, simulations were carried out to answer specific scientific questions: 1) Does the microdialysis probe behave well as a model root in terms of P uptake and citrate exudation? 2) How does citrate-P solubilisation contribute to root (and microdialysis probe) P uptake? 3) Under what soil buffering and citrate biodegradation conditions is typical root citrate exudation efficient for P absorption. The following simulations were deigned to answer these questions.</w:t>
      </w:r>
    </w:p>
    <w:p w:rsidR="00AA6F1F" w:rsidRPr="00A57EFF" w:rsidRDefault="00AA6F1F" w:rsidP="00A57EFF">
      <w:pPr>
        <w:spacing w:after="200" w:line="480" w:lineRule="auto"/>
        <w:rPr>
          <w:rFonts w:ascii="Times New Roman" w:hAnsi="Times New Roman"/>
          <w:b/>
          <w:sz w:val="24"/>
        </w:rPr>
      </w:pPr>
      <w:r w:rsidRPr="00A57EFF">
        <w:rPr>
          <w:rFonts w:ascii="Times New Roman" w:hAnsi="Times New Roman"/>
          <w:b/>
          <w:sz w:val="24"/>
        </w:rPr>
        <w:t>Are microdialysis probes good root analogues?</w:t>
      </w:r>
    </w:p>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To compare microdialysis probe and root behaviour, a suitable model for a root is proposed. This was achieved by changing the boundary conditions for the microdialysis probe in the model described above to suitable equations which describe root citrate exudation and P uptake. In particular, the P boundary condition is changed </w:t>
      </w:r>
      <w:r w:rsidRPr="00AA6F1F">
        <w:rPr>
          <w:rFonts w:ascii="Times New Roman" w:eastAsia="Calibri" w:hAnsi="Times New Roman" w:cs="Times New Roman"/>
          <w:sz w:val="24"/>
        </w:rPr>
        <w:t xml:space="preserve">from </w:t>
      </w:r>
      <w:r w:rsidR="00AB3042">
        <w:rPr>
          <w:rFonts w:ascii="Times New Roman" w:eastAsia="Calibri" w:hAnsi="Times New Roman" w:cs="Times New Roman"/>
          <w:sz w:val="24"/>
        </w:rPr>
        <w:t>an</w:t>
      </w:r>
      <w:r w:rsidRPr="00AA6F1F">
        <w:rPr>
          <w:rFonts w:ascii="Times New Roman" w:eastAsia="Calibri" w:hAnsi="Times New Roman" w:cs="Times New Roman"/>
          <w:sz w:val="24"/>
        </w:rPr>
        <w:t xml:space="preserve"> osmosis uptake </w:t>
      </w:r>
      <w:r w:rsidRPr="00A57EFF">
        <w:rPr>
          <w:rFonts w:ascii="Times New Roman" w:hAnsi="Times New Roman"/>
          <w:sz w:val="24"/>
        </w:rPr>
        <w:t>to Michaelis–Menten kinetics</w:t>
      </w:r>
      <w:r w:rsidR="00557AC9">
        <w:rPr>
          <w:rFonts w:ascii="Times New Roman" w:hAnsi="Times New Roman"/>
          <w:sz w:val="24"/>
        </w:rPr>
        <w:t>,</w:t>
      </w:r>
      <w:r w:rsidRPr="00A57EFF">
        <w:rPr>
          <w:rFonts w:ascii="Times New Roman" w:hAnsi="Times New Roman"/>
          <w:sz w:val="24"/>
        </w:rPr>
        <w:t xml:space="preserve"> </w:t>
      </w:r>
      <w:r w:rsidRPr="00AA6F1F">
        <w:rPr>
          <w:rFonts w:ascii="Times New Roman" w:eastAsia="Calibri" w:hAnsi="Times New Roman" w:cs="Times New Roman"/>
          <w:sz w:val="24"/>
        </w:rPr>
        <w:t xml:space="preserve">as root P uptake is active and enzyme mediated </w:t>
      </w:r>
      <w:r w:rsidRPr="00A57EFF">
        <w:rPr>
          <w:rFonts w:ascii="Times New Roman" w:hAnsi="Times New Roman"/>
          <w:sz w:val="24"/>
        </w:rPr>
        <w:fldChar w:fldCharType="begin"/>
      </w:r>
      <w:r w:rsidRPr="00AA6F1F">
        <w:rPr>
          <w:rFonts w:ascii="Times New Roman" w:eastAsia="Calibri" w:hAnsi="Times New Roman" w:cs="Times New Roman"/>
          <w:sz w:val="24"/>
        </w:rPr>
        <w:instrText xml:space="preserve"> ADDIN EN.CITE &lt;EndNote&gt;&lt;Cite&gt;&lt;Author&gt;Barber&lt;/Author&gt;&lt;Year&gt;1995&lt;/Year&gt;&lt;RecNum&gt;60&lt;/RecNum&gt;&lt;DisplayText&gt;(Barber 1995)&lt;/DisplayText&gt;&lt;record&gt;&lt;rec-number&gt;60&lt;/rec-number&gt;&lt;foreign-keys&gt;&lt;key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(Barber 1995)</w:t>
      </w:r>
      <w:r w:rsidRPr="00A57EFF">
        <w:rPr>
          <w:rFonts w:ascii="Times New Roman" w:hAnsi="Times New Roman"/>
          <w:sz w:val="24"/>
        </w:rPr>
        <w:fldChar w:fldCharType="end"/>
      </w:r>
      <w:r w:rsidRPr="00AA6F1F">
        <w:rPr>
          <w:rFonts w:ascii="Times New Roman" w:eastAsia="Calibri" w:hAnsi="Times New Roman" w:cs="Times New Roman"/>
          <w:sz w:val="24"/>
        </w:rPr>
        <w:t>. The</w:t>
      </w:r>
      <w:r w:rsidRPr="00A57EFF">
        <w:rPr>
          <w:rFonts w:ascii="Times New Roman" w:hAnsi="Times New Roman"/>
          <w:sz w:val="24"/>
        </w:rPr>
        <w:t xml:space="preserve"> citrate boundary condition is changed to a constant rate of exudation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&lt;EndNote&gt;&lt;Cite&gt;&lt;Author&gt;Geelhoed&lt;/Author&gt;&lt;Year&gt;1999&lt;/Year&gt;&lt;RecNum&gt;8&lt;/RecNum&gt;&lt;DisplayText&gt;(Geelhoed et al. 1999; Zygalakis and Roose 2012)&lt;/DisplayText&gt;&lt;record&gt;&lt;rec-number&gt;8&lt;/rec-number&gt;&lt;foreign-keys&gt;&lt;key app="EN" db-id="0sapex5pfwrt05ep5w3x2zd0tdt9050e5fax" timestamp="1453224672"&gt;8&lt;/key&gt;&lt;/foreign-keys&gt;&lt;ref-type name="Journal Article"&gt;17&lt;/ref-type&gt;&lt;contributors&gt;&lt;authors&gt;&lt;author&gt;Geelhoed, JS&lt;/author&gt;&lt;author&gt;Van Riemsdijk, WH&lt;/author&gt;&lt;author&gt;Findenegg, GR&lt;/author&gt;&lt;/authors&gt;&lt;/contributors&gt;&lt;titles&gt;&lt;title&gt;Simulation of the effect of citrate exudation from roots on the plant availability of phosphate adsorbed on goethite&lt;/title&gt;&lt;secondary-title&gt;European Journal of Soil Science&lt;/secondary-title&gt;&lt;/titles&gt;&lt;periodical&gt;&lt;full-title&gt;European Journal of Soil Science&lt;/full-title&gt;&lt;/periodical&gt;&lt;pages&gt;379-390&lt;/pages&gt;&lt;volume&gt;50&lt;/volume&gt;&lt;number&gt;3&lt;/number&gt;&lt;dates&gt;&lt;year&gt;1999&lt;/year&gt;&lt;/dates&gt;&lt;isbn&gt;1365-2389&lt;/isbn&gt;&lt;urls&gt;&lt;/urls&gt;&lt;/record&gt;&lt;/Cite&gt;&lt;Cite&gt;&lt;Author&gt;Zygalakis&lt;/Author&gt;&lt;Year&gt;2012&lt;/Year&gt;&lt;RecNum&gt;16&lt;/RecNum&gt;&lt;record&gt;&lt;rec-number&gt;16&lt;/rec-number&gt;&lt;foreign-keys&gt;&lt;key app="EN" db-id="0sapex5pfwrt05ep5w3x2zd0tdt9050e5fax" timestamp="1454061516"&gt;16&lt;/key&gt;&lt;/foreign-keys&gt;&lt;ref-type name="Journal Article"&gt;17&lt;/ref-type&gt;&lt;contributors&gt;&lt;authors&gt;&lt;author&gt;Zygalakis, KC&lt;/author&gt;&lt;author&gt;Roose, T&lt;/author&gt;&lt;/authors&gt;&lt;/contributors&gt;&lt;titles&gt;&lt;title&gt;A mathematical model for investigating the effect of cluster roots on plant nutrient uptake&lt;/title&gt;&lt;secondary-title&gt;The European Physical Journal Special Topics&lt;/secondary-title&gt;&lt;/titles&gt;&lt;periodical&gt;&lt;full-title&gt;The European Physical Journal Special Topics&lt;/full-title&gt;&lt;/periodical&gt;&lt;pages&gt;103-118&lt;/pages&gt;&lt;volume&gt;204&lt;/volume&gt;&lt;number&gt;1&lt;/number&gt;&lt;dates&gt;&lt;year&gt;2012&lt;/year&gt;&lt;/dates&gt;&lt;isbn&gt;1951-6355&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(Geelhoed et al. 1999; Zygalakis and Roose 2012)</w:t>
      </w:r>
      <w:r w:rsidRPr="00A57EFF">
        <w:rPr>
          <w:rFonts w:ascii="Times New Roman" w:hAnsi="Times New Roman"/>
          <w:sz w:val="24"/>
        </w:rPr>
        <w:fldChar w:fldCharType="end"/>
      </w:r>
      <w:r w:rsidRPr="00A57EFF">
        <w:rPr>
          <w:rFonts w:ascii="Times New Roman" w:hAnsi="Times New Roman"/>
          <w:sz w:val="24"/>
        </w:rPr>
        <w:t>. More precisely, Equation (5) is replaced by</w:t>
      </w:r>
    </w:p>
    <w:tbl>
      <w:tblPr>
        <w:tblStyle w:val="TableGrid"/>
        <w:tblW w:w="0" w:type="auto"/>
        <w:tblInd w:w="720" w:type="dxa"/>
        <w:tblLook w:val="04A0" w:firstRow="1" w:lastRow="0" w:firstColumn="1" w:lastColumn="0" w:noHBand="0" w:noVBand="1"/>
      </w:tblPr>
      <w:tblGrid>
        <w:gridCol w:w="484"/>
        <w:gridCol w:w="7206"/>
        <w:gridCol w:w="616"/>
      </w:tblGrid>
      <w:tr w:rsidR="00AA6F1F" w:rsidRPr="00AA6F1F" w:rsidTr="00AB3042">
        <w:tc>
          <w:tcPr>
            <w:tcW w:w="522" w:type="dxa"/>
            <w:tcBorders>
              <w:top w:val="nil"/>
              <w:left w:val="nil"/>
              <w:bottom w:val="nil"/>
              <w:right w:val="nil"/>
            </w:tcBorders>
          </w:tcPr>
          <w:p w:rsidR="00AA6F1F" w:rsidRPr="00A57EFF" w:rsidRDefault="00AA6F1F" w:rsidP="00A57EFF">
            <w:pPr>
              <w:spacing w:after="120" w:line="480" w:lineRule="auto"/>
              <w:contextualSpacing/>
              <w:jc w:val="both"/>
              <w:rPr>
                <w:rFonts w:ascii="Times New Roman" w:hAnsi="Times New Roman"/>
                <w:color w:val="000000"/>
                <w:sz w:val="24"/>
              </w:rPr>
            </w:pPr>
          </w:p>
        </w:tc>
        <w:tc>
          <w:tcPr>
            <w:tcW w:w="8080" w:type="dxa"/>
            <w:tcBorders>
              <w:top w:val="nil"/>
              <w:left w:val="nil"/>
              <w:bottom w:val="nil"/>
              <w:right w:val="nil"/>
            </w:tcBorders>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sSup>
                  <m:sSupPr>
                    <m:ctrlPr>
                      <w:rPr>
                        <w:rFonts w:ascii="Cambria Math" w:hAnsi="Cambria Math"/>
                        <w:i/>
                        <w:color w:val="000000"/>
                        <w:sz w:val="24"/>
                      </w:rPr>
                    </m:ctrlPr>
                  </m:sSupPr>
                  <m:e>
                    <m:r>
                      <w:rPr>
                        <w:rFonts w:ascii="Cambria Math" w:hAnsi="Cambria Math"/>
                        <w:color w:val="000000"/>
                        <w:sz w:val="24"/>
                      </w:rPr>
                      <m:t>D</m:t>
                    </m:r>
                  </m:e>
                  <m:sup>
                    <m:r>
                      <w:rPr>
                        <w:rFonts w:ascii="Cambria Math" w:hAnsi="Cambria Math"/>
                        <w:color w:val="000000"/>
                        <w:sz w:val="24"/>
                      </w:rPr>
                      <m:t>C</m:t>
                    </m:r>
                  </m:sup>
                </m:sSup>
                <m:r>
                  <m:rPr>
                    <m:sty m:val="b"/>
                  </m:rP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m:rPr>
                        <m:sty m:val="bi"/>
                      </m:rPr>
                      <w:rPr>
                        <w:rFonts w:ascii="Cambria Math" w:hAnsi="Cambria Math"/>
                        <w:color w:val="000000"/>
                        <w:sz w:val="24"/>
                      </w:rPr>
                      <m:t>n</m:t>
                    </m:r>
                  </m:e>
                  <m:sub>
                    <m:r>
                      <w:rPr>
                        <w:rFonts w:ascii="Cambria Math" w:hAnsi="Cambria Math"/>
                        <w:color w:val="000000"/>
                        <w:sz w:val="24"/>
                      </w:rPr>
                      <m:t>p</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F</m:t>
                    </m:r>
                  </m:e>
                  <m:sub>
                    <m:r>
                      <w:rPr>
                        <w:rFonts w:ascii="Cambria Math" w:hAnsi="Cambria Math"/>
                        <w:color w:val="000000"/>
                        <w:sz w:val="24"/>
                      </w:rPr>
                      <m:t>C</m:t>
                    </m:r>
                  </m:sub>
                </m:sSub>
                <m:r>
                  <w:rPr>
                    <w:rFonts w:ascii="Cambria Math" w:hAnsi="Cambria Math"/>
                    <w:color w:val="000000"/>
                    <w:sz w:val="24"/>
                  </w:rPr>
                  <m:t xml:space="preserve">,    </m:t>
                </m:r>
                <m:r>
                  <m:rPr>
                    <m:sty m:val="bi"/>
                  </m:rPr>
                  <w:rPr>
                    <w:rFonts w:ascii="Cambria Math" w:hAnsi="Cambria Math"/>
                    <w:color w:val="000000"/>
                    <w:sz w:val="24"/>
                  </w:rPr>
                  <m:t>x</m:t>
                </m:r>
                <m:r>
                  <w:rPr>
                    <w:rFonts w:ascii="Cambria Math" w:hAnsi="Cambria Math"/>
                    <w:color w:val="000000"/>
                    <w:sz w:val="24"/>
                  </w:rPr>
                  <m:t>∈</m:t>
                </m:r>
                <m:sSub>
                  <m:sSubPr>
                    <m:ctrlPr>
                      <w:rPr>
                        <w:rFonts w:ascii="Cambria Math" w:hAnsi="Cambria Math"/>
                        <w:i/>
                        <w:color w:val="000000"/>
                        <w:sz w:val="24"/>
                      </w:rPr>
                    </m:ctrlPr>
                  </m:sSubPr>
                  <m:e>
                    <m:r>
                      <m:rPr>
                        <m:sty m:val="p"/>
                      </m:rPr>
                      <w:rPr>
                        <w:rFonts w:ascii="Cambria Math" w:hAnsi="Cambria Math"/>
                        <w:color w:val="000000"/>
                        <w:sz w:val="24"/>
                      </w:rPr>
                      <m:t>Γ</m:t>
                    </m:r>
                  </m:e>
                  <m:sub>
                    <m:r>
                      <w:rPr>
                        <w:rFonts w:ascii="Cambria Math" w:hAnsi="Cambria Math"/>
                        <w:color w:val="000000"/>
                        <w:sz w:val="24"/>
                      </w:rPr>
                      <m:t>p</m:t>
                    </m:r>
                  </m:sub>
                </m:sSub>
                <m:r>
                  <w:rPr>
                    <w:rFonts w:ascii="Cambria Math" w:hAnsi="Cambria Math"/>
                    <w:color w:val="000000"/>
                    <w:sz w:val="24"/>
                  </w:rPr>
                  <m:t>,</m:t>
                </m:r>
              </m:oMath>
            </m:oMathPara>
          </w:p>
        </w:tc>
        <w:tc>
          <w:tcPr>
            <w:tcW w:w="526" w:type="dxa"/>
            <w:tcBorders>
              <w:top w:val="nil"/>
              <w:left w:val="nil"/>
              <w:bottom w:val="nil"/>
              <w:right w:val="nil"/>
            </w:tcBorders>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(18)</w:t>
            </w:r>
          </w:p>
        </w:tc>
      </w:tr>
    </w:tbl>
    <w:p w:rsidR="00AA6F1F" w:rsidRPr="00A57EFF" w:rsidRDefault="00AA6F1F" w:rsidP="00A57EFF">
      <w:pPr>
        <w:spacing w:after="200" w:line="480" w:lineRule="auto"/>
        <w:rPr>
          <w:rFonts w:ascii="Times New Roman" w:hAnsi="Times New Roman"/>
          <w:sz w:val="24"/>
        </w:rPr>
      </w:pPr>
      <w:r w:rsidRPr="00A57EFF">
        <w:rPr>
          <w:rFonts w:ascii="Times New Roman" w:hAnsi="Times New Roman"/>
          <w:sz w:val="24"/>
        </w:rPr>
        <w:t xml:space="preserve">where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C</m:t>
            </m:r>
          </m:sub>
        </m:sSub>
      </m:oMath>
      <w:r w:rsidRPr="00A57EFF">
        <w:rPr>
          <w:rFonts w:ascii="Times New Roman" w:hAnsi="Times New Roman"/>
          <w:sz w:val="24"/>
        </w:rPr>
        <w:t xml:space="preserve"> [µmol m</w:t>
      </w:r>
      <w:r w:rsidRPr="00A57EFF">
        <w:rPr>
          <w:rFonts w:ascii="Times New Roman" w:hAnsi="Times New Roman"/>
          <w:sz w:val="24"/>
          <w:vertAlign w:val="superscript"/>
        </w:rPr>
        <w:t>-2</w:t>
      </w:r>
      <w:r w:rsidRPr="00A57EFF">
        <w:rPr>
          <w:rFonts w:ascii="Times New Roman" w:hAnsi="Times New Roman"/>
          <w:sz w:val="24"/>
        </w:rPr>
        <w:t xml:space="preserve"> s</w:t>
      </w:r>
      <w:r w:rsidRPr="00A57EFF">
        <w:rPr>
          <w:rFonts w:ascii="Times New Roman" w:hAnsi="Times New Roman"/>
          <w:sz w:val="24"/>
          <w:vertAlign w:val="superscript"/>
        </w:rPr>
        <w:t>-1</w:t>
      </w:r>
      <w:r w:rsidRPr="00A57EFF">
        <w:rPr>
          <w:rFonts w:ascii="Times New Roman" w:hAnsi="Times New Roman"/>
          <w:sz w:val="24"/>
        </w:rPr>
        <w:t>] is the root citrate exudation rate; and Equation (8) is replaced by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
        <w:gridCol w:w="7209"/>
        <w:gridCol w:w="616"/>
      </w:tblGrid>
      <w:tr w:rsidR="00AA6F1F" w:rsidRPr="00AA6F1F" w:rsidTr="00AB3042">
        <w:tc>
          <w:tcPr>
            <w:tcW w:w="522" w:type="dxa"/>
          </w:tcPr>
          <w:p w:rsidR="00AA6F1F" w:rsidRPr="00A57EFF" w:rsidRDefault="00AA6F1F" w:rsidP="00A57EFF">
            <w:pPr>
              <w:spacing w:after="120" w:line="480" w:lineRule="auto"/>
              <w:contextualSpacing/>
              <w:jc w:val="both"/>
              <w:rPr>
                <w:rFonts w:ascii="Times New Roman" w:hAnsi="Times New Roman"/>
                <w:color w:val="000000"/>
                <w:sz w:val="24"/>
              </w:rPr>
            </w:pPr>
          </w:p>
        </w:tc>
        <w:tc>
          <w:tcPr>
            <w:tcW w:w="8080" w:type="dxa"/>
            <w:vAlign w:val="center"/>
          </w:tcPr>
          <w:p w:rsidR="00AA6F1F" w:rsidRPr="00A57EFF" w:rsidRDefault="00443791" w:rsidP="00A57EFF">
            <w:pPr>
              <w:spacing w:after="120" w:line="480" w:lineRule="auto"/>
              <w:contextualSpacing/>
              <w:jc w:val="both"/>
              <w:rPr>
                <w:rFonts w:ascii="Times New Roman" w:hAnsi="Times New Roman"/>
                <w:color w:val="000000"/>
                <w:sz w:val="24"/>
              </w:rPr>
            </w:pPr>
            <m:oMathPara>
              <m:oMath>
                <m:sSub>
                  <m:sSubPr>
                    <m:ctrlPr>
                      <w:rPr>
                        <w:rFonts w:ascii="Cambria Math" w:hAnsi="Cambria Math"/>
                        <w:i/>
                        <w:color w:val="000000"/>
                        <w:sz w:val="24"/>
                      </w:rPr>
                    </m:ctrlPr>
                  </m:sSubPr>
                  <m:e>
                    <m:r>
                      <w:rPr>
                        <w:rFonts w:ascii="Cambria Math" w:hAnsi="Cambria Math"/>
                        <w:color w:val="000000"/>
                        <w:sz w:val="24"/>
                      </w:rPr>
                      <m:t>ϕ</m:t>
                    </m:r>
                  </m:e>
                  <m:sub>
                    <m:r>
                      <w:rPr>
                        <w:rFonts w:ascii="Cambria Math" w:hAnsi="Cambria Math"/>
                        <w:color w:val="000000"/>
                        <w:sz w:val="24"/>
                      </w:rPr>
                      <m:t>l</m:t>
                    </m:r>
                  </m:sub>
                </m:sSub>
                <m:sSup>
                  <m:sSupPr>
                    <m:ctrlPr>
                      <w:rPr>
                        <w:rFonts w:ascii="Cambria Math" w:hAnsi="Cambria Math"/>
                        <w:i/>
                        <w:color w:val="000000"/>
                        <w:sz w:val="24"/>
                      </w:rPr>
                    </m:ctrlPr>
                  </m:sSupPr>
                  <m:e>
                    <m:r>
                      <w:rPr>
                        <w:rFonts w:ascii="Cambria Math" w:hAnsi="Cambria Math"/>
                        <w:color w:val="000000"/>
                        <w:sz w:val="24"/>
                      </w:rPr>
                      <m:t>D</m:t>
                    </m:r>
                  </m:e>
                  <m:sup>
                    <m:r>
                      <w:rPr>
                        <w:rFonts w:ascii="Cambria Math" w:hAnsi="Cambria Math"/>
                        <w:color w:val="000000"/>
                        <w:sz w:val="24"/>
                      </w:rPr>
                      <m:t>P</m:t>
                    </m:r>
                  </m:sup>
                </m:sSup>
                <m:r>
                  <m:rPr>
                    <m:sty m:val="b"/>
                  </m:rP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r>
                  <w:rPr>
                    <w:rFonts w:ascii="Cambria Math" w:hAnsi="Cambria Math"/>
                    <w:color w:val="000000"/>
                    <w:sz w:val="24"/>
                  </w:rPr>
                  <m:t>⋅</m:t>
                </m:r>
                <m:sSub>
                  <m:sSubPr>
                    <m:ctrlPr>
                      <w:rPr>
                        <w:rFonts w:ascii="Cambria Math" w:hAnsi="Cambria Math"/>
                        <w:i/>
                        <w:color w:val="000000"/>
                        <w:sz w:val="24"/>
                      </w:rPr>
                    </m:ctrlPr>
                  </m:sSubPr>
                  <m:e>
                    <m:r>
                      <m:rPr>
                        <m:sty m:val="bi"/>
                      </m:rPr>
                      <w:rPr>
                        <w:rFonts w:ascii="Cambria Math" w:hAnsi="Cambria Math"/>
                        <w:color w:val="000000"/>
                        <w:sz w:val="24"/>
                      </w:rPr>
                      <m:t>n</m:t>
                    </m:r>
                  </m:e>
                  <m:sub>
                    <m:r>
                      <w:rPr>
                        <w:rFonts w:ascii="Cambria Math" w:hAnsi="Cambria Math"/>
                        <w:color w:val="000000"/>
                        <w:sz w:val="24"/>
                      </w:rPr>
                      <m:t>p</m:t>
                    </m:r>
                  </m:sub>
                </m:sSub>
                <m:r>
                  <w:rPr>
                    <w:rFonts w:ascii="Cambria Math" w:hAnsi="Cambria Math"/>
                    <w:color w:val="000000"/>
                    <w:sz w:val="24"/>
                  </w:rPr>
                  <m:t>=</m:t>
                </m:r>
                <m:f>
                  <m:fPr>
                    <m:ctrlPr>
                      <w:rPr>
                        <w:rFonts w:ascii="Cambria Math" w:hAnsi="Cambria Math"/>
                        <w:i/>
                        <w:color w:val="000000"/>
                        <w:sz w:val="24"/>
                      </w:rPr>
                    </m:ctrlPr>
                  </m:fPr>
                  <m:num>
                    <m:sSub>
                      <m:sSubPr>
                        <m:ctrlPr>
                          <w:rPr>
                            <w:rFonts w:ascii="Cambria Math" w:hAnsi="Cambria Math"/>
                            <w:i/>
                            <w:color w:val="000000"/>
                            <w:sz w:val="24"/>
                          </w:rPr>
                        </m:ctrlPr>
                      </m:sSubPr>
                      <m:e>
                        <m:r>
                          <w:rPr>
                            <w:rFonts w:ascii="Cambria Math" w:hAnsi="Cambria Math"/>
                            <w:color w:val="000000"/>
                            <w:sz w:val="24"/>
                          </w:rPr>
                          <m:t>-F</m:t>
                        </m:r>
                      </m:e>
                      <m:sub>
                        <m:r>
                          <w:rPr>
                            <w:rFonts w:ascii="Cambria Math" w:hAnsi="Cambria Math"/>
                            <w:color w:val="000000"/>
                            <w:sz w:val="24"/>
                          </w:rPr>
                          <m:t>P</m:t>
                        </m:r>
                      </m:sub>
                    </m:sSub>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num>
                  <m:den>
                    <m:sSub>
                      <m:sSubPr>
                        <m:ctrlPr>
                          <w:rPr>
                            <w:rFonts w:ascii="Cambria Math" w:hAnsi="Cambria Math"/>
                            <w:i/>
                            <w:color w:val="000000"/>
                            <w:sz w:val="24"/>
                          </w:rPr>
                        </m:ctrlPr>
                      </m:sSubPr>
                      <m:e>
                        <m:r>
                          <w:rPr>
                            <w:rFonts w:ascii="Cambria Math" w:hAnsi="Cambria Math"/>
                            <w:color w:val="000000"/>
                            <w:sz w:val="24"/>
                          </w:rPr>
                          <m:t>K</m:t>
                        </m:r>
                      </m:e>
                      <m:sub>
                        <m:r>
                          <w:rPr>
                            <w:rFonts w:ascii="Cambria Math" w:hAnsi="Cambria Math"/>
                            <w:color w:val="000000"/>
                            <w:sz w:val="24"/>
                          </w:rPr>
                          <m:t>P</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P</m:t>
                        </m:r>
                      </m:e>
                      <m:sub>
                        <m:r>
                          <w:rPr>
                            <w:rFonts w:ascii="Cambria Math" w:hAnsi="Cambria Math"/>
                            <w:color w:val="000000"/>
                            <w:sz w:val="24"/>
                          </w:rPr>
                          <m:t>l</m:t>
                        </m:r>
                      </m:sub>
                    </m:sSub>
                  </m:den>
                </m:f>
                <m:r>
                  <w:rPr>
                    <w:rFonts w:ascii="Cambria Math" w:hAnsi="Cambria Math"/>
                    <w:color w:val="000000"/>
                    <w:sz w:val="24"/>
                  </w:rPr>
                  <m:t xml:space="preserve"> ,    </m:t>
                </m:r>
                <m:r>
                  <m:rPr>
                    <m:sty m:val="bi"/>
                  </m:rPr>
                  <w:rPr>
                    <w:rFonts w:ascii="Cambria Math" w:hAnsi="Cambria Math"/>
                    <w:color w:val="000000"/>
                    <w:sz w:val="24"/>
                  </w:rPr>
                  <m:t>x</m:t>
                </m:r>
                <m:r>
                  <w:rPr>
                    <w:rFonts w:ascii="Cambria Math" w:hAnsi="Cambria Math"/>
                    <w:color w:val="000000"/>
                    <w:sz w:val="24"/>
                  </w:rPr>
                  <m:t>∈</m:t>
                </m:r>
                <m:sSub>
                  <m:sSubPr>
                    <m:ctrlPr>
                      <w:rPr>
                        <w:rFonts w:ascii="Cambria Math" w:hAnsi="Cambria Math"/>
                        <w:i/>
                        <w:color w:val="000000"/>
                        <w:sz w:val="24"/>
                      </w:rPr>
                    </m:ctrlPr>
                  </m:sSubPr>
                  <m:e>
                    <m:r>
                      <m:rPr>
                        <m:sty m:val="p"/>
                      </m:rPr>
                      <w:rPr>
                        <w:rFonts w:ascii="Cambria Math" w:hAnsi="Cambria Math"/>
                        <w:color w:val="000000"/>
                        <w:sz w:val="24"/>
                      </w:rPr>
                      <m:t>Γ</m:t>
                    </m:r>
                  </m:e>
                  <m:sub>
                    <m:r>
                      <w:rPr>
                        <w:rFonts w:ascii="Cambria Math" w:hAnsi="Cambria Math"/>
                        <w:color w:val="000000"/>
                        <w:sz w:val="24"/>
                      </w:rPr>
                      <m:t>p,</m:t>
                    </m:r>
                  </m:sub>
                </m:sSub>
              </m:oMath>
            </m:oMathPara>
          </w:p>
        </w:tc>
        <w:tc>
          <w:tcPr>
            <w:tcW w:w="526" w:type="dxa"/>
          </w:tcPr>
          <w:p w:rsidR="00AA6F1F" w:rsidRPr="00A57EFF" w:rsidRDefault="00AA6F1F" w:rsidP="00A57EFF">
            <w:pPr>
              <w:spacing w:after="120" w:line="480" w:lineRule="auto"/>
              <w:contextualSpacing/>
              <w:jc w:val="both"/>
              <w:rPr>
                <w:rFonts w:ascii="Times New Roman" w:hAnsi="Times New Roman"/>
                <w:color w:val="000000"/>
                <w:sz w:val="24"/>
              </w:rPr>
            </w:pPr>
            <w:r w:rsidRPr="00A57EFF">
              <w:rPr>
                <w:rFonts w:ascii="Times New Roman" w:hAnsi="Times New Roman"/>
                <w:color w:val="000000"/>
                <w:sz w:val="24"/>
              </w:rPr>
              <w:t>(19)</w:t>
            </w:r>
          </w:p>
        </w:tc>
      </w:tr>
    </w:tbl>
    <w:p w:rsidR="00AA6F1F" w:rsidRPr="00A57EFF" w:rsidRDefault="00AA6F1F" w:rsidP="00A57EFF">
      <w:pPr>
        <w:spacing w:after="0" w:line="480" w:lineRule="auto"/>
        <w:jc w:val="both"/>
        <w:rPr>
          <w:rFonts w:ascii="Times New Roman" w:hAnsi="Times New Roman"/>
          <w:sz w:val="24"/>
        </w:rPr>
      </w:pPr>
      <w:r w:rsidRPr="00A57EFF">
        <w:rPr>
          <w:rFonts w:ascii="Times New Roman" w:hAnsi="Times New Roman"/>
          <w:sz w:val="24"/>
        </w:rPr>
        <w:t xml:space="preserve">where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P</m:t>
            </m:r>
          </m:sub>
        </m:sSub>
        <m:r>
          <w:rPr>
            <w:rFonts w:ascii="Cambria Math" w:hAnsi="Cambria Math"/>
            <w:sz w:val="24"/>
          </w:rPr>
          <m:t xml:space="preserve"> </m:t>
        </m:r>
      </m:oMath>
      <w:r w:rsidRPr="00A57EFF">
        <w:rPr>
          <w:rFonts w:ascii="Times New Roman" w:hAnsi="Times New Roman"/>
          <w:sz w:val="24"/>
        </w:rPr>
        <w:t>[µmol m</w:t>
      </w:r>
      <w:r w:rsidRPr="00A57EFF">
        <w:rPr>
          <w:rFonts w:ascii="Times New Roman" w:hAnsi="Times New Roman"/>
          <w:sz w:val="24"/>
          <w:vertAlign w:val="superscript"/>
        </w:rPr>
        <w:t>-2</w:t>
      </w:r>
      <w:r w:rsidRPr="00A57EFF">
        <w:rPr>
          <w:rFonts w:ascii="Times New Roman" w:hAnsi="Times New Roman"/>
          <w:sz w:val="24"/>
        </w:rPr>
        <w:t xml:space="preserve"> s</w:t>
      </w:r>
      <w:r w:rsidRPr="00A57EFF">
        <w:rPr>
          <w:rFonts w:ascii="Times New Roman" w:hAnsi="Times New Roman"/>
          <w:sz w:val="24"/>
          <w:vertAlign w:val="superscript"/>
        </w:rPr>
        <w:t>-1</w:t>
      </w:r>
      <w:r w:rsidRPr="00A57EFF">
        <w:rPr>
          <w:rFonts w:ascii="Times New Roman" w:hAnsi="Times New Roman"/>
          <w:sz w:val="24"/>
        </w:rPr>
        <w:t xml:space="preserve">] is the maximum P uptake rate achieved by the root and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P</m:t>
            </m:r>
          </m:sub>
        </m:sSub>
      </m:oMath>
      <w:r w:rsidRPr="00A57EFF">
        <w:rPr>
          <w:rFonts w:ascii="Times New Roman" w:hAnsi="Times New Roman"/>
          <w:sz w:val="24"/>
        </w:rPr>
        <w:t xml:space="preserve"> [µmol m</w:t>
      </w:r>
      <w:r w:rsidRPr="00A57EFF">
        <w:rPr>
          <w:rFonts w:ascii="Times New Roman" w:hAnsi="Times New Roman"/>
          <w:sz w:val="24"/>
          <w:vertAlign w:val="superscript"/>
        </w:rPr>
        <w:t>-3</w:t>
      </w:r>
      <w:r w:rsidRPr="00A57EFF">
        <w:rPr>
          <w:rFonts w:ascii="Times New Roman" w:hAnsi="Times New Roman"/>
          <w:sz w:val="24"/>
        </w:rPr>
        <w:t xml:space="preserve">] is the P concentration where the uptake rate is half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P</m:t>
            </m:r>
          </m:sub>
        </m:sSub>
      </m:oMath>
      <w:r w:rsidRPr="00A57EFF">
        <w:rPr>
          <w:rFonts w:ascii="Times New Roman" w:hAnsi="Times New Roman"/>
          <w:sz w:val="24"/>
        </w:rPr>
        <w:t xml:space="preserve">. Typical exudation rates of citrate for P-starved rape roots grown in nutrient solution at 27°C is </w:t>
      </w:r>
      <m:oMath>
        <m:r>
          <w:rPr>
            <w:rFonts w:ascii="Cambria Math" w:hAnsi="Cambria Math"/>
            <w:sz w:val="24"/>
          </w:rPr>
          <m:t>1.2037×</m:t>
        </m:r>
        <m:sSup>
          <m:sSupPr>
            <m:ctrlPr>
              <w:rPr>
                <w:rFonts w:ascii="Cambria Math" w:hAnsi="Cambria Math"/>
                <w:i/>
                <w:sz w:val="24"/>
              </w:rPr>
            </m:ctrlPr>
          </m:sSupPr>
          <m:e>
            <m:r>
              <w:rPr>
                <w:rFonts w:ascii="Cambria Math" w:hAnsi="Cambria Math"/>
                <w:sz w:val="24"/>
              </w:rPr>
              <m:t>10</m:t>
            </m:r>
          </m:e>
          <m:sup>
            <m:r>
              <w:rPr>
                <w:rFonts w:ascii="Cambria Math" w:hAnsi="Cambria Math"/>
                <w:sz w:val="24"/>
              </w:rPr>
              <m:t>-5</m:t>
            </m:r>
          </m:sup>
        </m:sSup>
      </m:oMath>
      <w:r w:rsidRPr="00A57EFF">
        <w:rPr>
          <w:rFonts w:ascii="Times New Roman" w:hAnsi="Times New Roman"/>
          <w:sz w:val="24"/>
        </w:rPr>
        <w:t xml:space="preserve"> µmol s</w:t>
      </w:r>
      <w:r w:rsidRPr="00A57EFF">
        <w:rPr>
          <w:rFonts w:ascii="Times New Roman" w:hAnsi="Times New Roman"/>
          <w:sz w:val="24"/>
          <w:vertAlign w:val="superscript"/>
        </w:rPr>
        <w:t>-1</w:t>
      </w:r>
      <w:r w:rsidRPr="00A57EFF">
        <w:rPr>
          <w:rFonts w:ascii="Times New Roman" w:hAnsi="Times New Roman"/>
          <w:sz w:val="24"/>
        </w:rPr>
        <w:t xml:space="preserve"> m</w:t>
      </w:r>
      <w:r w:rsidRPr="00A57EFF">
        <w:rPr>
          <w:rFonts w:ascii="Times New Roman" w:hAnsi="Times New Roman"/>
          <w:sz w:val="24"/>
          <w:vertAlign w:val="superscript"/>
        </w:rPr>
        <w:t>-1</w:t>
      </w:r>
      <w:r w:rsidRPr="00A57EFF">
        <w:rPr>
          <w:rFonts w:ascii="Times New Roman" w:hAnsi="Times New Roman"/>
          <w:sz w:val="24"/>
        </w:rPr>
        <w:t xml:space="preserve"> of root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&lt;EndNote&gt;&lt;Cite&gt;&lt;Author&gt;Hoffland&lt;/Author&gt;&lt;Year&gt;1992&lt;/Year&gt;&lt;RecNum&gt;120&lt;/RecNum&gt;&lt;DisplayText&gt;(Hoffland 1992)&lt;/DisplayText&gt;&lt;record&gt;&lt;rec-number&gt;120&lt;/rec-number&gt;&lt;foreign-keys&gt;&lt;key app="EN" db-id="0sapex5pfwrt05ep5w3x2zd0tdt9050e5fax" timestamp="1517927609"&gt;120&lt;/key&gt;&lt;/foreign-keys&gt;&lt;ref-type name="Journal Article"&gt;17&lt;/ref-type&gt;&lt;contributors&gt;&lt;authors&gt;&lt;author&gt;Hoffland, Ellis&lt;/author&gt;&lt;/authors&gt;&lt;/contributors&gt;&lt;titles&gt;&lt;title&gt;Quantitative evaluation of the role of organic acid exudation in the mobilization of rock phosphate by rape&lt;/title&gt;&lt;secondary-title&gt;Plant and Soil&lt;/secondary-title&gt;&lt;/titles&gt;&lt;periodical&gt;&lt;full-title&gt;Plant and Soil&lt;/full-title&gt;&lt;/periodical&gt;&lt;pages&gt;279-289&lt;/pages&gt;&lt;volume&gt;140&lt;/volume&gt;&lt;number&gt;2&lt;/number&gt;&lt;dates&gt;&lt;year&gt;1992&lt;/year&gt;&lt;/dates&gt;&lt;isbn&gt;0032-079X&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(Hoffland 1992)</w:t>
      </w:r>
      <w:r w:rsidRPr="00A57EFF">
        <w:rPr>
          <w:rFonts w:ascii="Times New Roman" w:hAnsi="Times New Roman"/>
          <w:sz w:val="24"/>
        </w:rPr>
        <w:fldChar w:fldCharType="end"/>
      </w:r>
      <w:r w:rsidRPr="00A57EFF">
        <w:rPr>
          <w:rFonts w:ascii="Times New Roman" w:hAnsi="Times New Roman"/>
          <w:sz w:val="24"/>
        </w:rPr>
        <w:t xml:space="preserve">. These roots typically have a root radius of approximately </w:t>
      </w:r>
      <m:oMath>
        <m:r>
          <w:rPr>
            <w:rFonts w:ascii="Cambria Math" w:hAnsi="Cambria Math"/>
            <w:sz w:val="24"/>
          </w:rPr>
          <m:t>4×</m:t>
        </m:r>
        <m:sSup>
          <m:sSupPr>
            <m:ctrlPr>
              <w:rPr>
                <w:rFonts w:ascii="Cambria Math" w:hAnsi="Cambria Math"/>
                <w:i/>
                <w:sz w:val="24"/>
              </w:rPr>
            </m:ctrlPr>
          </m:sSupPr>
          <m:e>
            <m:r>
              <w:rPr>
                <w:rFonts w:ascii="Cambria Math" w:hAnsi="Cambria Math"/>
                <w:sz w:val="24"/>
              </w:rPr>
              <m:t>10</m:t>
            </m:r>
          </m:e>
          <m:sup>
            <m:r>
              <w:rPr>
                <w:rFonts w:ascii="Cambria Math" w:hAnsi="Cambria Math"/>
                <w:sz w:val="24"/>
              </w:rPr>
              <m:t>-4</m:t>
            </m:r>
          </m:sup>
        </m:sSup>
      </m:oMath>
      <w:r w:rsidRPr="00A57EFF">
        <w:rPr>
          <w:rFonts w:ascii="Times New Roman" w:hAnsi="Times New Roman"/>
          <w:sz w:val="24"/>
        </w:rPr>
        <w:t xml:space="preserve"> m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&lt;EndNote&gt;&lt;Cite&gt;&lt;Author&gt;Kjellström&lt;/Author&gt;&lt;Year&gt;1994&lt;/Year&gt;&lt;RecNum&gt;172&lt;/RecNum&gt;&lt;DisplayText&gt;(Kjellström and Kirchmann 1994)&lt;/DisplayText&gt;&lt;record&gt;&lt;rec-number&gt;172&lt;/rec-number&gt;&lt;foreign-keys&gt;&lt;key app="EN" db-id="0sapex5pfwrt05ep5w3x2zd0tdt9050e5fax" timestamp="1541589392"&gt;172&lt;/key&gt;&lt;/foreign-keys&gt;&lt;ref-type name="Journal Article"&gt;17&lt;/ref-type&gt;&lt;contributors&gt;&lt;authors&gt;&lt;author&gt;Kjellström, CG&lt;/author&gt;&lt;author&gt;Kirchmann, H&lt;/author&gt;&lt;/authors&gt;&lt;/contributors&gt;&lt;titles&gt;&lt;title&gt;Dry matter production of oilseed rape (Brassica napus) with special reference to the root system&lt;/title&gt;&lt;secondary-title&gt;The Journal of Agricultural Science&lt;/secondary-title&gt;&lt;/titles&gt;&lt;periodical&gt;&lt;full-title&gt;The Journal of Agricultural Science&lt;/full-title&gt;&lt;/periodical&gt;&lt;pages&gt;327-332&lt;/pages&gt;&lt;volume&gt;123&lt;/volume&gt;&lt;number&gt;3&lt;/number&gt;&lt;dates&gt;&lt;year&gt;1994&lt;/year&gt;&lt;/dates&gt;&lt;isbn&gt;1469-5146&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(Kjellström and Kirchmann 1994)</w:t>
      </w:r>
      <w:r w:rsidRPr="00A57EFF">
        <w:rPr>
          <w:rFonts w:ascii="Times New Roman" w:hAnsi="Times New Roman"/>
          <w:sz w:val="24"/>
        </w:rPr>
        <w:fldChar w:fldCharType="end"/>
      </w:r>
      <w:r w:rsidRPr="00A57EFF">
        <w:rPr>
          <w:rFonts w:ascii="Times New Roman" w:hAnsi="Times New Roman"/>
          <w:sz w:val="24"/>
        </w:rPr>
        <w:t xml:space="preserve">, meaning an approximate citrate exudation rate per root surface area (assuming the root is a cylinder) of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C</m:t>
            </m:r>
          </m:sub>
        </m:sSub>
        <m:r>
          <w:rPr>
            <w:rFonts w:ascii="Cambria Math" w:hAnsi="Cambria Math"/>
            <w:sz w:val="24"/>
          </w:rPr>
          <m:t>=4.7894×</m:t>
        </m:r>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Pr="00A57EFF">
        <w:rPr>
          <w:rFonts w:ascii="Times New Roman" w:hAnsi="Times New Roman"/>
          <w:sz w:val="24"/>
        </w:rPr>
        <w:t xml:space="preserve"> µmol m</w:t>
      </w:r>
      <w:r w:rsidRPr="00A57EFF">
        <w:rPr>
          <w:rFonts w:ascii="Times New Roman" w:hAnsi="Times New Roman"/>
          <w:sz w:val="24"/>
          <w:vertAlign w:val="superscript"/>
        </w:rPr>
        <w:t>-2</w:t>
      </w:r>
      <w:r w:rsidRPr="00A57EFF">
        <w:rPr>
          <w:rFonts w:ascii="Times New Roman" w:hAnsi="Times New Roman"/>
          <w:sz w:val="24"/>
        </w:rPr>
        <w:t xml:space="preserve"> s</w:t>
      </w:r>
      <w:r w:rsidRPr="00A57EFF">
        <w:rPr>
          <w:rFonts w:ascii="Times New Roman" w:hAnsi="Times New Roman"/>
          <w:sz w:val="24"/>
          <w:vertAlign w:val="superscript"/>
        </w:rPr>
        <w:t>-1</w:t>
      </w:r>
      <w:r w:rsidRPr="00A57EFF">
        <w:rPr>
          <w:rFonts w:ascii="Times New Roman" w:hAnsi="Times New Roman"/>
          <w:sz w:val="24"/>
        </w:rPr>
        <w:t xml:space="preserve">. Typically,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P</m:t>
            </m:r>
          </m:sub>
        </m:sSub>
        <m:r>
          <w:rPr>
            <w:rFonts w:ascii="Cambria Math" w:hAnsi="Cambria Math"/>
            <w:sz w:val="24"/>
          </w:rPr>
          <m:t>=3.26×</m:t>
        </m:r>
        <m:sSup>
          <m:sSupPr>
            <m:ctrlPr>
              <w:rPr>
                <w:rFonts w:ascii="Cambria Math" w:hAnsi="Cambria Math"/>
                <w:i/>
                <w:sz w:val="24"/>
              </w:rPr>
            </m:ctrlPr>
          </m:sSupPr>
          <m:e>
            <m:r>
              <w:rPr>
                <w:rFonts w:ascii="Cambria Math" w:hAnsi="Cambria Math"/>
                <w:sz w:val="24"/>
              </w:rPr>
              <m:t>10</m:t>
            </m:r>
          </m:e>
          <m:sup>
            <m:r>
              <w:rPr>
                <w:rFonts w:ascii="Cambria Math" w:hAnsi="Cambria Math"/>
                <w:sz w:val="24"/>
              </w:rPr>
              <m:t>-2</m:t>
            </m:r>
          </m:sup>
        </m:sSup>
      </m:oMath>
      <w:r w:rsidRPr="00A57EFF">
        <w:rPr>
          <w:rFonts w:ascii="Times New Roman" w:hAnsi="Times New Roman"/>
          <w:sz w:val="24"/>
        </w:rPr>
        <w:t xml:space="preserve"> µmol m</w:t>
      </w:r>
      <w:r w:rsidRPr="00A57EFF">
        <w:rPr>
          <w:rFonts w:ascii="Times New Roman" w:hAnsi="Times New Roman"/>
          <w:sz w:val="24"/>
          <w:vertAlign w:val="superscript"/>
        </w:rPr>
        <w:t>-2</w:t>
      </w:r>
      <w:r w:rsidRPr="00A57EFF">
        <w:rPr>
          <w:rFonts w:ascii="Times New Roman" w:hAnsi="Times New Roman"/>
          <w:sz w:val="24"/>
        </w:rPr>
        <w:t xml:space="preserve"> s</w:t>
      </w:r>
      <w:r w:rsidRPr="00A57EFF">
        <w:rPr>
          <w:rFonts w:ascii="Times New Roman" w:hAnsi="Times New Roman"/>
          <w:sz w:val="24"/>
          <w:vertAlign w:val="superscript"/>
        </w:rPr>
        <w:t>-1</w:t>
      </w:r>
      <w:r w:rsidRPr="00A57EFF">
        <w:rPr>
          <w:rFonts w:ascii="Times New Roman" w:hAnsi="Times New Roman"/>
          <w:sz w:val="24"/>
        </w:rPr>
        <w:t xml:space="preserve"> and </w:t>
      </w:r>
      <m:oMath>
        <m:sSub>
          <m:sSubPr>
            <m:ctrlPr>
              <w:rPr>
                <w:rFonts w:ascii="Cambria Math" w:hAnsi="Cambria Math"/>
                <w:i/>
                <w:sz w:val="24"/>
              </w:rPr>
            </m:ctrlPr>
          </m:sSubPr>
          <m:e>
            <m:r>
              <w:rPr>
                <w:rFonts w:ascii="Cambria Math" w:hAnsi="Cambria Math"/>
                <w:sz w:val="24"/>
              </w:rPr>
              <m:t>K</m:t>
            </m:r>
          </m:e>
          <m:sub>
            <m:r>
              <w:rPr>
                <w:rFonts w:ascii="Cambria Math" w:hAnsi="Cambria Math"/>
                <w:sz w:val="24"/>
              </w:rPr>
              <m:t>P</m:t>
            </m:r>
          </m:sub>
        </m:sSub>
        <m:r>
          <w:rPr>
            <w:rFonts w:ascii="Cambria Math" w:hAnsi="Cambria Math"/>
            <w:sz w:val="24"/>
          </w:rPr>
          <m:t>=1.5×</m:t>
        </m:r>
        <m:sSup>
          <m:sSupPr>
            <m:ctrlPr>
              <w:rPr>
                <w:rFonts w:ascii="Cambria Math" w:hAnsi="Cambria Math"/>
                <w:i/>
                <w:sz w:val="24"/>
              </w:rPr>
            </m:ctrlPr>
          </m:sSupPr>
          <m:e>
            <m:r>
              <w:rPr>
                <w:rFonts w:ascii="Cambria Math" w:hAnsi="Cambria Math"/>
                <w:sz w:val="24"/>
              </w:rPr>
              <m:t>10</m:t>
            </m:r>
          </m:e>
          <m:sup>
            <m:r>
              <w:rPr>
                <w:rFonts w:ascii="Cambria Math" w:hAnsi="Cambria Math"/>
                <w:sz w:val="24"/>
              </w:rPr>
              <m:t>2</m:t>
            </m:r>
          </m:sup>
        </m:sSup>
      </m:oMath>
      <w:r w:rsidRPr="00A57EFF">
        <w:rPr>
          <w:rFonts w:ascii="Times New Roman" w:hAnsi="Times New Roman"/>
          <w:sz w:val="24"/>
        </w:rPr>
        <w:t xml:space="preserve"> µmol m</w:t>
      </w:r>
      <w:r w:rsidRPr="00A57EFF">
        <w:rPr>
          <w:rFonts w:ascii="Times New Roman" w:hAnsi="Times New Roman"/>
          <w:sz w:val="24"/>
          <w:vertAlign w:val="superscript"/>
        </w:rPr>
        <w:t>-3</w:t>
      </w:r>
      <w:r w:rsidRPr="00A57EFF">
        <w:rPr>
          <w:rFonts w:ascii="Times New Roman" w:hAnsi="Times New Roman"/>
          <w:sz w:val="24"/>
        </w:rPr>
        <w:t xml:space="preserve">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&lt;EndNote&gt;&lt;Cite&gt;&lt;Author&gt;Barber&lt;/Author&gt;&lt;Year&gt;1995&lt;/Year&gt;&lt;RecNum&gt;60&lt;/RecNum&gt;&lt;DisplayText&gt;(Barber 1995)&lt;/DisplayText&gt;&lt;record&gt;&lt;rec-number&gt;60&lt;/rec-number&gt;&lt;foreign-keys&gt;&lt;key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(Barber 1995)</w:t>
      </w:r>
      <w:r w:rsidRPr="00A57EFF">
        <w:rPr>
          <w:rFonts w:ascii="Times New Roman" w:hAnsi="Times New Roman"/>
          <w:sz w:val="24"/>
        </w:rPr>
        <w:fldChar w:fldCharType="end"/>
      </w:r>
      <w:r w:rsidRPr="00A57EFF">
        <w:rPr>
          <w:rFonts w:ascii="Times New Roman" w:hAnsi="Times New Roman"/>
          <w:sz w:val="24"/>
        </w:rPr>
        <w:t>. The model with Equations (9) and (12) will be referred to as the microdialysis probe model; when these equations are replaced by Equations (18) and (19) the collection of equations will be referred to as the root model. To make the models comparable, the root is assumed to have the same dimensions as the microdialysis probe.</w:t>
      </w:r>
    </w:p>
    <w:p w:rsidR="00AA6F1F" w:rsidRPr="00A57EFF" w:rsidRDefault="00AA6F1F" w:rsidP="00A57EFF">
      <w:pPr>
        <w:spacing w:after="200" w:line="480" w:lineRule="auto"/>
        <w:ind w:firstLine="720"/>
        <w:jc w:val="both"/>
        <w:rPr>
          <w:rFonts w:ascii="Times New Roman" w:hAnsi="Times New Roman"/>
          <w:sz w:val="24"/>
        </w:rPr>
      </w:pPr>
      <w:r w:rsidRPr="00A57EFF">
        <w:rPr>
          <w:rFonts w:ascii="Times New Roman" w:hAnsi="Times New Roman"/>
          <w:sz w:val="24"/>
        </w:rPr>
        <w:t xml:space="preserve">To test whether the microdialysis probe behaves like a synthetic root in terms of citrate exudation and P uptake, the concentration of citrate in the perfusate,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oMath>
      <w:r w:rsidRPr="00A57EFF">
        <w:rPr>
          <w:rFonts w:ascii="Times New Roman" w:hAnsi="Times New Roman"/>
          <w:sz w:val="24"/>
        </w:rPr>
        <w:t>, which produces the most similar exudation rates as the model root was found using data fitting. The P uptake rates between the root model and microdialysis probe model (using the optimal</w:t>
      </w:r>
      <m:oMath>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oMath>
      <w:r w:rsidRPr="00A57EFF">
        <w:rPr>
          <w:rFonts w:ascii="Times New Roman" w:hAnsi="Times New Roman"/>
          <w:sz w:val="24"/>
        </w:rPr>
        <w:t>) were then compared to determine how well the microdialysis probe behaves like a root.</w:t>
      </w:r>
    </w:p>
    <w:p w:rsidR="00AA6F1F" w:rsidRPr="00A57EFF" w:rsidRDefault="00AA6F1F" w:rsidP="00A57EFF">
      <w:pPr>
        <w:spacing w:after="200" w:line="360" w:lineRule="auto"/>
        <w:rPr>
          <w:rFonts w:ascii="Times New Roman" w:hAnsi="Times New Roman"/>
          <w:b/>
          <w:sz w:val="24"/>
        </w:rPr>
      </w:pPr>
      <w:r w:rsidRPr="00A57EFF">
        <w:rPr>
          <w:rFonts w:ascii="Times New Roman" w:hAnsi="Times New Roman"/>
          <w:b/>
          <w:sz w:val="24"/>
        </w:rPr>
        <w:t>Citrate contribution to P uptake</w:t>
      </w:r>
    </w:p>
    <w:p w:rsidR="00AA6F1F" w:rsidRPr="00A57EFF" w:rsidRDefault="00AA6F1F" w:rsidP="00A57EFF">
      <w:pPr>
        <w:spacing w:after="200" w:line="360" w:lineRule="auto"/>
        <w:rPr>
          <w:rFonts w:ascii="Times New Roman" w:hAnsi="Times New Roman"/>
          <w:sz w:val="24"/>
        </w:rPr>
      </w:pPr>
      <w:r w:rsidRPr="00A57EFF">
        <w:rPr>
          <w:rFonts w:ascii="Times New Roman" w:hAnsi="Times New Roman"/>
          <w:sz w:val="24"/>
        </w:rPr>
        <w:t xml:space="preserve">To investigate how citrate contributes to both microdialysis probe and root P absorption, both models are solved numerically with a range of citrate exudation rates and P flux rate per surface area is plotted in time. </w:t>
      </w:r>
    </w:p>
    <w:p w:rsidR="00AA6F1F" w:rsidRPr="00A57EFF" w:rsidRDefault="00AA6F1F" w:rsidP="00A57EFF">
      <w:pPr>
        <w:spacing w:after="200" w:line="360" w:lineRule="auto"/>
        <w:rPr>
          <w:rFonts w:ascii="Times New Roman" w:hAnsi="Times New Roman"/>
          <w:sz w:val="24"/>
        </w:rPr>
      </w:pPr>
      <w:r w:rsidRPr="00A57EFF">
        <w:rPr>
          <w:rFonts w:ascii="Times New Roman" w:hAnsi="Times New Roman"/>
          <w:b/>
          <w:sz w:val="24"/>
        </w:rPr>
        <w:t>Under what soil conditions</w:t>
      </w:r>
      <w:r w:rsidRPr="00AA6F1F">
        <w:rPr>
          <w:rFonts w:ascii="Times New Roman" w:eastAsia="Times New Roman" w:hAnsi="Times New Roman" w:cs="Times New Roman"/>
          <w:b/>
          <w:sz w:val="24"/>
        </w:rPr>
        <w:t xml:space="preserve"> and biodegradation rates</w:t>
      </w:r>
      <w:r w:rsidRPr="00A57EFF">
        <w:rPr>
          <w:rFonts w:ascii="Times New Roman" w:hAnsi="Times New Roman"/>
          <w:b/>
          <w:sz w:val="24"/>
        </w:rPr>
        <w:t xml:space="preserve"> is citrate important?</w:t>
      </w:r>
    </w:p>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To determine which soil conditions citrate exudation is important for root P uptake, the root model is solved with a range of buffer powers with and without citrate exudation</w:t>
      </w:r>
      <w:r w:rsidRPr="00AA6F1F">
        <w:rPr>
          <w:rFonts w:ascii="Times New Roman" w:eastAsia="Times New Roman" w:hAnsi="Times New Roman" w:cs="Times New Roman"/>
          <w:sz w:val="24"/>
        </w:rPr>
        <w:t>. The buffer power is varied</w:t>
      </w:r>
      <w:r w:rsidRPr="00A57EFF">
        <w:rPr>
          <w:rFonts w:ascii="Times New Roman" w:hAnsi="Times New Roman"/>
          <w:sz w:val="24"/>
        </w:rPr>
        <w:t xml:space="preserve"> by keeping desorption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r>
          <w:rPr>
            <w:rFonts w:ascii="Cambria Math" w:hAnsi="Cambria Math"/>
            <w:sz w:val="24"/>
          </w:rPr>
          <m:t xml:space="preserve">) </m:t>
        </m:r>
      </m:oMath>
      <w:r w:rsidRPr="00A57EFF">
        <w:rPr>
          <w:rFonts w:ascii="Times New Roman" w:hAnsi="Times New Roman"/>
          <w:sz w:val="24"/>
        </w:rPr>
        <w:t xml:space="preserve"> as the fitted value from the experiments and changing adsorption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m:t>
        </m:r>
      </m:oMath>
      <w:r w:rsidRPr="00A57EFF">
        <w:rPr>
          <w:rFonts w:ascii="Times New Roman" w:hAnsi="Times New Roman"/>
          <w:sz w:val="24"/>
        </w:rPr>
        <w:t xml:space="preserve">. Similarly, citrate biodegradation rates were also varied. The percentage difference of P uptake between exuding and non-exuding roots over a 12 hour period was plotted against buffer power. </w:t>
      </w:r>
    </w:p>
    <w:p w:rsidR="00AA6F1F" w:rsidRPr="00A57EFF" w:rsidRDefault="00AA6F1F" w:rsidP="00A57EFF">
      <w:pPr>
        <w:keepNext/>
        <w:keepLines/>
        <w:spacing w:before="240" w:after="0" w:line="480" w:lineRule="auto"/>
        <w:outlineLvl w:val="0"/>
        <w:rPr>
          <w:rFonts w:ascii="Times New Roman" w:hAnsi="Times New Roman"/>
          <w:color w:val="365F91"/>
          <w:sz w:val="32"/>
        </w:rPr>
      </w:pPr>
      <w:r w:rsidRPr="00A57EFF">
        <w:rPr>
          <w:rFonts w:ascii="Times New Roman" w:hAnsi="Times New Roman"/>
          <w:color w:val="365F91"/>
          <w:sz w:val="32"/>
        </w:rPr>
        <w:t>Results</w:t>
      </w:r>
    </w:p>
    <w:p w:rsidR="00AA6F1F" w:rsidRPr="00A57EFF" w:rsidRDefault="00AA6F1F" w:rsidP="00A57EFF">
      <w:pPr>
        <w:keepNext/>
        <w:keepLines/>
        <w:spacing w:before="40" w:after="0" w:line="480" w:lineRule="auto"/>
        <w:outlineLvl w:val="1"/>
        <w:rPr>
          <w:rFonts w:ascii="Times New Roman" w:hAnsi="Times New Roman"/>
          <w:color w:val="365F91"/>
          <w:sz w:val="26"/>
        </w:rPr>
      </w:pPr>
      <w:r w:rsidRPr="00A57EFF">
        <w:rPr>
          <w:rFonts w:ascii="Times New Roman" w:hAnsi="Times New Roman"/>
          <w:color w:val="365F91"/>
          <w:sz w:val="26"/>
        </w:rPr>
        <w:t>Experimental</w:t>
      </w:r>
    </w:p>
    <w:p w:rsidR="00AA6F1F" w:rsidRPr="00A57EFF" w:rsidRDefault="00AA6F1F" w:rsidP="00AA6F1F">
      <w:pPr>
        <w:spacing w:after="0" w:line="480" w:lineRule="auto"/>
        <w:jc w:val="both"/>
        <w:rPr>
          <w:rFonts w:ascii="Times New Roman" w:hAnsi="Times New Roman"/>
          <w:sz w:val="24"/>
        </w:rPr>
      </w:pPr>
      <w:r w:rsidRPr="00A57EFF">
        <w:rPr>
          <w:rFonts w:ascii="Times New Roman" w:hAnsi="Times New Roman"/>
          <w:sz w:val="24"/>
        </w:rPr>
        <w:t>The experiments in which the efflux of citrate from the microd</w:t>
      </w:r>
      <w:r w:rsidR="001B755C" w:rsidRPr="00A57EFF">
        <w:rPr>
          <w:rFonts w:ascii="Times New Roman" w:hAnsi="Times New Roman"/>
          <w:sz w:val="24"/>
        </w:rPr>
        <w:t xml:space="preserve">ialysis probes into soil showed </w:t>
      </w:r>
      <w:r w:rsidR="001B755C">
        <w:rPr>
          <w:rFonts w:ascii="Times New Roman" w:eastAsia="Calibri" w:hAnsi="Times New Roman" w:cs="Times New Roman"/>
          <w:sz w:val="24"/>
        </w:rPr>
        <w:t xml:space="preserve">that </w:t>
      </w:r>
      <w:r w:rsidRPr="00AA6F1F">
        <w:rPr>
          <w:rFonts w:ascii="Times New Roman" w:eastAsia="Calibri" w:hAnsi="Times New Roman" w:cs="Times New Roman"/>
          <w:sz w:val="24"/>
        </w:rPr>
        <w:t>the exudation rate decays in time to reach a steady efflux rate</w:t>
      </w:r>
      <w:r w:rsidR="001B755C">
        <w:rPr>
          <w:rFonts w:ascii="Times New Roman" w:eastAsia="Calibri" w:hAnsi="Times New Roman" w:cs="Times New Roman"/>
          <w:sz w:val="24"/>
        </w:rPr>
        <w:t xml:space="preserve"> (Fig 3)</w:t>
      </w:r>
      <w:r w:rsidRPr="00AA6F1F">
        <w:rPr>
          <w:rFonts w:ascii="Times New Roman" w:eastAsia="Calibri" w:hAnsi="Times New Roman" w:cs="Times New Roman"/>
          <w:sz w:val="24"/>
        </w:rPr>
        <w:t>.</w:t>
      </w:r>
      <w:r w:rsidR="001B755C">
        <w:rPr>
          <w:rFonts w:ascii="Times New Roman" w:eastAsia="Calibri" w:hAnsi="Times New Roman" w:cs="Times New Roman"/>
          <w:sz w:val="24"/>
        </w:rPr>
        <w:t xml:space="preserve"> Furthermore, </w:t>
      </w:r>
      <w:r w:rsidR="001B755C" w:rsidRPr="00A57EFF">
        <w:rPr>
          <w:rFonts w:ascii="Times New Roman" w:hAnsi="Times New Roman"/>
          <w:sz w:val="24"/>
        </w:rPr>
        <w:t xml:space="preserve">when the concentration of citrate in the perfusate increased, the </w:t>
      </w:r>
      <w:r w:rsidR="001B755C" w:rsidRPr="00AA6F1F">
        <w:rPr>
          <w:rFonts w:ascii="Times New Roman" w:eastAsia="Calibri" w:hAnsi="Times New Roman" w:cs="Times New Roman"/>
          <w:sz w:val="24"/>
        </w:rPr>
        <w:t xml:space="preserve">total </w:t>
      </w:r>
      <w:r w:rsidR="001B755C" w:rsidRPr="00A57EFF">
        <w:rPr>
          <w:rFonts w:ascii="Times New Roman" w:hAnsi="Times New Roman"/>
          <w:sz w:val="24"/>
        </w:rPr>
        <w:t>quantity of citrate exuded in the soil increased linearly (</w:t>
      </w:r>
      <w:r w:rsidR="001B755C" w:rsidRPr="00AA6F1F">
        <w:rPr>
          <w:rFonts w:ascii="Times New Roman" w:eastAsia="Calibri" w:hAnsi="Times New Roman" w:cs="Times New Roman"/>
          <w:sz w:val="24"/>
        </w:rPr>
        <w:t>data not shown).</w:t>
      </w:r>
    </w:p>
    <w:p w:rsidR="00AA6F1F" w:rsidRPr="00A57EFF" w:rsidRDefault="00AA6F1F" w:rsidP="00AA6F1F">
      <w:pPr>
        <w:spacing w:after="0" w:line="480" w:lineRule="auto"/>
        <w:ind w:firstLine="720"/>
        <w:jc w:val="both"/>
        <w:rPr>
          <w:rFonts w:ascii="Times New Roman" w:hAnsi="Times New Roman"/>
          <w:sz w:val="24"/>
        </w:rPr>
      </w:pPr>
      <w:r w:rsidRPr="00AA6F1F">
        <w:rPr>
          <w:rFonts w:ascii="Times New Roman" w:eastAsia="Times New Roman" w:hAnsi="Times New Roman" w:cs="Times New Roman"/>
          <w:sz w:val="24"/>
          <w:szCs w:val="24"/>
        </w:rPr>
        <w:t>Measurements of</w:t>
      </w:r>
      <w:r w:rsidRPr="00A57EFF">
        <w:rPr>
          <w:rFonts w:ascii="Times New Roman" w:hAnsi="Times New Roman"/>
          <w:sz w:val="24"/>
        </w:rPr>
        <w:t xml:space="preserve"> P recovery from standard solutions using the microdialysis probes showed that when citrate was absent in the perfusate, the quantity of P absorbed by the microdialysis probe increased linearly with the concentration of P in the standard solutions (Fig. 4). </w:t>
      </w:r>
      <w:r w:rsidRPr="00AA6F1F">
        <w:rPr>
          <w:rFonts w:ascii="Times New Roman" w:eastAsia="Calibri" w:hAnsi="Times New Roman" w:cs="Times New Roman"/>
          <w:sz w:val="24"/>
        </w:rPr>
        <w:t>When</w:t>
      </w:r>
      <w:r w:rsidRPr="00A57EFF">
        <w:rPr>
          <w:rFonts w:ascii="Times New Roman" w:hAnsi="Times New Roman"/>
          <w:sz w:val="24"/>
        </w:rPr>
        <w:t xml:space="preserve"> the concentration of citrate in the perfusate increased, the amount of P absorbed by the microdialysis probe increased, except in the experiment where there was </w:t>
      </w:r>
      <m:oMath>
        <m:r>
          <w:rPr>
            <w:rFonts w:ascii="Cambria Math" w:hAnsi="Cambria Math"/>
            <w:sz w:val="24"/>
          </w:rPr>
          <m:t>100</m:t>
        </m:r>
      </m:oMath>
      <w:r w:rsidRPr="00A57EFF">
        <w:rPr>
          <w:rFonts w:ascii="Times New Roman" w:hAnsi="Times New Roman"/>
          <w:sz w:val="24"/>
        </w:rPr>
        <w:t xml:space="preserve"> µM of P in the standard solution (Fig. 5).</w:t>
      </w:r>
    </w:p>
    <w:p w:rsidR="00AA6F1F" w:rsidRPr="00A57EFF" w:rsidRDefault="00AA6F1F" w:rsidP="00A57EFF">
      <w:pPr>
        <w:spacing w:after="200" w:line="480" w:lineRule="auto"/>
        <w:ind w:firstLine="720"/>
        <w:jc w:val="both"/>
        <w:rPr>
          <w:rFonts w:ascii="Times New Roman" w:hAnsi="Times New Roman"/>
          <w:sz w:val="24"/>
        </w:rPr>
      </w:pPr>
      <w:r w:rsidRPr="00A57EFF">
        <w:rPr>
          <w:rFonts w:ascii="Times New Roman" w:hAnsi="Times New Roman"/>
          <w:sz w:val="24"/>
        </w:rPr>
        <w:t>When citrate was perfused through the microdialysis probes, the results showed that increasing citrate concentrations increased P recovery from the soil (Fig. 6). Furthermore, for each of the citrate concentrations in the perfusate, the quantity of P absorbed from the soil decreased over time.</w:t>
      </w:r>
      <w:r w:rsidRPr="00A57EFF">
        <w:rPr>
          <w:rFonts w:ascii="Times New Roman" w:hAnsi="Times New Roman"/>
          <w:sz w:val="24"/>
        </w:rPr>
        <w:tab/>
      </w:r>
    </w:p>
    <w:p w:rsidR="00AA6F1F" w:rsidRPr="00A57EFF" w:rsidRDefault="00AA6F1F" w:rsidP="00A57EFF">
      <w:pPr>
        <w:keepNext/>
        <w:keepLines/>
        <w:spacing w:before="40" w:after="0" w:line="480" w:lineRule="auto"/>
        <w:outlineLvl w:val="1"/>
        <w:rPr>
          <w:rFonts w:ascii="Times New Roman" w:hAnsi="Times New Roman"/>
          <w:color w:val="365F91"/>
          <w:sz w:val="26"/>
        </w:rPr>
      </w:pPr>
      <w:r w:rsidRPr="00A57EFF">
        <w:rPr>
          <w:rFonts w:ascii="Times New Roman" w:hAnsi="Times New Roman"/>
          <w:color w:val="365F91"/>
          <w:sz w:val="26"/>
        </w:rPr>
        <w:t>Data Fitting</w:t>
      </w:r>
    </w:p>
    <w:p w:rsidR="00AA6F1F" w:rsidRPr="00A57EFF" w:rsidRDefault="00AA6F1F" w:rsidP="00A57EFF">
      <w:pPr>
        <w:spacing w:after="200" w:line="480" w:lineRule="auto"/>
        <w:jc w:val="both"/>
        <w:rPr>
          <w:rFonts w:ascii="Times New Roman" w:hAnsi="Times New Roman"/>
          <w:b/>
          <w:sz w:val="24"/>
        </w:rPr>
      </w:pPr>
      <w:r w:rsidRPr="00A57EFF">
        <w:rPr>
          <w:rFonts w:ascii="Times New Roman" w:hAnsi="Times New Roman"/>
          <w:sz w:val="24"/>
        </w:rPr>
        <w:t>The value of each parameter as found by the minimisation problems described in the Data fitting section can be found in Table 4. Furthermore, the goodness of fits for minimisations 1, 2, 3, 4 and 5 as described in Fig. 2 (or Table 3) can be seen in Fig. 3, 4, 5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=0</m:t>
        </m:r>
      </m:oMath>
      <w:r w:rsidRPr="00A57EFF">
        <w:rPr>
          <w:rFonts w:ascii="Times New Roman" w:hAnsi="Times New Roman"/>
          <w:sz w:val="24"/>
        </w:rPr>
        <w:t xml:space="preserve"> µmol l</w:t>
      </w:r>
      <w:r w:rsidRPr="00A57EFF">
        <w:rPr>
          <w:rFonts w:ascii="Times New Roman" w:hAnsi="Times New Roman"/>
          <w:sz w:val="24"/>
          <w:vertAlign w:val="superscript"/>
        </w:rPr>
        <w:t>-1</w:t>
      </w:r>
      <w:r w:rsidRPr="00A57EFF">
        <w:rPr>
          <w:rFonts w:ascii="Times New Roman" w:hAnsi="Times New Roman"/>
          <w:sz w:val="24"/>
        </w:rPr>
        <w:t>), and 6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=100, 10000</m:t>
        </m:r>
      </m:oMath>
      <w:r w:rsidRPr="00A57EFF">
        <w:rPr>
          <w:rFonts w:ascii="Times New Roman" w:hAnsi="Times New Roman"/>
          <w:sz w:val="24"/>
        </w:rPr>
        <w:t xml:space="preserve"> µmol l</w:t>
      </w:r>
      <w:r w:rsidRPr="00A57EFF">
        <w:rPr>
          <w:rFonts w:ascii="Times New Roman" w:hAnsi="Times New Roman"/>
          <w:sz w:val="24"/>
          <w:vertAlign w:val="superscript"/>
        </w:rPr>
        <w:t>-1</w:t>
      </w:r>
      <w:r w:rsidRPr="00A57EFF">
        <w:rPr>
          <w:rFonts w:ascii="Times New Roman" w:hAnsi="Times New Roman"/>
          <w:sz w:val="24"/>
        </w:rPr>
        <w:t xml:space="preserve">), respectively. The data fitting only concerns mass transfer across the </w:t>
      </w:r>
      <w:r w:rsidRPr="00AA6F1F">
        <w:rPr>
          <w:rFonts w:ascii="Times New Roman" w:eastAsia="Times New Roman" w:hAnsi="Times New Roman" w:cs="Times New Roman"/>
          <w:sz w:val="24"/>
        </w:rPr>
        <w:t xml:space="preserve">membrane of </w:t>
      </w:r>
      <w:r w:rsidRPr="00A57EFF">
        <w:rPr>
          <w:rFonts w:ascii="Times New Roman" w:hAnsi="Times New Roman"/>
          <w:sz w:val="24"/>
        </w:rPr>
        <w:t xml:space="preserve">dialysis probe. Fig. 7 demonstrates the predicted distribution of P and citrate in the external soil with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add</m:t>
            </m:r>
          </m:sub>
        </m:sSub>
        <m:r>
          <w:rPr>
            <w:rFonts w:ascii="Cambria Math" w:hAnsi="Cambria Math"/>
            <w:sz w:val="24"/>
          </w:rPr>
          <m:t>=6.67</m:t>
        </m:r>
      </m:oMath>
      <w:r w:rsidRPr="00A57EFF">
        <w:rPr>
          <w:rFonts w:ascii="Times New Roman" w:hAnsi="Times New Roman"/>
          <w:sz w:val="24"/>
        </w:rPr>
        <w:t xml:space="preserve"> µmol l</w:t>
      </w:r>
      <w:r w:rsidRPr="00A57EFF">
        <w:rPr>
          <w:rFonts w:ascii="Times New Roman" w:hAnsi="Times New Roman"/>
          <w:sz w:val="24"/>
          <w:vertAlign w:val="superscript"/>
        </w:rPr>
        <w:t>-1</w:t>
      </w:r>
      <w:r w:rsidRPr="00A57EFF">
        <w:rPr>
          <w:rFonts w:ascii="Times New Roman" w:hAnsi="Times New Roman"/>
          <w:sz w:val="24"/>
        </w:rPr>
        <w:t xml:space="preserve"> and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=50000</m:t>
        </m:r>
      </m:oMath>
      <w:r w:rsidRPr="00A57EFF">
        <w:rPr>
          <w:rFonts w:ascii="Times New Roman" w:hAnsi="Times New Roman"/>
          <w:sz w:val="24"/>
        </w:rPr>
        <w:t xml:space="preserve"> µmol l</w:t>
      </w:r>
      <w:r w:rsidRPr="00A57EFF">
        <w:rPr>
          <w:rFonts w:ascii="Times New Roman" w:hAnsi="Times New Roman"/>
          <w:sz w:val="24"/>
          <w:vertAlign w:val="superscript"/>
        </w:rPr>
        <w:t>-1</w:t>
      </w:r>
      <w:r w:rsidRPr="00A57EFF">
        <w:rPr>
          <w:rFonts w:ascii="Times New Roman" w:hAnsi="Times New Roman"/>
          <w:sz w:val="24"/>
        </w:rPr>
        <w:t xml:space="preserve"> when the fitted parameters were used. The fitted parameters found in this section were used for the rest of the microdialysis probe simulations.</w:t>
      </w:r>
    </w:p>
    <w:p w:rsidR="00AA6F1F" w:rsidRPr="00A57EFF" w:rsidRDefault="00AA6F1F" w:rsidP="00A57EFF">
      <w:pPr>
        <w:spacing w:after="200" w:line="480" w:lineRule="auto"/>
        <w:rPr>
          <w:rFonts w:ascii="Times New Roman" w:hAnsi="Times New Roman"/>
          <w:sz w:val="20"/>
        </w:rPr>
      </w:pPr>
      <w:r w:rsidRPr="00A57EFF">
        <w:rPr>
          <w:rFonts w:ascii="Times New Roman" w:hAnsi="Times New Roman"/>
          <w:b/>
          <w:sz w:val="20"/>
        </w:rPr>
        <w:t xml:space="preserve">Table 4 </w:t>
      </w:r>
      <w:r w:rsidRPr="00A57EFF">
        <w:rPr>
          <w:rFonts w:ascii="Times New Roman" w:hAnsi="Times New Roman"/>
          <w:sz w:val="20"/>
        </w:rPr>
        <w:t>Results of minimisations described in the data fitting section. The heading Objective function refers to functions which were minimised, details of which can be found in Table 3; argmin refers to the parameter values which achieve the minimum as found by the interior-point algorithm; Objective value shows the value of the objective function at the parameter values which achieve the minimum</w:t>
      </w:r>
      <w:r w:rsidRPr="00AA6F1F">
        <w:rPr>
          <w:rFonts w:ascii="Times New Roman" w:eastAsia="Times New Roman" w:hAnsi="Times New Roman" w:cs="Times New Roman"/>
          <w:sz w:val="20"/>
          <w:szCs w:val="20"/>
        </w:rPr>
        <w:t>; and Percentage error shows percentage difference in cumulative exuded/absorbed citrate/phosphate between the experiment and the model for each initial condition, a positive value means the model over predicts the exudation/absorption</w:t>
      </w:r>
      <w:r w:rsidRPr="00A57EFF">
        <w:rPr>
          <w:rFonts w:ascii="Times New Roman" w:hAnsi="Times New Roman"/>
          <w:sz w:val="20"/>
        </w:rPr>
        <w:t>.</w:t>
      </w:r>
    </w:p>
    <w:tbl>
      <w:tblPr>
        <w:tblStyle w:val="TableGrid"/>
        <w:tblW w:w="9209" w:type="dxa"/>
        <w:tblLook w:val="04A0" w:firstRow="1" w:lastRow="0" w:firstColumn="1" w:lastColumn="0" w:noHBand="0" w:noVBand="1"/>
      </w:tblPr>
      <w:tblGrid>
        <w:gridCol w:w="2122"/>
        <w:gridCol w:w="1842"/>
        <w:gridCol w:w="2268"/>
        <w:gridCol w:w="2977"/>
      </w:tblGrid>
      <w:tr w:rsidR="00AA6F1F" w:rsidRPr="00AA6F1F" w:rsidTr="00A57EFF">
        <w:tc>
          <w:tcPr>
            <w:tcW w:w="2122" w:type="dxa"/>
          </w:tcPr>
          <w:p w:rsidR="00AA6F1F" w:rsidRPr="00A57EFF" w:rsidRDefault="00AA6F1F" w:rsidP="00AA6F1F">
            <w:pPr>
              <w:spacing w:line="480" w:lineRule="auto"/>
              <w:jc w:val="center"/>
              <w:rPr>
                <w:rFonts w:ascii="Times New Roman" w:hAnsi="Times New Roman"/>
                <w:b/>
                <w:sz w:val="24"/>
              </w:rPr>
            </w:pPr>
            <w:r w:rsidRPr="00A57EFF">
              <w:rPr>
                <w:rFonts w:ascii="Times New Roman" w:hAnsi="Times New Roman"/>
                <w:b/>
                <w:sz w:val="24"/>
              </w:rPr>
              <w:t>Objective function</w:t>
            </w:r>
          </w:p>
        </w:tc>
        <w:tc>
          <w:tcPr>
            <w:tcW w:w="1842" w:type="dxa"/>
          </w:tcPr>
          <w:p w:rsidR="00AA6F1F" w:rsidRPr="00A57EFF" w:rsidRDefault="00AA6F1F" w:rsidP="00AA6F1F">
            <w:pPr>
              <w:spacing w:line="480" w:lineRule="auto"/>
              <w:jc w:val="center"/>
              <w:rPr>
                <w:rFonts w:ascii="Times New Roman" w:hAnsi="Times New Roman"/>
                <w:b/>
                <w:sz w:val="24"/>
              </w:rPr>
            </w:pPr>
            <w:r w:rsidRPr="00A57EFF">
              <w:rPr>
                <w:rFonts w:ascii="Times New Roman" w:hAnsi="Times New Roman"/>
                <w:b/>
                <w:sz w:val="24"/>
              </w:rPr>
              <w:t>argmin</w:t>
            </w:r>
          </w:p>
        </w:tc>
        <w:tc>
          <w:tcPr>
            <w:tcW w:w="2268" w:type="dxa"/>
          </w:tcPr>
          <w:p w:rsidR="00AA6F1F" w:rsidRPr="00A57EFF" w:rsidRDefault="00AA6F1F" w:rsidP="00AA6F1F">
            <w:pPr>
              <w:spacing w:line="480" w:lineRule="auto"/>
              <w:jc w:val="center"/>
              <w:rPr>
                <w:rFonts w:ascii="Times New Roman" w:hAnsi="Times New Roman"/>
                <w:b/>
                <w:sz w:val="24"/>
              </w:rPr>
            </w:pPr>
            <w:r w:rsidRPr="00A57EFF">
              <w:rPr>
                <w:rFonts w:ascii="Times New Roman" w:hAnsi="Times New Roman"/>
                <w:b/>
                <w:sz w:val="24"/>
              </w:rPr>
              <w:t>Objective value</w:t>
            </w:r>
          </w:p>
        </w:tc>
        <w:tc>
          <w:tcPr>
            <w:tcW w:w="2977" w:type="dxa"/>
          </w:tcPr>
          <w:p w:rsidR="00AA6F1F" w:rsidRPr="00AA6F1F" w:rsidRDefault="00AA6F1F" w:rsidP="00AA6F1F">
            <w:pPr>
              <w:spacing w:line="480" w:lineRule="auto"/>
              <w:jc w:val="center"/>
              <w:rPr>
                <w:rFonts w:ascii="Times New Roman" w:hAnsi="Times New Roman"/>
                <w:b/>
                <w:sz w:val="24"/>
              </w:rPr>
            </w:pPr>
            <w:r w:rsidRPr="00AA6F1F">
              <w:rPr>
                <w:rFonts w:ascii="Times New Roman" w:hAnsi="Times New Roman"/>
                <w:b/>
                <w:sz w:val="24"/>
              </w:rPr>
              <w:t>Percentage error</w:t>
            </w:r>
          </w:p>
        </w:tc>
      </w:tr>
      <w:tr w:rsidR="00AA6F1F" w:rsidRPr="00AA6F1F" w:rsidTr="00A57EFF">
        <w:tc>
          <w:tcPr>
            <w:tcW w:w="2122" w:type="dxa"/>
          </w:tcPr>
          <w:p w:rsidR="00AA6F1F" w:rsidRPr="00A57EFF" w:rsidRDefault="00AA6F1F" w:rsidP="00AA6F1F">
            <w:pPr>
              <w:spacing w:line="480" w:lineRule="auto"/>
              <w:rPr>
                <w:rFonts w:ascii="Times New Roman" w:hAnsi="Times New Roman"/>
                <w:sz w:val="20"/>
              </w:rPr>
            </w:pPr>
            <m:oMathPara>
              <m:oMath>
                <m:r>
                  <w:rPr>
                    <w:rFonts w:ascii="Cambria Math" w:hAnsi="Cambria Math"/>
                    <w:sz w:val="20"/>
                    <w:szCs w:val="20"/>
                  </w:rPr>
                  <m:t>ob</m:t>
                </m:r>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C</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γ</m:t>
                    </m:r>
                  </m:e>
                  <m:sub>
                    <m:r>
                      <w:rPr>
                        <w:rFonts w:ascii="Cambria Math" w:hAnsi="Cambria Math"/>
                        <w:sz w:val="20"/>
                        <w:szCs w:val="20"/>
                      </w:rPr>
                      <m:t>2</m:t>
                    </m:r>
                  </m:sub>
                </m:sSub>
                <m:r>
                  <w:rPr>
                    <w:rFonts w:ascii="Cambria Math" w:hAnsi="Cambria Math"/>
                    <w:sz w:val="20"/>
                    <w:szCs w:val="20"/>
                  </w:rPr>
                  <m:t>, λ)</m:t>
                </m:r>
              </m:oMath>
            </m:oMathPara>
          </w:p>
        </w:tc>
        <w:tc>
          <w:tcPr>
            <w:tcW w:w="1842" w:type="dxa"/>
          </w:tcPr>
          <w:p w:rsidR="00AA6F1F" w:rsidRPr="00A57EFF" w:rsidRDefault="00443791" w:rsidP="00AA6F1F">
            <w:pPr>
              <w:spacing w:line="480" w:lineRule="auto"/>
              <w:rPr>
                <w:rFonts w:ascii="Times New Roman" w:hAnsi="Times New Roman"/>
                <w:sz w:val="20"/>
              </w:rPr>
            </w:pPr>
            <m:oMath>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C</m:t>
                  </m:r>
                </m:sub>
              </m:sSub>
              <m:r>
                <w:rPr>
                  <w:rFonts w:ascii="Cambria Math" w:hAnsi="Cambria Math"/>
                  <w:sz w:val="20"/>
                  <w:szCs w:val="20"/>
                </w:rPr>
                <m:t>=4.348×</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-4</m:t>
                  </m:r>
                </m:sup>
              </m:sSup>
            </m:oMath>
            <w:r w:rsidR="00AA6F1F" w:rsidRPr="00A57EFF">
              <w:rPr>
                <w:rFonts w:ascii="Times New Roman" w:hAnsi="Times New Roman"/>
                <w:sz w:val="20"/>
              </w:rPr>
              <w:t xml:space="preserve"> ms</w:t>
            </w:r>
            <w:r w:rsidR="00AA6F1F" w:rsidRPr="00A57EFF">
              <w:rPr>
                <w:rFonts w:ascii="Times New Roman" w:hAnsi="Times New Roman"/>
                <w:sz w:val="20"/>
                <w:vertAlign w:val="superscript"/>
              </w:rPr>
              <w:t>-1</w:t>
            </w:r>
            <w:r w:rsidR="00AA6F1F" w:rsidRPr="00A57EFF">
              <w:rPr>
                <w:rFonts w:ascii="Times New Roman" w:hAnsi="Times New Roman"/>
                <w:sz w:val="20"/>
              </w:rPr>
              <w:t xml:space="preserve">, </w:t>
            </w:r>
            <m:oMath>
              <m:sSub>
                <m:sSubPr>
                  <m:ctrlPr>
                    <w:rPr>
                      <w:rFonts w:ascii="Cambria Math" w:hAnsi="Cambria Math"/>
                      <w:i/>
                      <w:sz w:val="20"/>
                      <w:szCs w:val="20"/>
                    </w:rPr>
                  </m:ctrlPr>
                </m:sSubPr>
                <m:e>
                  <m:r>
                    <w:rPr>
                      <w:rFonts w:ascii="Cambria Math" w:hAnsi="Cambria Math"/>
                      <w:sz w:val="20"/>
                      <w:szCs w:val="20"/>
                    </w:rPr>
                    <m:t>γ</m:t>
                  </m:r>
                </m:e>
                <m:sub>
                  <m:r>
                    <w:rPr>
                      <w:rFonts w:ascii="Cambria Math" w:hAnsi="Cambria Math"/>
                      <w:sz w:val="20"/>
                      <w:szCs w:val="20"/>
                    </w:rPr>
                    <m:t>2</m:t>
                  </m:r>
                </m:sub>
              </m:sSub>
              <m:r>
                <w:rPr>
                  <w:rFonts w:ascii="Cambria Math" w:hAnsi="Cambria Math"/>
                  <w:sz w:val="20"/>
                  <w:szCs w:val="20"/>
                </w:rPr>
                <m:t>=1.2×</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-2</m:t>
                  </m:r>
                </m:sup>
              </m:sSup>
            </m:oMath>
            <w:r w:rsidR="00AA6F1F" w:rsidRPr="00A57EFF">
              <w:rPr>
                <w:rFonts w:ascii="Times New Roman" w:hAnsi="Times New Roman"/>
                <w:sz w:val="20"/>
              </w:rPr>
              <w:t xml:space="preserve"> s</w:t>
            </w:r>
            <w:r w:rsidR="00AA6F1F" w:rsidRPr="00A57EFF">
              <w:rPr>
                <w:rFonts w:ascii="Times New Roman" w:hAnsi="Times New Roman"/>
                <w:sz w:val="20"/>
                <w:vertAlign w:val="superscript"/>
              </w:rPr>
              <w:t>-1</w:t>
            </w:r>
            <w:r w:rsidR="00AA6F1F" w:rsidRPr="00A57EFF">
              <w:rPr>
                <w:rFonts w:ascii="Times New Roman" w:hAnsi="Times New Roman"/>
                <w:sz w:val="20"/>
              </w:rPr>
              <w:t xml:space="preserve">, </w:t>
            </w:r>
            <m:oMath>
              <m:r>
                <w:rPr>
                  <w:rFonts w:ascii="Cambria Math" w:hAnsi="Cambria Math"/>
                  <w:sz w:val="20"/>
                  <w:szCs w:val="20"/>
                </w:rPr>
                <m:t>λ=1.1×</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-3</m:t>
                  </m:r>
                </m:sup>
              </m:sSup>
            </m:oMath>
            <w:r w:rsidR="00AA6F1F" w:rsidRPr="00A57EFF">
              <w:rPr>
                <w:rFonts w:ascii="Times New Roman" w:hAnsi="Times New Roman"/>
                <w:sz w:val="20"/>
              </w:rPr>
              <w:t xml:space="preserve"> s</w:t>
            </w:r>
            <w:r w:rsidR="00AA6F1F" w:rsidRPr="00A57EFF">
              <w:rPr>
                <w:rFonts w:ascii="Times New Roman" w:hAnsi="Times New Roman"/>
                <w:sz w:val="20"/>
                <w:vertAlign w:val="superscript"/>
              </w:rPr>
              <w:t>-1</w:t>
            </w:r>
          </w:p>
        </w:tc>
        <w:tc>
          <w:tcPr>
            <w:tcW w:w="2268" w:type="dxa"/>
          </w:tcPr>
          <w:p w:rsidR="00AA6F1F" w:rsidRPr="00A57EFF" w:rsidRDefault="00AA6F1F" w:rsidP="00AA6F1F">
            <w:pPr>
              <w:spacing w:line="480" w:lineRule="auto"/>
              <w:jc w:val="center"/>
              <w:rPr>
                <w:rFonts w:ascii="Times New Roman" w:hAnsi="Times New Roman"/>
                <w:sz w:val="20"/>
              </w:rPr>
            </w:pPr>
            <w:r w:rsidRPr="00A57EFF">
              <w:rPr>
                <w:rFonts w:ascii="Times New Roman" w:hAnsi="Times New Roman"/>
                <w:sz w:val="20"/>
              </w:rPr>
              <w:t>30.26</w:t>
            </w:r>
          </w:p>
        </w:tc>
        <w:tc>
          <w:tcPr>
            <w:tcW w:w="2977" w:type="dxa"/>
          </w:tcPr>
          <w:p w:rsidR="00AA6F1F" w:rsidRPr="00AA6F1F" w:rsidRDefault="00443791" w:rsidP="00AA6F1F">
            <w:pPr>
              <w:spacing w:line="480" w:lineRule="auto"/>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m:t>
                </m:r>
                <m:r>
                  <m:rPr>
                    <m:sty m:val="p"/>
                  </m:rPr>
                  <w:rPr>
                    <w:rFonts w:ascii="Cambria Math" w:hAnsi="Cambria Math"/>
                    <w:sz w:val="20"/>
                    <w:szCs w:val="20"/>
                  </w:rPr>
                  <m:t>-21.4%</m:t>
                </m:r>
              </m:oMath>
            </m:oMathPara>
          </w:p>
          <w:p w:rsidR="00AA6F1F" w:rsidRPr="00AA6F1F" w:rsidRDefault="00443791" w:rsidP="00AA6F1F">
            <w:pPr>
              <w:spacing w:line="480" w:lineRule="auto"/>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m:t>
                </m:r>
                <m:r>
                  <m:rPr>
                    <m:sty m:val="p"/>
                  </m:rPr>
                  <w:rPr>
                    <w:rFonts w:ascii="Cambria Math" w:hAnsi="Cambria Math"/>
                    <w:sz w:val="20"/>
                    <w:szCs w:val="20"/>
                  </w:rPr>
                  <m:t>1000:-13.6%</m:t>
                </m:r>
              </m:oMath>
            </m:oMathPara>
          </w:p>
          <w:p w:rsidR="00AA6F1F" w:rsidRPr="00AA6F1F" w:rsidRDefault="00443791" w:rsidP="00AA6F1F">
            <w:pPr>
              <w:spacing w:line="480" w:lineRule="auto"/>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=10000:16.3%</m:t>
                </m:r>
              </m:oMath>
            </m:oMathPara>
          </w:p>
        </w:tc>
      </w:tr>
      <w:tr w:rsidR="00AA6F1F" w:rsidRPr="00AA6F1F" w:rsidTr="00A57EFF">
        <w:tc>
          <w:tcPr>
            <w:tcW w:w="2122" w:type="dxa"/>
          </w:tcPr>
          <w:p w:rsidR="00AA6F1F" w:rsidRPr="00A57EFF" w:rsidRDefault="00AA6F1F" w:rsidP="00AA6F1F">
            <w:pPr>
              <w:spacing w:line="480" w:lineRule="auto"/>
              <w:rPr>
                <w:rFonts w:ascii="Times New Roman" w:hAnsi="Times New Roman"/>
                <w:sz w:val="24"/>
              </w:rPr>
            </w:pPr>
            <m:oMathPara>
              <m:oMath>
                <m:r>
                  <w:rPr>
                    <w:rFonts w:ascii="Cambria Math" w:hAnsi="Cambria Math"/>
                    <w:sz w:val="20"/>
                    <w:szCs w:val="20"/>
                  </w:rPr>
                  <m:t>ob</m:t>
                </m:r>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2</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P</m:t>
                    </m:r>
                  </m:sub>
                  <m:sup>
                    <m:r>
                      <w:rPr>
                        <w:rFonts w:ascii="Cambria Math" w:hAnsi="Cambria Math"/>
                        <w:sz w:val="20"/>
                        <w:szCs w:val="20"/>
                      </w:rPr>
                      <m:t>0</m:t>
                    </m:r>
                  </m:sup>
                </m:sSubSup>
                <m:r>
                  <w:rPr>
                    <w:rFonts w:ascii="Cambria Math" w:hAnsi="Cambria Math"/>
                    <w:sz w:val="20"/>
                    <w:szCs w:val="20"/>
                  </w:rPr>
                  <m:t>)</m:t>
                </m:r>
              </m:oMath>
            </m:oMathPara>
          </w:p>
        </w:tc>
        <w:tc>
          <w:tcPr>
            <w:tcW w:w="1842" w:type="dxa"/>
          </w:tcPr>
          <w:p w:rsidR="00AA6F1F" w:rsidRPr="00A57EFF" w:rsidRDefault="00443791" w:rsidP="00A57EFF">
            <w:pPr>
              <w:spacing w:line="480" w:lineRule="auto"/>
              <w:rPr>
                <w:rFonts w:ascii="Times New Roman" w:hAnsi="Times New Roman"/>
                <w:sz w:val="20"/>
              </w:rPr>
            </w:pPr>
            <m:oMath>
              <m:sSubSup>
                <m:sSubSupPr>
                  <m:ctrlPr>
                    <w:rPr>
                      <w:rFonts w:ascii="Cambria Math" w:eastAsia="Calibri" w:hAnsi="Cambria Math"/>
                      <w:sz w:val="20"/>
                      <w:szCs w:val="20"/>
                    </w:rPr>
                  </m:ctrlPr>
                </m:sSubSupPr>
                <m:e>
                  <m:r>
                    <w:rPr>
                      <w:rFonts w:ascii="Cambria Math" w:eastAsia="Calibri" w:hAnsi="Cambria Math"/>
                      <w:sz w:val="20"/>
                      <w:szCs w:val="20"/>
                    </w:rPr>
                    <m:t>δ</m:t>
                  </m:r>
                </m:e>
                <m:sub>
                  <m:r>
                    <w:rPr>
                      <w:rFonts w:ascii="Cambria Math" w:eastAsia="Calibri" w:hAnsi="Cambria Math"/>
                      <w:sz w:val="20"/>
                      <w:szCs w:val="20"/>
                    </w:rPr>
                    <m:t>P</m:t>
                  </m:r>
                </m:sub>
                <m:sup>
                  <m:r>
                    <m:rPr>
                      <m:sty m:val="p"/>
                    </m:rPr>
                    <w:rPr>
                      <w:rFonts w:ascii="Cambria Math" w:eastAsia="Calibri" w:hAnsi="Cambria Math"/>
                      <w:sz w:val="20"/>
                      <w:szCs w:val="20"/>
                    </w:rPr>
                    <m:t>0</m:t>
                  </m:r>
                </m:sup>
              </m:sSubSup>
              <m:r>
                <m:rPr>
                  <m:sty m:val="p"/>
                </m:rPr>
                <w:rPr>
                  <w:rFonts w:ascii="Cambria Math" w:eastAsia="Calibri" w:hAnsi="Cambria Math"/>
                  <w:sz w:val="20"/>
                  <w:szCs w:val="20"/>
                </w:rPr>
                <m:t>=2.936×</m:t>
              </m:r>
              <m:sSup>
                <m:sSupPr>
                  <m:ctrlPr>
                    <w:rPr>
                      <w:rFonts w:ascii="Cambria Math" w:eastAsia="Calibri" w:hAnsi="Cambria Math"/>
                      <w:sz w:val="20"/>
                      <w:szCs w:val="20"/>
                    </w:rPr>
                  </m:ctrlPr>
                </m:sSupPr>
                <m:e>
                  <m:r>
                    <m:rPr>
                      <m:sty m:val="p"/>
                    </m:rPr>
                    <w:rPr>
                      <w:rFonts w:ascii="Cambria Math" w:eastAsia="Calibri" w:hAnsi="Cambria Math"/>
                      <w:sz w:val="20"/>
                      <w:szCs w:val="20"/>
                    </w:rPr>
                    <m:t>10</m:t>
                  </m:r>
                </m:e>
                <m:sup>
                  <m:r>
                    <m:rPr>
                      <m:sty m:val="p"/>
                    </m:rPr>
                    <w:rPr>
                      <w:rFonts w:ascii="Cambria Math" w:eastAsia="Calibri" w:hAnsi="Cambria Math"/>
                      <w:sz w:val="20"/>
                      <w:szCs w:val="20"/>
                    </w:rPr>
                    <m:t>-7</m:t>
                  </m:r>
                </m:sup>
              </m:sSup>
            </m:oMath>
            <w:r w:rsidR="00AA6F1F" w:rsidRPr="00A57EFF">
              <w:rPr>
                <w:rFonts w:ascii="Times New Roman" w:hAnsi="Times New Roman"/>
                <w:sz w:val="20"/>
              </w:rPr>
              <w:t xml:space="preserve"> ms</w:t>
            </w:r>
            <w:r w:rsidR="00AA6F1F" w:rsidRPr="00A57EFF">
              <w:rPr>
                <w:rFonts w:ascii="Times New Roman" w:hAnsi="Times New Roman"/>
                <w:sz w:val="20"/>
                <w:vertAlign w:val="superscript"/>
              </w:rPr>
              <w:t>-1</w:t>
            </w:r>
          </w:p>
        </w:tc>
        <w:tc>
          <w:tcPr>
            <w:tcW w:w="2268" w:type="dxa"/>
          </w:tcPr>
          <w:p w:rsidR="00AA6F1F" w:rsidRPr="00A57EFF" w:rsidRDefault="00AA6F1F" w:rsidP="00AA6F1F">
            <w:pPr>
              <w:spacing w:line="480" w:lineRule="auto"/>
              <w:jc w:val="center"/>
              <w:rPr>
                <w:rFonts w:ascii="Times New Roman" w:hAnsi="Times New Roman"/>
                <w:sz w:val="20"/>
              </w:rPr>
            </w:pPr>
            <w:r w:rsidRPr="00A57EFF">
              <w:rPr>
                <w:rFonts w:ascii="Times New Roman" w:hAnsi="Times New Roman"/>
                <w:sz w:val="20"/>
              </w:rPr>
              <w:t>349.9</w:t>
            </w:r>
          </w:p>
        </w:tc>
        <w:tc>
          <w:tcPr>
            <w:tcW w:w="2977" w:type="dxa"/>
          </w:tcPr>
          <w:p w:rsidR="00AA6F1F" w:rsidRPr="00AA6F1F" w:rsidRDefault="00443791" w:rsidP="00AA6F1F">
            <w:pPr>
              <w:spacing w:line="480" w:lineRule="auto"/>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=100:-0.02%</m:t>
                </m:r>
              </m:oMath>
            </m:oMathPara>
          </w:p>
          <w:p w:rsidR="00AA6F1F" w:rsidRPr="00AA6F1F" w:rsidRDefault="00443791" w:rsidP="00AA6F1F">
            <w:pPr>
              <w:spacing w:line="480" w:lineRule="auto"/>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=1000:-31.2%</m:t>
                </m:r>
              </m:oMath>
            </m:oMathPara>
          </w:p>
          <w:p w:rsidR="00AA6F1F" w:rsidRPr="00AA6F1F" w:rsidRDefault="00443791" w:rsidP="00AA6F1F">
            <w:pPr>
              <w:spacing w:line="480" w:lineRule="auto"/>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=10000</m:t>
              </m:r>
            </m:oMath>
            <w:r w:rsidR="00AA6F1F" w:rsidRPr="00AA6F1F">
              <w:rPr>
                <w:rFonts w:ascii="Times New Roman" w:hAnsi="Times New Roman"/>
                <w:sz w:val="20"/>
                <w:szCs w:val="20"/>
              </w:rPr>
              <w:t>:-34.5%</w:t>
            </w:r>
          </w:p>
        </w:tc>
      </w:tr>
      <w:tr w:rsidR="00AA6F1F" w:rsidRPr="00AA6F1F" w:rsidTr="00A57EFF">
        <w:tc>
          <w:tcPr>
            <w:tcW w:w="2122" w:type="dxa"/>
          </w:tcPr>
          <w:p w:rsidR="00AA6F1F" w:rsidRPr="00A57EFF" w:rsidRDefault="00AA6F1F" w:rsidP="00AA6F1F">
            <w:pPr>
              <w:spacing w:line="480" w:lineRule="auto"/>
              <w:rPr>
                <w:rFonts w:ascii="Times New Roman" w:hAnsi="Times New Roman"/>
                <w:sz w:val="24"/>
              </w:rPr>
            </w:pPr>
            <m:oMathPara>
              <m:oMath>
                <m:r>
                  <w:rPr>
                    <w:rFonts w:ascii="Cambria Math" w:hAnsi="Cambria Math"/>
                    <w:sz w:val="20"/>
                    <w:szCs w:val="20"/>
                  </w:rPr>
                  <m:t>ob</m:t>
                </m:r>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3</m:t>
                    </m:r>
                  </m:sub>
                </m:sSub>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P</m:t>
                    </m:r>
                  </m:sub>
                  <m:sup>
                    <m:r>
                      <w:rPr>
                        <w:rFonts w:ascii="Cambria Math" w:hAnsi="Cambria Math"/>
                        <w:sz w:val="20"/>
                        <w:szCs w:val="20"/>
                      </w:rPr>
                      <m:t>1</m:t>
                    </m:r>
                  </m:sup>
                </m:sSubSup>
                <m:r>
                  <w:rPr>
                    <w:rFonts w:ascii="Cambria Math" w:hAnsi="Cambria Math"/>
                    <w:sz w:val="20"/>
                    <w:szCs w:val="20"/>
                  </w:rPr>
                  <m:t>)</m:t>
                </m:r>
              </m:oMath>
            </m:oMathPara>
          </w:p>
        </w:tc>
        <w:tc>
          <w:tcPr>
            <w:tcW w:w="1842" w:type="dxa"/>
          </w:tcPr>
          <w:p w:rsidR="00AA6F1F" w:rsidRPr="00A57EFF" w:rsidRDefault="00443791" w:rsidP="00AA6F1F">
            <w:pPr>
              <w:spacing w:line="480" w:lineRule="auto"/>
              <w:rPr>
                <w:rFonts w:ascii="Times New Roman" w:hAnsi="Times New Roman"/>
                <w:sz w:val="20"/>
              </w:rPr>
            </w:pPr>
            <m:oMath>
              <m:sSubSup>
                <m:sSubSupPr>
                  <m:ctrlPr>
                    <w:rPr>
                      <w:rFonts w:ascii="Cambria Math" w:hAnsi="Cambria Math"/>
                      <w:i/>
                      <w:sz w:val="20"/>
                      <w:szCs w:val="20"/>
                    </w:rPr>
                  </m:ctrlPr>
                </m:sSubSupPr>
                <m:e>
                  <m:r>
                    <w:rPr>
                      <w:rFonts w:ascii="Cambria Math" w:hAnsi="Cambria Math"/>
                      <w:sz w:val="20"/>
                      <w:szCs w:val="20"/>
                    </w:rPr>
                    <m:t>δ</m:t>
                  </m:r>
                </m:e>
                <m:sub>
                  <m:r>
                    <w:rPr>
                      <w:rFonts w:ascii="Cambria Math" w:hAnsi="Cambria Math"/>
                      <w:sz w:val="20"/>
                      <w:szCs w:val="20"/>
                    </w:rPr>
                    <m:t>P</m:t>
                  </m:r>
                </m:sub>
                <m:sup>
                  <m:r>
                    <w:rPr>
                      <w:rFonts w:ascii="Cambria Math" w:hAnsi="Cambria Math"/>
                      <w:sz w:val="20"/>
                      <w:szCs w:val="20"/>
                    </w:rPr>
                    <m:t>1</m:t>
                  </m:r>
                </m:sup>
              </m:sSubSup>
              <m:r>
                <w:rPr>
                  <w:rFonts w:ascii="Cambria Math" w:hAnsi="Cambria Math"/>
                  <w:sz w:val="20"/>
                  <w:szCs w:val="20"/>
                </w:rPr>
                <m:t>=1.7031×</m:t>
              </m:r>
              <m:sSup>
                <m:sSupPr>
                  <m:ctrlPr>
                    <w:rPr>
                      <w:rFonts w:ascii="Cambria Math" w:hAnsi="Cambria Math"/>
                      <w:i/>
                      <w:sz w:val="20"/>
                      <w:szCs w:val="20"/>
                    </w:rPr>
                  </m:ctrlPr>
                </m:sSupPr>
                <m:e>
                  <m:r>
                    <w:rPr>
                      <w:rFonts w:ascii="Cambria Math" w:hAnsi="Cambria Math"/>
                      <w:sz w:val="20"/>
                      <w:szCs w:val="20"/>
                    </w:rPr>
                    <m:t>10</m:t>
                  </m:r>
                </m:e>
                <m:sup>
                  <m:r>
                    <w:rPr>
                      <w:rFonts w:ascii="Cambria Math" w:hAnsi="Cambria Math"/>
                      <w:sz w:val="20"/>
                      <w:szCs w:val="20"/>
                    </w:rPr>
                    <m:t>-12</m:t>
                  </m:r>
                </m:sup>
              </m:sSup>
            </m:oMath>
            <w:r w:rsidR="00AA6F1F" w:rsidRPr="00A57EFF">
              <w:rPr>
                <w:rFonts w:ascii="Times New Roman" w:hAnsi="Times New Roman"/>
                <w:sz w:val="20"/>
              </w:rPr>
              <w:t xml:space="preserve"> m</w:t>
            </w:r>
            <w:r w:rsidR="00AA6F1F" w:rsidRPr="00A57EFF">
              <w:rPr>
                <w:rFonts w:ascii="Times New Roman" w:hAnsi="Times New Roman"/>
                <w:sz w:val="20"/>
                <w:vertAlign w:val="superscript"/>
              </w:rPr>
              <w:t>4</w:t>
            </w:r>
            <w:r w:rsidR="00AA6F1F" w:rsidRPr="00A57EFF">
              <w:rPr>
                <w:rFonts w:ascii="Times New Roman" w:hAnsi="Times New Roman"/>
                <w:sz w:val="20"/>
              </w:rPr>
              <w:t xml:space="preserve"> s</w:t>
            </w:r>
            <w:r w:rsidR="00AA6F1F" w:rsidRPr="00A57EFF">
              <w:rPr>
                <w:rFonts w:ascii="Times New Roman" w:hAnsi="Times New Roman"/>
                <w:sz w:val="20"/>
                <w:vertAlign w:val="superscript"/>
              </w:rPr>
              <w:t>-1</w:t>
            </w:r>
            <w:r w:rsidR="00AA6F1F" w:rsidRPr="00A57EFF">
              <w:rPr>
                <w:rFonts w:ascii="Times New Roman" w:hAnsi="Times New Roman"/>
                <w:sz w:val="20"/>
              </w:rPr>
              <w:t xml:space="preserve"> µmol</w:t>
            </w:r>
            <w:r w:rsidR="00AA6F1F" w:rsidRPr="00A57EFF">
              <w:rPr>
                <w:rFonts w:ascii="Times New Roman" w:hAnsi="Times New Roman"/>
                <w:sz w:val="20"/>
                <w:vertAlign w:val="superscript"/>
              </w:rPr>
              <w:t>-1</w:t>
            </w:r>
          </w:p>
        </w:tc>
        <w:tc>
          <w:tcPr>
            <w:tcW w:w="2268" w:type="dxa"/>
          </w:tcPr>
          <w:p w:rsidR="00AA6F1F" w:rsidRPr="00A57EFF" w:rsidRDefault="00AA6F1F" w:rsidP="00AA6F1F">
            <w:pPr>
              <w:spacing w:line="480" w:lineRule="auto"/>
              <w:jc w:val="center"/>
              <w:rPr>
                <w:rFonts w:ascii="Times New Roman" w:hAnsi="Times New Roman"/>
                <w:sz w:val="20"/>
              </w:rPr>
            </w:pPr>
            <w:r w:rsidRPr="00A57EFF">
              <w:rPr>
                <w:rFonts w:ascii="Times New Roman" w:hAnsi="Times New Roman"/>
                <w:sz w:val="20"/>
              </w:rPr>
              <w:t>110.7</w:t>
            </w:r>
          </w:p>
        </w:tc>
        <w:tc>
          <w:tcPr>
            <w:tcW w:w="2977" w:type="dxa"/>
          </w:tcPr>
          <w:p w:rsidR="00AA6F1F" w:rsidRPr="00AA6F1F" w:rsidRDefault="00443791" w:rsidP="00AA6F1F">
            <w:pPr>
              <w:spacing w:line="480" w:lineRule="auto"/>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=100,</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m:t>
              </m:r>
            </m:oMath>
            <w:r w:rsidR="00AA6F1F" w:rsidRPr="00AA6F1F">
              <w:rPr>
                <w:rFonts w:ascii="Times New Roman" w:hAnsi="Times New Roman"/>
                <w:sz w:val="20"/>
                <w:szCs w:val="20"/>
              </w:rPr>
              <w:t>-14%</w:t>
            </w:r>
          </w:p>
          <w:p w:rsidR="00AA6F1F" w:rsidRPr="00AA6F1F" w:rsidRDefault="00443791" w:rsidP="00AA6F1F">
            <w:pPr>
              <w:spacing w:line="480" w:lineRule="auto"/>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=100,</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=1000:</m:t>
              </m:r>
            </m:oMath>
            <w:r w:rsidR="00AA6F1F" w:rsidRPr="00AA6F1F">
              <w:rPr>
                <w:rFonts w:ascii="Times New Roman" w:hAnsi="Times New Roman"/>
                <w:sz w:val="20"/>
                <w:szCs w:val="20"/>
              </w:rPr>
              <w:t>60%</w:t>
            </w:r>
          </w:p>
          <w:p w:rsidR="00AA6F1F" w:rsidRPr="00AA6F1F" w:rsidRDefault="00443791" w:rsidP="00AA6F1F">
            <w:pPr>
              <w:spacing w:line="480" w:lineRule="auto"/>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=100,</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=10000:</m:t>
              </m:r>
            </m:oMath>
            <w:r w:rsidR="00AA6F1F" w:rsidRPr="00AA6F1F">
              <w:rPr>
                <w:rFonts w:ascii="Times New Roman" w:hAnsi="Times New Roman"/>
                <w:sz w:val="20"/>
                <w:szCs w:val="20"/>
              </w:rPr>
              <w:t>49%</w:t>
            </w:r>
          </w:p>
          <w:p w:rsidR="00AA6F1F" w:rsidRPr="00AA6F1F" w:rsidRDefault="00443791" w:rsidP="00AA6F1F">
            <w:pPr>
              <w:spacing w:line="480" w:lineRule="auto"/>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=1000,</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m:t>
              </m:r>
            </m:oMath>
            <w:r w:rsidR="00AA6F1F" w:rsidRPr="00AA6F1F">
              <w:rPr>
                <w:rFonts w:ascii="Times New Roman" w:hAnsi="Times New Roman"/>
                <w:sz w:val="20"/>
                <w:szCs w:val="20"/>
              </w:rPr>
              <w:t>-63%</w:t>
            </w:r>
          </w:p>
          <w:p w:rsidR="00AA6F1F" w:rsidRPr="00AA6F1F" w:rsidRDefault="00443791" w:rsidP="00AA6F1F">
            <w:pPr>
              <w:spacing w:line="480" w:lineRule="auto"/>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=1000,</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=1000:</m:t>
              </m:r>
            </m:oMath>
            <w:r w:rsidR="00AA6F1F" w:rsidRPr="00AA6F1F">
              <w:rPr>
                <w:rFonts w:ascii="Times New Roman" w:hAnsi="Times New Roman"/>
                <w:sz w:val="20"/>
                <w:szCs w:val="20"/>
              </w:rPr>
              <w:t>22%</w:t>
            </w:r>
          </w:p>
          <w:p w:rsidR="00AA6F1F" w:rsidRPr="00AA6F1F" w:rsidRDefault="00443791" w:rsidP="00AA6F1F">
            <w:pPr>
              <w:spacing w:line="480" w:lineRule="auto"/>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=1000,</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=10000:</m:t>
              </m:r>
            </m:oMath>
            <w:r w:rsidR="00AA6F1F" w:rsidRPr="00AA6F1F">
              <w:rPr>
                <w:rFonts w:ascii="Times New Roman" w:hAnsi="Times New Roman"/>
                <w:sz w:val="20"/>
                <w:szCs w:val="20"/>
              </w:rPr>
              <w:t>95%</w:t>
            </w:r>
          </w:p>
          <w:p w:rsidR="00AA6F1F" w:rsidRPr="00AA6F1F" w:rsidRDefault="00443791" w:rsidP="00AA6F1F">
            <w:pPr>
              <w:spacing w:line="480" w:lineRule="auto"/>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=10000,</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m:t>
              </m:r>
            </m:oMath>
            <w:r w:rsidR="00AA6F1F" w:rsidRPr="00AA6F1F">
              <w:rPr>
                <w:rFonts w:ascii="Times New Roman" w:hAnsi="Times New Roman"/>
                <w:sz w:val="20"/>
                <w:szCs w:val="20"/>
              </w:rPr>
              <w:t>-30%</w:t>
            </w:r>
          </w:p>
          <w:p w:rsidR="00AA6F1F" w:rsidRPr="00AA6F1F" w:rsidRDefault="00443791" w:rsidP="00AA6F1F">
            <w:pPr>
              <w:spacing w:line="480" w:lineRule="auto"/>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=10000,</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=1000:</m:t>
              </m:r>
            </m:oMath>
            <w:r w:rsidR="00AA6F1F" w:rsidRPr="00AA6F1F">
              <w:rPr>
                <w:rFonts w:ascii="Times New Roman" w:hAnsi="Times New Roman"/>
                <w:sz w:val="20"/>
                <w:szCs w:val="20"/>
              </w:rPr>
              <w:t>-29%</w:t>
            </w:r>
          </w:p>
          <w:p w:rsidR="00AA6F1F" w:rsidRPr="00AA6F1F" w:rsidRDefault="00443791" w:rsidP="00AA6F1F">
            <w:pPr>
              <w:spacing w:line="480" w:lineRule="auto"/>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0</m:t>
                  </m:r>
                </m:sub>
              </m:sSub>
              <m:r>
                <w:rPr>
                  <w:rFonts w:ascii="Cambria Math" w:hAnsi="Cambria Math"/>
                  <w:sz w:val="20"/>
                  <w:szCs w:val="20"/>
                </w:rPr>
                <m:t>=10000,</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=10000:</m:t>
              </m:r>
            </m:oMath>
            <w:r w:rsidR="00AA6F1F" w:rsidRPr="00AA6F1F">
              <w:rPr>
                <w:rFonts w:ascii="Times New Roman" w:hAnsi="Times New Roman"/>
                <w:sz w:val="20"/>
                <w:szCs w:val="20"/>
              </w:rPr>
              <w:t>-13%</w:t>
            </w:r>
          </w:p>
        </w:tc>
      </w:tr>
      <w:tr w:rsidR="00AA6F1F" w:rsidRPr="00AA6F1F" w:rsidTr="00A57EFF">
        <w:tc>
          <w:tcPr>
            <w:tcW w:w="2122" w:type="dxa"/>
          </w:tcPr>
          <w:p w:rsidR="00AA6F1F" w:rsidRPr="00A57EFF" w:rsidRDefault="00AA6F1F" w:rsidP="00AA6F1F">
            <w:pPr>
              <w:spacing w:line="480" w:lineRule="auto"/>
              <w:rPr>
                <w:rFonts w:ascii="Times New Roman" w:hAnsi="Times New Roman"/>
                <w:sz w:val="24"/>
              </w:rPr>
            </w:pPr>
            <m:oMathPara>
              <m:oMath>
                <m:r>
                  <w:rPr>
                    <w:rFonts w:ascii="Cambria Math" w:hAnsi="Cambria Math"/>
                    <w:sz w:val="20"/>
                    <w:szCs w:val="20"/>
                  </w:rPr>
                  <m:t>ob</m:t>
                </m:r>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4</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r>
                  <w:rPr>
                    <w:rFonts w:ascii="Cambria Math" w:hAnsi="Cambria Math"/>
                    <w:sz w:val="20"/>
                    <w:szCs w:val="20"/>
                  </w:rPr>
                  <m:t>)</m:t>
                </m:r>
              </m:oMath>
            </m:oMathPara>
          </w:p>
        </w:tc>
        <w:tc>
          <w:tcPr>
            <w:tcW w:w="1842" w:type="dxa"/>
          </w:tcPr>
          <w:p w:rsidR="00AA6F1F" w:rsidRPr="00A57EFF" w:rsidRDefault="00443791" w:rsidP="00AA6F1F">
            <w:pPr>
              <w:spacing w:line="480" w:lineRule="auto"/>
              <w:rPr>
                <w:rFonts w:ascii="Times New Roman" w:hAnsi="Times New Roman"/>
                <w:sz w:val="20"/>
              </w:rPr>
            </w:pPr>
            <m:oMath>
              <m:sSub>
                <m:sSubPr>
                  <m:ctrlPr>
                    <w:rPr>
                      <w:rFonts w:ascii="Cambria Math" w:eastAsia="Calibri" w:hAnsi="Cambria Math"/>
                      <w:i/>
                      <w:sz w:val="20"/>
                      <w:szCs w:val="20"/>
                    </w:rPr>
                  </m:ctrlPr>
                </m:sSubPr>
                <m:e>
                  <m:r>
                    <w:rPr>
                      <w:rFonts w:ascii="Cambria Math" w:eastAsia="Calibri" w:hAnsi="Cambria Math"/>
                      <w:sz w:val="20"/>
                      <w:szCs w:val="20"/>
                    </w:rPr>
                    <m:t>β</m:t>
                  </m:r>
                </m:e>
                <m:sub>
                  <m:r>
                    <w:rPr>
                      <w:rFonts w:ascii="Cambria Math" w:eastAsia="Calibri" w:hAnsi="Cambria Math"/>
                      <w:sz w:val="20"/>
                      <w:szCs w:val="20"/>
                    </w:rPr>
                    <m:t>1</m:t>
                  </m:r>
                </m:sub>
              </m:sSub>
              <m:r>
                <w:rPr>
                  <w:rFonts w:ascii="Cambria Math" w:eastAsia="Calibri" w:hAnsi="Cambria Math"/>
                  <w:sz w:val="20"/>
                  <w:szCs w:val="20"/>
                </w:rPr>
                <m:t>=7.899×</m:t>
              </m:r>
              <m:sSup>
                <m:sSupPr>
                  <m:ctrlPr>
                    <w:rPr>
                      <w:rFonts w:ascii="Cambria Math" w:eastAsia="Calibri" w:hAnsi="Cambria Math"/>
                      <w:i/>
                      <w:sz w:val="20"/>
                      <w:szCs w:val="20"/>
                    </w:rPr>
                  </m:ctrlPr>
                </m:sSupPr>
                <m:e>
                  <m:r>
                    <w:rPr>
                      <w:rFonts w:ascii="Cambria Math" w:eastAsia="Calibri" w:hAnsi="Cambria Math"/>
                      <w:sz w:val="20"/>
                      <w:szCs w:val="20"/>
                    </w:rPr>
                    <m:t>10</m:t>
                  </m:r>
                </m:e>
                <m:sup>
                  <m:r>
                    <w:rPr>
                      <w:rFonts w:ascii="Cambria Math" w:eastAsia="Calibri" w:hAnsi="Cambria Math"/>
                      <w:sz w:val="20"/>
                      <w:szCs w:val="20"/>
                    </w:rPr>
                    <m:t>-6</m:t>
                  </m:r>
                </m:sup>
              </m:sSup>
            </m:oMath>
            <w:r w:rsidR="00AA6F1F" w:rsidRPr="00A57EFF">
              <w:rPr>
                <w:rFonts w:ascii="Times New Roman" w:hAnsi="Times New Roman"/>
                <w:sz w:val="20"/>
              </w:rPr>
              <w:t xml:space="preserve"> s</w:t>
            </w:r>
            <w:r w:rsidR="00AA6F1F" w:rsidRPr="00A57EFF">
              <w:rPr>
                <w:rFonts w:ascii="Times New Roman" w:hAnsi="Times New Roman"/>
                <w:sz w:val="20"/>
                <w:vertAlign w:val="superscript"/>
              </w:rPr>
              <w:t>-1</w:t>
            </w:r>
            <w:r w:rsidR="00AA6F1F" w:rsidRPr="00A57EFF">
              <w:rPr>
                <w:rFonts w:ascii="Times New Roman" w:hAnsi="Times New Roman"/>
                <w:sz w:val="20"/>
              </w:rPr>
              <w:t xml:space="preserve">, </w:t>
            </w:r>
            <m:oMath>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r>
                <w:rPr>
                  <w:rFonts w:ascii="Cambria Math" w:hAnsi="Cambria Math"/>
                  <w:sz w:val="20"/>
                  <w:szCs w:val="20"/>
                </w:rPr>
                <m:t>=</m:t>
              </m:r>
              <m:r>
                <m:rPr>
                  <m:sty m:val="p"/>
                </m:rPr>
                <w:rPr>
                  <w:rFonts w:ascii="Cambria Math" w:hAnsi="Cambria Math"/>
                  <w:sz w:val="20"/>
                  <w:szCs w:val="20"/>
                </w:rPr>
                <m:t>1.993×</m:t>
              </m:r>
              <m:sSup>
                <m:sSupPr>
                  <m:ctrlPr>
                    <w:rPr>
                      <w:rFonts w:ascii="Cambria Math" w:hAnsi="Cambria Math"/>
                      <w:sz w:val="20"/>
                      <w:szCs w:val="20"/>
                    </w:rPr>
                  </m:ctrlPr>
                </m:sSupPr>
                <m:e>
                  <m:r>
                    <m:rPr>
                      <m:sty m:val="p"/>
                    </m:rPr>
                    <w:rPr>
                      <w:rFonts w:ascii="Cambria Math" w:hAnsi="Cambria Math"/>
                      <w:sz w:val="20"/>
                      <w:szCs w:val="20"/>
                    </w:rPr>
                    <m:t>10</m:t>
                  </m:r>
                </m:e>
                <m:sup>
                  <m:r>
                    <m:rPr>
                      <m:sty m:val="p"/>
                    </m:rPr>
                    <w:rPr>
                      <w:rFonts w:ascii="Cambria Math" w:hAnsi="Cambria Math"/>
                      <w:sz w:val="20"/>
                      <w:szCs w:val="20"/>
                    </w:rPr>
                    <m:t>-7</m:t>
                  </m:r>
                </m:sup>
              </m:sSup>
            </m:oMath>
            <w:r w:rsidR="00AA6F1F" w:rsidRPr="00A57EFF">
              <w:rPr>
                <w:rFonts w:ascii="Times New Roman" w:hAnsi="Times New Roman"/>
                <w:sz w:val="20"/>
              </w:rPr>
              <w:t xml:space="preserve"> s</w:t>
            </w:r>
            <w:r w:rsidR="00AA6F1F" w:rsidRPr="00A57EFF">
              <w:rPr>
                <w:rFonts w:ascii="Times New Roman" w:hAnsi="Times New Roman"/>
                <w:sz w:val="20"/>
                <w:vertAlign w:val="superscript"/>
              </w:rPr>
              <w:t>-1</w:t>
            </w:r>
          </w:p>
        </w:tc>
        <w:tc>
          <w:tcPr>
            <w:tcW w:w="2268" w:type="dxa"/>
          </w:tcPr>
          <w:p w:rsidR="00AA6F1F" w:rsidRPr="00A57EFF" w:rsidRDefault="00AA6F1F" w:rsidP="00AA6F1F">
            <w:pPr>
              <w:spacing w:line="480" w:lineRule="auto"/>
              <w:jc w:val="center"/>
              <w:rPr>
                <w:rFonts w:ascii="Times New Roman" w:hAnsi="Times New Roman"/>
                <w:sz w:val="20"/>
              </w:rPr>
            </w:pPr>
            <w:r w:rsidRPr="00A57EFF">
              <w:rPr>
                <w:rFonts w:ascii="Times New Roman" w:hAnsi="Times New Roman"/>
                <w:sz w:val="20"/>
              </w:rPr>
              <w:t>1.2</w:t>
            </w:r>
          </w:p>
        </w:tc>
        <w:tc>
          <w:tcPr>
            <w:tcW w:w="2977" w:type="dxa"/>
          </w:tcPr>
          <w:p w:rsidR="00AA6F1F" w:rsidRPr="00AA6F1F" w:rsidRDefault="00443791" w:rsidP="00AA6F1F">
            <w:pPr>
              <w:spacing w:line="480" w:lineRule="auto"/>
              <w:jc w:val="center"/>
              <w:rPr>
                <w:rFonts w:ascii="Times New Roman" w:hAnsi="Times New Roman"/>
                <w:sz w:val="20"/>
                <w:szCs w:val="20"/>
              </w:rPr>
            </w:p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=0</m:t>
              </m:r>
            </m:oMath>
            <w:r w:rsidR="00AA6F1F" w:rsidRPr="00AA6F1F">
              <w:rPr>
                <w:rFonts w:ascii="Times New Roman" w:hAnsi="Times New Roman"/>
                <w:sz w:val="20"/>
                <w:szCs w:val="20"/>
              </w:rPr>
              <w:t>:-1.7%</w:t>
            </w:r>
          </w:p>
        </w:tc>
      </w:tr>
      <w:tr w:rsidR="00AA6F1F" w:rsidRPr="00AA6F1F" w:rsidTr="00A57EFF">
        <w:tc>
          <w:tcPr>
            <w:tcW w:w="2122" w:type="dxa"/>
          </w:tcPr>
          <w:p w:rsidR="00AA6F1F" w:rsidRPr="00A57EFF" w:rsidRDefault="00AA6F1F" w:rsidP="00AA6F1F">
            <w:pPr>
              <w:spacing w:line="480" w:lineRule="auto"/>
              <w:rPr>
                <w:rFonts w:ascii="Times New Roman" w:hAnsi="Times New Roman"/>
                <w:sz w:val="24"/>
              </w:rPr>
            </w:pPr>
            <m:oMathPara>
              <m:oMath>
                <m:r>
                  <w:rPr>
                    <w:rFonts w:ascii="Cambria Math" w:hAnsi="Cambria Math"/>
                    <w:sz w:val="20"/>
                    <w:szCs w:val="20"/>
                  </w:rPr>
                  <m:t>ob</m:t>
                </m:r>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5</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3</m:t>
                    </m:r>
                  </m:sub>
                </m:sSub>
                <m:r>
                  <w:rPr>
                    <w:rFonts w:ascii="Cambria Math" w:hAnsi="Cambria Math"/>
                    <w:sz w:val="20"/>
                    <w:szCs w:val="20"/>
                  </w:rPr>
                  <m:t>)</m:t>
                </m:r>
              </m:oMath>
            </m:oMathPara>
          </w:p>
        </w:tc>
        <w:tc>
          <w:tcPr>
            <w:tcW w:w="1842" w:type="dxa"/>
          </w:tcPr>
          <w:p w:rsidR="00AA6F1F" w:rsidRPr="00A57EFF" w:rsidRDefault="00AA6F1F" w:rsidP="00AA6F1F">
            <w:pPr>
              <w:spacing w:line="480" w:lineRule="auto"/>
              <w:rPr>
                <w:rFonts w:ascii="Times New Roman" w:hAnsi="Times New Roman"/>
                <w:sz w:val="24"/>
              </w:rPr>
            </w:pPr>
            <m:oMath>
              <m:r>
                <w:rPr>
                  <w:rFonts w:ascii="Cambria Math" w:eastAsia="Calibri" w:hAnsi="Cambria Math"/>
                  <w:sz w:val="20"/>
                  <w:szCs w:val="20"/>
                </w:rPr>
                <m:t>3.41×</m:t>
              </m:r>
              <m:sSup>
                <m:sSupPr>
                  <m:ctrlPr>
                    <w:rPr>
                      <w:rFonts w:ascii="Cambria Math" w:eastAsia="Calibri" w:hAnsi="Cambria Math"/>
                      <w:i/>
                      <w:sz w:val="20"/>
                      <w:szCs w:val="20"/>
                    </w:rPr>
                  </m:ctrlPr>
                </m:sSupPr>
                <m:e>
                  <m:r>
                    <w:rPr>
                      <w:rFonts w:ascii="Cambria Math" w:eastAsia="Calibri" w:hAnsi="Cambria Math"/>
                      <w:sz w:val="20"/>
                      <w:szCs w:val="20"/>
                    </w:rPr>
                    <m:t>10</m:t>
                  </m:r>
                </m:e>
                <m:sup>
                  <m:r>
                    <w:rPr>
                      <w:rFonts w:ascii="Cambria Math" w:eastAsia="Calibri" w:hAnsi="Cambria Math"/>
                      <w:sz w:val="20"/>
                      <w:szCs w:val="20"/>
                    </w:rPr>
                    <m:t>-13</m:t>
                  </m:r>
                </m:sup>
              </m:sSup>
            </m:oMath>
            <w:r w:rsidRPr="00A57EFF">
              <w:rPr>
                <w:rFonts w:ascii="Times New Roman" w:hAnsi="Times New Roman"/>
                <w:sz w:val="20"/>
              </w:rPr>
              <w:t xml:space="preserve"> m</w:t>
            </w:r>
            <w:r w:rsidRPr="00A57EFF">
              <w:rPr>
                <w:rFonts w:ascii="Times New Roman" w:hAnsi="Times New Roman"/>
                <w:sz w:val="20"/>
                <w:vertAlign w:val="superscript"/>
              </w:rPr>
              <w:t>3</w:t>
            </w:r>
            <w:r w:rsidRPr="00A57EFF">
              <w:rPr>
                <w:rFonts w:ascii="Times New Roman" w:hAnsi="Times New Roman"/>
                <w:sz w:val="20"/>
              </w:rPr>
              <w:t xml:space="preserve"> of soil solid s</w:t>
            </w:r>
            <w:r w:rsidRPr="00A57EFF">
              <w:rPr>
                <w:rFonts w:ascii="Times New Roman" w:hAnsi="Times New Roman"/>
                <w:sz w:val="20"/>
                <w:vertAlign w:val="superscript"/>
              </w:rPr>
              <w:t>-1</w:t>
            </w:r>
            <w:r w:rsidRPr="00A57EFF">
              <w:rPr>
                <w:rFonts w:ascii="Times New Roman" w:hAnsi="Times New Roman"/>
                <w:sz w:val="20"/>
              </w:rPr>
              <w:t xml:space="preserve"> µmol</w:t>
            </w:r>
            <w:r w:rsidRPr="00A57EFF">
              <w:rPr>
                <w:rFonts w:ascii="Times New Roman" w:hAnsi="Times New Roman"/>
                <w:sz w:val="20"/>
                <w:vertAlign w:val="superscript"/>
              </w:rPr>
              <w:t>-</w:t>
            </w:r>
            <w:r w:rsidRPr="00A57EFF">
              <w:rPr>
                <w:rFonts w:ascii="Times New Roman" w:hAnsi="Times New Roman"/>
                <w:sz w:val="24"/>
                <w:vertAlign w:val="superscript"/>
              </w:rPr>
              <w:t>1</w:t>
            </w:r>
          </w:p>
        </w:tc>
        <w:tc>
          <w:tcPr>
            <w:tcW w:w="2268" w:type="dxa"/>
          </w:tcPr>
          <w:p w:rsidR="00AA6F1F" w:rsidRPr="00A57EFF" w:rsidRDefault="00AA6F1F" w:rsidP="00AA6F1F">
            <w:pPr>
              <w:spacing w:line="480" w:lineRule="auto"/>
              <w:jc w:val="center"/>
              <w:rPr>
                <w:rFonts w:ascii="Times New Roman" w:hAnsi="Times New Roman"/>
                <w:sz w:val="20"/>
              </w:rPr>
            </w:pPr>
            <w:r w:rsidRPr="00A57EFF">
              <w:rPr>
                <w:rFonts w:ascii="Times New Roman" w:hAnsi="Times New Roman"/>
                <w:sz w:val="20"/>
              </w:rPr>
              <w:t>100.8</w:t>
            </w:r>
          </w:p>
        </w:tc>
        <w:tc>
          <w:tcPr>
            <w:tcW w:w="2977" w:type="dxa"/>
          </w:tcPr>
          <w:p w:rsidR="00AA6F1F" w:rsidRPr="00AA6F1F" w:rsidRDefault="00443791" w:rsidP="00AA6F1F">
            <w:pPr>
              <w:spacing w:line="480" w:lineRule="auto"/>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=1000:1.6%</m:t>
                </m:r>
              </m:oMath>
            </m:oMathPara>
          </w:p>
          <w:p w:rsidR="00AA6F1F" w:rsidRPr="00AA6F1F" w:rsidRDefault="00443791" w:rsidP="00AA6F1F">
            <w:pPr>
              <w:spacing w:line="480" w:lineRule="auto"/>
              <w:jc w:val="center"/>
              <w:rPr>
                <w:rFonts w:ascii="Times New Roman" w:hAnsi="Times New Roman"/>
                <w:sz w:val="20"/>
                <w:szCs w:val="20"/>
              </w:rPr>
            </w:pPr>
            <m:oMathPara>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0</m:t>
                    </m:r>
                  </m:sub>
                </m:sSub>
                <m:r>
                  <w:rPr>
                    <w:rFonts w:ascii="Cambria Math" w:hAnsi="Cambria Math"/>
                    <w:sz w:val="20"/>
                    <w:szCs w:val="20"/>
                  </w:rPr>
                  <m:t>=10000:-8.7%</m:t>
                </m:r>
              </m:oMath>
            </m:oMathPara>
          </w:p>
        </w:tc>
      </w:tr>
    </w:tbl>
    <w:p w:rsidR="00AA6F1F" w:rsidRPr="00A57EFF" w:rsidRDefault="00AA6F1F" w:rsidP="00A57EFF">
      <w:pPr>
        <w:spacing w:after="200" w:line="480" w:lineRule="auto"/>
        <w:jc w:val="both"/>
        <w:rPr>
          <w:rFonts w:ascii="Times New Roman"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A6F1F" w:rsidRPr="00AA6F1F" w:rsidTr="00AB3042">
        <w:tc>
          <w:tcPr>
            <w:tcW w:w="9016" w:type="dxa"/>
          </w:tcPr>
          <w:p w:rsidR="00AA6F1F" w:rsidRPr="00A57EFF" w:rsidRDefault="00AA6F1F" w:rsidP="00AA6F1F">
            <w:pPr>
              <w:spacing w:line="480" w:lineRule="auto"/>
              <w:jc w:val="center"/>
              <w:rPr>
                <w:rFonts w:ascii="Times New Roman" w:hAnsi="Times New Roman"/>
                <w:sz w:val="24"/>
              </w:rPr>
            </w:pPr>
            <w:r w:rsidRPr="00AA6F1F">
              <w:rPr>
                <w:rFonts w:ascii="Times New Roman" w:hAnsi="Times New Roman"/>
                <w:noProof/>
                <w:sz w:val="24"/>
                <w:szCs w:val="24"/>
                <w:lang w:eastAsia="en-GB"/>
              </w:rPr>
              <w:drawing>
                <wp:inline distT="0" distB="0" distL="0" distR="0">
                  <wp:extent cx="4638675" cy="3476625"/>
                  <wp:effectExtent l="0" t="0" r="9525" b="9525"/>
                  <wp:docPr id="20" name="Picture 20" descr="groupp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grouppli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675" cy="3476625"/>
                          </a:xfrm>
                          <a:prstGeom prst="rect">
                            <a:avLst/>
                          </a:prstGeom>
                          <a:noFill/>
                          <a:ln>
                            <a:noFill/>
                          </a:ln>
                        </pic:spPr>
                      </pic:pic>
                    </a:graphicData>
                  </a:graphic>
                </wp:inline>
              </w:drawing>
            </w:r>
          </w:p>
        </w:tc>
      </w:tr>
      <w:tr w:rsidR="00AA6F1F" w:rsidRPr="00AA6F1F" w:rsidTr="00AB3042">
        <w:tc>
          <w:tcPr>
            <w:tcW w:w="9016" w:type="dxa"/>
          </w:tcPr>
          <w:p w:rsidR="00AA6F1F" w:rsidRPr="00A57EFF" w:rsidRDefault="00AA6F1F" w:rsidP="00AA6F1F">
            <w:pPr>
              <w:spacing w:line="480" w:lineRule="auto"/>
              <w:jc w:val="center"/>
              <w:rPr>
                <w:rFonts w:ascii="Times New Roman" w:hAnsi="Times New Roman"/>
                <w:i/>
                <w:sz w:val="20"/>
              </w:rPr>
            </w:pPr>
            <w:r w:rsidRPr="00A57EFF">
              <w:rPr>
                <w:rFonts w:ascii="Times New Roman" w:hAnsi="Times New Roman"/>
                <w:b/>
                <w:sz w:val="20"/>
              </w:rPr>
              <w:t>Fig. 3</w:t>
            </w:r>
            <w:r w:rsidRPr="00A57EFF">
              <w:rPr>
                <w:rFonts w:ascii="Times New Roman" w:hAnsi="Times New Roman"/>
                <w:i/>
                <w:sz w:val="20"/>
              </w:rPr>
              <w:t xml:space="preserve"> </w:t>
            </w:r>
            <w:r w:rsidRPr="00A57EFF">
              <w:rPr>
                <w:rFonts w:ascii="Times New Roman" w:hAnsi="Times New Roman"/>
                <w:sz w:val="20"/>
              </w:rPr>
              <w:t xml:space="preserve">Comparison of experimental and model microdialysis probe citrate efflux using the fitted parameters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δ</m:t>
                  </m:r>
                </m:e>
                <m:sub>
                  <m:r>
                    <m:rPr>
                      <m:sty m:val="p"/>
                    </m:rPr>
                    <w:rPr>
                      <w:rFonts w:ascii="Cambria Math" w:eastAsia="Times New Roman" w:hAnsi="Cambria Math" w:cs="Times New Roman"/>
                      <w:sz w:val="20"/>
                      <w:szCs w:val="20"/>
                    </w:rPr>
                    <m:t>C</m:t>
                  </m:r>
                </m:sub>
              </m:sSub>
              <m:r>
                <m:rPr>
                  <m:sty m:val="p"/>
                </m:rPr>
                <w:rPr>
                  <w:rFonts w:ascii="Cambria Math" w:eastAsia="Times New Roman" w:hAnsi="Cambria Math" w:cs="Times New Roman"/>
                  <w:sz w:val="20"/>
                  <w:szCs w:val="20"/>
                </w:rPr>
                <m:t>=4.348×</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10</m:t>
                  </m:r>
                </m:e>
                <m:sup>
                  <m:r>
                    <m:rPr>
                      <m:sty m:val="p"/>
                    </m:rPr>
                    <w:rPr>
                      <w:rFonts w:ascii="Cambria Math" w:eastAsia="Times New Roman" w:hAnsi="Cambria Math" w:cs="Times New Roman"/>
                      <w:sz w:val="20"/>
                      <w:szCs w:val="20"/>
                    </w:rPr>
                    <m:t>-4</m:t>
                  </m:r>
                </m:sup>
              </m:sSup>
            </m:oMath>
            <w:r w:rsidRPr="00A57EFF">
              <w:rPr>
                <w:rFonts w:ascii="Times New Roman" w:hAnsi="Times New Roman"/>
                <w:sz w:val="20"/>
              </w:rPr>
              <w:t xml:space="preserve"> ms</w:t>
            </w:r>
            <w:r w:rsidRPr="00A57EFF">
              <w:rPr>
                <w:rFonts w:ascii="Times New Roman" w:hAnsi="Times New Roman"/>
                <w:sz w:val="20"/>
                <w:vertAlign w:val="superscript"/>
              </w:rPr>
              <w:t>-1</w:t>
            </w:r>
            <w:r w:rsidRPr="00A57EFF">
              <w:rPr>
                <w:rFonts w:ascii="Times New Roman" w:hAnsi="Times New Roman"/>
                <w:sz w:val="20"/>
              </w:rPr>
              <w:t xml:space="preserve">,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γ</m:t>
                  </m:r>
                </m:e>
                <m:sub>
                  <m:r>
                    <m:rPr>
                      <m:sty m:val="p"/>
                    </m:rPr>
                    <w:rPr>
                      <w:rFonts w:ascii="Cambria Math" w:eastAsia="Times New Roman" w:hAnsi="Cambria Math" w:cs="Times New Roman"/>
                      <w:sz w:val="20"/>
                      <w:szCs w:val="20"/>
                    </w:rPr>
                    <m:t>2</m:t>
                  </m:r>
                </m:sub>
              </m:sSub>
              <m:r>
                <m:rPr>
                  <m:sty m:val="p"/>
                </m:rPr>
                <w:rPr>
                  <w:rFonts w:ascii="Cambria Math" w:eastAsia="Times New Roman" w:hAnsi="Cambria Math" w:cs="Times New Roman"/>
                  <w:sz w:val="20"/>
                  <w:szCs w:val="20"/>
                </w:rPr>
                <m:t>=1.2×</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10</m:t>
                  </m:r>
                </m:e>
                <m:sup>
                  <m:r>
                    <m:rPr>
                      <m:sty m:val="p"/>
                    </m:rPr>
                    <w:rPr>
                      <w:rFonts w:ascii="Cambria Math" w:eastAsia="Times New Roman" w:hAnsi="Cambria Math" w:cs="Times New Roman"/>
                      <w:sz w:val="20"/>
                      <w:szCs w:val="20"/>
                    </w:rPr>
                    <m:t>-2</m:t>
                  </m:r>
                </m:sup>
              </m:sSup>
            </m:oMath>
            <w:r w:rsidRPr="00A57EFF">
              <w:rPr>
                <w:rFonts w:ascii="Times New Roman" w:hAnsi="Times New Roman"/>
                <w:sz w:val="20"/>
              </w:rPr>
              <w:t xml:space="preserve"> s</w:t>
            </w:r>
            <w:r w:rsidRPr="00A57EFF">
              <w:rPr>
                <w:rFonts w:ascii="Times New Roman" w:hAnsi="Times New Roman"/>
                <w:sz w:val="20"/>
                <w:vertAlign w:val="superscript"/>
              </w:rPr>
              <w:t>-1</w:t>
            </w:r>
            <w:r w:rsidRPr="00A57EFF">
              <w:rPr>
                <w:rFonts w:ascii="Times New Roman" w:hAnsi="Times New Roman"/>
                <w:sz w:val="20"/>
              </w:rPr>
              <w:t xml:space="preserve"> and </w:t>
            </w:r>
            <m:oMath>
              <m:r>
                <m:rPr>
                  <m:sty m:val="p"/>
                </m:rPr>
                <w:rPr>
                  <w:rFonts w:ascii="Cambria Math" w:eastAsia="Times New Roman" w:hAnsi="Cambria Math" w:cs="Times New Roman"/>
                  <w:sz w:val="20"/>
                  <w:szCs w:val="20"/>
                </w:rPr>
                <m:t>λ=1.1×</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10</m:t>
                  </m:r>
                </m:e>
                <m:sup>
                  <m:r>
                    <m:rPr>
                      <m:sty m:val="p"/>
                    </m:rPr>
                    <w:rPr>
                      <w:rFonts w:ascii="Cambria Math" w:eastAsia="Times New Roman" w:hAnsi="Cambria Math" w:cs="Times New Roman"/>
                      <w:sz w:val="20"/>
                      <w:szCs w:val="20"/>
                    </w:rPr>
                    <m:t>-3</m:t>
                  </m:r>
                </m:sup>
              </m:sSup>
            </m:oMath>
            <w:r w:rsidRPr="00A57EFF">
              <w:rPr>
                <w:rFonts w:ascii="Times New Roman" w:hAnsi="Times New Roman"/>
                <w:sz w:val="20"/>
              </w:rPr>
              <w:t xml:space="preserve"> s</w:t>
            </w:r>
            <w:r w:rsidRPr="00A57EFF">
              <w:rPr>
                <w:rFonts w:ascii="Times New Roman" w:hAnsi="Times New Roman"/>
                <w:sz w:val="20"/>
                <w:vertAlign w:val="superscript"/>
              </w:rPr>
              <w:t>-1</w:t>
            </w:r>
            <w:r w:rsidRPr="00A57EFF">
              <w:rPr>
                <w:rFonts w:ascii="Times New Roman" w:hAnsi="Times New Roman"/>
                <w:sz w:val="20"/>
              </w:rPr>
              <w:t xml:space="preserve">. The error bars on the experimental data shows standard deviation, </w:t>
            </w:r>
            <m:oMath>
              <m:r>
                <m:rPr>
                  <m:sty m:val="p"/>
                </m:rPr>
                <w:rPr>
                  <w:rFonts w:ascii="Cambria Math" w:eastAsia="Times New Roman" w:hAnsi="Cambria Math" w:cs="Times New Roman"/>
                  <w:sz w:val="20"/>
                  <w:szCs w:val="20"/>
                </w:rPr>
                <m:t>n=4</m:t>
              </m:r>
            </m:oMath>
            <w:r w:rsidRPr="00A57EFF">
              <w:rPr>
                <w:rFonts w:ascii="Times New Roman" w:hAnsi="Times New Roman"/>
                <w:sz w:val="20"/>
              </w:rPr>
              <w:t xml:space="preserve"> for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C</m:t>
                  </m:r>
                </m:e>
                <m:sub>
                  <m:r>
                    <m:rPr>
                      <m:sty m:val="p"/>
                    </m:rPr>
                    <w:rPr>
                      <w:rFonts w:ascii="Cambria Math" w:eastAsia="Times New Roman" w:hAnsi="Cambria Math" w:cs="Times New Roman"/>
                      <w:sz w:val="20"/>
                      <w:szCs w:val="20"/>
                    </w:rPr>
                    <m:t>0</m:t>
                  </m:r>
                </m:sub>
              </m:sSub>
              <m:r>
                <m:rPr>
                  <m:sty m:val="p"/>
                </m:rPr>
                <w:rPr>
                  <w:rFonts w:ascii="Cambria Math" w:eastAsia="Times New Roman" w:hAnsi="Cambria Math" w:cs="Times New Roman"/>
                  <w:sz w:val="20"/>
                  <w:szCs w:val="20"/>
                </w:rPr>
                <m:t>=1000</m:t>
              </m:r>
            </m:oMath>
            <w:r w:rsidRPr="00A57EFF">
              <w:rPr>
                <w:rFonts w:ascii="Times New Roman" w:hAnsi="Times New Roman"/>
                <w:sz w:val="20"/>
              </w:rPr>
              <w:t xml:space="preserve"> µM, while </w:t>
            </w:r>
            <m:oMath>
              <m:r>
                <m:rPr>
                  <m:sty m:val="p"/>
                </m:rPr>
                <w:rPr>
                  <w:rFonts w:ascii="Cambria Math" w:eastAsia="Times New Roman" w:hAnsi="Cambria Math" w:cs="Times New Roman"/>
                  <w:sz w:val="20"/>
                  <w:szCs w:val="20"/>
                </w:rPr>
                <m:t>n=3</m:t>
              </m:r>
            </m:oMath>
            <w:r w:rsidRPr="00A57EFF">
              <w:rPr>
                <w:rFonts w:ascii="Times New Roman" w:hAnsi="Times New Roman"/>
                <w:sz w:val="20"/>
              </w:rPr>
              <w:t xml:space="preserve"> for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C</m:t>
                  </m:r>
                </m:e>
                <m:sub>
                  <m:r>
                    <m:rPr>
                      <m:sty m:val="p"/>
                    </m:rPr>
                    <w:rPr>
                      <w:rFonts w:ascii="Cambria Math" w:eastAsia="Times New Roman" w:hAnsi="Cambria Math" w:cs="Times New Roman"/>
                      <w:sz w:val="20"/>
                      <w:szCs w:val="20"/>
                    </w:rPr>
                    <m:t>0</m:t>
                  </m:r>
                </m:sub>
              </m:sSub>
              <m:r>
                <m:rPr>
                  <m:sty m:val="p"/>
                </m:rPr>
                <w:rPr>
                  <w:rFonts w:ascii="Cambria Math" w:eastAsia="Times New Roman" w:hAnsi="Cambria Math" w:cs="Times New Roman"/>
                  <w:sz w:val="20"/>
                  <w:szCs w:val="20"/>
                </w:rPr>
                <m:t>=100 and 1000 µM</m:t>
              </m:r>
            </m:oMath>
          </w:p>
        </w:tc>
      </w:tr>
    </w:tbl>
    <w:p w:rsidR="00AA6F1F" w:rsidRPr="00A57EFF" w:rsidRDefault="00AA6F1F" w:rsidP="00A57EFF">
      <w:pPr>
        <w:spacing w:after="200" w:line="480" w:lineRule="auto"/>
        <w:jc w:val="both"/>
        <w:rPr>
          <w:rFonts w:ascii="Times New Roman"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A6F1F" w:rsidRPr="00AA6F1F" w:rsidTr="00AB3042">
        <w:tc>
          <w:tcPr>
            <w:tcW w:w="9016" w:type="dxa"/>
          </w:tcPr>
          <w:p w:rsidR="00AA6F1F" w:rsidRPr="00A57EFF" w:rsidRDefault="00AA6F1F" w:rsidP="00AA6F1F">
            <w:pPr>
              <w:spacing w:line="480" w:lineRule="auto"/>
              <w:jc w:val="center"/>
              <w:rPr>
                <w:rFonts w:ascii="Times New Roman" w:hAnsi="Times New Roman"/>
                <w:sz w:val="24"/>
              </w:rPr>
            </w:pPr>
            <w:r w:rsidRPr="00AA6F1F">
              <w:rPr>
                <w:rFonts w:ascii="Times New Roman" w:eastAsia="Calibri" w:hAnsi="Times New Roman"/>
                <w:noProof/>
                <w:sz w:val="24"/>
                <w:szCs w:val="24"/>
                <w:lang w:eastAsia="en-GB"/>
              </w:rPr>
              <w:drawing>
                <wp:inline distT="0" distB="0" distL="0" distR="0">
                  <wp:extent cx="4638675" cy="3476625"/>
                  <wp:effectExtent l="0" t="0" r="9525" b="9525"/>
                  <wp:docPr id="19" name="Picture 19" descr="best_d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best_d_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675" cy="3476625"/>
                          </a:xfrm>
                          <a:prstGeom prst="rect">
                            <a:avLst/>
                          </a:prstGeom>
                          <a:noFill/>
                          <a:ln>
                            <a:noFill/>
                          </a:ln>
                        </pic:spPr>
                      </pic:pic>
                    </a:graphicData>
                  </a:graphic>
                </wp:inline>
              </w:drawing>
            </w:r>
          </w:p>
        </w:tc>
      </w:tr>
      <w:tr w:rsidR="00AA6F1F" w:rsidRPr="00AA6F1F" w:rsidTr="00AB3042">
        <w:tc>
          <w:tcPr>
            <w:tcW w:w="9016" w:type="dxa"/>
          </w:tcPr>
          <w:p w:rsidR="00AA6F1F" w:rsidRPr="00A57EFF" w:rsidRDefault="00AA6F1F" w:rsidP="00AA6F1F">
            <w:pPr>
              <w:spacing w:line="480" w:lineRule="auto"/>
              <w:jc w:val="center"/>
              <w:rPr>
                <w:rFonts w:ascii="Times New Roman" w:hAnsi="Times New Roman"/>
                <w:sz w:val="20"/>
              </w:rPr>
            </w:pPr>
            <w:r w:rsidRPr="00A57EFF">
              <w:rPr>
                <w:rFonts w:ascii="Times New Roman" w:hAnsi="Times New Roman"/>
                <w:b/>
                <w:sz w:val="20"/>
              </w:rPr>
              <w:t>Fig. 4</w:t>
            </w:r>
            <w:r w:rsidRPr="00A57EFF">
              <w:rPr>
                <w:rFonts w:ascii="Times New Roman" w:hAnsi="Times New Roman"/>
                <w:sz w:val="20"/>
              </w:rPr>
              <w:t xml:space="preserve"> Comparison of experimental and model microdialysis probe P influx using the fitted parameter </w:t>
            </w:r>
            <m:oMath>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δ</m:t>
                  </m:r>
                </m:e>
                <m:sub>
                  <m:r>
                    <m:rPr>
                      <m:sty m:val="p"/>
                    </m:rPr>
                    <w:rPr>
                      <w:rFonts w:ascii="Cambria Math" w:eastAsia="Times New Roman" w:hAnsi="Cambria Math" w:cs="Times New Roman"/>
                      <w:sz w:val="20"/>
                      <w:szCs w:val="20"/>
                    </w:rPr>
                    <m:t>P</m:t>
                  </m:r>
                </m:sub>
                <m:sup>
                  <m:r>
                    <m:rPr>
                      <m:sty m:val="p"/>
                    </m:rPr>
                    <w:rPr>
                      <w:rFonts w:ascii="Cambria Math" w:eastAsia="Times New Roman" w:hAnsi="Cambria Math" w:cs="Times New Roman"/>
                      <w:sz w:val="20"/>
                      <w:szCs w:val="20"/>
                    </w:rPr>
                    <m:t>0</m:t>
                  </m:r>
                </m:sup>
              </m:sSubSup>
              <m:r>
                <m:rPr>
                  <m:sty m:val="p"/>
                </m:rPr>
                <w:rPr>
                  <w:rFonts w:ascii="Cambria Math" w:eastAsia="Times New Roman" w:hAnsi="Cambria Math" w:cs="Times New Roman"/>
                  <w:sz w:val="20"/>
                  <w:szCs w:val="20"/>
                </w:rPr>
                <m:t>=2.9357×</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10</m:t>
                  </m:r>
                </m:e>
                <m:sup>
                  <m:r>
                    <m:rPr>
                      <m:sty m:val="p"/>
                    </m:rPr>
                    <w:rPr>
                      <w:rFonts w:ascii="Cambria Math" w:eastAsia="Times New Roman" w:hAnsi="Cambria Math" w:cs="Times New Roman"/>
                      <w:sz w:val="20"/>
                      <w:szCs w:val="20"/>
                    </w:rPr>
                    <m:t>-7</m:t>
                  </m:r>
                </m:sup>
              </m:sSup>
            </m:oMath>
            <w:r w:rsidRPr="00A57EFF">
              <w:rPr>
                <w:rFonts w:ascii="Times New Roman" w:hAnsi="Times New Roman"/>
                <w:sz w:val="20"/>
              </w:rPr>
              <w:t xml:space="preserve"> m s</w:t>
            </w:r>
            <w:r w:rsidRPr="00A57EFF">
              <w:rPr>
                <w:rFonts w:ascii="Times New Roman" w:hAnsi="Times New Roman"/>
                <w:sz w:val="20"/>
                <w:vertAlign w:val="superscript"/>
              </w:rPr>
              <w:t>-1</w:t>
            </w:r>
            <w:r w:rsidRPr="00A57EFF">
              <w:rPr>
                <w:rFonts w:ascii="Times New Roman" w:hAnsi="Times New Roman"/>
                <w:sz w:val="20"/>
              </w:rPr>
              <w:t xml:space="preserve">. The error bars on the experimental data shows standard deviation, </w:t>
            </w:r>
            <m:oMath>
              <m:r>
                <w:rPr>
                  <w:rFonts w:ascii="Cambria Math" w:eastAsia="Times New Roman" w:hAnsi="Cambria Math" w:cs="Times New Roman"/>
                  <w:sz w:val="20"/>
                  <w:szCs w:val="20"/>
                </w:rPr>
                <m:t>n</m:t>
              </m:r>
              <m:r>
                <m:rPr>
                  <m:sty m:val="p"/>
                </m:rPr>
                <w:rPr>
                  <w:rFonts w:ascii="Cambria Math" w:eastAsia="Times New Roman" w:hAnsi="Cambria Math" w:cs="Times New Roman"/>
                  <w:sz w:val="20"/>
                  <w:szCs w:val="20"/>
                </w:rPr>
                <m:t>=4</m:t>
              </m:r>
            </m:oMath>
            <w:r w:rsidRPr="00A57EFF">
              <w:rPr>
                <w:rFonts w:ascii="Times New Roman" w:hAnsi="Times New Roman"/>
                <w:sz w:val="20"/>
              </w:rPr>
              <w:t>, log</w:t>
            </w:r>
            <w:r w:rsidRPr="00A57EFF">
              <w:rPr>
                <w:rFonts w:ascii="Times New Roman" w:hAnsi="Times New Roman"/>
                <w:sz w:val="20"/>
                <w:vertAlign w:val="subscript"/>
              </w:rPr>
              <w:t>10</w:t>
            </w:r>
            <w:r w:rsidRPr="00A57EFF">
              <w:rPr>
                <w:rFonts w:ascii="Times New Roman" w:hAnsi="Times New Roman"/>
                <w:sz w:val="20"/>
              </w:rPr>
              <w:t xml:space="preserve"> scale on the x-axis</w:t>
            </w:r>
          </w:p>
        </w:tc>
      </w:tr>
    </w:tbl>
    <w:p w:rsidR="00AA6F1F" w:rsidRPr="00A57EFF" w:rsidRDefault="00AA6F1F" w:rsidP="00A57EFF">
      <w:pPr>
        <w:spacing w:after="200" w:line="480" w:lineRule="auto"/>
        <w:jc w:val="both"/>
        <w:rPr>
          <w:rFonts w:ascii="Times New Roman"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A6F1F" w:rsidRPr="00AA6F1F" w:rsidTr="00AB3042">
        <w:tc>
          <w:tcPr>
            <w:tcW w:w="9016" w:type="dxa"/>
          </w:tcPr>
          <w:p w:rsidR="00AA6F1F" w:rsidRPr="00A57EFF" w:rsidRDefault="00AA6F1F" w:rsidP="00AA6F1F">
            <w:pPr>
              <w:spacing w:line="480" w:lineRule="auto"/>
              <w:jc w:val="center"/>
              <w:rPr>
                <w:rFonts w:ascii="Times New Roman" w:hAnsi="Times New Roman"/>
                <w:sz w:val="24"/>
              </w:rPr>
            </w:pPr>
            <w:r w:rsidRPr="00AA6F1F">
              <w:rPr>
                <w:rFonts w:ascii="Times New Roman" w:eastAsia="Calibri" w:hAnsi="Times New Roman"/>
                <w:noProof/>
                <w:sz w:val="24"/>
                <w:lang w:eastAsia="en-GB"/>
              </w:rPr>
              <w:drawing>
                <wp:inline distT="0" distB="0" distL="0" distR="0">
                  <wp:extent cx="4638675" cy="3276600"/>
                  <wp:effectExtent l="0" t="0" r="9525" b="0"/>
                  <wp:docPr id="18" name="Picture 18" descr="grouppl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groupplot_1"/>
                          <pic:cNvPicPr>
                            <a:picLocks noChangeAspect="1" noChangeArrowheads="1"/>
                          </pic:cNvPicPr>
                        </pic:nvPicPr>
                        <pic:blipFill>
                          <a:blip r:embed="rId13" cstate="print">
                            <a:extLst>
                              <a:ext uri="{28A0092B-C50C-407E-A947-70E740481C1C}">
                                <a14:useLocalDpi xmlns:a14="http://schemas.microsoft.com/office/drawing/2010/main" val="0"/>
                              </a:ext>
                            </a:extLst>
                          </a:blip>
                          <a:srcRect l="6683" r="8080"/>
                          <a:stretch>
                            <a:fillRect/>
                          </a:stretch>
                        </pic:blipFill>
                        <pic:spPr bwMode="auto">
                          <a:xfrm>
                            <a:off x="0" y="0"/>
                            <a:ext cx="4638675" cy="3276600"/>
                          </a:xfrm>
                          <a:prstGeom prst="rect">
                            <a:avLst/>
                          </a:prstGeom>
                          <a:noFill/>
                          <a:ln>
                            <a:noFill/>
                          </a:ln>
                        </pic:spPr>
                      </pic:pic>
                    </a:graphicData>
                  </a:graphic>
                </wp:inline>
              </w:drawing>
            </w:r>
          </w:p>
        </w:tc>
      </w:tr>
      <w:tr w:rsidR="00AA6F1F" w:rsidRPr="00AA6F1F" w:rsidTr="00AB3042">
        <w:tc>
          <w:tcPr>
            <w:tcW w:w="9016" w:type="dxa"/>
          </w:tcPr>
          <w:p w:rsidR="00AA6F1F" w:rsidRPr="00A57EFF" w:rsidRDefault="00AA6F1F" w:rsidP="00AA6F1F">
            <w:pPr>
              <w:spacing w:line="480" w:lineRule="auto"/>
              <w:jc w:val="center"/>
              <w:rPr>
                <w:rFonts w:ascii="Times New Roman" w:hAnsi="Times New Roman"/>
                <w:i/>
                <w:sz w:val="20"/>
              </w:rPr>
            </w:pPr>
            <w:r w:rsidRPr="00A57EFF">
              <w:rPr>
                <w:rFonts w:ascii="Times New Roman" w:hAnsi="Times New Roman"/>
                <w:b/>
                <w:sz w:val="20"/>
              </w:rPr>
              <w:t>Fig. 5</w:t>
            </w:r>
            <w:r w:rsidRPr="00A57EFF">
              <w:rPr>
                <w:rFonts w:ascii="Times New Roman" w:hAnsi="Times New Roman"/>
                <w:i/>
                <w:sz w:val="20"/>
              </w:rPr>
              <w:t xml:space="preserve"> </w:t>
            </w:r>
            <w:r w:rsidRPr="00A57EFF">
              <w:rPr>
                <w:rFonts w:ascii="Times New Roman" w:hAnsi="Times New Roman"/>
                <w:sz w:val="20"/>
              </w:rPr>
              <w:t xml:space="preserve">Comparison of experimental and model microdialysis probe P influx with citrate in the perfusate using the fitted parameter </w:t>
            </w:r>
            <m:oMath>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rPr>
                    <m:t>δ</m:t>
                  </m:r>
                </m:e>
                <m:sub>
                  <m:r>
                    <m:rPr>
                      <m:sty m:val="p"/>
                    </m:rPr>
                    <w:rPr>
                      <w:rFonts w:ascii="Cambria Math" w:eastAsia="Times New Roman" w:hAnsi="Cambria Math" w:cs="Times New Roman"/>
                      <w:sz w:val="20"/>
                      <w:szCs w:val="20"/>
                    </w:rPr>
                    <m:t>P</m:t>
                  </m:r>
                </m:sub>
                <m:sup>
                  <m:r>
                    <m:rPr>
                      <m:sty m:val="p"/>
                    </m:rPr>
                    <w:rPr>
                      <w:rFonts w:ascii="Cambria Math" w:eastAsia="Times New Roman" w:hAnsi="Cambria Math" w:cs="Times New Roman"/>
                      <w:sz w:val="20"/>
                      <w:szCs w:val="20"/>
                    </w:rPr>
                    <m:t>1</m:t>
                  </m:r>
                </m:sup>
              </m:sSubSup>
              <m:r>
                <m:rPr>
                  <m:sty m:val="p"/>
                </m:rPr>
                <w:rPr>
                  <w:rFonts w:ascii="Cambria Math" w:eastAsia="Times New Roman" w:hAnsi="Cambria Math" w:cs="Times New Roman"/>
                  <w:sz w:val="20"/>
                  <w:szCs w:val="20"/>
                </w:rPr>
                <m:t>=1.7031×</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10</m:t>
                  </m:r>
                </m:e>
                <m:sup>
                  <m:r>
                    <m:rPr>
                      <m:sty m:val="p"/>
                    </m:rPr>
                    <w:rPr>
                      <w:rFonts w:ascii="Cambria Math" w:eastAsia="Times New Roman" w:hAnsi="Cambria Math" w:cs="Times New Roman"/>
                      <w:sz w:val="20"/>
                      <w:szCs w:val="20"/>
                    </w:rPr>
                    <m:t>-12</m:t>
                  </m:r>
                </m:sup>
              </m:sSup>
            </m:oMath>
            <w:r w:rsidRPr="00A57EFF">
              <w:rPr>
                <w:rFonts w:ascii="Times New Roman" w:hAnsi="Times New Roman"/>
                <w:sz w:val="20"/>
              </w:rPr>
              <w:t xml:space="preserve"> m</w:t>
            </w:r>
            <w:r w:rsidRPr="00A57EFF">
              <w:rPr>
                <w:rFonts w:ascii="Times New Roman" w:hAnsi="Times New Roman"/>
                <w:sz w:val="20"/>
                <w:vertAlign w:val="superscript"/>
              </w:rPr>
              <w:t>4</w:t>
            </w:r>
            <w:r w:rsidRPr="00A57EFF">
              <w:rPr>
                <w:rFonts w:ascii="Times New Roman" w:hAnsi="Times New Roman"/>
                <w:sz w:val="20"/>
              </w:rPr>
              <w:t xml:space="preserve">  s</w:t>
            </w:r>
            <w:r w:rsidRPr="00A57EFF">
              <w:rPr>
                <w:rFonts w:ascii="Times New Roman" w:hAnsi="Times New Roman"/>
                <w:sz w:val="20"/>
                <w:vertAlign w:val="superscript"/>
              </w:rPr>
              <w:t>-1</w:t>
            </w:r>
            <w:r w:rsidRPr="00A57EFF">
              <w:rPr>
                <w:rFonts w:ascii="Times New Roman" w:hAnsi="Times New Roman"/>
                <w:sz w:val="20"/>
              </w:rPr>
              <w:t xml:space="preserve"> µmol</w:t>
            </w:r>
            <w:r w:rsidRPr="00A57EFF">
              <w:rPr>
                <w:rFonts w:ascii="Times New Roman" w:hAnsi="Times New Roman"/>
                <w:sz w:val="20"/>
                <w:vertAlign w:val="superscript"/>
              </w:rPr>
              <w:t xml:space="preserve">-1 </w:t>
            </w:r>
            <w:r w:rsidRPr="00A57EFF">
              <w:rPr>
                <w:rFonts w:ascii="Times New Roman" w:hAnsi="Times New Roman"/>
                <w:sz w:val="20"/>
              </w:rPr>
              <w:t>. Error bars shows standard deviation,</w:t>
            </w:r>
            <w:r w:rsidRPr="00A57EFF">
              <w:rPr>
                <w:rFonts w:ascii="Times New Roman" w:hAnsi="Times New Roman"/>
                <w:i/>
                <w:sz w:val="20"/>
              </w:rPr>
              <w:t xml:space="preserve"> </w:t>
            </w:r>
            <m:oMath>
              <m:r>
                <w:rPr>
                  <w:rFonts w:ascii="Cambria Math" w:eastAsia="Times New Roman" w:hAnsi="Cambria Math" w:cs="Times New Roman"/>
                  <w:sz w:val="20"/>
                  <w:szCs w:val="20"/>
                </w:rPr>
                <m:t>n</m:t>
              </m:r>
              <m:r>
                <m:rPr>
                  <m:sty m:val="p"/>
                </m:rPr>
                <w:rPr>
                  <w:rFonts w:ascii="Cambria Math" w:eastAsia="Times New Roman" w:hAnsi="Cambria Math" w:cs="Times New Roman"/>
                  <w:sz w:val="20"/>
                  <w:szCs w:val="20"/>
                </w:rPr>
                <m:t>=4</m:t>
              </m:r>
            </m:oMath>
          </w:p>
        </w:tc>
      </w:tr>
    </w:tbl>
    <w:p w:rsidR="00AA6F1F" w:rsidRPr="00A57EFF" w:rsidRDefault="00AA6F1F" w:rsidP="00A57EFF">
      <w:pPr>
        <w:spacing w:after="200" w:line="480" w:lineRule="auto"/>
        <w:jc w:val="both"/>
        <w:rPr>
          <w:rFonts w:ascii="Times New Roman" w:hAnsi="Times New Roman"/>
          <w:b/>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A6F1F" w:rsidRPr="00AA6F1F" w:rsidTr="00AB3042">
        <w:tc>
          <w:tcPr>
            <w:tcW w:w="9016" w:type="dxa"/>
          </w:tcPr>
          <w:p w:rsidR="00AA6F1F" w:rsidRPr="00A57EFF" w:rsidRDefault="00AA6F1F" w:rsidP="00AA6F1F">
            <w:pPr>
              <w:spacing w:line="480" w:lineRule="auto"/>
              <w:jc w:val="center"/>
              <w:rPr>
                <w:rFonts w:ascii="Times New Roman" w:hAnsi="Times New Roman"/>
                <w:sz w:val="24"/>
              </w:rPr>
            </w:pPr>
            <w:r w:rsidRPr="00AA6F1F">
              <w:rPr>
                <w:rFonts w:ascii="Times New Roman" w:hAnsi="Times New Roman"/>
                <w:noProof/>
                <w:sz w:val="24"/>
                <w:lang w:eastAsia="en-GB"/>
              </w:rPr>
              <w:drawing>
                <wp:inline distT="0" distB="0" distL="0" distR="0">
                  <wp:extent cx="5734050" cy="4295775"/>
                  <wp:effectExtent l="0" t="0" r="0" b="9525"/>
                  <wp:docPr id="17" name="Picture 17"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Fig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4295775"/>
                          </a:xfrm>
                          <a:prstGeom prst="rect">
                            <a:avLst/>
                          </a:prstGeom>
                          <a:noFill/>
                          <a:ln>
                            <a:noFill/>
                          </a:ln>
                        </pic:spPr>
                      </pic:pic>
                    </a:graphicData>
                  </a:graphic>
                </wp:inline>
              </w:drawing>
            </w:r>
          </w:p>
        </w:tc>
      </w:tr>
      <w:tr w:rsidR="00AA6F1F" w:rsidRPr="00AA6F1F" w:rsidTr="00A57EFF">
        <w:tc>
          <w:tcPr>
            <w:tcW w:w="9016" w:type="dxa"/>
          </w:tcPr>
          <w:p w:rsidR="00AA6F1F" w:rsidRPr="00A57EFF" w:rsidRDefault="00AA6F1F" w:rsidP="00AA6F1F">
            <w:pPr>
              <w:spacing w:line="480" w:lineRule="auto"/>
              <w:jc w:val="center"/>
              <w:rPr>
                <w:rFonts w:ascii="Times New Roman" w:hAnsi="Times New Roman"/>
                <w:sz w:val="20"/>
              </w:rPr>
            </w:pPr>
            <w:r w:rsidRPr="00A57EFF">
              <w:rPr>
                <w:rFonts w:ascii="Times New Roman" w:hAnsi="Times New Roman"/>
                <w:b/>
                <w:sz w:val="20"/>
              </w:rPr>
              <w:t>Fig. 6</w:t>
            </w:r>
            <w:r w:rsidRPr="00A57EFF">
              <w:rPr>
                <w:rFonts w:ascii="Times New Roman" w:hAnsi="Times New Roman"/>
                <w:i/>
                <w:sz w:val="20"/>
              </w:rPr>
              <w:t xml:space="preserve"> </w:t>
            </w:r>
            <w:r w:rsidRPr="00A57EFF">
              <w:rPr>
                <w:rFonts w:ascii="Times New Roman" w:hAnsi="Times New Roman"/>
                <w:sz w:val="20"/>
              </w:rPr>
              <w:t xml:space="preserve">Comparison of experimental and model microdialysis probe P influx in soil with and without citrate in the perfusate. Using the parameters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β</m:t>
                  </m:r>
                </m:e>
                <m:sub>
                  <m:r>
                    <m:rPr>
                      <m:sty m:val="p"/>
                    </m:rPr>
                    <w:rPr>
                      <w:rFonts w:ascii="Cambria Math" w:eastAsia="Calibri" w:hAnsi="Cambria Math" w:cs="Times New Roman"/>
                      <w:sz w:val="20"/>
                      <w:szCs w:val="20"/>
                    </w:rPr>
                    <m:t>1</m:t>
                  </m:r>
                </m:sub>
              </m:sSub>
              <m:r>
                <m:rPr>
                  <m:sty m:val="p"/>
                </m:rPr>
                <w:rPr>
                  <w:rFonts w:ascii="Cambria Math" w:eastAsia="Calibri" w:hAnsi="Cambria Math" w:cs="Times New Roman"/>
                  <w:sz w:val="20"/>
                  <w:szCs w:val="20"/>
                </w:rPr>
                <m:t>=7.899×</m:t>
              </m:r>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10</m:t>
                  </m:r>
                </m:e>
                <m:sup>
                  <m:r>
                    <m:rPr>
                      <m:sty m:val="p"/>
                    </m:rPr>
                    <w:rPr>
                      <w:rFonts w:ascii="Cambria Math" w:eastAsia="Calibri" w:hAnsi="Cambria Math" w:cs="Times New Roman"/>
                      <w:sz w:val="20"/>
                      <w:szCs w:val="20"/>
                    </w:rPr>
                    <m:t>-6</m:t>
                  </m:r>
                </m:sup>
              </m:sSup>
            </m:oMath>
            <w:r w:rsidRPr="00A57EFF">
              <w:rPr>
                <w:rFonts w:ascii="Times New Roman" w:hAnsi="Times New Roman"/>
                <w:sz w:val="20"/>
              </w:rPr>
              <w:t xml:space="preserve"> s</w:t>
            </w:r>
            <w:r w:rsidRPr="00A57EFF">
              <w:rPr>
                <w:rFonts w:ascii="Times New Roman" w:hAnsi="Times New Roman"/>
                <w:sz w:val="20"/>
                <w:vertAlign w:val="superscript"/>
              </w:rPr>
              <w:t>-1</w:t>
            </w:r>
            <w:r w:rsidRPr="00A57EFF">
              <w:rPr>
                <w:rFonts w:ascii="Times New Roman" w:hAnsi="Times New Roman"/>
                <w:sz w:val="20"/>
              </w:rPr>
              <w:t xml:space="preserve"> and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β</m:t>
                  </m:r>
                </m:e>
                <m:sub>
                  <m:r>
                    <m:rPr>
                      <m:sty m:val="p"/>
                    </m:rPr>
                    <w:rPr>
                      <w:rFonts w:ascii="Cambria Math" w:eastAsia="Times New Roman" w:hAnsi="Cambria Math" w:cs="Times New Roman"/>
                      <w:sz w:val="20"/>
                      <w:szCs w:val="20"/>
                    </w:rPr>
                    <m:t>2</m:t>
                  </m:r>
                </m:sub>
              </m:sSub>
              <m:r>
                <m:rPr>
                  <m:sty m:val="p"/>
                </m:rPr>
                <w:rPr>
                  <w:rFonts w:ascii="Cambria Math" w:eastAsia="Times New Roman" w:hAnsi="Cambria Math" w:cs="Times New Roman"/>
                  <w:sz w:val="20"/>
                  <w:szCs w:val="20"/>
                </w:rPr>
                <m:t>=1.993×</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10</m:t>
                  </m:r>
                </m:e>
                <m:sup>
                  <m:r>
                    <m:rPr>
                      <m:sty m:val="p"/>
                    </m:rPr>
                    <w:rPr>
                      <w:rFonts w:ascii="Cambria Math" w:eastAsia="Times New Roman" w:hAnsi="Cambria Math" w:cs="Times New Roman"/>
                      <w:sz w:val="20"/>
                      <w:szCs w:val="20"/>
                    </w:rPr>
                    <m:t>-7</m:t>
                  </m:r>
                </m:sup>
              </m:sSup>
            </m:oMath>
            <w:r w:rsidRPr="00A57EFF">
              <w:rPr>
                <w:rFonts w:ascii="Times New Roman" w:hAnsi="Times New Roman"/>
                <w:sz w:val="20"/>
              </w:rPr>
              <w:t xml:space="preserve"> s</w:t>
            </w:r>
            <w:r w:rsidRPr="00A57EFF">
              <w:rPr>
                <w:rFonts w:ascii="Times New Roman" w:hAnsi="Times New Roman"/>
                <w:sz w:val="20"/>
                <w:vertAlign w:val="superscript"/>
              </w:rPr>
              <w:t>-1</w:t>
            </w:r>
            <w:r w:rsidRPr="00A57EFF">
              <w:rPr>
                <w:rFonts w:ascii="Times New Roman" w:hAnsi="Times New Roman"/>
                <w:sz w:val="20"/>
              </w:rPr>
              <w:t xml:space="preserve"> produces the best fit to the experimental data when there is no citrate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C</m:t>
                  </m:r>
                </m:e>
                <m:sub>
                  <m:r>
                    <m:rPr>
                      <m:sty m:val="p"/>
                    </m:rPr>
                    <w:rPr>
                      <w:rFonts w:ascii="Cambria Math" w:eastAsia="Times New Roman" w:hAnsi="Cambria Math" w:cs="Times New Roman"/>
                      <w:sz w:val="20"/>
                      <w:szCs w:val="20"/>
                    </w:rPr>
                    <m:t>0</m:t>
                  </m:r>
                </m:sub>
              </m:sSub>
              <m:r>
                <m:rPr>
                  <m:sty m:val="p"/>
                </m:rPr>
                <w:rPr>
                  <w:rFonts w:ascii="Cambria Math" w:eastAsia="Times New Roman" w:hAnsi="Cambria Math" w:cs="Times New Roman"/>
                  <w:sz w:val="20"/>
                  <w:szCs w:val="20"/>
                </w:rPr>
                <m:t>=0</m:t>
              </m:r>
            </m:oMath>
            <w:r w:rsidRPr="00A57EFF">
              <w:rPr>
                <w:rFonts w:ascii="Times New Roman" w:hAnsi="Times New Roman"/>
                <w:sz w:val="20"/>
              </w:rPr>
              <w:t xml:space="preserve"> µM). Using the parameter </w:t>
            </w:r>
            <m:oMath>
              <m:sSub>
                <m:sSubPr>
                  <m:ctrlPr>
                    <w:rPr>
                      <w:rFonts w:ascii="Cambria Math" w:eastAsia="Calibri" w:hAnsi="Cambria Math" w:cs="Times New Roman"/>
                      <w:sz w:val="20"/>
                      <w:szCs w:val="20"/>
                    </w:rPr>
                  </m:ctrlPr>
                </m:sSubPr>
                <m:e>
                  <m:r>
                    <m:rPr>
                      <m:sty m:val="p"/>
                    </m:rPr>
                    <w:rPr>
                      <w:rFonts w:ascii="Cambria Math" w:eastAsia="Calibri" w:hAnsi="Cambria Math" w:cs="Times New Roman"/>
                      <w:sz w:val="20"/>
                      <w:szCs w:val="20"/>
                    </w:rPr>
                    <m:t>β</m:t>
                  </m:r>
                </m:e>
                <m:sub>
                  <m:r>
                    <m:rPr>
                      <m:sty m:val="p"/>
                    </m:rPr>
                    <w:rPr>
                      <w:rFonts w:ascii="Cambria Math" w:eastAsia="Calibri" w:hAnsi="Cambria Math" w:cs="Times New Roman"/>
                      <w:sz w:val="20"/>
                      <w:szCs w:val="20"/>
                    </w:rPr>
                    <m:t>3</m:t>
                  </m:r>
                </m:sub>
              </m:sSub>
              <m:r>
                <m:rPr>
                  <m:sty m:val="p"/>
                </m:rPr>
                <w:rPr>
                  <w:rFonts w:ascii="Cambria Math" w:eastAsia="Calibri" w:hAnsi="Cambria Math" w:cs="Times New Roman"/>
                  <w:sz w:val="20"/>
                  <w:szCs w:val="20"/>
                </w:rPr>
                <m:t>=3.41×</m:t>
              </m:r>
              <m:sSup>
                <m:sSupPr>
                  <m:ctrlPr>
                    <w:rPr>
                      <w:rFonts w:ascii="Cambria Math" w:eastAsia="Calibri" w:hAnsi="Cambria Math" w:cs="Times New Roman"/>
                      <w:sz w:val="20"/>
                      <w:szCs w:val="20"/>
                    </w:rPr>
                  </m:ctrlPr>
                </m:sSupPr>
                <m:e>
                  <m:r>
                    <m:rPr>
                      <m:sty m:val="p"/>
                    </m:rPr>
                    <w:rPr>
                      <w:rFonts w:ascii="Cambria Math" w:eastAsia="Calibri" w:hAnsi="Cambria Math" w:cs="Times New Roman"/>
                      <w:sz w:val="20"/>
                      <w:szCs w:val="20"/>
                    </w:rPr>
                    <m:t>10</m:t>
                  </m:r>
                </m:e>
                <m:sup>
                  <m:r>
                    <m:rPr>
                      <m:sty m:val="p"/>
                    </m:rPr>
                    <w:rPr>
                      <w:rFonts w:ascii="Cambria Math" w:eastAsia="Calibri" w:hAnsi="Cambria Math" w:cs="Times New Roman"/>
                      <w:sz w:val="20"/>
                      <w:szCs w:val="20"/>
                    </w:rPr>
                    <m:t>-13</m:t>
                  </m:r>
                </m:sup>
              </m:sSup>
            </m:oMath>
            <w:r w:rsidRPr="00A57EFF">
              <w:rPr>
                <w:rFonts w:ascii="Times New Roman" w:hAnsi="Times New Roman"/>
                <w:sz w:val="20"/>
              </w:rPr>
              <w:t xml:space="preserve"> produces the best fit to the experimental data when there is citrate in the perfusate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C</m:t>
                  </m:r>
                </m:e>
                <m:sub>
                  <m:r>
                    <m:rPr>
                      <m:sty m:val="p"/>
                    </m:rPr>
                    <w:rPr>
                      <w:rFonts w:ascii="Cambria Math" w:eastAsia="Times New Roman" w:hAnsi="Cambria Math" w:cs="Times New Roman"/>
                      <w:sz w:val="20"/>
                      <w:szCs w:val="20"/>
                    </w:rPr>
                    <m:t>0</m:t>
                  </m:r>
                </m:sub>
              </m:sSub>
              <m:r>
                <m:rPr>
                  <m:sty m:val="p"/>
                </m:rPr>
                <w:rPr>
                  <w:rFonts w:ascii="Cambria Math" w:eastAsia="Times New Roman" w:hAnsi="Cambria Math" w:cs="Times New Roman"/>
                  <w:sz w:val="20"/>
                  <w:szCs w:val="20"/>
                </w:rPr>
                <m:t xml:space="preserve">=1000,10000 </m:t>
              </m:r>
            </m:oMath>
            <w:r w:rsidRPr="00A57EFF">
              <w:rPr>
                <w:rFonts w:ascii="Times New Roman" w:hAnsi="Times New Roman"/>
                <w:sz w:val="20"/>
              </w:rPr>
              <w:t xml:space="preserve">µM). Error bars shows standard deviation, </w:t>
            </w:r>
            <m:oMath>
              <m:r>
                <w:rPr>
                  <w:rFonts w:ascii="Cambria Math" w:eastAsia="Times New Roman" w:hAnsi="Cambria Math" w:cs="Times New Roman"/>
                  <w:sz w:val="20"/>
                  <w:szCs w:val="20"/>
                </w:rPr>
                <m:t>n</m:t>
              </m:r>
              <m:r>
                <m:rPr>
                  <m:sty m:val="p"/>
                </m:rPr>
                <w:rPr>
                  <w:rFonts w:ascii="Cambria Math" w:eastAsia="Times New Roman" w:hAnsi="Cambria Math" w:cs="Times New Roman"/>
                  <w:sz w:val="20"/>
                  <w:szCs w:val="20"/>
                </w:rPr>
                <m:t>=4</m:t>
              </m:r>
            </m:oMath>
          </w:p>
          <w:p w:rsidR="00AA6F1F" w:rsidRPr="00A57EFF" w:rsidRDefault="00AA6F1F" w:rsidP="00AA6F1F">
            <w:pPr>
              <w:spacing w:line="480" w:lineRule="auto"/>
              <w:jc w:val="center"/>
              <w:rPr>
                <w:rFonts w:ascii="Times New Roman" w:hAnsi="Times New Roman"/>
                <w:i/>
                <w:sz w:val="20"/>
              </w:rPr>
            </w:pPr>
          </w:p>
        </w:tc>
      </w:tr>
    </w:tbl>
    <w:p w:rsidR="00AA6F1F" w:rsidRPr="00A57EFF" w:rsidRDefault="00AA6F1F" w:rsidP="00A57EFF">
      <w:pPr>
        <w:spacing w:after="200" w:line="480" w:lineRule="auto"/>
        <w:rPr>
          <w:rFonts w:ascii="Times New Roman" w:hAnsi="Times New Roman"/>
          <w:sz w:val="24"/>
        </w:rPr>
      </w:pPr>
    </w:p>
    <w:p w:rsidR="00AA6F1F" w:rsidRPr="00A57EFF" w:rsidRDefault="00AA6F1F" w:rsidP="00A57EFF">
      <w:pPr>
        <w:spacing w:after="200" w:line="480" w:lineRule="auto"/>
        <w:rPr>
          <w:rFonts w:ascii="Times New Roman"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A6F1F" w:rsidRPr="00AA6F1F" w:rsidTr="00AB3042">
        <w:tc>
          <w:tcPr>
            <w:tcW w:w="9016" w:type="dxa"/>
          </w:tcPr>
          <w:p w:rsidR="00AA6F1F" w:rsidRPr="00A57EFF" w:rsidRDefault="00AA6F1F" w:rsidP="00AA6F1F">
            <w:pPr>
              <w:spacing w:line="480" w:lineRule="auto"/>
              <w:jc w:val="center"/>
              <w:rPr>
                <w:rFonts w:ascii="Times New Roman" w:hAnsi="Times New Roman"/>
                <w:sz w:val="24"/>
              </w:rPr>
            </w:pPr>
            <w:r w:rsidRPr="00AA6F1F">
              <w:rPr>
                <w:rFonts w:ascii="Times New Roman" w:hAnsi="Times New Roman"/>
                <w:b/>
                <w:noProof/>
                <w:sz w:val="20"/>
                <w:szCs w:val="20"/>
                <w:lang w:eastAsia="en-GB"/>
              </w:rPr>
              <w:drawing>
                <wp:inline distT="0" distB="0" distL="0" distR="0">
                  <wp:extent cx="5724525" cy="5057775"/>
                  <wp:effectExtent l="0" t="0" r="0" b="9525"/>
                  <wp:docPr id="16" name="Picture 16"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Fig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5057775"/>
                          </a:xfrm>
                          <a:prstGeom prst="rect">
                            <a:avLst/>
                          </a:prstGeom>
                          <a:noFill/>
                          <a:ln>
                            <a:noFill/>
                          </a:ln>
                        </pic:spPr>
                      </pic:pic>
                    </a:graphicData>
                  </a:graphic>
                </wp:inline>
              </w:drawing>
            </w:r>
          </w:p>
        </w:tc>
      </w:tr>
      <w:tr w:rsidR="00AA6F1F" w:rsidRPr="00AA6F1F" w:rsidTr="00AB3042">
        <w:tc>
          <w:tcPr>
            <w:tcW w:w="9016" w:type="dxa"/>
          </w:tcPr>
          <w:p w:rsidR="00AA6F1F" w:rsidRPr="00A57EFF" w:rsidRDefault="00AA6F1F" w:rsidP="00AA6F1F">
            <w:pPr>
              <w:spacing w:line="480" w:lineRule="auto"/>
              <w:jc w:val="center"/>
              <w:rPr>
                <w:rFonts w:ascii="Times New Roman" w:hAnsi="Times New Roman"/>
                <w:b/>
                <w:i/>
                <w:sz w:val="20"/>
              </w:rPr>
            </w:pPr>
            <w:r w:rsidRPr="00A57EFF">
              <w:rPr>
                <w:rFonts w:ascii="Times New Roman" w:hAnsi="Times New Roman"/>
                <w:b/>
                <w:sz w:val="20"/>
              </w:rPr>
              <w:t>Fig. 7</w:t>
            </w:r>
            <w:r w:rsidRPr="00A57EFF">
              <w:rPr>
                <w:rFonts w:ascii="Times New Roman" w:hAnsi="Times New Roman"/>
                <w:i/>
                <w:sz w:val="20"/>
              </w:rPr>
              <w:t xml:space="preserve"> </w:t>
            </w:r>
            <w:r w:rsidRPr="00A57EFF">
              <w:rPr>
                <w:rFonts w:ascii="Times New Roman" w:hAnsi="Times New Roman"/>
                <w:sz w:val="20"/>
              </w:rPr>
              <w:t xml:space="preserve">Solutions of the microdialysis probe model after 1 minute, 4 hours and 12 hours using the fitted parameters described above with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P</m:t>
                  </m:r>
                </m:e>
                <m:sub>
                  <m:r>
                    <m:rPr>
                      <m:sty m:val="p"/>
                    </m:rPr>
                    <w:rPr>
                      <w:rFonts w:ascii="Cambria Math" w:eastAsia="Times New Roman" w:hAnsi="Cambria Math" w:cs="Times New Roman"/>
                      <w:sz w:val="20"/>
                      <w:szCs w:val="20"/>
                    </w:rPr>
                    <m:t>add</m:t>
                  </m:r>
                </m:sub>
              </m:sSub>
              <m:r>
                <m:rPr>
                  <m:sty m:val="p"/>
                </m:rPr>
                <w:rPr>
                  <w:rFonts w:ascii="Cambria Math" w:eastAsia="Times New Roman" w:hAnsi="Cambria Math" w:cs="Times New Roman"/>
                  <w:sz w:val="20"/>
                  <w:szCs w:val="20"/>
                </w:rPr>
                <m:t>=6.67</m:t>
              </m:r>
            </m:oMath>
            <w:r w:rsidRPr="00A57EFF">
              <w:rPr>
                <w:rFonts w:ascii="Times New Roman" w:hAnsi="Times New Roman"/>
                <w:sz w:val="20"/>
              </w:rPr>
              <w:t xml:space="preserve"> µmol l</w:t>
            </w:r>
            <w:r w:rsidRPr="00A57EFF">
              <w:rPr>
                <w:rFonts w:ascii="Times New Roman" w:hAnsi="Times New Roman"/>
                <w:sz w:val="20"/>
                <w:vertAlign w:val="superscript"/>
              </w:rPr>
              <w:t>-1</w:t>
            </w:r>
            <w:r w:rsidRPr="00A57EFF">
              <w:rPr>
                <w:rFonts w:ascii="Times New Roman" w:hAnsi="Times New Roman"/>
                <w:sz w:val="20"/>
              </w:rPr>
              <w:t xml:space="preserve"> of soil and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C</m:t>
                  </m:r>
                </m:e>
                <m:sub>
                  <m:r>
                    <m:rPr>
                      <m:sty m:val="p"/>
                    </m:rPr>
                    <w:rPr>
                      <w:rFonts w:ascii="Cambria Math" w:eastAsia="Times New Roman" w:hAnsi="Cambria Math" w:cs="Times New Roman"/>
                      <w:sz w:val="20"/>
                      <w:szCs w:val="20"/>
                    </w:rPr>
                    <m:t>0</m:t>
                  </m:r>
                </m:sub>
              </m:sSub>
              <m:r>
                <m:rPr>
                  <m:sty m:val="p"/>
                </m:rPr>
                <w:rPr>
                  <w:rFonts w:ascii="Cambria Math" w:eastAsia="Times New Roman" w:hAnsi="Cambria Math" w:cs="Times New Roman"/>
                  <w:sz w:val="20"/>
                  <w:szCs w:val="20"/>
                </w:rPr>
                <m:t>=10.48</m:t>
              </m:r>
            </m:oMath>
            <w:r w:rsidRPr="00A57EFF">
              <w:rPr>
                <w:rFonts w:ascii="Times New Roman" w:hAnsi="Times New Roman"/>
                <w:sz w:val="20"/>
              </w:rPr>
              <w:t xml:space="preserve"> µM. The top row shows the solution for citrate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C</m:t>
                  </m:r>
                </m:e>
                <m:sub>
                  <m:r>
                    <m:rPr>
                      <m:sty m:val="p"/>
                    </m:rPr>
                    <w:rPr>
                      <w:rFonts w:ascii="Cambria Math" w:eastAsia="Times New Roman" w:hAnsi="Cambria Math" w:cs="Times New Roman"/>
                      <w:sz w:val="20"/>
                      <w:szCs w:val="20"/>
                    </w:rPr>
                    <m:t>l</m:t>
                  </m:r>
                </m:sub>
              </m:sSub>
              <m:r>
                <w:rPr>
                  <w:rFonts w:ascii="Cambria Math" w:eastAsia="Times New Roman" w:hAnsi="Cambria Math" w:cs="Times New Roman"/>
                  <w:sz w:val="20"/>
                  <w:szCs w:val="20"/>
                </w:rPr>
                <m:t>)</m:t>
              </m:r>
            </m:oMath>
            <w:r w:rsidRPr="00A57EFF">
              <w:rPr>
                <w:rFonts w:ascii="Times New Roman" w:hAnsi="Times New Roman"/>
                <w:sz w:val="20"/>
              </w:rPr>
              <w:t xml:space="preserve"> and the bottom row for phosphate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P</m:t>
                  </m:r>
                </m:e>
                <m:sub>
                  <m:r>
                    <m:rPr>
                      <m:sty m:val="p"/>
                    </m:rPr>
                    <w:rPr>
                      <w:rFonts w:ascii="Cambria Math" w:eastAsia="Times New Roman" w:hAnsi="Cambria Math" w:cs="Times New Roman"/>
                      <w:sz w:val="20"/>
                      <w:szCs w:val="20"/>
                    </w:rPr>
                    <m:t>l</m:t>
                  </m:r>
                </m:sub>
              </m:sSub>
            </m:oMath>
            <w:r w:rsidRPr="00A57EFF">
              <w:rPr>
                <w:rFonts w:ascii="Times New Roman" w:hAnsi="Times New Roman"/>
                <w:sz w:val="20"/>
              </w:rPr>
              <w:t>)</w:t>
            </w:r>
          </w:p>
        </w:tc>
      </w:tr>
    </w:tbl>
    <w:p w:rsidR="00AA6F1F" w:rsidRPr="00A57EFF" w:rsidRDefault="00AA6F1F" w:rsidP="00A57EFF">
      <w:pPr>
        <w:keepNext/>
        <w:keepLines/>
        <w:spacing w:before="40" w:after="0" w:line="480" w:lineRule="auto"/>
        <w:outlineLvl w:val="1"/>
        <w:rPr>
          <w:rFonts w:ascii="Times New Roman" w:hAnsi="Times New Roman"/>
          <w:color w:val="365F91"/>
          <w:sz w:val="26"/>
        </w:rPr>
      </w:pPr>
      <w:r w:rsidRPr="00A57EFF">
        <w:rPr>
          <w:rFonts w:ascii="Times New Roman" w:hAnsi="Times New Roman"/>
          <w:color w:val="365F91"/>
          <w:sz w:val="26"/>
        </w:rPr>
        <w:t>Numerical Experiments</w:t>
      </w:r>
    </w:p>
    <w:p w:rsidR="00AA6F1F" w:rsidRPr="00A57EFF" w:rsidRDefault="00AA6F1F" w:rsidP="00A57EFF">
      <w:pPr>
        <w:spacing w:after="200" w:line="480" w:lineRule="auto"/>
        <w:rPr>
          <w:rFonts w:ascii="Times New Roman" w:hAnsi="Times New Roman"/>
          <w:b/>
          <w:sz w:val="24"/>
        </w:rPr>
      </w:pPr>
      <w:r w:rsidRPr="00A57EFF">
        <w:rPr>
          <w:rFonts w:ascii="Times New Roman" w:hAnsi="Times New Roman"/>
          <w:b/>
          <w:sz w:val="24"/>
        </w:rPr>
        <w:t>Microdialysis probes as model roots</w:t>
      </w:r>
    </w:p>
    <w:p w:rsidR="00AA6F1F" w:rsidRPr="00A57EFF" w:rsidRDefault="00AA6F1F" w:rsidP="00A57EFF">
      <w:pPr>
        <w:spacing w:after="200" w:line="480" w:lineRule="auto"/>
        <w:jc w:val="both"/>
        <w:rPr>
          <w:rFonts w:ascii="Times New Roman" w:hAnsi="Times New Roman"/>
          <w:sz w:val="24"/>
        </w:rPr>
      </w:pPr>
      <w:r w:rsidRPr="00A57EFF">
        <w:rPr>
          <w:rFonts w:ascii="Times New Roman" w:hAnsi="Times New Roman"/>
          <w:sz w:val="24"/>
        </w:rPr>
        <w:t xml:space="preserve">It was found that a citrate concentration of </w:t>
      </w:r>
      <m:oMath>
        <m:r>
          <w:rPr>
            <w:rFonts w:ascii="Cambria Math" w:hAnsi="Cambria Math"/>
            <w:sz w:val="24"/>
          </w:rPr>
          <m:t>10.48</m:t>
        </m:r>
      </m:oMath>
      <w:r w:rsidRPr="00A57EFF">
        <w:rPr>
          <w:rFonts w:ascii="Times New Roman" w:hAnsi="Times New Roman"/>
          <w:sz w:val="24"/>
        </w:rPr>
        <w:t xml:space="preserve"> µM in the perfusate produced the most similar citrate exudation pattern to a model rape root (Fig. 8a). The P absorption for microdialysis probe and root model was also compared using the same initial P additions as the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oMath>
      <w:r w:rsidRPr="00A57EFF">
        <w:rPr>
          <w:rFonts w:ascii="Times New Roman" w:hAnsi="Times New Roman"/>
          <w:sz w:val="24"/>
        </w:rPr>
        <w:t xml:space="preserve"> and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oMath>
      <w:r w:rsidRPr="00A57EFF">
        <w:rPr>
          <w:rFonts w:ascii="Times New Roman" w:hAnsi="Times New Roman"/>
          <w:sz w:val="24"/>
        </w:rPr>
        <w:t xml:space="preserve"> data fitting (</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add</m:t>
            </m:r>
          </m:sub>
        </m:sSub>
        <m:r>
          <w:rPr>
            <w:rFonts w:ascii="Cambria Math" w:hAnsi="Cambria Math"/>
            <w:sz w:val="24"/>
          </w:rPr>
          <m:t>=66731</m:t>
        </m:r>
      </m:oMath>
      <w:r w:rsidRPr="00A57EFF">
        <w:rPr>
          <w:rFonts w:ascii="Times New Roman" w:hAnsi="Times New Roman"/>
          <w:sz w:val="24"/>
        </w:rPr>
        <w:t xml:space="preserve"> µmol m</w:t>
      </w:r>
      <w:r w:rsidRPr="00A57EFF">
        <w:rPr>
          <w:rFonts w:ascii="Times New Roman" w:hAnsi="Times New Roman"/>
          <w:sz w:val="24"/>
          <w:vertAlign w:val="superscript"/>
        </w:rPr>
        <w:t>-3</w:t>
      </w:r>
      <w:r w:rsidRPr="00A57EFF">
        <w:rPr>
          <w:rFonts w:ascii="Times New Roman" w:hAnsi="Times New Roman"/>
          <w:sz w:val="24"/>
        </w:rPr>
        <w:t xml:space="preserve"> of total soil</w:t>
      </w:r>
      <w:r w:rsidRPr="00AA6F1F">
        <w:rPr>
          <w:rFonts w:ascii="Times New Roman" w:eastAsia="Times New Roman" w:hAnsi="Times New Roman" w:cs="Times New Roman"/>
          <w:sz w:val="24"/>
          <w:szCs w:val="24"/>
        </w:rPr>
        <w:t>)</w:t>
      </w:r>
      <w:r w:rsidRPr="00A57EFF">
        <w:rPr>
          <w:rFonts w:ascii="Times New Roman" w:hAnsi="Times New Roman"/>
          <w:sz w:val="24"/>
        </w:rPr>
        <w:t xml:space="preserve"> Fig. 8b. It was found that at this initial concentration of P in the soil and citrate in the perfusate, the microdialysis probe under predicts root P absorption.</w:t>
      </w:r>
    </w:p>
    <w:p w:rsidR="00AA6F1F" w:rsidRPr="00A57EFF" w:rsidRDefault="00AA6F1F" w:rsidP="00A57EFF">
      <w:pPr>
        <w:spacing w:after="200" w:line="480" w:lineRule="auto"/>
        <w:rPr>
          <w:rFonts w:ascii="Times New Roman"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A6F1F" w:rsidRPr="00AA6F1F" w:rsidTr="00AB3042">
        <w:tc>
          <w:tcPr>
            <w:tcW w:w="9016" w:type="dxa"/>
          </w:tcPr>
          <w:p w:rsidR="00AA6F1F" w:rsidRPr="00A57EFF" w:rsidRDefault="00AA6F1F" w:rsidP="00AA6F1F">
            <w:pPr>
              <w:spacing w:line="480" w:lineRule="auto"/>
              <w:jc w:val="center"/>
              <w:rPr>
                <w:rFonts w:ascii="Times New Roman" w:hAnsi="Times New Roman"/>
                <w:sz w:val="24"/>
              </w:rPr>
            </w:pPr>
            <w:r w:rsidRPr="00AA6F1F">
              <w:rPr>
                <w:rFonts w:ascii="Times New Roman" w:hAnsi="Times New Roman"/>
                <w:noProof/>
                <w:sz w:val="24"/>
                <w:szCs w:val="24"/>
                <w:lang w:eastAsia="en-GB"/>
              </w:rPr>
              <w:drawing>
                <wp:inline distT="0" distB="0" distL="0" distR="0">
                  <wp:extent cx="5133975" cy="2181225"/>
                  <wp:effectExtent l="0" t="0" r="9525" b="9525"/>
                  <wp:docPr id="15" name="Picture 15" descr="probeVs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robeVsro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3975" cy="2181225"/>
                          </a:xfrm>
                          <a:prstGeom prst="rect">
                            <a:avLst/>
                          </a:prstGeom>
                          <a:noFill/>
                          <a:ln>
                            <a:noFill/>
                          </a:ln>
                        </pic:spPr>
                      </pic:pic>
                    </a:graphicData>
                  </a:graphic>
                </wp:inline>
              </w:drawing>
            </w:r>
          </w:p>
        </w:tc>
      </w:tr>
      <w:tr w:rsidR="00AA6F1F" w:rsidRPr="00AA6F1F" w:rsidTr="00AB3042">
        <w:tc>
          <w:tcPr>
            <w:tcW w:w="9016" w:type="dxa"/>
          </w:tcPr>
          <w:p w:rsidR="00AA6F1F" w:rsidRPr="00A57EFF" w:rsidRDefault="00AA6F1F" w:rsidP="00AA6F1F">
            <w:pPr>
              <w:spacing w:line="480" w:lineRule="auto"/>
              <w:jc w:val="center"/>
              <w:rPr>
                <w:rFonts w:ascii="Times New Roman" w:hAnsi="Times New Roman"/>
                <w:i/>
                <w:sz w:val="20"/>
              </w:rPr>
            </w:pPr>
            <w:r w:rsidRPr="00A57EFF">
              <w:rPr>
                <w:rFonts w:ascii="Times New Roman" w:hAnsi="Times New Roman"/>
                <w:b/>
                <w:sz w:val="20"/>
              </w:rPr>
              <w:t>Fig. 8</w:t>
            </w:r>
            <w:r w:rsidRPr="00A57EFF">
              <w:rPr>
                <w:rFonts w:ascii="Times New Roman" w:hAnsi="Times New Roman"/>
                <w:i/>
                <w:sz w:val="20"/>
              </w:rPr>
              <w:t xml:space="preserve"> </w:t>
            </w:r>
            <w:r w:rsidRPr="00A57EFF">
              <w:rPr>
                <w:rFonts w:ascii="Times New Roman" w:hAnsi="Times New Roman"/>
                <w:sz w:val="20"/>
              </w:rPr>
              <w:t>Comparison of the model root and model microdialysis probe in terms of citrate exuded and P absorbed using the concentration of citrate in the perfusate which produces the most similar citrate exudation to a typical root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C</m:t>
                  </m:r>
                </m:e>
                <m:sub>
                  <m:r>
                    <m:rPr>
                      <m:sty m:val="p"/>
                    </m:rPr>
                    <w:rPr>
                      <w:rFonts w:ascii="Cambria Math" w:eastAsia="Times New Roman" w:hAnsi="Cambria Math" w:cs="Times New Roman"/>
                      <w:sz w:val="20"/>
                      <w:szCs w:val="20"/>
                    </w:rPr>
                    <m:t>0</m:t>
                  </m:r>
                </m:sub>
              </m:sSub>
              <m:r>
                <m:rPr>
                  <m:sty m:val="p"/>
                </m:rPr>
                <w:rPr>
                  <w:rFonts w:ascii="Cambria Math" w:eastAsia="Times New Roman" w:hAnsi="Cambria Math" w:cs="Times New Roman"/>
                  <w:sz w:val="20"/>
                  <w:szCs w:val="20"/>
                </w:rPr>
                <m:t>=10.48</m:t>
              </m:r>
            </m:oMath>
            <w:r w:rsidRPr="00A57EFF">
              <w:rPr>
                <w:rFonts w:ascii="Times New Roman" w:hAnsi="Times New Roman"/>
                <w:sz w:val="20"/>
              </w:rPr>
              <w:t xml:space="preserve"> µ</w:t>
            </w:r>
            <w:r w:rsidRPr="00A57EFF">
              <w:rPr>
                <w:rFonts w:ascii="Times New Roman" w:hAnsi="Times New Roman"/>
                <w:i/>
                <w:sz w:val="20"/>
              </w:rPr>
              <w:t>M</w:t>
            </w:r>
            <w:r w:rsidRPr="00A57EFF">
              <w:rPr>
                <w:rFonts w:ascii="Times New Roman" w:hAnsi="Times New Roman"/>
                <w:sz w:val="20"/>
              </w:rPr>
              <w:t>). a) Root and microdialysis probe model citrate exudation measured every hour; b) Root and microdialysis probe model P absorption measured every hour</w:t>
            </w:r>
          </w:p>
        </w:tc>
      </w:tr>
    </w:tbl>
    <w:p w:rsidR="00AA6F1F" w:rsidRPr="00A57EFF" w:rsidRDefault="00AA6F1F" w:rsidP="00A57EFF">
      <w:pPr>
        <w:spacing w:after="200" w:line="480" w:lineRule="auto"/>
        <w:rPr>
          <w:rFonts w:ascii="Times New Roman" w:hAnsi="Times New Roman"/>
          <w:sz w:val="24"/>
        </w:rPr>
      </w:pPr>
    </w:p>
    <w:p w:rsidR="00AA6F1F" w:rsidRPr="00A57EFF" w:rsidRDefault="00AA6F1F" w:rsidP="00A57EFF">
      <w:pPr>
        <w:spacing w:after="200" w:line="480" w:lineRule="auto"/>
        <w:rPr>
          <w:rFonts w:ascii="Times New Roman" w:hAnsi="Times New Roman"/>
          <w:b/>
          <w:sz w:val="24"/>
        </w:rPr>
      </w:pPr>
      <w:r w:rsidRPr="00AA6F1F">
        <w:rPr>
          <w:rFonts w:ascii="Times New Roman" w:eastAsia="Times New Roman" w:hAnsi="Times New Roman" w:cs="Times New Roman"/>
          <w:b/>
          <w:sz w:val="24"/>
        </w:rPr>
        <w:t>Citrate’s</w:t>
      </w:r>
      <w:r w:rsidRPr="00A57EFF">
        <w:rPr>
          <w:rFonts w:ascii="Times New Roman" w:hAnsi="Times New Roman"/>
          <w:b/>
          <w:sz w:val="24"/>
        </w:rPr>
        <w:t xml:space="preserve"> contribution to P uptake</w:t>
      </w:r>
    </w:p>
    <w:p w:rsidR="00AA6F1F" w:rsidRPr="00A57EFF" w:rsidRDefault="00AA6F1F" w:rsidP="00A57EFF">
      <w:pPr>
        <w:spacing w:before="240" w:after="200" w:line="480" w:lineRule="auto"/>
        <w:rPr>
          <w:rFonts w:ascii="Times New Roman" w:hAnsi="Times New Roman"/>
          <w:sz w:val="24"/>
        </w:rPr>
      </w:pPr>
      <w:r w:rsidRPr="00A57EFF">
        <w:rPr>
          <w:rFonts w:ascii="Times New Roman" w:hAnsi="Times New Roman"/>
          <w:sz w:val="24"/>
        </w:rPr>
        <w:t>The P uptake rate per surface area of both a model microdialysis probe and root exuding citrate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=10.48</m:t>
        </m:r>
      </m:oMath>
      <w:r w:rsidRPr="00A57EFF">
        <w:rPr>
          <w:rFonts w:ascii="Times New Roman" w:hAnsi="Times New Roman"/>
          <w:i/>
          <w:sz w:val="24"/>
        </w:rPr>
        <w:t xml:space="preserve"> </w:t>
      </w:r>
      <w:r w:rsidRPr="00A57EFF">
        <w:rPr>
          <w:rFonts w:ascii="Times New Roman" w:hAnsi="Times New Roman"/>
          <w:sz w:val="24"/>
        </w:rPr>
        <w:t>µ</w:t>
      </w:r>
      <w:r w:rsidRPr="00A57EFF">
        <w:rPr>
          <w:rFonts w:ascii="Times New Roman" w:hAnsi="Times New Roman"/>
          <w:i/>
          <w:sz w:val="24"/>
        </w:rPr>
        <w:t>M</w:t>
      </w:r>
      <w:r w:rsidRPr="00A57EFF">
        <w:rPr>
          <w:rFonts w:ascii="Times New Roman" w:hAnsi="Times New Roman"/>
          <w:sz w:val="24"/>
        </w:rPr>
        <w:t xml:space="preserve">, </w:t>
      </w:r>
      <m:oMath>
        <m:sSub>
          <m:sSubPr>
            <m:ctrlPr>
              <w:rPr>
                <w:rFonts w:ascii="Cambria Math" w:hAnsi="Cambria Math"/>
                <w:i/>
                <w:sz w:val="24"/>
              </w:rPr>
            </m:ctrlPr>
          </m:sSubPr>
          <m:e>
            <m:r>
              <w:rPr>
                <w:rFonts w:ascii="Cambria Math" w:hAnsi="Cambria Math"/>
                <w:sz w:val="24"/>
              </w:rPr>
              <m:t>F</m:t>
            </m:r>
          </m:e>
          <m:sub>
            <m:r>
              <w:rPr>
                <w:rFonts w:ascii="Cambria Math" w:hAnsi="Cambria Math"/>
                <w:sz w:val="24"/>
              </w:rPr>
              <m:t>C</m:t>
            </m:r>
          </m:sub>
        </m:sSub>
        <m:r>
          <w:rPr>
            <w:rFonts w:ascii="Cambria Math" w:hAnsi="Cambria Math"/>
            <w:sz w:val="24"/>
          </w:rPr>
          <m:t>=4.7894×</m:t>
        </m:r>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Pr="00A57EFF">
        <w:rPr>
          <w:rFonts w:ascii="Times New Roman" w:hAnsi="Times New Roman"/>
          <w:sz w:val="24"/>
        </w:rPr>
        <w:t xml:space="preserve"> µmol m</w:t>
      </w:r>
      <w:r w:rsidRPr="00A57EFF">
        <w:rPr>
          <w:rFonts w:ascii="Times New Roman" w:hAnsi="Times New Roman"/>
          <w:sz w:val="24"/>
          <w:vertAlign w:val="superscript"/>
        </w:rPr>
        <w:t>-2</w:t>
      </w:r>
      <w:r w:rsidRPr="00A57EFF">
        <w:rPr>
          <w:rFonts w:ascii="Times New Roman" w:hAnsi="Times New Roman"/>
          <w:sz w:val="24"/>
        </w:rPr>
        <w:t xml:space="preserve"> s</w:t>
      </w:r>
      <w:r w:rsidRPr="00A57EFF">
        <w:rPr>
          <w:rFonts w:ascii="Times New Roman" w:hAnsi="Times New Roman"/>
          <w:sz w:val="24"/>
          <w:vertAlign w:val="superscript"/>
        </w:rPr>
        <w:t>-1</w:t>
      </w:r>
      <w:r w:rsidRPr="00A57EFF">
        <w:rPr>
          <w:rFonts w:ascii="Times New Roman" w:hAnsi="Times New Roman"/>
          <w:sz w:val="24"/>
        </w:rPr>
        <w:t xml:space="preserve">) was compared to those with no citrate (Fig. 9a). Similarly, Fig. 9b shows the effect on P uptake when citrate exudation is dramatically increased (with </w:t>
      </w:r>
      <m:oMath>
        <m:sSub>
          <m:sSubPr>
            <m:ctrlPr>
              <w:rPr>
                <w:rFonts w:ascii="Cambria Math" w:hAnsi="Cambria Math"/>
                <w:i/>
                <w:sz w:val="24"/>
              </w:rPr>
            </m:ctrlPr>
          </m:sSubPr>
          <m:e>
            <m:r>
              <w:rPr>
                <w:rFonts w:ascii="Cambria Math" w:hAnsi="Cambria Math"/>
                <w:sz w:val="24"/>
              </w:rPr>
              <m:t>C</m:t>
            </m:r>
          </m:e>
          <m:sub>
            <m:r>
              <w:rPr>
                <w:rFonts w:ascii="Cambria Math" w:hAnsi="Cambria Math"/>
                <w:sz w:val="24"/>
              </w:rPr>
              <m:t>0</m:t>
            </m:r>
          </m:sub>
        </m:sSub>
        <m:r>
          <w:rPr>
            <w:rFonts w:ascii="Cambria Math" w:hAnsi="Cambria Math"/>
            <w:sz w:val="24"/>
          </w:rPr>
          <m:t>=50000</m:t>
        </m:r>
      </m:oMath>
      <w:r w:rsidRPr="00A57EFF">
        <w:rPr>
          <w:rFonts w:ascii="Times New Roman" w:hAnsi="Times New Roman"/>
          <w:i/>
          <w:sz w:val="24"/>
        </w:rPr>
        <w:t xml:space="preserve"> </w:t>
      </w:r>
      <w:r w:rsidRPr="00A57EFF">
        <w:rPr>
          <w:rFonts w:ascii="Times New Roman" w:hAnsi="Times New Roman"/>
          <w:sz w:val="24"/>
        </w:rPr>
        <w:t>µM, and</w:t>
      </w:r>
      <m:oMath>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F</m:t>
            </m:r>
          </m:e>
          <m:sub>
            <m:r>
              <w:rPr>
                <w:rFonts w:ascii="Cambria Math" w:hAnsi="Cambria Math"/>
                <w:sz w:val="24"/>
              </w:rPr>
              <m:t>C</m:t>
            </m:r>
          </m:sub>
        </m:sSub>
        <m:r>
          <w:rPr>
            <w:rFonts w:ascii="Cambria Math" w:hAnsi="Cambria Math"/>
            <w:sz w:val="24"/>
          </w:rPr>
          <m:t>=21.25</m:t>
        </m:r>
      </m:oMath>
      <w:r w:rsidRPr="00A57EFF">
        <w:rPr>
          <w:rFonts w:ascii="Times New Roman" w:hAnsi="Times New Roman"/>
          <w:sz w:val="24"/>
        </w:rPr>
        <w:t xml:space="preserve"> µmol m</w:t>
      </w:r>
      <w:r w:rsidRPr="00A57EFF">
        <w:rPr>
          <w:rFonts w:ascii="Times New Roman" w:hAnsi="Times New Roman"/>
          <w:sz w:val="24"/>
          <w:vertAlign w:val="superscript"/>
        </w:rPr>
        <w:t>-2</w:t>
      </w:r>
      <w:r w:rsidRPr="00A57EFF">
        <w:rPr>
          <w:rFonts w:ascii="Times New Roman" w:hAnsi="Times New Roman"/>
          <w:sz w:val="24"/>
        </w:rPr>
        <w:t xml:space="preserve"> s</w:t>
      </w:r>
      <w:r w:rsidRPr="00A57EFF">
        <w:rPr>
          <w:rFonts w:ascii="Times New Roman" w:hAnsi="Times New Roman"/>
          <w:sz w:val="24"/>
          <w:vertAlign w:val="superscript"/>
        </w:rPr>
        <w:t>-1</w:t>
      </w:r>
      <w:r w:rsidRPr="00A57EFF">
        <w:rPr>
          <w:rFonts w:ascii="Times New Roman" w:hAnsi="Times New Roman"/>
          <w:sz w:val="24"/>
        </w:rPr>
        <w:t xml:space="preserve"> to produce similar root and microdialysis probe citrate exudation). Little difference in P absorption between a model exuding microdialysis probe/root (exuding at a typical rate for plants) and non-exuding microdialysis probe/root could be seen (</w:t>
      </w:r>
      <m:oMath>
        <m:r>
          <w:rPr>
            <w:rFonts w:ascii="Cambria Math" w:hAnsi="Cambria Math"/>
            <w:sz w:val="24"/>
          </w:rPr>
          <m:t>&lt;1%</m:t>
        </m:r>
      </m:oMath>
      <w:r w:rsidRPr="00A57EFF">
        <w:rPr>
          <w:rFonts w:ascii="Times New Roman" w:hAnsi="Times New Roman"/>
          <w:sz w:val="24"/>
        </w:rPr>
        <w:t xml:space="preserve">). </w:t>
      </w:r>
      <w:r w:rsidR="00ED2537" w:rsidRPr="00A57EFF">
        <w:rPr>
          <w:rFonts w:ascii="Times New Roman" w:hAnsi="Times New Roman"/>
          <w:sz w:val="24"/>
        </w:rPr>
        <w:t xml:space="preserve">Fig. 10 shows P </w:t>
      </w:r>
      <w:r w:rsidR="00ED2537" w:rsidRPr="00ED2537">
        <w:rPr>
          <w:rFonts w:ascii="Times New Roman" w:eastAsia="Times New Roman" w:hAnsi="Times New Roman" w:cs="Times New Roman"/>
          <w:sz w:val="24"/>
        </w:rPr>
        <w:t>influx versus time</w:t>
      </w:r>
      <w:r w:rsidR="00ED2537" w:rsidRPr="00A57EFF">
        <w:rPr>
          <w:rFonts w:ascii="Times New Roman" w:hAnsi="Times New Roman"/>
          <w:sz w:val="24"/>
        </w:rPr>
        <w:t xml:space="preserve"> for a range of citrate exudation rates</w:t>
      </w:r>
      <w:r w:rsidRPr="00A57EFF">
        <w:rPr>
          <w:rFonts w:ascii="Times New Roman" w:hAnsi="Times New Roman"/>
          <w:sz w:val="24"/>
        </w:rPr>
        <w:t>.</w:t>
      </w:r>
      <w:r w:rsidRPr="00AA6F1F">
        <w:rPr>
          <w:rFonts w:ascii="Times New Roman" w:eastAsia="Times New Roman" w:hAnsi="Times New Roman" w:cs="Times New Roman"/>
          <w:sz w:val="24"/>
        </w:rPr>
        <w:t xml:space="preserve"> Microdialysis probe and root P uptake dynamics remained similar for a range of citrate exudation quantities. Furthermore, uptake dynamics changed drastically as more citrate was exuded into the soil. </w:t>
      </w:r>
      <w:r w:rsidRPr="00A57EFF">
        <w:rPr>
          <w:rFonts w:ascii="Times New Roman" w:hAnsi="Times New Roman"/>
          <w:sz w:val="24"/>
        </w:rPr>
        <w:t xml:space="preserve"> When enough citrate is exuded into the soil, large increases in P influx can be obtained for both a root and microdialysis probe.</w:t>
      </w:r>
    </w:p>
    <w:p w:rsidR="00AA6F1F" w:rsidRPr="00A57EFF" w:rsidRDefault="00AA6F1F" w:rsidP="00A57EFF">
      <w:pPr>
        <w:spacing w:before="240" w:after="200" w:line="480" w:lineRule="auto"/>
        <w:rPr>
          <w:rFonts w:ascii="Times New Roman" w:hAnsi="Times New Roman"/>
          <w:sz w:val="24"/>
        </w:rPr>
      </w:pPr>
      <w:r w:rsidRPr="00A57EFF">
        <w:rPr>
          <w:rFonts w:ascii="Times New Roman" w:hAnsi="Times New Roman"/>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A6F1F" w:rsidRPr="00AA6F1F" w:rsidTr="00AB3042">
        <w:tc>
          <w:tcPr>
            <w:tcW w:w="9016" w:type="dxa"/>
          </w:tcPr>
          <w:p w:rsidR="00AA6F1F" w:rsidRPr="00A57EFF" w:rsidRDefault="00AA6F1F" w:rsidP="00AA6F1F">
            <w:pPr>
              <w:spacing w:line="480" w:lineRule="auto"/>
              <w:jc w:val="center"/>
              <w:rPr>
                <w:rFonts w:ascii="Times New Roman" w:hAnsi="Times New Roman"/>
                <w:sz w:val="24"/>
              </w:rPr>
            </w:pPr>
            <w:r w:rsidRPr="00AA6F1F">
              <w:rPr>
                <w:rFonts w:ascii="Times New Roman" w:hAnsi="Times New Roman"/>
                <w:noProof/>
                <w:sz w:val="24"/>
                <w:szCs w:val="24"/>
                <w:lang w:eastAsia="en-GB"/>
              </w:rPr>
              <w:drawing>
                <wp:inline distT="0" distB="0" distL="0" distR="0">
                  <wp:extent cx="5724525" cy="2438400"/>
                  <wp:effectExtent l="0" t="0" r="9525" b="0"/>
                  <wp:docPr id="14" name="Picture 14" descr="PinV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PinVsTim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2438400"/>
                          </a:xfrm>
                          <a:prstGeom prst="rect">
                            <a:avLst/>
                          </a:prstGeom>
                          <a:noFill/>
                          <a:ln>
                            <a:noFill/>
                          </a:ln>
                        </pic:spPr>
                      </pic:pic>
                    </a:graphicData>
                  </a:graphic>
                </wp:inline>
              </w:drawing>
            </w:r>
          </w:p>
        </w:tc>
      </w:tr>
      <w:tr w:rsidR="00AA6F1F" w:rsidRPr="00AA6F1F" w:rsidTr="00AB3042">
        <w:tc>
          <w:tcPr>
            <w:tcW w:w="9016" w:type="dxa"/>
          </w:tcPr>
          <w:p w:rsidR="00AA6F1F" w:rsidRPr="00A57EFF" w:rsidRDefault="00AA6F1F" w:rsidP="00AA6F1F">
            <w:pPr>
              <w:spacing w:line="480" w:lineRule="auto"/>
              <w:jc w:val="center"/>
              <w:rPr>
                <w:rFonts w:ascii="Times New Roman" w:hAnsi="Times New Roman"/>
                <w:i/>
                <w:sz w:val="20"/>
              </w:rPr>
            </w:pPr>
            <w:r w:rsidRPr="00A57EFF">
              <w:rPr>
                <w:rFonts w:ascii="Times New Roman" w:hAnsi="Times New Roman"/>
                <w:b/>
                <w:sz w:val="20"/>
              </w:rPr>
              <w:t>Fig. 9</w:t>
            </w:r>
            <w:r w:rsidRPr="00A57EFF">
              <w:rPr>
                <w:rFonts w:ascii="Times New Roman" w:hAnsi="Times New Roman"/>
                <w:i/>
                <w:sz w:val="20"/>
              </w:rPr>
              <w:t xml:space="preserve"> </w:t>
            </w:r>
            <w:r w:rsidRPr="00A57EFF">
              <w:rPr>
                <w:rFonts w:ascii="Times New Roman" w:hAnsi="Times New Roman"/>
                <w:sz w:val="20"/>
              </w:rPr>
              <w:t xml:space="preserve">P influx per surface area in a model root and microdialysis probe with and without citrate exudation. a) In the microdialysis probe model the concentration of citrate in the perfusate is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C</m:t>
                  </m:r>
                </m:e>
                <m:sub>
                  <m:r>
                    <m:rPr>
                      <m:sty m:val="p"/>
                    </m:rPr>
                    <w:rPr>
                      <w:rFonts w:ascii="Cambria Math" w:eastAsia="Times New Roman" w:hAnsi="Cambria Math" w:cs="Times New Roman"/>
                      <w:sz w:val="20"/>
                      <w:szCs w:val="20"/>
                    </w:rPr>
                    <m:t>0</m:t>
                  </m:r>
                </m:sub>
              </m:sSub>
              <m:r>
                <m:rPr>
                  <m:sty m:val="p"/>
                </m:rPr>
                <w:rPr>
                  <w:rFonts w:ascii="Cambria Math" w:eastAsia="Times New Roman" w:hAnsi="Cambria Math" w:cs="Times New Roman"/>
                  <w:sz w:val="20"/>
                  <w:szCs w:val="20"/>
                </w:rPr>
                <m:t>=10.48</m:t>
              </m:r>
            </m:oMath>
            <w:r w:rsidRPr="00A57EFF">
              <w:rPr>
                <w:rFonts w:ascii="Times New Roman" w:hAnsi="Times New Roman"/>
                <w:sz w:val="20"/>
              </w:rPr>
              <w:t xml:space="preserve"> µ</w:t>
            </w:r>
            <w:r w:rsidRPr="00A57EFF">
              <w:rPr>
                <w:rFonts w:ascii="Times New Roman" w:hAnsi="Times New Roman"/>
                <w:i/>
                <w:sz w:val="20"/>
              </w:rPr>
              <w:t>M</w:t>
            </w:r>
            <w:r w:rsidRPr="00A57EFF">
              <w:rPr>
                <w:rFonts w:ascii="Times New Roman" w:hAnsi="Times New Roman"/>
                <w:sz w:val="20"/>
              </w:rPr>
              <w:t xml:space="preserve">, which produces similar citrate exudation to the root model with exudation rate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F</m:t>
                  </m:r>
                </m:e>
                <m:sub>
                  <m:r>
                    <m:rPr>
                      <m:sty m:val="p"/>
                    </m:rPr>
                    <w:rPr>
                      <w:rFonts w:ascii="Cambria Math" w:eastAsia="Times New Roman" w:hAnsi="Cambria Math" w:cs="Times New Roman"/>
                      <w:sz w:val="20"/>
                      <w:szCs w:val="20"/>
                    </w:rPr>
                    <m:t>C</m:t>
                  </m:r>
                </m:sub>
              </m:sSub>
              <m:r>
                <m:rPr>
                  <m:sty m:val="p"/>
                </m:rPr>
                <w:rPr>
                  <w:rFonts w:ascii="Cambria Math" w:eastAsia="Times New Roman" w:hAnsi="Cambria Math" w:cs="Times New Roman"/>
                  <w:sz w:val="20"/>
                  <w:szCs w:val="20"/>
                </w:rPr>
                <m:t>=4.7894×</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rPr>
                    <m:t>10</m:t>
                  </m:r>
                </m:e>
                <m:sup>
                  <m:r>
                    <m:rPr>
                      <m:sty m:val="p"/>
                    </m:rPr>
                    <w:rPr>
                      <w:rFonts w:ascii="Cambria Math" w:eastAsia="Times New Roman" w:hAnsi="Cambria Math" w:cs="Times New Roman"/>
                      <w:sz w:val="20"/>
                      <w:szCs w:val="20"/>
                    </w:rPr>
                    <m:t>-3</m:t>
                  </m:r>
                </m:sup>
              </m:sSup>
            </m:oMath>
            <w:r w:rsidRPr="00A57EFF">
              <w:rPr>
                <w:rFonts w:ascii="Times New Roman" w:hAnsi="Times New Roman"/>
                <w:sz w:val="20"/>
              </w:rPr>
              <w:t xml:space="preserve"> µmol m</w:t>
            </w:r>
            <w:r w:rsidRPr="00A57EFF">
              <w:rPr>
                <w:rFonts w:ascii="Times New Roman" w:hAnsi="Times New Roman"/>
                <w:sz w:val="20"/>
                <w:vertAlign w:val="superscript"/>
              </w:rPr>
              <w:t>-2</w:t>
            </w:r>
            <w:r w:rsidRPr="00A57EFF">
              <w:rPr>
                <w:rFonts w:ascii="Times New Roman" w:hAnsi="Times New Roman"/>
                <w:sz w:val="20"/>
              </w:rPr>
              <w:t xml:space="preserve"> s</w:t>
            </w:r>
            <w:r w:rsidRPr="00A57EFF">
              <w:rPr>
                <w:rFonts w:ascii="Times New Roman" w:hAnsi="Times New Roman"/>
                <w:sz w:val="20"/>
                <w:vertAlign w:val="superscript"/>
              </w:rPr>
              <w:t>-1</w:t>
            </w:r>
            <w:r w:rsidRPr="00A57EFF">
              <w:rPr>
                <w:rFonts w:ascii="Times New Roman" w:hAnsi="Times New Roman"/>
                <w:sz w:val="20"/>
              </w:rPr>
              <w:t xml:space="preserve">, typical for a rape root. </w:t>
            </w:r>
            <w:r w:rsidRPr="00AA6F1F">
              <w:rPr>
                <w:rFonts w:ascii="Times New Roman" w:eastAsia="Times New Roman" w:hAnsi="Times New Roman" w:cs="Times New Roman"/>
                <w:sz w:val="20"/>
                <w:szCs w:val="20"/>
              </w:rPr>
              <w:t xml:space="preserve">The no exudation cases overlap the exudation cases. </w:t>
            </w:r>
            <w:r w:rsidRPr="00A57EFF">
              <w:rPr>
                <w:rFonts w:ascii="Times New Roman" w:hAnsi="Times New Roman"/>
                <w:sz w:val="20"/>
              </w:rPr>
              <w:t xml:space="preserve">b) In the microdialysis probe model the concentration of citrate in the perfusate is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C</m:t>
                  </m:r>
                </m:e>
                <m:sub>
                  <m:r>
                    <m:rPr>
                      <m:sty m:val="p"/>
                    </m:rPr>
                    <w:rPr>
                      <w:rFonts w:ascii="Cambria Math" w:eastAsia="Times New Roman" w:hAnsi="Cambria Math" w:cs="Times New Roman"/>
                      <w:sz w:val="20"/>
                      <w:szCs w:val="20"/>
                    </w:rPr>
                    <m:t>0</m:t>
                  </m:r>
                </m:sub>
              </m:sSub>
              <m:r>
                <m:rPr>
                  <m:sty m:val="p"/>
                </m:rPr>
                <w:rPr>
                  <w:rFonts w:ascii="Cambria Math" w:eastAsia="Times New Roman" w:hAnsi="Cambria Math" w:cs="Times New Roman"/>
                  <w:sz w:val="20"/>
                  <w:szCs w:val="20"/>
                </w:rPr>
                <m:t>=50000</m:t>
              </m:r>
            </m:oMath>
            <w:r w:rsidRPr="00A57EFF">
              <w:rPr>
                <w:rFonts w:ascii="Times New Roman" w:hAnsi="Times New Roman"/>
                <w:sz w:val="20"/>
              </w:rPr>
              <w:t xml:space="preserve"> µ</w:t>
            </w:r>
            <w:r w:rsidRPr="00A57EFF">
              <w:rPr>
                <w:rFonts w:ascii="Times New Roman" w:hAnsi="Times New Roman"/>
                <w:i/>
                <w:sz w:val="20"/>
              </w:rPr>
              <w:t>M</w:t>
            </w:r>
            <w:r w:rsidRPr="00A57EFF">
              <w:rPr>
                <w:rFonts w:ascii="Times New Roman" w:hAnsi="Times New Roman"/>
                <w:sz w:val="20"/>
              </w:rPr>
              <w:t xml:space="preserve">, which produces similar exudation to the root model with exudation rate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F</m:t>
                  </m:r>
                </m:e>
                <m:sub>
                  <m:r>
                    <m:rPr>
                      <m:sty m:val="p"/>
                    </m:rPr>
                    <w:rPr>
                      <w:rFonts w:ascii="Cambria Math" w:eastAsia="Times New Roman" w:hAnsi="Cambria Math" w:cs="Times New Roman"/>
                      <w:sz w:val="20"/>
                      <w:szCs w:val="20"/>
                    </w:rPr>
                    <m:t>C</m:t>
                  </m:r>
                </m:sub>
              </m:sSub>
              <m:r>
                <m:rPr>
                  <m:sty m:val="p"/>
                </m:rPr>
                <w:rPr>
                  <w:rFonts w:ascii="Cambria Math" w:eastAsia="Times New Roman" w:hAnsi="Cambria Math" w:cs="Times New Roman"/>
                  <w:sz w:val="20"/>
                  <w:szCs w:val="20"/>
                </w:rPr>
                <m:t>=21.25</m:t>
              </m:r>
            </m:oMath>
            <w:r w:rsidRPr="00A57EFF">
              <w:rPr>
                <w:rFonts w:ascii="Times New Roman" w:hAnsi="Times New Roman"/>
                <w:sz w:val="20"/>
              </w:rPr>
              <w:t xml:space="preserve"> µmol m</w:t>
            </w:r>
            <w:r w:rsidRPr="00A57EFF">
              <w:rPr>
                <w:rFonts w:ascii="Times New Roman" w:hAnsi="Times New Roman"/>
                <w:sz w:val="20"/>
                <w:vertAlign w:val="superscript"/>
              </w:rPr>
              <w:t>-2</w:t>
            </w:r>
            <w:r w:rsidRPr="00A57EFF">
              <w:rPr>
                <w:rFonts w:ascii="Times New Roman" w:hAnsi="Times New Roman"/>
                <w:sz w:val="20"/>
              </w:rPr>
              <w:t xml:space="preserve"> s</w:t>
            </w:r>
            <w:r w:rsidRPr="00A57EFF">
              <w:rPr>
                <w:rFonts w:ascii="Times New Roman" w:hAnsi="Times New Roman"/>
                <w:sz w:val="20"/>
                <w:vertAlign w:val="superscript"/>
              </w:rPr>
              <w:t>-1</w:t>
            </w:r>
          </w:p>
        </w:tc>
      </w:tr>
    </w:tbl>
    <w:p w:rsidR="00AA6F1F" w:rsidRPr="00A57EFF" w:rsidRDefault="00AA6F1F" w:rsidP="00A57EFF">
      <w:pPr>
        <w:spacing w:after="200" w:line="480" w:lineRule="auto"/>
        <w:rPr>
          <w:rFonts w:ascii="Times New Roman" w:hAnsi="Times New Roman"/>
          <w:sz w:val="24"/>
        </w:rPr>
      </w:pPr>
    </w:p>
    <w:p w:rsidR="00AA6F1F" w:rsidRPr="00A57EFF" w:rsidRDefault="00AA6F1F" w:rsidP="00A57EFF">
      <w:pPr>
        <w:spacing w:after="200" w:line="480" w:lineRule="auto"/>
        <w:rPr>
          <w:rFonts w:ascii="Times New Roman" w:hAnsi="Times New Roman"/>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AA6F1F" w:rsidRPr="00AA6F1F" w:rsidTr="00AB3042">
        <w:tc>
          <w:tcPr>
            <w:tcW w:w="9016" w:type="dxa"/>
          </w:tcPr>
          <w:p w:rsidR="00AA6F1F" w:rsidRPr="00A57EFF" w:rsidRDefault="00F90847" w:rsidP="00AA6F1F">
            <w:pPr>
              <w:spacing w:line="480" w:lineRule="auto"/>
              <w:jc w:val="center"/>
              <w:rPr>
                <w:rFonts w:ascii="Times New Roman" w:hAnsi="Times New Roman"/>
                <w:sz w:val="24"/>
              </w:rPr>
            </w:pPr>
            <w:r>
              <w:rPr>
                <w:rFonts w:ascii="Times New Roman" w:hAnsi="Times New Roman"/>
                <w:noProof/>
                <w:sz w:val="24"/>
                <w:szCs w:val="24"/>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20pt;height:661.5pt">
                  <v:imagedata r:id="rId18" o:title="Fig10"/>
                </v:shape>
              </w:pict>
            </w:r>
          </w:p>
        </w:tc>
      </w:tr>
      <w:tr w:rsidR="00AA6F1F" w:rsidRPr="00AA6F1F" w:rsidTr="00AB3042">
        <w:tc>
          <w:tcPr>
            <w:tcW w:w="9016" w:type="dxa"/>
          </w:tcPr>
          <w:p w:rsidR="00AA6F1F" w:rsidRPr="00A57EFF" w:rsidRDefault="00AA6F1F" w:rsidP="00AA6F1F">
            <w:pPr>
              <w:spacing w:line="480" w:lineRule="auto"/>
              <w:jc w:val="center"/>
              <w:rPr>
                <w:rFonts w:ascii="Times New Roman" w:hAnsi="Times New Roman"/>
                <w:i/>
                <w:sz w:val="20"/>
              </w:rPr>
            </w:pPr>
            <w:r w:rsidRPr="00A57EFF">
              <w:rPr>
                <w:rFonts w:ascii="Times New Roman" w:hAnsi="Times New Roman"/>
                <w:b/>
                <w:sz w:val="20"/>
              </w:rPr>
              <w:t>Fig. 10</w:t>
            </w:r>
            <w:r w:rsidRPr="00A57EFF">
              <w:rPr>
                <w:rFonts w:ascii="Times New Roman" w:hAnsi="Times New Roman"/>
                <w:i/>
                <w:sz w:val="20"/>
              </w:rPr>
              <w:t xml:space="preserve"> </w:t>
            </w:r>
            <w:r w:rsidRPr="00A57EFF">
              <w:rPr>
                <w:rFonts w:ascii="Times New Roman" w:hAnsi="Times New Roman"/>
                <w:sz w:val="20"/>
              </w:rPr>
              <w:t xml:space="preserve">Heat map showing P influx per surface area against time and total amount of citrate exuded into the soil over 12 hours for both a model root and microdialysis probe. The increasing exudation total are evaluated by solving the Probe and Root models with increasing values of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C</m:t>
                  </m:r>
                </m:e>
                <m:sub>
                  <m:r>
                    <w:rPr>
                      <w:rFonts w:ascii="Cambria Math" w:eastAsia="Times New Roman" w:hAnsi="Cambria Math" w:cs="Times New Roman"/>
                      <w:sz w:val="20"/>
                      <w:szCs w:val="20"/>
                    </w:rPr>
                    <m:t>0</m:t>
                  </m:r>
                </m:sub>
              </m:sSub>
            </m:oMath>
            <w:r w:rsidRPr="00A57EFF">
              <w:rPr>
                <w:rFonts w:ascii="Times New Roman" w:hAnsi="Times New Roman"/>
                <w:sz w:val="20"/>
              </w:rPr>
              <w:t xml:space="preserve"> and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F</m:t>
                  </m:r>
                </m:e>
                <m:sub>
                  <m:r>
                    <w:rPr>
                      <w:rFonts w:ascii="Cambria Math" w:eastAsia="Times New Roman" w:hAnsi="Cambria Math" w:cs="Times New Roman"/>
                      <w:sz w:val="20"/>
                      <w:szCs w:val="20"/>
                    </w:rPr>
                    <m:t>c</m:t>
                  </m:r>
                </m:sub>
              </m:sSub>
            </m:oMath>
            <w:r w:rsidRPr="00A57EFF">
              <w:rPr>
                <w:rFonts w:ascii="Times New Roman" w:hAnsi="Times New Roman"/>
                <w:sz w:val="20"/>
              </w:rPr>
              <w:t xml:space="preserve"> respectively</w:t>
            </w:r>
          </w:p>
        </w:tc>
      </w:tr>
    </w:tbl>
    <w:p w:rsidR="00AA6F1F" w:rsidRPr="00A57EFF" w:rsidRDefault="00AA6F1F" w:rsidP="00A57EFF">
      <w:pPr>
        <w:spacing w:after="200" w:line="480" w:lineRule="auto"/>
        <w:rPr>
          <w:rFonts w:ascii="Times New Roman" w:hAnsi="Times New Roman"/>
          <w:sz w:val="24"/>
        </w:rPr>
      </w:pPr>
    </w:p>
    <w:p w:rsidR="00AA6F1F" w:rsidRPr="00A57EFF" w:rsidRDefault="00AA6F1F" w:rsidP="00A57EFF">
      <w:pPr>
        <w:spacing w:after="200" w:line="480" w:lineRule="auto"/>
        <w:rPr>
          <w:rFonts w:ascii="Times New Roman" w:hAnsi="Times New Roman"/>
          <w:b/>
          <w:sz w:val="24"/>
        </w:rPr>
      </w:pPr>
      <w:r w:rsidRPr="00A57EFF">
        <w:rPr>
          <w:rFonts w:ascii="Times New Roman" w:hAnsi="Times New Roman"/>
          <w:b/>
          <w:sz w:val="24"/>
        </w:rPr>
        <w:t>Under what soil conditions is citrate important?</w:t>
      </w:r>
    </w:p>
    <w:p w:rsidR="00AA6F1F" w:rsidRPr="00A57EFF" w:rsidRDefault="00AA6F1F" w:rsidP="00A57EFF">
      <w:pPr>
        <w:spacing w:after="200" w:line="480" w:lineRule="auto"/>
        <w:rPr>
          <w:rFonts w:ascii="Times New Roman" w:hAnsi="Times New Roman"/>
          <w:sz w:val="24"/>
        </w:rPr>
      </w:pPr>
      <w:r w:rsidRPr="00A57EFF">
        <w:rPr>
          <w:rFonts w:ascii="Times New Roman" w:hAnsi="Times New Roman"/>
          <w:sz w:val="24"/>
        </w:rPr>
        <w:t>The buffer power and biodegradation rate were varied to determine which soil conditions citrate exudation is important for P absorption. Fig. 11a shows the percentage difference in P absorbed when comparing an exuding root to a non-exuding root when the citrate biodegradation rate is varied. Fig. 11b shows the same when buffer power is varied. Percentage additional P absorbed decreases exponentially in citrate biodegradation and increases linearly in buffer power</w:t>
      </w:r>
      <w:r w:rsidR="00462A19">
        <w:rPr>
          <w:rFonts w:ascii="Times New Roman" w:eastAsia="Times New Roman" w:hAnsi="Times New Roman" w:cs="Times New Roman"/>
          <w:sz w:val="24"/>
        </w:rPr>
        <w:t xml:space="preserve"> (notice the y axis in Fig11 are logarithmic)</w:t>
      </w:r>
      <w:r w:rsidRPr="00AA6F1F">
        <w:rPr>
          <w:rFonts w:ascii="Times New Roman" w:eastAsia="Times New Roman" w:hAnsi="Times New Roman" w:cs="Times New Roman"/>
          <w:sz w:val="24"/>
        </w:rPr>
        <w:t>.</w:t>
      </w:r>
      <w:r w:rsidRPr="00A57EFF">
        <w:rPr>
          <w:rFonts w:ascii="Times New Roman" w:hAnsi="Times New Roman"/>
          <w:sz w:val="24"/>
        </w:rPr>
        <w:t xml:space="preserve">  Error from the numerical scheme is evident due to the small relative changes (relative error of the method is </w:t>
      </w:r>
      <w:r w:rsidRPr="00AA6F1F">
        <w:rPr>
          <w:rFonts w:ascii="Times New Roman" w:eastAsia="Times New Roman" w:hAnsi="Times New Roman" w:cs="Times New Roman"/>
          <w:sz w:val="24"/>
        </w:rPr>
        <w:t xml:space="preserve">at most </w:t>
      </w:r>
      <w:r w:rsidRPr="00A57EFF">
        <w:rPr>
          <w:rFonts w:ascii="Times New Roman" w:hAnsi="Times New Roman"/>
          <w:sz w:val="24"/>
        </w:rPr>
        <w:t>0.01%).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A6F1F" w:rsidRPr="00AA6F1F" w:rsidTr="00AB3042">
        <w:tc>
          <w:tcPr>
            <w:tcW w:w="9016" w:type="dxa"/>
          </w:tcPr>
          <w:p w:rsidR="00AA6F1F" w:rsidRPr="00A57EFF" w:rsidRDefault="00AA6F1F" w:rsidP="00AA6F1F">
            <w:pPr>
              <w:spacing w:line="480" w:lineRule="auto"/>
              <w:jc w:val="center"/>
              <w:rPr>
                <w:rFonts w:ascii="Times New Roman" w:hAnsi="Times New Roman"/>
                <w:sz w:val="24"/>
              </w:rPr>
            </w:pPr>
            <w:r w:rsidRPr="00AA6F1F">
              <w:rPr>
                <w:rFonts w:ascii="Times New Roman" w:eastAsia="Calibri" w:hAnsi="Times New Roman"/>
                <w:noProof/>
                <w:sz w:val="24"/>
                <w:lang w:eastAsia="en-GB"/>
              </w:rPr>
              <w:drawing>
                <wp:inline distT="0" distB="0" distL="0" distR="0">
                  <wp:extent cx="5715000" cy="2419350"/>
                  <wp:effectExtent l="0" t="0" r="0" b="0"/>
                  <wp:docPr id="12" name="Picture 12" descr="soil_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soil_conditi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2419350"/>
                          </a:xfrm>
                          <a:prstGeom prst="rect">
                            <a:avLst/>
                          </a:prstGeom>
                          <a:noFill/>
                          <a:ln>
                            <a:noFill/>
                          </a:ln>
                        </pic:spPr>
                      </pic:pic>
                    </a:graphicData>
                  </a:graphic>
                </wp:inline>
              </w:drawing>
            </w:r>
          </w:p>
        </w:tc>
      </w:tr>
      <w:tr w:rsidR="00AA6F1F" w:rsidRPr="00AA6F1F" w:rsidTr="00AB3042">
        <w:tc>
          <w:tcPr>
            <w:tcW w:w="9016" w:type="dxa"/>
          </w:tcPr>
          <w:p w:rsidR="00AA6F1F" w:rsidRPr="00A57EFF" w:rsidRDefault="00AA6F1F" w:rsidP="00AA6F1F">
            <w:pPr>
              <w:spacing w:line="480" w:lineRule="auto"/>
              <w:jc w:val="both"/>
              <w:rPr>
                <w:rFonts w:ascii="Times New Roman" w:hAnsi="Times New Roman"/>
                <w:i/>
                <w:sz w:val="20"/>
              </w:rPr>
            </w:pPr>
            <w:r w:rsidRPr="00A57EFF">
              <w:rPr>
                <w:rFonts w:ascii="Times New Roman" w:hAnsi="Times New Roman"/>
                <w:b/>
                <w:sz w:val="20"/>
              </w:rPr>
              <w:t>Fig. 11</w:t>
            </w:r>
            <w:r w:rsidRPr="00A57EFF">
              <w:rPr>
                <w:rFonts w:ascii="Times New Roman" w:hAnsi="Times New Roman"/>
                <w:i/>
                <w:sz w:val="20"/>
              </w:rPr>
              <w:t xml:space="preserve"> </w:t>
            </w:r>
            <w:r w:rsidRPr="00A57EFF">
              <w:rPr>
                <w:rFonts w:ascii="Times New Roman" w:hAnsi="Times New Roman"/>
                <w:sz w:val="20"/>
              </w:rPr>
              <w:t xml:space="preserve">Plots of percentage additional P absorbed due to citrate when compared to a non-exuding root, a) when citrate biodegradation, </w:t>
            </w:r>
            <m:oMath>
              <m:r>
                <m:rPr>
                  <m:sty m:val="p"/>
                </m:rPr>
                <w:rPr>
                  <w:rFonts w:ascii="Cambria Math" w:eastAsia="Calibri" w:hAnsi="Cambria Math" w:cs="Times New Roman"/>
                  <w:sz w:val="20"/>
                  <w:szCs w:val="20"/>
                </w:rPr>
                <m:t>λ</m:t>
              </m:r>
            </m:oMath>
            <w:r w:rsidRPr="00A57EFF">
              <w:rPr>
                <w:rFonts w:ascii="Times New Roman" w:hAnsi="Times New Roman"/>
                <w:sz w:val="20"/>
              </w:rPr>
              <w:t xml:space="preserve"> was increased from </w:t>
            </w:r>
            <m:oMath>
              <m:r>
                <m:rPr>
                  <m:sty m:val="p"/>
                </m:rPr>
                <w:rPr>
                  <w:rFonts w:ascii="Cambria Math" w:eastAsia="Calibri" w:hAnsi="Cambria Math" w:cs="Times New Roman"/>
                  <w:sz w:val="20"/>
                  <w:szCs w:val="20"/>
                </w:rPr>
                <m:t>0</m:t>
              </m:r>
            </m:oMath>
            <w:r w:rsidRPr="00A57EFF">
              <w:rPr>
                <w:rFonts w:ascii="Times New Roman" w:hAnsi="Times New Roman"/>
                <w:sz w:val="20"/>
              </w:rPr>
              <w:t xml:space="preserve">, b) when P buffer power, </w:t>
            </w:r>
            <m:oMath>
              <m:r>
                <m:rPr>
                  <m:sty m:val="p"/>
                </m:rPr>
                <w:rPr>
                  <w:rFonts w:ascii="Cambria Math" w:eastAsia="Times New Roman" w:hAnsi="Cambria Math" w:cs="Times New Roman"/>
                  <w:sz w:val="20"/>
                  <w:szCs w:val="20"/>
                </w:rPr>
                <m:t>b</m:t>
              </m:r>
            </m:oMath>
            <w:r w:rsidRPr="00A57EFF">
              <w:rPr>
                <w:rFonts w:ascii="Times New Roman" w:hAnsi="Times New Roman"/>
                <w:sz w:val="20"/>
              </w:rPr>
              <w:t xml:space="preserve"> was increased from 39.</w:t>
            </w:r>
          </w:p>
        </w:tc>
      </w:tr>
    </w:tbl>
    <w:p w:rsidR="00AA6F1F" w:rsidRPr="00A57EFF" w:rsidRDefault="00AA6F1F" w:rsidP="00A57EFF">
      <w:pPr>
        <w:tabs>
          <w:tab w:val="left" w:pos="6215"/>
        </w:tabs>
        <w:spacing w:after="200" w:line="480" w:lineRule="auto"/>
        <w:rPr>
          <w:rFonts w:ascii="Times New Roman" w:hAnsi="Times New Roman"/>
          <w:sz w:val="24"/>
        </w:rPr>
      </w:pPr>
    </w:p>
    <w:p w:rsidR="00AA6F1F" w:rsidRPr="00A57EFF" w:rsidRDefault="00AA6F1F" w:rsidP="00A57EFF">
      <w:pPr>
        <w:keepNext/>
        <w:keepLines/>
        <w:spacing w:before="240" w:after="0" w:line="480" w:lineRule="auto"/>
        <w:outlineLvl w:val="0"/>
        <w:rPr>
          <w:rFonts w:ascii="Times New Roman" w:hAnsi="Times New Roman"/>
          <w:color w:val="365F91"/>
          <w:sz w:val="32"/>
        </w:rPr>
      </w:pPr>
      <w:r w:rsidRPr="00A57EFF">
        <w:rPr>
          <w:rFonts w:ascii="Times New Roman" w:hAnsi="Times New Roman"/>
          <w:color w:val="365F91"/>
          <w:sz w:val="32"/>
        </w:rPr>
        <w:t>Discussion</w:t>
      </w:r>
    </w:p>
    <w:p w:rsidR="00AA6F1F" w:rsidRPr="00A57EFF" w:rsidRDefault="00AA6F1F" w:rsidP="00AA6F1F">
      <w:pPr>
        <w:spacing w:after="0" w:line="480" w:lineRule="auto"/>
        <w:rPr>
          <w:rFonts w:ascii="Times New Roman" w:hAnsi="Times New Roman"/>
          <w:b/>
          <w:sz w:val="24"/>
        </w:rPr>
      </w:pPr>
      <w:r w:rsidRPr="00A57EFF">
        <w:rPr>
          <w:rFonts w:ascii="Times New Roman" w:hAnsi="Times New Roman"/>
          <w:b/>
          <w:sz w:val="24"/>
        </w:rPr>
        <w:t>Modelling P mobilisation by citrate in soil</w:t>
      </w:r>
    </w:p>
    <w:p w:rsidR="00AA6F1F" w:rsidRPr="00A57EFF" w:rsidRDefault="00AA6F1F" w:rsidP="00AA6F1F">
      <w:pPr>
        <w:spacing w:after="0" w:line="480" w:lineRule="auto"/>
        <w:rPr>
          <w:rFonts w:ascii="Times New Roman" w:hAnsi="Times New Roman"/>
          <w:sz w:val="24"/>
        </w:rPr>
      </w:pPr>
      <w:r w:rsidRPr="00A57EFF">
        <w:rPr>
          <w:rFonts w:ascii="Times New Roman" w:hAnsi="Times New Roman"/>
          <w:sz w:val="24"/>
        </w:rPr>
        <w:t xml:space="preserve">The model proposed here introduces a parameter </w:t>
      </w:r>
      <w:r w:rsidRPr="00AA6F1F">
        <w:rPr>
          <w:rFonts w:ascii="Times New Roman" w:eastAsia="Calibri" w:hAnsi="Times New Roman" w:cs="Times New Roman"/>
          <w:sz w:val="24"/>
          <w:szCs w:val="24"/>
        </w:rPr>
        <w:t>(</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3</m:t>
            </m:r>
          </m:sub>
        </m:sSub>
      </m:oMath>
      <w:r w:rsidRPr="00AA6F1F">
        <w:rPr>
          <w:rFonts w:ascii="Times New Roman" w:eastAsia="Times New Roman" w:hAnsi="Times New Roman" w:cs="Times New Roman"/>
          <w:sz w:val="24"/>
          <w:szCs w:val="24"/>
        </w:rPr>
        <w:t>)</w:t>
      </w:r>
      <w:r w:rsidRPr="00AA6F1F">
        <w:rPr>
          <w:rFonts w:ascii="Times New Roman" w:eastAsia="Calibri" w:hAnsi="Times New Roman" w:cs="Times New Roman"/>
          <w:sz w:val="24"/>
          <w:szCs w:val="24"/>
        </w:rPr>
        <w:t xml:space="preserve"> </w:t>
      </w:r>
      <w:r w:rsidRPr="00A57EFF">
        <w:rPr>
          <w:rFonts w:ascii="Times New Roman" w:hAnsi="Times New Roman"/>
          <w:sz w:val="24"/>
        </w:rPr>
        <w:t xml:space="preserve">which controls the rate of mobilisation of soil phosphate by citrate. This </w:t>
      </w:r>
      <w:r w:rsidRPr="00AA6F1F">
        <w:rPr>
          <w:rFonts w:ascii="Times New Roman" w:eastAsia="Calibri" w:hAnsi="Times New Roman" w:cs="Times New Roman"/>
          <w:sz w:val="24"/>
          <w:szCs w:val="24"/>
        </w:rPr>
        <w:t>was</w:t>
      </w:r>
      <w:r w:rsidRPr="00A57EFF">
        <w:rPr>
          <w:rFonts w:ascii="Times New Roman" w:hAnsi="Times New Roman"/>
          <w:sz w:val="24"/>
        </w:rPr>
        <w:t xml:space="preserve"> similar to parameters found in many other soil P mobilisation models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&lt;EndNote&gt;&lt;Cite&gt;&lt;Author&gt;Zygalakis&lt;/Author&gt;&lt;Year&gt;2012&lt;/Year&gt;&lt;RecNum&gt;16&lt;/RecNum&gt;&lt;DisplayText&gt;(Gerke et al. 2000a; Zygalakis and Roose 2012)&lt;/DisplayText&gt;&lt;record&gt;&lt;rec-number&gt;16&lt;/rec-number&gt;&lt;foreign-keys&gt;&lt;key app="EN" db-id="0sapex5pfwrt05ep5w3x2zd0tdt9050e5fax" timestamp="1454061516"&gt;16&lt;/key&gt;&lt;/foreign-keys&gt;&lt;ref-type name="Journal Article"&gt;17&lt;/ref-type&gt;&lt;contributors&gt;&lt;authors&gt;&lt;author&gt;Zygalakis, KC&lt;/author&gt;&lt;author&gt;Roose, T&lt;/author&gt;&lt;/authors&gt;&lt;/contributors&gt;&lt;titles&gt;&lt;title&gt;A mathematical model for investigating the effect of cluster roots on plant nutrient uptake&lt;/title&gt;&lt;secondary-title&gt;The European Physical Journal Special Topics&lt;/secondary-title&gt;&lt;/titles&gt;&lt;periodical&gt;&lt;full-title&gt;The European Physical Journal Special Topics&lt;/full-title&gt;&lt;/periodical&gt;&lt;pages&gt;103-118&lt;/pages&gt;&lt;volume&gt;204&lt;/volume&gt;&lt;number&gt;1&lt;/number&gt;&lt;dates&gt;&lt;year&gt;2012&lt;/year&gt;&lt;/dates&gt;&lt;isbn&gt;1951-6355&lt;/isbn&gt;&lt;urls&gt;&lt;/urls&gt;&lt;/record&gt;&lt;/Cite&gt;&lt;Cite&gt;&lt;Author&gt;Gerke&lt;/Author&gt;&lt;Year&gt;2000&lt;/Year&gt;&lt;RecNum&gt;17&lt;/RecNum&gt;&lt;record&gt;&lt;rec-number&gt;17&lt;/rec-number&gt;&lt;foreign-keys&gt;&lt;key app="EN" db-id="0sapex5pfwrt05ep5w3x2zd0tdt9050e5fax" timestamp="1455707624"&gt;17&lt;/key&gt;&lt;/foreign-keys&gt;&lt;ref-type name="Journal Article"&gt;17&lt;/ref-type&gt;&lt;contributors&gt;&lt;authors&gt;&lt;author&gt;Gerke, Jörg&lt;/author&gt;&lt;author&gt;Beißner, Lutz&lt;/author&gt;&lt;author&gt;Römer, Wilhelm&lt;/author&gt;&lt;/authors&gt;&lt;/contributors&gt;&lt;titles&gt;&lt;title&gt;The quantitative effect of chemical phosphate mobilization by carboxylate anions on P uptake by a single root. I. The basic concept and determination of soil parameters&lt;/title&gt;&lt;secondary-title&gt;Journal of Plant Nutrition and Soil Science&lt;/secondary-title&gt;&lt;/titles&gt;&lt;periodical&gt;&lt;full-title&gt;Journal of Plant Nutrition and Soil Science&lt;/full-title&gt;&lt;/periodical&gt;&lt;pages&gt;207-212&lt;/pages&gt;&lt;volume&gt;163&lt;/volume&gt;&lt;number&gt;2&lt;/number&gt;&lt;dates&gt;&lt;year&gt;2000&lt;/year&gt;&lt;/dates&gt;&lt;isbn&gt;1522-2624&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(Gerke et al. 2000a; Zygalakis and Roose 2012)</w:t>
      </w:r>
      <w:r w:rsidRPr="00A57EFF">
        <w:rPr>
          <w:rFonts w:ascii="Times New Roman" w:hAnsi="Times New Roman"/>
          <w:sz w:val="24"/>
        </w:rPr>
        <w:fldChar w:fldCharType="end"/>
      </w:r>
      <w:r w:rsidRPr="00A57EFF">
        <w:rPr>
          <w:rFonts w:ascii="Times New Roman" w:hAnsi="Times New Roman"/>
          <w:sz w:val="24"/>
        </w:rPr>
        <w:t xml:space="preserve">. Of critical importance, however, </w:t>
      </w:r>
      <w:r w:rsidRPr="00AA6F1F">
        <w:rPr>
          <w:rFonts w:ascii="Times New Roman" w:eastAsia="Calibri" w:hAnsi="Times New Roman" w:cs="Times New Roman"/>
          <w:sz w:val="24"/>
          <w:szCs w:val="24"/>
        </w:rPr>
        <w:t>was</w:t>
      </w:r>
      <w:r w:rsidRPr="00A57EFF">
        <w:rPr>
          <w:rFonts w:ascii="Times New Roman" w:hAnsi="Times New Roman"/>
          <w:sz w:val="24"/>
        </w:rPr>
        <w:t xml:space="preserve"> that we were able to experimentally derive this key parameter which had only previously been estimated from intuition. </w:t>
      </w:r>
      <w:r w:rsidRPr="00AA6F1F">
        <w:rPr>
          <w:rFonts w:ascii="Times New Roman" w:eastAsia="Calibri" w:hAnsi="Times New Roman" w:cs="Times New Roman"/>
          <w:sz w:val="24"/>
          <w:szCs w:val="24"/>
        </w:rPr>
        <w:t>Our</w:t>
      </w:r>
      <w:r w:rsidRPr="00A57EFF">
        <w:rPr>
          <w:rFonts w:ascii="Times New Roman" w:hAnsi="Times New Roman"/>
          <w:sz w:val="24"/>
        </w:rPr>
        <w:t xml:space="preserve"> model fitted well to the dynamic </w:t>
      </w:r>
      <w:r w:rsidRPr="00AA6F1F">
        <w:rPr>
          <w:rFonts w:ascii="Times New Roman" w:eastAsia="Calibri" w:hAnsi="Times New Roman" w:cs="Times New Roman"/>
          <w:sz w:val="24"/>
          <w:szCs w:val="24"/>
        </w:rPr>
        <w:t xml:space="preserve">data from the ‘P recovery from soil using </w:t>
      </w:r>
      <w:r w:rsidRPr="00A57EFF">
        <w:rPr>
          <w:rFonts w:ascii="Times New Roman" w:hAnsi="Times New Roman"/>
          <w:sz w:val="24"/>
        </w:rPr>
        <w:t xml:space="preserve">microdialysis </w:t>
      </w:r>
      <w:r w:rsidRPr="00AA6F1F">
        <w:rPr>
          <w:rFonts w:ascii="Times New Roman" w:eastAsia="Calibri" w:hAnsi="Times New Roman" w:cs="Times New Roman"/>
          <w:sz w:val="24"/>
          <w:szCs w:val="24"/>
        </w:rPr>
        <w:t xml:space="preserve">probes’ experiment when the concentration of the citrate in the perfusate was 0 or 1000 µM, and it fitted well to the cumulative behaviour of the </w:t>
      </w:r>
      <w:r w:rsidRPr="00A57EFF">
        <w:rPr>
          <w:rFonts w:ascii="Times New Roman" w:hAnsi="Times New Roman"/>
          <w:sz w:val="24"/>
        </w:rPr>
        <w:t xml:space="preserve">probe </w:t>
      </w:r>
      <w:r w:rsidRPr="00AA6F1F">
        <w:rPr>
          <w:rFonts w:ascii="Times New Roman" w:eastAsia="Calibri" w:hAnsi="Times New Roman" w:cs="Times New Roman"/>
          <w:sz w:val="24"/>
          <w:szCs w:val="24"/>
        </w:rPr>
        <w:t>when the concentration was 10000 µM.</w:t>
      </w:r>
      <w:r w:rsidRPr="00A57EFF" w:rsidDel="00F42BC3">
        <w:rPr>
          <w:rFonts w:ascii="Times New Roman" w:hAnsi="Times New Roman"/>
          <w:sz w:val="24"/>
        </w:rPr>
        <w:t xml:space="preserve"> </w:t>
      </w:r>
      <w:r w:rsidRPr="00A57EFF">
        <w:rPr>
          <w:rFonts w:ascii="Times New Roman" w:hAnsi="Times New Roman"/>
          <w:sz w:val="24"/>
        </w:rPr>
        <w:t>Thus</w:t>
      </w:r>
      <w:r w:rsidRPr="00AA6F1F">
        <w:rPr>
          <w:rFonts w:ascii="Times New Roman" w:eastAsia="Calibri" w:hAnsi="Times New Roman" w:cs="Times New Roman"/>
          <w:sz w:val="24"/>
          <w:szCs w:val="24"/>
        </w:rPr>
        <w:t>,</w:t>
      </w:r>
      <w:r w:rsidRPr="00A57EFF">
        <w:rPr>
          <w:rFonts w:ascii="Times New Roman" w:hAnsi="Times New Roman"/>
          <w:sz w:val="24"/>
        </w:rPr>
        <w:t xml:space="preserve"> we conclude that the mechanism of citrate enhanced P-desorption</w:t>
      </w:r>
      <w:r w:rsidRPr="00AA6F1F">
        <w:rPr>
          <w:rFonts w:ascii="Times New Roman" w:eastAsia="Calibri" w:hAnsi="Times New Roman" w:cs="Times New Roman"/>
          <w:sz w:val="24"/>
          <w:szCs w:val="24"/>
        </w:rPr>
        <w:t xml:space="preserve"> assumed in the model</w:t>
      </w:r>
      <w:r w:rsidRPr="00A57EFF">
        <w:rPr>
          <w:rFonts w:ascii="Times New Roman" w:hAnsi="Times New Roman"/>
          <w:sz w:val="24"/>
        </w:rPr>
        <w:t xml:space="preserve"> is consistent with experiments and could account for the enhanced P influx by the microdialysis probe</w:t>
      </w:r>
      <w:r w:rsidRPr="00AA6F1F">
        <w:rPr>
          <w:rFonts w:ascii="Times New Roman" w:eastAsia="Calibri" w:hAnsi="Times New Roman" w:cs="Times New Roman"/>
          <w:sz w:val="24"/>
          <w:szCs w:val="24"/>
        </w:rPr>
        <w:t xml:space="preserve"> for a limited range of citrate and P concentrations. In particular, </w:t>
      </w:r>
      <w:r w:rsidR="007755F8">
        <w:rPr>
          <w:rFonts w:ascii="Times New Roman" w:eastAsia="Calibri" w:hAnsi="Times New Roman" w:cs="Times New Roman"/>
          <w:sz w:val="24"/>
          <w:szCs w:val="24"/>
        </w:rPr>
        <w:t>as the model uses first order kinetics to model sorption, it is</w:t>
      </w:r>
      <w:r w:rsidRPr="00AA6F1F">
        <w:rPr>
          <w:rFonts w:ascii="Times New Roman" w:eastAsia="Calibri" w:hAnsi="Times New Roman" w:cs="Times New Roman"/>
          <w:sz w:val="24"/>
          <w:szCs w:val="24"/>
        </w:rPr>
        <w:t xml:space="preserve"> not suitable for long-term modelling were P concentrations vary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&lt;EndNote&gt;&lt;Cite&gt;&lt;Author&gt;Dari&lt;/Author&gt;&lt;Year&gt;2015&lt;/Year&gt;&lt;RecNum&gt;238&lt;/RecNum&gt;&lt;DisplayText&gt;(Dari et al. 2015)&lt;/DisplayText&gt;&lt;record&gt;&lt;rec-number&gt;238&lt;/rec-number&gt;&lt;foreign-keys&gt;&lt;key app="EN" db-id="0sapex5pfwrt05ep5w3x2zd0tdt9050e5fax" timestamp="1571988643"&gt;238&lt;/key&gt;&lt;/foreign-keys&gt;&lt;ref-type name="Journal Article"&gt;17&lt;/ref-type&gt;&lt;contributors&gt;&lt;authors&gt;&lt;author&gt;Dari, Biswanath&lt;/author&gt;&lt;author&gt;Nair, Vimala D&lt;/author&gt;&lt;author&gt;Colee, James&lt;/author&gt;&lt;author&gt;Harris, Willie G&lt;/author&gt;&lt;author&gt;Mylavarapu, Rao&lt;/author&gt;&lt;/authors&gt;&lt;/contributors&gt;&lt;titles&gt;&lt;title&gt;Estimation of phosphorus isotherm parameters: a simple and cost-effective procedure&lt;/title&gt;&lt;secondary-title&gt;Frontiers in Environmental Science&lt;/secondary-title&gt;&lt;/titles&gt;&lt;periodical&gt;&lt;full-title&gt;Frontiers in Environmental Science&lt;/full-title&gt;&lt;/periodical&gt;&lt;pages&gt;70&lt;/pages&gt;&lt;volume&gt;3&lt;/volume&gt;&lt;dates&gt;&lt;year&gt;2015&lt;/year&gt;&lt;/dates&gt;&lt;isbn&gt;2296-665X&lt;/isbn&gt;&lt;urls&gt;&lt;/urls&gt;&lt;/record&gt;&lt;/Cite&gt;&lt;/EndNote&gt;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noProof/>
          <w:sz w:val="24"/>
          <w:szCs w:val="24"/>
        </w:rPr>
        <w:t>(Dari et al. 2015)</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w:t>
      </w:r>
      <w:r w:rsidR="003258AF">
        <w:rPr>
          <w:rFonts w:ascii="Times New Roman" w:eastAsia="Calibri" w:hAnsi="Times New Roman" w:cs="Times New Roman"/>
          <w:sz w:val="24"/>
          <w:szCs w:val="24"/>
        </w:rPr>
        <w:t xml:space="preserve"> To improve the suitability of the model for a wide range concentrations, the first order kinetics should be expanded upon</w:t>
      </w:r>
      <w:r w:rsidR="00DE64FB">
        <w:rPr>
          <w:rFonts w:ascii="Times New Roman" w:eastAsia="Calibri" w:hAnsi="Times New Roman" w:cs="Times New Roman"/>
          <w:sz w:val="24"/>
          <w:szCs w:val="24"/>
        </w:rPr>
        <w:t>, when more data emerges,</w:t>
      </w:r>
      <w:r w:rsidR="003258AF">
        <w:rPr>
          <w:rFonts w:ascii="Times New Roman" w:eastAsia="Calibri" w:hAnsi="Times New Roman" w:cs="Times New Roman"/>
          <w:sz w:val="24"/>
          <w:szCs w:val="24"/>
        </w:rPr>
        <w:t xml:space="preserve"> to include the non-linear relationship between</w:t>
      </w:r>
      <w:r w:rsidR="00881A3D">
        <w:rPr>
          <w:rFonts w:ascii="Times New Roman" w:eastAsia="Calibri" w:hAnsi="Times New Roman" w:cs="Times New Roman"/>
          <w:sz w:val="24"/>
          <w:szCs w:val="24"/>
        </w:rPr>
        <w:t xml:space="preserve"> citrate and P concentration with</w:t>
      </w:r>
      <w:r w:rsidR="003258AF">
        <w:rPr>
          <w:rFonts w:ascii="Times New Roman" w:eastAsia="Calibri" w:hAnsi="Times New Roman" w:cs="Times New Roman"/>
          <w:sz w:val="24"/>
          <w:szCs w:val="24"/>
        </w:rPr>
        <w:t xml:space="preserve"> sorption and citrate enhanced P desorption. </w:t>
      </w:r>
      <w:r w:rsidRPr="00A57EFF">
        <w:rPr>
          <w:rFonts w:ascii="Times New Roman" w:hAnsi="Times New Roman"/>
          <w:sz w:val="24"/>
        </w:rPr>
        <w:t xml:space="preserve">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 AuthorYear="1"&gt;&lt;Author&gt;Oburger&lt;/Author&gt;&lt;Year&gt;2009&lt;/Year&gt;&lt;RecNum&gt;183&lt;/RecNum&gt;&lt;DisplayText&gt;Oburger et al. (2009)&lt;/DisplayText&gt;&lt;record&gt;&lt;rec-number&gt;183&lt;/rec-number&gt;&lt;foreign-keys&gt;&lt;key app="EN" db-id="0sapex5pfwrt05ep5w3x2zd0tdt9050e5fax" timestamp="1547045817"&gt;183&lt;/key&gt;&lt;/foreign-keys&gt;&lt;ref-type name="Journal Article"&gt;17&lt;/ref-type&gt;&lt;contributors&gt;&lt;authors&gt;&lt;author&gt;Oburger, Eva&lt;/author&gt;&lt;author&gt;Kirk, Guy JD&lt;/author&gt;&lt;author&gt;Wenzel, Walter W&lt;/author&gt;&lt;author&gt;Puschenreiter, Markus&lt;/author&gt;&lt;author&gt;Jones, David L&lt;/author&gt;&lt;/authors&gt;&lt;/contributors&gt;&lt;titles&gt;&lt;title&gt;Interactive effects of organic acids in the rhizosphere&lt;/title&gt;&lt;secondary-title&gt;Soil Biology and Biochemistry&lt;/secondary-title&gt;&lt;/titles&gt;&lt;periodical&gt;&lt;full-title&gt;Soil Biology and Biochemistry&lt;/full-title&gt;&lt;/periodical&gt;&lt;pages&gt;449-457&lt;/pages&gt;&lt;volume&gt;41&lt;/volume&gt;&lt;number&gt;3&lt;/number&gt;&lt;dates&gt;&lt;year&gt;2009&lt;/year&gt;&lt;/dates&gt;&lt;isbn&gt;0038-0717&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Oburger et al. (2009)</w:t>
      </w:r>
      <w:r w:rsidRPr="00A57EFF">
        <w:rPr>
          <w:rFonts w:ascii="Times New Roman" w:hAnsi="Times New Roman"/>
          <w:sz w:val="24"/>
        </w:rPr>
        <w:fldChar w:fldCharType="end"/>
      </w:r>
      <w:r w:rsidRPr="00A57EFF">
        <w:rPr>
          <w:rFonts w:ascii="Times New Roman" w:hAnsi="Times New Roman"/>
          <w:sz w:val="24"/>
        </w:rPr>
        <w:t xml:space="preserve"> calculated the bio-degradation rate of citrate in a similar soil to be </w:t>
      </w:r>
      <m:oMath>
        <m:r>
          <w:rPr>
            <w:rFonts w:ascii="Cambria Math" w:hAnsi="Cambria Math"/>
            <w:sz w:val="24"/>
          </w:rPr>
          <m:t>λ=6.87×</m:t>
        </m:r>
        <m:sSup>
          <m:sSupPr>
            <m:ctrlPr>
              <w:rPr>
                <w:rFonts w:ascii="Cambria Math" w:hAnsi="Cambria Math"/>
                <w:i/>
                <w:sz w:val="24"/>
              </w:rPr>
            </m:ctrlPr>
          </m:sSupPr>
          <m:e>
            <m:r>
              <w:rPr>
                <w:rFonts w:ascii="Cambria Math" w:hAnsi="Cambria Math"/>
                <w:sz w:val="24"/>
              </w:rPr>
              <m:t>10</m:t>
            </m:r>
          </m:e>
          <m:sup>
            <m:r>
              <w:rPr>
                <w:rFonts w:ascii="Cambria Math" w:hAnsi="Cambria Math"/>
                <w:sz w:val="24"/>
              </w:rPr>
              <m:t>-5</m:t>
            </m:r>
          </m:sup>
        </m:sSup>
      </m:oMath>
      <w:r w:rsidRPr="00A57EFF">
        <w:rPr>
          <w:rFonts w:ascii="Times New Roman" w:hAnsi="Times New Roman"/>
          <w:sz w:val="24"/>
        </w:rPr>
        <w:t xml:space="preserve"> [s</w:t>
      </w:r>
      <w:r w:rsidRPr="00A57EFF">
        <w:rPr>
          <w:rFonts w:ascii="Times New Roman" w:hAnsi="Times New Roman"/>
          <w:sz w:val="24"/>
          <w:vertAlign w:val="superscript"/>
        </w:rPr>
        <w:t>-1</w:t>
      </w:r>
      <w:r w:rsidRPr="00A57EFF">
        <w:rPr>
          <w:rFonts w:ascii="Times New Roman" w:hAnsi="Times New Roman"/>
          <w:sz w:val="24"/>
        </w:rPr>
        <w:t>] by measuring CO</w:t>
      </w:r>
      <w:r w:rsidRPr="00A57EFF">
        <w:rPr>
          <w:rFonts w:ascii="Times New Roman" w:hAnsi="Times New Roman"/>
          <w:sz w:val="24"/>
          <w:vertAlign w:val="subscript"/>
        </w:rPr>
        <w:t>2</w:t>
      </w:r>
      <w:r w:rsidRPr="00A57EFF">
        <w:rPr>
          <w:rFonts w:ascii="Times New Roman" w:hAnsi="Times New Roman"/>
          <w:sz w:val="24"/>
        </w:rPr>
        <w:t xml:space="preserve"> respiration, while our calculation was </w:t>
      </w:r>
      <m:oMath>
        <m:r>
          <w:rPr>
            <w:rFonts w:ascii="Cambria Math" w:hAnsi="Cambria Math"/>
            <w:sz w:val="24"/>
          </w:rPr>
          <m:t>λ=1.1×</m:t>
        </m:r>
        <m:sSup>
          <m:sSupPr>
            <m:ctrlPr>
              <w:rPr>
                <w:rFonts w:ascii="Cambria Math" w:hAnsi="Cambria Math"/>
                <w:i/>
                <w:sz w:val="24"/>
              </w:rPr>
            </m:ctrlPr>
          </m:sSupPr>
          <m:e>
            <m:r>
              <w:rPr>
                <w:rFonts w:ascii="Cambria Math" w:hAnsi="Cambria Math"/>
                <w:sz w:val="24"/>
              </w:rPr>
              <m:t>10</m:t>
            </m:r>
          </m:e>
          <m:sup>
            <m:r>
              <w:rPr>
                <w:rFonts w:ascii="Cambria Math" w:hAnsi="Cambria Math"/>
                <w:sz w:val="24"/>
              </w:rPr>
              <m:t>-3</m:t>
            </m:r>
          </m:sup>
        </m:sSup>
      </m:oMath>
      <w:r w:rsidRPr="00A57EFF">
        <w:rPr>
          <w:rFonts w:ascii="Times New Roman" w:hAnsi="Times New Roman"/>
          <w:sz w:val="24"/>
        </w:rPr>
        <w:t xml:space="preserve"> [s</w:t>
      </w:r>
      <w:r w:rsidRPr="00A57EFF">
        <w:rPr>
          <w:rFonts w:ascii="Times New Roman" w:hAnsi="Times New Roman"/>
          <w:sz w:val="24"/>
          <w:vertAlign w:val="superscript"/>
        </w:rPr>
        <w:t>-1</w:t>
      </w:r>
      <w:r w:rsidRPr="00A57EFF">
        <w:rPr>
          <w:rFonts w:ascii="Times New Roman" w:hAnsi="Times New Roman"/>
          <w:sz w:val="24"/>
        </w:rPr>
        <w:t xml:space="preserve">]. However,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 AuthorYear="1"&gt;&lt;Author&gt;Oburger&lt;/Author&gt;&lt;Year&gt;2009&lt;/Year&gt;&lt;RecNum&gt;183&lt;/RecNum&gt;&lt;DisplayText&gt;Oburger et al. (2009)&lt;/DisplayText&gt;&lt;record&gt;&lt;rec-number&gt;183&lt;/rec-number&gt;&lt;foreign-keys&gt;&lt;key app="EN" db-id="0sapex5pfwrt05ep5w3x2zd0tdt9050e5fax" timestamp="1547045817"&gt;183&lt;/key&gt;&lt;/foreign-keys&gt;&lt;ref-type name="Journal Article"&gt;17&lt;/ref-type&gt;&lt;contributors&gt;&lt;authors&gt;&lt;author&gt;Oburger, Eva&lt;/author&gt;&lt;author&gt;Kirk, Guy JD&lt;/author&gt;&lt;author&gt;Wenzel, Walter W&lt;/author&gt;&lt;author&gt;Puschenreiter, Markus&lt;/author&gt;&lt;author&gt;Jones, David L&lt;/author&gt;&lt;/authors&gt;&lt;/contributors&gt;&lt;titles&gt;&lt;title&gt;Interactive effects of organic acids in the rhizosphere&lt;/title&gt;&lt;secondary-title&gt;Soil Biology and Biochemistry&lt;/secondary-title&gt;&lt;/titles&gt;&lt;periodical&gt;&lt;full-title&gt;Soil Biology and Biochemistry&lt;/full-title&gt;&lt;/periodical&gt;&lt;pages&gt;449-457&lt;/pages&gt;&lt;volume&gt;41&lt;/volume&gt;&lt;number&gt;3&lt;/number&gt;&lt;dates&gt;&lt;year&gt;2009&lt;/year&gt;&lt;/dates&gt;&lt;isbn&gt;0038-0717&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Oburger et al. (2009)</w:t>
      </w:r>
      <w:r w:rsidRPr="00A57EFF">
        <w:rPr>
          <w:rFonts w:ascii="Times New Roman" w:hAnsi="Times New Roman"/>
          <w:sz w:val="24"/>
        </w:rPr>
        <w:fldChar w:fldCharType="end"/>
      </w:r>
      <w:r w:rsidRPr="00A57EFF">
        <w:rPr>
          <w:rFonts w:ascii="Times New Roman" w:hAnsi="Times New Roman"/>
          <w:sz w:val="24"/>
        </w:rPr>
        <w:t xml:space="preserve"> used a double first order exponential decay model to fit the data, while we used a single first order decay model and considered soil adsorption. We also ascribe this difference to the significant temporal decoupling which can occur between substrate uptake and mineralization which leads to an underestimation of λ using the CO</w:t>
      </w:r>
      <w:r w:rsidRPr="00A57EFF">
        <w:rPr>
          <w:rFonts w:ascii="Times New Roman" w:hAnsi="Times New Roman"/>
          <w:sz w:val="24"/>
          <w:vertAlign w:val="subscript"/>
        </w:rPr>
        <w:t>2</w:t>
      </w:r>
      <w:r w:rsidRPr="00A57EFF">
        <w:rPr>
          <w:rFonts w:ascii="Times New Roman" w:hAnsi="Times New Roman"/>
          <w:sz w:val="24"/>
        </w:rPr>
        <w:t>-based approach</w:t>
      </w:r>
      <w:r w:rsidRPr="00AA6F1F">
        <w:rPr>
          <w:rFonts w:ascii="Times New Roman" w:eastAsia="Times New Roman" w:hAnsi="Times New Roman" w:cs="Times New Roman"/>
          <w:sz w:val="24"/>
          <w:szCs w:val="24"/>
        </w:rPr>
        <w:t xml:space="preserve"> </w:t>
      </w:r>
      <w:r w:rsidRPr="00A57EFF">
        <w:rPr>
          <w:rFonts w:ascii="Times New Roman" w:hAnsi="Times New Roman"/>
          <w:sz w:val="24"/>
        </w:rPr>
        <w:fldChar w:fldCharType="begin"/>
      </w:r>
      <w:r w:rsidRPr="00AA6F1F">
        <w:rPr>
          <w:rFonts w:ascii="Times New Roman" w:eastAsia="Times New Roman" w:hAnsi="Times New Roman" w:cs="Times New Roman"/>
          <w:sz w:val="24"/>
          <w:szCs w:val="24"/>
        </w:rPr>
        <w:instrText xml:space="preserve"> ADDIN EN.CITE &lt;EndNote&gt;&lt;Cite&gt;&lt;Author&gt;Gunina&lt;/Author&gt;&lt;Year&gt;2017&lt;/Year&gt;&lt;RecNum&gt;214&lt;/RecNum&gt;&lt;DisplayText&gt;(Gunina et al. 2017)&lt;/DisplayText&gt;&lt;record&gt;&lt;rec-number&gt;214&lt;/rec-number&gt;&lt;foreign-keys&gt;&lt;key app="EN" db-id="0sapex5pfwrt05ep5w3x2zd0tdt9050e5fax" timestamp="1563362153"&gt;214&lt;/key&gt;&lt;/foreign-keys&gt;&lt;ref-type name="Journal Article"&gt;17&lt;/ref-type&gt;&lt;contributors&gt;&lt;authors&gt;&lt;author&gt;Gunina, Anna&lt;/author&gt;&lt;author&gt;Smith, Andrew R&lt;/author&gt;&lt;author&gt;Kuzyakov, Yakov&lt;/author&gt;&lt;author&gt;Jones, Davey L&lt;/author&gt;&lt;/authors&gt;&lt;/contributors&gt;&lt;titles&gt;&lt;title&gt;Microbial uptake and utilization of low molecular weight organic substrates in soil depend on carbon oxidation state&lt;/title&gt;&lt;secondary-title&gt;Biogeochemistry&lt;/secondary-title&gt;&lt;/titles&gt;&lt;periodical&gt;&lt;full-title&gt;Biogeochemistry&lt;/full-title&gt;&lt;/periodical&gt;&lt;pages&gt;89-100&lt;/pages&gt;&lt;volume&gt;133&lt;/volume&gt;&lt;number&gt;1&lt;/number&gt;&lt;dates&gt;&lt;year&gt;2017&lt;/year&gt;&lt;/dates&gt;&lt;isbn&gt;0168-2563&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(Gunina et al. 2017)</w:t>
      </w:r>
      <w:r w:rsidRPr="00A57EFF">
        <w:rPr>
          <w:rFonts w:ascii="Times New Roman" w:hAnsi="Times New Roman"/>
          <w:sz w:val="24"/>
        </w:rPr>
        <w:fldChar w:fldCharType="end"/>
      </w:r>
      <w:r w:rsidRPr="00A57EFF">
        <w:rPr>
          <w:rFonts w:ascii="Times New Roman" w:hAnsi="Times New Roman"/>
          <w:sz w:val="24"/>
        </w:rPr>
        <w:t xml:space="preserve">. </w:t>
      </w:r>
      <w:r w:rsidRPr="00AA6F1F">
        <w:rPr>
          <w:rFonts w:ascii="Times New Roman" w:eastAsia="Times New Roman" w:hAnsi="Times New Roman" w:cs="Times New Roman"/>
          <w:sz w:val="24"/>
          <w:szCs w:val="24"/>
        </w:rPr>
        <w:t>However, our approach measured biodegradation and sorption together while the CO</w:t>
      </w:r>
      <w:r w:rsidRPr="00AA6F1F">
        <w:rPr>
          <w:rFonts w:ascii="Times New Roman" w:eastAsia="Times New Roman" w:hAnsi="Times New Roman" w:cs="Times New Roman"/>
          <w:sz w:val="24"/>
          <w:szCs w:val="24"/>
          <w:vertAlign w:val="subscript"/>
        </w:rPr>
        <w:t>2</w:t>
      </w:r>
      <w:r w:rsidRPr="00AA6F1F">
        <w:rPr>
          <w:rFonts w:ascii="Times New Roman" w:eastAsia="Times New Roman" w:hAnsi="Times New Roman" w:cs="Times New Roman"/>
          <w:sz w:val="24"/>
          <w:szCs w:val="24"/>
        </w:rPr>
        <w:t xml:space="preserve"> respiration approach targets microbial activity. Furthermore, Fig.</w:t>
      </w:r>
      <w:r w:rsidRPr="00A57EFF">
        <w:rPr>
          <w:rFonts w:ascii="Times New Roman" w:hAnsi="Times New Roman"/>
          <w:sz w:val="24"/>
        </w:rPr>
        <w:t xml:space="preserve"> 11a suggests such changes in biodegradation only makes small changes to the amount of P absorbed and hence </w:t>
      </w:r>
      <w:r w:rsidRPr="00AA6F1F">
        <w:rPr>
          <w:rFonts w:ascii="Times New Roman" w:eastAsia="Times New Roman" w:hAnsi="Times New Roman" w:cs="Times New Roman"/>
          <w:sz w:val="24"/>
          <w:szCs w:val="24"/>
        </w:rPr>
        <w:t>would</w:t>
      </w:r>
      <w:r w:rsidRPr="00A57EFF">
        <w:rPr>
          <w:rFonts w:ascii="Times New Roman" w:hAnsi="Times New Roman"/>
          <w:sz w:val="24"/>
        </w:rPr>
        <w:t xml:space="preserve"> not be detectable by microdialysis.</w:t>
      </w:r>
    </w:p>
    <w:p w:rsidR="00AA6F1F" w:rsidRPr="00AA6F1F" w:rsidRDefault="00AA6F1F" w:rsidP="00AA6F1F">
      <w:pPr>
        <w:spacing w:after="0" w:line="480" w:lineRule="auto"/>
        <w:rPr>
          <w:rFonts w:ascii="Times New Roman" w:eastAsia="Times New Roman" w:hAnsi="Times New Roman" w:cs="Times New Roman"/>
          <w:sz w:val="24"/>
          <w:szCs w:val="24"/>
        </w:rPr>
      </w:pPr>
    </w:p>
    <w:p w:rsidR="00AA6F1F" w:rsidRPr="00AA6F1F" w:rsidRDefault="00AA6F1F" w:rsidP="00AA6F1F">
      <w:pPr>
        <w:spacing w:after="0" w:line="480" w:lineRule="auto"/>
        <w:rPr>
          <w:rFonts w:ascii="Times New Roman" w:eastAsia="Times New Roman" w:hAnsi="Times New Roman" w:cs="Times New Roman"/>
          <w:b/>
          <w:sz w:val="24"/>
          <w:szCs w:val="24"/>
        </w:rPr>
      </w:pPr>
      <w:r w:rsidRPr="00AA6F1F">
        <w:rPr>
          <w:rFonts w:ascii="Times New Roman" w:eastAsia="Times New Roman" w:hAnsi="Times New Roman" w:cs="Times New Roman"/>
          <w:b/>
          <w:sz w:val="24"/>
          <w:szCs w:val="24"/>
        </w:rPr>
        <w:t>Data fitting</w:t>
      </w:r>
    </w:p>
    <w:p w:rsidR="00AA6F1F" w:rsidRPr="00AA6F1F" w:rsidRDefault="00AA6F1F" w:rsidP="00AA6F1F">
      <w:pPr>
        <w:spacing w:after="0" w:line="480" w:lineRule="auto"/>
        <w:rPr>
          <w:rFonts w:ascii="Times New Roman" w:eastAsia="Times New Roman" w:hAnsi="Times New Roman" w:cs="Times New Roman"/>
          <w:sz w:val="24"/>
          <w:szCs w:val="24"/>
        </w:rPr>
      </w:pPr>
      <w:r w:rsidRPr="00AA6F1F">
        <w:rPr>
          <w:rFonts w:ascii="Times New Roman" w:eastAsia="Times New Roman" w:hAnsi="Times New Roman" w:cs="Times New Roman"/>
          <w:sz w:val="24"/>
          <w:szCs w:val="24"/>
        </w:rPr>
        <w:t xml:space="preserve">In total, 8 parameters were fit to 72 data points with varying citrate and P conditions and time resolution. The data fitting approach was to determine the dependency of the parameters, as seen in Figure 2, then design experiments suitable for determining the parameters which had the least dependencies. </w:t>
      </w:r>
      <w:r w:rsidRPr="00AA6F1F">
        <w:rPr>
          <w:rFonts w:ascii="Times New Roman" w:eastAsia="Calibri" w:hAnsi="Times New Roman" w:cs="Times New Roman"/>
          <w:sz w:val="24"/>
        </w:rPr>
        <w:t>The parameters dependent on multiple processes could then be fit to experiments</w:t>
      </w:r>
      <w:r w:rsidRPr="00AA6F1F">
        <w:rPr>
          <w:rFonts w:ascii="Times New Roman" w:eastAsia="Times New Roman" w:hAnsi="Times New Roman" w:cs="Times New Roman"/>
          <w:sz w:val="24"/>
          <w:szCs w:val="24"/>
        </w:rPr>
        <w:t>. This approach allowed us to decouple parameters effects from one another. For example, if all parameters were fit together, P desorption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2</m:t>
            </m:r>
          </m:sub>
        </m:sSub>
      </m:oMath>
      <w:r w:rsidRPr="00AA6F1F">
        <w:rPr>
          <w:rFonts w:ascii="Times New Roman" w:eastAsia="Times New Roman" w:hAnsi="Times New Roman" w:cs="Times New Roman"/>
          <w:sz w:val="24"/>
          <w:szCs w:val="24"/>
        </w:rPr>
        <w:t>) could increase at the expense of citrate enhanced solubilisation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oMath>
      <w:r w:rsidRPr="00AA6F1F">
        <w:rPr>
          <w:rFonts w:ascii="Times New Roman" w:eastAsia="Times New Roman" w:hAnsi="Times New Roman" w:cs="Times New Roman"/>
          <w:sz w:val="24"/>
          <w:szCs w:val="24"/>
        </w:rPr>
        <w:t xml:space="preserve"> and citrate enhanced desorption would be underestimated (or vice versa).</w:t>
      </w:r>
    </w:p>
    <w:p w:rsidR="00B25A4B" w:rsidRPr="00B25A4B" w:rsidRDefault="00B25A4B" w:rsidP="00B25A4B">
      <w:pPr>
        <w:spacing w:after="0" w:line="480" w:lineRule="auto"/>
        <w:rPr>
          <w:rFonts w:ascii="Times New Roman" w:eastAsia="Times New Roman" w:hAnsi="Times New Roman" w:cs="Times New Roman"/>
          <w:sz w:val="24"/>
          <w:szCs w:val="24"/>
        </w:rPr>
      </w:pPr>
      <w:r w:rsidRPr="00B25A4B">
        <w:rPr>
          <w:rFonts w:ascii="Times New Roman" w:eastAsia="Times New Roman" w:hAnsi="Times New Roman" w:cs="Times New Roman"/>
          <w:sz w:val="24"/>
          <w:szCs w:val="24"/>
        </w:rPr>
        <w:t xml:space="preserve">Although the cumulative exudation of citrate over the 12 hour period in the model is within 21% of the experimental values for each citrate concentration (Table 4), there were mechanisms regarding probe citrate exudation that the model was not capturing (see Fig. 3).  Notably, the experiments showed that probe citrate exudation slows gradually, while the microdialysis probe model rapidly decreased to reach a steady state efflux rate.  Time-dependent probe permeability could explain this. There are also many citrate processes in the soil that are not included in the model, such as microbial mineralisation and immobilization of citrate and microbial population dynamics that could account for the poor temporal fit to the data </w:t>
      </w:r>
      <w:r w:rsidRPr="00B25A4B">
        <w:rPr>
          <w:rFonts w:ascii="Times New Roman" w:eastAsia="Times New Roman" w:hAnsi="Times New Roman" w:cs="Times New Roman"/>
          <w:sz w:val="24"/>
          <w:szCs w:val="24"/>
        </w:rPr>
        <w:fldChar w:fldCharType="begin"/>
      </w:r>
      <w:r w:rsidRPr="00B25A4B">
        <w:rPr>
          <w:rFonts w:ascii="Times New Roman" w:eastAsia="Times New Roman" w:hAnsi="Times New Roman" w:cs="Times New Roman"/>
          <w:sz w:val="24"/>
          <w:szCs w:val="24"/>
        </w:rPr>
        <w:instrText xml:space="preserve"> ADDIN EN.CITE &lt;EndNote&gt;&lt;Cite&gt;&lt;Author&gt;Glanville&lt;/Author&gt;&lt;Year&gt;2016&lt;/Year&gt;&lt;RecNum&gt;239&lt;/RecNum&gt;&lt;DisplayText&gt;(Glanville et al. 2016)&lt;/DisplayText&gt;&lt;record&gt;&lt;rec-number&gt;239&lt;/rec-number&gt;&lt;foreign-keys&gt;&lt;key app="EN" db-id="0sapex5pfwrt05ep5w3x2zd0tdt9050e5fax" timestamp="1572002222"&gt;239&lt;/key&gt;&lt;/foreign-keys&gt;&lt;ref-type name="Journal Article"&gt;17&lt;/ref-type&gt;&lt;contributors&gt;&lt;authors&gt;&lt;author&gt;Glanville, HC&lt;/author&gt;&lt;author&gt;Hill, PW&lt;/author&gt;&lt;author&gt;Schnepf, A&lt;/author&gt;&lt;author&gt;Oburger, E&lt;/author&gt;&lt;author&gt;Jones, DL&lt;/author&gt;&lt;/authors&gt;&lt;/contributors&gt;&lt;titles&gt;&lt;title&gt;Combined use of empirical data and mathematical modelling to better estimate the microbial turnover of isotopically labelled carbon substrates in soil&lt;/title&gt;&lt;secondary-title&gt;Soil Biology and Biochemistry&lt;/secondary-title&gt;&lt;/titles&gt;&lt;periodical&gt;&lt;full-title&gt;Soil Biology and Biochemistry&lt;/full-title&gt;&lt;/periodical&gt;&lt;pages&gt;154-168&lt;/pages&gt;&lt;volume&gt;94&lt;/volume&gt;&lt;dates&gt;&lt;year&gt;2016&lt;/year&gt;&lt;/dates&gt;&lt;isbn&gt;0038-0717&lt;/isbn&gt;&lt;urls&gt;&lt;/urls&gt;&lt;/record&gt;&lt;/Cite&gt;&lt;/EndNote&gt;</w:instrText>
      </w:r>
      <w:r w:rsidRPr="00B25A4B">
        <w:rPr>
          <w:rFonts w:ascii="Times New Roman" w:eastAsia="Times New Roman" w:hAnsi="Times New Roman" w:cs="Times New Roman"/>
          <w:sz w:val="24"/>
          <w:szCs w:val="24"/>
        </w:rPr>
        <w:fldChar w:fldCharType="separate"/>
      </w:r>
      <w:r w:rsidRPr="00B25A4B">
        <w:rPr>
          <w:rFonts w:ascii="Times New Roman" w:eastAsia="Times New Roman" w:hAnsi="Times New Roman" w:cs="Times New Roman"/>
          <w:sz w:val="24"/>
          <w:szCs w:val="24"/>
        </w:rPr>
        <w:t>(Glanville et al. 2016)</w:t>
      </w:r>
      <w:r w:rsidRPr="00B25A4B">
        <w:rPr>
          <w:rFonts w:ascii="Times New Roman" w:eastAsia="Times New Roman" w:hAnsi="Times New Roman" w:cs="Times New Roman"/>
          <w:sz w:val="24"/>
          <w:szCs w:val="24"/>
        </w:rPr>
        <w:fldChar w:fldCharType="end"/>
      </w:r>
      <w:r w:rsidRPr="00B25A4B">
        <w:rPr>
          <w:rFonts w:ascii="Times New Roman" w:eastAsia="Times New Roman" w:hAnsi="Times New Roman" w:cs="Times New Roman"/>
          <w:sz w:val="24"/>
          <w:szCs w:val="24"/>
        </w:rPr>
        <w:t>.</w:t>
      </w:r>
      <w:r w:rsidR="003A3FE4">
        <w:rPr>
          <w:rFonts w:ascii="Times New Roman" w:eastAsia="Times New Roman" w:hAnsi="Times New Roman" w:cs="Times New Roman"/>
          <w:sz w:val="24"/>
          <w:szCs w:val="24"/>
        </w:rPr>
        <w:t xml:space="preserve"> </w:t>
      </w:r>
      <w:r w:rsidRPr="00B25A4B">
        <w:rPr>
          <w:rFonts w:ascii="Times New Roman" w:eastAsia="Times New Roman" w:hAnsi="Times New Roman" w:cs="Times New Roman"/>
          <w:sz w:val="24"/>
          <w:szCs w:val="24"/>
        </w:rPr>
        <w:t xml:space="preserve">These processes were not included in the current model as they were not measured in the experiments. Additional micro-dialysis probe experiments, such as citrate flux in water and citrate recovery from soil are required to determine which mechanism to include and fit the parameters reliably.  However, as the cumulative error is relatively small, the effect on the subsequent data fitting procedures will be minimal. </w:t>
      </w:r>
    </w:p>
    <w:p w:rsidR="00AA6F1F" w:rsidRPr="00AA6F1F" w:rsidRDefault="00AA6F1F" w:rsidP="00AA6F1F">
      <w:pPr>
        <w:spacing w:after="0" w:line="480" w:lineRule="auto"/>
        <w:rPr>
          <w:rFonts w:ascii="Times New Roman" w:eastAsia="Times New Roman" w:hAnsi="Times New Roman" w:cs="Times New Roman"/>
          <w:sz w:val="24"/>
          <w:szCs w:val="24"/>
        </w:rPr>
      </w:pPr>
    </w:p>
    <w:p w:rsidR="00AA6F1F" w:rsidRPr="00AA6F1F" w:rsidRDefault="00AA6F1F" w:rsidP="00AA6F1F">
      <w:pPr>
        <w:spacing w:after="0" w:line="480" w:lineRule="auto"/>
        <w:rPr>
          <w:rFonts w:ascii="Times New Roman" w:eastAsia="Calibri" w:hAnsi="Times New Roman" w:cs="Times New Roman"/>
          <w:sz w:val="24"/>
          <w:szCs w:val="24"/>
        </w:rPr>
      </w:pPr>
      <w:r w:rsidRPr="00AA6F1F">
        <w:rPr>
          <w:rFonts w:ascii="Times New Roman" w:eastAsia="Times New Roman" w:hAnsi="Times New Roman" w:cs="Times New Roman"/>
          <w:sz w:val="24"/>
          <w:szCs w:val="24"/>
        </w:rPr>
        <w:t>Poor fits were achieved when fitting citrate enhanced probe P uptake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δ</m:t>
            </m:r>
          </m:e>
          <m:sub>
            <m:r>
              <w:rPr>
                <w:rFonts w:ascii="Cambria Math" w:eastAsia="Times New Roman" w:hAnsi="Cambria Math" w:cs="Times New Roman"/>
                <w:sz w:val="24"/>
                <w:szCs w:val="24"/>
              </w:rPr>
              <m:t>P</m:t>
            </m:r>
          </m:sub>
          <m:sup>
            <m:r>
              <w:rPr>
                <w:rFonts w:ascii="Cambria Math" w:eastAsia="Times New Roman" w:hAnsi="Cambria Math" w:cs="Times New Roman"/>
                <w:sz w:val="24"/>
                <w:szCs w:val="24"/>
              </w:rPr>
              <m:t>1</m:t>
            </m:r>
          </m:sup>
        </m:sSubSup>
      </m:oMath>
      <w:r w:rsidRPr="00AA6F1F">
        <w:rPr>
          <w:rFonts w:ascii="Times New Roman" w:eastAsia="Times New Roman" w:hAnsi="Times New Roman" w:cs="Times New Roman"/>
          <w:sz w:val="24"/>
          <w:szCs w:val="24"/>
        </w:rPr>
        <w:t>, Table 4, Fig. 5), this was assig</w:t>
      </w:r>
      <w:r w:rsidR="000469DE">
        <w:rPr>
          <w:rFonts w:ascii="Times New Roman" w:eastAsia="Times New Roman" w:hAnsi="Times New Roman" w:cs="Times New Roman"/>
          <w:sz w:val="24"/>
          <w:szCs w:val="24"/>
        </w:rPr>
        <w:t>ned to two possible causes: 1) I</w:t>
      </w:r>
      <w:r w:rsidRPr="00AA6F1F">
        <w:rPr>
          <w:rFonts w:ascii="Times New Roman" w:eastAsia="Times New Roman" w:hAnsi="Times New Roman" w:cs="Times New Roman"/>
          <w:sz w:val="24"/>
          <w:szCs w:val="24"/>
        </w:rPr>
        <w:t xml:space="preserve">nconsistent and variable experimental data; 2) Linearizing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δ</m:t>
            </m:r>
          </m:e>
          <m:sub>
            <m:r>
              <w:rPr>
                <w:rFonts w:ascii="Cambria Math" w:eastAsia="Times New Roman" w:hAnsi="Cambria Math" w:cs="Times New Roman"/>
                <w:sz w:val="24"/>
                <w:szCs w:val="24"/>
              </w:rPr>
              <m:t>P</m:t>
            </m:r>
          </m:sub>
        </m:sSub>
        <m:r>
          <w:rPr>
            <w:rFonts w:ascii="Cambria Math" w:eastAsia="Times New Roman" w:hAnsi="Cambria Math" w:cs="Times New Roman"/>
            <w:sz w:val="24"/>
            <w:szCs w:val="24"/>
          </w:rPr>
          <m:t>(C)</m:t>
        </m:r>
      </m:oMath>
      <w:r w:rsidRPr="00AA6F1F">
        <w:rPr>
          <w:rFonts w:ascii="Times New Roman" w:eastAsia="Times New Roman" w:hAnsi="Times New Roman" w:cs="Times New Roman"/>
          <w:sz w:val="24"/>
          <w:szCs w:val="24"/>
        </w:rPr>
        <w:t xml:space="preserve"> about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l</m:t>
            </m:r>
          </m:sub>
        </m:sSub>
        <m:r>
          <w:rPr>
            <w:rFonts w:ascii="Cambria Math" w:eastAsia="Times New Roman" w:hAnsi="Cambria Math" w:cs="Times New Roman"/>
            <w:sz w:val="24"/>
            <w:szCs w:val="24"/>
          </w:rPr>
          <m:t>=0</m:t>
        </m:r>
      </m:oMath>
      <w:r w:rsidRPr="00AA6F1F">
        <w:rPr>
          <w:rFonts w:ascii="Times New Roman" w:eastAsia="Times New Roman" w:hAnsi="Times New Roman" w:cs="Times New Roman"/>
          <w:sz w:val="24"/>
          <w:szCs w:val="24"/>
        </w:rPr>
        <w:t xml:space="preserve"> (equation 7) incurred a larger error. Linearizing about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l</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0</m:t>
            </m:r>
          </m:sub>
        </m:sSub>
      </m:oMath>
      <w:r w:rsidRPr="00AA6F1F">
        <w:rPr>
          <w:rFonts w:ascii="Times New Roman" w:eastAsia="Times New Roman" w:hAnsi="Times New Roman" w:cs="Times New Roman"/>
          <w:sz w:val="24"/>
          <w:szCs w:val="24"/>
        </w:rPr>
        <w:t xml:space="preserve"> may be more suitable in the future when only one concentration of citrate in the perfusate is used. However, in our model, including this mechanism was important for the subsequent fitting of citrate enhanced solubilisation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3</m:t>
            </m:r>
          </m:sub>
        </m:sSub>
        <m:r>
          <w:rPr>
            <w:rFonts w:ascii="Cambria Math" w:eastAsia="Times New Roman" w:hAnsi="Cambria Math" w:cs="Times New Roman"/>
            <w:sz w:val="24"/>
            <w:szCs w:val="24"/>
          </w:rPr>
          <m:t>)</m:t>
        </m:r>
      </m:oMath>
      <w:r w:rsidRPr="00AA6F1F">
        <w:rPr>
          <w:rFonts w:ascii="Times New Roman" w:eastAsia="Times New Roman" w:hAnsi="Times New Roman" w:cs="Times New Roman"/>
          <w:sz w:val="24"/>
          <w:szCs w:val="24"/>
        </w:rPr>
        <w:t xml:space="preserve">. If citrate enhanced probe P uptake was not included then the additional absorbed P due to citrate altering probe osmosis rates would be attributed to citrate solubilising P, and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3</m:t>
            </m:r>
          </m:sub>
        </m:sSub>
      </m:oMath>
      <w:r w:rsidRPr="00AA6F1F">
        <w:rPr>
          <w:rFonts w:ascii="Times New Roman" w:eastAsia="Times New Roman" w:hAnsi="Times New Roman" w:cs="Times New Roman"/>
          <w:sz w:val="24"/>
          <w:szCs w:val="24"/>
        </w:rPr>
        <w:t xml:space="preserve"> would have been overestimated. Although the correction has errors, the following results are more precise rather than having not included the correction.</w:t>
      </w:r>
    </w:p>
    <w:p w:rsidR="00AA6F1F" w:rsidRPr="00A57EFF" w:rsidRDefault="00AA6F1F" w:rsidP="00AA6F1F">
      <w:pPr>
        <w:spacing w:after="0" w:line="480" w:lineRule="auto"/>
        <w:rPr>
          <w:rFonts w:ascii="Times New Roman" w:hAnsi="Times New Roman"/>
          <w:b/>
          <w:sz w:val="24"/>
        </w:rPr>
      </w:pPr>
      <w:r w:rsidRPr="00A57EFF">
        <w:rPr>
          <w:rFonts w:ascii="Times New Roman" w:hAnsi="Times New Roman"/>
          <w:b/>
          <w:sz w:val="24"/>
        </w:rPr>
        <w:t>Microdialysis probes as root analogues</w:t>
      </w:r>
    </w:p>
    <w:p w:rsidR="00AA6F1F" w:rsidRPr="00A57EFF" w:rsidRDefault="00AA6F1F" w:rsidP="00AA6F1F">
      <w:pPr>
        <w:spacing w:after="0" w:line="480" w:lineRule="auto"/>
        <w:jc w:val="both"/>
        <w:rPr>
          <w:rFonts w:ascii="Times New Roman" w:hAnsi="Times New Roman"/>
          <w:sz w:val="24"/>
        </w:rPr>
      </w:pPr>
      <w:r w:rsidRPr="00A57EFF">
        <w:rPr>
          <w:rFonts w:ascii="Times New Roman" w:hAnsi="Times New Roman"/>
          <w:sz w:val="24"/>
        </w:rPr>
        <w:t>After the soil P parameters were derived, a root model was proposed to determine if the microdialysis probes can be used to mimic root behaviour under the soil conditions detailed in Table 1, and the P additions stated in the experimental section</w:t>
      </w:r>
      <w:r w:rsidRPr="00AA6F1F">
        <w:rPr>
          <w:rFonts w:ascii="Times New Roman" w:eastAsia="Calibri" w:hAnsi="Times New Roman" w:cs="Times New Roman"/>
          <w:sz w:val="24"/>
          <w:szCs w:val="24"/>
        </w:rPr>
        <w:t>. The microdialysis probe was found to underestimate root P uptake, with the difference narrowing as time progressed. We attribute this to the P supply rapidly depleting adjacent to the root</w:t>
      </w:r>
      <w:r w:rsidR="00AB3042">
        <w:rPr>
          <w:rFonts w:ascii="Times New Roman" w:eastAsia="Calibri" w:hAnsi="Times New Roman" w:cs="Times New Roman"/>
          <w:sz w:val="24"/>
          <w:szCs w:val="24"/>
        </w:rPr>
        <w:t>,</w:t>
      </w:r>
      <w:r w:rsidRPr="00AA6F1F">
        <w:rPr>
          <w:rFonts w:ascii="Times New Roman" w:eastAsia="Calibri" w:hAnsi="Times New Roman" w:cs="Times New Roman"/>
          <w:sz w:val="24"/>
          <w:szCs w:val="24"/>
        </w:rPr>
        <w:t xml:space="preserve"> putting the Michaelis–Menten kinetics into the linear range of P concentrations. The probe under predicts root uptake as the linearized root uptake rate constant is </w:t>
      </w:r>
      <m:oMath>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F</m:t>
                </m:r>
              </m:e>
              <m:sub>
                <m:r>
                  <w:rPr>
                    <w:rFonts w:ascii="Cambria Math" w:eastAsia="Calibri" w:hAnsi="Cambria Math" w:cs="Times New Roman"/>
                    <w:sz w:val="24"/>
                    <w:szCs w:val="24"/>
                  </w:rPr>
                  <m:t>P</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K</m:t>
                </m:r>
              </m:e>
              <m:sub>
                <m:r>
                  <w:rPr>
                    <w:rFonts w:ascii="Cambria Math" w:eastAsia="Calibri" w:hAnsi="Cambria Math" w:cs="Times New Roman"/>
                    <w:sz w:val="24"/>
                    <w:szCs w:val="24"/>
                  </w:rPr>
                  <m:t>P</m:t>
                </m:r>
              </m:sub>
            </m:sSub>
          </m:den>
        </m:f>
        <m:r>
          <w:rPr>
            <w:rFonts w:ascii="Cambria Math" w:eastAsia="Times New Roman" w:hAnsi="Cambria Math" w:cs="Times New Roman"/>
            <w:sz w:val="24"/>
            <w:szCs w:val="24"/>
          </w:rPr>
          <m:t>=</m:t>
        </m:r>
        <m:r>
          <m:rPr>
            <m:sty m:val="p"/>
          </m:rPr>
          <w:rPr>
            <w:rFonts w:ascii="Cambria Math" w:eastAsia="Times New Roman" w:hAnsi="Cambria Math" w:cs="Times New Roman"/>
            <w:sz w:val="24"/>
            <w:szCs w:val="24"/>
          </w:rPr>
          <m:t>2.17×</m:t>
        </m:r>
        <m:sSup>
          <m:sSupPr>
            <m:ctrlPr>
              <w:rPr>
                <w:rFonts w:ascii="Cambria Math" w:eastAsia="Times New Roman" w:hAnsi="Cambria Math" w:cs="Times New Roman"/>
                <w:sz w:val="24"/>
                <w:szCs w:val="24"/>
              </w:rPr>
            </m:ctrlPr>
          </m:sSupPr>
          <m:e>
            <m:r>
              <m:rPr>
                <m:sty m:val="p"/>
              </m:rPr>
              <w:rPr>
                <w:rFonts w:ascii="Cambria Math" w:eastAsia="Times New Roman" w:hAnsi="Cambria Math" w:cs="Times New Roman"/>
                <w:sz w:val="24"/>
                <w:szCs w:val="24"/>
              </w:rPr>
              <m:t>10</m:t>
            </m:r>
          </m:e>
          <m:sup>
            <m:r>
              <w:rPr>
                <w:rFonts w:ascii="Cambria Math" w:eastAsia="Times New Roman" w:hAnsi="Cambria Math" w:cs="Times New Roman"/>
                <w:sz w:val="24"/>
                <w:szCs w:val="24"/>
              </w:rPr>
              <m:t>-4</m:t>
            </m:r>
          </m:sup>
        </m:sSup>
      </m:oMath>
      <w:r w:rsidRPr="00AA6F1F">
        <w:rPr>
          <w:rFonts w:ascii="Times New Roman" w:eastAsia="Times New Roman" w:hAnsi="Times New Roman" w:cs="Times New Roman"/>
          <w:sz w:val="24"/>
          <w:szCs w:val="24"/>
        </w:rPr>
        <w:t xml:space="preserve"> m s</w:t>
      </w:r>
      <w:r w:rsidRPr="00AA6F1F">
        <w:rPr>
          <w:rFonts w:ascii="Times New Roman" w:eastAsia="Times New Roman" w:hAnsi="Times New Roman" w:cs="Times New Roman"/>
          <w:sz w:val="24"/>
          <w:szCs w:val="24"/>
          <w:vertAlign w:val="superscript"/>
        </w:rPr>
        <w:t>-1</w:t>
      </w:r>
      <w:r w:rsidRPr="00AA6F1F">
        <w:rPr>
          <w:rFonts w:ascii="Times New Roman" w:eastAsia="Times New Roman" w:hAnsi="Times New Roman" w:cs="Times New Roman"/>
          <w:sz w:val="24"/>
          <w:szCs w:val="24"/>
        </w:rPr>
        <w:t xml:space="preserve"> while probe permeability is </w:t>
      </w:r>
      <m:oMath>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δ</m:t>
            </m:r>
          </m:e>
          <m:sub>
            <m:r>
              <w:rPr>
                <w:rFonts w:ascii="Cambria Math" w:eastAsia="Times New Roman" w:hAnsi="Cambria Math" w:cs="Times New Roman"/>
                <w:sz w:val="24"/>
                <w:szCs w:val="24"/>
              </w:rPr>
              <m:t>P</m:t>
            </m:r>
          </m:sub>
          <m:sup>
            <m:r>
              <w:rPr>
                <w:rFonts w:ascii="Cambria Math" w:eastAsia="Times New Roman" w:hAnsi="Cambria Math" w:cs="Times New Roman"/>
                <w:sz w:val="24"/>
                <w:szCs w:val="24"/>
              </w:rPr>
              <m:t>0</m:t>
            </m:r>
          </m:sup>
        </m:sSubSup>
        <m:r>
          <w:rPr>
            <w:rFonts w:ascii="Cambria Math" w:eastAsia="Times New Roman" w:hAnsi="Cambria Math" w:cs="Times New Roman"/>
            <w:sz w:val="24"/>
            <w:szCs w:val="24"/>
          </w:rPr>
          <m:t>=2.9×</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10</m:t>
            </m:r>
          </m:e>
          <m:sup>
            <m:r>
              <w:rPr>
                <w:rFonts w:ascii="Cambria Math" w:eastAsia="Times New Roman" w:hAnsi="Cambria Math" w:cs="Times New Roman"/>
                <w:sz w:val="24"/>
                <w:szCs w:val="24"/>
              </w:rPr>
              <m:t>-7</m:t>
            </m:r>
          </m:sup>
        </m:sSup>
      </m:oMath>
      <w:r w:rsidRPr="00AA6F1F">
        <w:rPr>
          <w:rFonts w:ascii="Times New Roman" w:eastAsia="Times New Roman" w:hAnsi="Times New Roman" w:cs="Times New Roman"/>
          <w:sz w:val="24"/>
          <w:szCs w:val="24"/>
        </w:rPr>
        <w:t xml:space="preserve"> m s</w:t>
      </w:r>
      <w:r w:rsidRPr="00AA6F1F">
        <w:rPr>
          <w:rFonts w:ascii="Times New Roman" w:eastAsia="Times New Roman" w:hAnsi="Times New Roman" w:cs="Times New Roman"/>
          <w:sz w:val="24"/>
          <w:szCs w:val="24"/>
          <w:vertAlign w:val="superscript"/>
        </w:rPr>
        <w:t>-1</w:t>
      </w:r>
      <w:r w:rsidR="00AB3042">
        <w:rPr>
          <w:rFonts w:ascii="Times New Roman" w:eastAsia="Times New Roman" w:hAnsi="Times New Roman" w:cs="Times New Roman"/>
          <w:sz w:val="24"/>
          <w:szCs w:val="24"/>
        </w:rPr>
        <w:t>. U</w:t>
      </w:r>
      <w:r w:rsidRPr="00AA6F1F">
        <w:rPr>
          <w:rFonts w:ascii="Times New Roman" w:eastAsia="Times New Roman" w:hAnsi="Times New Roman" w:cs="Times New Roman"/>
          <w:sz w:val="24"/>
          <w:szCs w:val="24"/>
        </w:rPr>
        <w:t xml:space="preserve">sing a linearized </w:t>
      </w:r>
      <w:r w:rsidRPr="00AA6F1F">
        <w:rPr>
          <w:rFonts w:ascii="Times New Roman" w:eastAsia="Calibri" w:hAnsi="Times New Roman" w:cs="Times New Roman"/>
          <w:sz w:val="24"/>
          <w:szCs w:val="24"/>
        </w:rPr>
        <w:t xml:space="preserve">Michaelis–Menten expression is only valid for a small range of P concentrations near 0.  It was shown experimentally that microdialysis probe exudation rate decayed over time while we assumed the root exuded citrate at a constant rate, as evidenced by other authors </w:t>
      </w:r>
      <w:r w:rsidRPr="00AA6F1F">
        <w:rPr>
          <w:rFonts w:ascii="Times New Roman" w:eastAsia="Calibri" w:hAnsi="Times New Roman" w:cs="Times New Roman"/>
          <w:sz w:val="24"/>
          <w:szCs w:val="24"/>
        </w:rPr>
        <w:fldChar w:fldCharType="begin">
          <w:fldData xml:space="preserve">PEVuZE5vdGU+PENpdGU+PEF1dGhvcj5aeWdhbGFraXM8L0F1dGhvcj48WWVhcj4yMDEyPC9ZZWFy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==
</w:fldData>
        </w:fldChar>
      </w:r>
      <w:r w:rsidRPr="00AA6F1F">
        <w:rPr>
          <w:rFonts w:ascii="Times New Roman" w:eastAsia="Calibri" w:hAnsi="Times New Roman" w:cs="Times New Roman"/>
          <w:sz w:val="24"/>
          <w:szCs w:val="24"/>
        </w:rPr>
        <w:instrText xml:space="preserve"> ADDIN EN.CITE </w:instrText>
      </w:r>
      <w:r w:rsidRPr="00AA6F1F">
        <w:rPr>
          <w:rFonts w:ascii="Times New Roman" w:eastAsia="Calibri" w:hAnsi="Times New Roman" w:cs="Times New Roman"/>
          <w:sz w:val="24"/>
          <w:szCs w:val="24"/>
        </w:rPr>
        <w:fldChar w:fldCharType="begin">
          <w:fldData xml:space="preserve">PEVuZE5vdGU+PENpdGU+PEF1dGhvcj5aeWdhbGFraXM8L0F1dGhvcj48WWVhcj4yMDEyPC9ZZWFy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==
</w:fldData>
        </w:fldChar>
      </w:r>
      <w:r w:rsidRPr="00AA6F1F">
        <w:rPr>
          <w:rFonts w:ascii="Times New Roman" w:eastAsia="Calibri" w:hAnsi="Times New Roman" w:cs="Times New Roman"/>
          <w:sz w:val="24"/>
          <w:szCs w:val="24"/>
        </w:rPr>
        <w:instrText xml:space="preserve"> ADDIN EN.CITE.DATA </w:instrText>
      </w:r>
      <w:r w:rsidRPr="00AA6F1F">
        <w:rPr>
          <w:rFonts w:ascii="Times New Roman" w:eastAsia="Calibri" w:hAnsi="Times New Roman" w:cs="Times New Roman"/>
          <w:sz w:val="24"/>
          <w:szCs w:val="24"/>
        </w:rPr>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noProof/>
          <w:sz w:val="24"/>
          <w:szCs w:val="24"/>
        </w:rPr>
        <w:t>(Geelhoed et al. 1999; Schnepf et al. 2012; Zygalakis and Roose 2012)</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 Constant root exudation could be realistic as a large electrochemical potential gradient exists between the root and soil</w:t>
      </w:r>
      <w:r w:rsidRPr="00A57EFF">
        <w:rPr>
          <w:rFonts w:ascii="Times New Roman" w:hAnsi="Times New Roman"/>
          <w:sz w:val="24"/>
        </w:rPr>
        <w:t xml:space="preserve"> which can drive citrate exudation even against a large external concentration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&lt;EndNote&gt;&lt;Cite&gt;&lt;Author&gt;Jones&lt;/Author&gt;&lt;Year&gt;1998&lt;/Year&gt;&lt;RecNum&gt;40&lt;/RecNum&gt;&lt;DisplayText&gt;(Jones 1998)&lt;/DisplayText&gt;&lt;record&gt;&lt;rec-number&gt;40&lt;/rec-number&gt;&lt;foreign-keys&gt;&lt;key app="EN" db-id="0sapex5pfwrt05ep5w3x2zd0tdt9050e5fax" timestamp="1463647467"&gt;40&lt;/key&gt;&lt;/foreign-keys&gt;&lt;ref-type name="Journal Article"&gt;17&lt;/ref-type&gt;&lt;contributors&gt;&lt;authors&gt;&lt;author&gt;Jones, David L&lt;/author&gt;&lt;/authors&gt;&lt;/contributors&gt;&lt;titles&gt;&lt;title&gt;Organic acids in the rhizosphere–a critical review&lt;/title&gt;&lt;secondary-title&gt;Plant and soil&lt;/secondary-title&gt;&lt;/titles&gt;&lt;periodical&gt;&lt;full-title&gt;Plant and Soil&lt;/full-title&gt;&lt;/periodical&gt;&lt;pages&gt;25-44&lt;/pages&gt;&lt;volume&gt;205&lt;/volume&gt;&lt;number&gt;1&lt;/number&gt;&lt;dates&gt;&lt;year&gt;1998&lt;/year&gt;&lt;/dates&gt;&lt;isbn&gt;0032-079X&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(Jones 1998)</w:t>
      </w:r>
      <w:r w:rsidRPr="00A57EFF">
        <w:rPr>
          <w:rFonts w:ascii="Times New Roman" w:hAnsi="Times New Roman"/>
          <w:sz w:val="24"/>
        </w:rPr>
        <w:fldChar w:fldCharType="end"/>
      </w:r>
      <w:r w:rsidRPr="00A57EFF">
        <w:rPr>
          <w:rFonts w:ascii="Times New Roman" w:hAnsi="Times New Roman"/>
          <w:sz w:val="24"/>
        </w:rPr>
        <w:t xml:space="preserve">. This contrasts with the microdialysis probe where citrate exudation is solely driven by the strength of the diffusion gradient and associated ion sieving effects at the microdialysis probe-soil interface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&lt;EndNote&gt;&lt;Cite&gt;&lt;Author&gt;Galach&lt;/Author&gt;&lt;Year&gt;2012&lt;/Year&gt;&lt;RecNum&gt;215&lt;/RecNum&gt;&lt;DisplayText&gt;(Galach and Waniewski 2012)&lt;/DisplayText&gt;&lt;record&gt;&lt;rec-number&gt;215&lt;/rec-number&gt;&lt;foreign-keys&gt;&lt;key app="EN" db-id="0sapex5pfwrt05ep5w3x2zd0tdt9050e5fax" timestamp="1563362385"&gt;215&lt;/key&gt;&lt;/foreign-keys&gt;&lt;ref-type name="Journal Article"&gt;17&lt;/ref-type&gt;&lt;contributors&gt;&lt;authors&gt;&lt;author&gt;Galach, Magda&lt;/author&gt;&lt;author&gt;Waniewski, Jacek&lt;/author&gt;&lt;/authors&gt;&lt;/contributors&gt;&lt;titles&gt;&lt;title&gt;Membrane transport of several ions during peritoneal dialysis: mathematical modeling&lt;/title&gt;&lt;secondary-title&gt;Artificial organs&lt;/secondary-title&gt;&lt;/titles&gt;&lt;periodical&gt;&lt;full-title&gt;Artificial organs&lt;/full-title&gt;&lt;/periodical&gt;&lt;pages&gt;E163-E178&lt;/pages&gt;&lt;volume&gt;36&lt;/volume&gt;&lt;number&gt;9&lt;/number&gt;&lt;dates&gt;&lt;year&gt;2012&lt;/year&gt;&lt;/dates&gt;&lt;isbn&gt;0160-564X&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(Galach and Waniewski 2012)</w:t>
      </w:r>
      <w:r w:rsidRPr="00A57EFF">
        <w:rPr>
          <w:rFonts w:ascii="Times New Roman" w:hAnsi="Times New Roman"/>
          <w:sz w:val="24"/>
        </w:rPr>
        <w:fldChar w:fldCharType="end"/>
      </w:r>
      <w:r w:rsidRPr="00A57EFF">
        <w:rPr>
          <w:rFonts w:ascii="Times New Roman" w:hAnsi="Times New Roman"/>
          <w:sz w:val="24"/>
        </w:rPr>
        <w:t xml:space="preserve">. Our findings, however, suggest that a suitable concentration of citrate can be used in the perfusate so that the microdialysis probe exudes the same quantity of citrate as a </w:t>
      </w:r>
      <w:r w:rsidRPr="00AA6F1F">
        <w:rPr>
          <w:rFonts w:ascii="Times New Roman" w:eastAsia="Calibri" w:hAnsi="Times New Roman" w:cs="Times New Roman"/>
          <w:sz w:val="24"/>
          <w:szCs w:val="24"/>
        </w:rPr>
        <w:t>model root in total, but fails to mimic the dynamic behaviour</w:t>
      </w:r>
      <w:r w:rsidRPr="00A57EFF">
        <w:rPr>
          <w:rFonts w:ascii="Times New Roman" w:hAnsi="Times New Roman"/>
          <w:sz w:val="24"/>
        </w:rPr>
        <w:t>.</w:t>
      </w:r>
    </w:p>
    <w:p w:rsidR="00AA6F1F" w:rsidRPr="00A57EFF" w:rsidRDefault="00AA6F1F" w:rsidP="00AA6F1F">
      <w:pPr>
        <w:spacing w:after="0" w:line="480" w:lineRule="auto"/>
        <w:rPr>
          <w:rFonts w:ascii="Times New Roman" w:hAnsi="Times New Roman"/>
          <w:b/>
          <w:sz w:val="24"/>
        </w:rPr>
      </w:pPr>
      <w:r w:rsidRPr="00A57EFF">
        <w:rPr>
          <w:rFonts w:ascii="Times New Roman" w:hAnsi="Times New Roman"/>
          <w:b/>
          <w:sz w:val="24"/>
        </w:rPr>
        <w:t>Modelling the impact of organic acid exudation on root P uptake</w:t>
      </w:r>
    </w:p>
    <w:p w:rsidR="00AA6F1F" w:rsidRPr="00AA6F1F" w:rsidRDefault="00AA6F1F" w:rsidP="00AA6F1F">
      <w:pPr>
        <w:spacing w:after="200" w:line="480" w:lineRule="auto"/>
        <w:rPr>
          <w:rFonts w:ascii="Times New Roman" w:eastAsia="Calibri" w:hAnsi="Times New Roman" w:cs="Times New Roman"/>
          <w:sz w:val="24"/>
        </w:rPr>
      </w:pPr>
      <w:r w:rsidRPr="00A57EFF">
        <w:rPr>
          <w:rFonts w:ascii="Times New Roman" w:hAnsi="Times New Roman"/>
          <w:sz w:val="24"/>
        </w:rPr>
        <w:t>When we used a citrate exudation rate similar to an oilseed rape plant</w:t>
      </w:r>
      <w:r w:rsidRPr="00AA6F1F">
        <w:rPr>
          <w:rFonts w:ascii="Times New Roman" w:eastAsia="Calibri" w:hAnsi="Times New Roman" w:cs="Times New Roman"/>
          <w:sz w:val="24"/>
          <w:szCs w:val="24"/>
        </w:rPr>
        <w:t xml:space="preserve"> </w:t>
      </w:r>
      <w:r w:rsidRPr="00AA6F1F">
        <w:rPr>
          <w:rFonts w:ascii="Times New Roman" w:eastAsia="Calibri" w:hAnsi="Times New Roman" w:cs="Times New Roman"/>
          <w:sz w:val="24"/>
        </w:rPr>
        <w:fldChar w:fldCharType="begin"/>
      </w:r>
      <w:r w:rsidRPr="00AA6F1F">
        <w:rPr>
          <w:rFonts w:ascii="Times New Roman" w:eastAsia="Calibri" w:hAnsi="Times New Roman" w:cs="Times New Roman"/>
          <w:sz w:val="24"/>
        </w:rPr>
        <w:instrText xml:space="preserve"> ADDIN EN.CITE &lt;EndNote&gt;&lt;Cite&gt;&lt;Author&gt;Hoffland&lt;/Author&gt;&lt;Year&gt;1992&lt;/Year&gt;&lt;RecNum&gt;120&lt;/RecNum&gt;&lt;DisplayText&gt;(Hoffland 1992)&lt;/DisplayText&gt;&lt;record&gt;&lt;rec-number&gt;120&lt;/rec-number&gt;&lt;foreign-keys&gt;&lt;key app="EN" db-id="0sapex5pfwrt05ep5w3x2zd0tdt9050e5fax" timestamp="1517927609"&gt;120&lt;/key&gt;&lt;/foreign-keys&gt;&lt;ref-type name="Journal Article"&gt;17&lt;/ref-type&gt;&lt;contributors&gt;&lt;authors&gt;&lt;author&gt;Hoffland, Ellis&lt;/author&gt;&lt;/authors&gt;&lt;/contributors&gt;&lt;titles&gt;&lt;title&gt;Quantitative evaluation of the role of organic acid exudation in the mobilization of rock phosphate by rape&lt;/title&gt;&lt;secondary-title&gt;Plant and Soil&lt;/secondary-title&gt;&lt;/titles&gt;&lt;periodical&gt;&lt;full-title&gt;Plant and Soil&lt;/full-title&gt;&lt;/periodical&gt;&lt;pages&gt;279-289&lt;/pages&gt;&lt;volume&gt;140&lt;/volume&gt;&lt;number&gt;2&lt;/number&gt;&lt;dates&gt;&lt;year&gt;1992&lt;/year&gt;&lt;/dates&gt;&lt;isbn&gt;0032-079X&lt;/isbn&gt;&lt;urls&gt;&lt;/urls&gt;&lt;/record&gt;&lt;/Cite&gt;&lt;/EndNote&gt;</w:instrText>
      </w:r>
      <w:r w:rsidRPr="00AA6F1F">
        <w:rPr>
          <w:rFonts w:ascii="Times New Roman" w:eastAsia="Calibri" w:hAnsi="Times New Roman" w:cs="Times New Roman"/>
          <w:sz w:val="24"/>
        </w:rPr>
        <w:fldChar w:fldCharType="separate"/>
      </w:r>
      <w:r w:rsidRPr="00AA6F1F">
        <w:rPr>
          <w:rFonts w:ascii="Times New Roman" w:eastAsia="Calibri" w:hAnsi="Times New Roman" w:cs="Times New Roman"/>
          <w:noProof/>
          <w:sz w:val="24"/>
        </w:rPr>
        <w:t>(Hoffland 1992)</w:t>
      </w:r>
      <w:r w:rsidRPr="00AA6F1F">
        <w:rPr>
          <w:rFonts w:ascii="Times New Roman" w:eastAsia="Calibri" w:hAnsi="Times New Roman" w:cs="Times New Roman"/>
          <w:sz w:val="24"/>
        </w:rPr>
        <w:fldChar w:fldCharType="end"/>
      </w:r>
      <w:r w:rsidRPr="00AA6F1F">
        <w:rPr>
          <w:rFonts w:ascii="Times New Roman" w:eastAsia="Calibri" w:hAnsi="Times New Roman" w:cs="Times New Roman"/>
          <w:sz w:val="24"/>
          <w:szCs w:val="24"/>
        </w:rPr>
        <w:t xml:space="preserve"> and added 0.1 µmol of P to the model soil</w:t>
      </w:r>
      <w:r w:rsidRPr="00A57EFF">
        <w:rPr>
          <w:rFonts w:ascii="Times New Roman" w:hAnsi="Times New Roman"/>
          <w:sz w:val="24"/>
        </w:rPr>
        <w:t xml:space="preserve">, it was found that little additional P was absorbed compared to a non-citrate exuding root (&lt;1% enhancement of P acquisition). </w:t>
      </w:r>
      <w:r w:rsidRPr="00AA6F1F">
        <w:rPr>
          <w:rFonts w:ascii="Times New Roman" w:eastAsia="Calibri" w:hAnsi="Times New Roman" w:cs="Times New Roman"/>
          <w:sz w:val="24"/>
          <w:szCs w:val="24"/>
        </w:rPr>
        <w:t xml:space="preserve">In comparison, other models report significant gains from citrate exudation. After 16 days of model time,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 AuthorYear="1"&gt;&lt;Author&gt;Schnepf&lt;/Author&gt;&lt;Year&gt;2012&lt;/Year&gt;&lt;RecNum&gt;188&lt;/RecNum&gt;&lt;DisplayText&gt;Schnepf et al. (2012)&lt;/DisplayText&gt;&lt;record&gt;&lt;rec-number&gt;188&lt;/rec-number&gt;&lt;foreign-keys&gt;&lt;key app="EN" db-id="0sapex5pfwrt05ep5w3x2zd0tdt9050e5fax" timestamp="1550580592"&gt;188&lt;/key&gt;&lt;/foreign-keys&gt;&lt;ref-type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sz w:val="24"/>
          <w:szCs w:val="24"/>
        </w:rPr>
        <w:t>Schnepf et al. (2012)</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 xml:space="preserve"> found an entire root system could gain between 4 and 19% extra P depending on exudation patterns.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 AuthorYear="1"&gt;&lt;Author&gt;Schnepf&lt;/Author&gt;&lt;Year&gt;2012&lt;/Year&gt;&lt;RecNum&gt;188&lt;/RecNum&gt;&lt;DisplayText&gt;Schnepf et al. (2012)&lt;/DisplayText&gt;&lt;record&gt;&lt;rec-number&gt;188&lt;/rec-number&gt;&lt;foreign-keys&gt;&lt;key app="EN" db-id="0sapex5pfwrt05ep5w3x2zd0tdt9050e5fax" timestamp="1550580592"&gt;188&lt;/key&gt;&lt;/foreign-keys&gt;&lt;ref-type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sz w:val="24"/>
          <w:szCs w:val="24"/>
        </w:rPr>
        <w:t>Schnepf et al. (2012)</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 xml:space="preserve"> used the kinetic competitive Langmuir reaction equation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&lt;EndNote&gt;&lt;Cite&gt;&lt;Author&gt;Van de Weerd&lt;/Author&gt;&lt;Year&gt;1999&lt;/Year&gt;&lt;RecNum&gt;234&lt;/RecNum&gt;&lt;DisplayText&gt;(Van de Weerd et al. 1999)&lt;/DisplayText&gt;&lt;record&gt;&lt;rec-number&gt;234&lt;/rec-number&gt;&lt;foreign-keys&gt;&lt;key app="EN" db-id="0sapex5pfwrt05ep5w3x2zd0tdt9050e5fax" timestamp="1569512890"&gt;234&lt;/key&gt;&lt;/foreign-keys&gt;&lt;ref-type name="Journal Article"&gt;17&lt;/ref-type&gt;&lt;contributors&gt;&lt;authors&gt;&lt;author&gt;Van de Weerd, H&lt;/author&gt;&lt;author&gt;Van Riemsdijk, WH&lt;/author&gt;&lt;author&gt;Leijnse, A&lt;/author&gt;&lt;/authors&gt;&lt;/contributors&gt;&lt;titles&gt;&lt;title&gt;Modeling the dynamic adsorption/desorption of a NOM mixture: Effects of physical and chemical heterogeneity&lt;/title&gt;&lt;secondary-title&gt;Environmental science &amp;amp; technology&lt;/secondary-title&gt;&lt;/titles&gt;&lt;periodical&gt;&lt;full-title&gt;Environmental Science &amp;amp; Technology&lt;/full-title&gt;&lt;/periodical&gt;&lt;pages&gt;1675-1681&lt;/pages&gt;&lt;volume&gt;33&lt;/volume&gt;&lt;number&gt;10&lt;/number&gt;&lt;dates&gt;&lt;year&gt;1999&lt;/year&gt;&lt;/dates&gt;&lt;isbn&gt;0013-936X&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sz w:val="24"/>
          <w:szCs w:val="24"/>
        </w:rPr>
        <w:t>(Van de Weerd et al. 1999)</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 xml:space="preserve"> </w:t>
      </w:r>
      <w:r w:rsidR="005F4857">
        <w:rPr>
          <w:rFonts w:ascii="Times New Roman" w:eastAsia="Calibri" w:hAnsi="Times New Roman" w:cs="Times New Roman"/>
          <w:sz w:val="24"/>
          <w:szCs w:val="24"/>
        </w:rPr>
        <w:t xml:space="preserve">they assumed </w:t>
      </w:r>
      <w:r w:rsidRPr="00AA6F1F">
        <w:rPr>
          <w:rFonts w:ascii="Times New Roman" w:eastAsia="Calibri" w:hAnsi="Times New Roman" w:cs="Times New Roman"/>
          <w:sz w:val="24"/>
          <w:szCs w:val="24"/>
        </w:rPr>
        <w:t>desorption</w:t>
      </w:r>
      <w:r w:rsidR="005F4857">
        <w:rPr>
          <w:rFonts w:ascii="Times New Roman" w:eastAsia="Calibri" w:hAnsi="Times New Roman" w:cs="Times New Roman"/>
          <w:sz w:val="24"/>
          <w:szCs w:val="24"/>
        </w:rPr>
        <w:t xml:space="preserve"> was fast to send</w:t>
      </w:r>
      <w:r w:rsidRPr="00AA6F1F">
        <w:rPr>
          <w:rFonts w:ascii="Times New Roman" w:eastAsia="Calibri" w:hAnsi="Times New Roman" w:cs="Times New Roman"/>
          <w:sz w:val="24"/>
          <w:szCs w:val="24"/>
        </w:rPr>
        <w:t xml:space="preserve"> citrate-enhanced P solubilisation</w:t>
      </w:r>
      <w:r w:rsidR="005F4857">
        <w:rPr>
          <w:rFonts w:ascii="Times New Roman" w:eastAsia="Calibri" w:hAnsi="Times New Roman" w:cs="Times New Roman"/>
          <w:sz w:val="24"/>
          <w:szCs w:val="24"/>
        </w:rPr>
        <w:t xml:space="preserve"> in equilibrium</w:t>
      </w:r>
      <w:r w:rsidRPr="00AA6F1F">
        <w:rPr>
          <w:rFonts w:ascii="Times New Roman" w:eastAsia="Calibri" w:hAnsi="Times New Roman" w:cs="Times New Roman"/>
          <w:sz w:val="24"/>
          <w:szCs w:val="24"/>
        </w:rPr>
        <w:t xml:space="preserve"> (the parameters were not experimentally verified) and considered multiple roots which interacted. They also used a root exudation rate of </w:t>
      </w:r>
      <m:oMath>
        <m:r>
          <w:rPr>
            <w:rFonts w:ascii="Cambria Math" w:eastAsia="Calibri" w:hAnsi="Cambria Math" w:cs="Times New Roman"/>
            <w:sz w:val="24"/>
            <w:szCs w:val="24"/>
          </w:rPr>
          <m:t>3×</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10</m:t>
            </m:r>
          </m:e>
          <m:sup>
            <m:r>
              <w:rPr>
                <w:rFonts w:ascii="Cambria Math" w:eastAsia="Calibri" w:hAnsi="Cambria Math" w:cs="Times New Roman"/>
                <w:sz w:val="24"/>
                <w:szCs w:val="24"/>
              </w:rPr>
              <m:t>-2</m:t>
            </m:r>
          </m:sup>
        </m:sSup>
      </m:oMath>
      <w:r w:rsidRPr="00AA6F1F">
        <w:rPr>
          <w:rFonts w:ascii="Times New Roman" w:eastAsia="Calibri" w:hAnsi="Times New Roman" w:cs="Times New Roman"/>
          <w:sz w:val="24"/>
          <w:szCs w:val="24"/>
        </w:rPr>
        <w:t xml:space="preserve"> µmol m</w:t>
      </w:r>
      <w:r w:rsidRPr="00AA6F1F">
        <w:rPr>
          <w:rFonts w:ascii="Times New Roman" w:eastAsia="Calibri" w:hAnsi="Times New Roman" w:cs="Times New Roman"/>
          <w:sz w:val="24"/>
          <w:szCs w:val="24"/>
          <w:vertAlign w:val="superscript"/>
        </w:rPr>
        <w:t xml:space="preserve">-2 </w:t>
      </w:r>
      <w:r w:rsidRPr="00AA6F1F">
        <w:rPr>
          <w:rFonts w:ascii="Times New Roman" w:eastAsia="Calibri" w:hAnsi="Times New Roman" w:cs="Times New Roman"/>
          <w:sz w:val="24"/>
          <w:szCs w:val="24"/>
        </w:rPr>
        <w:t>s</w:t>
      </w:r>
      <w:r w:rsidRPr="00AA6F1F">
        <w:rPr>
          <w:rFonts w:ascii="Times New Roman" w:eastAsia="Calibri" w:hAnsi="Times New Roman" w:cs="Times New Roman"/>
          <w:sz w:val="24"/>
          <w:szCs w:val="24"/>
          <w:vertAlign w:val="superscript"/>
        </w:rPr>
        <w:t>-1</w:t>
      </w:r>
      <w:r w:rsidRPr="00AA6F1F">
        <w:rPr>
          <w:rFonts w:ascii="Times New Roman" w:eastAsia="Calibri" w:hAnsi="Times New Roman" w:cs="Times New Roman"/>
          <w:sz w:val="24"/>
          <w:szCs w:val="24"/>
        </w:rPr>
        <w:t xml:space="preserve">, an order of magnitude larger than that in the current study.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 AuthorYear="1"&gt;&lt;Author&gt;Zygalakis&lt;/Author&gt;&lt;Year&gt;2012&lt;/Year&gt;&lt;RecNum&gt;16&lt;/RecNum&gt;&lt;DisplayText&gt;Zygalakis and Roose (2012)&lt;/DisplayText&gt;&lt;record&gt;&lt;rec-number&gt;16&lt;/rec-number&gt;&lt;foreign-keys&gt;&lt;key app="EN" db-id="0sapex5pfwrt05ep5w3x2zd0tdt9050e5fax" timestamp="1454061516"&gt;16&lt;/key&gt;&lt;/foreign-keys&gt;&lt;ref-type name="Journal Article"&gt;17&lt;/ref-type&gt;&lt;contributors&gt;&lt;authors&gt;&lt;author&gt;Zygalakis, KC&lt;/author&gt;&lt;author&gt;Roose, T&lt;/author&gt;&lt;/authors&gt;&lt;/contributors&gt;&lt;titles&gt;&lt;title&gt;A mathematical model for investigating the effect of cluster roots on plant nutrient uptake&lt;/title&gt;&lt;secondary-title&gt;The European Physical Journal Special Topics&lt;/secondary-title&gt;&lt;/titles&gt;&lt;periodical&gt;&lt;full-title&gt;The European Physical Journal Special Topics&lt;/full-title&gt;&lt;/periodical&gt;&lt;pages&gt;103-118&lt;/pages&gt;&lt;volume&gt;204&lt;/volume&gt;&lt;number&gt;1&lt;/number&gt;&lt;dates&gt;&lt;year&gt;2012&lt;/year&gt;&lt;/dates&gt;&lt;isbn&gt;1951-6355&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sz w:val="24"/>
          <w:szCs w:val="24"/>
        </w:rPr>
        <w:t>Zygalakis and Roose (2012)</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 xml:space="preserve"> used a similar model of citrate-enhanced P solubilisation to that used in the current work, with the reactions sent into equilibrium. They used a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3</m:t>
            </m:r>
          </m:sub>
        </m:sSub>
        <m:r>
          <w:rPr>
            <w:rFonts w:ascii="Cambria Math" w:eastAsia="Calibri" w:hAnsi="Cambria Math" w:cs="Times New Roman"/>
            <w:sz w:val="24"/>
            <w:szCs w:val="24"/>
          </w:rPr>
          <m:t>/</m:t>
        </m:r>
      </m:oMath>
      <w:r w:rsidRPr="00AA6F1F">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β</m:t>
            </m:r>
          </m:e>
          <m:sub>
            <m:r>
              <w:rPr>
                <w:rFonts w:ascii="Cambria Math" w:eastAsia="Calibri" w:hAnsi="Cambria Math" w:cs="Times New Roman"/>
                <w:sz w:val="24"/>
                <w:szCs w:val="24"/>
              </w:rPr>
              <m:t>1</m:t>
            </m:r>
          </m:sub>
        </m:sSub>
      </m:oMath>
      <w:r w:rsidRPr="00AA6F1F">
        <w:rPr>
          <w:rFonts w:ascii="Times New Roman" w:eastAsia="Calibri" w:hAnsi="Times New Roman" w:cs="Times New Roman"/>
          <w:sz w:val="24"/>
          <w:szCs w:val="24"/>
        </w:rPr>
        <w:t xml:space="preserve"> ratio two orders of magnitude larger than the current (with no experimental support) and predicted cluster roots can absorb up to 35% more P due to citrate exudation. However, assuming the soil reactions are fast relative to diffusion to send the soil reactions </w:t>
      </w:r>
      <w:r w:rsidR="005F4857">
        <w:rPr>
          <w:rFonts w:ascii="Times New Roman" w:eastAsia="Calibri" w:hAnsi="Times New Roman" w:cs="Times New Roman"/>
          <w:sz w:val="24"/>
          <w:szCs w:val="24"/>
        </w:rPr>
        <w:t xml:space="preserve">into equilibrium </w:t>
      </w:r>
      <w:r w:rsidRPr="00AA6F1F">
        <w:rPr>
          <w:rFonts w:ascii="Times New Roman" w:eastAsia="Calibri" w:hAnsi="Times New Roman" w:cs="Times New Roman"/>
          <w:sz w:val="24"/>
          <w:szCs w:val="24"/>
        </w:rPr>
        <w:t xml:space="preserve">can incur an error. </w:t>
      </w:r>
      <w:r w:rsidRPr="00AA6F1F">
        <w:rPr>
          <w:rFonts w:ascii="Times New Roman" w:eastAsia="Calibri" w:hAnsi="Times New Roman" w:cs="Times New Roman"/>
          <w:sz w:val="24"/>
        </w:rPr>
        <w:t xml:space="preserve">Using a similar non-dimensionalisation to </w:t>
      </w:r>
      <w:r w:rsidRPr="00AA6F1F">
        <w:rPr>
          <w:rFonts w:ascii="Times New Roman" w:eastAsia="Calibri" w:hAnsi="Times New Roman" w:cs="Times New Roman"/>
          <w:sz w:val="24"/>
        </w:rPr>
        <w:fldChar w:fldCharType="begin"/>
      </w:r>
      <w:r w:rsidRPr="00AA6F1F">
        <w:rPr>
          <w:rFonts w:ascii="Times New Roman" w:eastAsia="Calibri" w:hAnsi="Times New Roman" w:cs="Times New Roman"/>
          <w:sz w:val="24"/>
        </w:rPr>
        <w:instrText xml:space="preserve"> ADDIN EN.CITE &lt;EndNote&gt;&lt;Cite AuthorYear="1"&gt;&lt;Author&gt;Zygalakis&lt;/Author&gt;&lt;Year&gt;2012&lt;/Year&gt;&lt;RecNum&gt;16&lt;/RecNum&gt;&lt;DisplayText&gt;Zygalakis and Roose (2012)&lt;/DisplayText&gt;&lt;record&gt;&lt;rec-number&gt;16&lt;/rec-number&gt;&lt;foreign-keys&gt;&lt;key app="EN" db-id="0sapex5pfwrt05ep5w3x2zd0tdt9050e5fax" timestamp="1454061516"&gt;16&lt;/key&gt;&lt;/foreign-keys&gt;&lt;ref-type name="Journal Article"&gt;17&lt;/ref-type&gt;&lt;contributors&gt;&lt;authors&gt;&lt;author&gt;Zygalakis, KC&lt;/author&gt;&lt;author&gt;Roose, T&lt;/author&gt;&lt;/authors&gt;&lt;/contributors&gt;&lt;titles&gt;&lt;title&gt;A mathematical model for investigating the effect of cluster roots on plant nutrient uptake&lt;/title&gt;&lt;secondary-title&gt;The European Physical Journal Special Topics&lt;/secondary-title&gt;&lt;/titles&gt;&lt;periodical&gt;&lt;full-title&gt;The European Physical Journal Special Topics&lt;/full-title&gt;&lt;/periodical&gt;&lt;pages&gt;103-118&lt;/pages&gt;&lt;volume&gt;204&lt;/volume&gt;&lt;number&gt;1&lt;/number&gt;&lt;dates&gt;&lt;year&gt;2012&lt;/year&gt;&lt;/dates&gt;&lt;isbn&gt;1951-6355&lt;/isbn&gt;&lt;urls&gt;&lt;/urls&gt;&lt;/record&gt;&lt;/Cite&gt;&lt;/EndNote&gt;</w:instrText>
      </w:r>
      <w:r w:rsidRPr="00AA6F1F">
        <w:rPr>
          <w:rFonts w:ascii="Times New Roman" w:eastAsia="Calibri" w:hAnsi="Times New Roman" w:cs="Times New Roman"/>
          <w:sz w:val="24"/>
        </w:rPr>
        <w:fldChar w:fldCharType="separate"/>
      </w:r>
      <w:r w:rsidRPr="00AA6F1F">
        <w:rPr>
          <w:rFonts w:ascii="Times New Roman" w:eastAsia="Calibri" w:hAnsi="Times New Roman" w:cs="Times New Roman"/>
          <w:noProof/>
          <w:sz w:val="24"/>
        </w:rPr>
        <w:t>Zygalakis and Roose (2012)</w:t>
      </w:r>
      <w:r w:rsidRPr="00AA6F1F">
        <w:rPr>
          <w:rFonts w:ascii="Times New Roman" w:eastAsia="Calibri" w:hAnsi="Times New Roman" w:cs="Times New Roman"/>
          <w:sz w:val="24"/>
        </w:rPr>
        <w:fldChar w:fldCharType="end"/>
      </w:r>
      <w:r w:rsidRPr="00AA6F1F">
        <w:rPr>
          <w:rFonts w:ascii="Times New Roman" w:eastAsia="Calibri" w:hAnsi="Times New Roman" w:cs="Times New Roman"/>
          <w:sz w:val="24"/>
        </w:rPr>
        <w:t xml:space="preserve"> (non-dimensionalise P concentration with </w:t>
      </w:r>
      <m:oMath>
        <m:r>
          <w:rPr>
            <w:rFonts w:ascii="Cambria Math" w:eastAsia="Calibri" w:hAnsi="Cambria Math" w:cs="Times New Roman"/>
            <w:sz w:val="24"/>
          </w:rPr>
          <m:t>K</m:t>
        </m:r>
      </m:oMath>
      <w:r w:rsidRPr="00AA6F1F">
        <w:rPr>
          <w:rFonts w:ascii="Times New Roman" w:eastAsia="Times New Roman" w:hAnsi="Times New Roman" w:cs="Times New Roman"/>
          <w:sz w:val="24"/>
        </w:rPr>
        <w:t>, sorbed citrate concentration with the maximum achieved when using the realistic root exudation rate (</w:t>
      </w:r>
      <m:oMath>
        <m:sSubSup>
          <m:sSubSupPr>
            <m:ctrlPr>
              <w:rPr>
                <w:rFonts w:ascii="Cambria Math" w:eastAsia="Times New Roman" w:hAnsi="Cambria Math" w:cs="Times New Roman"/>
                <w:i/>
                <w:sz w:val="24"/>
              </w:rPr>
            </m:ctrlPr>
          </m:sSubSupPr>
          <m:e>
            <m:r>
              <w:rPr>
                <w:rFonts w:ascii="Cambria Math" w:eastAsia="Times New Roman" w:hAnsi="Cambria Math" w:cs="Times New Roman"/>
                <w:sz w:val="24"/>
              </w:rPr>
              <m:t>C</m:t>
            </m:r>
          </m:e>
          <m:sub>
            <m:r>
              <w:rPr>
                <w:rFonts w:ascii="Cambria Math" w:eastAsia="Times New Roman" w:hAnsi="Cambria Math" w:cs="Times New Roman"/>
                <w:sz w:val="24"/>
              </w:rPr>
              <m:t>s</m:t>
            </m:r>
          </m:sub>
          <m:sup>
            <m:r>
              <w:rPr>
                <w:rFonts w:ascii="Cambria Math" w:eastAsia="Times New Roman" w:hAnsi="Cambria Math" w:cs="Times New Roman"/>
                <w:sz w:val="24"/>
              </w:rPr>
              <m:t>max</m:t>
            </m:r>
          </m:sup>
        </m:sSubSup>
      </m:oMath>
      <w:r w:rsidRPr="00AA6F1F">
        <w:rPr>
          <w:rFonts w:ascii="Times New Roman" w:eastAsia="Times New Roman" w:hAnsi="Times New Roman" w:cs="Times New Roman"/>
          <w:sz w:val="24"/>
        </w:rPr>
        <w:t xml:space="preserve">)  and length, </w:t>
      </w:r>
      <m:oMath>
        <m:r>
          <w:rPr>
            <w:rFonts w:ascii="Cambria Math" w:eastAsia="Times New Roman" w:hAnsi="Cambria Math" w:cs="Times New Roman"/>
            <w:sz w:val="24"/>
          </w:rPr>
          <m:t>l</m:t>
        </m:r>
      </m:oMath>
      <w:r w:rsidRPr="00AA6F1F">
        <w:rPr>
          <w:rFonts w:ascii="Times New Roman" w:eastAsia="Times New Roman" w:hAnsi="Times New Roman" w:cs="Times New Roman"/>
          <w:sz w:val="24"/>
        </w:rPr>
        <w:t>, with the height of the Eppendorf tube)</w:t>
      </w:r>
      <w:r w:rsidRPr="00AA6F1F">
        <w:rPr>
          <w:rFonts w:ascii="Times New Roman" w:eastAsia="Calibri" w:hAnsi="Times New Roman" w:cs="Times New Roman"/>
          <w:sz w:val="24"/>
        </w:rPr>
        <w:t xml:space="preserve"> we find that adsorption happens at rates on the order of </w:t>
      </w:r>
      <w:r w:rsidRPr="00AA6F1F">
        <w:rPr>
          <w:rFonts w:ascii="Times New Roman" w:eastAsia="Times New Roman" w:hAnsi="Times New Roman" w:cs="Times New Roman"/>
          <w:sz w:val="24"/>
        </w:rPr>
        <w:t>10</w:t>
      </w:r>
      <w:r w:rsidRPr="00AA6F1F">
        <w:rPr>
          <w:rFonts w:ascii="Times New Roman" w:eastAsia="Times New Roman" w:hAnsi="Times New Roman" w:cs="Times New Roman"/>
          <w:sz w:val="24"/>
          <w:vertAlign w:val="superscript"/>
        </w:rPr>
        <w:t>0</w:t>
      </w:r>
      <w:r w:rsidRPr="00AA6F1F">
        <w:rPr>
          <w:rFonts w:ascii="Times New Roman" w:eastAsia="Calibri" w:hAnsi="Times New Roman" w:cs="Times New Roman"/>
          <w:sz w:val="24"/>
        </w:rPr>
        <w:t xml:space="preserve"> </w:t>
      </w:r>
      <w:r w:rsidRPr="00AA6F1F">
        <w:rPr>
          <w:rFonts w:ascii="Times New Roman" w:eastAsia="Times New Roman" w:hAnsi="Times New Roman" w:cs="Times New Roman"/>
          <w:sz w:val="24"/>
        </w:rPr>
        <w:t>(</w:t>
      </w:r>
      <m:oMath>
        <m:f>
          <m:fPr>
            <m:ctrlPr>
              <w:rPr>
                <w:rFonts w:ascii="Cambria Math" w:eastAsia="Times New Roman" w:hAnsi="Cambria Math" w:cs="Times New Roman"/>
                <w:i/>
                <w:sz w:val="24"/>
              </w:rPr>
            </m:ctrlPr>
          </m:fPr>
          <m:num>
            <m:sSub>
              <m:sSubPr>
                <m:ctrlPr>
                  <w:rPr>
                    <w:rFonts w:ascii="Cambria Math" w:eastAsia="Calibri" w:hAnsi="Cambria Math" w:cs="Times New Roman"/>
                    <w:i/>
                    <w:sz w:val="24"/>
                  </w:rPr>
                </m:ctrlPr>
              </m:sSubPr>
              <m:e>
                <m:r>
                  <w:rPr>
                    <w:rFonts w:ascii="Cambria Math" w:eastAsia="Calibri" w:hAnsi="Cambria Math" w:cs="Times New Roman"/>
                    <w:sz w:val="24"/>
                  </w:rPr>
                  <m:t>β</m:t>
                </m:r>
              </m:e>
              <m:sub>
                <m:r>
                  <w:rPr>
                    <w:rFonts w:ascii="Cambria Math" w:eastAsia="Calibri" w:hAnsi="Cambria Math" w:cs="Times New Roman"/>
                    <w:sz w:val="24"/>
                  </w:rPr>
                  <m:t>1</m:t>
                </m:r>
              </m:sub>
            </m:sSub>
            <m:sSup>
              <m:sSupPr>
                <m:ctrlPr>
                  <w:rPr>
                    <w:rFonts w:ascii="Cambria Math" w:eastAsia="Calibri" w:hAnsi="Cambria Math" w:cs="Times New Roman"/>
                    <w:i/>
                    <w:sz w:val="24"/>
                  </w:rPr>
                </m:ctrlPr>
              </m:sSupPr>
              <m:e>
                <m:r>
                  <w:rPr>
                    <w:rFonts w:ascii="Cambria Math" w:eastAsia="Calibri" w:hAnsi="Cambria Math" w:cs="Times New Roman"/>
                    <w:sz w:val="24"/>
                  </w:rPr>
                  <m:t>l</m:t>
                </m:r>
              </m:e>
              <m:sup>
                <m:r>
                  <w:rPr>
                    <w:rFonts w:ascii="Cambria Math" w:eastAsia="Calibri" w:hAnsi="Cambria Math" w:cs="Times New Roman"/>
                    <w:sz w:val="24"/>
                  </w:rPr>
                  <m:t>2</m:t>
                </m:r>
              </m:sup>
            </m:sSup>
          </m:num>
          <m:den>
            <m:r>
              <w:rPr>
                <w:rFonts w:ascii="Cambria Math" w:eastAsia="Times New Roman" w:hAnsi="Cambria Math" w:cs="Times New Roman"/>
                <w:sz w:val="24"/>
              </w:rPr>
              <m:t>D</m:t>
            </m:r>
          </m:den>
        </m:f>
      </m:oMath>
      <w:r w:rsidRPr="00AA6F1F">
        <w:rPr>
          <w:rFonts w:ascii="Times New Roman" w:eastAsia="Times New Roman" w:hAnsi="Times New Roman" w:cs="Times New Roman"/>
          <w:sz w:val="24"/>
        </w:rPr>
        <w:t xml:space="preserve"> )</w:t>
      </w:r>
      <w:r w:rsidRPr="00AA6F1F">
        <w:rPr>
          <w:rFonts w:ascii="Times New Roman" w:eastAsia="Calibri" w:hAnsi="Times New Roman" w:cs="Times New Roman"/>
          <w:sz w:val="24"/>
        </w:rPr>
        <w:t xml:space="preserve"> desorption at </w:t>
      </w:r>
      <w:r w:rsidRPr="00AA6F1F">
        <w:rPr>
          <w:rFonts w:ascii="Times New Roman" w:eastAsia="Times New Roman" w:hAnsi="Times New Roman" w:cs="Times New Roman"/>
          <w:sz w:val="24"/>
        </w:rPr>
        <w:t>10</w:t>
      </w:r>
      <w:r w:rsidRPr="00AA6F1F">
        <w:rPr>
          <w:rFonts w:ascii="Times New Roman" w:eastAsia="Times New Roman" w:hAnsi="Times New Roman" w:cs="Times New Roman"/>
          <w:sz w:val="24"/>
          <w:vertAlign w:val="superscript"/>
        </w:rPr>
        <w:t>-1</w:t>
      </w:r>
      <w:r w:rsidRPr="00AA6F1F">
        <w:rPr>
          <w:rFonts w:ascii="Times New Roman" w:eastAsia="Calibri" w:hAnsi="Times New Roman" w:cs="Times New Roman"/>
          <w:sz w:val="24"/>
        </w:rPr>
        <w:t xml:space="preserve"> (</w:t>
      </w:r>
      <m:oMath>
        <m:f>
          <m:fPr>
            <m:ctrlPr>
              <w:rPr>
                <w:rFonts w:ascii="Cambria Math" w:eastAsia="Calibri" w:hAnsi="Cambria Math" w:cs="Times New Roman"/>
                <w:i/>
                <w:sz w:val="24"/>
              </w:rPr>
            </m:ctrlPr>
          </m:fPr>
          <m:num>
            <m:sSub>
              <m:sSubPr>
                <m:ctrlPr>
                  <w:rPr>
                    <w:rFonts w:ascii="Cambria Math" w:eastAsia="Calibri" w:hAnsi="Cambria Math" w:cs="Times New Roman"/>
                    <w:i/>
                    <w:sz w:val="24"/>
                  </w:rPr>
                </m:ctrlPr>
              </m:sSubPr>
              <m:e>
                <m:r>
                  <w:rPr>
                    <w:rFonts w:ascii="Cambria Math" w:eastAsia="Calibri" w:hAnsi="Cambria Math" w:cs="Times New Roman"/>
                    <w:sz w:val="24"/>
                  </w:rPr>
                  <m:t>β</m:t>
                </m:r>
              </m:e>
              <m:sub>
                <m:r>
                  <w:rPr>
                    <w:rFonts w:ascii="Cambria Math" w:eastAsia="Calibri" w:hAnsi="Cambria Math" w:cs="Times New Roman"/>
                    <w:sz w:val="24"/>
                  </w:rPr>
                  <m:t>2</m:t>
                </m:r>
              </m:sub>
            </m:sSub>
            <m:sSup>
              <m:sSupPr>
                <m:ctrlPr>
                  <w:rPr>
                    <w:rFonts w:ascii="Cambria Math" w:eastAsia="Calibri" w:hAnsi="Cambria Math" w:cs="Times New Roman"/>
                    <w:i/>
                    <w:sz w:val="24"/>
                  </w:rPr>
                </m:ctrlPr>
              </m:sSupPr>
              <m:e>
                <m:r>
                  <w:rPr>
                    <w:rFonts w:ascii="Cambria Math" w:eastAsia="Calibri" w:hAnsi="Cambria Math" w:cs="Times New Roman"/>
                    <w:sz w:val="24"/>
                  </w:rPr>
                  <m:t>l</m:t>
                </m:r>
              </m:e>
              <m:sup>
                <m:r>
                  <w:rPr>
                    <w:rFonts w:ascii="Cambria Math" w:eastAsia="Calibri" w:hAnsi="Cambria Math" w:cs="Times New Roman"/>
                    <w:sz w:val="24"/>
                  </w:rPr>
                  <m:t>2</m:t>
                </m:r>
              </m:sup>
            </m:sSup>
          </m:num>
          <m:den>
            <m:r>
              <w:rPr>
                <w:rFonts w:ascii="Cambria Math" w:eastAsia="Calibri" w:hAnsi="Cambria Math" w:cs="Times New Roman"/>
                <w:sz w:val="24"/>
              </w:rPr>
              <m:t>D</m:t>
            </m:r>
          </m:den>
        </m:f>
      </m:oMath>
      <w:r w:rsidRPr="00AA6F1F">
        <w:rPr>
          <w:rFonts w:ascii="Times New Roman" w:eastAsia="Calibri" w:hAnsi="Times New Roman" w:cs="Times New Roman"/>
          <w:sz w:val="24"/>
        </w:rPr>
        <w:t xml:space="preserve">) citrate enhanced desorption </w:t>
      </w:r>
      <w:r w:rsidRPr="00AA6F1F">
        <w:rPr>
          <w:rFonts w:ascii="Times New Roman" w:eastAsia="Times New Roman" w:hAnsi="Times New Roman" w:cs="Times New Roman"/>
          <w:sz w:val="24"/>
        </w:rPr>
        <w:t>10</w:t>
      </w:r>
      <w:r w:rsidRPr="00AA6F1F">
        <w:rPr>
          <w:rFonts w:ascii="Times New Roman" w:eastAsia="Times New Roman" w:hAnsi="Times New Roman" w:cs="Times New Roman"/>
          <w:sz w:val="24"/>
          <w:vertAlign w:val="superscript"/>
        </w:rPr>
        <w:t>-5</w:t>
      </w:r>
      <w:r w:rsidRPr="00AA6F1F">
        <w:rPr>
          <w:rFonts w:ascii="Times New Roman" w:eastAsia="Calibri" w:hAnsi="Times New Roman" w:cs="Times New Roman"/>
          <w:sz w:val="24"/>
        </w:rPr>
        <w:t xml:space="preserve"> (</w:t>
      </w:r>
      <m:oMath>
        <m:f>
          <m:fPr>
            <m:ctrlPr>
              <w:rPr>
                <w:rFonts w:ascii="Cambria Math" w:eastAsia="Calibri" w:hAnsi="Cambria Math" w:cs="Times New Roman"/>
                <w:i/>
                <w:sz w:val="24"/>
              </w:rPr>
            </m:ctrlPr>
          </m:fPr>
          <m:num>
            <m:sSub>
              <m:sSubPr>
                <m:ctrlPr>
                  <w:rPr>
                    <w:rFonts w:ascii="Cambria Math" w:eastAsia="Calibri" w:hAnsi="Cambria Math" w:cs="Times New Roman"/>
                    <w:i/>
                    <w:sz w:val="24"/>
                  </w:rPr>
                </m:ctrlPr>
              </m:sSubPr>
              <m:e>
                <m:r>
                  <w:rPr>
                    <w:rFonts w:ascii="Cambria Math" w:eastAsia="Calibri" w:hAnsi="Cambria Math" w:cs="Times New Roman"/>
                    <w:sz w:val="24"/>
                  </w:rPr>
                  <m:t>β</m:t>
                </m:r>
              </m:e>
              <m:sub>
                <m:r>
                  <w:rPr>
                    <w:rFonts w:ascii="Cambria Math" w:eastAsia="Calibri" w:hAnsi="Cambria Math" w:cs="Times New Roman"/>
                    <w:sz w:val="24"/>
                  </w:rPr>
                  <m:t>3</m:t>
                </m:r>
              </m:sub>
            </m:sSub>
            <m:sSup>
              <m:sSupPr>
                <m:ctrlPr>
                  <w:rPr>
                    <w:rFonts w:ascii="Cambria Math" w:eastAsia="Calibri" w:hAnsi="Cambria Math" w:cs="Times New Roman"/>
                    <w:i/>
                    <w:sz w:val="24"/>
                  </w:rPr>
                </m:ctrlPr>
              </m:sSupPr>
              <m:e>
                <m:r>
                  <w:rPr>
                    <w:rFonts w:ascii="Cambria Math" w:eastAsia="Calibri" w:hAnsi="Cambria Math" w:cs="Times New Roman"/>
                    <w:sz w:val="24"/>
                  </w:rPr>
                  <m:t>l</m:t>
                </m:r>
              </m:e>
              <m:sup>
                <m:r>
                  <w:rPr>
                    <w:rFonts w:ascii="Cambria Math" w:eastAsia="Calibri" w:hAnsi="Cambria Math" w:cs="Times New Roman"/>
                    <w:sz w:val="24"/>
                  </w:rPr>
                  <m:t>2</m:t>
                </m:r>
              </m:sup>
            </m:sSup>
            <m:sSubSup>
              <m:sSubSupPr>
                <m:ctrlPr>
                  <w:rPr>
                    <w:rFonts w:ascii="Cambria Math" w:eastAsia="Calibri" w:hAnsi="Cambria Math" w:cs="Times New Roman"/>
                    <w:i/>
                    <w:sz w:val="24"/>
                  </w:rPr>
                </m:ctrlPr>
              </m:sSubSupPr>
              <m:e>
                <m:r>
                  <w:rPr>
                    <w:rFonts w:ascii="Cambria Math" w:eastAsia="Calibri" w:hAnsi="Cambria Math" w:cs="Times New Roman"/>
                    <w:sz w:val="24"/>
                  </w:rPr>
                  <m:t>C</m:t>
                </m:r>
              </m:e>
              <m:sub>
                <m:r>
                  <w:rPr>
                    <w:rFonts w:ascii="Cambria Math" w:eastAsia="Calibri" w:hAnsi="Cambria Math" w:cs="Times New Roman"/>
                    <w:sz w:val="24"/>
                  </w:rPr>
                  <m:t>S</m:t>
                </m:r>
              </m:sub>
              <m:sup>
                <m:r>
                  <w:rPr>
                    <w:rFonts w:ascii="Cambria Math" w:eastAsia="Calibri" w:hAnsi="Cambria Math" w:cs="Times New Roman"/>
                    <w:sz w:val="24"/>
                  </w:rPr>
                  <m:t>max</m:t>
                </m:r>
              </m:sup>
            </m:sSubSup>
          </m:num>
          <m:den>
            <m:r>
              <w:rPr>
                <w:rFonts w:ascii="Cambria Math" w:eastAsia="Calibri" w:hAnsi="Cambria Math" w:cs="Times New Roman"/>
                <w:sz w:val="24"/>
              </w:rPr>
              <m:t>D</m:t>
            </m:r>
          </m:den>
        </m:f>
      </m:oMath>
      <w:r w:rsidRPr="00AA6F1F">
        <w:rPr>
          <w:rFonts w:ascii="Times New Roman" w:eastAsia="Calibri" w:hAnsi="Times New Roman" w:cs="Times New Roman"/>
          <w:sz w:val="24"/>
        </w:rPr>
        <w:t xml:space="preserve">) and diffusion </w:t>
      </w:r>
      <w:r w:rsidRPr="00AA6F1F">
        <w:rPr>
          <w:rFonts w:ascii="Times New Roman" w:eastAsia="Times New Roman" w:hAnsi="Times New Roman" w:cs="Times New Roman"/>
          <w:sz w:val="24"/>
        </w:rPr>
        <w:t>10</w:t>
      </w:r>
      <w:r w:rsidRPr="00AA6F1F">
        <w:rPr>
          <w:rFonts w:ascii="Times New Roman" w:eastAsia="Times New Roman" w:hAnsi="Times New Roman" w:cs="Times New Roman"/>
          <w:sz w:val="24"/>
          <w:vertAlign w:val="superscript"/>
        </w:rPr>
        <w:t>0</w:t>
      </w:r>
      <w:r w:rsidRPr="00AA6F1F">
        <w:rPr>
          <w:rFonts w:ascii="Times New Roman" w:eastAsia="Calibri" w:hAnsi="Times New Roman" w:cs="Times New Roman"/>
          <w:sz w:val="24"/>
        </w:rPr>
        <w:t xml:space="preserve"> (</w:t>
      </w:r>
      <m:oMath>
        <m:f>
          <m:fPr>
            <m:ctrlPr>
              <w:rPr>
                <w:rFonts w:ascii="Cambria Math" w:eastAsia="Calibri" w:hAnsi="Cambria Math" w:cs="Times New Roman"/>
                <w:i/>
                <w:sz w:val="24"/>
              </w:rPr>
            </m:ctrlPr>
          </m:fPr>
          <m:num>
            <m:r>
              <w:rPr>
                <w:rFonts w:ascii="Cambria Math" w:eastAsia="Calibri" w:hAnsi="Cambria Math" w:cs="Times New Roman"/>
                <w:sz w:val="24"/>
              </w:rPr>
              <m:t>D</m:t>
            </m:r>
          </m:num>
          <m:den>
            <m:r>
              <w:rPr>
                <w:rFonts w:ascii="Cambria Math" w:eastAsia="Calibri" w:hAnsi="Cambria Math" w:cs="Times New Roman"/>
                <w:sz w:val="24"/>
              </w:rPr>
              <m:t>D</m:t>
            </m:r>
          </m:den>
        </m:f>
      </m:oMath>
      <w:r w:rsidRPr="00AA6F1F">
        <w:rPr>
          <w:rFonts w:ascii="Times New Roman" w:eastAsia="Times New Roman" w:hAnsi="Times New Roman" w:cs="Times New Roman"/>
          <w:sz w:val="24"/>
        </w:rPr>
        <w:t xml:space="preserve">) </w:t>
      </w:r>
      <w:r w:rsidRPr="00AA6F1F">
        <w:rPr>
          <w:rFonts w:ascii="Times New Roman" w:eastAsia="Calibri" w:hAnsi="Times New Roman" w:cs="Times New Roman"/>
          <w:sz w:val="24"/>
        </w:rPr>
        <w:t>when in regions of high citrate concentrations when using the fitted parameters. Thus, assuming reactions are fast relative to diffusion in the current geometry would not be valid.</w:t>
      </w:r>
      <w:r w:rsidR="00DE64FB">
        <w:rPr>
          <w:rFonts w:ascii="Times New Roman" w:eastAsia="Calibri" w:hAnsi="Times New Roman" w:cs="Times New Roman"/>
          <w:sz w:val="24"/>
        </w:rPr>
        <w:t xml:space="preserve"> </w:t>
      </w:r>
      <w:r w:rsidR="00DE64FB" w:rsidRPr="00DE64FB">
        <w:rPr>
          <w:rFonts w:ascii="Times New Roman" w:eastAsia="Calibri" w:hAnsi="Times New Roman" w:cs="Times New Roman"/>
          <w:sz w:val="24"/>
        </w:rPr>
        <w:t xml:space="preserve">However, as the size of the geometry, </w:t>
      </w:r>
      <m:oMath>
        <m:r>
          <w:rPr>
            <w:rFonts w:ascii="Cambria Math" w:eastAsia="Calibri" w:hAnsi="Cambria Math" w:cs="Times New Roman"/>
            <w:sz w:val="24"/>
          </w:rPr>
          <m:t>l</m:t>
        </m:r>
      </m:oMath>
      <w:r w:rsidR="00DE64FB" w:rsidRPr="00DE64FB">
        <w:rPr>
          <w:rFonts w:ascii="Times New Roman" w:eastAsia="Calibri" w:hAnsi="Times New Roman" w:cs="Times New Roman"/>
          <w:sz w:val="24"/>
        </w:rPr>
        <w:t>, increases assuming the reactions are in equilibrium becomes more appropriate</w:t>
      </w:r>
      <w:r w:rsidRPr="00AA6F1F">
        <w:rPr>
          <w:rFonts w:ascii="Times New Roman" w:eastAsia="Times New Roman" w:hAnsi="Times New Roman" w:cs="Times New Roman"/>
          <w:sz w:val="24"/>
        </w:rPr>
        <w:t>.</w:t>
      </w:r>
      <w:r w:rsidRPr="00AA6F1F">
        <w:rPr>
          <w:rFonts w:ascii="Times New Roman" w:eastAsia="Calibri" w:hAnsi="Times New Roman" w:cs="Times New Roman"/>
          <w:sz w:val="24"/>
        </w:rPr>
        <w:t xml:space="preserve"> </w:t>
      </w:r>
      <w:r w:rsidRPr="00AA6F1F">
        <w:rPr>
          <w:rFonts w:ascii="Times New Roman" w:eastAsia="Calibri" w:hAnsi="Times New Roman" w:cs="Times New Roman"/>
          <w:sz w:val="24"/>
          <w:szCs w:val="24"/>
        </w:rPr>
        <w:t xml:space="preserve">In contrast, previous experiments are in agreement with  the current finding, both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 AuthorYear="1"&gt;&lt;Author&gt;Güsewell&lt;/Author&gt;&lt;Year&gt;2017&lt;/Year&gt;&lt;RecNum&gt;205&lt;/RecNum&gt;&lt;DisplayText&gt;Güsewell and Schroth (2017)&lt;/DisplayText&gt;&lt;record&gt;&lt;rec-number&gt;205&lt;/rec-number&gt;&lt;foreign-keys&gt;&lt;key app="EN" db-id="0sapex5pfwrt05ep5w3x2zd0tdt9050e5fax" timestamp="1561457831"&gt;205&lt;/key&gt;&lt;/foreign-keys&gt;&lt;ref-type name="Journal Article"&gt;17&lt;/ref-type&gt;&lt;contributors&gt;&lt;authors&gt;&lt;author&gt;Güsewell, Sabine&lt;/author&gt;&lt;author&gt;Schroth, Martin H&lt;/author&gt;&lt;/authors&gt;&lt;/contributors&gt;&lt;titles&gt;&lt;title&gt;How functional is a trait? Phosphorus mobilization through root exudates differs little between Carex species with and without specialized dauciform roots&lt;/title&gt;&lt;secondary-title&gt;New Phytologist&lt;/secondary-title&gt;&lt;/titles&gt;&lt;periodical&gt;&lt;full-title&gt;New Phytologist&lt;/full-title&gt;&lt;/periodical&gt;&lt;pages&gt;1438-1450&lt;/pages&gt;&lt;volume&gt;215&lt;/volume&gt;&lt;number&gt;4&lt;/number&gt;&lt;dates&gt;&lt;year&gt;2017&lt;/year&gt;&lt;/dates&gt;&lt;isbn&gt;1469-8137&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sz w:val="24"/>
          <w:szCs w:val="24"/>
        </w:rPr>
        <w:t>Güsewell and Schroth (2017)</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 xml:space="preserve"> and </w:t>
      </w:r>
      <w:r w:rsidRPr="00AA6F1F">
        <w:rPr>
          <w:rFonts w:ascii="Times New Roman" w:eastAsia="Calibri" w:hAnsi="Times New Roman" w:cs="Times New Roman"/>
          <w:sz w:val="24"/>
          <w:szCs w:val="24"/>
        </w:rPr>
        <w:fldChar w:fldCharType="begin"/>
      </w:r>
      <w:r w:rsidRPr="00AA6F1F">
        <w:rPr>
          <w:rFonts w:ascii="Times New Roman" w:eastAsia="Calibri" w:hAnsi="Times New Roman" w:cs="Times New Roman"/>
          <w:sz w:val="24"/>
          <w:szCs w:val="24"/>
        </w:rPr>
        <w:instrText xml:space="preserve"> ADDIN EN.CITE &lt;EndNote&gt;&lt;Cite AuthorYear="1"&gt;&lt;Author&gt;Ryan&lt;/Author&gt;&lt;Year&gt;2014&lt;/Year&gt;&lt;RecNum&gt;222&lt;/RecNum&gt;&lt;DisplayText&gt;Ryan et al. (2014)&lt;/DisplayText&gt;&lt;record&gt;&lt;rec-number&gt;222&lt;/rec-number&gt;&lt;foreign-keys&gt;&lt;key app="EN" db-id="0sapex5pfwrt05ep5w3x2zd0tdt9050e5fax" timestamp="1565010919"&gt;222&lt;/key&gt;&lt;/foreign-keys&gt;&lt;ref-type name="Journal Article"&gt;17&lt;/ref-type&gt;&lt;contributors&gt;&lt;authors&gt;&lt;author&gt;Ryan, Peter R&lt;/author&gt;&lt;author&gt;James, Richard A&lt;/author&gt;&lt;author&gt;Weligama, Chandrakumara&lt;/author&gt;&lt;author&gt;Delhaize, Emmanuel&lt;/author&gt;&lt;author&gt;Rattey, Allan&lt;/author&gt;&lt;author&gt;Lewis, David C&lt;/author&gt;&lt;author&gt;Bovill, William D&lt;/author&gt;&lt;author&gt;McDonald, Glenn&lt;/author&gt;&lt;author&gt;Rathjen, Tina M&lt;/author&gt;&lt;author&gt;Wang, Enli&lt;/author&gt;&lt;/authors&gt;&lt;/contributors&gt;&lt;titles&gt;&lt;title&gt;Can citrate efflux from roots improve phosphorus uptake by plants? Testing the hypothesis with near‐isogenic lines of wheat&lt;/title&gt;&lt;secondary-title&gt;Physiologia Plantarum&lt;/secondary-title&gt;&lt;/titles&gt;&lt;periodical&gt;&lt;full-title&gt;Physiologia Plantarum&lt;/full-title&gt;&lt;/periodical&gt;&lt;pages&gt;230-242&lt;/pages&gt;&lt;volume&gt;151&lt;/volume&gt;&lt;number&gt;3&lt;/number&gt;&lt;dates&gt;&lt;year&gt;2014&lt;/year&gt;&lt;/dates&gt;&lt;isbn&gt;0031-9317&lt;/isbn&gt;&lt;urls&gt;&lt;/urls&gt;&lt;/record&gt;&lt;/Cite&gt;&lt;/EndNote&gt;</w:instrText>
      </w:r>
      <w:r w:rsidRPr="00AA6F1F">
        <w:rPr>
          <w:rFonts w:ascii="Times New Roman" w:eastAsia="Calibri" w:hAnsi="Times New Roman" w:cs="Times New Roman"/>
          <w:sz w:val="24"/>
          <w:szCs w:val="24"/>
        </w:rPr>
        <w:fldChar w:fldCharType="separate"/>
      </w:r>
      <w:r w:rsidRPr="00AA6F1F">
        <w:rPr>
          <w:rFonts w:ascii="Times New Roman" w:eastAsia="Calibri" w:hAnsi="Times New Roman" w:cs="Times New Roman"/>
          <w:sz w:val="24"/>
          <w:szCs w:val="24"/>
        </w:rPr>
        <w:t>Ryan et al. (2014)</w:t>
      </w:r>
      <w:r w:rsidRPr="00AA6F1F">
        <w:rPr>
          <w:rFonts w:ascii="Times New Roman" w:eastAsia="Calibri" w:hAnsi="Times New Roman" w:cs="Times New Roman"/>
          <w:sz w:val="24"/>
          <w:szCs w:val="24"/>
        </w:rPr>
        <w:fldChar w:fldCharType="end"/>
      </w:r>
      <w:r w:rsidRPr="00AA6F1F">
        <w:rPr>
          <w:rFonts w:ascii="Times New Roman" w:eastAsia="Calibri" w:hAnsi="Times New Roman" w:cs="Times New Roman"/>
          <w:sz w:val="24"/>
          <w:szCs w:val="24"/>
        </w:rPr>
        <w:t xml:space="preserve"> could not detect P uptake gains in high carboxylate exuding plants in comparison to low carboxylate exuding subgenus/near-isogenic species.</w:t>
      </w:r>
    </w:p>
    <w:p w:rsidR="00AA6F1F" w:rsidRPr="00A57EFF" w:rsidRDefault="00AA6F1F" w:rsidP="00A57EFF">
      <w:pPr>
        <w:spacing w:after="200" w:line="480" w:lineRule="auto"/>
        <w:jc w:val="both"/>
        <w:rPr>
          <w:rFonts w:ascii="Times New Roman" w:hAnsi="Times New Roman"/>
          <w:sz w:val="24"/>
        </w:rPr>
      </w:pPr>
      <w:r w:rsidRPr="00AA6F1F">
        <w:rPr>
          <w:rFonts w:ascii="Times New Roman" w:eastAsia="Calibri" w:hAnsi="Times New Roman" w:cs="Times New Roman"/>
          <w:sz w:val="24"/>
          <w:szCs w:val="24"/>
        </w:rPr>
        <w:t xml:space="preserve"> When citrate exudation was increased incrementally, P uptake dramatically increased (Figs. 9-10) and P uptake reached a distinct maximum at approximately 250 minutes when citrate exudation reached appropriate levels (Fig. 10). The latter effect is attributed to a solubilisation peak caused by P mobilisation.</w:t>
      </w:r>
      <w:r w:rsidRPr="00A57EFF">
        <w:rPr>
          <w:rFonts w:ascii="Times New Roman" w:hAnsi="Times New Roman"/>
          <w:sz w:val="24"/>
        </w:rPr>
        <w:t xml:space="preserve"> This mimics experiments performed in this same soil where high soil citrate concentrations (10 mM) were needed to promote plant </w:t>
      </w:r>
      <w:r w:rsidRPr="00A57EFF">
        <w:rPr>
          <w:rFonts w:ascii="Times New Roman" w:hAnsi="Times New Roman"/>
          <w:sz w:val="24"/>
          <w:vertAlign w:val="superscript"/>
        </w:rPr>
        <w:t>33</w:t>
      </w:r>
      <w:r w:rsidRPr="00A57EFF">
        <w:rPr>
          <w:rFonts w:ascii="Times New Roman" w:hAnsi="Times New Roman"/>
          <w:sz w:val="24"/>
        </w:rPr>
        <w:t xml:space="preserve">P uptake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&lt;EndNote&gt;&lt;Cite&gt;&lt;Author&gt;Palomo&lt;/Author&gt;&lt;Year&gt;2006&lt;/Year&gt;&lt;RecNum&gt;216&lt;/RecNum&gt;&lt;DisplayText&gt;(Khademi et al. 2010; Palomo et al. 2006)&lt;/DisplayText&gt;&lt;record&gt;&lt;rec-number&gt;216&lt;/rec-number&gt;&lt;foreign-keys&gt;&lt;key app="EN" db-id="0sapex5pfwrt05ep5w3x2zd0tdt9050e5fax" timestamp="1563363071"&gt;216&lt;/key&gt;&lt;/foreign-keys&gt;&lt;ref-type name="Journal Article"&gt;17&lt;/ref-type&gt;&lt;contributors&gt;&lt;authors&gt;&lt;author&gt;Palomo, Laura&lt;/author&gt;&lt;author&gt;Claassen, Norbert&lt;/author&gt;&lt;author&gt;Jones, David L&lt;/author&gt;&lt;/authors&gt;&lt;/contributors&gt;&lt;titles&gt;&lt;title&gt;Differential mobilization of P in the maize rhizosphere by citric acid and potassium citrate&lt;/title&gt;&lt;secondary-title&gt;Soil Biology and Biochemistry&lt;/secondary-title&gt;&lt;/titles&gt;&lt;periodical&gt;&lt;full-title&gt;Soil Biology and Biochemistry&lt;/full-title&gt;&lt;/periodical&gt;&lt;pages&gt;683-692&lt;/pages&gt;&lt;volume&gt;38&lt;/volume&gt;&lt;number&gt;4&lt;/number&gt;&lt;dates&gt;&lt;year&gt;2006&lt;/year&gt;&lt;/dates&gt;&lt;isbn&gt;0038-0717&lt;/isbn&gt;&lt;urls&gt;&lt;/urls&gt;&lt;/record&gt;&lt;/Cite&gt;&lt;Cite&gt;&lt;Author&gt;Khademi&lt;/Author&gt;&lt;Year&gt;2010&lt;/Year&gt;&lt;RecNum&gt;217&lt;/RecNum&gt;&lt;record&gt;&lt;rec-number&gt;217&lt;/rec-number&gt;&lt;foreign-keys&gt;&lt;key app="EN" db-id="0sapex5pfwrt05ep5w3x2zd0tdt9050e5fax" timestamp="1563363106"&gt;217&lt;/key&gt;&lt;/foreign-keys&gt;&lt;ref-type name="Journal Article"&gt;17&lt;/ref-type&gt;&lt;contributors&gt;&lt;authors&gt;&lt;author&gt;Khademi, Z&lt;/author&gt;&lt;author&gt;Jones, DL&lt;/author&gt;&lt;author&gt;Malakouti, MJ&lt;/author&gt;&lt;author&gt;Asadi, F&lt;/author&gt;&lt;/authors&gt;&lt;/contributors&gt;&lt;titles&gt;&lt;title&gt;Organic acids differ in enhancing phosphorus uptake by Triticum aestivum L.—effects of rhizosphere concentration and counterion&lt;/title&gt;&lt;secondary-title&gt;Plant and soil&lt;/secondary-title&gt;&lt;/titles&gt;&lt;periodical&gt;&lt;full-title&gt;Plant and Soil&lt;/full-title&gt;&lt;/periodical&gt;&lt;pages&gt;151-159&lt;/pages&gt;&lt;volume&gt;334&lt;/volume&gt;&lt;number&gt;1-2&lt;/number&gt;&lt;dates&gt;&lt;year&gt;2010&lt;/year&gt;&lt;/dates&gt;&lt;isbn&gt;0032-079X&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(Khademi et al. 2010; Palomo et al. 2006)</w:t>
      </w:r>
      <w:r w:rsidRPr="00A57EFF">
        <w:rPr>
          <w:rFonts w:ascii="Times New Roman" w:hAnsi="Times New Roman"/>
          <w:sz w:val="24"/>
        </w:rPr>
        <w:fldChar w:fldCharType="end"/>
      </w:r>
      <w:r w:rsidRPr="00A57EFF">
        <w:rPr>
          <w:rFonts w:ascii="Times New Roman" w:hAnsi="Times New Roman"/>
          <w:sz w:val="24"/>
        </w:rPr>
        <w:t xml:space="preserve">.  </w:t>
      </w:r>
    </w:p>
    <w:p w:rsidR="00AA0099" w:rsidRPr="00AA0099" w:rsidRDefault="00AA0099" w:rsidP="00AA0099">
      <w:pPr>
        <w:spacing w:after="0" w:line="480" w:lineRule="auto"/>
        <w:ind w:firstLine="720"/>
        <w:jc w:val="both"/>
        <w:rPr>
          <w:rFonts w:ascii="Times New Roman" w:eastAsia="Calibri" w:hAnsi="Times New Roman" w:cs="Times New Roman"/>
          <w:sz w:val="24"/>
          <w:szCs w:val="24"/>
        </w:rPr>
      </w:pPr>
      <w:r w:rsidRPr="00A57EFF">
        <w:rPr>
          <w:rFonts w:ascii="Times New Roman" w:hAnsi="Times New Roman"/>
          <w:sz w:val="24"/>
        </w:rPr>
        <w:t xml:space="preserve">The reader should be aware that the model may not be as accurate for very high concentrations of citrate as suggested by the relatively poor fit to the </w:t>
      </w:r>
      <w:r w:rsidRPr="00AA0099">
        <w:rPr>
          <w:rFonts w:ascii="Times New Roman" w:eastAsia="Calibri" w:hAnsi="Times New Roman" w:cs="Times New Roman"/>
          <w:sz w:val="24"/>
          <w:szCs w:val="24"/>
        </w:rPr>
        <w:t xml:space="preserve">temporal experimental data in Fig. 6,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0</m:t>
            </m:r>
          </m:sub>
        </m:sSub>
        <m:r>
          <w:rPr>
            <w:rFonts w:ascii="Cambria Math" w:eastAsia="Calibri" w:hAnsi="Cambria Math" w:cs="Times New Roman"/>
            <w:sz w:val="24"/>
            <w:szCs w:val="24"/>
          </w:rPr>
          <m:t xml:space="preserve">=10000 </m:t>
        </m:r>
      </m:oMath>
      <w:r w:rsidRPr="00AA0099">
        <w:rPr>
          <w:rFonts w:ascii="Times New Roman" w:eastAsia="Calibri" w:hAnsi="Times New Roman" w:cs="Times New Roman"/>
          <w:sz w:val="24"/>
          <w:szCs w:val="24"/>
        </w:rPr>
        <w:t xml:space="preserve">µM. In contrast, the fit for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C</m:t>
            </m:r>
          </m:e>
          <m:sub>
            <m:r>
              <w:rPr>
                <w:rFonts w:ascii="Cambria Math" w:eastAsia="Calibri" w:hAnsi="Cambria Math" w:cs="Times New Roman"/>
                <w:sz w:val="24"/>
                <w:szCs w:val="24"/>
              </w:rPr>
              <m:t>0</m:t>
            </m:r>
          </m:sub>
        </m:sSub>
        <m:r>
          <w:rPr>
            <w:rFonts w:ascii="Cambria Math" w:eastAsia="Calibri" w:hAnsi="Cambria Math" w:cs="Times New Roman"/>
            <w:sz w:val="24"/>
            <w:szCs w:val="24"/>
          </w:rPr>
          <m:t>=1000</m:t>
        </m:r>
      </m:oMath>
      <w:r w:rsidRPr="00AA0099">
        <w:rPr>
          <w:rFonts w:ascii="Times New Roman" w:eastAsia="Calibri" w:hAnsi="Times New Roman" w:cs="Times New Roman"/>
          <w:sz w:val="24"/>
          <w:szCs w:val="24"/>
        </w:rPr>
        <w:t xml:space="preserve"> µM case was good. This is a manifestation of the error from the linear approximations of P/citrate soil reactions (the error is </w:t>
      </w:r>
      <m:oMath>
        <m:r>
          <w:rPr>
            <w:rFonts w:ascii="Cambria Math" w:eastAsia="Calibri" w:hAnsi="Cambria Math" w:cs="Times New Roman"/>
            <w:sz w:val="24"/>
            <w:szCs w:val="24"/>
          </w:rPr>
          <m:t>O(</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C</m:t>
            </m:r>
          </m:e>
          <m:sub>
            <m:r>
              <w:rPr>
                <w:rFonts w:ascii="Cambria Math" w:eastAsia="Calibri" w:hAnsi="Cambria Math" w:cs="Times New Roman"/>
                <w:sz w:val="24"/>
                <w:szCs w:val="24"/>
              </w:rPr>
              <m:t>l</m:t>
            </m:r>
          </m:sub>
          <m:sup>
            <m:r>
              <w:rPr>
                <w:rFonts w:ascii="Cambria Math" w:eastAsia="Calibri" w:hAnsi="Cambria Math" w:cs="Times New Roman"/>
                <w:sz w:val="24"/>
                <w:szCs w:val="24"/>
              </w:rPr>
              <m:t>2</m:t>
            </m:r>
          </m:sup>
        </m:sSubSup>
        <m:r>
          <w:rPr>
            <w:rFonts w:ascii="Cambria Math" w:eastAsia="Calibri" w:hAnsi="Cambria Math" w:cs="Times New Roman"/>
            <w:sz w:val="24"/>
            <w:szCs w:val="24"/>
          </w:rPr>
          <m:t>)</m:t>
        </m:r>
      </m:oMath>
      <w:r w:rsidRPr="00AA0099">
        <w:rPr>
          <w:rFonts w:ascii="Times New Roman" w:eastAsia="Calibri" w:hAnsi="Times New Roman" w:cs="Times New Roman"/>
          <w:sz w:val="24"/>
          <w:szCs w:val="24"/>
        </w:rPr>
        <w:t xml:space="preserve"> or </w:t>
      </w:r>
      <m:oMath>
        <m:r>
          <w:rPr>
            <w:rFonts w:ascii="Cambria Math" w:eastAsia="Calibri" w:hAnsi="Cambria Math" w:cs="Times New Roman"/>
            <w:sz w:val="24"/>
            <w:szCs w:val="24"/>
          </w:rPr>
          <m:t>O(</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P</m:t>
            </m:r>
          </m:e>
          <m:sub>
            <m:r>
              <w:rPr>
                <w:rFonts w:ascii="Cambria Math" w:eastAsia="Calibri" w:hAnsi="Cambria Math" w:cs="Times New Roman"/>
                <w:sz w:val="24"/>
                <w:szCs w:val="24"/>
              </w:rPr>
              <m:t>l</m:t>
            </m:r>
          </m:sub>
          <m:sup>
            <m:r>
              <w:rPr>
                <w:rFonts w:ascii="Cambria Math" w:eastAsia="Calibri" w:hAnsi="Cambria Math" w:cs="Times New Roman"/>
                <w:sz w:val="24"/>
                <w:szCs w:val="24"/>
              </w:rPr>
              <m:t>2</m:t>
            </m:r>
          </m:sup>
        </m:sSubSup>
        <m:r>
          <w:rPr>
            <w:rFonts w:ascii="Cambria Math" w:eastAsia="Calibri" w:hAnsi="Cambria Math" w:cs="Times New Roman"/>
            <w:sz w:val="24"/>
            <w:szCs w:val="24"/>
          </w:rPr>
          <m:t>)</m:t>
        </m:r>
      </m:oMath>
      <w:r w:rsidRPr="00AA0099">
        <w:rPr>
          <w:rFonts w:ascii="Times New Roman" w:eastAsia="Calibri" w:hAnsi="Times New Roman" w:cs="Times New Roman"/>
          <w:sz w:val="24"/>
          <w:szCs w:val="24"/>
        </w:rPr>
        <w:t xml:space="preserve"> </w:t>
      </w:r>
      <w:r w:rsidRPr="00AA0099">
        <w:rPr>
          <w:rFonts w:ascii="Times New Roman" w:eastAsia="Calibri" w:hAnsi="Times New Roman" w:cs="Times New Roman"/>
          <w:i/>
          <w:sz w:val="24"/>
          <w:szCs w:val="24"/>
        </w:rPr>
        <w:t>i.e</w:t>
      </w:r>
      <w:r w:rsidR="00D81F16">
        <w:rPr>
          <w:rFonts w:ascii="Times New Roman" w:eastAsia="Calibri" w:hAnsi="Times New Roman" w:cs="Times New Roman"/>
          <w:i/>
          <w:sz w:val="24"/>
          <w:szCs w:val="24"/>
        </w:rPr>
        <w:t>.</w:t>
      </w:r>
      <w:r w:rsidRPr="00AA0099">
        <w:rPr>
          <w:rFonts w:ascii="Times New Roman" w:eastAsia="Calibri" w:hAnsi="Times New Roman" w:cs="Times New Roman"/>
          <w:i/>
          <w:sz w:val="24"/>
          <w:szCs w:val="24"/>
        </w:rPr>
        <w:t xml:space="preserve"> </w:t>
      </w:r>
      <w:r w:rsidRPr="00AA0099">
        <w:rPr>
          <w:rFonts w:ascii="Times New Roman" w:eastAsia="Calibri" w:hAnsi="Times New Roman" w:cs="Times New Roman"/>
          <w:sz w:val="24"/>
          <w:szCs w:val="24"/>
        </w:rPr>
        <w:t>the error increases as concentration increases). Citrate-enhanced solubilisation of P speeds up with increased citrate concentration and a Langmuir-like isotherm for citrate</w:t>
      </w:r>
      <w:r>
        <w:rPr>
          <w:rFonts w:ascii="Times New Roman" w:eastAsia="Calibri" w:hAnsi="Times New Roman" w:cs="Times New Roman"/>
          <w:sz w:val="24"/>
          <w:szCs w:val="24"/>
        </w:rPr>
        <w:t>/P</w:t>
      </w:r>
      <w:r w:rsidRPr="00AA0099">
        <w:rPr>
          <w:rFonts w:ascii="Times New Roman" w:eastAsia="Calibri" w:hAnsi="Times New Roman" w:cs="Times New Roman"/>
          <w:sz w:val="24"/>
          <w:szCs w:val="24"/>
        </w:rPr>
        <w:t xml:space="preserve"> adsorption</w:t>
      </w:r>
      <w:r>
        <w:rPr>
          <w:rFonts w:ascii="Times New Roman" w:eastAsia="Calibri" w:hAnsi="Times New Roman" w:cs="Times New Roman"/>
          <w:sz w:val="24"/>
          <w:szCs w:val="24"/>
        </w:rPr>
        <w:t xml:space="preserve"> and citrate enhanced solubilsation</w:t>
      </w:r>
      <w:r w:rsidRPr="00AA0099">
        <w:rPr>
          <w:rFonts w:ascii="Times New Roman" w:eastAsia="Calibri" w:hAnsi="Times New Roman" w:cs="Times New Roman"/>
          <w:sz w:val="24"/>
          <w:szCs w:val="24"/>
        </w:rPr>
        <w:t xml:space="preserve"> </w:t>
      </w:r>
      <w:r>
        <w:rPr>
          <w:rFonts w:ascii="Times New Roman" w:eastAsia="Calibri" w:hAnsi="Times New Roman" w:cs="Times New Roman"/>
          <w:sz w:val="24"/>
          <w:szCs w:val="24"/>
        </w:rPr>
        <w:t>may be</w:t>
      </w:r>
      <w:r w:rsidRPr="00AA0099">
        <w:rPr>
          <w:rFonts w:ascii="Times New Roman" w:eastAsia="Calibri" w:hAnsi="Times New Roman" w:cs="Times New Roman"/>
          <w:sz w:val="24"/>
          <w:szCs w:val="24"/>
        </w:rPr>
        <w:t xml:space="preserve"> needed to capture the temporal behaviour for both citrate concentrations simultaneously. </w:t>
      </w:r>
      <w:r>
        <w:rPr>
          <w:rFonts w:ascii="Times New Roman" w:eastAsia="Calibri" w:hAnsi="Times New Roman" w:cs="Times New Roman"/>
          <w:sz w:val="24"/>
          <w:szCs w:val="24"/>
        </w:rPr>
        <w:t>T</w:t>
      </w:r>
      <w:r w:rsidRPr="00AA0099">
        <w:rPr>
          <w:rFonts w:ascii="Times New Roman" w:eastAsia="Calibri" w:hAnsi="Times New Roman" w:cs="Times New Roman"/>
          <w:sz w:val="24"/>
          <w:szCs w:val="24"/>
        </w:rPr>
        <w:t xml:space="preserve">he error from the linearized kinetics may </w:t>
      </w:r>
      <w:r w:rsidR="00123F27">
        <w:rPr>
          <w:rFonts w:ascii="Times New Roman" w:eastAsia="Calibri" w:hAnsi="Times New Roman" w:cs="Times New Roman"/>
          <w:sz w:val="24"/>
          <w:szCs w:val="24"/>
        </w:rPr>
        <w:t xml:space="preserve">also </w:t>
      </w:r>
      <w:r w:rsidRPr="00AA0099">
        <w:rPr>
          <w:rFonts w:ascii="Times New Roman" w:eastAsia="Calibri" w:hAnsi="Times New Roman" w:cs="Times New Roman"/>
          <w:sz w:val="24"/>
          <w:szCs w:val="24"/>
        </w:rPr>
        <w:t>become apparent when the P and citrate concentrations vary due to the probe absorbing and exuding. However, we cannot justifiably include the non-linear</w:t>
      </w:r>
      <w:r w:rsidR="0077085F">
        <w:rPr>
          <w:rFonts w:ascii="Times New Roman" w:eastAsia="Calibri" w:hAnsi="Times New Roman" w:cs="Times New Roman"/>
          <w:sz w:val="24"/>
          <w:szCs w:val="24"/>
        </w:rPr>
        <w:t xml:space="preserve"> </w:t>
      </w:r>
      <w:r w:rsidRPr="00AA0099">
        <w:rPr>
          <w:rFonts w:ascii="Times New Roman" w:eastAsia="Calibri" w:hAnsi="Times New Roman" w:cs="Times New Roman"/>
          <w:sz w:val="24"/>
          <w:szCs w:val="24"/>
        </w:rPr>
        <w:t>terms as the current experiments do no</w:t>
      </w:r>
      <w:r w:rsidR="00464625">
        <w:rPr>
          <w:rFonts w:ascii="Times New Roman" w:eastAsia="Calibri" w:hAnsi="Times New Roman" w:cs="Times New Roman"/>
          <w:sz w:val="24"/>
          <w:szCs w:val="24"/>
        </w:rPr>
        <w:t>t</w:t>
      </w:r>
      <w:r w:rsidRPr="00AA0099">
        <w:rPr>
          <w:rFonts w:ascii="Times New Roman" w:eastAsia="Calibri" w:hAnsi="Times New Roman" w:cs="Times New Roman"/>
          <w:sz w:val="24"/>
          <w:szCs w:val="24"/>
        </w:rPr>
        <w:t xml:space="preserve"> measure these concentration dependent effects. In future work additional experiments with varying P concentration in the soil could be used to fit the additional parameters which control these mechanisms. This this would require a series of further microdialysis experiments designed to investigate citrate/P adsorption and desorption for varying concentrations.</w:t>
      </w:r>
    </w:p>
    <w:p w:rsidR="00AA6F1F" w:rsidRPr="00A57EFF" w:rsidRDefault="00AA6F1F" w:rsidP="00AA6F1F">
      <w:pPr>
        <w:spacing w:after="0" w:line="480" w:lineRule="auto"/>
        <w:ind w:firstLine="720"/>
        <w:jc w:val="both"/>
        <w:rPr>
          <w:rFonts w:ascii="Times New Roman" w:hAnsi="Times New Roman"/>
          <w:sz w:val="24"/>
        </w:rPr>
      </w:pPr>
      <w:r w:rsidRPr="00AA6F1F">
        <w:rPr>
          <w:rFonts w:ascii="Times New Roman" w:eastAsia="Calibri" w:hAnsi="Times New Roman" w:cs="Times New Roman"/>
          <w:sz w:val="24"/>
          <w:szCs w:val="24"/>
        </w:rPr>
        <w:t>Although,</w:t>
      </w:r>
      <w:r w:rsidRPr="00A57EFF">
        <w:rPr>
          <w:rFonts w:ascii="Times New Roman" w:hAnsi="Times New Roman"/>
          <w:sz w:val="24"/>
        </w:rPr>
        <w:t xml:space="preserve"> citrate concentrations in the bulk soil are typically &lt;50 µM, concentrations up to 10 mM have been reported in the rhizosphere for certain plants under P deficiency </w:t>
      </w:r>
      <w:r w:rsidRPr="00A57EFF">
        <w:rPr>
          <w:rFonts w:ascii="Times New Roman" w:hAnsi="Times New Roman"/>
          <w:sz w:val="24"/>
        </w:rPr>
        <w:fldChar w:fldCharType="begin"/>
      </w:r>
      <w:r w:rsidRPr="00AA6F1F">
        <w:rPr>
          <w:rFonts w:ascii="Times New Roman" w:eastAsia="Calibri" w:hAnsi="Times New Roman" w:cs="Times New Roman"/>
          <w:sz w:val="24"/>
          <w:szCs w:val="24"/>
        </w:rPr>
        <w:instrText xml:space="preserve"> ADDIN EN.CITE &lt;EndNote&gt;&lt;Cite&gt;&lt;Author&gt;Dessureault-Rompré&lt;/Author&gt;&lt;Year&gt;2006&lt;/Year&gt;&lt;RecNum&gt;218&lt;/RecNum&gt;&lt;DisplayText&gt;(Dessureault-Rompré et al. 2006)&lt;/DisplayText&gt;&lt;record&gt;&lt;rec-number&gt;218&lt;/rec-number&gt;&lt;foreign-keys&gt;&lt;key app="EN" db-id="0sapex5pfwrt05ep5w3x2zd0tdt9050e5fax" timestamp="1563363281"&gt;218&lt;/key&gt;&lt;/foreign-keys&gt;&lt;ref-type name="Journal Article"&gt;17&lt;/ref-type&gt;&lt;contributors&gt;&lt;authors&gt;&lt;author&gt;Dessureault-Rompré, Jacynthe&lt;/author&gt;&lt;author&gt;Nowack, Bernd&lt;/author&gt;&lt;author&gt;Schulin, Rainer&lt;/author&gt;&lt;author&gt;Luster, Jörg&lt;/author&gt;&lt;/authors&gt;&lt;/contributors&gt;&lt;titles&gt;&lt;title&gt;Modified micro suction cup/rhizobox approach for the in-situ detection of organic acids in rhizosphere soil solution&lt;/title&gt;&lt;secondary-title&gt;Plant and Soil&lt;/secondary-title&gt;&lt;/titles&gt;&lt;periodical&gt;&lt;full-title&gt;Plant and Soil&lt;/full-title&gt;&lt;/periodical&gt;&lt;pages&gt;99-107&lt;/pages&gt;&lt;volume&gt;286&lt;/volume&gt;&lt;number&gt;1-2&lt;/number&gt;&lt;dates&gt;&lt;year&gt;2006&lt;/year&gt;&lt;/dates&gt;&lt;isbn&gt;0032-079X&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(Dessureault-Rompré et al. 2006)</w:t>
      </w:r>
      <w:r w:rsidRPr="00A57EFF">
        <w:rPr>
          <w:rFonts w:ascii="Times New Roman" w:hAnsi="Times New Roman"/>
          <w:sz w:val="24"/>
        </w:rPr>
        <w:fldChar w:fldCharType="end"/>
      </w:r>
      <w:r w:rsidRPr="00AA6F1F">
        <w:rPr>
          <w:rFonts w:ascii="Times New Roman" w:eastAsia="Calibri" w:hAnsi="Times New Roman" w:cs="Times New Roman"/>
          <w:sz w:val="24"/>
          <w:szCs w:val="24"/>
        </w:rPr>
        <w:t>, the current parameterisation of the model may not be accurate for such high concentrations.</w:t>
      </w:r>
      <w:r w:rsidRPr="00A57EFF">
        <w:rPr>
          <w:rFonts w:ascii="Times New Roman" w:hAnsi="Times New Roman"/>
          <w:sz w:val="24"/>
        </w:rPr>
        <w:t xml:space="preserve"> In addition, the model only considers </w:t>
      </w:r>
      <m:oMath>
        <m:r>
          <w:rPr>
            <w:rFonts w:ascii="Cambria Math" w:hAnsi="Cambria Math"/>
            <w:sz w:val="24"/>
          </w:rPr>
          <m:t>4</m:t>
        </m:r>
      </m:oMath>
      <w:r w:rsidRPr="00A57EFF">
        <w:rPr>
          <w:rFonts w:ascii="Times New Roman" w:hAnsi="Times New Roman"/>
          <w:sz w:val="24"/>
        </w:rPr>
        <w:t xml:space="preserve"> mm of a single root exuding, while cluster roots, or roots in close proximity may act together to exude larger quantities of citrate. </w:t>
      </w:r>
      <w:r w:rsidRPr="00A57EFF">
        <w:rPr>
          <w:rFonts w:ascii="Times New Roman" w:hAnsi="Times New Roman"/>
          <w:sz w:val="24"/>
        </w:rPr>
        <w:t xml:space="preserve">From Fig. </w:t>
      </w:r>
      <w:r w:rsidRPr="00AA6F1F">
        <w:rPr>
          <w:rFonts w:ascii="Times New Roman" w:eastAsia="Calibri" w:hAnsi="Times New Roman" w:cs="Times New Roman"/>
          <w:sz w:val="24"/>
          <w:szCs w:val="24"/>
        </w:rPr>
        <w:t>10, we estimate that a plant would need to exude</w:t>
      </w:r>
      <w:r w:rsidRPr="00AA6F1F">
        <w:rPr>
          <w:rFonts w:ascii="Times New Roman" w:eastAsia="Times New Roman" w:hAnsi="Times New Roman" w:cs="Times New Roman"/>
          <w:sz w:val="24"/>
          <w:szCs w:val="24"/>
        </w:rPr>
        <w:t xml:space="preserve"> citrate at a rate of 0.73 µmol cm</w:t>
      </w:r>
      <w:r w:rsidRPr="00AA6F1F">
        <w:rPr>
          <w:rFonts w:ascii="Times New Roman" w:eastAsia="Times New Roman" w:hAnsi="Times New Roman" w:cs="Times New Roman"/>
          <w:sz w:val="24"/>
          <w:szCs w:val="24"/>
          <w:vertAlign w:val="superscript"/>
        </w:rPr>
        <w:t>-1</w:t>
      </w:r>
      <w:r w:rsidRPr="00AA6F1F">
        <w:rPr>
          <w:rFonts w:ascii="Times New Roman" w:eastAsia="Times New Roman" w:hAnsi="Times New Roman" w:cs="Times New Roman"/>
          <w:sz w:val="24"/>
          <w:szCs w:val="24"/>
        </w:rPr>
        <w:t xml:space="preserve"> of root h</w:t>
      </w:r>
      <w:r w:rsidRPr="00AA6F1F">
        <w:rPr>
          <w:rFonts w:ascii="Times New Roman" w:eastAsia="Times New Roman" w:hAnsi="Times New Roman" w:cs="Times New Roman"/>
          <w:sz w:val="24"/>
          <w:szCs w:val="24"/>
          <w:vertAlign w:val="superscript"/>
        </w:rPr>
        <w:t>-1</w:t>
      </w:r>
      <w:r w:rsidRPr="00AA6F1F">
        <w:rPr>
          <w:rFonts w:ascii="Times New Roman" w:eastAsia="Times New Roman" w:hAnsi="Times New Roman" w:cs="Times New Roman"/>
          <w:sz w:val="24"/>
          <w:szCs w:val="24"/>
        </w:rPr>
        <w:t xml:space="preserve"> to see a significant increase in P absorption. </w:t>
      </w:r>
      <w:r w:rsidRPr="00A57EFF">
        <w:rPr>
          <w:rFonts w:ascii="Times New Roman" w:hAnsi="Times New Roman"/>
          <w:sz w:val="24"/>
        </w:rPr>
        <w:t>Alfalfa (</w:t>
      </w:r>
      <w:r w:rsidRPr="00A57EFF">
        <w:rPr>
          <w:rFonts w:ascii="Times New Roman" w:hAnsi="Times New Roman"/>
          <w:i/>
          <w:sz w:val="24"/>
        </w:rPr>
        <w:t>Medicago sativa</w:t>
      </w:r>
      <w:r w:rsidRPr="00A57EFF">
        <w:rPr>
          <w:rFonts w:ascii="Times New Roman" w:hAnsi="Times New Roman"/>
          <w:sz w:val="24"/>
        </w:rPr>
        <w:t xml:space="preserve"> L.) can exude 1.3 µmol of citrate g</w:t>
      </w:r>
      <w:r w:rsidRPr="00A57EFF">
        <w:rPr>
          <w:rFonts w:ascii="Times New Roman" w:hAnsi="Times New Roman"/>
          <w:sz w:val="24"/>
          <w:vertAlign w:val="superscript"/>
        </w:rPr>
        <w:t>-1</w:t>
      </w:r>
      <w:r w:rsidRPr="00A57EFF">
        <w:rPr>
          <w:rFonts w:ascii="Times New Roman" w:hAnsi="Times New Roman"/>
          <w:sz w:val="24"/>
        </w:rPr>
        <w:t xml:space="preserve"> of dry root d</w:t>
      </w:r>
      <w:r w:rsidRPr="00A57EFF">
        <w:rPr>
          <w:rFonts w:ascii="Times New Roman" w:hAnsi="Times New Roman"/>
          <w:sz w:val="24"/>
          <w:vertAlign w:val="superscript"/>
        </w:rPr>
        <w:t xml:space="preserve">-1 </w:t>
      </w:r>
      <w:r w:rsidRPr="00A57EFF">
        <w:rPr>
          <w:rFonts w:ascii="Times New Roman" w:hAnsi="Times New Roman"/>
          <w:sz w:val="24"/>
        </w:rPr>
        <w:t xml:space="preserve">when under P stress </w:t>
      </w:r>
      <w:r w:rsidRPr="00A57EFF">
        <w:rPr>
          <w:rFonts w:ascii="Times New Roman" w:hAnsi="Times New Roman"/>
          <w:sz w:val="24"/>
        </w:rPr>
        <w:fldChar w:fldCharType="begin"/>
      </w:r>
      <w:r w:rsidRPr="00AA6F1F">
        <w:rPr>
          <w:rFonts w:ascii="Times New Roman" w:eastAsia="Calibri" w:hAnsi="Times New Roman" w:cs="Times New Roman"/>
          <w:sz w:val="24"/>
        </w:rPr>
        <w:instrText xml:space="preserve"> ADDIN EN.CITE &lt;EndNote&gt;&lt;Cite&gt;&lt;Author&gt;Lipton&lt;/Author&gt;&lt;Year&gt;1987&lt;/Year&gt;&lt;RecNum&gt;175&lt;/RecNum&gt;&lt;DisplayText&gt;(Lipton et al. 1987)&lt;/DisplayText&gt;&lt;record&gt;&lt;rec-number&gt;175&lt;/rec-number&gt;&lt;foreign-keys&gt;&lt;key app="EN" db-id="0sapex5pfwrt05ep5w3x2zd0tdt9050e5fax" timestamp="1544709968"&gt;175&lt;/key&gt;&lt;/foreign-keys&gt;&lt;ref-type name="Journal Article"&gt;17&lt;/ref-type&gt;&lt;contributors&gt;&lt;authors&gt;&lt;author&gt;Lipton, Doug S&lt;/author&gt;&lt;author&gt;Blanchar, Robert W&lt;/author&gt;&lt;author&gt;Blevins, Dale G&lt;/author&gt;&lt;/authors&gt;&lt;/contributors&gt;&lt;titles&gt;&lt;title&gt;Citrate, malate, and succinate concentration in exudates from P-sufficient and P-stressed Medicago sativa L. seedlings&lt;/title&gt;&lt;secondary-title&gt;Plant Physiology&lt;/secondary-title&gt;&lt;/titles&gt;&lt;periodical&gt;&lt;full-title&gt;Plant physiology&lt;/full-title&gt;&lt;/periodical&gt;&lt;pages&gt;315-317&lt;/pages&gt;&lt;volume&gt;85&lt;/volume&gt;&lt;number&gt;2&lt;/number&gt;&lt;dates&gt;&lt;year&gt;1987&lt;/year&gt;&lt;/dates&gt;&lt;isbn&gt;0032-0889&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(Lipton et al. 1987)</w:t>
      </w:r>
      <w:r w:rsidRPr="00A57EFF">
        <w:rPr>
          <w:rFonts w:ascii="Times New Roman" w:hAnsi="Times New Roman"/>
          <w:sz w:val="24"/>
        </w:rPr>
        <w:fldChar w:fldCharType="end"/>
      </w:r>
      <w:r w:rsidRPr="00AA6F1F">
        <w:rPr>
          <w:rFonts w:ascii="Times New Roman" w:eastAsia="Calibri" w:hAnsi="Times New Roman" w:cs="Times New Roman"/>
          <w:sz w:val="24"/>
        </w:rPr>
        <w:t xml:space="preserve">, which equates to approximately </w:t>
      </w:r>
      <m:oMath>
        <m:r>
          <w:rPr>
            <w:rFonts w:ascii="Cambria Math" w:eastAsia="Calibri" w:hAnsi="Cambria Math" w:cs="Times New Roman"/>
            <w:sz w:val="24"/>
          </w:rPr>
          <m:t>1.4×</m:t>
        </m:r>
        <m:sSup>
          <m:sSupPr>
            <m:ctrlPr>
              <w:rPr>
                <w:rFonts w:ascii="Cambria Math" w:eastAsia="Calibri" w:hAnsi="Cambria Math" w:cs="Times New Roman"/>
                <w:i/>
                <w:sz w:val="24"/>
              </w:rPr>
            </m:ctrlPr>
          </m:sSupPr>
          <m:e>
            <m:r>
              <w:rPr>
                <w:rFonts w:ascii="Cambria Math" w:eastAsia="Calibri" w:hAnsi="Cambria Math" w:cs="Times New Roman"/>
                <w:sz w:val="24"/>
              </w:rPr>
              <m:t>10</m:t>
            </m:r>
          </m:e>
          <m:sup>
            <m:r>
              <w:rPr>
                <w:rFonts w:ascii="Cambria Math" w:eastAsia="Calibri" w:hAnsi="Cambria Math" w:cs="Times New Roman"/>
                <w:sz w:val="24"/>
              </w:rPr>
              <m:t>-5</m:t>
            </m:r>
          </m:sup>
        </m:sSup>
      </m:oMath>
      <w:r w:rsidRPr="00AA6F1F">
        <w:rPr>
          <w:rFonts w:ascii="Times New Roman" w:eastAsia="Times New Roman" w:hAnsi="Times New Roman" w:cs="Times New Roman"/>
          <w:sz w:val="24"/>
          <w:szCs w:val="24"/>
        </w:rPr>
        <w:t xml:space="preserve"> cm</w:t>
      </w:r>
      <w:r w:rsidRPr="00AA6F1F">
        <w:rPr>
          <w:rFonts w:ascii="Times New Roman" w:eastAsia="Times New Roman" w:hAnsi="Times New Roman" w:cs="Times New Roman"/>
          <w:sz w:val="24"/>
          <w:szCs w:val="24"/>
          <w:vertAlign w:val="superscript"/>
        </w:rPr>
        <w:t>-1</w:t>
      </w:r>
      <w:r w:rsidRPr="00AA6F1F">
        <w:rPr>
          <w:rFonts w:ascii="Times New Roman" w:eastAsia="Times New Roman" w:hAnsi="Times New Roman" w:cs="Times New Roman"/>
          <w:sz w:val="24"/>
          <w:szCs w:val="24"/>
        </w:rPr>
        <w:t xml:space="preserve"> of root h</w:t>
      </w:r>
      <w:r w:rsidRPr="00AA6F1F">
        <w:rPr>
          <w:rFonts w:ascii="Times New Roman" w:eastAsia="Times New Roman" w:hAnsi="Times New Roman" w:cs="Times New Roman"/>
          <w:sz w:val="24"/>
          <w:szCs w:val="24"/>
          <w:vertAlign w:val="superscript"/>
        </w:rPr>
        <w:t>-1</w:t>
      </w:r>
      <w:r w:rsidRPr="00AA6F1F">
        <w:rPr>
          <w:rFonts w:ascii="Times New Roman" w:eastAsia="Times New Roman" w:hAnsi="Times New Roman" w:cs="Times New Roman"/>
          <w:sz w:val="24"/>
          <w:szCs w:val="24"/>
        </w:rPr>
        <w:t xml:space="preserve"> </w:t>
      </w:r>
      <w:r w:rsidRPr="00AA6F1F">
        <w:rPr>
          <w:rFonts w:ascii="Times New Roman" w:eastAsia="Times New Roman" w:hAnsi="Times New Roman" w:cs="Times New Roman"/>
          <w:sz w:val="24"/>
          <w:szCs w:val="24"/>
        </w:rPr>
        <w:fldChar w:fldCharType="begin"/>
      </w:r>
      <w:r w:rsidRPr="00AA6F1F">
        <w:rPr>
          <w:rFonts w:ascii="Times New Roman" w:eastAsia="Times New Roman" w:hAnsi="Times New Roman" w:cs="Times New Roman"/>
          <w:sz w:val="24"/>
          <w:szCs w:val="24"/>
        </w:rPr>
        <w:instrText xml:space="preserve"> ADDIN EN.CITE &lt;EndNote&gt;&lt;Cite&gt;&lt;Author&gt;Solaiman&lt;/Author&gt;&lt;Year&gt;2007&lt;/Year&gt;&lt;RecNum&gt;47&lt;/RecNum&gt;&lt;DisplayText&gt;(Solaiman et al. 2007)&lt;/DisplayText&gt;&lt;record&gt;&lt;rec-number&gt;47&lt;/rec-number&gt;&lt;foreign-keys&gt;&lt;key app="EN" db-id="vtat2ezx1rsvt0es5w0vws0pwev2zstd550f" timestamp="1570119624"&gt;47&lt;/key&gt;&lt;/foreign-keys&gt;&lt;ref-type name="Journal Article"&gt;17&lt;/ref-type&gt;&lt;contributors&gt;&lt;authors&gt;&lt;author&gt;Solaiman, Zakaria&lt;/author&gt;&lt;author&gt;Marschner, Petra&lt;/author&gt;&lt;author&gt;Wang, Dongmei&lt;/author&gt;&lt;author&gt;Rengel, Zed&lt;/author&gt;&lt;/authors&gt;&lt;/contributors&gt;&lt;titles&gt;&lt;title&gt;Growth, P uptake and rhizosphere properties of wheat and canola genotypes in an alkaline soil with low P availability&lt;/title&gt;&lt;secondary-title&gt;Biology and Fertility of Soils&lt;/secondary-title&gt;&lt;/titles&gt;&lt;periodical&gt;&lt;full-title&gt;Biology and Fertility of Soils&lt;/full-title&gt;&lt;/periodical&gt;&lt;pages&gt;143&lt;/pages&gt;&lt;volume&gt;44&lt;/volume&gt;&lt;number&gt;1&lt;/number&gt;&lt;dates&gt;&lt;year&gt;2007&lt;/year&gt;&lt;/dates&gt;&lt;isbn&gt;0178-2762&lt;/isbn&gt;&lt;urls&gt;&lt;/urls&gt;&lt;/record&gt;&lt;/Cite&gt;&lt;/EndNote&gt;</w:instrText>
      </w:r>
      <w:r w:rsidRPr="00AA6F1F">
        <w:rPr>
          <w:rFonts w:ascii="Times New Roman" w:eastAsia="Times New Roman" w:hAnsi="Times New Roman" w:cs="Times New Roman"/>
          <w:sz w:val="24"/>
          <w:szCs w:val="24"/>
        </w:rPr>
        <w:fldChar w:fldCharType="separate"/>
      </w:r>
      <w:r w:rsidRPr="00AA6F1F">
        <w:rPr>
          <w:rFonts w:ascii="Times New Roman" w:eastAsia="Times New Roman" w:hAnsi="Times New Roman" w:cs="Times New Roman"/>
          <w:noProof/>
          <w:sz w:val="24"/>
          <w:szCs w:val="24"/>
        </w:rPr>
        <w:t>(Solaiman et al. 2007)</w:t>
      </w:r>
      <w:r w:rsidRPr="00AA6F1F">
        <w:rPr>
          <w:rFonts w:ascii="Times New Roman" w:eastAsia="Times New Roman" w:hAnsi="Times New Roman" w:cs="Times New Roman"/>
          <w:sz w:val="24"/>
          <w:szCs w:val="24"/>
        </w:rPr>
        <w:fldChar w:fldCharType="end"/>
      </w:r>
      <w:r w:rsidRPr="00AA6F1F">
        <w:rPr>
          <w:rFonts w:ascii="Times New Roman" w:eastAsia="Times New Roman" w:hAnsi="Times New Roman" w:cs="Times New Roman"/>
          <w:sz w:val="24"/>
          <w:szCs w:val="24"/>
        </w:rPr>
        <w:t>, orders of magnitude lower than the required rate. Hence, P gains could only be achieved if the roots were densely packed. This</w:t>
      </w:r>
      <w:r w:rsidRPr="00A57EFF">
        <w:rPr>
          <w:rFonts w:ascii="Times New Roman" w:hAnsi="Times New Roman"/>
          <w:sz w:val="24"/>
        </w:rPr>
        <w:t xml:space="preserve"> concurs with the modelling findings of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 AuthorYear="1"&gt;&lt;Author&gt;Zygalakis&lt;/Author&gt;&lt;Year&gt;2012&lt;/Year&gt;&lt;RecNum&gt;16&lt;/RecNum&gt;&lt;DisplayText&gt;Zygalakis and Roose (2012)&lt;/DisplayText&gt;&lt;record&gt;&lt;rec-number&gt;16&lt;/rec-number&gt;&lt;foreign-keys&gt;&lt;key app="EN" db-id="0sapex5pfwrt05ep5w3x2zd0tdt9050e5fax" timestamp="1454061516"&gt;16&lt;/key&gt;&lt;/foreign-keys&gt;&lt;ref-type name="Journal Article"&gt;17&lt;/ref-type&gt;&lt;contributors&gt;&lt;authors&gt;&lt;author&gt;Zygalakis, KC&lt;/author&gt;&lt;author&gt;Roose, T&lt;/author&gt;&lt;/authors&gt;&lt;/contributors&gt;&lt;titles&gt;&lt;title&gt;A mathematical model for investigating the effect of cluster roots on plant nutrient uptake&lt;/title&gt;&lt;secondary-title&gt;The European Physical Journal Special Topics&lt;/secondary-title&gt;&lt;/titles&gt;&lt;periodical&gt;&lt;full-title&gt;The European Physical Journal Special Topics&lt;/full-title&gt;&lt;/periodical&gt;&lt;pages&gt;103-118&lt;/pages&gt;&lt;volume&gt;204&lt;/volume&gt;&lt;number&gt;1&lt;/number&gt;&lt;dates&gt;&lt;year&gt;2012&lt;/year&gt;&lt;/dates&gt;&lt;isbn&gt;1951-6355&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Zygalakis and Roose (2012)</w:t>
      </w:r>
      <w:r w:rsidRPr="00A57EFF">
        <w:rPr>
          <w:rFonts w:ascii="Times New Roman" w:hAnsi="Times New Roman"/>
          <w:sz w:val="24"/>
        </w:rPr>
        <w:fldChar w:fldCharType="end"/>
      </w:r>
      <w:r w:rsidRPr="00A57EFF">
        <w:rPr>
          <w:rFonts w:ascii="Times New Roman" w:hAnsi="Times New Roman"/>
          <w:sz w:val="24"/>
        </w:rPr>
        <w:t xml:space="preserve"> and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 AuthorYear="1"&gt;&lt;Author&gt;Gerke&lt;/Author&gt;&lt;Year&gt;2000&lt;/Year&gt;&lt;RecNum&gt;185&lt;/RecNum&gt;&lt;DisplayText&gt;Gerke et al. (2000b)&lt;/DisplayText&gt;&lt;record&gt;&lt;rec-number&gt;185&lt;/rec-number&gt;&lt;foreign-keys&gt;&lt;key app="EN" db-id="0sapex5pfwrt05ep5w3x2zd0tdt9050e5fax" timestamp="1547134537"&gt;185&lt;/key&gt;&lt;/foreign-keys&gt;&lt;ref-type name="Journal Article"&gt;17&lt;/ref-type&gt;&lt;contributors&gt;&lt;authors&gt;&lt;author&gt;Gerke, Jörg&lt;/author&gt;&lt;author&gt;Römer, Wilhelm&lt;/author&gt;&lt;author&gt;Beißner, Lutz&lt;/author&gt;&lt;/authors&gt;&lt;/contributors&gt;&lt;titles&gt;&lt;title&gt;The quantitative effect of chemical phosphate mobilization by carboxylate anions on P uptake by a single root. II. The importance of soil and plant parameters for uptake of mobilized P&lt;/title&gt;&lt;secondary-title&gt;Journal of Plant Nutrition and Soil Science&lt;/secondary-title&gt;&lt;/titles&gt;&lt;periodical&gt;&lt;full-title&gt;Journal of Plant Nutrition and Soil Science&lt;/full-title&gt;&lt;/periodical&gt;&lt;pages&gt;213-219&lt;/pages&gt;&lt;volume&gt;163&lt;/volume&gt;&lt;number&gt;2&lt;/number&gt;&lt;dates&gt;&lt;year&gt;2000&lt;/year&gt;&lt;/dates&gt;&lt;isbn&gt;1436-8730&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Gerke et al. (2000b)</w:t>
      </w:r>
      <w:r w:rsidRPr="00A57EFF">
        <w:rPr>
          <w:rFonts w:ascii="Times New Roman" w:hAnsi="Times New Roman"/>
          <w:sz w:val="24"/>
        </w:rPr>
        <w:fldChar w:fldCharType="end"/>
      </w:r>
      <w:r w:rsidRPr="00A57EFF">
        <w:rPr>
          <w:rFonts w:ascii="Times New Roman" w:hAnsi="Times New Roman"/>
          <w:sz w:val="24"/>
        </w:rPr>
        <w:t xml:space="preserve"> who both found that large clusters of roots </w:t>
      </w:r>
      <w:r w:rsidRPr="00AA6F1F">
        <w:rPr>
          <w:rFonts w:ascii="Times New Roman" w:eastAsia="Times New Roman" w:hAnsi="Times New Roman" w:cs="Times New Roman"/>
          <w:sz w:val="24"/>
          <w:szCs w:val="24"/>
        </w:rPr>
        <w:t>benefit most from</w:t>
      </w:r>
      <w:r w:rsidRPr="00A57EFF">
        <w:rPr>
          <w:rFonts w:ascii="Times New Roman" w:hAnsi="Times New Roman"/>
          <w:sz w:val="24"/>
        </w:rPr>
        <w:t xml:space="preserve"> citrate exudation. The rates calculated in this work could be used to parametrise image-based models to assess different root system architectures, such as cluster roots, and the utilization of solubilized P.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 AuthorYear="1"&gt;&lt;Author&gt;Gerke&lt;/Author&gt;&lt;Year&gt;2000&lt;/Year&gt;&lt;RecNum&gt;17&lt;/RecNum&gt;&lt;DisplayText&gt;Gerke et al. (2000a)&lt;/DisplayText&gt;&lt;record&gt;&lt;rec-number&gt;17&lt;/rec-number&gt;&lt;foreign-keys&gt;&lt;key app="EN" db-id="0sapex5pfwrt05ep5w3x2zd0tdt9050e5fax" timestamp="1455707624"&gt;17&lt;/key&gt;&lt;/foreign-keys&gt;&lt;ref-type name="Journal Article"&gt;17&lt;/ref-type&gt;&lt;contributors&gt;&lt;authors&gt;&lt;author&gt;Gerke, Jörg&lt;/author&gt;&lt;author&gt;Beißner, Lutz&lt;/author&gt;&lt;author&gt;Römer, Wilhelm&lt;/author&gt;&lt;/authors&gt;&lt;/contributors&gt;&lt;titles&gt;&lt;title&gt;The quantitative effect of chemical phosphate mobilization by carboxylate anions on P uptake by a single root. I. The basic concept and determination of soil parameters&lt;/title&gt;&lt;secondary-title&gt;Journal of Plant Nutrition and Soil Science&lt;/secondary-title&gt;&lt;/titles&gt;&lt;periodical&gt;&lt;full-title&gt;Journal of Plant Nutrition and Soil Science&lt;/full-title&gt;&lt;/periodical&gt;&lt;pages&gt;207-212&lt;/pages&gt;&lt;volume&gt;163&lt;/volume&gt;&lt;number&gt;2&lt;/number&gt;&lt;dates&gt;&lt;year&gt;2000&lt;/year&gt;&lt;/dates&gt;&lt;isbn&gt;1522-2624&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Gerke et al. (2000a)</w:t>
      </w:r>
      <w:r w:rsidRPr="00A57EFF">
        <w:rPr>
          <w:rFonts w:ascii="Times New Roman" w:hAnsi="Times New Roman"/>
          <w:sz w:val="24"/>
        </w:rPr>
        <w:fldChar w:fldCharType="end"/>
      </w:r>
      <w:r w:rsidRPr="00A57EFF">
        <w:rPr>
          <w:rFonts w:ascii="Times New Roman" w:hAnsi="Times New Roman"/>
          <w:sz w:val="24"/>
        </w:rPr>
        <w:t xml:space="preserve"> found that more than </w:t>
      </w:r>
      <m:oMath>
        <m:r>
          <w:rPr>
            <w:rFonts w:ascii="Cambria Math" w:hAnsi="Cambria Math"/>
            <w:sz w:val="24"/>
          </w:rPr>
          <m:t>10</m:t>
        </m:r>
      </m:oMath>
      <w:r w:rsidRPr="00A57EFF">
        <w:rPr>
          <w:rFonts w:ascii="Times New Roman" w:hAnsi="Times New Roman"/>
          <w:sz w:val="24"/>
        </w:rPr>
        <w:t xml:space="preserve"> µmol of citrate g</w:t>
      </w:r>
      <w:r w:rsidRPr="00A57EFF">
        <w:rPr>
          <w:rFonts w:ascii="Times New Roman" w:hAnsi="Times New Roman"/>
          <w:sz w:val="24"/>
          <w:vertAlign w:val="superscript"/>
        </w:rPr>
        <w:t>-1</w:t>
      </w:r>
      <w:r w:rsidRPr="00A57EFF">
        <w:rPr>
          <w:rFonts w:ascii="Times New Roman" w:hAnsi="Times New Roman"/>
          <w:sz w:val="24"/>
        </w:rPr>
        <w:t xml:space="preserve"> soil was needed for a significant increase in P solubilisation using bulk-equilibrium experiments.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 AuthorYear="1"&gt;&lt;Author&gt;Gerke&lt;/Author&gt;&lt;Year&gt;2000&lt;/Year&gt;&lt;RecNum&gt;17&lt;/RecNum&gt;&lt;DisplayText&gt;Gerke et al. (2000a)&lt;/DisplayText&gt;&lt;record&gt;&lt;rec-number&gt;17&lt;/rec-number&gt;&lt;foreign-keys&gt;&lt;key app="EN" db-id="0sapex5pfwrt05ep5w3x2zd0tdt9050e5fax" timestamp="1455707624"&gt;17&lt;/key&gt;&lt;/foreign-keys&gt;&lt;ref-type name="Journal Article"&gt;17&lt;/ref-type&gt;&lt;contributors&gt;&lt;authors&gt;&lt;author&gt;Gerke, Jörg&lt;/author&gt;&lt;author&gt;Beißner, Lutz&lt;/author&gt;&lt;author&gt;Römer, Wilhelm&lt;/author&gt;&lt;/authors&gt;&lt;/contributors&gt;&lt;titles&gt;&lt;title&gt;The quantitative effect of chemical phosphate mobilization by carboxylate anions on P uptake by a single root. I. The basic concept and determination of soil parameters&lt;/title&gt;&lt;secondary-title&gt;Journal of Plant Nutrition and Soil Science&lt;/secondary-title&gt;&lt;/titles&gt;&lt;periodical&gt;&lt;full-title&gt;Journal of Plant Nutrition and Soil Science&lt;/full-title&gt;&lt;/periodical&gt;&lt;pages&gt;207-212&lt;/pages&gt;&lt;volume&gt;163&lt;/volume&gt;&lt;number&gt;2&lt;/number&gt;&lt;dates&gt;&lt;year&gt;2000&lt;/year&gt;&lt;/dates&gt;&lt;isbn&gt;1522-2624&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Gerke et al. (2000a)</w:t>
      </w:r>
      <w:r w:rsidRPr="00A57EFF">
        <w:rPr>
          <w:rFonts w:ascii="Times New Roman" w:hAnsi="Times New Roman"/>
          <w:sz w:val="24"/>
        </w:rPr>
        <w:fldChar w:fldCharType="end"/>
      </w:r>
      <w:r w:rsidRPr="00A57EFF">
        <w:rPr>
          <w:rFonts w:ascii="Times New Roman" w:hAnsi="Times New Roman"/>
          <w:sz w:val="24"/>
        </w:rPr>
        <w:t xml:space="preserve"> did not see P solubilisation with lower citrate concentrations, however, this does not necessarily imply that plants would fail to see enhanced P uptake as seen in this work (Fig. 10) for a number of reasons. Firstly, the calculation of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oMath>
      <w:r w:rsidRPr="00A57EFF">
        <w:rPr>
          <w:rFonts w:ascii="Times New Roman" w:hAnsi="Times New Roman"/>
          <w:sz w:val="24"/>
        </w:rPr>
        <w:t xml:space="preserve"> in this work suggests that the rate citrate solubilises phosphate is in fact slow and should be considered dynamically; fast-equilibration arguments to approximate adsorbed P by P in solution would not stand, nor would equilibrium experiments be representative of a root absorbing P. Furthermore, citrate is exuded from a root creating a local region of high concentration, allowing the dramatic citrate-phosphate solubilisation as seen in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 AuthorYear="1"&gt;&lt;Author&gt;Gerke&lt;/Author&gt;&lt;Year&gt;2000&lt;/Year&gt;&lt;RecNum&gt;17&lt;/RecNum&gt;&lt;DisplayText&gt;Gerke et al. (2000a)&lt;/DisplayText&gt;&lt;record&gt;&lt;rec-number&gt;17&lt;/rec-number&gt;&lt;foreign-keys&gt;&lt;key app="EN" db-id="0sapex5pfwrt05ep5w3x2zd0tdt9050e5fax" timestamp="1455707624"&gt;17&lt;/key&gt;&lt;/foreign-keys&gt;&lt;ref-type name="Journal Article"&gt;17&lt;/ref-type&gt;&lt;contributors&gt;&lt;authors&gt;&lt;author&gt;Gerke, Jörg&lt;/author&gt;&lt;author&gt;Beißner, Lutz&lt;/author&gt;&lt;author&gt;Römer, Wilhelm&lt;/author&gt;&lt;/authors&gt;&lt;/contributors&gt;&lt;titles&gt;&lt;title&gt;The quantitative effect of chemical phosphate mobilization by carboxylate anions on P uptake by a single root. I. The basic concept and determination of soil parameters&lt;/title&gt;&lt;secondary-title&gt;Journal of Plant Nutrition and Soil Science&lt;/secondary-title&gt;&lt;/titles&gt;&lt;periodical&gt;&lt;full-title&gt;Journal of Plant Nutrition and Soil Science&lt;/full-title&gt;&lt;/periodical&gt;&lt;pages&gt;207-212&lt;/pages&gt;&lt;volume&gt;163&lt;/volume&gt;&lt;number&gt;2&lt;/number&gt;&lt;dates&gt;&lt;year&gt;2000&lt;/year&gt;&lt;/dates&gt;&lt;isbn&gt;1522-2624&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Gerke et al. (2000a)</w:t>
      </w:r>
      <w:r w:rsidRPr="00A57EFF">
        <w:rPr>
          <w:rFonts w:ascii="Times New Roman" w:hAnsi="Times New Roman"/>
          <w:sz w:val="24"/>
        </w:rPr>
        <w:fldChar w:fldCharType="end"/>
      </w:r>
      <w:r w:rsidRPr="00A57EFF">
        <w:rPr>
          <w:rFonts w:ascii="Times New Roman" w:hAnsi="Times New Roman"/>
          <w:sz w:val="24"/>
        </w:rPr>
        <w:t xml:space="preserve"> near the root surface.</w:t>
      </w:r>
    </w:p>
    <w:p w:rsidR="00AA6F1F" w:rsidRPr="00A57EFF" w:rsidRDefault="00AA6F1F" w:rsidP="00AA6F1F">
      <w:pPr>
        <w:spacing w:after="0" w:line="480" w:lineRule="auto"/>
        <w:ind w:firstLine="720"/>
        <w:jc w:val="both"/>
        <w:rPr>
          <w:rFonts w:ascii="Times New Roman" w:hAnsi="Times New Roman"/>
          <w:sz w:val="24"/>
        </w:rPr>
      </w:pPr>
      <w:r w:rsidRPr="00A57EFF">
        <w:rPr>
          <w:rFonts w:ascii="Times New Roman" w:hAnsi="Times New Roman"/>
          <w:sz w:val="24"/>
        </w:rPr>
        <w:t xml:space="preserve">Unsurprisingly, when citrate biodegradation decreases, the percentage additional P absorbed by the root due to citrate increases, however, the importance of this </w:t>
      </w:r>
      <w:r w:rsidRPr="00AA6F1F">
        <w:rPr>
          <w:rFonts w:ascii="Times New Roman" w:eastAsia="Calibri" w:hAnsi="Times New Roman" w:cs="Times New Roman"/>
          <w:sz w:val="24"/>
        </w:rPr>
        <w:t>was</w:t>
      </w:r>
      <w:r w:rsidRPr="00A57EFF">
        <w:rPr>
          <w:rFonts w:ascii="Times New Roman" w:hAnsi="Times New Roman"/>
          <w:sz w:val="24"/>
        </w:rPr>
        <w:t xml:space="preserve"> less than some other factors in the model. For example, when the value of the buffer power </w:t>
      </w:r>
      <w:r w:rsidRPr="00AA6F1F">
        <w:rPr>
          <w:rFonts w:ascii="Times New Roman" w:eastAsia="Calibri" w:hAnsi="Times New Roman" w:cs="Times New Roman"/>
          <w:sz w:val="24"/>
        </w:rPr>
        <w:t>was</w:t>
      </w:r>
      <w:r w:rsidRPr="00A57EFF">
        <w:rPr>
          <w:rFonts w:ascii="Times New Roman" w:hAnsi="Times New Roman"/>
          <w:sz w:val="24"/>
        </w:rPr>
        <w:t xml:space="preserve"> increased and P becomes held more strongly on the solid phase, citrate exudation </w:t>
      </w:r>
      <w:r w:rsidRPr="00AA6F1F">
        <w:rPr>
          <w:rFonts w:ascii="Times New Roman" w:eastAsia="Calibri" w:hAnsi="Times New Roman" w:cs="Times New Roman"/>
          <w:sz w:val="24"/>
        </w:rPr>
        <w:t>had</w:t>
      </w:r>
      <w:r w:rsidRPr="00A57EFF">
        <w:rPr>
          <w:rFonts w:ascii="Times New Roman" w:hAnsi="Times New Roman"/>
          <w:sz w:val="24"/>
        </w:rPr>
        <w:t xml:space="preserve"> more benefit at solubilising P. This agrees with</w:t>
      </w:r>
      <w:r w:rsidR="00C72ABD" w:rsidRPr="00A57EFF">
        <w:rPr>
          <w:rFonts w:ascii="Times New Roman" w:hAnsi="Times New Roman"/>
          <w:sz w:val="24"/>
        </w:rPr>
        <w:t xml:space="preserve"> </w:t>
      </w:r>
      <w:r w:rsidR="00C72ABD">
        <w:rPr>
          <w:rFonts w:ascii="Times New Roman" w:eastAsia="Calibri" w:hAnsi="Times New Roman" w:cs="Times New Roman"/>
          <w:sz w:val="24"/>
        </w:rPr>
        <w:t>both</w:t>
      </w:r>
      <w:r w:rsidRPr="00AA6F1F">
        <w:rPr>
          <w:rFonts w:ascii="Times New Roman" w:eastAsia="Calibri" w:hAnsi="Times New Roman" w:cs="Times New Roman"/>
          <w:sz w:val="24"/>
        </w:rPr>
        <w:t xml:space="preserve"> </w:t>
      </w:r>
      <w:r w:rsidRPr="00A57EFF">
        <w:rPr>
          <w:rFonts w:ascii="Times New Roman" w:hAnsi="Times New Roman"/>
          <w:sz w:val="24"/>
        </w:rPr>
        <w:t>the</w:t>
      </w:r>
      <w:r w:rsidR="00C72ABD">
        <w:rPr>
          <w:rFonts w:ascii="Times New Roman" w:eastAsia="Calibri" w:hAnsi="Times New Roman" w:cs="Times New Roman"/>
          <w:sz w:val="24"/>
        </w:rPr>
        <w:t xml:space="preserve"> experimental</w:t>
      </w:r>
      <w:r w:rsidRPr="00A57EFF">
        <w:rPr>
          <w:rFonts w:ascii="Times New Roman" w:hAnsi="Times New Roman"/>
          <w:sz w:val="24"/>
        </w:rPr>
        <w:t xml:space="preserve"> work of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 AuthorYear="1"&gt;&lt;Author&gt;Zhang&lt;/Author&gt;&lt;Year&gt;1997&lt;/Year&gt;&lt;RecNum&gt;176&lt;/RecNum&gt;&lt;DisplayText&gt;Zhang et al. (1997)&lt;/DisplayText&gt;&lt;record&gt;&lt;rec-number&gt;176&lt;/rec-number&gt;&lt;foreign-keys&gt;&lt;key app="EN" db-id="0sapex5pfwrt05ep5w3x2zd0tdt9050e5fax" timestamp="1544715340"&gt;176&lt;/key&gt;&lt;/foreign-keys&gt;&lt;ref-type name="Journal Article"&gt;17&lt;/ref-type&gt;&lt;contributors&gt;&lt;authors&gt;&lt;author&gt;Zhang, FS&lt;/author&gt;&lt;author&gt;Ma, J&lt;/author&gt;&lt;author&gt;Cao, YP&lt;/author&gt;&lt;/authors&gt;&lt;/contributors&gt;&lt;titles&gt;&lt;title&gt;Phosphorus deficiency enhances root exudation of low-molecular weight organic acids and utilization of sparingly soluble inorganic phosphates by radish (Raghanus satiuvs L.) and rape (Brassica napus L.) plants&lt;/title&gt;&lt;secondary-title&gt;Plant and Soil&lt;/secondary-title&gt;&lt;/titles&gt;&lt;periodical&gt;&lt;full-title&gt;Plant and Soil&lt;/full-title&gt;&lt;/periodical&gt;&lt;pages&gt;261-264&lt;/pages&gt;&lt;volume&gt;196&lt;/volume&gt;&lt;number&gt;2&lt;/number&gt;&lt;dates&gt;&lt;year&gt;1997&lt;/year&gt;&lt;/dates&gt;&lt;isbn&gt;0032-079X&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Zhang et al. (1997)</w:t>
      </w:r>
      <w:r w:rsidRPr="00A57EFF">
        <w:rPr>
          <w:rFonts w:ascii="Times New Roman" w:hAnsi="Times New Roman"/>
          <w:sz w:val="24"/>
        </w:rPr>
        <w:fldChar w:fldCharType="end"/>
      </w:r>
      <w:r w:rsidRPr="00A57EFF">
        <w:rPr>
          <w:rFonts w:ascii="Times New Roman" w:hAnsi="Times New Roman"/>
          <w:sz w:val="24"/>
        </w:rPr>
        <w:t>, who suggest that low-molecular weight organic acids help radish (</w:t>
      </w:r>
      <w:r w:rsidRPr="00A57EFF">
        <w:rPr>
          <w:rFonts w:ascii="Times New Roman" w:hAnsi="Times New Roman"/>
          <w:i/>
          <w:sz w:val="24"/>
        </w:rPr>
        <w:t>Raphanus sativus</w:t>
      </w:r>
      <w:r w:rsidRPr="00A57EFF">
        <w:rPr>
          <w:rFonts w:ascii="Times New Roman" w:hAnsi="Times New Roman"/>
          <w:sz w:val="24"/>
        </w:rPr>
        <w:t xml:space="preserve"> L.) and rape (</w:t>
      </w:r>
      <w:r w:rsidRPr="00A57EFF">
        <w:rPr>
          <w:rFonts w:ascii="Times New Roman" w:hAnsi="Times New Roman"/>
          <w:i/>
          <w:sz w:val="24"/>
        </w:rPr>
        <w:t xml:space="preserve">Brassica napus </w:t>
      </w:r>
      <w:r w:rsidR="00C72ABD" w:rsidRPr="00A57EFF">
        <w:rPr>
          <w:rFonts w:ascii="Times New Roman" w:hAnsi="Times New Roman"/>
          <w:sz w:val="24"/>
        </w:rPr>
        <w:t xml:space="preserve">L.) </w:t>
      </w:r>
      <w:r w:rsidR="00C72ABD">
        <w:rPr>
          <w:rFonts w:ascii="Times New Roman" w:eastAsia="Calibri" w:hAnsi="Times New Roman" w:cs="Times New Roman"/>
          <w:sz w:val="24"/>
        </w:rPr>
        <w:t xml:space="preserve">utilize sparingly soluble P; and the modelling work of </w:t>
      </w:r>
      <w:r w:rsidR="00C72ABD">
        <w:rPr>
          <w:rFonts w:ascii="Times New Roman" w:eastAsia="Calibri" w:hAnsi="Times New Roman" w:cs="Times New Roman"/>
          <w:sz w:val="24"/>
        </w:rPr>
        <w:fldChar w:fldCharType="begin"/>
      </w:r>
      <w:r w:rsidR="00C72ABD">
        <w:rPr>
          <w:rFonts w:ascii="Times New Roman" w:eastAsia="Calibri" w:hAnsi="Times New Roman" w:cs="Times New Roman"/>
          <w:sz w:val="24"/>
        </w:rPr>
        <w:instrText xml:space="preserve"> ADDIN EN.CITE &lt;EndNote&gt;&lt;Cite AuthorYear="1"&gt;&lt;Author&gt;Schnepf&lt;/Author&gt;&lt;Year&gt;2012&lt;/Year&gt;&lt;RecNum&gt;188&lt;/RecNum&gt;&lt;DisplayText&gt;Schnepf et al. (2012)&lt;/DisplayText&gt;&lt;record&gt;&lt;rec-number&gt;188&lt;/rec-number&gt;&lt;foreign-keys&gt;&lt;key app="EN" db-id="0sapex5pfwrt05ep5w3x2zd0tdt9050e5fax" timestamp="1550580592"&gt;188&lt;/key&gt;&lt;/foreign-keys&gt;&lt;ref-type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00C72ABD">
        <w:rPr>
          <w:rFonts w:ascii="Times New Roman" w:eastAsia="Calibri" w:hAnsi="Times New Roman" w:cs="Times New Roman"/>
          <w:sz w:val="24"/>
        </w:rPr>
        <w:fldChar w:fldCharType="separate"/>
      </w:r>
      <w:r w:rsidR="00C72ABD">
        <w:rPr>
          <w:rFonts w:ascii="Times New Roman" w:eastAsia="Calibri" w:hAnsi="Times New Roman" w:cs="Times New Roman"/>
          <w:noProof/>
          <w:sz w:val="24"/>
        </w:rPr>
        <w:t>Schnepf et al. (2012)</w:t>
      </w:r>
      <w:r w:rsidR="00C72ABD">
        <w:rPr>
          <w:rFonts w:ascii="Times New Roman" w:eastAsia="Calibri" w:hAnsi="Times New Roman" w:cs="Times New Roman"/>
          <w:sz w:val="24"/>
        </w:rPr>
        <w:fldChar w:fldCharType="end"/>
      </w:r>
      <w:r w:rsidR="00C72ABD">
        <w:rPr>
          <w:rFonts w:ascii="Times New Roman" w:eastAsia="Calibri" w:hAnsi="Times New Roman" w:cs="Times New Roman"/>
          <w:sz w:val="24"/>
        </w:rPr>
        <w:t xml:space="preserve"> who found citrate solubilised more P in strongly sorbing soils</w:t>
      </w:r>
      <w:r w:rsidR="00C72ABD" w:rsidRPr="00A57EFF">
        <w:rPr>
          <w:rFonts w:ascii="Times New Roman" w:hAnsi="Times New Roman"/>
          <w:sz w:val="24"/>
        </w:rPr>
        <w:t>.</w:t>
      </w:r>
    </w:p>
    <w:p w:rsidR="00AA6F1F" w:rsidRPr="00A57EFF" w:rsidRDefault="00AA6F1F" w:rsidP="00AA6F1F">
      <w:pPr>
        <w:spacing w:after="0" w:line="480" w:lineRule="auto"/>
        <w:ind w:firstLine="720"/>
        <w:jc w:val="both"/>
        <w:rPr>
          <w:rFonts w:ascii="Times New Roman" w:hAnsi="Times New Roman"/>
          <w:sz w:val="24"/>
        </w:rPr>
      </w:pPr>
      <w:r w:rsidRPr="00A57EFF">
        <w:rPr>
          <w:rFonts w:ascii="Times New Roman" w:hAnsi="Times New Roman"/>
          <w:sz w:val="24"/>
        </w:rPr>
        <w:t xml:space="preserve">The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oMath>
      <w:r w:rsidRPr="00A57EFF">
        <w:rPr>
          <w:rFonts w:ascii="Times New Roman" w:hAnsi="Times New Roman"/>
          <w:sz w:val="24"/>
        </w:rPr>
        <w:t xml:space="preserve"> and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oMath>
      <w:r w:rsidRPr="00A57EFF">
        <w:rPr>
          <w:rFonts w:ascii="Times New Roman" w:hAnsi="Times New Roman"/>
          <w:sz w:val="24"/>
        </w:rPr>
        <w:t xml:space="preserve"> parameters calculated in this study results in a buffer power of </w:t>
      </w:r>
      <m:oMath>
        <m:r>
          <w:rPr>
            <w:rFonts w:ascii="Cambria Math" w:hAnsi="Cambria Math"/>
            <w:sz w:val="24"/>
          </w:rPr>
          <m:t>39.6</m:t>
        </m:r>
      </m:oMath>
      <w:r w:rsidRPr="00A57EFF">
        <w:rPr>
          <w:rFonts w:ascii="Times New Roman" w:hAnsi="Times New Roman"/>
          <w:sz w:val="24"/>
        </w:rPr>
        <w:t xml:space="preserve"> for phosphate in this soil. Although this </w:t>
      </w:r>
      <w:r w:rsidRPr="00AA6F1F">
        <w:rPr>
          <w:rFonts w:ascii="Times New Roman" w:eastAsia="Times New Roman" w:hAnsi="Times New Roman" w:cs="Times New Roman"/>
          <w:sz w:val="24"/>
          <w:szCs w:val="24"/>
        </w:rPr>
        <w:t>was</w:t>
      </w:r>
      <w:r w:rsidRPr="00A57EFF">
        <w:rPr>
          <w:rFonts w:ascii="Times New Roman" w:hAnsi="Times New Roman"/>
          <w:sz w:val="24"/>
        </w:rPr>
        <w:t xml:space="preserve"> not unreasonable for such a soil and P additions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&lt;EndNote&gt;&lt;Cite&gt;&lt;Author&gt;Barber&lt;/Author&gt;&lt;Year&gt;1995&lt;/Year&gt;&lt;RecNum&gt;60&lt;/RecNum&gt;&lt;DisplayText&gt;(Barber 1995)&lt;/DisplayText&gt;&lt;record&gt;&lt;rec-number&gt;60&lt;/rec-number&gt;&lt;foreign-keys&gt;&lt;key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(Barber 1995)</w:t>
      </w:r>
      <w:r w:rsidRPr="00A57EFF">
        <w:rPr>
          <w:rFonts w:ascii="Times New Roman" w:hAnsi="Times New Roman"/>
          <w:sz w:val="24"/>
        </w:rPr>
        <w:fldChar w:fldCharType="end"/>
      </w:r>
      <w:r w:rsidRPr="00A57EFF">
        <w:rPr>
          <w:rFonts w:ascii="Times New Roman" w:hAnsi="Times New Roman"/>
          <w:sz w:val="24"/>
        </w:rPr>
        <w:t xml:space="preserve">, some caution is required when interpreting this result. Firstly, the microdialysis probe was only calibrated for P influx in standard solutions, however, when the microdialysis probe </w:t>
      </w:r>
      <w:r w:rsidRPr="00AA6F1F">
        <w:rPr>
          <w:rFonts w:ascii="Times New Roman" w:eastAsia="Times New Roman" w:hAnsi="Times New Roman" w:cs="Times New Roman"/>
          <w:sz w:val="24"/>
          <w:szCs w:val="24"/>
        </w:rPr>
        <w:t>was</w:t>
      </w:r>
      <w:r w:rsidRPr="00A57EFF">
        <w:rPr>
          <w:rFonts w:ascii="Times New Roman" w:hAnsi="Times New Roman"/>
          <w:sz w:val="24"/>
        </w:rPr>
        <w:t xml:space="preserve"> placed in soil, the ionic strength of the soil may </w:t>
      </w:r>
      <w:r w:rsidRPr="00AA6F1F">
        <w:rPr>
          <w:rFonts w:ascii="Times New Roman" w:eastAsia="Times New Roman" w:hAnsi="Times New Roman" w:cs="Times New Roman"/>
          <w:sz w:val="24"/>
          <w:szCs w:val="24"/>
        </w:rPr>
        <w:t>have altered</w:t>
      </w:r>
      <w:r w:rsidRPr="00A57EFF">
        <w:rPr>
          <w:rFonts w:ascii="Times New Roman" w:hAnsi="Times New Roman"/>
          <w:sz w:val="24"/>
        </w:rPr>
        <w:t xml:space="preserve"> the </w:t>
      </w:r>
      <w:r w:rsidRPr="00AA6F1F">
        <w:rPr>
          <w:rFonts w:ascii="Times New Roman" w:eastAsia="Times New Roman" w:hAnsi="Times New Roman" w:cs="Times New Roman"/>
          <w:sz w:val="24"/>
          <w:szCs w:val="24"/>
        </w:rPr>
        <w:t>uptake rate</w:t>
      </w:r>
      <w:r w:rsidRPr="00A57EFF">
        <w:rPr>
          <w:rFonts w:ascii="Times New Roman" w:hAnsi="Times New Roman"/>
          <w:sz w:val="24"/>
        </w:rPr>
        <w:t xml:space="preserve"> of the microdialysis probe. During the data fitting, this effect </w:t>
      </w:r>
      <w:r w:rsidRPr="00AA6F1F">
        <w:rPr>
          <w:rFonts w:ascii="Times New Roman" w:eastAsia="Times New Roman" w:hAnsi="Times New Roman" w:cs="Times New Roman"/>
          <w:sz w:val="24"/>
          <w:szCs w:val="24"/>
        </w:rPr>
        <w:t>was</w:t>
      </w:r>
      <w:r w:rsidRPr="00A57EFF">
        <w:rPr>
          <w:rFonts w:ascii="Times New Roman" w:hAnsi="Times New Roman"/>
          <w:sz w:val="24"/>
        </w:rPr>
        <w:t xml:space="preserve"> included in the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oMath>
      <w:r w:rsidRPr="00A57EFF">
        <w:rPr>
          <w:rFonts w:ascii="Times New Roman" w:hAnsi="Times New Roman"/>
          <w:sz w:val="24"/>
        </w:rPr>
        <w:t xml:space="preserve"> and </w:t>
      </w:r>
      <w:r w:rsidRPr="00A57EFF">
        <w:rPr>
          <w:rFonts w:ascii="Times New Roman" w:hAnsi="Times New Roman"/>
          <w:sz w:val="24"/>
          <w:vertAlign w:val="subscript"/>
        </w:rPr>
        <w:softHyphen/>
      </w:r>
      <m:oMath>
        <m:sSub>
          <m:sSubPr>
            <m:ctrlPr>
              <w:rPr>
                <w:rFonts w:ascii="Cambria Math" w:hAnsi="Cambria Math"/>
                <w:i/>
                <w:sz w:val="24"/>
                <w:vertAlign w:val="subscript"/>
              </w:rPr>
            </m:ctrlPr>
          </m:sSubPr>
          <m:e>
            <m:r>
              <w:rPr>
                <w:rFonts w:ascii="Cambria Math" w:hAnsi="Cambria Math"/>
                <w:sz w:val="24"/>
                <w:vertAlign w:val="subscript"/>
              </w:rPr>
              <m:t>β</m:t>
            </m:r>
          </m:e>
          <m:sub>
            <m:r>
              <w:rPr>
                <w:rFonts w:ascii="Cambria Math" w:hAnsi="Cambria Math"/>
                <w:sz w:val="24"/>
                <w:vertAlign w:val="subscript"/>
              </w:rPr>
              <m:t>2</m:t>
            </m:r>
          </m:sub>
        </m:sSub>
      </m:oMath>
      <w:r w:rsidRPr="00A57EFF">
        <w:rPr>
          <w:rFonts w:ascii="Times New Roman" w:hAnsi="Times New Roman"/>
          <w:sz w:val="24"/>
          <w:vertAlign w:val="subscript"/>
        </w:rPr>
        <w:t xml:space="preserve"> </w:t>
      </w:r>
      <w:r w:rsidRPr="00A57EFF">
        <w:rPr>
          <w:rFonts w:ascii="Times New Roman" w:hAnsi="Times New Roman"/>
          <w:sz w:val="24"/>
        </w:rPr>
        <w:t>parameters and may not be representative of the actual buffer power.</w:t>
      </w:r>
      <w:r w:rsidRPr="00AA6F1F">
        <w:rPr>
          <w:rFonts w:ascii="Times New Roman" w:eastAsia="Times New Roman" w:hAnsi="Times New Roman" w:cs="Times New Roman"/>
          <w:sz w:val="24"/>
          <w:szCs w:val="24"/>
        </w:rPr>
        <w:t xml:space="preserve"> T</w:t>
      </w:r>
      <w:r w:rsidRPr="00AA6F1F">
        <w:rPr>
          <w:rFonts w:ascii="Times New Roman" w:eastAsia="Calibri" w:hAnsi="Times New Roman" w:cs="Times New Roman"/>
          <w:sz w:val="24"/>
        </w:rPr>
        <w:t>his could be overcome by calibrating the probes at a similar ionic strength and compositions as exists in the soil.</w:t>
      </w:r>
      <w:r w:rsidRPr="00A57EFF">
        <w:rPr>
          <w:rFonts w:ascii="Times New Roman" w:hAnsi="Times New Roman"/>
          <w:sz w:val="24"/>
        </w:rPr>
        <w:t xml:space="preserve"> Furthermore, large quantities of P added to the soil can lower the buffer power </w:t>
      </w:r>
      <w:r w:rsidRPr="00A57EFF">
        <w:rPr>
          <w:rFonts w:ascii="Times New Roman" w:hAnsi="Times New Roman"/>
          <w:sz w:val="24"/>
        </w:rPr>
        <w:fldChar w:fldCharType="begin"/>
      </w:r>
      <w:r w:rsidRPr="00A57EFF">
        <w:rPr>
          <w:rFonts w:ascii="Times New Roman" w:hAnsi="Times New Roman"/>
          <w:sz w:val="24"/>
        </w:rPr>
        <w:instrText xml:space="preserve"> ADDIN EN.CITE &lt;EndNote&gt;&lt;Cite&gt;&lt;Author&gt;Barber&lt;/Author&gt;&lt;Year&gt;1995&lt;/Year&gt;&lt;RecNum&gt;60&lt;/RecNum&gt;&lt;DisplayText&gt;(Barber 1995)&lt;/DisplayText&gt;&lt;record&gt;&lt;rec-number&gt;60&lt;/rec-number&gt;&lt;foreign-keys&gt;&lt;key app="EN" db-id="0sapex5pfwrt05ep5w3x2zd0tdt9050e5fax" timestamp="1476102428"&gt;60&lt;/key&gt;&lt;/foreign-keys&gt;&lt;ref-type name="Book"&gt;6&lt;/ref-type&gt;&lt;contributors&gt;&lt;authors&gt;&lt;author&gt;Barber, Stanley A&lt;/author&gt;&lt;/authors&gt;&lt;/contributors&gt;&lt;titles&gt;&lt;title&gt;Soil nutrient bioavailability: a mechanistic approach&lt;/title&gt;&lt;/titles&gt;&lt;dates&gt;&lt;year&gt;1995&lt;/year&gt;&lt;/dates&gt;&lt;publisher&gt;John Wiley &amp;amp; Sons&lt;/publisher&gt;&lt;isbn&gt;0471587478&lt;/isbn&gt;&lt;urls&gt;&lt;/urls&gt;&lt;/record&gt;&lt;/Cite&gt;&lt;/EndNote&gt;</w:instrText>
      </w:r>
      <w:r w:rsidRPr="00A57EFF">
        <w:rPr>
          <w:rFonts w:ascii="Times New Roman" w:hAnsi="Times New Roman"/>
          <w:sz w:val="24"/>
        </w:rPr>
        <w:fldChar w:fldCharType="separate"/>
      </w:r>
      <w:r w:rsidRPr="00A57EFF">
        <w:rPr>
          <w:rFonts w:ascii="Times New Roman" w:hAnsi="Times New Roman"/>
          <w:sz w:val="24"/>
        </w:rPr>
        <w:t>(Barber 1995)</w:t>
      </w:r>
      <w:r w:rsidRPr="00A57EFF">
        <w:rPr>
          <w:rFonts w:ascii="Times New Roman" w:hAnsi="Times New Roman"/>
          <w:sz w:val="24"/>
        </w:rPr>
        <w:fldChar w:fldCharType="end"/>
      </w:r>
      <w:r w:rsidRPr="00A57EFF">
        <w:rPr>
          <w:rFonts w:ascii="Times New Roman" w:hAnsi="Times New Roman"/>
          <w:sz w:val="24"/>
        </w:rPr>
        <w:t xml:space="preserve"> and the </w:t>
      </w:r>
      <w:r w:rsidRPr="00AA6F1F">
        <w:rPr>
          <w:rFonts w:ascii="Times New Roman" w:eastAsia="Times New Roman" w:hAnsi="Times New Roman" w:cs="Times New Roman"/>
          <w:sz w:val="24"/>
          <w:szCs w:val="24"/>
        </w:rPr>
        <w:t>scintillation counting used</w:t>
      </w:r>
      <w:r w:rsidRPr="00A57EFF">
        <w:rPr>
          <w:rFonts w:ascii="Times New Roman" w:hAnsi="Times New Roman"/>
          <w:sz w:val="24"/>
        </w:rPr>
        <w:t xml:space="preserve"> in this paper only </w:t>
      </w:r>
      <w:r w:rsidRPr="00AA6F1F">
        <w:rPr>
          <w:rFonts w:ascii="Times New Roman" w:eastAsia="Times New Roman" w:hAnsi="Times New Roman" w:cs="Times New Roman"/>
          <w:sz w:val="24"/>
          <w:szCs w:val="24"/>
        </w:rPr>
        <w:t>measured</w:t>
      </w:r>
      <w:r w:rsidRPr="00A57EFF">
        <w:rPr>
          <w:rFonts w:ascii="Times New Roman" w:hAnsi="Times New Roman"/>
          <w:sz w:val="24"/>
        </w:rPr>
        <w:t xml:space="preserve"> the isotopically labelled P added to the soil, not the P originally present in the soil. However, these artefacts </w:t>
      </w:r>
      <w:r w:rsidRPr="00AA6F1F">
        <w:rPr>
          <w:rFonts w:ascii="Times New Roman" w:eastAsia="Times New Roman" w:hAnsi="Times New Roman" w:cs="Times New Roman"/>
          <w:sz w:val="24"/>
          <w:szCs w:val="24"/>
        </w:rPr>
        <w:t>were</w:t>
      </w:r>
      <w:r w:rsidRPr="00A57EFF">
        <w:rPr>
          <w:rFonts w:ascii="Times New Roman" w:hAnsi="Times New Roman"/>
          <w:sz w:val="24"/>
        </w:rPr>
        <w:t xml:space="preserve"> accounted for during the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1</m:t>
            </m:r>
          </m:sub>
        </m:sSub>
      </m:oMath>
      <w:r w:rsidRPr="00A57EFF">
        <w:rPr>
          <w:rFonts w:ascii="Times New Roman" w:hAnsi="Times New Roman"/>
          <w:sz w:val="24"/>
        </w:rPr>
        <w:t xml:space="preserve"> and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2</m:t>
            </m:r>
          </m:sub>
        </m:sSub>
      </m:oMath>
      <w:r w:rsidRPr="00A57EFF">
        <w:rPr>
          <w:rFonts w:ascii="Times New Roman" w:hAnsi="Times New Roman"/>
          <w:sz w:val="24"/>
        </w:rPr>
        <w:t xml:space="preserve"> data fitting</w:t>
      </w:r>
      <w:r w:rsidRPr="00AA6F1F">
        <w:rPr>
          <w:rFonts w:ascii="Times New Roman" w:eastAsia="Times New Roman" w:hAnsi="Times New Roman" w:cs="Times New Roman"/>
          <w:sz w:val="24"/>
          <w:szCs w:val="24"/>
        </w:rPr>
        <w:t xml:space="preserve"> as ionic strength affects were measured implicitly during the corresponding experiment</w:t>
      </w:r>
      <w:r w:rsidRPr="00A57EFF">
        <w:rPr>
          <w:rFonts w:ascii="Times New Roman" w:hAnsi="Times New Roman"/>
          <w:sz w:val="24"/>
        </w:rPr>
        <w:t xml:space="preserve">, thus will not affect the </w:t>
      </w: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3</m:t>
            </m:r>
          </m:sub>
        </m:sSub>
      </m:oMath>
      <w:r w:rsidRPr="00A57EFF">
        <w:rPr>
          <w:rFonts w:ascii="Times New Roman" w:hAnsi="Times New Roman"/>
          <w:sz w:val="24"/>
        </w:rPr>
        <w:t xml:space="preserve"> data fitting.</w:t>
      </w:r>
      <w:r w:rsidRPr="00AA6F1F">
        <w:rPr>
          <w:rFonts w:ascii="Times New Roman" w:eastAsia="Times New Roman" w:hAnsi="Times New Roman" w:cs="Times New Roman"/>
          <w:sz w:val="24"/>
          <w:szCs w:val="24"/>
        </w:rPr>
        <w:t xml:space="preserve"> Similarly, any gains in P uptake by the probe due to acidification by the un-buffered citrate was attributed to </w:t>
      </w:r>
      <m:oMath>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β</m:t>
            </m:r>
          </m:e>
          <m:sub>
            <m:r>
              <w:rPr>
                <w:rFonts w:ascii="Cambria Math" w:eastAsia="Times New Roman" w:hAnsi="Cambria Math" w:cs="Times New Roman"/>
                <w:sz w:val="24"/>
                <w:szCs w:val="24"/>
              </w:rPr>
              <m:t>3</m:t>
            </m:r>
          </m:sub>
        </m:sSub>
      </m:oMath>
      <w:r w:rsidRPr="00AA6F1F">
        <w:rPr>
          <w:rFonts w:ascii="Times New Roman" w:eastAsia="Times New Roman" w:hAnsi="Times New Roman" w:cs="Times New Roman"/>
          <w:sz w:val="24"/>
          <w:szCs w:val="24"/>
        </w:rPr>
        <w:t xml:space="preserve">, the parameter controlling specific adsorption, during the data fitting. </w:t>
      </w:r>
    </w:p>
    <w:p w:rsidR="00AA6F1F" w:rsidRPr="00A57EFF" w:rsidRDefault="00AA6F1F" w:rsidP="00AA6F1F">
      <w:pPr>
        <w:spacing w:after="0" w:line="480" w:lineRule="auto"/>
        <w:jc w:val="both"/>
        <w:rPr>
          <w:rFonts w:ascii="Times New Roman" w:hAnsi="Times New Roman"/>
          <w:b/>
          <w:sz w:val="24"/>
        </w:rPr>
      </w:pPr>
      <w:r w:rsidRPr="00A57EFF">
        <w:rPr>
          <w:rFonts w:ascii="Times New Roman" w:hAnsi="Times New Roman"/>
          <w:b/>
          <w:sz w:val="24"/>
        </w:rPr>
        <w:t>Conclusions</w:t>
      </w:r>
    </w:p>
    <w:p w:rsidR="00AA6F1F" w:rsidRPr="00A57EFF" w:rsidRDefault="00AA6F1F" w:rsidP="00A57EFF">
      <w:pPr>
        <w:spacing w:after="200" w:line="480" w:lineRule="auto"/>
        <w:ind w:firstLine="720"/>
        <w:jc w:val="both"/>
        <w:rPr>
          <w:rFonts w:ascii="Times New Roman" w:hAnsi="Times New Roman"/>
          <w:sz w:val="24"/>
        </w:rPr>
      </w:pPr>
      <w:r w:rsidRPr="00A57EFF">
        <w:rPr>
          <w:rFonts w:ascii="Times New Roman" w:hAnsi="Times New Roman"/>
          <w:sz w:val="24"/>
        </w:rPr>
        <w:t>Here we demonstrated that microdialysis can be used to provide an effective measure of the diffusive flux of solutes both into and out of soil. The microdialysis probes can be easily used to mimic root exudation</w:t>
      </w:r>
      <w:r w:rsidRPr="00AA6F1F">
        <w:rPr>
          <w:rFonts w:ascii="Times New Roman" w:eastAsia="Times New Roman" w:hAnsi="Times New Roman" w:cs="Times New Roman"/>
          <w:sz w:val="24"/>
          <w:szCs w:val="24"/>
        </w:rPr>
        <w:t>.</w:t>
      </w:r>
      <w:r w:rsidRPr="00A57EFF">
        <w:rPr>
          <w:rFonts w:ascii="Times New Roman" w:hAnsi="Times New Roman"/>
          <w:sz w:val="24"/>
        </w:rPr>
        <w:t xml:space="preserve"> Their small size and rapid response time makes them ideal to detect the spatial and temporal dynamics of solutes at the soil-root interface. We also demonstrated that assumptions about mechanisms of citrate and P in bulk soil can be used to create a model which describes the recovery of P by the probes. Parameters in this model were then varied so that the model fluxes across the microdialysis probe membrane were consistent with microdialysis experiments, allowing accurate measurements (up to the validity of the assumptions made) of soil properties. Critically, we show the importance of calibrating the microdialysis probe influx and efflux rates in separate specially designed experiments to correct for the sensitivity of the microdialysis probes to external factors. This approach proved effective in calculating citrate-enhanced P desorption and may be useful in calculating other important dynamic plant-soil interactions.</w:t>
      </w:r>
    </w:p>
    <w:p w:rsidR="00AA6F1F" w:rsidRPr="00AA6F1F" w:rsidRDefault="00AA6F1F" w:rsidP="00AA6F1F">
      <w:pPr>
        <w:keepNext/>
        <w:keepLines/>
        <w:spacing w:before="240" w:after="0" w:line="480" w:lineRule="auto"/>
        <w:outlineLvl w:val="0"/>
        <w:rPr>
          <w:rFonts w:ascii="Cambria" w:eastAsia="Times New Roman" w:hAnsi="Cambria" w:cs="Times New Roman"/>
          <w:color w:val="365F91"/>
          <w:sz w:val="32"/>
          <w:szCs w:val="32"/>
        </w:rPr>
      </w:pPr>
      <w:r w:rsidRPr="00AA6F1F">
        <w:rPr>
          <w:rFonts w:ascii="Cambria" w:eastAsia="Times New Roman" w:hAnsi="Cambria" w:cs="Times New Roman"/>
          <w:color w:val="365F91"/>
          <w:sz w:val="32"/>
          <w:szCs w:val="32"/>
        </w:rPr>
        <w:t>AcknowledgmentsS</w:t>
      </w:r>
    </w:p>
    <w:p w:rsidR="00AA6F1F" w:rsidRPr="00A57EFF" w:rsidRDefault="00AA6F1F" w:rsidP="00A57EFF">
      <w:pPr>
        <w:spacing w:after="200" w:line="480" w:lineRule="auto"/>
        <w:rPr>
          <w:rFonts w:ascii="Times New Roman" w:hAnsi="Times New Roman"/>
          <w:sz w:val="24"/>
        </w:rPr>
      </w:pPr>
      <w:r w:rsidRPr="00A57EFF">
        <w:rPr>
          <w:rFonts w:ascii="Times New Roman" w:hAnsi="Times New Roman"/>
          <w:sz w:val="24"/>
        </w:rPr>
        <w:t>D.M.M.F., K.R.D. A.v.V., and T.R. are funded by ERC Consolidator grant 646809 (Data Intensive Modelling of the Rhizosphere Processes). T.R. is also funded by BBSRC SARISA BB/L025620/1, EPSRC EP/M020355/1, BBSRC SARIC BB/P004180/1 and NERC NE/L00237/1.</w:t>
      </w:r>
      <w:r w:rsidRPr="00AA6F1F">
        <w:rPr>
          <w:rFonts w:ascii="Times New Roman" w:eastAsia="Calibri" w:hAnsi="Times New Roman" w:cs="Times New Roman"/>
          <w:sz w:val="24"/>
        </w:rPr>
        <w:t xml:space="preserve"> D.L.J.is supported by NE/K01093X/1.</w:t>
      </w:r>
    </w:p>
    <w:p w:rsidR="00AA6F1F" w:rsidRPr="00A57EFF" w:rsidRDefault="00AA6F1F" w:rsidP="00A57EFF">
      <w:pPr>
        <w:keepNext/>
        <w:keepLines/>
        <w:spacing w:before="240" w:after="0" w:line="480" w:lineRule="auto"/>
        <w:outlineLvl w:val="0"/>
        <w:rPr>
          <w:rFonts w:ascii="Times New Roman" w:hAnsi="Times New Roman"/>
          <w:color w:val="365F91"/>
          <w:sz w:val="32"/>
        </w:rPr>
      </w:pPr>
      <w:r w:rsidRPr="00A57EFF">
        <w:rPr>
          <w:rFonts w:ascii="Times New Roman" w:hAnsi="Times New Roman"/>
          <w:color w:val="365F91"/>
          <w:sz w:val="32"/>
        </w:rPr>
        <w:t>References</w:t>
      </w:r>
    </w:p>
    <w:p w:rsidR="00F23371" w:rsidRPr="00F23371" w:rsidRDefault="00AA6F1F" w:rsidP="00F23371">
      <w:pPr>
        <w:pStyle w:val="EndNoteBibliography"/>
        <w:spacing w:after="0"/>
        <w:ind w:left="720" w:hanging="720"/>
      </w:pPr>
      <w:r w:rsidRPr="00A57EFF">
        <w:rPr>
          <w:rFonts w:ascii="Times New Roman" w:hAnsi="Times New Roman"/>
        </w:rPr>
        <w:fldChar w:fldCharType="begin"/>
      </w:r>
      <w:r w:rsidRPr="00AA6F1F">
        <w:rPr>
          <w:rFonts w:ascii="Times New Roman" w:eastAsia="Calibri" w:hAnsi="Times New Roman" w:cs="Times New Roman"/>
          <w:szCs w:val="24"/>
        </w:rPr>
        <w:instrText xml:space="preserve"> ADDIN EN.REFLIST </w:instrText>
      </w:r>
      <w:r w:rsidRPr="00A57EFF">
        <w:rPr>
          <w:rFonts w:ascii="Times New Roman" w:hAnsi="Times New Roman"/>
        </w:rPr>
        <w:fldChar w:fldCharType="separate"/>
      </w:r>
      <w:r w:rsidR="00F23371" w:rsidRPr="00F23371">
        <w:t xml:space="preserve">Barber SA (1995) Soil nutrient bioavailability: a mechanistic approach. John Wiley &amp; Sons, </w:t>
      </w:r>
    </w:p>
    <w:p w:rsidR="00F23371" w:rsidRPr="00F23371" w:rsidRDefault="00F23371" w:rsidP="00F23371">
      <w:pPr>
        <w:pStyle w:val="EndNoteBibliography"/>
        <w:spacing w:after="0"/>
        <w:ind w:left="720" w:hanging="720"/>
      </w:pPr>
      <w:r w:rsidRPr="00F23371">
        <w:t>Barrow N (1978) The description of phosphate adsorption curves Journal of Soil Science 29:447-462</w:t>
      </w:r>
    </w:p>
    <w:p w:rsidR="00F23371" w:rsidRPr="00F23371" w:rsidRDefault="00F23371" w:rsidP="00F23371">
      <w:pPr>
        <w:pStyle w:val="EndNoteBibliography"/>
        <w:spacing w:after="0"/>
        <w:ind w:left="720" w:hanging="720"/>
      </w:pPr>
      <w:r w:rsidRPr="00F23371">
        <w:t>Barrow N (1989) Testing a mechanistic model. IX. Competition between anions for sorption by soil Journal of soil science 40:415-425</w:t>
      </w:r>
    </w:p>
    <w:p w:rsidR="00F23371" w:rsidRPr="00F23371" w:rsidRDefault="00F23371" w:rsidP="00F23371">
      <w:pPr>
        <w:pStyle w:val="EndNoteBibliography"/>
        <w:spacing w:after="0"/>
        <w:ind w:left="720" w:hanging="720"/>
      </w:pPr>
      <w:r w:rsidRPr="00F23371">
        <w:t>Barrow N, Debnath A, Sen A (2018) Mechanisms by which citric acid increases phosphate availability Plant and soil 423:193-204</w:t>
      </w:r>
    </w:p>
    <w:p w:rsidR="00F23371" w:rsidRPr="00F23371" w:rsidRDefault="00F23371" w:rsidP="00F23371">
      <w:pPr>
        <w:pStyle w:val="EndNoteBibliography"/>
        <w:spacing w:after="0"/>
        <w:ind w:left="720" w:hanging="720"/>
      </w:pPr>
      <w:r w:rsidRPr="00F23371">
        <w:t>Chen ZC, Liao H (2016) Organic acid anions: an effective defensive weapon for plants against aluminum toxicity and phosphorus deficiency in acidic soils Journal of genetics and genomics 43:631-638</w:t>
      </w:r>
    </w:p>
    <w:p w:rsidR="00F23371" w:rsidRPr="00F23371" w:rsidRDefault="00F23371" w:rsidP="00F23371">
      <w:pPr>
        <w:pStyle w:val="EndNoteBibliography"/>
        <w:spacing w:after="0"/>
        <w:ind w:left="720" w:hanging="720"/>
      </w:pPr>
      <w:r w:rsidRPr="00F23371">
        <w:t>Dari B, Nair VD, Colee J, Harris WG, Mylavarapu R (2015) Estimation of phosphorus isotherm parameters: a simple and cost-effective procedure Frontiers in Environmental Science 3:70</w:t>
      </w:r>
    </w:p>
    <w:p w:rsidR="00F23371" w:rsidRPr="00F23371" w:rsidRDefault="00F23371" w:rsidP="00F23371">
      <w:pPr>
        <w:pStyle w:val="EndNoteBibliography"/>
        <w:spacing w:after="0"/>
        <w:ind w:left="720" w:hanging="720"/>
      </w:pPr>
      <w:r w:rsidRPr="00F23371">
        <w:t>Demand D, Schack-Kirchner H, Lang F (2017) Assessment of diffusive phosphate supply in soils by microdialysis Journal of Plant Nutrition and Soil Science</w:t>
      </w:r>
    </w:p>
    <w:p w:rsidR="00F23371" w:rsidRPr="00F23371" w:rsidRDefault="00F23371" w:rsidP="00F23371">
      <w:pPr>
        <w:pStyle w:val="EndNoteBibliography"/>
        <w:spacing w:after="0"/>
        <w:ind w:left="720" w:hanging="720"/>
      </w:pPr>
      <w:r w:rsidRPr="00F23371">
        <w:t>Dessureault-Rompré J, Nowack B, Schulin R, Luster J (2006) Modified micro suction cup/rhizobox approach for the in-situ detection of organic acids in rhizosphere soil solution Plant and Soil 286:99-107</w:t>
      </w:r>
    </w:p>
    <w:p w:rsidR="00F23371" w:rsidRPr="00F23371" w:rsidRDefault="00F23371" w:rsidP="00F23371">
      <w:pPr>
        <w:pStyle w:val="EndNoteBibliography"/>
        <w:spacing w:after="0"/>
        <w:ind w:left="720" w:hanging="720"/>
      </w:pPr>
      <w:r w:rsidRPr="00F23371">
        <w:t>Galach M, Waniewski J (2012) Membrane transport of several ions during peritoneal dialysis: mathematical modeling Artificial organs 36:E163-E178</w:t>
      </w:r>
    </w:p>
    <w:p w:rsidR="00F23371" w:rsidRPr="00F23371" w:rsidRDefault="00F23371" w:rsidP="00F23371">
      <w:pPr>
        <w:pStyle w:val="EndNoteBibliography"/>
        <w:spacing w:after="0"/>
        <w:ind w:left="720" w:hanging="720"/>
      </w:pPr>
      <w:r w:rsidRPr="00F23371">
        <w:t>Geelhoed J, Van Riemsdijk W, Findenegg G (1999) Simulation of the effect of citrate exudation from roots on the plant availability of phosphate adsorbed on goethite European Journal of Soil Science 50:379-390</w:t>
      </w:r>
    </w:p>
    <w:p w:rsidR="00F23371" w:rsidRPr="00F23371" w:rsidRDefault="00F23371" w:rsidP="00F23371">
      <w:pPr>
        <w:pStyle w:val="EndNoteBibliography"/>
        <w:spacing w:after="0"/>
        <w:ind w:left="720" w:hanging="720"/>
      </w:pPr>
      <w:r w:rsidRPr="00F23371">
        <w:t>Geelhoed JS, Hiemstra T, Van Riemsdijk WH (1998) Competitive interaction between phosphate and citrate on goethite Environmental Science &amp; Technology 32:2119-2123</w:t>
      </w:r>
    </w:p>
    <w:p w:rsidR="00F23371" w:rsidRPr="00F23371" w:rsidRDefault="00F23371" w:rsidP="00F23371">
      <w:pPr>
        <w:pStyle w:val="EndNoteBibliography"/>
        <w:spacing w:after="0"/>
        <w:ind w:left="720" w:hanging="720"/>
      </w:pPr>
      <w:r w:rsidRPr="00F23371">
        <w:t>Gerke J, Beißner L, Römer W (2000a) The quantitative effect of chemical phosphate mobilization by carboxylate anions on P uptake by a single root. I. The basic concept and determination of soil parameters Journal of Plant Nutrition and Soil Science 163:207-212</w:t>
      </w:r>
    </w:p>
    <w:p w:rsidR="00F23371" w:rsidRPr="00F23371" w:rsidRDefault="00F23371" w:rsidP="00F23371">
      <w:pPr>
        <w:pStyle w:val="EndNoteBibliography"/>
        <w:spacing w:after="0"/>
        <w:ind w:left="720" w:hanging="720"/>
      </w:pPr>
      <w:r w:rsidRPr="00F23371">
        <w:t>Gerke J, Römer W, Beißner L (2000b) The quantitative effect of chemical phosphate mobilization by carboxylate anions on P uptake by a single root. II. The importance of soil and plant parameters for uptake of mobilized P Journal of Plant Nutrition and Soil Science 163:213-219</w:t>
      </w:r>
    </w:p>
    <w:p w:rsidR="00F23371" w:rsidRPr="00F23371" w:rsidRDefault="00F23371" w:rsidP="00F23371">
      <w:pPr>
        <w:pStyle w:val="EndNoteBibliography"/>
        <w:spacing w:after="0"/>
        <w:ind w:left="720" w:hanging="720"/>
      </w:pPr>
      <w:r w:rsidRPr="00F23371">
        <w:t>Glanville H, Hill P, Schnepf A, Oburger E, Jones D (2016) Combined use of empirical data and mathematical modelling to better estimate the microbial turnover of isotopically labelled carbon substrates in soil Soil Biology and Biochemistry 94:154-168</w:t>
      </w:r>
    </w:p>
    <w:p w:rsidR="00F23371" w:rsidRPr="00F23371" w:rsidRDefault="00F23371" w:rsidP="00F23371">
      <w:pPr>
        <w:pStyle w:val="EndNoteBibliography"/>
        <w:spacing w:after="0"/>
        <w:ind w:left="720" w:hanging="720"/>
      </w:pPr>
      <w:r w:rsidRPr="00F23371">
        <w:t>Gunina A, Smith AR, Kuzyakov Y, Jones DL (2017) Microbial uptake and utilization of low molecular weight organic substrates in soil depend on carbon oxidation state Biogeochemistry 133:89-100</w:t>
      </w:r>
    </w:p>
    <w:p w:rsidR="00F23371" w:rsidRPr="00F23371" w:rsidRDefault="00F23371" w:rsidP="00F23371">
      <w:pPr>
        <w:pStyle w:val="EndNoteBibliography"/>
        <w:spacing w:after="0"/>
        <w:ind w:left="720" w:hanging="720"/>
      </w:pPr>
      <w:r w:rsidRPr="00F23371">
        <w:t>Güsewell S, Schroth MH (2017) How functional is a trait? Phosphorus mobilization through root exudates differs little between Carex species with and without specialized dauciform roots New Phytologist 215:1438-1450</w:t>
      </w:r>
    </w:p>
    <w:p w:rsidR="00F23371" w:rsidRPr="00F23371" w:rsidRDefault="00F23371" w:rsidP="00F23371">
      <w:pPr>
        <w:pStyle w:val="EndNoteBibliography"/>
        <w:spacing w:after="0"/>
        <w:ind w:left="720" w:hanging="720"/>
      </w:pPr>
      <w:r w:rsidRPr="00F23371">
        <w:t>Hoffland E (1992) Quantitative evaluation of the role of organic acid exudation in the mobilization of rock phosphate by rape Plant and Soil 140:279-289</w:t>
      </w:r>
    </w:p>
    <w:p w:rsidR="00F23371" w:rsidRPr="00F23371" w:rsidRDefault="00F23371" w:rsidP="00F23371">
      <w:pPr>
        <w:pStyle w:val="EndNoteBibliography"/>
        <w:spacing w:after="0"/>
        <w:ind w:left="720" w:hanging="720"/>
      </w:pPr>
      <w:r w:rsidRPr="00F23371">
        <w:t>Inselsbacher E, Näsholm T (2012) A novel method to measure the effect of temperature on diffusion of plant-available nitrogen in soil Plant and Soil 354:251-257</w:t>
      </w:r>
    </w:p>
    <w:p w:rsidR="00F23371" w:rsidRPr="00F23371" w:rsidRDefault="00F23371" w:rsidP="00F23371">
      <w:pPr>
        <w:pStyle w:val="EndNoteBibliography"/>
        <w:spacing w:after="0"/>
        <w:ind w:left="720" w:hanging="720"/>
      </w:pPr>
      <w:r w:rsidRPr="00F23371">
        <w:t>Inselsbacher E, Öhlund J, Jämtgård S, Huss-Danell K, Näsholm T (2011) The potential of microdialysis to monitor organic and inorganic nitrogen compounds in soil Soil Biology and Biochemistry 43:1321-1332</w:t>
      </w:r>
    </w:p>
    <w:p w:rsidR="00F23371" w:rsidRPr="00F23371" w:rsidRDefault="00F23371" w:rsidP="00F23371">
      <w:pPr>
        <w:pStyle w:val="EndNoteBibliography"/>
        <w:spacing w:after="0"/>
        <w:ind w:left="720" w:hanging="720"/>
      </w:pPr>
      <w:r w:rsidRPr="00F23371">
        <w:t>Jackson ML, Lim CH, Zelazny LW (1986) Oxides, Hydroxides, and Aluminosilicates 1 Methods of Soil Analysis: Part 1—Physical and Mineralogical Methods:101-150</w:t>
      </w:r>
    </w:p>
    <w:p w:rsidR="00F23371" w:rsidRPr="00F23371" w:rsidRDefault="00F23371" w:rsidP="00F23371">
      <w:pPr>
        <w:pStyle w:val="EndNoteBibliography"/>
        <w:spacing w:after="0"/>
        <w:ind w:left="720" w:hanging="720"/>
      </w:pPr>
      <w:r w:rsidRPr="00F23371">
        <w:t>Jones D, Brassington D (1998) Sorption of organic acids in acid soils and its implications in the rhizosphere European Journal of Soil Science 49:447-455</w:t>
      </w:r>
    </w:p>
    <w:p w:rsidR="00F23371" w:rsidRPr="00F23371" w:rsidRDefault="00F23371" w:rsidP="00F23371">
      <w:pPr>
        <w:pStyle w:val="EndNoteBibliography"/>
        <w:spacing w:after="0"/>
        <w:ind w:left="720" w:hanging="720"/>
      </w:pPr>
      <w:r w:rsidRPr="00F23371">
        <w:t>Jones D, Edwards A (1998) Influence of sorption on the biological utilization of two simple carbon substrates Soil Biology and Biochemistry 30:1895-1902</w:t>
      </w:r>
    </w:p>
    <w:p w:rsidR="00F23371" w:rsidRPr="00F23371" w:rsidRDefault="00F23371" w:rsidP="00F23371">
      <w:pPr>
        <w:pStyle w:val="EndNoteBibliography"/>
        <w:spacing w:after="0"/>
        <w:ind w:left="720" w:hanging="720"/>
      </w:pPr>
      <w:r w:rsidRPr="00F23371">
        <w:t>Jones DL (1998) Organic acids in the rhizosphere–a critical review Plant and soil 205:25-44</w:t>
      </w:r>
    </w:p>
    <w:p w:rsidR="00F23371" w:rsidRPr="00F23371" w:rsidRDefault="00F23371" w:rsidP="00F23371">
      <w:pPr>
        <w:pStyle w:val="EndNoteBibliography"/>
        <w:spacing w:after="0"/>
        <w:ind w:left="720" w:hanging="720"/>
      </w:pPr>
      <w:r w:rsidRPr="00F23371">
        <w:t>Keyes SD et al. (2013) High resolution synchrotron imaging of wheat root hairs growing in soil and image based modelling of phosphate uptake New Phytologist 198:1023-1029</w:t>
      </w:r>
    </w:p>
    <w:p w:rsidR="00F23371" w:rsidRPr="00F23371" w:rsidRDefault="00F23371" w:rsidP="00F23371">
      <w:pPr>
        <w:pStyle w:val="EndNoteBibliography"/>
        <w:spacing w:after="0"/>
        <w:ind w:left="720" w:hanging="720"/>
      </w:pPr>
      <w:r w:rsidRPr="00F23371">
        <w:t>Khademi Z, Jones D, Malakouti M, Asadi F (2010) Organic acids differ in enhancing phosphorus uptake by Triticum aestivum L.—effects of rhizosphere concentration and counterion Plant and soil 334:151-159</w:t>
      </w:r>
    </w:p>
    <w:p w:rsidR="00F23371" w:rsidRPr="00F23371" w:rsidRDefault="00F23371" w:rsidP="00F23371">
      <w:pPr>
        <w:pStyle w:val="EndNoteBibliography"/>
        <w:spacing w:after="0"/>
        <w:ind w:left="720" w:hanging="720"/>
      </w:pPr>
      <w:r w:rsidRPr="00F23371">
        <w:t>Kjellström C, Kirchmann H (1994) Dry matter production of oilseed rape (Brassica napus) with special reference to the root system The Journal of Agricultural Science 123:327-332</w:t>
      </w:r>
    </w:p>
    <w:p w:rsidR="00F23371" w:rsidRPr="00F23371" w:rsidRDefault="00F23371" w:rsidP="00F23371">
      <w:pPr>
        <w:pStyle w:val="EndNoteBibliography"/>
        <w:spacing w:after="0"/>
        <w:ind w:left="720" w:hanging="720"/>
      </w:pPr>
      <w:r w:rsidRPr="00F23371">
        <w:t>Lipton DS, Blanchar RW, Blevins DG (1987) Citrate, malate, and succinate concentration in exudates from P-sufficient and P-stressed Medicago sativa L. seedlings Plant Physiology 85:315-317</w:t>
      </w:r>
    </w:p>
    <w:p w:rsidR="00F23371" w:rsidRPr="00F23371" w:rsidRDefault="00F23371" w:rsidP="00F23371">
      <w:pPr>
        <w:pStyle w:val="EndNoteBibliography"/>
        <w:spacing w:after="0"/>
        <w:ind w:left="720" w:hanging="720"/>
      </w:pPr>
      <w:r w:rsidRPr="00F23371">
        <w:t>Loeppert R, Inskeep W (1996) Iron. p. 639–664. DL Sparks (ed.) Methods of soil analysis. Part 3. SSSA Book Ser. 5. SSSA, Madison, WI Iron p 639–664 In DL Sparks (ed) Methods of soil analysis Part 3 SSSA Book Ser 5 SSSA, Madison, WI:-</w:t>
      </w:r>
    </w:p>
    <w:p w:rsidR="00F23371" w:rsidRPr="00F23371" w:rsidRDefault="00F23371" w:rsidP="00F23371">
      <w:pPr>
        <w:pStyle w:val="EndNoteBibliography"/>
        <w:spacing w:after="0"/>
        <w:ind w:left="720" w:hanging="720"/>
      </w:pPr>
      <w:r w:rsidRPr="00F23371">
        <w:t>Menacherry S, Hubert W, Justice JB (1992) In vivo calibration of microdialysis probes for exogenous compounds Analytical chemistry 64:577-583</w:t>
      </w:r>
    </w:p>
    <w:p w:rsidR="00F23371" w:rsidRPr="00F23371" w:rsidRDefault="00F23371" w:rsidP="00F23371">
      <w:pPr>
        <w:pStyle w:val="EndNoteBibliography"/>
        <w:spacing w:after="0"/>
        <w:ind w:left="720" w:hanging="720"/>
      </w:pPr>
      <w:r w:rsidRPr="00F23371">
        <w:t>Mosetlha K, Torto N, Wibetoe G (2007) Determination of Cu and Ni in plants by microdialysis sampling: Comparison of dialyzable metal fractions with total metal content Talanta 71:766-770</w:t>
      </w:r>
    </w:p>
    <w:p w:rsidR="00F23371" w:rsidRPr="00F23371" w:rsidRDefault="00F23371" w:rsidP="00F23371">
      <w:pPr>
        <w:pStyle w:val="EndNoteBibliography"/>
        <w:spacing w:after="0"/>
        <w:ind w:left="720" w:hanging="720"/>
      </w:pPr>
      <w:r w:rsidRPr="00F23371">
        <w:t>Nye P (1983) The diffusion of two interacting solutes in soil Journal of Soil Science 34:677-691</w:t>
      </w:r>
    </w:p>
    <w:p w:rsidR="00F23371" w:rsidRPr="00F23371" w:rsidRDefault="00F23371" w:rsidP="00F23371">
      <w:pPr>
        <w:pStyle w:val="EndNoteBibliography"/>
        <w:spacing w:after="0"/>
        <w:ind w:left="720" w:hanging="720"/>
      </w:pPr>
      <w:r w:rsidRPr="00F23371">
        <w:t>Oburger E, Jones DL, Wenzel WW (2011a) Phosphorus saturation and pH differentially regulate the efficiency of organic acid anion-mediated P solubilization mechanisms in soil Plant and Soil 341:363-382</w:t>
      </w:r>
    </w:p>
    <w:p w:rsidR="00F23371" w:rsidRPr="00F23371" w:rsidRDefault="00F23371" w:rsidP="00F23371">
      <w:pPr>
        <w:pStyle w:val="EndNoteBibliography"/>
        <w:spacing w:after="0"/>
        <w:ind w:left="720" w:hanging="720"/>
      </w:pPr>
      <w:r w:rsidRPr="00F23371">
        <w:t>Oburger E, Kirk GJ, Wenzel WW, Puschenreiter M, Jones DL (2009) Interactive effects of organic acids in the rhizosphere Soil Biology and Biochemistry 41:449-457</w:t>
      </w:r>
    </w:p>
    <w:p w:rsidR="00F23371" w:rsidRPr="00F23371" w:rsidRDefault="00F23371" w:rsidP="00F23371">
      <w:pPr>
        <w:pStyle w:val="EndNoteBibliography"/>
        <w:spacing w:after="0"/>
        <w:ind w:left="720" w:hanging="720"/>
      </w:pPr>
      <w:r w:rsidRPr="00F23371">
        <w:t>Oburger E, Leitner D, Jones D, Zygalakis K, Schnepf A, Roose T (2011b) Adsorption and desorption dynamics of citric acid anions in soil European Journal of Soil Science 62:733-742</w:t>
      </w:r>
    </w:p>
    <w:p w:rsidR="00F23371" w:rsidRPr="00F23371" w:rsidRDefault="00F23371" w:rsidP="00F23371">
      <w:pPr>
        <w:pStyle w:val="EndNoteBibliography"/>
        <w:spacing w:after="0"/>
        <w:ind w:left="720" w:hanging="720"/>
      </w:pPr>
      <w:r w:rsidRPr="00F23371">
        <w:t>Palomo L, Claassen N, Jones DL (2006) Differential mobilization of P in the maize rhizosphere by citric acid and potassium citrate Soil Biology and Biochemistry 38:683-692</w:t>
      </w:r>
    </w:p>
    <w:p w:rsidR="00F23371" w:rsidRPr="00F23371" w:rsidRDefault="00F23371" w:rsidP="00F23371">
      <w:pPr>
        <w:pStyle w:val="EndNoteBibliography"/>
        <w:spacing w:after="0"/>
        <w:ind w:left="720" w:hanging="720"/>
      </w:pPr>
      <w:r w:rsidRPr="00F23371">
        <w:t>Roose T, Fowler A (2004) A mathematical model for water and nutrient uptake by plant root systems Journal of theoretical biology 228:173-184</w:t>
      </w:r>
    </w:p>
    <w:p w:rsidR="00F23371" w:rsidRPr="00F23371" w:rsidRDefault="00F23371" w:rsidP="00F23371">
      <w:pPr>
        <w:pStyle w:val="EndNoteBibliography"/>
        <w:spacing w:after="0"/>
        <w:ind w:left="720" w:hanging="720"/>
      </w:pPr>
      <w:r w:rsidRPr="00F23371">
        <w:t>Ryan PR et al. (2014) Can citrate efflux from roots improve phosphorus uptake by plants? Testing the hypothesis with near‐isogenic lines of wheat Physiologia Plantarum 151:230-242</w:t>
      </w:r>
    </w:p>
    <w:p w:rsidR="00F23371" w:rsidRPr="00F23371" w:rsidRDefault="00F23371" w:rsidP="00F23371">
      <w:pPr>
        <w:pStyle w:val="EndNoteBibliography"/>
        <w:spacing w:after="0"/>
        <w:ind w:left="720" w:hanging="720"/>
      </w:pPr>
      <w:r w:rsidRPr="00F23371">
        <w:t>Sanchez PA (2002) Soil fertility and hunger in Africa Science 295:2019-2020</w:t>
      </w:r>
    </w:p>
    <w:p w:rsidR="00F23371" w:rsidRPr="00F23371" w:rsidRDefault="00F23371" w:rsidP="00F23371">
      <w:pPr>
        <w:pStyle w:val="EndNoteBibliography"/>
        <w:spacing w:after="0"/>
        <w:ind w:left="720" w:hanging="720"/>
      </w:pPr>
      <w:r w:rsidRPr="00F23371">
        <w:t>Schnepf A, Leitner D, Klepsch S (2012) Modeling phosphorus uptake by a growing and exuding root system Vadose Zone Journal 11</w:t>
      </w:r>
    </w:p>
    <w:p w:rsidR="00F23371" w:rsidRPr="00F23371" w:rsidRDefault="00F23371" w:rsidP="00F23371">
      <w:pPr>
        <w:pStyle w:val="EndNoteBibliography"/>
        <w:spacing w:after="0"/>
        <w:ind w:left="720" w:hanging="720"/>
      </w:pPr>
      <w:r w:rsidRPr="00F23371">
        <w:t>Shaw R, Williams A, Jones D (2014) Assessing soil nitrogen availability using microdialysis-derived diffusive flux measurements Soil Science Society of America Journal 78:1797-1803</w:t>
      </w:r>
    </w:p>
    <w:p w:rsidR="00F23371" w:rsidRPr="00F23371" w:rsidRDefault="00F23371" w:rsidP="00F23371">
      <w:pPr>
        <w:pStyle w:val="EndNoteBibliography"/>
        <w:spacing w:after="0"/>
        <w:ind w:left="720" w:hanging="720"/>
      </w:pPr>
      <w:r w:rsidRPr="00F23371">
        <w:t>Solaiman Z, Marschner P, Wang D, Rengel Z (2007) Growth, P uptake and rhizosphere properties of wheat and canola genotypes in an alkaline soil with low P availability Biology and Fertility of Soils 44:143</w:t>
      </w:r>
    </w:p>
    <w:p w:rsidR="00F23371" w:rsidRPr="00F23371" w:rsidRDefault="00F23371" w:rsidP="00F23371">
      <w:pPr>
        <w:pStyle w:val="EndNoteBibliography"/>
        <w:spacing w:after="0"/>
        <w:ind w:left="720" w:hanging="720"/>
      </w:pPr>
      <w:r w:rsidRPr="00F23371">
        <w:t>Sulyok M, Miró M, Stingeder G, Koellensperger G (2005) The potential of flow-through microdialysis for probing low-molecular weight organic anions in rhizosphere soil solution Analytica chimica acta 546:1-10</w:t>
      </w:r>
    </w:p>
    <w:p w:rsidR="00F23371" w:rsidRPr="00F23371" w:rsidRDefault="00F23371" w:rsidP="00F23371">
      <w:pPr>
        <w:pStyle w:val="EndNoteBibliography"/>
        <w:spacing w:after="0"/>
        <w:ind w:left="720" w:hanging="720"/>
      </w:pPr>
      <w:r w:rsidRPr="00F23371">
        <w:t>Van de Weerd H, Van Riemsdijk W, Leijnse A (1999) Modeling the dynamic adsorption/desorption of a NOM mixture: Effects of physical and chemical heterogeneity Environmental science &amp; technology 33:1675-1681</w:t>
      </w:r>
    </w:p>
    <w:p w:rsidR="00F23371" w:rsidRPr="00F23371" w:rsidRDefault="00F23371" w:rsidP="00F23371">
      <w:pPr>
        <w:pStyle w:val="EndNoteBibliography"/>
        <w:spacing w:after="0"/>
        <w:ind w:left="720" w:hanging="720"/>
      </w:pPr>
      <w:r w:rsidRPr="00F23371">
        <w:t>Van Hees P, Vinogradoff S, Edwards A, Godbold D, Jones D (2003) Low molecular weight organic acid adsorption in forest soils: effects on soil solution concentrations and biodegradation rates Soil Biology and Biochemistry 35:1015-1026</w:t>
      </w:r>
    </w:p>
    <w:p w:rsidR="00F23371" w:rsidRPr="00F23371" w:rsidRDefault="00F23371" w:rsidP="00F23371">
      <w:pPr>
        <w:pStyle w:val="EndNoteBibliography"/>
        <w:spacing w:after="0"/>
        <w:ind w:left="720" w:hanging="720"/>
      </w:pPr>
      <w:r w:rsidRPr="00F23371">
        <w:t>Vitousek PM, Porder S, Houlton BZ, Chadwick OA (2010) Terrestrial phosphorus limitation: mechanisms, implications, and nitrogen–phosphorus interactions Ecological applications 20:5-15</w:t>
      </w:r>
    </w:p>
    <w:p w:rsidR="00F23371" w:rsidRPr="00F23371" w:rsidRDefault="00F23371" w:rsidP="00F23371">
      <w:pPr>
        <w:pStyle w:val="EndNoteBibliography"/>
        <w:spacing w:after="0"/>
        <w:ind w:left="720" w:hanging="720"/>
      </w:pPr>
      <w:r w:rsidRPr="00F23371">
        <w:t>Wrb IWG (2015) World Reference Base for Soil Resources 2014, update 2015 International soil classification system for naming soils and creating legends for soil maps World Soil Resources Reports No 106:192</w:t>
      </w:r>
    </w:p>
    <w:p w:rsidR="00F23371" w:rsidRPr="00F23371" w:rsidRDefault="00F23371" w:rsidP="00F23371">
      <w:pPr>
        <w:pStyle w:val="EndNoteBibliography"/>
        <w:spacing w:after="0"/>
        <w:ind w:left="720" w:hanging="720"/>
      </w:pPr>
      <w:r w:rsidRPr="00F23371">
        <w:t>Zhang F, Ma J, Cao Y (1997) Phosphorus deficiency enhances root exudation of low-molecular weight organic acids and utilization of sparingly soluble inorganic phosphates by radish (Raghanus satiuvs L.) and rape (Brassica napus L.) plants Plant and Soil 196:261-264</w:t>
      </w:r>
    </w:p>
    <w:p w:rsidR="00F23371" w:rsidRPr="00F23371" w:rsidRDefault="00F23371" w:rsidP="00F23371">
      <w:pPr>
        <w:pStyle w:val="EndNoteBibliography"/>
        <w:ind w:left="720" w:hanging="720"/>
      </w:pPr>
      <w:r w:rsidRPr="00F23371">
        <w:t>Zygalakis K, Roose T (2012) A mathematical model for investigating the effect of cluster roots on plant nutrient uptake The European Physical Journal Special Topics 204:103-118</w:t>
      </w:r>
    </w:p>
    <w:p w:rsidR="00AA6F1F" w:rsidRPr="00AA6F1F" w:rsidRDefault="00AA6F1F" w:rsidP="00AA6F1F">
      <w:pPr>
        <w:spacing w:after="200" w:line="480" w:lineRule="auto"/>
        <w:jc w:val="both"/>
        <w:rPr>
          <w:rFonts w:ascii="Times New Roman" w:eastAsia="Calibri" w:hAnsi="Times New Roman" w:cs="Times New Roman"/>
          <w:sz w:val="24"/>
          <w:szCs w:val="24"/>
        </w:rPr>
      </w:pPr>
      <w:r w:rsidRPr="00A57EFF">
        <w:rPr>
          <w:rFonts w:ascii="Times New Roman" w:hAnsi="Times New Roman"/>
          <w:sz w:val="24"/>
        </w:rPr>
        <w:fldChar w:fldCharType="end"/>
      </w:r>
      <w:r w:rsidRPr="00A57EFF">
        <w:rPr>
          <w:rFonts w:ascii="Times New Roman" w:hAnsi="Times New Roman"/>
          <w:sz w:val="24"/>
        </w:rPr>
        <w:fldChar w:fldCharType="begin"/>
      </w:r>
      <w:r w:rsidRPr="00A57EFF">
        <w:rPr>
          <w:rFonts w:ascii="Times New Roman" w:hAnsi="Times New Roman"/>
          <w:sz w:val="24"/>
        </w:rPr>
        <w:instrText xml:space="preserve"> ADDIN </w:instrText>
      </w:r>
      <w:r w:rsidRPr="00A57EFF">
        <w:rPr>
          <w:rFonts w:ascii="Times New Roman" w:hAnsi="Times New Roman"/>
          <w:sz w:val="24"/>
        </w:rPr>
        <w:fldChar w:fldCharType="end"/>
      </w:r>
    </w:p>
    <w:p w:rsidR="00AB3042" w:rsidRDefault="00AB3042" w:rsidP="00443791"/>
    <w:sectPr w:rsidR="00AB3042" w:rsidSect="00AB3042">
      <w:headerReference w:type="default" r:id="rId20"/>
      <w:footerReference w:type="default" r:id="rId21"/>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0F6" w:rsidRDefault="00F000F6" w:rsidP="00A57EFF">
      <w:pPr>
        <w:spacing w:after="0" w:line="240" w:lineRule="auto"/>
      </w:pPr>
      <w:r>
        <w:separator/>
      </w:r>
    </w:p>
  </w:endnote>
  <w:endnote w:type="continuationSeparator" w:id="0">
    <w:p w:rsidR="00F000F6" w:rsidRDefault="00F000F6" w:rsidP="00A57EFF">
      <w:pPr>
        <w:spacing w:after="0" w:line="240" w:lineRule="auto"/>
      </w:pPr>
      <w:r>
        <w:continuationSeparator/>
      </w:r>
    </w:p>
  </w:endnote>
  <w:endnote w:type="continuationNotice" w:id="1">
    <w:p w:rsidR="00F000F6" w:rsidRDefault="00F000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153024"/>
      <w:docPartObj>
        <w:docPartGallery w:val="Page Numbers (Bottom of Page)"/>
        <w:docPartUnique/>
      </w:docPartObj>
    </w:sdtPr>
    <w:sdtEndPr>
      <w:rPr>
        <w:noProof/>
      </w:rPr>
    </w:sdtEndPr>
    <w:sdtContent>
      <w:p w:rsidR="00F000F6" w:rsidRDefault="00F000F6">
        <w:pPr>
          <w:pStyle w:val="Footer"/>
          <w:jc w:val="center"/>
        </w:pPr>
        <w:r>
          <w:fldChar w:fldCharType="begin"/>
        </w:r>
        <w:r>
          <w:instrText xml:space="preserve"> PAGE   \* MERGEFORMAT </w:instrText>
        </w:r>
        <w:r>
          <w:fldChar w:fldCharType="separate"/>
        </w:r>
        <w:r w:rsidR="00443791">
          <w:rPr>
            <w:noProof/>
          </w:rPr>
          <w:t>15</w:t>
        </w:r>
        <w:r>
          <w:rPr>
            <w:noProof/>
          </w:rPr>
          <w:fldChar w:fldCharType="end"/>
        </w:r>
      </w:p>
    </w:sdtContent>
  </w:sdt>
  <w:p w:rsidR="00F000F6" w:rsidRDefault="00F000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0F6" w:rsidRDefault="00F000F6" w:rsidP="00A57EFF">
      <w:pPr>
        <w:spacing w:after="0" w:line="240" w:lineRule="auto"/>
      </w:pPr>
      <w:r>
        <w:separator/>
      </w:r>
    </w:p>
  </w:footnote>
  <w:footnote w:type="continuationSeparator" w:id="0">
    <w:p w:rsidR="00F000F6" w:rsidRDefault="00F000F6" w:rsidP="00A57EFF">
      <w:pPr>
        <w:spacing w:after="0" w:line="240" w:lineRule="auto"/>
      </w:pPr>
      <w:r>
        <w:continuationSeparator/>
      </w:r>
    </w:p>
  </w:footnote>
  <w:footnote w:type="continuationNotice" w:id="1">
    <w:p w:rsidR="00F000F6" w:rsidRDefault="00F000F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00F6" w:rsidRDefault="00F000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7FEB"/>
    <w:multiLevelType w:val="hybridMultilevel"/>
    <w:tmpl w:val="06A8C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F80792"/>
    <w:multiLevelType w:val="hybridMultilevel"/>
    <w:tmpl w:val="8ACC5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9B3743"/>
    <w:multiLevelType w:val="hybridMultilevel"/>
    <w:tmpl w:val="126AC0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F01BB8"/>
    <w:multiLevelType w:val="hybridMultilevel"/>
    <w:tmpl w:val="A6106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9E3EB6"/>
    <w:multiLevelType w:val="hybridMultilevel"/>
    <w:tmpl w:val="AE44F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1E62CF2"/>
    <w:multiLevelType w:val="hybridMultilevel"/>
    <w:tmpl w:val="E5A44C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 Basic name-yea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apex5pfwrt05ep5w3x2zd0tdt9050e5fax&quot;&gt;My EndNote Library&lt;record-ids&gt;&lt;item&gt;6&lt;/item&gt;&lt;item&gt;8&lt;/item&gt;&lt;item&gt;16&lt;/item&gt;&lt;item&gt;17&lt;/item&gt;&lt;item&gt;21&lt;/item&gt;&lt;item&gt;40&lt;/item&gt;&lt;item&gt;42&lt;/item&gt;&lt;item&gt;60&lt;/item&gt;&lt;item&gt;69&lt;/item&gt;&lt;item&gt;70&lt;/item&gt;&lt;item&gt;71&lt;/item&gt;&lt;item&gt;72&lt;/item&gt;&lt;item&gt;88&lt;/item&gt;&lt;item&gt;91&lt;/item&gt;&lt;item&gt;92&lt;/item&gt;&lt;item&gt;93&lt;/item&gt;&lt;item&gt;94&lt;/item&gt;&lt;item&gt;97&lt;/item&gt;&lt;item&gt;98&lt;/item&gt;&lt;item&gt;117&lt;/item&gt;&lt;item&gt;120&lt;/item&gt;&lt;item&gt;136&lt;/item&gt;&lt;item&gt;137&lt;/item&gt;&lt;item&gt;172&lt;/item&gt;&lt;item&gt;174&lt;/item&gt;&lt;item&gt;175&lt;/item&gt;&lt;item&gt;176&lt;/item&gt;&lt;item&gt;179&lt;/item&gt;&lt;item&gt;183&lt;/item&gt;&lt;item&gt;185&lt;/item&gt;&lt;item&gt;188&lt;/item&gt;&lt;item&gt;205&lt;/item&gt;&lt;item&gt;210&lt;/item&gt;&lt;item&gt;211&lt;/item&gt;&lt;item&gt;212&lt;/item&gt;&lt;item&gt;214&lt;/item&gt;&lt;item&gt;215&lt;/item&gt;&lt;item&gt;216&lt;/item&gt;&lt;item&gt;217&lt;/item&gt;&lt;item&gt;218&lt;/item&gt;&lt;item&gt;222&lt;/item&gt;&lt;item&gt;234&lt;/item&gt;&lt;item&gt;235&lt;/item&gt;&lt;item&gt;236&lt;/item&gt;&lt;item&gt;238&lt;/item&gt;&lt;item&gt;239&lt;/item&gt;&lt;item&gt;241&lt;/item&gt;&lt;/record-ids&gt;&lt;/item&gt;&lt;/Libraries&gt;"/>
  </w:docVars>
  <w:rsids>
    <w:rsidRoot w:val="00AA6F1F"/>
    <w:rsid w:val="0000029F"/>
    <w:rsid w:val="00000487"/>
    <w:rsid w:val="00002ED2"/>
    <w:rsid w:val="00004FBC"/>
    <w:rsid w:val="000065B6"/>
    <w:rsid w:val="000065D5"/>
    <w:rsid w:val="000065EA"/>
    <w:rsid w:val="000069DB"/>
    <w:rsid w:val="00014ED2"/>
    <w:rsid w:val="00015B9B"/>
    <w:rsid w:val="000238AE"/>
    <w:rsid w:val="000242F5"/>
    <w:rsid w:val="00026460"/>
    <w:rsid w:val="00027E9F"/>
    <w:rsid w:val="0003145E"/>
    <w:rsid w:val="00031562"/>
    <w:rsid w:val="00033EEA"/>
    <w:rsid w:val="000355B7"/>
    <w:rsid w:val="00035FEE"/>
    <w:rsid w:val="00036669"/>
    <w:rsid w:val="00037F60"/>
    <w:rsid w:val="00040C6C"/>
    <w:rsid w:val="0004159B"/>
    <w:rsid w:val="0004203C"/>
    <w:rsid w:val="00042263"/>
    <w:rsid w:val="0004252B"/>
    <w:rsid w:val="00043B4C"/>
    <w:rsid w:val="00045109"/>
    <w:rsid w:val="000451F6"/>
    <w:rsid w:val="00045229"/>
    <w:rsid w:val="00045582"/>
    <w:rsid w:val="00045CD1"/>
    <w:rsid w:val="000469DE"/>
    <w:rsid w:val="000470D2"/>
    <w:rsid w:val="00050A57"/>
    <w:rsid w:val="00052785"/>
    <w:rsid w:val="000527B6"/>
    <w:rsid w:val="00054AF1"/>
    <w:rsid w:val="000567E8"/>
    <w:rsid w:val="00056D2B"/>
    <w:rsid w:val="0006229B"/>
    <w:rsid w:val="000646DA"/>
    <w:rsid w:val="000652A5"/>
    <w:rsid w:val="00065678"/>
    <w:rsid w:val="00066368"/>
    <w:rsid w:val="0007132A"/>
    <w:rsid w:val="00072E6F"/>
    <w:rsid w:val="00080630"/>
    <w:rsid w:val="00082E9B"/>
    <w:rsid w:val="00083186"/>
    <w:rsid w:val="00083209"/>
    <w:rsid w:val="00083AE1"/>
    <w:rsid w:val="00084475"/>
    <w:rsid w:val="00084D07"/>
    <w:rsid w:val="000906B0"/>
    <w:rsid w:val="000909DA"/>
    <w:rsid w:val="00093128"/>
    <w:rsid w:val="00093A49"/>
    <w:rsid w:val="00095D70"/>
    <w:rsid w:val="00095F24"/>
    <w:rsid w:val="000A02D2"/>
    <w:rsid w:val="000A043F"/>
    <w:rsid w:val="000A3B72"/>
    <w:rsid w:val="000A5E76"/>
    <w:rsid w:val="000A62BF"/>
    <w:rsid w:val="000A6D39"/>
    <w:rsid w:val="000A7782"/>
    <w:rsid w:val="000B0EE6"/>
    <w:rsid w:val="000B19E6"/>
    <w:rsid w:val="000B1A7D"/>
    <w:rsid w:val="000B24C8"/>
    <w:rsid w:val="000B2A05"/>
    <w:rsid w:val="000B2B5A"/>
    <w:rsid w:val="000B6049"/>
    <w:rsid w:val="000B72CB"/>
    <w:rsid w:val="000C0119"/>
    <w:rsid w:val="000C1DBE"/>
    <w:rsid w:val="000C34B2"/>
    <w:rsid w:val="000C387C"/>
    <w:rsid w:val="000C3F36"/>
    <w:rsid w:val="000D0D49"/>
    <w:rsid w:val="000D3E2D"/>
    <w:rsid w:val="000D7095"/>
    <w:rsid w:val="000E141C"/>
    <w:rsid w:val="000E1C79"/>
    <w:rsid w:val="000E47F2"/>
    <w:rsid w:val="000E4972"/>
    <w:rsid w:val="000E5957"/>
    <w:rsid w:val="000E5AF4"/>
    <w:rsid w:val="000E7872"/>
    <w:rsid w:val="000F09F8"/>
    <w:rsid w:val="000F17B3"/>
    <w:rsid w:val="000F3811"/>
    <w:rsid w:val="000F4602"/>
    <w:rsid w:val="000F5A0E"/>
    <w:rsid w:val="000F63AB"/>
    <w:rsid w:val="000F71E5"/>
    <w:rsid w:val="0010021D"/>
    <w:rsid w:val="00101EFE"/>
    <w:rsid w:val="0010375E"/>
    <w:rsid w:val="001047B7"/>
    <w:rsid w:val="001056B0"/>
    <w:rsid w:val="00107CDA"/>
    <w:rsid w:val="0011127E"/>
    <w:rsid w:val="00112770"/>
    <w:rsid w:val="00112EB1"/>
    <w:rsid w:val="00113596"/>
    <w:rsid w:val="00113A79"/>
    <w:rsid w:val="00116DC1"/>
    <w:rsid w:val="00122C86"/>
    <w:rsid w:val="00122CE3"/>
    <w:rsid w:val="00123F27"/>
    <w:rsid w:val="0012634A"/>
    <w:rsid w:val="00127332"/>
    <w:rsid w:val="00132F88"/>
    <w:rsid w:val="00133976"/>
    <w:rsid w:val="00133CA0"/>
    <w:rsid w:val="00133D6B"/>
    <w:rsid w:val="001344E4"/>
    <w:rsid w:val="00137405"/>
    <w:rsid w:val="00140421"/>
    <w:rsid w:val="00140426"/>
    <w:rsid w:val="00140577"/>
    <w:rsid w:val="00140E8E"/>
    <w:rsid w:val="00141A3E"/>
    <w:rsid w:val="0014284E"/>
    <w:rsid w:val="00143FA8"/>
    <w:rsid w:val="0014567D"/>
    <w:rsid w:val="00146B86"/>
    <w:rsid w:val="00150306"/>
    <w:rsid w:val="00150B82"/>
    <w:rsid w:val="00150D5A"/>
    <w:rsid w:val="001513C3"/>
    <w:rsid w:val="00151942"/>
    <w:rsid w:val="00152468"/>
    <w:rsid w:val="00152762"/>
    <w:rsid w:val="0015319A"/>
    <w:rsid w:val="00153E66"/>
    <w:rsid w:val="00153ECD"/>
    <w:rsid w:val="00154CB2"/>
    <w:rsid w:val="0015587E"/>
    <w:rsid w:val="00156484"/>
    <w:rsid w:val="00156EEA"/>
    <w:rsid w:val="00157437"/>
    <w:rsid w:val="00157503"/>
    <w:rsid w:val="00160A0D"/>
    <w:rsid w:val="0016150B"/>
    <w:rsid w:val="0016523E"/>
    <w:rsid w:val="00165809"/>
    <w:rsid w:val="001662C8"/>
    <w:rsid w:val="001704AC"/>
    <w:rsid w:val="00175F5E"/>
    <w:rsid w:val="0018348A"/>
    <w:rsid w:val="0018455C"/>
    <w:rsid w:val="0018592A"/>
    <w:rsid w:val="00187227"/>
    <w:rsid w:val="00187FD9"/>
    <w:rsid w:val="00190E3B"/>
    <w:rsid w:val="00193856"/>
    <w:rsid w:val="00195E0C"/>
    <w:rsid w:val="0019649B"/>
    <w:rsid w:val="001965F8"/>
    <w:rsid w:val="00197A8A"/>
    <w:rsid w:val="001A1820"/>
    <w:rsid w:val="001A2CC3"/>
    <w:rsid w:val="001B499E"/>
    <w:rsid w:val="001B5B2A"/>
    <w:rsid w:val="001B6723"/>
    <w:rsid w:val="001B755C"/>
    <w:rsid w:val="001C0954"/>
    <w:rsid w:val="001C1527"/>
    <w:rsid w:val="001C3233"/>
    <w:rsid w:val="001C50EE"/>
    <w:rsid w:val="001C590D"/>
    <w:rsid w:val="001C5959"/>
    <w:rsid w:val="001C602C"/>
    <w:rsid w:val="001C6B2B"/>
    <w:rsid w:val="001C73CD"/>
    <w:rsid w:val="001D0251"/>
    <w:rsid w:val="001D28F2"/>
    <w:rsid w:val="001D2C44"/>
    <w:rsid w:val="001D36BD"/>
    <w:rsid w:val="001D461D"/>
    <w:rsid w:val="001D6A8A"/>
    <w:rsid w:val="001D729B"/>
    <w:rsid w:val="001D74E0"/>
    <w:rsid w:val="001D7792"/>
    <w:rsid w:val="001E1156"/>
    <w:rsid w:val="001E209A"/>
    <w:rsid w:val="001E233F"/>
    <w:rsid w:val="001E31F4"/>
    <w:rsid w:val="001E52B8"/>
    <w:rsid w:val="001E5782"/>
    <w:rsid w:val="001E5A07"/>
    <w:rsid w:val="001E6885"/>
    <w:rsid w:val="001E7E0C"/>
    <w:rsid w:val="001E7F80"/>
    <w:rsid w:val="001F075F"/>
    <w:rsid w:val="001F0F95"/>
    <w:rsid w:val="001F16B9"/>
    <w:rsid w:val="001F279C"/>
    <w:rsid w:val="001F4040"/>
    <w:rsid w:val="001F51B6"/>
    <w:rsid w:val="001F5631"/>
    <w:rsid w:val="002005AD"/>
    <w:rsid w:val="00202A95"/>
    <w:rsid w:val="00203C44"/>
    <w:rsid w:val="002046B3"/>
    <w:rsid w:val="00205B6B"/>
    <w:rsid w:val="00213109"/>
    <w:rsid w:val="002138E2"/>
    <w:rsid w:val="00213B5F"/>
    <w:rsid w:val="00214302"/>
    <w:rsid w:val="002149B8"/>
    <w:rsid w:val="00215D95"/>
    <w:rsid w:val="00220C4A"/>
    <w:rsid w:val="0022126F"/>
    <w:rsid w:val="002223E4"/>
    <w:rsid w:val="002244F5"/>
    <w:rsid w:val="00224925"/>
    <w:rsid w:val="0022704D"/>
    <w:rsid w:val="0023136A"/>
    <w:rsid w:val="002318D1"/>
    <w:rsid w:val="00233D98"/>
    <w:rsid w:val="00235356"/>
    <w:rsid w:val="002373FA"/>
    <w:rsid w:val="0024080A"/>
    <w:rsid w:val="00241FE3"/>
    <w:rsid w:val="00245907"/>
    <w:rsid w:val="002477E6"/>
    <w:rsid w:val="00247E0E"/>
    <w:rsid w:val="002512B0"/>
    <w:rsid w:val="0025206A"/>
    <w:rsid w:val="002536AB"/>
    <w:rsid w:val="002538CE"/>
    <w:rsid w:val="00255803"/>
    <w:rsid w:val="00255F2B"/>
    <w:rsid w:val="002620EA"/>
    <w:rsid w:val="00264126"/>
    <w:rsid w:val="00264EDA"/>
    <w:rsid w:val="00266597"/>
    <w:rsid w:val="00271FE7"/>
    <w:rsid w:val="00274895"/>
    <w:rsid w:val="00275663"/>
    <w:rsid w:val="00275A35"/>
    <w:rsid w:val="00275A55"/>
    <w:rsid w:val="00275E28"/>
    <w:rsid w:val="00277E5D"/>
    <w:rsid w:val="0028009A"/>
    <w:rsid w:val="00280DED"/>
    <w:rsid w:val="002827B5"/>
    <w:rsid w:val="00283C6B"/>
    <w:rsid w:val="002856C5"/>
    <w:rsid w:val="0029064F"/>
    <w:rsid w:val="002909F5"/>
    <w:rsid w:val="00294A8C"/>
    <w:rsid w:val="002955BE"/>
    <w:rsid w:val="0029641F"/>
    <w:rsid w:val="002975AA"/>
    <w:rsid w:val="002A3535"/>
    <w:rsid w:val="002A7962"/>
    <w:rsid w:val="002A7A91"/>
    <w:rsid w:val="002B0377"/>
    <w:rsid w:val="002B0A8A"/>
    <w:rsid w:val="002B0C78"/>
    <w:rsid w:val="002B2FAD"/>
    <w:rsid w:val="002B5764"/>
    <w:rsid w:val="002B703E"/>
    <w:rsid w:val="002C126D"/>
    <w:rsid w:val="002C1FE1"/>
    <w:rsid w:val="002C27DA"/>
    <w:rsid w:val="002C5E1F"/>
    <w:rsid w:val="002C6804"/>
    <w:rsid w:val="002D1F7F"/>
    <w:rsid w:val="002D29B6"/>
    <w:rsid w:val="002D37CF"/>
    <w:rsid w:val="002D4583"/>
    <w:rsid w:val="002D4638"/>
    <w:rsid w:val="002D4DF5"/>
    <w:rsid w:val="002E015A"/>
    <w:rsid w:val="002E0A12"/>
    <w:rsid w:val="002E2481"/>
    <w:rsid w:val="002E38D3"/>
    <w:rsid w:val="002E58DD"/>
    <w:rsid w:val="002E5F81"/>
    <w:rsid w:val="002E6022"/>
    <w:rsid w:val="002F0136"/>
    <w:rsid w:val="002F0D80"/>
    <w:rsid w:val="002F583A"/>
    <w:rsid w:val="002F714F"/>
    <w:rsid w:val="00300125"/>
    <w:rsid w:val="0030014C"/>
    <w:rsid w:val="00300FDF"/>
    <w:rsid w:val="00304074"/>
    <w:rsid w:val="003056AB"/>
    <w:rsid w:val="003057F2"/>
    <w:rsid w:val="003058B4"/>
    <w:rsid w:val="00305DB7"/>
    <w:rsid w:val="003100B7"/>
    <w:rsid w:val="00312192"/>
    <w:rsid w:val="00313663"/>
    <w:rsid w:val="00314ACC"/>
    <w:rsid w:val="00315931"/>
    <w:rsid w:val="003174FF"/>
    <w:rsid w:val="0031757C"/>
    <w:rsid w:val="00317598"/>
    <w:rsid w:val="003216BC"/>
    <w:rsid w:val="00322D42"/>
    <w:rsid w:val="0032353D"/>
    <w:rsid w:val="00323986"/>
    <w:rsid w:val="0032573A"/>
    <w:rsid w:val="003258AF"/>
    <w:rsid w:val="00326EC4"/>
    <w:rsid w:val="00330888"/>
    <w:rsid w:val="00331724"/>
    <w:rsid w:val="00331B6F"/>
    <w:rsid w:val="00331D61"/>
    <w:rsid w:val="0033581C"/>
    <w:rsid w:val="00336848"/>
    <w:rsid w:val="00337D7F"/>
    <w:rsid w:val="00340480"/>
    <w:rsid w:val="00340C4F"/>
    <w:rsid w:val="00342105"/>
    <w:rsid w:val="00342CE7"/>
    <w:rsid w:val="00344BA6"/>
    <w:rsid w:val="00344C74"/>
    <w:rsid w:val="00347DD4"/>
    <w:rsid w:val="00350D4B"/>
    <w:rsid w:val="00350F4E"/>
    <w:rsid w:val="0035263A"/>
    <w:rsid w:val="003541BD"/>
    <w:rsid w:val="00355CE2"/>
    <w:rsid w:val="003565E1"/>
    <w:rsid w:val="00357B76"/>
    <w:rsid w:val="00360235"/>
    <w:rsid w:val="00360377"/>
    <w:rsid w:val="003603B0"/>
    <w:rsid w:val="00361607"/>
    <w:rsid w:val="00361CE3"/>
    <w:rsid w:val="0036247D"/>
    <w:rsid w:val="00363EA4"/>
    <w:rsid w:val="00364BB9"/>
    <w:rsid w:val="003655BE"/>
    <w:rsid w:val="00365DFD"/>
    <w:rsid w:val="003662A1"/>
    <w:rsid w:val="0036637F"/>
    <w:rsid w:val="00367E2A"/>
    <w:rsid w:val="0037075C"/>
    <w:rsid w:val="00374F8F"/>
    <w:rsid w:val="0037669C"/>
    <w:rsid w:val="00376A1A"/>
    <w:rsid w:val="00376AA3"/>
    <w:rsid w:val="0038038E"/>
    <w:rsid w:val="00380B90"/>
    <w:rsid w:val="00381ED5"/>
    <w:rsid w:val="003840E2"/>
    <w:rsid w:val="00384BBD"/>
    <w:rsid w:val="00384DC1"/>
    <w:rsid w:val="0038608C"/>
    <w:rsid w:val="00386B15"/>
    <w:rsid w:val="0038733D"/>
    <w:rsid w:val="0038780E"/>
    <w:rsid w:val="00393A0C"/>
    <w:rsid w:val="00394E55"/>
    <w:rsid w:val="00395CB4"/>
    <w:rsid w:val="00396B83"/>
    <w:rsid w:val="003A2883"/>
    <w:rsid w:val="003A3835"/>
    <w:rsid w:val="003A3F0B"/>
    <w:rsid w:val="003A3FE4"/>
    <w:rsid w:val="003A4BE7"/>
    <w:rsid w:val="003A5773"/>
    <w:rsid w:val="003A5E64"/>
    <w:rsid w:val="003A6FC8"/>
    <w:rsid w:val="003B0E2F"/>
    <w:rsid w:val="003B1124"/>
    <w:rsid w:val="003B4015"/>
    <w:rsid w:val="003B6583"/>
    <w:rsid w:val="003B6D4D"/>
    <w:rsid w:val="003C1BAF"/>
    <w:rsid w:val="003C23A3"/>
    <w:rsid w:val="003C2853"/>
    <w:rsid w:val="003C3F7C"/>
    <w:rsid w:val="003C6996"/>
    <w:rsid w:val="003C7266"/>
    <w:rsid w:val="003D28CF"/>
    <w:rsid w:val="003D3EE6"/>
    <w:rsid w:val="003D45D7"/>
    <w:rsid w:val="003D5241"/>
    <w:rsid w:val="003D6327"/>
    <w:rsid w:val="003D72C8"/>
    <w:rsid w:val="003E1EBB"/>
    <w:rsid w:val="003E21B1"/>
    <w:rsid w:val="003E4A00"/>
    <w:rsid w:val="003E4F98"/>
    <w:rsid w:val="003E6D7B"/>
    <w:rsid w:val="003F0FA1"/>
    <w:rsid w:val="003F1227"/>
    <w:rsid w:val="003F24FF"/>
    <w:rsid w:val="003F3A9E"/>
    <w:rsid w:val="003F40E0"/>
    <w:rsid w:val="003F473C"/>
    <w:rsid w:val="003F4E59"/>
    <w:rsid w:val="003F64AE"/>
    <w:rsid w:val="003F66ED"/>
    <w:rsid w:val="003F77A2"/>
    <w:rsid w:val="003F7826"/>
    <w:rsid w:val="004007D4"/>
    <w:rsid w:val="00400C2F"/>
    <w:rsid w:val="00401B6C"/>
    <w:rsid w:val="00402750"/>
    <w:rsid w:val="00403861"/>
    <w:rsid w:val="00403E3D"/>
    <w:rsid w:val="004105ED"/>
    <w:rsid w:val="00411978"/>
    <w:rsid w:val="004123D7"/>
    <w:rsid w:val="00413956"/>
    <w:rsid w:val="00413F76"/>
    <w:rsid w:val="00417156"/>
    <w:rsid w:val="004221E2"/>
    <w:rsid w:val="00422A92"/>
    <w:rsid w:val="004245FE"/>
    <w:rsid w:val="0042698A"/>
    <w:rsid w:val="004273D6"/>
    <w:rsid w:val="004318DE"/>
    <w:rsid w:val="00431949"/>
    <w:rsid w:val="004336A9"/>
    <w:rsid w:val="00434AE4"/>
    <w:rsid w:val="00435057"/>
    <w:rsid w:val="004355AA"/>
    <w:rsid w:val="0043604B"/>
    <w:rsid w:val="00436272"/>
    <w:rsid w:val="0043713B"/>
    <w:rsid w:val="00437ACE"/>
    <w:rsid w:val="00441070"/>
    <w:rsid w:val="00443791"/>
    <w:rsid w:val="00444F95"/>
    <w:rsid w:val="0044694C"/>
    <w:rsid w:val="00450EB5"/>
    <w:rsid w:val="00451F3D"/>
    <w:rsid w:val="0045491A"/>
    <w:rsid w:val="004549AA"/>
    <w:rsid w:val="00456715"/>
    <w:rsid w:val="00457269"/>
    <w:rsid w:val="00460276"/>
    <w:rsid w:val="00462A19"/>
    <w:rsid w:val="00463119"/>
    <w:rsid w:val="00463F3C"/>
    <w:rsid w:val="00464625"/>
    <w:rsid w:val="00464B91"/>
    <w:rsid w:val="0046511E"/>
    <w:rsid w:val="0047056A"/>
    <w:rsid w:val="00470B61"/>
    <w:rsid w:val="004732C0"/>
    <w:rsid w:val="004737BE"/>
    <w:rsid w:val="00475330"/>
    <w:rsid w:val="00476859"/>
    <w:rsid w:val="0048097D"/>
    <w:rsid w:val="004817C2"/>
    <w:rsid w:val="00481B00"/>
    <w:rsid w:val="00482001"/>
    <w:rsid w:val="0048370D"/>
    <w:rsid w:val="00483CA7"/>
    <w:rsid w:val="00484690"/>
    <w:rsid w:val="00484D80"/>
    <w:rsid w:val="00485619"/>
    <w:rsid w:val="0048670A"/>
    <w:rsid w:val="00486F1B"/>
    <w:rsid w:val="004877DB"/>
    <w:rsid w:val="00490426"/>
    <w:rsid w:val="0049249B"/>
    <w:rsid w:val="00492E1C"/>
    <w:rsid w:val="00493101"/>
    <w:rsid w:val="004950F3"/>
    <w:rsid w:val="0049532B"/>
    <w:rsid w:val="004971FE"/>
    <w:rsid w:val="004A0C9D"/>
    <w:rsid w:val="004A4398"/>
    <w:rsid w:val="004A5D7A"/>
    <w:rsid w:val="004A697B"/>
    <w:rsid w:val="004B040D"/>
    <w:rsid w:val="004B26C8"/>
    <w:rsid w:val="004B2D0C"/>
    <w:rsid w:val="004B321C"/>
    <w:rsid w:val="004B4D6A"/>
    <w:rsid w:val="004B6D7C"/>
    <w:rsid w:val="004C057F"/>
    <w:rsid w:val="004C250B"/>
    <w:rsid w:val="004C28BC"/>
    <w:rsid w:val="004C5DB0"/>
    <w:rsid w:val="004D4B9A"/>
    <w:rsid w:val="004D67ED"/>
    <w:rsid w:val="004E0346"/>
    <w:rsid w:val="004E05A5"/>
    <w:rsid w:val="004E2C91"/>
    <w:rsid w:val="004E52D2"/>
    <w:rsid w:val="004E752B"/>
    <w:rsid w:val="004F2200"/>
    <w:rsid w:val="004F28E7"/>
    <w:rsid w:val="004F312B"/>
    <w:rsid w:val="004F5B3D"/>
    <w:rsid w:val="004F5E54"/>
    <w:rsid w:val="004F75F2"/>
    <w:rsid w:val="004F7A02"/>
    <w:rsid w:val="005000BC"/>
    <w:rsid w:val="00501F55"/>
    <w:rsid w:val="0050258F"/>
    <w:rsid w:val="00502C2E"/>
    <w:rsid w:val="00503F20"/>
    <w:rsid w:val="00504937"/>
    <w:rsid w:val="00505EF8"/>
    <w:rsid w:val="00506428"/>
    <w:rsid w:val="00506697"/>
    <w:rsid w:val="00507C39"/>
    <w:rsid w:val="0051219C"/>
    <w:rsid w:val="00514290"/>
    <w:rsid w:val="00524CB1"/>
    <w:rsid w:val="005308EE"/>
    <w:rsid w:val="005312EF"/>
    <w:rsid w:val="005325CF"/>
    <w:rsid w:val="00533BCD"/>
    <w:rsid w:val="00533E21"/>
    <w:rsid w:val="005358BF"/>
    <w:rsid w:val="00537674"/>
    <w:rsid w:val="00540235"/>
    <w:rsid w:val="005406BA"/>
    <w:rsid w:val="005414D8"/>
    <w:rsid w:val="00541FB8"/>
    <w:rsid w:val="00543668"/>
    <w:rsid w:val="0054614E"/>
    <w:rsid w:val="005461E9"/>
    <w:rsid w:val="005463F6"/>
    <w:rsid w:val="00546CFF"/>
    <w:rsid w:val="00546E0E"/>
    <w:rsid w:val="0055674E"/>
    <w:rsid w:val="00557AC9"/>
    <w:rsid w:val="0056368B"/>
    <w:rsid w:val="00563958"/>
    <w:rsid w:val="005657B9"/>
    <w:rsid w:val="005658C5"/>
    <w:rsid w:val="00565B73"/>
    <w:rsid w:val="00565D4E"/>
    <w:rsid w:val="00566E60"/>
    <w:rsid w:val="005714EB"/>
    <w:rsid w:val="0057320C"/>
    <w:rsid w:val="0057623E"/>
    <w:rsid w:val="00576447"/>
    <w:rsid w:val="00577976"/>
    <w:rsid w:val="00581116"/>
    <w:rsid w:val="005840FB"/>
    <w:rsid w:val="0058463E"/>
    <w:rsid w:val="00586402"/>
    <w:rsid w:val="00591502"/>
    <w:rsid w:val="00592EAB"/>
    <w:rsid w:val="00593040"/>
    <w:rsid w:val="005946EB"/>
    <w:rsid w:val="00596C6C"/>
    <w:rsid w:val="005A04DB"/>
    <w:rsid w:val="005A129E"/>
    <w:rsid w:val="005A17D4"/>
    <w:rsid w:val="005A2B97"/>
    <w:rsid w:val="005A30DC"/>
    <w:rsid w:val="005A35DD"/>
    <w:rsid w:val="005B07A2"/>
    <w:rsid w:val="005B0B5D"/>
    <w:rsid w:val="005B1728"/>
    <w:rsid w:val="005B1EFF"/>
    <w:rsid w:val="005B4F2A"/>
    <w:rsid w:val="005B5498"/>
    <w:rsid w:val="005B6B14"/>
    <w:rsid w:val="005C0471"/>
    <w:rsid w:val="005C4A27"/>
    <w:rsid w:val="005D1404"/>
    <w:rsid w:val="005D1770"/>
    <w:rsid w:val="005D51BA"/>
    <w:rsid w:val="005D7216"/>
    <w:rsid w:val="005E0C1B"/>
    <w:rsid w:val="005E13F0"/>
    <w:rsid w:val="005E2C8C"/>
    <w:rsid w:val="005E384C"/>
    <w:rsid w:val="005E5132"/>
    <w:rsid w:val="005E796D"/>
    <w:rsid w:val="005F0402"/>
    <w:rsid w:val="005F23BD"/>
    <w:rsid w:val="005F35A0"/>
    <w:rsid w:val="005F4857"/>
    <w:rsid w:val="006045E9"/>
    <w:rsid w:val="00610394"/>
    <w:rsid w:val="0061085A"/>
    <w:rsid w:val="00611D16"/>
    <w:rsid w:val="006126B6"/>
    <w:rsid w:val="00615B4A"/>
    <w:rsid w:val="00617419"/>
    <w:rsid w:val="0061756F"/>
    <w:rsid w:val="00617B25"/>
    <w:rsid w:val="00617C77"/>
    <w:rsid w:val="00623096"/>
    <w:rsid w:val="006231FF"/>
    <w:rsid w:val="00623661"/>
    <w:rsid w:val="0062383E"/>
    <w:rsid w:val="006256E5"/>
    <w:rsid w:val="00626ACE"/>
    <w:rsid w:val="006339AE"/>
    <w:rsid w:val="00635CD8"/>
    <w:rsid w:val="00635EC4"/>
    <w:rsid w:val="00636CF9"/>
    <w:rsid w:val="006374C0"/>
    <w:rsid w:val="00640FDB"/>
    <w:rsid w:val="00641030"/>
    <w:rsid w:val="00642893"/>
    <w:rsid w:val="00642BA1"/>
    <w:rsid w:val="00643156"/>
    <w:rsid w:val="0064405A"/>
    <w:rsid w:val="0064600B"/>
    <w:rsid w:val="0064615D"/>
    <w:rsid w:val="00646E24"/>
    <w:rsid w:val="006518A4"/>
    <w:rsid w:val="00651F63"/>
    <w:rsid w:val="00652696"/>
    <w:rsid w:val="006533B4"/>
    <w:rsid w:val="00653B0B"/>
    <w:rsid w:val="00655704"/>
    <w:rsid w:val="006605B8"/>
    <w:rsid w:val="006631A5"/>
    <w:rsid w:val="00663920"/>
    <w:rsid w:val="00665460"/>
    <w:rsid w:val="006663F1"/>
    <w:rsid w:val="006674BB"/>
    <w:rsid w:val="0067127F"/>
    <w:rsid w:val="006728D5"/>
    <w:rsid w:val="00674A64"/>
    <w:rsid w:val="006775E9"/>
    <w:rsid w:val="0067788D"/>
    <w:rsid w:val="00681108"/>
    <w:rsid w:val="006812C6"/>
    <w:rsid w:val="00685ACF"/>
    <w:rsid w:val="00690B47"/>
    <w:rsid w:val="00692A01"/>
    <w:rsid w:val="00692C3B"/>
    <w:rsid w:val="00694917"/>
    <w:rsid w:val="00695F6A"/>
    <w:rsid w:val="006963DE"/>
    <w:rsid w:val="00697AA2"/>
    <w:rsid w:val="006A0613"/>
    <w:rsid w:val="006A09FB"/>
    <w:rsid w:val="006A0DB4"/>
    <w:rsid w:val="006A5667"/>
    <w:rsid w:val="006A5AAD"/>
    <w:rsid w:val="006A7D65"/>
    <w:rsid w:val="006B2646"/>
    <w:rsid w:val="006B27F4"/>
    <w:rsid w:val="006B3053"/>
    <w:rsid w:val="006B6DB5"/>
    <w:rsid w:val="006B7F45"/>
    <w:rsid w:val="006C077C"/>
    <w:rsid w:val="006C1220"/>
    <w:rsid w:val="006C1AE2"/>
    <w:rsid w:val="006C4158"/>
    <w:rsid w:val="006D19F6"/>
    <w:rsid w:val="006D1DEA"/>
    <w:rsid w:val="006D5C74"/>
    <w:rsid w:val="006D5FB8"/>
    <w:rsid w:val="006E2AA3"/>
    <w:rsid w:val="006E3117"/>
    <w:rsid w:val="006E4562"/>
    <w:rsid w:val="006E52BD"/>
    <w:rsid w:val="006E651D"/>
    <w:rsid w:val="006E7E6C"/>
    <w:rsid w:val="006F3133"/>
    <w:rsid w:val="006F60BA"/>
    <w:rsid w:val="006F7602"/>
    <w:rsid w:val="00700190"/>
    <w:rsid w:val="00702691"/>
    <w:rsid w:val="007043C9"/>
    <w:rsid w:val="00704473"/>
    <w:rsid w:val="00704BBD"/>
    <w:rsid w:val="00705081"/>
    <w:rsid w:val="00705CAB"/>
    <w:rsid w:val="007069BF"/>
    <w:rsid w:val="0071186B"/>
    <w:rsid w:val="00716EB7"/>
    <w:rsid w:val="00716F13"/>
    <w:rsid w:val="007171CF"/>
    <w:rsid w:val="0072321B"/>
    <w:rsid w:val="00723830"/>
    <w:rsid w:val="00723D7A"/>
    <w:rsid w:val="0072623F"/>
    <w:rsid w:val="00727E69"/>
    <w:rsid w:val="0073098D"/>
    <w:rsid w:val="00730ACE"/>
    <w:rsid w:val="00735C19"/>
    <w:rsid w:val="0073698B"/>
    <w:rsid w:val="007369D6"/>
    <w:rsid w:val="007378A2"/>
    <w:rsid w:val="007404C4"/>
    <w:rsid w:val="00742F50"/>
    <w:rsid w:val="007446E8"/>
    <w:rsid w:val="00745F14"/>
    <w:rsid w:val="00746577"/>
    <w:rsid w:val="00746D5E"/>
    <w:rsid w:val="00747D54"/>
    <w:rsid w:val="00750D82"/>
    <w:rsid w:val="00751010"/>
    <w:rsid w:val="007529F9"/>
    <w:rsid w:val="00753FA1"/>
    <w:rsid w:val="00754C0D"/>
    <w:rsid w:val="00755A4C"/>
    <w:rsid w:val="007613C5"/>
    <w:rsid w:val="00761740"/>
    <w:rsid w:val="00764937"/>
    <w:rsid w:val="007658FC"/>
    <w:rsid w:val="00766E7D"/>
    <w:rsid w:val="0077085F"/>
    <w:rsid w:val="00770955"/>
    <w:rsid w:val="00770B2E"/>
    <w:rsid w:val="00770EB1"/>
    <w:rsid w:val="00771181"/>
    <w:rsid w:val="00772BEA"/>
    <w:rsid w:val="007755F8"/>
    <w:rsid w:val="0077649C"/>
    <w:rsid w:val="007779BB"/>
    <w:rsid w:val="00780B79"/>
    <w:rsid w:val="00780F62"/>
    <w:rsid w:val="00782846"/>
    <w:rsid w:val="00783BD8"/>
    <w:rsid w:val="00784E58"/>
    <w:rsid w:val="00785DAD"/>
    <w:rsid w:val="00785FDB"/>
    <w:rsid w:val="00786753"/>
    <w:rsid w:val="00787F28"/>
    <w:rsid w:val="00792936"/>
    <w:rsid w:val="007949D5"/>
    <w:rsid w:val="007955F7"/>
    <w:rsid w:val="00797305"/>
    <w:rsid w:val="0079796F"/>
    <w:rsid w:val="007A4028"/>
    <w:rsid w:val="007B0516"/>
    <w:rsid w:val="007B3760"/>
    <w:rsid w:val="007C0886"/>
    <w:rsid w:val="007C3BA8"/>
    <w:rsid w:val="007D1723"/>
    <w:rsid w:val="007D183D"/>
    <w:rsid w:val="007D718D"/>
    <w:rsid w:val="007E17B8"/>
    <w:rsid w:val="007E3CC5"/>
    <w:rsid w:val="007E4910"/>
    <w:rsid w:val="007E6A65"/>
    <w:rsid w:val="007E76BA"/>
    <w:rsid w:val="007F30CD"/>
    <w:rsid w:val="007F45AE"/>
    <w:rsid w:val="007F508D"/>
    <w:rsid w:val="007F7B47"/>
    <w:rsid w:val="008044E3"/>
    <w:rsid w:val="008058C0"/>
    <w:rsid w:val="00805F45"/>
    <w:rsid w:val="008063C7"/>
    <w:rsid w:val="00810A6D"/>
    <w:rsid w:val="00811FC7"/>
    <w:rsid w:val="00814E54"/>
    <w:rsid w:val="008160BD"/>
    <w:rsid w:val="00817B90"/>
    <w:rsid w:val="0082084F"/>
    <w:rsid w:val="00820B4F"/>
    <w:rsid w:val="00820C00"/>
    <w:rsid w:val="00825487"/>
    <w:rsid w:val="008300C0"/>
    <w:rsid w:val="008326A5"/>
    <w:rsid w:val="0083348D"/>
    <w:rsid w:val="008345AB"/>
    <w:rsid w:val="00835004"/>
    <w:rsid w:val="00836BB3"/>
    <w:rsid w:val="00840221"/>
    <w:rsid w:val="00841DA8"/>
    <w:rsid w:val="00844721"/>
    <w:rsid w:val="00845FF1"/>
    <w:rsid w:val="008464CF"/>
    <w:rsid w:val="008471A8"/>
    <w:rsid w:val="008472F1"/>
    <w:rsid w:val="00851515"/>
    <w:rsid w:val="00856845"/>
    <w:rsid w:val="00857E75"/>
    <w:rsid w:val="00860063"/>
    <w:rsid w:val="00862526"/>
    <w:rsid w:val="00863E25"/>
    <w:rsid w:val="008642B3"/>
    <w:rsid w:val="00865189"/>
    <w:rsid w:val="008653E9"/>
    <w:rsid w:val="00865B46"/>
    <w:rsid w:val="00865F18"/>
    <w:rsid w:val="0087116B"/>
    <w:rsid w:val="00872989"/>
    <w:rsid w:val="00872C37"/>
    <w:rsid w:val="00874F1C"/>
    <w:rsid w:val="008773EB"/>
    <w:rsid w:val="00880030"/>
    <w:rsid w:val="0088025D"/>
    <w:rsid w:val="00881A3D"/>
    <w:rsid w:val="00882AE3"/>
    <w:rsid w:val="00882E49"/>
    <w:rsid w:val="00886834"/>
    <w:rsid w:val="00886DFD"/>
    <w:rsid w:val="008900DE"/>
    <w:rsid w:val="008918A3"/>
    <w:rsid w:val="00891AA0"/>
    <w:rsid w:val="00891FD7"/>
    <w:rsid w:val="008926D5"/>
    <w:rsid w:val="008941F0"/>
    <w:rsid w:val="00896368"/>
    <w:rsid w:val="00896BC4"/>
    <w:rsid w:val="00896F93"/>
    <w:rsid w:val="008A08CE"/>
    <w:rsid w:val="008A11A1"/>
    <w:rsid w:val="008A26EA"/>
    <w:rsid w:val="008A3EE9"/>
    <w:rsid w:val="008A49BD"/>
    <w:rsid w:val="008A533E"/>
    <w:rsid w:val="008A6A95"/>
    <w:rsid w:val="008A78CB"/>
    <w:rsid w:val="008B0122"/>
    <w:rsid w:val="008B0B2C"/>
    <w:rsid w:val="008B270E"/>
    <w:rsid w:val="008B2869"/>
    <w:rsid w:val="008B2E18"/>
    <w:rsid w:val="008B4644"/>
    <w:rsid w:val="008B4A58"/>
    <w:rsid w:val="008B6121"/>
    <w:rsid w:val="008B75E3"/>
    <w:rsid w:val="008B7945"/>
    <w:rsid w:val="008C0647"/>
    <w:rsid w:val="008C34AE"/>
    <w:rsid w:val="008C47B6"/>
    <w:rsid w:val="008C5A22"/>
    <w:rsid w:val="008C5E90"/>
    <w:rsid w:val="008C7F36"/>
    <w:rsid w:val="008D014E"/>
    <w:rsid w:val="008D051B"/>
    <w:rsid w:val="008D0F6C"/>
    <w:rsid w:val="008D5A6A"/>
    <w:rsid w:val="008D6EAF"/>
    <w:rsid w:val="008D7DA2"/>
    <w:rsid w:val="008E4F77"/>
    <w:rsid w:val="008E500A"/>
    <w:rsid w:val="008E56CE"/>
    <w:rsid w:val="008E6FE0"/>
    <w:rsid w:val="008F058E"/>
    <w:rsid w:val="008F1932"/>
    <w:rsid w:val="008F1A3A"/>
    <w:rsid w:val="008F6C2C"/>
    <w:rsid w:val="008F6C48"/>
    <w:rsid w:val="009016E5"/>
    <w:rsid w:val="0090275B"/>
    <w:rsid w:val="009060D9"/>
    <w:rsid w:val="009068CE"/>
    <w:rsid w:val="00912E18"/>
    <w:rsid w:val="00915360"/>
    <w:rsid w:val="0091736D"/>
    <w:rsid w:val="00917CFE"/>
    <w:rsid w:val="0092014A"/>
    <w:rsid w:val="009208B3"/>
    <w:rsid w:val="0092194A"/>
    <w:rsid w:val="0092262D"/>
    <w:rsid w:val="00926B98"/>
    <w:rsid w:val="00930811"/>
    <w:rsid w:val="00932757"/>
    <w:rsid w:val="0093479F"/>
    <w:rsid w:val="009360D3"/>
    <w:rsid w:val="0093785B"/>
    <w:rsid w:val="009416B3"/>
    <w:rsid w:val="00941C64"/>
    <w:rsid w:val="00945CBC"/>
    <w:rsid w:val="009500B7"/>
    <w:rsid w:val="00950FF1"/>
    <w:rsid w:val="00952613"/>
    <w:rsid w:val="00953DCC"/>
    <w:rsid w:val="00954968"/>
    <w:rsid w:val="00954E1E"/>
    <w:rsid w:val="0096003A"/>
    <w:rsid w:val="00961614"/>
    <w:rsid w:val="0096215B"/>
    <w:rsid w:val="00965CBD"/>
    <w:rsid w:val="0097067B"/>
    <w:rsid w:val="009710D5"/>
    <w:rsid w:val="0097182C"/>
    <w:rsid w:val="00983B44"/>
    <w:rsid w:val="00985105"/>
    <w:rsid w:val="00985AA3"/>
    <w:rsid w:val="00986EA1"/>
    <w:rsid w:val="0099124A"/>
    <w:rsid w:val="00994018"/>
    <w:rsid w:val="00994BAA"/>
    <w:rsid w:val="009954BC"/>
    <w:rsid w:val="00995618"/>
    <w:rsid w:val="00997339"/>
    <w:rsid w:val="009A113E"/>
    <w:rsid w:val="009A163D"/>
    <w:rsid w:val="009A18A9"/>
    <w:rsid w:val="009A19DC"/>
    <w:rsid w:val="009A21F5"/>
    <w:rsid w:val="009A23CD"/>
    <w:rsid w:val="009A24D9"/>
    <w:rsid w:val="009A314B"/>
    <w:rsid w:val="009A4A69"/>
    <w:rsid w:val="009A5089"/>
    <w:rsid w:val="009B088F"/>
    <w:rsid w:val="009B09C0"/>
    <w:rsid w:val="009B1237"/>
    <w:rsid w:val="009B2F77"/>
    <w:rsid w:val="009B3588"/>
    <w:rsid w:val="009B3E04"/>
    <w:rsid w:val="009B5E93"/>
    <w:rsid w:val="009B6A58"/>
    <w:rsid w:val="009B7BF0"/>
    <w:rsid w:val="009C0B00"/>
    <w:rsid w:val="009C35C8"/>
    <w:rsid w:val="009C44ED"/>
    <w:rsid w:val="009C6654"/>
    <w:rsid w:val="009C6BA9"/>
    <w:rsid w:val="009C6F42"/>
    <w:rsid w:val="009D1E44"/>
    <w:rsid w:val="009D2142"/>
    <w:rsid w:val="009D2EFE"/>
    <w:rsid w:val="009D36BD"/>
    <w:rsid w:val="009D6611"/>
    <w:rsid w:val="009E18FA"/>
    <w:rsid w:val="009E190B"/>
    <w:rsid w:val="009E26FB"/>
    <w:rsid w:val="009E29E4"/>
    <w:rsid w:val="009E2E76"/>
    <w:rsid w:val="009E3A1B"/>
    <w:rsid w:val="009E42F2"/>
    <w:rsid w:val="009E45EA"/>
    <w:rsid w:val="009E5397"/>
    <w:rsid w:val="009E7BEC"/>
    <w:rsid w:val="009F179F"/>
    <w:rsid w:val="009F19BE"/>
    <w:rsid w:val="009F54EA"/>
    <w:rsid w:val="009F5E04"/>
    <w:rsid w:val="009F6154"/>
    <w:rsid w:val="009F6B7A"/>
    <w:rsid w:val="009F7554"/>
    <w:rsid w:val="009F7DC3"/>
    <w:rsid w:val="009F7E77"/>
    <w:rsid w:val="00A0047C"/>
    <w:rsid w:val="00A01A30"/>
    <w:rsid w:val="00A036EC"/>
    <w:rsid w:val="00A049AD"/>
    <w:rsid w:val="00A04A8A"/>
    <w:rsid w:val="00A05042"/>
    <w:rsid w:val="00A068AD"/>
    <w:rsid w:val="00A07847"/>
    <w:rsid w:val="00A11124"/>
    <w:rsid w:val="00A139CD"/>
    <w:rsid w:val="00A13BCC"/>
    <w:rsid w:val="00A14502"/>
    <w:rsid w:val="00A167E7"/>
    <w:rsid w:val="00A17BCF"/>
    <w:rsid w:val="00A20551"/>
    <w:rsid w:val="00A25313"/>
    <w:rsid w:val="00A30308"/>
    <w:rsid w:val="00A307EA"/>
    <w:rsid w:val="00A31901"/>
    <w:rsid w:val="00A31C80"/>
    <w:rsid w:val="00A322D8"/>
    <w:rsid w:val="00A332B3"/>
    <w:rsid w:val="00A3511D"/>
    <w:rsid w:val="00A35E2F"/>
    <w:rsid w:val="00A37862"/>
    <w:rsid w:val="00A37F84"/>
    <w:rsid w:val="00A42627"/>
    <w:rsid w:val="00A42B28"/>
    <w:rsid w:val="00A465F0"/>
    <w:rsid w:val="00A51333"/>
    <w:rsid w:val="00A51550"/>
    <w:rsid w:val="00A51FDA"/>
    <w:rsid w:val="00A525D7"/>
    <w:rsid w:val="00A5276E"/>
    <w:rsid w:val="00A539C9"/>
    <w:rsid w:val="00A53B31"/>
    <w:rsid w:val="00A55A06"/>
    <w:rsid w:val="00A576AC"/>
    <w:rsid w:val="00A57EFF"/>
    <w:rsid w:val="00A606B7"/>
    <w:rsid w:val="00A61A5E"/>
    <w:rsid w:val="00A64885"/>
    <w:rsid w:val="00A64AFC"/>
    <w:rsid w:val="00A64DD3"/>
    <w:rsid w:val="00A64E55"/>
    <w:rsid w:val="00A67299"/>
    <w:rsid w:val="00A716E2"/>
    <w:rsid w:val="00A723F5"/>
    <w:rsid w:val="00A74258"/>
    <w:rsid w:val="00A7427B"/>
    <w:rsid w:val="00A7480C"/>
    <w:rsid w:val="00A75D2D"/>
    <w:rsid w:val="00A76666"/>
    <w:rsid w:val="00A81696"/>
    <w:rsid w:val="00A85044"/>
    <w:rsid w:val="00A86E05"/>
    <w:rsid w:val="00A872BF"/>
    <w:rsid w:val="00A87734"/>
    <w:rsid w:val="00A9350C"/>
    <w:rsid w:val="00A93926"/>
    <w:rsid w:val="00A95903"/>
    <w:rsid w:val="00A974CB"/>
    <w:rsid w:val="00A9762D"/>
    <w:rsid w:val="00AA0099"/>
    <w:rsid w:val="00AA0BA0"/>
    <w:rsid w:val="00AA40EB"/>
    <w:rsid w:val="00AA41DF"/>
    <w:rsid w:val="00AA6C52"/>
    <w:rsid w:val="00AA6F1F"/>
    <w:rsid w:val="00AA74B9"/>
    <w:rsid w:val="00AA78FF"/>
    <w:rsid w:val="00AA7A5C"/>
    <w:rsid w:val="00AA7C70"/>
    <w:rsid w:val="00AB0003"/>
    <w:rsid w:val="00AB1A30"/>
    <w:rsid w:val="00AB3042"/>
    <w:rsid w:val="00AB3C75"/>
    <w:rsid w:val="00AB43F5"/>
    <w:rsid w:val="00AB5EB6"/>
    <w:rsid w:val="00AC3033"/>
    <w:rsid w:val="00AC30C7"/>
    <w:rsid w:val="00AC4900"/>
    <w:rsid w:val="00AC50EC"/>
    <w:rsid w:val="00AD043C"/>
    <w:rsid w:val="00AD3D02"/>
    <w:rsid w:val="00AD416A"/>
    <w:rsid w:val="00AD4AB2"/>
    <w:rsid w:val="00AD64B1"/>
    <w:rsid w:val="00AD723C"/>
    <w:rsid w:val="00AE35F5"/>
    <w:rsid w:val="00AE4F6E"/>
    <w:rsid w:val="00AE5286"/>
    <w:rsid w:val="00AE5FA3"/>
    <w:rsid w:val="00AE77FD"/>
    <w:rsid w:val="00AF1059"/>
    <w:rsid w:val="00AF1F64"/>
    <w:rsid w:val="00AF5C51"/>
    <w:rsid w:val="00AF664B"/>
    <w:rsid w:val="00AF6E40"/>
    <w:rsid w:val="00AF7027"/>
    <w:rsid w:val="00B01F8E"/>
    <w:rsid w:val="00B02119"/>
    <w:rsid w:val="00B02FD0"/>
    <w:rsid w:val="00B032E7"/>
    <w:rsid w:val="00B06757"/>
    <w:rsid w:val="00B1297A"/>
    <w:rsid w:val="00B129AC"/>
    <w:rsid w:val="00B1488B"/>
    <w:rsid w:val="00B16986"/>
    <w:rsid w:val="00B1758A"/>
    <w:rsid w:val="00B20A1B"/>
    <w:rsid w:val="00B2148F"/>
    <w:rsid w:val="00B22218"/>
    <w:rsid w:val="00B231E4"/>
    <w:rsid w:val="00B253ED"/>
    <w:rsid w:val="00B25A4B"/>
    <w:rsid w:val="00B275B8"/>
    <w:rsid w:val="00B300D7"/>
    <w:rsid w:val="00B301F9"/>
    <w:rsid w:val="00B3060A"/>
    <w:rsid w:val="00B313E1"/>
    <w:rsid w:val="00B34A96"/>
    <w:rsid w:val="00B350AA"/>
    <w:rsid w:val="00B40844"/>
    <w:rsid w:val="00B42650"/>
    <w:rsid w:val="00B44F92"/>
    <w:rsid w:val="00B45222"/>
    <w:rsid w:val="00B472CF"/>
    <w:rsid w:val="00B47648"/>
    <w:rsid w:val="00B50D02"/>
    <w:rsid w:val="00B541FA"/>
    <w:rsid w:val="00B5474B"/>
    <w:rsid w:val="00B57A95"/>
    <w:rsid w:val="00B61B61"/>
    <w:rsid w:val="00B626FD"/>
    <w:rsid w:val="00B6355C"/>
    <w:rsid w:val="00B65659"/>
    <w:rsid w:val="00B708E5"/>
    <w:rsid w:val="00B73DCD"/>
    <w:rsid w:val="00B747F2"/>
    <w:rsid w:val="00B75D9D"/>
    <w:rsid w:val="00B75E70"/>
    <w:rsid w:val="00B76848"/>
    <w:rsid w:val="00B76C30"/>
    <w:rsid w:val="00B83285"/>
    <w:rsid w:val="00B83485"/>
    <w:rsid w:val="00B834A6"/>
    <w:rsid w:val="00B846F4"/>
    <w:rsid w:val="00B849B4"/>
    <w:rsid w:val="00B84FB8"/>
    <w:rsid w:val="00B87861"/>
    <w:rsid w:val="00B900B9"/>
    <w:rsid w:val="00B9061E"/>
    <w:rsid w:val="00B9065D"/>
    <w:rsid w:val="00B90777"/>
    <w:rsid w:val="00B93B00"/>
    <w:rsid w:val="00B95170"/>
    <w:rsid w:val="00BA0D76"/>
    <w:rsid w:val="00BA19A1"/>
    <w:rsid w:val="00BA33F7"/>
    <w:rsid w:val="00BA3FA0"/>
    <w:rsid w:val="00BA4D6D"/>
    <w:rsid w:val="00BA566D"/>
    <w:rsid w:val="00BA6FA1"/>
    <w:rsid w:val="00BA7263"/>
    <w:rsid w:val="00BB0681"/>
    <w:rsid w:val="00BB0E3F"/>
    <w:rsid w:val="00BB15C9"/>
    <w:rsid w:val="00BB4A1E"/>
    <w:rsid w:val="00BB4A62"/>
    <w:rsid w:val="00BB5314"/>
    <w:rsid w:val="00BB667A"/>
    <w:rsid w:val="00BC2C1A"/>
    <w:rsid w:val="00BC43EE"/>
    <w:rsid w:val="00BC599D"/>
    <w:rsid w:val="00BC68B6"/>
    <w:rsid w:val="00BC79A6"/>
    <w:rsid w:val="00BD0FDD"/>
    <w:rsid w:val="00BD1997"/>
    <w:rsid w:val="00BD1FAE"/>
    <w:rsid w:val="00BD35DB"/>
    <w:rsid w:val="00BD460A"/>
    <w:rsid w:val="00BD5C88"/>
    <w:rsid w:val="00BD7506"/>
    <w:rsid w:val="00BE0F01"/>
    <w:rsid w:val="00BE1DE6"/>
    <w:rsid w:val="00BE320F"/>
    <w:rsid w:val="00BE3256"/>
    <w:rsid w:val="00BE4F96"/>
    <w:rsid w:val="00BE5365"/>
    <w:rsid w:val="00BE7D1C"/>
    <w:rsid w:val="00BF07A3"/>
    <w:rsid w:val="00BF0A91"/>
    <w:rsid w:val="00BF148E"/>
    <w:rsid w:val="00BF1A36"/>
    <w:rsid w:val="00BF2158"/>
    <w:rsid w:val="00BF40C5"/>
    <w:rsid w:val="00BF6604"/>
    <w:rsid w:val="00C00196"/>
    <w:rsid w:val="00C032C1"/>
    <w:rsid w:val="00C06CDE"/>
    <w:rsid w:val="00C07C41"/>
    <w:rsid w:val="00C11A02"/>
    <w:rsid w:val="00C11A3A"/>
    <w:rsid w:val="00C11B9E"/>
    <w:rsid w:val="00C1551D"/>
    <w:rsid w:val="00C167CF"/>
    <w:rsid w:val="00C1699F"/>
    <w:rsid w:val="00C16EA1"/>
    <w:rsid w:val="00C21409"/>
    <w:rsid w:val="00C22D06"/>
    <w:rsid w:val="00C23F67"/>
    <w:rsid w:val="00C25342"/>
    <w:rsid w:val="00C30E8E"/>
    <w:rsid w:val="00C328F5"/>
    <w:rsid w:val="00C3401C"/>
    <w:rsid w:val="00C3671F"/>
    <w:rsid w:val="00C401E5"/>
    <w:rsid w:val="00C41BAD"/>
    <w:rsid w:val="00C42A9E"/>
    <w:rsid w:val="00C433C8"/>
    <w:rsid w:val="00C44EFB"/>
    <w:rsid w:val="00C469C2"/>
    <w:rsid w:val="00C477E0"/>
    <w:rsid w:val="00C47D4D"/>
    <w:rsid w:val="00C50B82"/>
    <w:rsid w:val="00C50B9D"/>
    <w:rsid w:val="00C51CDB"/>
    <w:rsid w:val="00C52CFE"/>
    <w:rsid w:val="00C54DCC"/>
    <w:rsid w:val="00C6117D"/>
    <w:rsid w:val="00C6157F"/>
    <w:rsid w:val="00C6251D"/>
    <w:rsid w:val="00C62AAC"/>
    <w:rsid w:val="00C62C17"/>
    <w:rsid w:val="00C6448B"/>
    <w:rsid w:val="00C66F34"/>
    <w:rsid w:val="00C72ABD"/>
    <w:rsid w:val="00C74F23"/>
    <w:rsid w:val="00C768F2"/>
    <w:rsid w:val="00C84267"/>
    <w:rsid w:val="00C86432"/>
    <w:rsid w:val="00C865D1"/>
    <w:rsid w:val="00C90A44"/>
    <w:rsid w:val="00C913AC"/>
    <w:rsid w:val="00C93308"/>
    <w:rsid w:val="00C940A2"/>
    <w:rsid w:val="00C94D45"/>
    <w:rsid w:val="00C95950"/>
    <w:rsid w:val="00CA0DA1"/>
    <w:rsid w:val="00CA2DFB"/>
    <w:rsid w:val="00CA4EB9"/>
    <w:rsid w:val="00CA5161"/>
    <w:rsid w:val="00CA6D08"/>
    <w:rsid w:val="00CB16EE"/>
    <w:rsid w:val="00CB23C0"/>
    <w:rsid w:val="00CB2781"/>
    <w:rsid w:val="00CB2B34"/>
    <w:rsid w:val="00CB5816"/>
    <w:rsid w:val="00CC0C5B"/>
    <w:rsid w:val="00CC29B3"/>
    <w:rsid w:val="00CC573F"/>
    <w:rsid w:val="00CC5923"/>
    <w:rsid w:val="00CC623C"/>
    <w:rsid w:val="00CD2CBD"/>
    <w:rsid w:val="00CD2F80"/>
    <w:rsid w:val="00CD51C4"/>
    <w:rsid w:val="00CD5CFD"/>
    <w:rsid w:val="00CD72EE"/>
    <w:rsid w:val="00CD77AC"/>
    <w:rsid w:val="00CE0A37"/>
    <w:rsid w:val="00CE1BB6"/>
    <w:rsid w:val="00CE350B"/>
    <w:rsid w:val="00CE3E95"/>
    <w:rsid w:val="00CE42AE"/>
    <w:rsid w:val="00CE5943"/>
    <w:rsid w:val="00CE6722"/>
    <w:rsid w:val="00CF3116"/>
    <w:rsid w:val="00D00957"/>
    <w:rsid w:val="00D0183B"/>
    <w:rsid w:val="00D07D49"/>
    <w:rsid w:val="00D100E1"/>
    <w:rsid w:val="00D10E4A"/>
    <w:rsid w:val="00D115CC"/>
    <w:rsid w:val="00D12A62"/>
    <w:rsid w:val="00D14053"/>
    <w:rsid w:val="00D14974"/>
    <w:rsid w:val="00D15357"/>
    <w:rsid w:val="00D15411"/>
    <w:rsid w:val="00D17432"/>
    <w:rsid w:val="00D20CAE"/>
    <w:rsid w:val="00D21197"/>
    <w:rsid w:val="00D22356"/>
    <w:rsid w:val="00D27344"/>
    <w:rsid w:val="00D273F9"/>
    <w:rsid w:val="00D30D02"/>
    <w:rsid w:val="00D31381"/>
    <w:rsid w:val="00D34D21"/>
    <w:rsid w:val="00D356DF"/>
    <w:rsid w:val="00D375B5"/>
    <w:rsid w:val="00D408BC"/>
    <w:rsid w:val="00D41949"/>
    <w:rsid w:val="00D419CD"/>
    <w:rsid w:val="00D425F4"/>
    <w:rsid w:val="00D42B7F"/>
    <w:rsid w:val="00D4372C"/>
    <w:rsid w:val="00D43C93"/>
    <w:rsid w:val="00D44D67"/>
    <w:rsid w:val="00D458E1"/>
    <w:rsid w:val="00D500B9"/>
    <w:rsid w:val="00D52FA3"/>
    <w:rsid w:val="00D5304D"/>
    <w:rsid w:val="00D5356A"/>
    <w:rsid w:val="00D541A1"/>
    <w:rsid w:val="00D5640C"/>
    <w:rsid w:val="00D57A88"/>
    <w:rsid w:val="00D57AC1"/>
    <w:rsid w:val="00D61DB4"/>
    <w:rsid w:val="00D62D01"/>
    <w:rsid w:val="00D62E13"/>
    <w:rsid w:val="00D62E83"/>
    <w:rsid w:val="00D63AE7"/>
    <w:rsid w:val="00D64EED"/>
    <w:rsid w:val="00D64F98"/>
    <w:rsid w:val="00D65493"/>
    <w:rsid w:val="00D65F1B"/>
    <w:rsid w:val="00D67F22"/>
    <w:rsid w:val="00D711B4"/>
    <w:rsid w:val="00D7144F"/>
    <w:rsid w:val="00D7170C"/>
    <w:rsid w:val="00D723A1"/>
    <w:rsid w:val="00D7284C"/>
    <w:rsid w:val="00D72D35"/>
    <w:rsid w:val="00D73154"/>
    <w:rsid w:val="00D7361C"/>
    <w:rsid w:val="00D74D1F"/>
    <w:rsid w:val="00D770FC"/>
    <w:rsid w:val="00D810AF"/>
    <w:rsid w:val="00D813D3"/>
    <w:rsid w:val="00D81A87"/>
    <w:rsid w:val="00D81B25"/>
    <w:rsid w:val="00D81F16"/>
    <w:rsid w:val="00D82C00"/>
    <w:rsid w:val="00D8384C"/>
    <w:rsid w:val="00D84996"/>
    <w:rsid w:val="00D853B6"/>
    <w:rsid w:val="00D86CEE"/>
    <w:rsid w:val="00D9057A"/>
    <w:rsid w:val="00D908B0"/>
    <w:rsid w:val="00D9148E"/>
    <w:rsid w:val="00D91A9B"/>
    <w:rsid w:val="00D9345C"/>
    <w:rsid w:val="00D94712"/>
    <w:rsid w:val="00D94E1B"/>
    <w:rsid w:val="00D956AB"/>
    <w:rsid w:val="00D95759"/>
    <w:rsid w:val="00D96FC2"/>
    <w:rsid w:val="00DA0A8A"/>
    <w:rsid w:val="00DA4297"/>
    <w:rsid w:val="00DB18DA"/>
    <w:rsid w:val="00DB3767"/>
    <w:rsid w:val="00DB560C"/>
    <w:rsid w:val="00DB5EA1"/>
    <w:rsid w:val="00DC30FB"/>
    <w:rsid w:val="00DC3423"/>
    <w:rsid w:val="00DC515A"/>
    <w:rsid w:val="00DC7631"/>
    <w:rsid w:val="00DD0CD9"/>
    <w:rsid w:val="00DD13B5"/>
    <w:rsid w:val="00DD1E87"/>
    <w:rsid w:val="00DD658B"/>
    <w:rsid w:val="00DE2A7D"/>
    <w:rsid w:val="00DE3A33"/>
    <w:rsid w:val="00DE4768"/>
    <w:rsid w:val="00DE64FB"/>
    <w:rsid w:val="00DE6DC6"/>
    <w:rsid w:val="00DE713E"/>
    <w:rsid w:val="00DE7399"/>
    <w:rsid w:val="00DE764F"/>
    <w:rsid w:val="00DF0365"/>
    <w:rsid w:val="00DF1F2B"/>
    <w:rsid w:val="00DF3C3D"/>
    <w:rsid w:val="00DF432D"/>
    <w:rsid w:val="00DF6585"/>
    <w:rsid w:val="00DF72C5"/>
    <w:rsid w:val="00E0043A"/>
    <w:rsid w:val="00E00D64"/>
    <w:rsid w:val="00E01EC5"/>
    <w:rsid w:val="00E05D4F"/>
    <w:rsid w:val="00E079B1"/>
    <w:rsid w:val="00E1682B"/>
    <w:rsid w:val="00E16838"/>
    <w:rsid w:val="00E1780C"/>
    <w:rsid w:val="00E22254"/>
    <w:rsid w:val="00E22475"/>
    <w:rsid w:val="00E2362C"/>
    <w:rsid w:val="00E3161B"/>
    <w:rsid w:val="00E3274F"/>
    <w:rsid w:val="00E32BC4"/>
    <w:rsid w:val="00E32CCD"/>
    <w:rsid w:val="00E42AE9"/>
    <w:rsid w:val="00E43285"/>
    <w:rsid w:val="00E4433B"/>
    <w:rsid w:val="00E4489A"/>
    <w:rsid w:val="00E50B5F"/>
    <w:rsid w:val="00E5119E"/>
    <w:rsid w:val="00E519D1"/>
    <w:rsid w:val="00E528D0"/>
    <w:rsid w:val="00E52F16"/>
    <w:rsid w:val="00E53223"/>
    <w:rsid w:val="00E542EA"/>
    <w:rsid w:val="00E5679A"/>
    <w:rsid w:val="00E577C6"/>
    <w:rsid w:val="00E6192D"/>
    <w:rsid w:val="00E635EA"/>
    <w:rsid w:val="00E63807"/>
    <w:rsid w:val="00E63DA7"/>
    <w:rsid w:val="00E65C6A"/>
    <w:rsid w:val="00E67972"/>
    <w:rsid w:val="00E729E8"/>
    <w:rsid w:val="00E74ED3"/>
    <w:rsid w:val="00E76031"/>
    <w:rsid w:val="00E76871"/>
    <w:rsid w:val="00E82498"/>
    <w:rsid w:val="00E847D8"/>
    <w:rsid w:val="00E84A08"/>
    <w:rsid w:val="00E8543E"/>
    <w:rsid w:val="00E8750E"/>
    <w:rsid w:val="00E878A1"/>
    <w:rsid w:val="00E93D30"/>
    <w:rsid w:val="00E94A4E"/>
    <w:rsid w:val="00E95C74"/>
    <w:rsid w:val="00EA0531"/>
    <w:rsid w:val="00EA288C"/>
    <w:rsid w:val="00EA2CC1"/>
    <w:rsid w:val="00EA4C89"/>
    <w:rsid w:val="00EB2F41"/>
    <w:rsid w:val="00EB3F46"/>
    <w:rsid w:val="00EB44E8"/>
    <w:rsid w:val="00EB6F56"/>
    <w:rsid w:val="00EC1E8B"/>
    <w:rsid w:val="00EC35C6"/>
    <w:rsid w:val="00EC37C4"/>
    <w:rsid w:val="00EC3C38"/>
    <w:rsid w:val="00EC45D2"/>
    <w:rsid w:val="00EC4AA9"/>
    <w:rsid w:val="00EC4CED"/>
    <w:rsid w:val="00EC5454"/>
    <w:rsid w:val="00EC5DC1"/>
    <w:rsid w:val="00EC61B2"/>
    <w:rsid w:val="00EC6382"/>
    <w:rsid w:val="00ED09E3"/>
    <w:rsid w:val="00ED0A6E"/>
    <w:rsid w:val="00ED2465"/>
    <w:rsid w:val="00ED2537"/>
    <w:rsid w:val="00ED3228"/>
    <w:rsid w:val="00ED560C"/>
    <w:rsid w:val="00ED6CF2"/>
    <w:rsid w:val="00ED7204"/>
    <w:rsid w:val="00ED767A"/>
    <w:rsid w:val="00EE0F50"/>
    <w:rsid w:val="00EE17D3"/>
    <w:rsid w:val="00EE2F55"/>
    <w:rsid w:val="00EE51D2"/>
    <w:rsid w:val="00EE62B1"/>
    <w:rsid w:val="00EF04F0"/>
    <w:rsid w:val="00EF088E"/>
    <w:rsid w:val="00EF1085"/>
    <w:rsid w:val="00EF1959"/>
    <w:rsid w:val="00EF3291"/>
    <w:rsid w:val="00EF769E"/>
    <w:rsid w:val="00F000F6"/>
    <w:rsid w:val="00F00A1A"/>
    <w:rsid w:val="00F01219"/>
    <w:rsid w:val="00F015AF"/>
    <w:rsid w:val="00F0213B"/>
    <w:rsid w:val="00F03013"/>
    <w:rsid w:val="00F03C07"/>
    <w:rsid w:val="00F040C9"/>
    <w:rsid w:val="00F06125"/>
    <w:rsid w:val="00F0654E"/>
    <w:rsid w:val="00F0780B"/>
    <w:rsid w:val="00F11326"/>
    <w:rsid w:val="00F128FF"/>
    <w:rsid w:val="00F12A7B"/>
    <w:rsid w:val="00F15013"/>
    <w:rsid w:val="00F15A98"/>
    <w:rsid w:val="00F2132F"/>
    <w:rsid w:val="00F21E4A"/>
    <w:rsid w:val="00F22366"/>
    <w:rsid w:val="00F22988"/>
    <w:rsid w:val="00F23371"/>
    <w:rsid w:val="00F24AE8"/>
    <w:rsid w:val="00F25897"/>
    <w:rsid w:val="00F25B19"/>
    <w:rsid w:val="00F25EFD"/>
    <w:rsid w:val="00F26D9B"/>
    <w:rsid w:val="00F30B36"/>
    <w:rsid w:val="00F30B43"/>
    <w:rsid w:val="00F312A5"/>
    <w:rsid w:val="00F313EB"/>
    <w:rsid w:val="00F314A6"/>
    <w:rsid w:val="00F31A3E"/>
    <w:rsid w:val="00F31D45"/>
    <w:rsid w:val="00F31FDD"/>
    <w:rsid w:val="00F33447"/>
    <w:rsid w:val="00F35A06"/>
    <w:rsid w:val="00F3761A"/>
    <w:rsid w:val="00F37F1E"/>
    <w:rsid w:val="00F44C24"/>
    <w:rsid w:val="00F44F20"/>
    <w:rsid w:val="00F45C2B"/>
    <w:rsid w:val="00F46FFC"/>
    <w:rsid w:val="00F5051A"/>
    <w:rsid w:val="00F51B4E"/>
    <w:rsid w:val="00F53540"/>
    <w:rsid w:val="00F538F4"/>
    <w:rsid w:val="00F53C1C"/>
    <w:rsid w:val="00F53DFF"/>
    <w:rsid w:val="00F54CAC"/>
    <w:rsid w:val="00F56526"/>
    <w:rsid w:val="00F57733"/>
    <w:rsid w:val="00F6044A"/>
    <w:rsid w:val="00F65846"/>
    <w:rsid w:val="00F65E38"/>
    <w:rsid w:val="00F67285"/>
    <w:rsid w:val="00F734AC"/>
    <w:rsid w:val="00F7384A"/>
    <w:rsid w:val="00F7597E"/>
    <w:rsid w:val="00F76946"/>
    <w:rsid w:val="00F80365"/>
    <w:rsid w:val="00F81FCF"/>
    <w:rsid w:val="00F82154"/>
    <w:rsid w:val="00F90847"/>
    <w:rsid w:val="00F9246C"/>
    <w:rsid w:val="00F93A5F"/>
    <w:rsid w:val="00F942AA"/>
    <w:rsid w:val="00F9440A"/>
    <w:rsid w:val="00F969A2"/>
    <w:rsid w:val="00FA2164"/>
    <w:rsid w:val="00FA2ECE"/>
    <w:rsid w:val="00FA38B2"/>
    <w:rsid w:val="00FA609B"/>
    <w:rsid w:val="00FA64E7"/>
    <w:rsid w:val="00FA7CEE"/>
    <w:rsid w:val="00FB060D"/>
    <w:rsid w:val="00FB0693"/>
    <w:rsid w:val="00FB39A9"/>
    <w:rsid w:val="00FC0CCC"/>
    <w:rsid w:val="00FC0F22"/>
    <w:rsid w:val="00FC1AED"/>
    <w:rsid w:val="00FC2325"/>
    <w:rsid w:val="00FC4940"/>
    <w:rsid w:val="00FC648E"/>
    <w:rsid w:val="00FD0F6A"/>
    <w:rsid w:val="00FD1C92"/>
    <w:rsid w:val="00FD24C4"/>
    <w:rsid w:val="00FD30AB"/>
    <w:rsid w:val="00FD4B34"/>
    <w:rsid w:val="00FD4DD3"/>
    <w:rsid w:val="00FD50AA"/>
    <w:rsid w:val="00FD58CE"/>
    <w:rsid w:val="00FD6EDF"/>
    <w:rsid w:val="00FD7069"/>
    <w:rsid w:val="00FE1E61"/>
    <w:rsid w:val="00FE2120"/>
    <w:rsid w:val="00FE2645"/>
    <w:rsid w:val="00FE2EE6"/>
    <w:rsid w:val="00FE53CD"/>
    <w:rsid w:val="00FE68DD"/>
    <w:rsid w:val="00FE6CE2"/>
    <w:rsid w:val="00FE7448"/>
    <w:rsid w:val="00FF13F0"/>
    <w:rsid w:val="00FF1C0C"/>
    <w:rsid w:val="00FF34C0"/>
    <w:rsid w:val="00FF3EA7"/>
    <w:rsid w:val="00FF5F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chartTrackingRefBased/>
  <w15:docId w15:val="{41181FFA-2F78-4E78-94AB-E7FA98909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EFF"/>
  </w:style>
  <w:style w:type="paragraph" w:styleId="Heading1">
    <w:name w:val="heading 1"/>
    <w:basedOn w:val="Normal"/>
    <w:next w:val="Normal"/>
    <w:link w:val="Heading1Char"/>
    <w:uiPriority w:val="9"/>
    <w:qFormat/>
    <w:rsid w:val="00A57EFF"/>
    <w:pPr>
      <w:keepNext/>
      <w:keepLines/>
      <w:spacing w:before="240" w:after="0"/>
      <w:outlineLvl w:val="0"/>
    </w:pPr>
    <w:rPr>
      <w:rFonts w:ascii="Cambria" w:eastAsia="Times New Roman" w:hAnsi="Cambria" w:cs="Times New Roman"/>
      <w:color w:val="365F91"/>
      <w:sz w:val="32"/>
      <w:szCs w:val="32"/>
    </w:rPr>
  </w:style>
  <w:style w:type="paragraph" w:styleId="Heading2">
    <w:name w:val="heading 2"/>
    <w:basedOn w:val="Normal"/>
    <w:next w:val="Normal"/>
    <w:link w:val="Heading2Char"/>
    <w:uiPriority w:val="9"/>
    <w:unhideWhenUsed/>
    <w:qFormat/>
    <w:rsid w:val="00A57EFF"/>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unhideWhenUsed/>
    <w:qFormat/>
    <w:rsid w:val="00A57EFF"/>
    <w:pPr>
      <w:keepNext/>
      <w:keepLines/>
      <w:spacing w:before="40" w:after="0"/>
      <w:outlineLvl w:val="2"/>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AA6F1F"/>
    <w:pPr>
      <w:keepNext/>
      <w:keepLines/>
      <w:spacing w:before="240" w:after="0" w:line="276" w:lineRule="auto"/>
      <w:outlineLvl w:val="0"/>
    </w:pPr>
    <w:rPr>
      <w:rFonts w:ascii="Cambria" w:eastAsia="Times New Roman" w:hAnsi="Cambria" w:cs="Times New Roman"/>
      <w:color w:val="365F91"/>
      <w:sz w:val="32"/>
      <w:szCs w:val="32"/>
    </w:rPr>
  </w:style>
  <w:style w:type="paragraph" w:customStyle="1" w:styleId="Heading21">
    <w:name w:val="Heading 21"/>
    <w:basedOn w:val="Normal"/>
    <w:next w:val="Normal"/>
    <w:uiPriority w:val="9"/>
    <w:unhideWhenUsed/>
    <w:qFormat/>
    <w:rsid w:val="00AA6F1F"/>
    <w:pPr>
      <w:keepNext/>
      <w:keepLines/>
      <w:spacing w:before="40" w:after="0" w:line="276" w:lineRule="auto"/>
      <w:outlineLvl w:val="1"/>
    </w:pPr>
    <w:rPr>
      <w:rFonts w:ascii="Cambria" w:eastAsia="Times New Roman" w:hAnsi="Cambria" w:cs="Times New Roman"/>
      <w:color w:val="365F91"/>
      <w:sz w:val="26"/>
      <w:szCs w:val="26"/>
    </w:rPr>
  </w:style>
  <w:style w:type="paragraph" w:customStyle="1" w:styleId="Heading31">
    <w:name w:val="Heading 31"/>
    <w:basedOn w:val="Normal"/>
    <w:next w:val="Normal"/>
    <w:uiPriority w:val="9"/>
    <w:unhideWhenUsed/>
    <w:qFormat/>
    <w:rsid w:val="00AA6F1F"/>
    <w:pPr>
      <w:keepNext/>
      <w:keepLines/>
      <w:spacing w:before="40" w:after="0" w:line="276" w:lineRule="auto"/>
      <w:outlineLvl w:val="2"/>
    </w:pPr>
    <w:rPr>
      <w:rFonts w:ascii="Cambria" w:eastAsia="Times New Roman" w:hAnsi="Cambria" w:cs="Times New Roman"/>
      <w:color w:val="243F60"/>
      <w:sz w:val="24"/>
      <w:szCs w:val="24"/>
    </w:rPr>
  </w:style>
  <w:style w:type="numbering" w:customStyle="1" w:styleId="NoList1">
    <w:name w:val="No List1"/>
    <w:next w:val="NoList"/>
    <w:uiPriority w:val="99"/>
    <w:semiHidden/>
    <w:unhideWhenUsed/>
    <w:rsid w:val="00AA6F1F"/>
  </w:style>
  <w:style w:type="table" w:styleId="TableGrid">
    <w:name w:val="Table Grid"/>
    <w:basedOn w:val="TableNormal"/>
    <w:uiPriority w:val="59"/>
    <w:rsid w:val="00AA6F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A6F1F"/>
    <w:rPr>
      <w:sz w:val="16"/>
      <w:szCs w:val="16"/>
    </w:rPr>
  </w:style>
  <w:style w:type="paragraph" w:styleId="CommentText">
    <w:name w:val="annotation text"/>
    <w:basedOn w:val="Normal"/>
    <w:link w:val="CommentTextChar"/>
    <w:uiPriority w:val="99"/>
    <w:unhideWhenUsed/>
    <w:rsid w:val="00A57EFF"/>
    <w:pPr>
      <w:spacing w:after="20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AA6F1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A6F1F"/>
    <w:rPr>
      <w:b/>
      <w:bCs/>
    </w:rPr>
  </w:style>
  <w:style w:type="character" w:customStyle="1" w:styleId="CommentSubjectChar">
    <w:name w:val="Comment Subject Char"/>
    <w:basedOn w:val="CommentTextChar"/>
    <w:link w:val="CommentSubject"/>
    <w:uiPriority w:val="99"/>
    <w:semiHidden/>
    <w:rsid w:val="00AA6F1F"/>
    <w:rPr>
      <w:rFonts w:ascii="Times New Roman" w:hAnsi="Times New Roman"/>
      <w:b/>
      <w:bCs/>
      <w:sz w:val="20"/>
      <w:szCs w:val="20"/>
    </w:rPr>
  </w:style>
  <w:style w:type="paragraph" w:styleId="BalloonText">
    <w:name w:val="Balloon Text"/>
    <w:basedOn w:val="Normal"/>
    <w:link w:val="BalloonTextChar"/>
    <w:uiPriority w:val="99"/>
    <w:semiHidden/>
    <w:unhideWhenUsed/>
    <w:rsid w:val="00AA6F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F1F"/>
    <w:rPr>
      <w:rFonts w:ascii="Segoe UI" w:hAnsi="Segoe UI" w:cs="Segoe UI"/>
      <w:sz w:val="18"/>
      <w:szCs w:val="18"/>
    </w:rPr>
  </w:style>
  <w:style w:type="character" w:styleId="PlaceholderText">
    <w:name w:val="Placeholder Text"/>
    <w:basedOn w:val="DefaultParagraphFont"/>
    <w:uiPriority w:val="99"/>
    <w:semiHidden/>
    <w:rsid w:val="00AA6F1F"/>
    <w:rPr>
      <w:color w:val="808080"/>
    </w:rPr>
  </w:style>
  <w:style w:type="paragraph" w:customStyle="1" w:styleId="ListParagraph1">
    <w:name w:val="List Paragraph1"/>
    <w:basedOn w:val="Normal"/>
    <w:next w:val="ListParagraph"/>
    <w:uiPriority w:val="34"/>
    <w:qFormat/>
    <w:rsid w:val="00AA6F1F"/>
    <w:pPr>
      <w:spacing w:after="120" w:line="240" w:lineRule="auto"/>
      <w:ind w:left="720"/>
      <w:contextualSpacing/>
      <w:jc w:val="both"/>
    </w:pPr>
    <w:rPr>
      <w:rFonts w:ascii="Georgia" w:eastAsia="Times New Roman" w:hAnsi="Georgia" w:cs="Times New Roman"/>
      <w:color w:val="000000"/>
      <w:sz w:val="24"/>
      <w:szCs w:val="24"/>
    </w:rPr>
  </w:style>
  <w:style w:type="paragraph" w:customStyle="1" w:styleId="EndNoteBibliographyTitle">
    <w:name w:val="EndNote Bibliography Title"/>
    <w:basedOn w:val="Normal"/>
    <w:link w:val="EndNoteBibliographyTitleChar"/>
    <w:rsid w:val="00A57EFF"/>
    <w:pPr>
      <w:spacing w:after="0" w:line="276" w:lineRule="auto"/>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A6F1F"/>
    <w:rPr>
      <w:rFonts w:ascii="Calibri" w:hAnsi="Calibri" w:cs="Calibri"/>
      <w:noProof/>
      <w:lang w:val="en-US"/>
    </w:rPr>
  </w:style>
  <w:style w:type="paragraph" w:customStyle="1" w:styleId="EndNoteBibliography">
    <w:name w:val="EndNote Bibliography"/>
    <w:basedOn w:val="Normal"/>
    <w:link w:val="EndNoteBibliographyChar"/>
    <w:rsid w:val="00A57EFF"/>
    <w:pPr>
      <w:spacing w:after="200"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AA6F1F"/>
    <w:rPr>
      <w:rFonts w:ascii="Calibri" w:hAnsi="Calibri" w:cs="Calibri"/>
      <w:noProof/>
      <w:lang w:val="en-US"/>
    </w:rPr>
  </w:style>
  <w:style w:type="character" w:customStyle="1" w:styleId="Heading1Char">
    <w:name w:val="Heading 1 Char"/>
    <w:basedOn w:val="DefaultParagraphFont"/>
    <w:link w:val="Heading1"/>
    <w:uiPriority w:val="9"/>
    <w:rsid w:val="00AA6F1F"/>
    <w:rPr>
      <w:rFonts w:ascii="Cambria" w:eastAsia="Times New Roman" w:hAnsi="Cambria" w:cs="Times New Roman"/>
      <w:color w:val="365F91"/>
      <w:sz w:val="32"/>
      <w:szCs w:val="32"/>
    </w:rPr>
  </w:style>
  <w:style w:type="character" w:customStyle="1" w:styleId="Heading2Char">
    <w:name w:val="Heading 2 Char"/>
    <w:basedOn w:val="DefaultParagraphFont"/>
    <w:link w:val="Heading2"/>
    <w:uiPriority w:val="9"/>
    <w:rsid w:val="00AA6F1F"/>
    <w:rPr>
      <w:rFonts w:ascii="Cambria" w:eastAsia="Times New Roman" w:hAnsi="Cambria" w:cs="Times New Roman"/>
      <w:color w:val="365F91"/>
      <w:sz w:val="26"/>
      <w:szCs w:val="26"/>
    </w:rPr>
  </w:style>
  <w:style w:type="paragraph" w:customStyle="1" w:styleId="Caption1">
    <w:name w:val="Caption1"/>
    <w:basedOn w:val="Normal"/>
    <w:next w:val="Normal"/>
    <w:uiPriority w:val="35"/>
    <w:unhideWhenUsed/>
    <w:qFormat/>
    <w:rsid w:val="00AA6F1F"/>
    <w:pPr>
      <w:spacing w:after="200" w:line="240" w:lineRule="auto"/>
    </w:pPr>
    <w:rPr>
      <w:rFonts w:ascii="Times New Roman" w:hAnsi="Times New Roman"/>
      <w:i/>
      <w:iCs/>
      <w:color w:val="1F497D"/>
      <w:sz w:val="18"/>
      <w:szCs w:val="18"/>
    </w:rPr>
  </w:style>
  <w:style w:type="character" w:customStyle="1" w:styleId="Heading3Char">
    <w:name w:val="Heading 3 Char"/>
    <w:basedOn w:val="DefaultParagraphFont"/>
    <w:link w:val="Heading3"/>
    <w:uiPriority w:val="9"/>
    <w:rsid w:val="00AA6F1F"/>
    <w:rPr>
      <w:rFonts w:ascii="Cambria" w:eastAsia="Times New Roman" w:hAnsi="Cambria" w:cs="Times New Roman"/>
      <w:color w:val="243F60"/>
      <w:sz w:val="24"/>
      <w:szCs w:val="24"/>
    </w:rPr>
  </w:style>
  <w:style w:type="paragraph" w:styleId="Revision">
    <w:name w:val="Revision"/>
    <w:hidden/>
    <w:uiPriority w:val="99"/>
    <w:semiHidden/>
    <w:rsid w:val="00AA6F1F"/>
    <w:pPr>
      <w:spacing w:after="0" w:line="240" w:lineRule="auto"/>
    </w:pPr>
    <w:rPr>
      <w:rFonts w:ascii="Times New Roman" w:hAnsi="Times New Roman"/>
      <w:sz w:val="24"/>
    </w:rPr>
  </w:style>
  <w:style w:type="paragraph" w:customStyle="1" w:styleId="Title1">
    <w:name w:val="Title1"/>
    <w:basedOn w:val="Normal"/>
    <w:next w:val="Normal"/>
    <w:uiPriority w:val="10"/>
    <w:qFormat/>
    <w:rsid w:val="00AA6F1F"/>
    <w:pPr>
      <w:spacing w:after="0" w:line="240" w:lineRule="auto"/>
      <w:contextualSpacing/>
    </w:pPr>
    <w:rPr>
      <w:rFonts w:ascii="Cambria" w:eastAsia="Times New Roman" w:hAnsi="Cambria" w:cs="Times New Roman"/>
      <w:spacing w:val="-10"/>
      <w:kern w:val="28"/>
      <w:sz w:val="56"/>
      <w:szCs w:val="56"/>
    </w:rPr>
  </w:style>
  <w:style w:type="character" w:customStyle="1" w:styleId="TitleChar">
    <w:name w:val="Title Char"/>
    <w:basedOn w:val="DefaultParagraphFont"/>
    <w:link w:val="Title"/>
    <w:uiPriority w:val="10"/>
    <w:rsid w:val="00AA6F1F"/>
    <w:rPr>
      <w:rFonts w:ascii="Cambria" w:eastAsia="Times New Roman" w:hAnsi="Cambria" w:cs="Times New Roman"/>
      <w:spacing w:val="-10"/>
      <w:kern w:val="28"/>
      <w:sz w:val="56"/>
      <w:szCs w:val="56"/>
    </w:rPr>
  </w:style>
  <w:style w:type="paragraph" w:styleId="Header">
    <w:name w:val="header"/>
    <w:basedOn w:val="Normal"/>
    <w:link w:val="HeaderChar"/>
    <w:uiPriority w:val="99"/>
    <w:unhideWhenUsed/>
    <w:rsid w:val="00A57EFF"/>
    <w:pPr>
      <w:tabs>
        <w:tab w:val="center" w:pos="4513"/>
        <w:tab w:val="right" w:pos="9026"/>
      </w:tabs>
      <w:spacing w:after="0" w:line="240" w:lineRule="auto"/>
    </w:pPr>
    <w:rPr>
      <w:rFonts w:ascii="Times New Roman" w:hAnsi="Times New Roman"/>
      <w:sz w:val="24"/>
    </w:rPr>
  </w:style>
  <w:style w:type="character" w:customStyle="1" w:styleId="HeaderChar">
    <w:name w:val="Header Char"/>
    <w:basedOn w:val="DefaultParagraphFont"/>
    <w:link w:val="Header"/>
    <w:uiPriority w:val="99"/>
    <w:rsid w:val="00AA6F1F"/>
    <w:rPr>
      <w:rFonts w:ascii="Times New Roman" w:hAnsi="Times New Roman"/>
      <w:sz w:val="24"/>
    </w:rPr>
  </w:style>
  <w:style w:type="paragraph" w:styleId="Footer">
    <w:name w:val="footer"/>
    <w:basedOn w:val="Normal"/>
    <w:link w:val="FooterChar"/>
    <w:uiPriority w:val="99"/>
    <w:unhideWhenUsed/>
    <w:rsid w:val="00A57EFF"/>
    <w:pPr>
      <w:tabs>
        <w:tab w:val="center" w:pos="4513"/>
        <w:tab w:val="right" w:pos="9026"/>
      </w:tabs>
      <w:spacing w:after="0" w:line="240" w:lineRule="auto"/>
    </w:pPr>
    <w:rPr>
      <w:rFonts w:ascii="Times New Roman" w:hAnsi="Times New Roman"/>
      <w:sz w:val="24"/>
    </w:rPr>
  </w:style>
  <w:style w:type="character" w:customStyle="1" w:styleId="FooterChar">
    <w:name w:val="Footer Char"/>
    <w:basedOn w:val="DefaultParagraphFont"/>
    <w:link w:val="Footer"/>
    <w:uiPriority w:val="99"/>
    <w:rsid w:val="00AA6F1F"/>
    <w:rPr>
      <w:rFonts w:ascii="Times New Roman" w:hAnsi="Times New Roman"/>
      <w:sz w:val="24"/>
    </w:rPr>
  </w:style>
  <w:style w:type="character" w:styleId="LineNumber">
    <w:name w:val="line number"/>
    <w:basedOn w:val="DefaultParagraphFont"/>
    <w:uiPriority w:val="99"/>
    <w:semiHidden/>
    <w:unhideWhenUsed/>
    <w:rsid w:val="00AA6F1F"/>
  </w:style>
  <w:style w:type="character" w:styleId="Hyperlink">
    <w:name w:val="Hyperlink"/>
    <w:basedOn w:val="DefaultParagraphFont"/>
    <w:uiPriority w:val="99"/>
    <w:unhideWhenUsed/>
    <w:rsid w:val="00AA6F1F"/>
    <w:rPr>
      <w:color w:val="0000FF"/>
      <w:u w:val="single"/>
    </w:rPr>
  </w:style>
  <w:style w:type="paragraph" w:styleId="NoSpacing">
    <w:name w:val="No Spacing"/>
    <w:uiPriority w:val="1"/>
    <w:qFormat/>
    <w:rsid w:val="00AA6F1F"/>
    <w:pPr>
      <w:spacing w:after="0" w:line="240" w:lineRule="auto"/>
    </w:pPr>
    <w:rPr>
      <w:rFonts w:ascii="Times New Roman" w:hAnsi="Times New Roman"/>
      <w:sz w:val="24"/>
    </w:rPr>
  </w:style>
  <w:style w:type="paragraph" w:styleId="ListParagraph">
    <w:name w:val="List Paragraph"/>
    <w:basedOn w:val="Normal"/>
    <w:uiPriority w:val="34"/>
    <w:qFormat/>
    <w:rsid w:val="00A57EFF"/>
    <w:pPr>
      <w:ind w:left="720"/>
      <w:contextualSpacing/>
    </w:pPr>
  </w:style>
  <w:style w:type="character" w:customStyle="1" w:styleId="Heading1Char1">
    <w:name w:val="Heading 1 Char1"/>
    <w:basedOn w:val="DefaultParagraphFont"/>
    <w:uiPriority w:val="9"/>
    <w:rsid w:val="00AA6F1F"/>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AA6F1F"/>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AA6F1F"/>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A57EFF"/>
    <w:pPr>
      <w:spacing w:after="0" w:line="240" w:lineRule="auto"/>
      <w:contextualSpacing/>
    </w:pPr>
    <w:rPr>
      <w:rFonts w:ascii="Cambria" w:eastAsia="Times New Roman" w:hAnsi="Cambria" w:cs="Times New Roman"/>
      <w:spacing w:val="-10"/>
      <w:kern w:val="28"/>
      <w:sz w:val="56"/>
      <w:szCs w:val="56"/>
    </w:rPr>
  </w:style>
  <w:style w:type="character" w:customStyle="1" w:styleId="TitleChar1">
    <w:name w:val="Title Char1"/>
    <w:basedOn w:val="DefaultParagraphFont"/>
    <w:uiPriority w:val="10"/>
    <w:rsid w:val="00AA6F1F"/>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A57EFF"/>
    <w:pPr>
      <w:spacing w:after="200" w:line="240" w:lineRule="auto"/>
    </w:pPr>
    <w:rPr>
      <w:rFonts w:ascii="Times New Roman" w:hAnsi="Times New Roman"/>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173614">
      <w:bodyDiv w:val="1"/>
      <w:marLeft w:val="0"/>
      <w:marRight w:val="0"/>
      <w:marTop w:val="0"/>
      <w:marBottom w:val="0"/>
      <w:divBdr>
        <w:top w:val="none" w:sz="0" w:space="0" w:color="auto"/>
        <w:left w:val="none" w:sz="0" w:space="0" w:color="auto"/>
        <w:bottom w:val="none" w:sz="0" w:space="0" w:color="auto"/>
        <w:right w:val="none" w:sz="0" w:space="0" w:color="auto"/>
      </w:divBdr>
    </w:div>
    <w:div w:id="414284590">
      <w:bodyDiv w:val="1"/>
      <w:marLeft w:val="0"/>
      <w:marRight w:val="0"/>
      <w:marTop w:val="0"/>
      <w:marBottom w:val="0"/>
      <w:divBdr>
        <w:top w:val="none" w:sz="0" w:space="0" w:color="auto"/>
        <w:left w:val="none" w:sz="0" w:space="0" w:color="auto"/>
        <w:bottom w:val="none" w:sz="0" w:space="0" w:color="auto"/>
        <w:right w:val="none" w:sz="0" w:space="0" w:color="auto"/>
      </w:divBdr>
      <w:divsChild>
        <w:div w:id="1615213365">
          <w:marLeft w:val="0"/>
          <w:marRight w:val="0"/>
          <w:marTop w:val="0"/>
          <w:marBottom w:val="0"/>
          <w:divBdr>
            <w:top w:val="none" w:sz="0" w:space="0" w:color="auto"/>
            <w:left w:val="none" w:sz="0" w:space="0" w:color="auto"/>
            <w:bottom w:val="none" w:sz="0" w:space="0" w:color="auto"/>
            <w:right w:val="none" w:sz="0" w:space="0" w:color="auto"/>
          </w:divBdr>
        </w:div>
      </w:divsChild>
    </w:div>
    <w:div w:id="763111189">
      <w:bodyDiv w:val="1"/>
      <w:marLeft w:val="0"/>
      <w:marRight w:val="0"/>
      <w:marTop w:val="0"/>
      <w:marBottom w:val="0"/>
      <w:divBdr>
        <w:top w:val="none" w:sz="0" w:space="0" w:color="auto"/>
        <w:left w:val="none" w:sz="0" w:space="0" w:color="auto"/>
        <w:bottom w:val="none" w:sz="0" w:space="0" w:color="auto"/>
        <w:right w:val="none" w:sz="0" w:space="0" w:color="auto"/>
      </w:divBdr>
      <w:divsChild>
        <w:div w:id="48576977">
          <w:marLeft w:val="0"/>
          <w:marRight w:val="0"/>
          <w:marTop w:val="0"/>
          <w:marBottom w:val="0"/>
          <w:divBdr>
            <w:top w:val="none" w:sz="0" w:space="0" w:color="auto"/>
            <w:left w:val="none" w:sz="0" w:space="0" w:color="auto"/>
            <w:bottom w:val="none" w:sz="0" w:space="0" w:color="auto"/>
            <w:right w:val="none" w:sz="0" w:space="0" w:color="auto"/>
          </w:divBdr>
        </w:div>
        <w:div w:id="409162371">
          <w:marLeft w:val="0"/>
          <w:marRight w:val="0"/>
          <w:marTop w:val="0"/>
          <w:marBottom w:val="0"/>
          <w:divBdr>
            <w:top w:val="none" w:sz="0" w:space="0" w:color="auto"/>
            <w:left w:val="none" w:sz="0" w:space="0" w:color="auto"/>
            <w:bottom w:val="none" w:sz="0" w:space="0" w:color="auto"/>
            <w:right w:val="none" w:sz="0" w:space="0" w:color="auto"/>
          </w:divBdr>
        </w:div>
        <w:div w:id="1543859582">
          <w:marLeft w:val="0"/>
          <w:marRight w:val="0"/>
          <w:marTop w:val="0"/>
          <w:marBottom w:val="0"/>
          <w:divBdr>
            <w:top w:val="none" w:sz="0" w:space="0" w:color="auto"/>
            <w:left w:val="none" w:sz="0" w:space="0" w:color="auto"/>
            <w:bottom w:val="none" w:sz="0" w:space="0" w:color="auto"/>
            <w:right w:val="none" w:sz="0" w:space="0" w:color="auto"/>
          </w:divBdr>
        </w:div>
        <w:div w:id="1701124424">
          <w:marLeft w:val="0"/>
          <w:marRight w:val="0"/>
          <w:marTop w:val="0"/>
          <w:marBottom w:val="0"/>
          <w:divBdr>
            <w:top w:val="none" w:sz="0" w:space="0" w:color="auto"/>
            <w:left w:val="none" w:sz="0" w:space="0" w:color="auto"/>
            <w:bottom w:val="none" w:sz="0" w:space="0" w:color="auto"/>
            <w:right w:val="none" w:sz="0" w:space="0" w:color="auto"/>
          </w:divBdr>
        </w:div>
        <w:div w:id="1948004485">
          <w:marLeft w:val="0"/>
          <w:marRight w:val="0"/>
          <w:marTop w:val="0"/>
          <w:marBottom w:val="0"/>
          <w:divBdr>
            <w:top w:val="none" w:sz="0" w:space="0" w:color="auto"/>
            <w:left w:val="none" w:sz="0" w:space="0" w:color="auto"/>
            <w:bottom w:val="none" w:sz="0" w:space="0" w:color="auto"/>
            <w:right w:val="none" w:sz="0" w:space="0" w:color="auto"/>
          </w:divBdr>
        </w:div>
        <w:div w:id="1982884615">
          <w:marLeft w:val="0"/>
          <w:marRight w:val="0"/>
          <w:marTop w:val="0"/>
          <w:marBottom w:val="0"/>
          <w:divBdr>
            <w:top w:val="none" w:sz="0" w:space="0" w:color="auto"/>
            <w:left w:val="none" w:sz="0" w:space="0" w:color="auto"/>
            <w:bottom w:val="none" w:sz="0" w:space="0" w:color="auto"/>
            <w:right w:val="none" w:sz="0" w:space="0" w:color="auto"/>
          </w:divBdr>
        </w:div>
        <w:div w:id="2116822021">
          <w:marLeft w:val="0"/>
          <w:marRight w:val="0"/>
          <w:marTop w:val="0"/>
          <w:marBottom w:val="0"/>
          <w:divBdr>
            <w:top w:val="none" w:sz="0" w:space="0" w:color="auto"/>
            <w:left w:val="none" w:sz="0" w:space="0" w:color="auto"/>
            <w:bottom w:val="none" w:sz="0" w:space="0" w:color="auto"/>
            <w:right w:val="none" w:sz="0" w:space="0" w:color="auto"/>
          </w:divBdr>
        </w:div>
      </w:divsChild>
    </w:div>
    <w:div w:id="1555770677">
      <w:bodyDiv w:val="1"/>
      <w:marLeft w:val="0"/>
      <w:marRight w:val="0"/>
      <w:marTop w:val="0"/>
      <w:marBottom w:val="0"/>
      <w:divBdr>
        <w:top w:val="none" w:sz="0" w:space="0" w:color="auto"/>
        <w:left w:val="none" w:sz="0" w:space="0" w:color="auto"/>
        <w:bottom w:val="none" w:sz="0" w:space="0" w:color="auto"/>
        <w:right w:val="none" w:sz="0" w:space="0" w:color="auto"/>
      </w:divBdr>
      <w:divsChild>
        <w:div w:id="144902289">
          <w:marLeft w:val="0"/>
          <w:marRight w:val="0"/>
          <w:marTop w:val="0"/>
          <w:marBottom w:val="0"/>
          <w:divBdr>
            <w:top w:val="none" w:sz="0" w:space="0" w:color="auto"/>
            <w:left w:val="none" w:sz="0" w:space="0" w:color="auto"/>
            <w:bottom w:val="none" w:sz="0" w:space="0" w:color="auto"/>
            <w:right w:val="none" w:sz="0" w:space="0" w:color="auto"/>
          </w:divBdr>
        </w:div>
        <w:div w:id="672538612">
          <w:marLeft w:val="0"/>
          <w:marRight w:val="0"/>
          <w:marTop w:val="0"/>
          <w:marBottom w:val="0"/>
          <w:divBdr>
            <w:top w:val="none" w:sz="0" w:space="0" w:color="auto"/>
            <w:left w:val="none" w:sz="0" w:space="0" w:color="auto"/>
            <w:bottom w:val="none" w:sz="0" w:space="0" w:color="auto"/>
            <w:right w:val="none" w:sz="0" w:space="0" w:color="auto"/>
          </w:divBdr>
        </w:div>
        <w:div w:id="731345186">
          <w:marLeft w:val="0"/>
          <w:marRight w:val="0"/>
          <w:marTop w:val="0"/>
          <w:marBottom w:val="0"/>
          <w:divBdr>
            <w:top w:val="none" w:sz="0" w:space="0" w:color="auto"/>
            <w:left w:val="none" w:sz="0" w:space="0" w:color="auto"/>
            <w:bottom w:val="none" w:sz="0" w:space="0" w:color="auto"/>
            <w:right w:val="none" w:sz="0" w:space="0" w:color="auto"/>
          </w:divBdr>
        </w:div>
        <w:div w:id="1025205973">
          <w:marLeft w:val="0"/>
          <w:marRight w:val="0"/>
          <w:marTop w:val="0"/>
          <w:marBottom w:val="0"/>
          <w:divBdr>
            <w:top w:val="none" w:sz="0" w:space="0" w:color="auto"/>
            <w:left w:val="none" w:sz="0" w:space="0" w:color="auto"/>
            <w:bottom w:val="none" w:sz="0" w:space="0" w:color="auto"/>
            <w:right w:val="none" w:sz="0" w:space="0" w:color="auto"/>
          </w:divBdr>
        </w:div>
        <w:div w:id="1046486391">
          <w:marLeft w:val="0"/>
          <w:marRight w:val="0"/>
          <w:marTop w:val="0"/>
          <w:marBottom w:val="0"/>
          <w:divBdr>
            <w:top w:val="none" w:sz="0" w:space="0" w:color="auto"/>
            <w:left w:val="none" w:sz="0" w:space="0" w:color="auto"/>
            <w:bottom w:val="none" w:sz="0" w:space="0" w:color="auto"/>
            <w:right w:val="none" w:sz="0" w:space="0" w:color="auto"/>
          </w:divBdr>
        </w:div>
        <w:div w:id="1047218063">
          <w:marLeft w:val="0"/>
          <w:marRight w:val="0"/>
          <w:marTop w:val="0"/>
          <w:marBottom w:val="0"/>
          <w:divBdr>
            <w:top w:val="none" w:sz="0" w:space="0" w:color="auto"/>
            <w:left w:val="none" w:sz="0" w:space="0" w:color="auto"/>
            <w:bottom w:val="none" w:sz="0" w:space="0" w:color="auto"/>
            <w:right w:val="none" w:sz="0" w:space="0" w:color="auto"/>
          </w:divBdr>
        </w:div>
        <w:div w:id="1212695161">
          <w:marLeft w:val="0"/>
          <w:marRight w:val="0"/>
          <w:marTop w:val="0"/>
          <w:marBottom w:val="0"/>
          <w:divBdr>
            <w:top w:val="none" w:sz="0" w:space="0" w:color="auto"/>
            <w:left w:val="none" w:sz="0" w:space="0" w:color="auto"/>
            <w:bottom w:val="none" w:sz="0" w:space="0" w:color="auto"/>
            <w:right w:val="none" w:sz="0" w:space="0" w:color="auto"/>
          </w:divBdr>
        </w:div>
        <w:div w:id="1505630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ose@soton.ac.uk"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A587C-BE95-4732-9B3A-4FAE7F396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20677</Words>
  <Characters>117862</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138263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McKay Fletcher D.M.</dc:creator>
  <cp:keywords/>
  <dc:description/>
  <cp:lastModifiedBy>McKay Fletcher D.M.</cp:lastModifiedBy>
  <cp:revision>3</cp:revision>
  <dcterms:created xsi:type="dcterms:W3CDTF">2019-11-07T09:28:00Z</dcterms:created>
  <dcterms:modified xsi:type="dcterms:W3CDTF">2019-11-07T09:29:00Z</dcterms:modified>
</cp:coreProperties>
</file>