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255" w:rsidRPr="00C60386" w:rsidRDefault="00514255" w:rsidP="00514255">
      <w:pPr>
        <w:pStyle w:val="OSATitle"/>
        <w:rPr>
          <w:lang w:eastAsia="zh-CN"/>
        </w:rPr>
      </w:pPr>
      <w:bookmarkStart w:id="0" w:name="_GoBack"/>
      <w:bookmarkEnd w:id="0"/>
      <w:r>
        <w:t xml:space="preserve">High-efficiency </w:t>
      </w:r>
      <w:proofErr w:type="spellStart"/>
      <w:r>
        <w:t>apodized</w:t>
      </w:r>
      <w:proofErr w:type="spellEnd"/>
      <w:r>
        <w:t xml:space="preserve"> bidirectional grating coupler for perfectly vertical coupling</w:t>
      </w:r>
    </w:p>
    <w:p w:rsidR="00514255" w:rsidRPr="004F06BF" w:rsidRDefault="00514255" w:rsidP="00514255">
      <w:pPr>
        <w:pStyle w:val="OSAAuthor"/>
      </w:pPr>
      <w:proofErr w:type="spellStart"/>
      <w:r w:rsidRPr="00857573">
        <w:t>Z</w:t>
      </w:r>
      <w:r>
        <w:rPr>
          <w:rFonts w:hint="eastAsia"/>
          <w:lang w:eastAsia="zh-CN"/>
        </w:rPr>
        <w:t>anyun</w:t>
      </w:r>
      <w:proofErr w:type="spellEnd"/>
      <w:r w:rsidRPr="00857573">
        <w:t xml:space="preserve"> Z</w:t>
      </w:r>
      <w:r>
        <w:rPr>
          <w:rFonts w:hint="eastAsia"/>
          <w:lang w:eastAsia="zh-CN"/>
        </w:rPr>
        <w:t>hang</w:t>
      </w:r>
      <w:r w:rsidRPr="004F06BF">
        <w:t>,</w:t>
      </w:r>
      <w:r w:rsidRPr="001422FA">
        <w:rPr>
          <w:vertAlign w:val="superscript"/>
        </w:rPr>
        <w:t>1</w:t>
      </w:r>
      <w:r>
        <w:rPr>
          <w:vertAlign w:val="superscript"/>
        </w:rPr>
        <w:t>, 2</w:t>
      </w:r>
      <w:r w:rsidRPr="004F06BF">
        <w:t xml:space="preserve"> </w:t>
      </w:r>
      <w:r>
        <w:rPr>
          <w:rFonts w:hint="eastAsia"/>
          <w:lang w:eastAsia="zh-CN"/>
        </w:rPr>
        <w:t>Xia Chen</w:t>
      </w:r>
      <w:r w:rsidRPr="004F06BF">
        <w:t>,</w:t>
      </w:r>
      <w:r>
        <w:rPr>
          <w:vertAlign w:val="superscript"/>
        </w:rPr>
        <w:t>2</w:t>
      </w:r>
      <w:r>
        <w:rPr>
          <w:rFonts w:hint="eastAsia"/>
          <w:vertAlign w:val="superscript"/>
          <w:lang w:eastAsia="zh-CN"/>
        </w:rPr>
        <w:t xml:space="preserve"> </w:t>
      </w:r>
      <w:r>
        <w:rPr>
          <w:lang w:eastAsia="zh-CN"/>
        </w:rPr>
        <w:t>Qian Cheng</w:t>
      </w:r>
      <w:r>
        <w:rPr>
          <w:rFonts w:hint="eastAsia"/>
          <w:lang w:eastAsia="zh-CN"/>
        </w:rPr>
        <w:t>,</w:t>
      </w:r>
      <w:r>
        <w:rPr>
          <w:vertAlign w:val="superscript"/>
          <w:lang w:eastAsia="zh-CN"/>
        </w:rPr>
        <w:t>1</w:t>
      </w:r>
      <w:r w:rsidRPr="00857573">
        <w:rPr>
          <w:rFonts w:hint="eastAsia"/>
          <w:lang w:eastAsia="zh-CN"/>
        </w:rPr>
        <w:t xml:space="preserve"> </w:t>
      </w:r>
      <w:r>
        <w:rPr>
          <w:lang w:eastAsia="zh-CN"/>
        </w:rPr>
        <w:t>Ali</w:t>
      </w:r>
      <w:r>
        <w:rPr>
          <w:rFonts w:hint="eastAsia"/>
          <w:lang w:eastAsia="zh-CN"/>
        </w:rPr>
        <w:t>.</w:t>
      </w:r>
      <w:r>
        <w:rPr>
          <w:lang w:eastAsia="zh-CN"/>
        </w:rPr>
        <w:t xml:space="preserve"> Z. Khokhar,</w:t>
      </w:r>
      <w:r>
        <w:rPr>
          <w:vertAlign w:val="superscript"/>
          <w:lang w:eastAsia="zh-CN"/>
        </w:rPr>
        <w:t>2</w:t>
      </w:r>
      <w:r>
        <w:rPr>
          <w:lang w:eastAsia="zh-CN"/>
        </w:rPr>
        <w:t xml:space="preserve"> </w:t>
      </w:r>
      <w:proofErr w:type="spellStart"/>
      <w:r>
        <w:rPr>
          <w:lang w:eastAsia="zh-CN"/>
        </w:rPr>
        <w:t>Xingzhao</w:t>
      </w:r>
      <w:proofErr w:type="spellEnd"/>
      <w:r>
        <w:rPr>
          <w:lang w:eastAsia="zh-CN"/>
        </w:rPr>
        <w:t xml:space="preserve"> Yan,</w:t>
      </w:r>
      <w:r w:rsidRPr="00A7230A">
        <w:rPr>
          <w:vertAlign w:val="superscript"/>
          <w:lang w:eastAsia="zh-CN"/>
        </w:rPr>
        <w:t>2</w:t>
      </w:r>
      <w:r>
        <w:rPr>
          <w:lang w:eastAsia="zh-CN"/>
        </w:rPr>
        <w:t xml:space="preserve"> </w:t>
      </w:r>
      <w:proofErr w:type="spellStart"/>
      <w:r>
        <w:rPr>
          <w:lang w:eastAsia="zh-CN"/>
        </w:rPr>
        <w:t>Beiju</w:t>
      </w:r>
      <w:proofErr w:type="spellEnd"/>
      <w:r>
        <w:rPr>
          <w:lang w:eastAsia="zh-CN"/>
        </w:rPr>
        <w:t xml:space="preserve"> Huang,</w:t>
      </w:r>
      <w:r w:rsidRPr="007C7AAE">
        <w:rPr>
          <w:vertAlign w:val="superscript"/>
          <w:lang w:eastAsia="zh-CN"/>
        </w:rPr>
        <w:t>3</w:t>
      </w:r>
      <w:r>
        <w:rPr>
          <w:lang w:eastAsia="zh-CN"/>
        </w:rPr>
        <w:t xml:space="preserve"> </w:t>
      </w:r>
      <w:proofErr w:type="spellStart"/>
      <w:r>
        <w:rPr>
          <w:lang w:eastAsia="zh-CN"/>
        </w:rPr>
        <w:t>Hongda</w:t>
      </w:r>
      <w:proofErr w:type="spellEnd"/>
      <w:r>
        <w:rPr>
          <w:lang w:eastAsia="zh-CN"/>
        </w:rPr>
        <w:t xml:space="preserve"> Chen,</w:t>
      </w:r>
      <w:r w:rsidRPr="000505C1">
        <w:rPr>
          <w:vertAlign w:val="superscript"/>
          <w:lang w:eastAsia="zh-CN"/>
        </w:rPr>
        <w:t>3</w:t>
      </w:r>
      <w:r>
        <w:rPr>
          <w:lang w:eastAsia="zh-CN"/>
        </w:rPr>
        <w:t xml:space="preserve"> Hongwei Liu,</w:t>
      </w:r>
      <w:r>
        <w:rPr>
          <w:vertAlign w:val="superscript"/>
          <w:lang w:eastAsia="zh-CN"/>
        </w:rPr>
        <w:t>1</w:t>
      </w:r>
      <w:r>
        <w:rPr>
          <w:lang w:eastAsia="zh-CN"/>
        </w:rPr>
        <w:t xml:space="preserve"> </w:t>
      </w:r>
      <w:proofErr w:type="spellStart"/>
      <w:r w:rsidRPr="00857573">
        <w:rPr>
          <w:lang w:eastAsia="zh-CN"/>
        </w:rPr>
        <w:t>H</w:t>
      </w:r>
      <w:r>
        <w:rPr>
          <w:rFonts w:hint="eastAsia"/>
          <w:lang w:eastAsia="zh-CN"/>
        </w:rPr>
        <w:t>ongqiang</w:t>
      </w:r>
      <w:proofErr w:type="spellEnd"/>
      <w:r w:rsidRPr="00857573">
        <w:rPr>
          <w:lang w:eastAsia="zh-CN"/>
        </w:rPr>
        <w:t xml:space="preserve"> L</w:t>
      </w:r>
      <w:r>
        <w:rPr>
          <w:rFonts w:hint="eastAsia"/>
          <w:lang w:eastAsia="zh-CN"/>
        </w:rPr>
        <w:t>i</w:t>
      </w:r>
      <w:r w:rsidRPr="00857573">
        <w:rPr>
          <w:lang w:eastAsia="zh-CN"/>
        </w:rPr>
        <w:t>,</w:t>
      </w:r>
      <w:r>
        <w:rPr>
          <w:vertAlign w:val="superscript"/>
          <w:lang w:eastAsia="zh-CN"/>
        </w:rPr>
        <w:t xml:space="preserve">1 </w:t>
      </w:r>
      <w:r>
        <w:t>David. J Thomson,</w:t>
      </w:r>
      <w:r>
        <w:rPr>
          <w:vertAlign w:val="superscript"/>
        </w:rPr>
        <w:t>2</w:t>
      </w:r>
      <w:r>
        <w:t xml:space="preserve"> Graham T. Reed</w:t>
      </w:r>
      <w:r>
        <w:rPr>
          <w:vertAlign w:val="superscript"/>
        </w:rPr>
        <w:t>2</w:t>
      </w:r>
    </w:p>
    <w:p w:rsidR="00514255" w:rsidRPr="00A7230A" w:rsidRDefault="00514255" w:rsidP="00514255">
      <w:pPr>
        <w:autoSpaceDE w:val="0"/>
        <w:autoSpaceDN w:val="0"/>
        <w:adjustRightInd w:val="0"/>
        <w:rPr>
          <w:i/>
          <w:sz w:val="17"/>
        </w:rPr>
      </w:pPr>
      <w:r>
        <w:rPr>
          <w:vertAlign w:val="superscript"/>
        </w:rPr>
        <w:t>1</w:t>
      </w:r>
      <w:r w:rsidRPr="00A7230A">
        <w:rPr>
          <w:i/>
          <w:sz w:val="17"/>
        </w:rPr>
        <w:t xml:space="preserve">Tianjin Key Laboratory of Optoelectronic Detection Technology </w:t>
      </w:r>
      <w:r>
        <w:rPr>
          <w:i/>
          <w:sz w:val="17"/>
        </w:rPr>
        <w:t>and Systems, Tian</w:t>
      </w:r>
      <w:r>
        <w:rPr>
          <w:rFonts w:hint="eastAsia"/>
          <w:i/>
          <w:sz w:val="17"/>
          <w:lang w:eastAsia="zh-CN"/>
        </w:rPr>
        <w:t>jin Polytechnic</w:t>
      </w:r>
      <w:r w:rsidRPr="00A7230A">
        <w:rPr>
          <w:i/>
          <w:sz w:val="17"/>
        </w:rPr>
        <w:t xml:space="preserve"> University, Tianjin 300387, China</w:t>
      </w:r>
    </w:p>
    <w:p w:rsidR="00514255" w:rsidRPr="00A7230A" w:rsidRDefault="00514255" w:rsidP="00514255">
      <w:pPr>
        <w:autoSpaceDE w:val="0"/>
        <w:autoSpaceDN w:val="0"/>
        <w:adjustRightInd w:val="0"/>
        <w:rPr>
          <w:i/>
          <w:sz w:val="17"/>
        </w:rPr>
      </w:pPr>
      <w:r>
        <w:rPr>
          <w:vertAlign w:val="superscript"/>
        </w:rPr>
        <w:t>2</w:t>
      </w:r>
      <w:r w:rsidRPr="001D7AEA">
        <w:rPr>
          <w:i/>
          <w:sz w:val="17"/>
        </w:rPr>
        <w:t>Optoelectronics Research Centre, University o</w:t>
      </w:r>
      <w:r>
        <w:rPr>
          <w:i/>
          <w:sz w:val="17"/>
        </w:rPr>
        <w:t>f Southampton, Southampton SO171BJ, UK</w:t>
      </w:r>
    </w:p>
    <w:p w:rsidR="00514255" w:rsidRPr="007C7AAE" w:rsidRDefault="00514255" w:rsidP="00514255">
      <w:pPr>
        <w:pStyle w:val="OSAAuthorAffliation"/>
        <w:rPr>
          <w:vertAlign w:val="superscript"/>
        </w:rPr>
      </w:pPr>
      <w:r w:rsidRPr="007C7AAE">
        <w:rPr>
          <w:vertAlign w:val="superscript"/>
        </w:rPr>
        <w:t>3</w:t>
      </w:r>
      <w:r w:rsidRPr="009A7F19">
        <w:rPr>
          <w:rFonts w:hint="eastAsia"/>
        </w:rPr>
        <w:t>State Key laboratory on Integrated Optoelectronics</w:t>
      </w:r>
      <w:r w:rsidRPr="00F22953">
        <w:rPr>
          <w:rFonts w:hint="eastAsia"/>
          <w:iCs/>
          <w:sz w:val="16"/>
          <w:lang w:eastAsia="zh-CN"/>
        </w:rPr>
        <w:t xml:space="preserve">, </w:t>
      </w:r>
      <w:r w:rsidRPr="007C7AAE">
        <w:t>Institute</w:t>
      </w:r>
      <w:r>
        <w:t xml:space="preserve"> of Semiconductors, Chinese Academy of Sciences, Beijing 100083, China</w:t>
      </w:r>
    </w:p>
    <w:p w:rsidR="00514255" w:rsidRDefault="00514255" w:rsidP="00514255">
      <w:pPr>
        <w:pStyle w:val="OSACorrespondingAuthorEmail"/>
        <w:rPr>
          <w:lang w:eastAsia="zh-CN"/>
        </w:rPr>
      </w:pPr>
      <w:r w:rsidRPr="00090E6C">
        <w:t xml:space="preserve">*Corresponding author: </w:t>
      </w:r>
      <w:hyperlink r:id="rId8" w:history="1">
        <w:r w:rsidRPr="008D22AC">
          <w:rPr>
            <w:rStyle w:val="Hyperlink"/>
          </w:rPr>
          <w:t>zhangzanyun@tjpu.edu.cn</w:t>
        </w:r>
      </w:hyperlink>
      <w:r>
        <w:t xml:space="preserve">; </w:t>
      </w:r>
    </w:p>
    <w:p w:rsidR="00FE40B5" w:rsidRPr="00002075" w:rsidRDefault="00A445EF" w:rsidP="00813273">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rsidR="00AD35C2" w:rsidRDefault="00AD35C2" w:rsidP="0014689D">
      <w:pPr>
        <w:pStyle w:val="OSAAuthor"/>
      </w:pPr>
    </w:p>
    <w:p w:rsidR="00A90FBE" w:rsidRDefault="00A90FBE" w:rsidP="002028FE">
      <w:pPr>
        <w:pStyle w:val="OSABodyIndent"/>
        <w:sectPr w:rsidR="00A90FBE" w:rsidSect="00BF1690">
          <w:type w:val="continuous"/>
          <w:pgSz w:w="12240" w:h="15840" w:code="1"/>
          <w:pgMar w:top="1080" w:right="994" w:bottom="1260" w:left="994" w:header="720" w:footer="720" w:gutter="0"/>
          <w:cols w:space="446"/>
          <w:docGrid w:linePitch="360"/>
        </w:sectPr>
      </w:pPr>
    </w:p>
    <w:p w:rsidR="0014689D" w:rsidRPr="0014689D" w:rsidRDefault="00514255" w:rsidP="00002075">
      <w:pPr>
        <w:pStyle w:val="OSAAbstract"/>
      </w:pPr>
      <w:r>
        <w:t>We propose and experimentally demonstrate an</w:t>
      </w:r>
      <w:r>
        <w:rPr>
          <w:rFonts w:hint="eastAsia"/>
        </w:rPr>
        <w:t xml:space="preserve"> </w:t>
      </w:r>
      <w:proofErr w:type="spellStart"/>
      <w:r>
        <w:t>apodized</w:t>
      </w:r>
      <w:proofErr w:type="spellEnd"/>
      <w:r>
        <w:t xml:space="preserve"> bidirectional grating coupler for high-efficiency</w:t>
      </w:r>
      <w:r w:rsidR="005B6301">
        <w:t xml:space="preserve"> </w:t>
      </w:r>
      <w:r>
        <w:t xml:space="preserve">perfectly vertical coupling. Through grating apodization, the coupling efficiency (CE) can be notably improved and the parasitic reflections can be minimized. For ease of fabrication, subwavelength gratings are introduced, which are also beneficial for the coupling performance. Simulation shows a record CE of </w:t>
      </w:r>
      <w:r w:rsidRPr="00C173AB">
        <w:rPr>
          <w:color w:val="000000" w:themeColor="text1"/>
        </w:rPr>
        <w:t>72%</w:t>
      </w:r>
      <w:r>
        <w:t xml:space="preserve">. We found </w:t>
      </w:r>
      <w:r>
        <w:rPr>
          <w:lang w:eastAsia="zh-CN"/>
        </w:rPr>
        <w:t>the coupler is quite robust</w:t>
      </w:r>
      <w:r w:rsidR="005B6301">
        <w:rPr>
          <w:lang w:eastAsia="zh-CN"/>
        </w:rPr>
        <w:t xml:space="preserve"> to</w:t>
      </w:r>
      <w:r>
        <w:rPr>
          <w:lang w:eastAsia="zh-CN"/>
        </w:rPr>
        <w:t xml:space="preserve"> </w:t>
      </w:r>
      <w:r w:rsidR="005B6301">
        <w:rPr>
          <w:lang w:eastAsia="zh-CN"/>
        </w:rPr>
        <w:t xml:space="preserve">the </w:t>
      </w:r>
      <w:r>
        <w:rPr>
          <w:lang w:eastAsia="zh-CN"/>
        </w:rPr>
        <w:t>variation</w:t>
      </w:r>
      <w:r w:rsidR="005B6301">
        <w:rPr>
          <w:lang w:eastAsia="zh-CN"/>
        </w:rPr>
        <w:t xml:space="preserve"> of incidence </w:t>
      </w:r>
      <w:r>
        <w:rPr>
          <w:lang w:eastAsia="zh-CN"/>
        </w:rPr>
        <w:t xml:space="preserve">mode field diameter and fiber misalignment. A CE of -1.8dB is experimentally measured with a 1-dB bandwidth of 37nm. </w:t>
      </w:r>
    </w:p>
    <w:p w:rsidR="0014689D" w:rsidRPr="0014689D" w:rsidRDefault="0014689D" w:rsidP="00002075">
      <w:pPr>
        <w:pStyle w:val="OSADOI"/>
      </w:pPr>
      <w:r w:rsidRPr="0014689D">
        <w:t>http://dx.doi.org/10.1364/</w:t>
      </w:r>
      <w:r w:rsidR="006D4A52">
        <w:t>OL</w:t>
      </w:r>
      <w:r w:rsidRPr="0014689D">
        <w:t>.99.099999</w:t>
      </w:r>
    </w:p>
    <w:p w:rsidR="00514255" w:rsidRDefault="00514255" w:rsidP="00514255">
      <w:pPr>
        <w:jc w:val="both"/>
        <w:rPr>
          <w:rFonts w:ascii="Cambria" w:hAnsi="Cambria"/>
          <w:spacing w:val="-8"/>
          <w:sz w:val="19"/>
          <w:lang w:eastAsia="zh-CN"/>
        </w:rPr>
      </w:pPr>
      <w:r>
        <w:rPr>
          <w:rFonts w:ascii="Cambria" w:hAnsi="Cambria"/>
          <w:spacing w:val="-8"/>
          <w:sz w:val="19"/>
          <w:lang w:eastAsia="zh-CN"/>
        </w:rPr>
        <w:t>Grating couplers</w:t>
      </w:r>
      <w:r w:rsidR="00100754">
        <w:rPr>
          <w:rFonts w:ascii="Cambria" w:hAnsi="Cambria"/>
          <w:spacing w:val="-8"/>
          <w:sz w:val="19"/>
          <w:lang w:eastAsia="zh-CN"/>
        </w:rPr>
        <w:t xml:space="preserve"> (GCs)</w:t>
      </w:r>
      <w:r>
        <w:rPr>
          <w:rFonts w:ascii="Cambria" w:hAnsi="Cambria"/>
          <w:spacing w:val="-8"/>
          <w:sz w:val="19"/>
          <w:lang w:eastAsia="zh-CN"/>
        </w:rPr>
        <w:t xml:space="preserve"> are widely used in silicon photonic chips [1-3], offering the advantages of large misalignment tolerance, wafer-scale testability, and flexibility in placement.</w:t>
      </w:r>
      <w:r w:rsidRPr="00F02BD9">
        <w:rPr>
          <w:rFonts w:ascii="Cambria" w:hAnsi="Cambria" w:hint="eastAsia"/>
          <w:spacing w:val="-8"/>
          <w:sz w:val="19"/>
          <w:lang w:eastAsia="zh-CN"/>
        </w:rPr>
        <w:t xml:space="preserve"> </w:t>
      </w:r>
      <w:r w:rsidR="00100754">
        <w:rPr>
          <w:rFonts w:ascii="Cambria" w:hAnsi="Cambria"/>
          <w:spacing w:val="-8"/>
          <w:sz w:val="19"/>
          <w:lang w:eastAsia="zh-CN"/>
        </w:rPr>
        <w:t>Typically, GCs</w:t>
      </w:r>
      <w:r>
        <w:rPr>
          <w:rFonts w:ascii="Cambria" w:hAnsi="Cambria"/>
          <w:spacing w:val="-8"/>
          <w:sz w:val="19"/>
          <w:lang w:eastAsia="zh-CN"/>
        </w:rPr>
        <w:t xml:space="preserve"> are designed for interfacing with single mode </w:t>
      </w:r>
      <w:proofErr w:type="spellStart"/>
      <w:r>
        <w:rPr>
          <w:rFonts w:ascii="Cambria" w:hAnsi="Cambria"/>
          <w:spacing w:val="-8"/>
          <w:sz w:val="19"/>
          <w:lang w:eastAsia="zh-CN"/>
        </w:rPr>
        <w:t>fibres</w:t>
      </w:r>
      <w:proofErr w:type="spellEnd"/>
      <w:r>
        <w:rPr>
          <w:rFonts w:ascii="Cambria" w:hAnsi="Cambria"/>
          <w:spacing w:val="-8"/>
          <w:sz w:val="19"/>
          <w:lang w:eastAsia="zh-CN"/>
        </w:rPr>
        <w:t xml:space="preserve"> (SMFs) slightly tilted off vertical to suppress the second-order back-reflection. To improve the CE, high grating directionality and perfect mode matching are pursued with techniques such as using a multiple-etch process [4, 5], backside mirror [6], silicon overlay [7]</w:t>
      </w:r>
      <w:r w:rsidRPr="00E570EF">
        <w:rPr>
          <w:rFonts w:ascii="Cambria" w:hAnsi="Cambria"/>
          <w:spacing w:val="-8"/>
          <w:sz w:val="19"/>
          <w:lang w:eastAsia="zh-CN"/>
        </w:rPr>
        <w:t xml:space="preserve"> </w:t>
      </w:r>
      <w:r>
        <w:rPr>
          <w:rFonts w:ascii="Cambria" w:hAnsi="Cambria"/>
          <w:spacing w:val="-8"/>
          <w:sz w:val="19"/>
          <w:lang w:eastAsia="zh-CN"/>
        </w:rPr>
        <w:t xml:space="preserve">and </w:t>
      </w:r>
      <w:proofErr w:type="spellStart"/>
      <w:r>
        <w:rPr>
          <w:rFonts w:ascii="Cambria" w:hAnsi="Cambria"/>
          <w:spacing w:val="-8"/>
          <w:sz w:val="19"/>
          <w:lang w:eastAsia="zh-CN"/>
        </w:rPr>
        <w:t>apodized</w:t>
      </w:r>
      <w:proofErr w:type="spellEnd"/>
      <w:r>
        <w:rPr>
          <w:rFonts w:ascii="Cambria" w:hAnsi="Cambria"/>
          <w:spacing w:val="-8"/>
          <w:sz w:val="19"/>
          <w:lang w:eastAsia="zh-CN"/>
        </w:rPr>
        <w:t xml:space="preserve"> gratings [4]. However, less attention has been paid to develop perfectly vertical GCs that make the alignment and packaging process much easier than for the tilted designs. Using perfectly vertical GCs can avoid costly fiber angle polishing required in optical packaging. Such merit makes them very attractive in coupling with multi-core fibers (MCFs) [8, 9] or vertical cavity surface-emitting lasers (VCSELs) [10, 11] where the coupling loss is very sensitive to incident angle and spatial channel positions. </w:t>
      </w:r>
    </w:p>
    <w:p w:rsidR="009D2FEF" w:rsidRDefault="00514255" w:rsidP="00514255">
      <w:pPr>
        <w:pStyle w:val="OSABody"/>
      </w:pPr>
      <w:r>
        <w:rPr>
          <w:lang w:eastAsia="zh-CN"/>
        </w:rPr>
        <w:t xml:space="preserve">   </w:t>
      </w:r>
      <w:r w:rsidR="00E03C96">
        <w:rPr>
          <w:lang w:eastAsia="zh-CN"/>
        </w:rPr>
        <w:t xml:space="preserve">  </w:t>
      </w:r>
      <w:r>
        <w:rPr>
          <w:lang w:eastAsia="zh-CN"/>
        </w:rPr>
        <w:t xml:space="preserve">Normally, perfectly vertical GCs have relatively poor CE due to considerable parasitic reflections, namely the waveguide internal back-reflection and the upward reflection. To overcome this drawback, various approaches have been proposed, including the use of additional slits [12], chirped gratings [13], dual layer gratings </w:t>
      </w:r>
      <w:r>
        <w:rPr>
          <w:lang w:eastAsia="zh-CN"/>
        </w:rPr>
        <w:t xml:space="preserve">[14], utilizing a tilted silicon membrane structure [15, 16], blazed anti-back-reflection structures [9], L-shaped grating structures [17] and focused overlay gratings optimized by a genetic algorithm [8]. However, most of the above devices require either additional fabrication steps (etching or deposition) or a feature size below 100nm which is incompatible with 193nm deep UV lithography. Furthermore, very few of the above approaches discuss the alignment tolerance which is also important in real applications. </w:t>
      </w:r>
    </w:p>
    <w:p w:rsidR="00514255" w:rsidRDefault="00AC4A17" w:rsidP="00514255">
      <w:pPr>
        <w:ind w:firstLine="120"/>
        <w:jc w:val="both"/>
        <w:rPr>
          <w:rFonts w:ascii="Cambria" w:hAnsi="Cambria"/>
          <w:spacing w:val="-8"/>
          <w:sz w:val="19"/>
          <w:lang w:eastAsia="zh-CN"/>
        </w:rPr>
      </w:pPr>
      <w:r>
        <w:rPr>
          <w:rFonts w:ascii="Cambria" w:hAnsi="Cambria"/>
          <w:spacing w:val="-8"/>
          <w:sz w:val="19"/>
          <w:lang w:eastAsia="zh-CN"/>
        </w:rPr>
        <w:t xml:space="preserve"> </w:t>
      </w:r>
      <w:r w:rsidR="00514255">
        <w:rPr>
          <w:rFonts w:ascii="Cambria" w:hAnsi="Cambria"/>
          <w:spacing w:val="-8"/>
          <w:sz w:val="19"/>
          <w:lang w:eastAsia="zh-CN"/>
        </w:rPr>
        <w:t xml:space="preserve">In this letter, we report for the first time the experimental demonstration of a high-efficiency </w:t>
      </w:r>
      <w:proofErr w:type="spellStart"/>
      <w:r w:rsidR="00514255">
        <w:rPr>
          <w:rFonts w:ascii="Cambria" w:hAnsi="Cambria"/>
          <w:spacing w:val="-8"/>
          <w:sz w:val="19"/>
          <w:lang w:eastAsia="zh-CN"/>
        </w:rPr>
        <w:t>apodized</w:t>
      </w:r>
      <w:proofErr w:type="spellEnd"/>
      <w:r w:rsidR="00514255">
        <w:rPr>
          <w:rFonts w:ascii="Cambria" w:hAnsi="Cambria"/>
          <w:spacing w:val="-8"/>
          <w:sz w:val="19"/>
          <w:lang w:eastAsia="zh-CN"/>
        </w:rPr>
        <w:t xml:space="preserve"> bidirectional perfectly vertical GC using subwavelength gratings. A calculated CE of </w:t>
      </w:r>
      <w:r w:rsidR="00514255" w:rsidRPr="00C173AB">
        <w:rPr>
          <w:rFonts w:ascii="Cambria" w:hAnsi="Cambria"/>
          <w:color w:val="000000" w:themeColor="text1"/>
          <w:spacing w:val="-8"/>
          <w:sz w:val="19"/>
          <w:lang w:eastAsia="zh-CN"/>
        </w:rPr>
        <w:t>-1.43dB (72%)</w:t>
      </w:r>
      <w:r w:rsidR="00514255" w:rsidRPr="00A04A18">
        <w:rPr>
          <w:rFonts w:ascii="Cambria" w:hAnsi="Cambria"/>
          <w:color w:val="002060"/>
          <w:spacing w:val="-8"/>
          <w:sz w:val="19"/>
          <w:lang w:eastAsia="zh-CN"/>
        </w:rPr>
        <w:t xml:space="preserve"> </w:t>
      </w:r>
      <w:r w:rsidR="00514255">
        <w:rPr>
          <w:rFonts w:ascii="Cambria" w:hAnsi="Cambria"/>
          <w:spacing w:val="-8"/>
          <w:sz w:val="19"/>
          <w:lang w:eastAsia="zh-CN"/>
        </w:rPr>
        <w:t xml:space="preserve">and a measured result of -1.8dB (66%) are achieved. To the best of our knowledge, this device is the most efficient perfectly vertical GC reported to date, realized in a single-etch process without using a silicon overlay or backside mirror. The device is highly efficient and robust to the mode field diameter variation and incidence misalignment, showing a great potential for packaging with a VCSEL light source, as shown in Fig .1(a). </w:t>
      </w:r>
    </w:p>
    <w:p w:rsidR="00514255" w:rsidRDefault="00514255" w:rsidP="00514255">
      <w:pPr>
        <w:pStyle w:val="OSABody"/>
        <w:ind w:firstLine="135"/>
      </w:pPr>
      <w:r w:rsidRPr="0061458C">
        <w:rPr>
          <w:lang w:eastAsia="zh-CN"/>
        </w:rPr>
        <w:t xml:space="preserve">The proposed GC is based on an </w:t>
      </w:r>
      <w:proofErr w:type="spellStart"/>
      <w:r w:rsidRPr="0061458C">
        <w:rPr>
          <w:lang w:eastAsia="zh-CN"/>
        </w:rPr>
        <w:t>apodized</w:t>
      </w:r>
      <w:proofErr w:type="spellEnd"/>
      <w:r w:rsidRPr="0061458C">
        <w:rPr>
          <w:lang w:eastAsia="zh-CN"/>
        </w:rPr>
        <w:t xml:space="preserve"> bidirectional grating structure with subwavelength gratings, as shown in Fig. 1(b). It is designed for a </w:t>
      </w:r>
      <w:r>
        <w:rPr>
          <w:lang w:eastAsia="zh-CN"/>
        </w:rPr>
        <w:t>silicon-on-insulator (</w:t>
      </w:r>
      <w:r w:rsidRPr="0061458C">
        <w:rPr>
          <w:lang w:eastAsia="zh-CN"/>
        </w:rPr>
        <w:t>SOI</w:t>
      </w:r>
      <w:r>
        <w:rPr>
          <w:lang w:eastAsia="zh-CN"/>
        </w:rPr>
        <w:t>)</w:t>
      </w:r>
      <w:r w:rsidRPr="0061458C">
        <w:rPr>
          <w:lang w:eastAsia="zh-CN"/>
        </w:rPr>
        <w:t xml:space="preserve"> wafer with a 340nm-thick top silicon layer and a 2µm-thick buried oxide layer. The gratings are designed to be central symmetric as shown in Fig .1(b), containing 20 grating cells in which 10 cells with SWGs</w:t>
      </w:r>
      <w:r w:rsidR="00100754">
        <w:rPr>
          <w:lang w:eastAsia="zh-CN"/>
        </w:rPr>
        <w:t xml:space="preserve"> are located at both ends. T</w:t>
      </w:r>
      <w:r w:rsidRPr="0061458C">
        <w:rPr>
          <w:lang w:eastAsia="zh-CN"/>
        </w:rPr>
        <w:t>he SWG</w:t>
      </w:r>
      <w:r w:rsidRPr="0061458C">
        <w:rPr>
          <w:rFonts w:hint="eastAsia"/>
          <w:lang w:eastAsia="zh-CN"/>
        </w:rPr>
        <w:t>s</w:t>
      </w:r>
      <w:r w:rsidRPr="0061458C">
        <w:rPr>
          <w:lang w:eastAsia="zh-CN"/>
        </w:rPr>
        <w:t xml:space="preserve"> and the grating slits are designed to share the same etching depth. With constant grating period (Λ</w:t>
      </w:r>
      <w:r w:rsidRPr="00E05897">
        <w:rPr>
          <w:vertAlign w:val="subscript"/>
          <w:lang w:eastAsia="zh-CN"/>
        </w:rPr>
        <w:t>SWG</w:t>
      </w:r>
      <w:r w:rsidRPr="0061458C">
        <w:rPr>
          <w:lang w:eastAsia="zh-CN"/>
        </w:rPr>
        <w:t>) and filling factor (FF</w:t>
      </w:r>
      <w:r w:rsidRPr="00E05897">
        <w:rPr>
          <w:vertAlign w:val="subscript"/>
          <w:lang w:eastAsia="zh-CN"/>
        </w:rPr>
        <w:t>SWG</w:t>
      </w:r>
      <w:r w:rsidRPr="0061458C">
        <w:rPr>
          <w:lang w:eastAsia="zh-CN"/>
        </w:rPr>
        <w:t xml:space="preserve">), subwavelength </w:t>
      </w:r>
      <w:r w:rsidRPr="00184BD5">
        <w:rPr>
          <w:lang w:eastAsia="zh-CN"/>
        </w:rPr>
        <w:t>gratings are</w:t>
      </w:r>
      <w:r>
        <w:rPr>
          <w:lang w:eastAsia="zh-CN"/>
        </w:rPr>
        <w:t xml:space="preserve"> </w:t>
      </w:r>
      <w:r w:rsidRPr="00184BD5">
        <w:rPr>
          <w:lang w:eastAsia="zh-CN"/>
        </w:rPr>
        <w:t>utilized</w:t>
      </w:r>
      <w:r>
        <w:rPr>
          <w:lang w:eastAsia="zh-CN"/>
        </w:rPr>
        <w:t xml:space="preserve"> </w:t>
      </w:r>
      <w:r w:rsidRPr="00184BD5">
        <w:rPr>
          <w:lang w:eastAsia="zh-CN"/>
        </w:rPr>
        <w:t>to further enhance the CE,</w:t>
      </w:r>
      <w:r>
        <w:rPr>
          <w:lang w:eastAsia="zh-CN"/>
        </w:rPr>
        <w:t xml:space="preserve"> </w:t>
      </w:r>
      <w:r w:rsidRPr="00184BD5">
        <w:rPr>
          <w:lang w:eastAsia="zh-CN"/>
        </w:rPr>
        <w:t>reduce the waveguide back-reflection</w:t>
      </w:r>
      <w:r>
        <w:rPr>
          <w:lang w:eastAsia="zh-CN"/>
        </w:rPr>
        <w:t xml:space="preserve"> </w:t>
      </w:r>
      <w:r w:rsidRPr="00D16C1B">
        <w:rPr>
          <w:lang w:eastAsia="zh-CN"/>
        </w:rPr>
        <w:t>and ensure a minimum feature size beyond 100nm. Because of the symmetry, only 10 grating cells need to be designed. From the view of chip-to-</w:t>
      </w:r>
      <w:proofErr w:type="spellStart"/>
      <w:r w:rsidRPr="00D16C1B">
        <w:rPr>
          <w:lang w:eastAsia="zh-CN"/>
        </w:rPr>
        <w:t>fibre</w:t>
      </w:r>
      <w:proofErr w:type="spellEnd"/>
      <w:r w:rsidRPr="00D16C1B">
        <w:rPr>
          <w:lang w:eastAsia="zh-CN"/>
        </w:rPr>
        <w:t xml:space="preserve"> coupling, </w:t>
      </w:r>
      <w:proofErr w:type="spellStart"/>
      <w:r w:rsidRPr="00D16C1B">
        <w:rPr>
          <w:lang w:eastAsia="zh-CN"/>
        </w:rPr>
        <w:t>fibr</w:t>
      </w:r>
      <w:r>
        <w:rPr>
          <w:lang w:eastAsia="zh-CN"/>
        </w:rPr>
        <w:t>e</w:t>
      </w:r>
      <w:proofErr w:type="spellEnd"/>
      <w:r w:rsidRPr="00D16C1B">
        <w:rPr>
          <w:lang w:eastAsia="zh-CN"/>
        </w:rPr>
        <w:t xml:space="preserve">-chip CE can be expressed as </w:t>
      </w:r>
      <w:r>
        <w:t xml:space="preserve">                                              </w:t>
      </w:r>
    </w:p>
    <w:p w:rsidR="00514255" w:rsidRDefault="00514255" w:rsidP="00514255">
      <w:pPr>
        <w:pStyle w:val="OSABodyIndent"/>
      </w:pPr>
      <w:r>
        <w:t xml:space="preserve">                                              </w:t>
      </w:r>
      <m:oMath>
        <m:r>
          <w:rPr>
            <w:rFonts w:ascii="Cambria Math" w:hAnsi="Cambria Math"/>
          </w:rPr>
          <m:t>CE=</m:t>
        </m:r>
        <m:d>
          <m:dPr>
            <m:ctrlPr>
              <w:rPr>
                <w:rFonts w:ascii="Cambria Math" w:hAnsi="Cambria Math"/>
                <w:i/>
              </w:rPr>
            </m:ctrlPr>
          </m:dPr>
          <m:e>
            <m:r>
              <w:rPr>
                <w:rFonts w:ascii="Cambria Math" w:hAnsi="Cambria Math"/>
              </w:rPr>
              <m:t>1-ρ</m:t>
            </m:r>
          </m:e>
        </m:d>
        <m:r>
          <w:rPr>
            <w:rFonts w:ascii="Cambria Math" w:hAnsi="Cambria Math"/>
          </w:rPr>
          <m:t>∙Γ∙</m:t>
        </m:r>
      </m:oMath>
      <w:r w:rsidRPr="004347F2">
        <w:rPr>
          <w:i/>
        </w:rPr>
        <w:t>η</w:t>
      </w:r>
      <w:r>
        <w:rPr>
          <w:i/>
        </w:rPr>
        <w:t>.</w:t>
      </w:r>
      <w:r>
        <w:t xml:space="preserve">                                              (1)</w:t>
      </w:r>
    </w:p>
    <w:p w:rsidR="00514255" w:rsidRDefault="00514255" w:rsidP="00514255">
      <w:pPr>
        <w:pStyle w:val="OSABodyIndent"/>
        <w:ind w:firstLine="0"/>
      </w:pPr>
      <w:r w:rsidRPr="00E05897">
        <w:rPr>
          <w:szCs w:val="19"/>
          <w:lang w:eastAsia="zh-CN"/>
        </w:rPr>
        <w:t xml:space="preserve">The factor (1 - ρ) represents the retained optical power injected into the grating region after the reflection at the wavelength/grating </w:t>
      </w:r>
      <w:r w:rsidRPr="00E05897">
        <w:rPr>
          <w:rFonts w:hint="eastAsia"/>
          <w:szCs w:val="19"/>
          <w:lang w:eastAsia="zh-CN"/>
        </w:rPr>
        <w:t>interface</w:t>
      </w:r>
      <w:r w:rsidRPr="00E05897">
        <w:rPr>
          <w:szCs w:val="19"/>
          <w:lang w:eastAsia="zh-CN"/>
        </w:rPr>
        <w:t xml:space="preserve"> (ρ).   Γ is the grating directionality defined as the upward</w:t>
      </w:r>
      <w:r>
        <w:rPr>
          <w:szCs w:val="19"/>
          <w:lang w:eastAsia="zh-CN"/>
        </w:rPr>
        <w:t xml:space="preserve"> </w:t>
      </w:r>
      <w:r w:rsidRPr="00E05897">
        <w:rPr>
          <w:szCs w:val="19"/>
          <w:lang w:eastAsia="zh-CN"/>
        </w:rPr>
        <w:lastRenderedPageBreak/>
        <w:t xml:space="preserve">diffraction </w:t>
      </w:r>
      <w:r>
        <w:t xml:space="preserve">power divided by the total grating radiation power. </w:t>
      </w:r>
      <w:r>
        <w:rPr>
          <w:i/>
        </w:rPr>
        <w:t xml:space="preserve">η </w:t>
      </w:r>
      <w:r>
        <w:t xml:space="preserve">corresponds to the mode matching efficiency between the grating diffraction mode and </w:t>
      </w:r>
      <w:proofErr w:type="spellStart"/>
      <w:r>
        <w:t>fibre</w:t>
      </w:r>
      <w:proofErr w:type="spellEnd"/>
      <w:r>
        <w:t xml:space="preserve"> mode. For </w:t>
      </w:r>
      <w:proofErr w:type="spellStart"/>
      <w:r>
        <w:t>fibre</w:t>
      </w:r>
      <w:proofErr w:type="spellEnd"/>
      <w:r>
        <w:t xml:space="preserve">-to-chip coupling, the CE for </w:t>
      </w:r>
      <w:r>
        <w:rPr>
          <w:lang w:eastAsia="zh-CN"/>
        </w:rPr>
        <w:t>perfectly vertical</w:t>
      </w:r>
      <w:r w:rsidDel="009F2BB1">
        <w:t xml:space="preserve"> </w:t>
      </w:r>
      <w:r>
        <w:t>GCs can be simplified as</w:t>
      </w:r>
    </w:p>
    <w:p w:rsidR="00514255" w:rsidRDefault="00514255" w:rsidP="00514255">
      <w:pPr>
        <w:pStyle w:val="OSABodyIndent"/>
      </w:pPr>
      <w:r w:rsidRPr="00C173AB">
        <w:t xml:space="preserve">                                </w:t>
      </w:r>
      <m:oMath>
        <m:r>
          <w:rPr>
            <w:rFonts w:ascii="Cambria Math" w:hAnsi="Cambria Math"/>
          </w:rPr>
          <m:t>CE=(1-R-T)∙γ(T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oMath>
      <w:r w:rsidRPr="00C173AB">
        <w:t>.</w:t>
      </w:r>
      <w:r>
        <w:t xml:space="preserve">                                         (2)</w:t>
      </w:r>
    </w:p>
    <w:p w:rsidR="00514255" w:rsidRDefault="00514255" w:rsidP="00514255">
      <w:pPr>
        <w:pStyle w:val="OSABodyIndent"/>
        <w:ind w:firstLine="0"/>
      </w:pPr>
      <w:r w:rsidRPr="0078240E">
        <w:rPr>
          <w:i/>
        </w:rPr>
        <w:t xml:space="preserve">R </w:t>
      </w:r>
      <w:r w:rsidRPr="0078240E">
        <w:t>stands for the</w:t>
      </w:r>
      <w:r>
        <w:rPr>
          <w:i/>
        </w:rPr>
        <w:t xml:space="preserve"> </w:t>
      </w:r>
      <w:r>
        <w:t xml:space="preserve">upward reflection power with vertical incidence. </w:t>
      </w:r>
      <w:r w:rsidRPr="0078240E">
        <w:rPr>
          <w:i/>
        </w:rPr>
        <w:t>T</w:t>
      </w:r>
      <w:r>
        <w:rPr>
          <w:i/>
        </w:rPr>
        <w:t xml:space="preserve"> </w:t>
      </w:r>
      <w:r w:rsidRPr="0078240E">
        <w:t>represents the</w:t>
      </w:r>
      <w:r w:rsidRPr="0078240E">
        <w:rPr>
          <w:i/>
        </w:rPr>
        <w:t xml:space="preserve"> </w:t>
      </w:r>
      <w:r>
        <w:t xml:space="preserve">optical power transmitted towards the silicon substrate, referred as substrate leakage. </w:t>
      </w:r>
      <w:r w:rsidRPr="00C173AB">
        <w:rPr>
          <w:color w:val="000000" w:themeColor="text1"/>
        </w:rPr>
        <w:t>γ(TE</w:t>
      </w:r>
      <w:r w:rsidRPr="00C173AB">
        <w:rPr>
          <w:color w:val="000000" w:themeColor="text1"/>
          <w:vertAlign w:val="subscript"/>
        </w:rPr>
        <w:t>0</w:t>
      </w:r>
      <w:r w:rsidRPr="00C173AB">
        <w:rPr>
          <w:color w:val="000000" w:themeColor="text1"/>
        </w:rPr>
        <w:t xml:space="preserve">) is defined as the ratio of the optical power coupled to the fundamental TE mode over the total coupled power into the waveguide. </w:t>
      </w:r>
      <w:r>
        <w:t>Give</w:t>
      </w:r>
      <w:r w:rsidR="00AC4A17">
        <w:t>n the input-output reciprocity</w:t>
      </w:r>
      <w:r>
        <w:t xml:space="preserve">, both the upward reflection and the substrate leakage are functions of </w:t>
      </w:r>
      <w:r w:rsidRPr="00FD3F28">
        <w:rPr>
          <w:i/>
        </w:rPr>
        <w:t>Γ</w:t>
      </w:r>
      <w:r>
        <w:t xml:space="preserve"> and </w:t>
      </w:r>
      <w:r w:rsidRPr="00FD3F28">
        <w:rPr>
          <w:i/>
        </w:rPr>
        <w:t>η</w:t>
      </w:r>
      <w:r>
        <w:t xml:space="preserve">. The two optical losses can be substantially reduced by improving the directionality and mode matching. </w:t>
      </w:r>
    </w:p>
    <w:p w:rsidR="00514255" w:rsidRPr="00333C13" w:rsidRDefault="00514255" w:rsidP="00514255">
      <w:pPr>
        <w:pStyle w:val="OSAFigureCaption"/>
        <w:rPr>
          <w:lang w:val="en-GB"/>
        </w:rPr>
      </w:pPr>
      <w:r>
        <w:rPr>
          <w:noProof/>
          <w:lang w:val="en-GB" w:eastAsia="zh-CN"/>
        </w:rPr>
        <w:drawing>
          <wp:inline distT="0" distB="0" distL="0" distR="0" wp14:anchorId="51385232" wp14:editId="78B616E9">
            <wp:extent cx="3023616" cy="126644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616" cy="1266444"/>
                    </a:xfrm>
                    <a:prstGeom prst="rect">
                      <a:avLst/>
                    </a:prstGeom>
                  </pic:spPr>
                </pic:pic>
              </a:graphicData>
            </a:graphic>
          </wp:inline>
        </w:drawing>
      </w:r>
    </w:p>
    <w:p w:rsidR="00514255" w:rsidRDefault="00514255" w:rsidP="00514255">
      <w:pPr>
        <w:pStyle w:val="OSAFigureCaption"/>
      </w:pPr>
      <w:r w:rsidRPr="001B74F2">
        <w:t xml:space="preserve">Fig. 1.  </w:t>
      </w:r>
      <w:r>
        <w:t xml:space="preserve">(a) Schematic diagram of the integration of the proposed GC and a VCSEL light source. (b) The structural view of the proposed </w:t>
      </w:r>
      <w:proofErr w:type="spellStart"/>
      <w:r>
        <w:t>apodized</w:t>
      </w:r>
      <w:proofErr w:type="spellEnd"/>
      <w:r>
        <w:t xml:space="preserve"> bidirectional GC (ABGC) with subwavelength grating sections.    </w:t>
      </w:r>
    </w:p>
    <w:p w:rsidR="00514255" w:rsidRPr="004A3799" w:rsidRDefault="00514255" w:rsidP="00514255">
      <w:pPr>
        <w:pStyle w:val="OSABodyIndent"/>
      </w:pPr>
      <w:r>
        <w:t xml:space="preserve"> To choose the optimal etch depth, the grating directionality </w:t>
      </w:r>
      <w:r w:rsidRPr="00FD3F28">
        <w:rPr>
          <w:i/>
        </w:rPr>
        <w:t>Γ</w:t>
      </w:r>
      <w:r>
        <w:t xml:space="preserve"> and the grating coupling strength </w:t>
      </w:r>
      <w:r w:rsidRPr="00F547B7">
        <w:rPr>
          <w:i/>
        </w:rPr>
        <w:t>α</w:t>
      </w:r>
      <w:r>
        <w:t xml:space="preserve"> are calculated as a function of grating filling factor (defined as </w:t>
      </w:r>
      <w:r w:rsidRPr="00F547B7">
        <w:rPr>
          <w:i/>
        </w:rPr>
        <w:t>W</w:t>
      </w:r>
      <w:r>
        <w:t>/</w:t>
      </w:r>
      <w:r w:rsidRPr="00F547B7">
        <w:rPr>
          <w:i/>
        </w:rPr>
        <w:t>Λ</w:t>
      </w:r>
      <w:r w:rsidRPr="00D7571E">
        <w:t>,</w:t>
      </w:r>
      <w:r>
        <w:t xml:space="preserve"> where W is the grating teeth width) and etch depth. The simulation results are shown in Fig. 2(a) and Fig. 2(b). As observed, </w:t>
      </w:r>
      <w:r w:rsidRPr="00FD3F28">
        <w:rPr>
          <w:i/>
        </w:rPr>
        <w:t>Γ</w:t>
      </w:r>
      <w:r>
        <w:t xml:space="preserve"> </w:t>
      </w:r>
      <w:r w:rsidRPr="00423FB4">
        <w:t xml:space="preserve">and </w:t>
      </w:r>
      <w:r w:rsidRPr="00F547B7">
        <w:rPr>
          <w:i/>
        </w:rPr>
        <w:t>α</w:t>
      </w:r>
      <w:r>
        <w:t xml:space="preserve"> are both higher with a larger grating etch depth. Normally, a higher value of </w:t>
      </w:r>
      <w:r w:rsidRPr="00FD3F28">
        <w:rPr>
          <w:i/>
        </w:rPr>
        <w:t>Γ</w:t>
      </w:r>
      <w:r>
        <w:t xml:space="preserve"> and maximum coupling strength </w:t>
      </w:r>
      <w:r w:rsidRPr="002E1CD1">
        <w:rPr>
          <w:i/>
        </w:rPr>
        <w:t>α</w:t>
      </w:r>
      <w:r>
        <w:t xml:space="preserve"> are preferred. However, other design trade-offs need to be considered.  When the grating etch depth is 190nm, grating</w:t>
      </w:r>
      <w:r>
        <w:rPr>
          <w:rFonts w:hint="eastAsia"/>
        </w:rPr>
        <w:t xml:space="preserve"> cells</w:t>
      </w:r>
      <w:r>
        <w:t xml:space="preserve"> with smaller filling factor would be chosen for a fixed coupling strength distribution from each grating pitch and thus this decreases the grating directionality and minimum feature size. According to our simulations, an etch depth of 170nm is chosen to balance both the device performance and fabrication tolerance.</w:t>
      </w:r>
      <w:r>
        <w:rPr>
          <w:rFonts w:hint="eastAsia"/>
        </w:rPr>
        <w:t xml:space="preserve">  </w:t>
      </w:r>
    </w:p>
    <w:p w:rsidR="00514255" w:rsidRDefault="00514255" w:rsidP="00514255">
      <w:pPr>
        <w:pStyle w:val="OSABody"/>
        <w:ind w:firstLineChars="100" w:firstLine="182"/>
        <w:rPr>
          <w:lang w:eastAsia="zh-CN"/>
        </w:rPr>
      </w:pPr>
      <w:r>
        <w:t xml:space="preserve">In order to improve the mode matching efficiency, a Gaussian output field profile with 10.4µm beam diameter needs to be obtained by grating apodization. Meanwhile, it is optimal to obtain a diffracted Gaussian beam with radiation center positioned at the center of the gratings. The distribution of the coupling strength </w:t>
      </w:r>
      <w:r w:rsidRPr="004A2D4C">
        <w:rPr>
          <w:i/>
        </w:rPr>
        <w:t>α(x)</w:t>
      </w:r>
      <w:r>
        <w:t xml:space="preserve"> should satisfy</w:t>
      </w:r>
      <w:r>
        <w:rPr>
          <w:lang w:eastAsia="zh-CN"/>
        </w:rPr>
        <w:t xml:space="preserve">                </w:t>
      </w:r>
    </w:p>
    <w:p w:rsidR="00514255" w:rsidRDefault="00514255" w:rsidP="00514255">
      <w:pPr>
        <w:pStyle w:val="OSABody"/>
        <w:ind w:firstLine="135"/>
        <w:rPr>
          <w:lang w:val="en-GB" w:eastAsia="zh-CN"/>
        </w:rPr>
      </w:pPr>
      <w:r>
        <w:rPr>
          <w:lang w:eastAsia="zh-CN"/>
        </w:rPr>
        <w:t xml:space="preserve">                 </w:t>
      </w:r>
      <m:oMath>
        <m:r>
          <w:rPr>
            <w:rFonts w:ascii="Cambria Math" w:hAnsi="Cambria Math"/>
            <w:lang w:eastAsia="zh-CN"/>
          </w:rPr>
          <m:t>α</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f>
          <m:fPr>
            <m:type m:val="lin"/>
            <m:ctrlPr>
              <w:rPr>
                <w:rFonts w:ascii="Cambria Math" w:hAnsi="Cambria Math"/>
                <w:i/>
                <w:lang w:eastAsia="zh-CN"/>
              </w:rPr>
            </m:ctrlPr>
          </m:fPr>
          <m:num>
            <m:sSup>
              <m:sSupPr>
                <m:ctrlPr>
                  <w:rPr>
                    <w:rFonts w:ascii="Cambria Math" w:hAnsi="Cambria Math"/>
                    <w:i/>
                    <w:lang w:val="en-GB" w:eastAsia="zh-CN"/>
                  </w:rPr>
                </m:ctrlPr>
              </m:sSupPr>
              <m:e>
                <m:r>
                  <w:rPr>
                    <w:rFonts w:ascii="Cambria Math" w:hAnsi="Cambria Math"/>
                    <w:lang w:eastAsia="zh-CN"/>
                  </w:rPr>
                  <m:t>G</m:t>
                </m:r>
                <m:ctrlPr>
                  <w:rPr>
                    <w:rFonts w:ascii="Cambria Math" w:hAnsi="Cambria Math"/>
                    <w:i/>
                    <w:lang w:eastAsia="zh-CN"/>
                  </w:rPr>
                </m:ctrlPr>
              </m:e>
              <m:sup>
                <m:r>
                  <w:rPr>
                    <w:rFonts w:ascii="Cambria Math" w:hAnsi="Cambria Math"/>
                    <w:lang w:eastAsia="zh-CN"/>
                  </w:rPr>
                  <m:t>2</m:t>
                </m:r>
              </m:sup>
            </m:sSup>
            <m:r>
              <w:rPr>
                <w:rFonts w:ascii="Cambria Math" w:hAnsi="Cambria Math"/>
                <w:lang w:eastAsia="zh-CN"/>
              </w:rPr>
              <m:t>(x)</m:t>
            </m:r>
          </m:num>
          <m:den>
            <m:r>
              <w:rPr>
                <w:rFonts w:ascii="Cambria Math" w:hAnsi="Cambria Math"/>
                <w:lang w:eastAsia="zh-CN"/>
              </w:rPr>
              <m:t>2</m:t>
            </m:r>
            <m:d>
              <m:dPr>
                <m:ctrlPr>
                  <w:rPr>
                    <w:rFonts w:ascii="Cambria Math" w:eastAsia="Malgun Gothic" w:hAnsi="Cambria Math"/>
                    <w:i/>
                    <w:lang w:eastAsia="zh-CN"/>
                  </w:rPr>
                </m:ctrlPr>
              </m:dPr>
              <m:e>
                <m:r>
                  <w:rPr>
                    <w:rFonts w:ascii="Cambria Math" w:hAnsi="Cambria Math"/>
                    <w:lang w:eastAsia="zh-CN"/>
                  </w:rPr>
                  <m:t>1-</m:t>
                </m:r>
                <m:nary>
                  <m:naryPr>
                    <m:limLoc m:val="undOvr"/>
                    <m:ctrlPr>
                      <w:rPr>
                        <w:rFonts w:ascii="Cambria Math" w:eastAsia="Malgun Gothic" w:hAnsi="Cambria Math"/>
                        <w:i/>
                        <w:lang w:eastAsia="zh-CN"/>
                      </w:rPr>
                    </m:ctrlPr>
                  </m:naryPr>
                  <m:sub>
                    <m:r>
                      <w:rPr>
                        <w:rFonts w:ascii="Cambria Math" w:hAnsi="Cambria Math"/>
                        <w:lang w:eastAsia="zh-CN"/>
                      </w:rPr>
                      <m:t>0</m:t>
                    </m:r>
                  </m:sub>
                  <m:sup>
                    <m:r>
                      <w:rPr>
                        <w:rFonts w:ascii="Cambria Math" w:hAnsi="Cambria Math"/>
                        <w:lang w:eastAsia="zh-CN"/>
                      </w:rPr>
                      <m:t>x</m:t>
                    </m:r>
                  </m:sup>
                  <m:e>
                    <m:sSup>
                      <m:sSupPr>
                        <m:ctrlPr>
                          <w:rPr>
                            <w:rFonts w:ascii="Cambria Math" w:hAnsi="Cambria Math"/>
                            <w:i/>
                            <w:lang w:val="en-GB" w:eastAsia="zh-CN"/>
                          </w:rPr>
                        </m:ctrlPr>
                      </m:sSupPr>
                      <m:e>
                        <m:r>
                          <w:rPr>
                            <w:rFonts w:ascii="Cambria Math" w:hAnsi="Cambria Math"/>
                            <w:lang w:eastAsia="zh-CN"/>
                          </w:rPr>
                          <m:t>G</m:t>
                        </m:r>
                        <m:ctrlPr>
                          <w:rPr>
                            <w:rFonts w:ascii="Cambria Math" w:hAnsi="Cambria Math"/>
                            <w:i/>
                            <w:lang w:eastAsia="zh-CN"/>
                          </w:rPr>
                        </m:ctrlPr>
                      </m:e>
                      <m:sup>
                        <m:r>
                          <w:rPr>
                            <w:rFonts w:ascii="Cambria Math" w:hAnsi="Cambria Math"/>
                            <w:lang w:eastAsia="zh-CN"/>
                          </w:rPr>
                          <m:t>2</m:t>
                        </m:r>
                      </m:sup>
                    </m:sSup>
                    <m:r>
                      <w:rPr>
                        <w:rFonts w:ascii="Cambria Math" w:hAnsi="Cambria Math"/>
                        <w:lang w:eastAsia="zh-CN"/>
                      </w:rPr>
                      <m:t>(t)dt</m:t>
                    </m:r>
                  </m:e>
                </m:nary>
              </m:e>
            </m:d>
          </m:den>
        </m:f>
        <m:r>
          <w:rPr>
            <w:rFonts w:ascii="Cambria Math" w:hAnsi="Cambria Math"/>
            <w:lang w:eastAsia="zh-CN"/>
          </w:rPr>
          <m:t>.</m:t>
        </m:r>
      </m:oMath>
      <w:r>
        <w:rPr>
          <w:lang w:eastAsia="zh-CN"/>
        </w:rPr>
        <w:t xml:space="preserve">                                    </w:t>
      </w:r>
      <w:r>
        <w:rPr>
          <w:lang w:val="en-GB" w:eastAsia="zh-CN"/>
        </w:rPr>
        <w:t>(3)</w:t>
      </w:r>
    </w:p>
    <w:p w:rsidR="00AC4A17" w:rsidRDefault="00514255" w:rsidP="00514255">
      <w:pPr>
        <w:pStyle w:val="OSABody"/>
        <w:rPr>
          <w:lang w:eastAsia="zh-CN"/>
        </w:rPr>
      </w:pPr>
      <w:r>
        <w:rPr>
          <w:lang w:eastAsia="zh-CN"/>
        </w:rPr>
        <w:t>The calculated results are plotted in</w:t>
      </w:r>
      <w:r w:rsidRPr="004A206B">
        <w:rPr>
          <w:lang w:eastAsia="zh-CN"/>
        </w:rPr>
        <w:t xml:space="preserve"> </w:t>
      </w:r>
      <w:r>
        <w:rPr>
          <w:lang w:eastAsia="zh-CN"/>
        </w:rPr>
        <w:t xml:space="preserve">Fig. 3(a). It should be noted that the </w:t>
      </w:r>
      <w:r>
        <w:rPr>
          <w:rFonts w:hint="eastAsia"/>
          <w:lang w:eastAsia="zh-CN"/>
        </w:rPr>
        <w:t>lower</w:t>
      </w:r>
      <w:r>
        <w:rPr>
          <w:lang w:eastAsia="zh-CN"/>
        </w:rPr>
        <w:t xml:space="preserve"> bound of the integral ‘0’ represents the starting point of the grating radiation and is not coincide with the </w:t>
      </w:r>
      <w:proofErr w:type="gramStart"/>
      <w:r>
        <w:rPr>
          <w:lang w:eastAsia="zh-CN"/>
        </w:rPr>
        <w:t>zero point</w:t>
      </w:r>
      <w:proofErr w:type="gramEnd"/>
      <w:r>
        <w:rPr>
          <w:lang w:eastAsia="zh-CN"/>
        </w:rPr>
        <w:t xml:space="preserve"> defined at the grating center. For simplification, the grating length ranges from -6</w:t>
      </w:r>
      <w:r w:rsidRPr="00CC7C97">
        <w:t xml:space="preserve"> </w:t>
      </w:r>
      <w:r>
        <w:t>µm</w:t>
      </w:r>
      <w:r>
        <w:rPr>
          <w:lang w:eastAsia="zh-CN"/>
        </w:rPr>
        <w:t xml:space="preserve"> to 6</w:t>
      </w:r>
      <w:r w:rsidRPr="00CC7C97">
        <w:t xml:space="preserve"> </w:t>
      </w:r>
      <w:r>
        <w:t>µm in our calculations.</w:t>
      </w:r>
      <w:r>
        <w:rPr>
          <w:lang w:eastAsia="zh-CN"/>
        </w:rPr>
        <w:t xml:space="preserve"> It is observed that </w:t>
      </w:r>
      <w:r w:rsidRPr="004A2D4C">
        <w:rPr>
          <w:i/>
        </w:rPr>
        <w:t>α(x)</w:t>
      </w:r>
      <w:r>
        <w:t xml:space="preserve"> </w:t>
      </w:r>
      <w:r>
        <w:rPr>
          <w:lang w:eastAsia="zh-CN"/>
        </w:rPr>
        <w:t>is far off symmetry with the grating center. This means a symmetric grating structure (</w:t>
      </w:r>
      <m:oMath>
        <m:r>
          <w:rPr>
            <w:rFonts w:ascii="Cambria Math" w:hAnsi="Cambria Math"/>
            <w:lang w:eastAsia="zh-CN"/>
          </w:rPr>
          <m:t>α</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=α</m:t>
        </m:r>
        <m:d>
          <m:dPr>
            <m:ctrlPr>
              <w:rPr>
                <w:rFonts w:ascii="Cambria Math" w:hAnsi="Cambria Math"/>
                <w:i/>
                <w:lang w:eastAsia="zh-CN"/>
              </w:rPr>
            </m:ctrlPr>
          </m:dPr>
          <m:e>
            <m:r>
              <w:rPr>
                <w:rFonts w:ascii="Cambria Math" w:hAnsi="Cambria Math"/>
                <w:lang w:eastAsia="zh-CN"/>
              </w:rPr>
              <m:t>-x</m:t>
            </m:r>
          </m:e>
        </m:d>
      </m:oMath>
      <w:r>
        <w:rPr>
          <w:lang w:eastAsia="zh-CN"/>
        </w:rPr>
        <w:t xml:space="preserve">) can never produce a perfect Gaussian radiation mode with a unidirectional coupling scheme, especially with the radiation center right in the grating center. Fig. 3(b) shows the calculated </w:t>
      </w:r>
      <w:r w:rsidRPr="004A2D4C">
        <w:rPr>
          <w:i/>
        </w:rPr>
        <w:t>α(x)</w:t>
      </w:r>
      <w:r>
        <w:rPr>
          <w:lang w:eastAsia="zh-CN"/>
        </w:rPr>
        <w:t xml:space="preserve"> corresponding to different grating radiation centers. Clearly, </w:t>
      </w:r>
      <w:r w:rsidRPr="004A2D4C">
        <w:rPr>
          <w:i/>
        </w:rPr>
        <w:t>α(x)</w:t>
      </w:r>
      <w:r>
        <w:rPr>
          <w:lang w:eastAsia="zh-CN"/>
        </w:rPr>
        <w:t xml:space="preserve"> can be tuned to approach symmetry when the radiation center is moved towards the starting point. This</w:t>
      </w:r>
    </w:p>
    <w:p w:rsidR="00514255" w:rsidRDefault="00514255" w:rsidP="00514255">
      <w:pPr>
        <w:pStyle w:val="OSABody"/>
        <w:rPr>
          <w:lang w:eastAsia="zh-CN"/>
        </w:rPr>
      </w:pPr>
      <w:r>
        <w:rPr>
          <w:lang w:eastAsia="zh-CN"/>
        </w:rPr>
        <w:t xml:space="preserve">means a Gaussian-like optical beam can be obtained with a symmetric grating structure. </w:t>
      </w:r>
    </w:p>
    <w:p w:rsidR="00514255" w:rsidRDefault="00514255" w:rsidP="00514255">
      <w:pPr>
        <w:keepNext/>
        <w:spacing w:before="120" w:after="120"/>
        <w:jc w:val="both"/>
      </w:pPr>
      <w:r>
        <w:rPr>
          <w:rFonts w:ascii="Cambria" w:hAnsi="Cambria"/>
          <w:color w:val="00B0F0"/>
          <w:spacing w:val="-8"/>
          <w:sz w:val="19"/>
          <w:lang w:eastAsia="zh-CN"/>
        </w:rPr>
        <w:t xml:space="preserve">     </w:t>
      </w:r>
      <w:r>
        <w:rPr>
          <w:rFonts w:ascii="Cambria" w:hAnsi="Cambria"/>
          <w:noProof/>
          <w:color w:val="00B0F0"/>
          <w:spacing w:val="-8"/>
          <w:sz w:val="19"/>
          <w:lang w:val="en-GB" w:eastAsia="zh-CN"/>
        </w:rPr>
        <w:drawing>
          <wp:inline distT="0" distB="0" distL="0" distR="0" wp14:anchorId="27070F6E" wp14:editId="54E7A98E">
            <wp:extent cx="2762250" cy="168957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537" cy="1695256"/>
                    </a:xfrm>
                    <a:prstGeom prst="rect">
                      <a:avLst/>
                    </a:prstGeom>
                  </pic:spPr>
                </pic:pic>
              </a:graphicData>
            </a:graphic>
          </wp:inline>
        </w:drawing>
      </w:r>
      <w:r>
        <w:rPr>
          <w:rFonts w:ascii="Cambria" w:hAnsi="Cambria"/>
          <w:color w:val="00B0F0"/>
          <w:spacing w:val="-8"/>
          <w:sz w:val="19"/>
          <w:lang w:eastAsia="zh-CN"/>
        </w:rPr>
        <w:t xml:space="preserve">    </w:t>
      </w:r>
    </w:p>
    <w:p w:rsidR="00514255" w:rsidRDefault="00514255" w:rsidP="00514255">
      <w:pPr>
        <w:pStyle w:val="OSAFigureCaption"/>
      </w:pPr>
      <w:r w:rsidRPr="001B74F2">
        <w:t xml:space="preserve">Fig. </w:t>
      </w:r>
      <w:r>
        <w:rPr>
          <w:rFonts w:hint="eastAsia"/>
          <w:lang w:eastAsia="zh-CN"/>
        </w:rPr>
        <w:t>2</w:t>
      </w:r>
      <w:r w:rsidRPr="001B74F2">
        <w:t xml:space="preserve">.  </w:t>
      </w:r>
      <w:r>
        <w:t>(a) The calculated grating directionality as a function of grating filling factor and etch depth.  (b) The calculated grating coupling strength as a function of grating filling factor and etch depth.</w:t>
      </w:r>
      <w:r>
        <w:rPr>
          <w:lang w:eastAsia="zh-CN"/>
        </w:rPr>
        <w:t xml:space="preserve">        </w:t>
      </w:r>
    </w:p>
    <w:p w:rsidR="00514255" w:rsidRPr="00B865F4" w:rsidRDefault="00514255" w:rsidP="00514255">
      <w:pPr>
        <w:pStyle w:val="OSABody"/>
        <w:rPr>
          <w:lang w:val="en-GB" w:eastAsia="zh-CN"/>
        </w:rPr>
      </w:pPr>
      <w:r>
        <w:rPr>
          <w:lang w:val="en-GB" w:eastAsia="zh-CN"/>
        </w:rPr>
        <w:t xml:space="preserve">        </w:t>
      </w:r>
      <w:r>
        <w:rPr>
          <w:noProof/>
          <w:lang w:val="en-GB" w:eastAsia="zh-CN"/>
        </w:rPr>
        <w:drawing>
          <wp:inline distT="0" distB="0" distL="0" distR="0" wp14:anchorId="4EE23C4A" wp14:editId="582FB3BB">
            <wp:extent cx="2733358" cy="222774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865" cy="2236306"/>
                    </a:xfrm>
                    <a:prstGeom prst="rect">
                      <a:avLst/>
                    </a:prstGeom>
                  </pic:spPr>
                </pic:pic>
              </a:graphicData>
            </a:graphic>
          </wp:inline>
        </w:drawing>
      </w:r>
    </w:p>
    <w:p w:rsidR="00514255" w:rsidRPr="00430E94" w:rsidRDefault="00514255" w:rsidP="00514255">
      <w:pPr>
        <w:pStyle w:val="OSAFigureCaption"/>
        <w:rPr>
          <w:lang w:eastAsia="zh-CN"/>
        </w:rPr>
      </w:pPr>
      <w:r w:rsidRPr="001B74F2">
        <w:t xml:space="preserve">Fig. </w:t>
      </w:r>
      <w:r>
        <w:rPr>
          <w:rFonts w:hint="eastAsia"/>
          <w:lang w:eastAsia="zh-CN"/>
        </w:rPr>
        <w:t>3</w:t>
      </w:r>
      <w:r w:rsidRPr="001B74F2">
        <w:t xml:space="preserve">.  </w:t>
      </w:r>
      <w:r>
        <w:t xml:space="preserve">(a) Calculated grating apodization curve for a diffracted field with a radiation center (RC) </w:t>
      </w:r>
      <w:proofErr w:type="spellStart"/>
      <w:r>
        <w:t>overlaping</w:t>
      </w:r>
      <w:proofErr w:type="spellEnd"/>
      <w:r>
        <w:t xml:space="preserve"> with the grating center. (b) Calculated grating apodization variations with different RCs of diffracted fields. (c) The diffracted fields of unidirectional (Uni-</w:t>
      </w:r>
      <w:proofErr w:type="spellStart"/>
      <w:r>
        <w:t>E</w:t>
      </w:r>
      <w:r w:rsidRPr="00C06B4B">
        <w:rPr>
          <w:vertAlign w:val="subscript"/>
        </w:rPr>
        <w:t>diff</w:t>
      </w:r>
      <w:proofErr w:type="spellEnd"/>
      <w:r>
        <w:t>) and bidirectional coupling (Bi-</w:t>
      </w:r>
      <w:proofErr w:type="spellStart"/>
      <w:r>
        <w:t>E</w:t>
      </w:r>
      <w:r w:rsidRPr="00C06B4B">
        <w:rPr>
          <w:vertAlign w:val="subscript"/>
        </w:rPr>
        <w:t>diff</w:t>
      </w:r>
      <w:proofErr w:type="spellEnd"/>
      <w:r>
        <w:t xml:space="preserve">) of two different apodization designs.   </w:t>
      </w:r>
    </w:p>
    <w:p w:rsidR="00514255" w:rsidRDefault="00514255" w:rsidP="00514255">
      <w:pPr>
        <w:pStyle w:val="OSABody"/>
        <w:rPr>
          <w:lang w:eastAsia="zh-CN"/>
        </w:rPr>
      </w:pPr>
      <w:r>
        <w:rPr>
          <w:lang w:eastAsia="zh-CN"/>
        </w:rPr>
        <w:t xml:space="preserve">    For the bidirectional coupling scheme [18, 19], two grating radiation fields excited by two incident waveguide modes will produce a quasi-Gaussian mode after constructive interference. As shown in Fig. 3(c), two apodization designs are utilized for comparison of the diffraction field for both unidirectional and bidirectional coupling schemes. Design A corresponds to the filling factor of the 10 grating cells varying from 0.5 to 0.15, and Design B corresponds to a filling factor variation range from 0.33 to 0.09. The bidirectional coupling for Design A has a relatively low mode matching efficiency with the Gaussian field, but a higher CE. This can be attributed to a higher directionality compared to Design B. This indicates a design trade-off between the optimization of mode matching efficiency and directionality. </w:t>
      </w:r>
      <w:r>
        <w:t xml:space="preserve">  </w:t>
      </w:r>
    </w:p>
    <w:p w:rsidR="00514255" w:rsidRDefault="00027F48" w:rsidP="00514255">
      <w:pPr>
        <w:pStyle w:val="OSABodyIndent"/>
      </w:pPr>
      <w:r>
        <w:rPr>
          <w:lang w:eastAsia="zh-CN"/>
        </w:rPr>
        <w:t xml:space="preserve"> </w:t>
      </w:r>
      <w:r w:rsidR="00514255">
        <w:rPr>
          <w:lang w:eastAsia="zh-CN"/>
        </w:rPr>
        <w:t xml:space="preserve">Based on the above calculations, the grating period and filling factor of each grating cell are carefully designed for an optimal CE. Unfortunately, the optimized GC design has a minimum feature size </w:t>
      </w:r>
      <w:r w:rsidR="003877ED">
        <w:rPr>
          <w:lang w:eastAsia="zh-CN"/>
        </w:rPr>
        <w:t>of only 55nm</w:t>
      </w:r>
      <w:r w:rsidR="00514255">
        <w:rPr>
          <w:lang w:eastAsia="zh-CN"/>
        </w:rPr>
        <w:t>. For ease of fabrication, we set the minimum feature size to 100nm for our GC design. Subwavelength gratings are therefore employed, which can engineer the effective index of the grating segments due to its non-</w:t>
      </w:r>
      <w:r w:rsidR="00514255" w:rsidRPr="00514255">
        <w:rPr>
          <w:lang w:eastAsia="zh-CN"/>
        </w:rPr>
        <w:t xml:space="preserve"> </w:t>
      </w:r>
      <w:r w:rsidR="00514255">
        <w:rPr>
          <w:lang w:eastAsia="zh-CN"/>
        </w:rPr>
        <w:t xml:space="preserve">diffractive behavior [20]. As the </w:t>
      </w:r>
      <w:r w:rsidR="00514255">
        <w:rPr>
          <w:lang w:eastAsia="zh-CN"/>
        </w:rPr>
        <w:lastRenderedPageBreak/>
        <w:t>subwavelength gratings are designed with period of 400nm in the y-d</w:t>
      </w:r>
      <w:r w:rsidR="006639E5">
        <w:rPr>
          <w:lang w:eastAsia="zh-CN"/>
        </w:rPr>
        <w:t xml:space="preserve">irection, </w:t>
      </w:r>
      <w:r w:rsidR="00514255" w:rsidRPr="00816C2A">
        <w:rPr>
          <w:lang w:eastAsia="zh-CN"/>
        </w:rPr>
        <w:t>FF</w:t>
      </w:r>
      <w:r w:rsidR="00514255">
        <w:rPr>
          <w:vertAlign w:val="subscript"/>
          <w:lang w:eastAsia="zh-CN"/>
        </w:rPr>
        <w:t xml:space="preserve">SWG </w:t>
      </w:r>
      <w:r w:rsidR="00514255">
        <w:rPr>
          <w:lang w:eastAsia="zh-CN"/>
        </w:rPr>
        <w:t xml:space="preserve">is set as a constant of 75% for ease of design and fabrication. A second-order approximation of the EMT [5] is employed to obtain the effective refractive index of the subwavelength gratings, which was verified by 3D FDTD simulations. Thus, the GC design with subwavelength gratings can be optimized using 2-D FDTD simulations with an effective material replacing the subwavelength structure, according to the EMT. As depicted in Fig. 2(a), the grating directionality can be improved by introducing the subwavelength structure. The design parameters for both the original </w:t>
      </w:r>
      <w:proofErr w:type="spellStart"/>
      <w:r w:rsidR="00514255">
        <w:rPr>
          <w:lang w:eastAsia="zh-CN"/>
        </w:rPr>
        <w:t>apodized</w:t>
      </w:r>
      <w:proofErr w:type="spellEnd"/>
      <w:r w:rsidR="00514255">
        <w:rPr>
          <w:lang w:eastAsia="zh-CN"/>
        </w:rPr>
        <w:t xml:space="preserve"> GC (Design I) and subwavelength </w:t>
      </w:r>
      <w:proofErr w:type="spellStart"/>
      <w:r w:rsidR="00514255">
        <w:rPr>
          <w:lang w:eastAsia="zh-CN"/>
        </w:rPr>
        <w:t>apodized</w:t>
      </w:r>
      <w:proofErr w:type="spellEnd"/>
      <w:r w:rsidR="00514255">
        <w:rPr>
          <w:lang w:eastAsia="zh-CN"/>
        </w:rPr>
        <w:t xml:space="preserve"> GC (Design II) are presented in Fig. 4</w:t>
      </w:r>
      <w:r w:rsidR="00514255" w:rsidRPr="00E05897">
        <w:rPr>
          <w:lang w:eastAsia="zh-CN"/>
        </w:rPr>
        <w:t>(a)</w:t>
      </w:r>
      <w:r w:rsidR="00514255">
        <w:rPr>
          <w:lang w:eastAsia="zh-CN"/>
        </w:rPr>
        <w:t>.</w:t>
      </w:r>
      <w:r w:rsidR="00514255">
        <w:t xml:space="preserve"> </w:t>
      </w:r>
    </w:p>
    <w:p w:rsidR="00514255" w:rsidRDefault="00514255" w:rsidP="00514255">
      <w:pPr>
        <w:pStyle w:val="OSAFigureCaption"/>
      </w:pPr>
      <w:r>
        <w:rPr>
          <w:noProof/>
          <w:lang w:val="en-GB" w:eastAsia="zh-CN"/>
        </w:rPr>
        <w:drawing>
          <wp:inline distT="0" distB="0" distL="0" distR="0" wp14:anchorId="14BE7C47" wp14:editId="6AB27E17">
            <wp:extent cx="3023616" cy="1705356"/>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ne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616" cy="1705356"/>
                    </a:xfrm>
                    <a:prstGeom prst="rect">
                      <a:avLst/>
                    </a:prstGeom>
                  </pic:spPr>
                </pic:pic>
              </a:graphicData>
            </a:graphic>
          </wp:inline>
        </w:drawing>
      </w:r>
    </w:p>
    <w:p w:rsidR="00514255" w:rsidRPr="003E6CDA" w:rsidRDefault="00514255" w:rsidP="00514255">
      <w:pPr>
        <w:pStyle w:val="OSAFigureCaption"/>
      </w:pPr>
      <w:r>
        <w:t xml:space="preserve">Fig. 4.  (a) The optimized grating cells parameters of Design I and Design II. </w:t>
      </w:r>
      <w:r>
        <w:rPr>
          <w:rFonts w:hint="eastAsia"/>
          <w:lang w:eastAsia="zh-CN"/>
        </w:rPr>
        <w:t>(</w:t>
      </w:r>
      <w:r>
        <w:rPr>
          <w:lang w:eastAsia="zh-CN"/>
        </w:rPr>
        <w:t xml:space="preserve">b) </w:t>
      </w:r>
      <w:r w:rsidR="00E611E3">
        <w:rPr>
          <w:lang w:eastAsia="zh-CN"/>
        </w:rPr>
        <w:t>C</w:t>
      </w:r>
      <w:r>
        <w:rPr>
          <w:lang w:eastAsia="zh-CN"/>
        </w:rPr>
        <w:t xml:space="preserve">alculated electric field profile of the </w:t>
      </w:r>
      <w:proofErr w:type="spellStart"/>
      <w:r>
        <w:rPr>
          <w:lang w:eastAsia="zh-CN"/>
        </w:rPr>
        <w:t>apodized</w:t>
      </w:r>
      <w:proofErr w:type="spellEnd"/>
      <w:r>
        <w:rPr>
          <w:lang w:eastAsia="zh-CN"/>
        </w:rPr>
        <w:t xml:space="preserve"> GC.</w:t>
      </w:r>
      <w:r>
        <w:t xml:space="preserve"> </w:t>
      </w:r>
    </w:p>
    <w:p w:rsidR="00514255" w:rsidRDefault="00514255" w:rsidP="00514255">
      <w:pPr>
        <w:pStyle w:val="OSABodyIndent"/>
        <w:rPr>
          <w:lang w:eastAsia="zh-CN"/>
        </w:rPr>
      </w:pPr>
      <w:r>
        <w:rPr>
          <w:lang w:eastAsia="zh-CN"/>
        </w:rPr>
        <w:t xml:space="preserve">    </w:t>
      </w:r>
      <w:r w:rsidRPr="00430E94">
        <w:rPr>
          <w:lang w:eastAsia="zh-CN"/>
        </w:rPr>
        <w:t xml:space="preserve">Fig. </w:t>
      </w:r>
      <w:r>
        <w:rPr>
          <w:lang w:eastAsia="zh-CN"/>
        </w:rPr>
        <w:t>4(b)</w:t>
      </w:r>
      <w:r w:rsidRPr="00430E94">
        <w:rPr>
          <w:lang w:eastAsia="zh-CN"/>
        </w:rPr>
        <w:t xml:space="preserve"> shows the cross-sectional view of the calculated electric field intensity profile of Design II with subwavelength structures, using a Gaussian mode incidence with 10.4</w:t>
      </w:r>
      <w:r>
        <w:rPr>
          <w:lang w:val="en-GB" w:eastAsia="zh-CN"/>
        </w:rPr>
        <w:t>µ</w:t>
      </w:r>
      <w:r w:rsidRPr="00430E94">
        <w:rPr>
          <w:lang w:eastAsia="zh-CN"/>
        </w:rPr>
        <w:t xml:space="preserve">m mode diameter. </w:t>
      </w:r>
      <w:r w:rsidRPr="00C173AB">
        <w:rPr>
          <w:color w:val="000000" w:themeColor="text1"/>
          <w:lang w:eastAsia="zh-CN"/>
        </w:rPr>
        <w:t xml:space="preserve">The zig-zag field pattern in the waveguide indicate that multiple modes are excited. </w:t>
      </w:r>
      <w:r>
        <w:rPr>
          <w:color w:val="000000" w:themeColor="text1"/>
          <w:lang w:eastAsia="zh-CN"/>
        </w:rPr>
        <w:t xml:space="preserve">To investigate this phenomenon, we utilize a mode expansion monitor to calculate the CEs of different modes. </w:t>
      </w:r>
      <w:r w:rsidRPr="00DE4D45">
        <w:rPr>
          <w:color w:val="000000" w:themeColor="text1"/>
          <w:lang w:eastAsia="zh-CN"/>
        </w:rPr>
        <w:t xml:space="preserve">It is found that both the fundamental mode and the first-order mode are excited, although </w:t>
      </w:r>
      <w:proofErr w:type="gramStart"/>
      <w:r w:rsidRPr="00DE4D45">
        <w:rPr>
          <w:color w:val="000000" w:themeColor="text1"/>
          <w:lang w:eastAsia="zh-CN"/>
        </w:rPr>
        <w:t>the majority of</w:t>
      </w:r>
      <w:proofErr w:type="gramEnd"/>
      <w:r w:rsidRPr="00DE4D45">
        <w:rPr>
          <w:color w:val="000000" w:themeColor="text1"/>
          <w:lang w:eastAsia="zh-CN"/>
        </w:rPr>
        <w:t xml:space="preserve"> the power is in the fundamental mode. Such a problem can be eliminated by using a SOI platform with a thinner top-silicon layer (e.g. 220nm). The calculated CE (to the fundamental mode) </w:t>
      </w:r>
      <w:r w:rsidRPr="00C173AB">
        <w:rPr>
          <w:color w:val="000000" w:themeColor="text1"/>
          <w:lang w:eastAsia="zh-CN"/>
        </w:rPr>
        <w:t xml:space="preserve">and up-reflection of the uniform GC, Design I and Design II </w:t>
      </w:r>
      <w:r>
        <w:rPr>
          <w:color w:val="000000" w:themeColor="text1"/>
          <w:lang w:eastAsia="zh-CN"/>
        </w:rPr>
        <w:t xml:space="preserve">with 2D FDTD method </w:t>
      </w:r>
      <w:r w:rsidRPr="00C173AB">
        <w:rPr>
          <w:color w:val="000000" w:themeColor="text1"/>
          <w:lang w:eastAsia="zh-CN"/>
        </w:rPr>
        <w:t xml:space="preserve">are shown in Fig. </w:t>
      </w:r>
      <w:r>
        <w:rPr>
          <w:color w:val="000000" w:themeColor="text1"/>
          <w:lang w:eastAsia="zh-CN"/>
        </w:rPr>
        <w:t>5</w:t>
      </w:r>
      <w:r w:rsidRPr="00C173AB">
        <w:rPr>
          <w:color w:val="000000" w:themeColor="text1"/>
          <w:lang w:eastAsia="zh-CN"/>
        </w:rPr>
        <w:t xml:space="preserve">(a). </w:t>
      </w:r>
      <w:r w:rsidRPr="00DE4D45">
        <w:rPr>
          <w:color w:val="000000" w:themeColor="text1"/>
          <w:lang w:eastAsia="zh-CN"/>
        </w:rPr>
        <w:t xml:space="preserve">The peak CE of Design II is 72% (-1.43dB), which is also verified by 3D FDTD simulations with a result of 71.3%. </w:t>
      </w:r>
      <w:r w:rsidRPr="00C173AB">
        <w:rPr>
          <w:color w:val="000000" w:themeColor="text1"/>
          <w:lang w:eastAsia="zh-CN"/>
        </w:rPr>
        <w:t xml:space="preserve">Clearly, the CE of the </w:t>
      </w:r>
      <w:proofErr w:type="spellStart"/>
      <w:r w:rsidRPr="00C173AB">
        <w:rPr>
          <w:color w:val="000000" w:themeColor="text1"/>
          <w:lang w:eastAsia="zh-CN"/>
        </w:rPr>
        <w:t>apodized</w:t>
      </w:r>
      <w:proofErr w:type="spellEnd"/>
      <w:r w:rsidRPr="00C173AB">
        <w:rPr>
          <w:color w:val="000000" w:themeColor="text1"/>
          <w:lang w:eastAsia="zh-CN"/>
        </w:rPr>
        <w:t xml:space="preserve"> GC designs are significantly higher than that of the uniform GC. The upward</w:t>
      </w:r>
      <w:r>
        <w:rPr>
          <w:color w:val="000000" w:themeColor="text1"/>
          <w:lang w:eastAsia="zh-CN"/>
        </w:rPr>
        <w:t xml:space="preserve"> </w:t>
      </w:r>
      <w:r w:rsidRPr="00C173AB">
        <w:rPr>
          <w:color w:val="000000" w:themeColor="text1"/>
          <w:lang w:eastAsia="zh-CN"/>
        </w:rPr>
        <w:t xml:space="preserve">reflection at 1573nm is reduced from 17% of the uniform GC to only 5% (-13dB). </w:t>
      </w:r>
      <w:r w:rsidRPr="00430E94">
        <w:rPr>
          <w:lang w:eastAsia="zh-CN"/>
        </w:rPr>
        <w:t>According to our simulation, the reflection can be</w:t>
      </w:r>
      <w:r>
        <w:rPr>
          <w:lang w:eastAsia="zh-CN"/>
        </w:rPr>
        <w:t xml:space="preserve"> further reduced to -20dB, </w:t>
      </w:r>
      <w:r w:rsidRPr="007D6FB6">
        <w:rPr>
          <w:lang w:eastAsia="zh-CN"/>
        </w:rPr>
        <w:t>however,</w:t>
      </w:r>
      <w:r>
        <w:rPr>
          <w:lang w:eastAsia="zh-CN"/>
        </w:rPr>
        <w:t xml:space="preserve"> with an expense of 4% decrease in CE. Although the CE</w:t>
      </w:r>
      <w:r w:rsidRPr="007D6FB6">
        <w:rPr>
          <w:lang w:eastAsia="zh-CN"/>
        </w:rPr>
        <w:t xml:space="preserve"> </w:t>
      </w:r>
      <w:r>
        <w:rPr>
          <w:lang w:eastAsia="zh-CN"/>
        </w:rPr>
        <w:t xml:space="preserve">is </w:t>
      </w:r>
      <w:r w:rsidRPr="007D6FB6">
        <w:rPr>
          <w:lang w:eastAsia="zh-CN"/>
        </w:rPr>
        <w:t>high, there</w:t>
      </w:r>
      <w:r>
        <w:rPr>
          <w:lang w:eastAsia="zh-CN"/>
        </w:rPr>
        <w:t xml:space="preserve"> is still room for improvement. </w:t>
      </w:r>
      <w:r w:rsidRPr="00C173AB">
        <w:rPr>
          <w:color w:val="000000" w:themeColor="text1"/>
          <w:lang w:eastAsia="zh-CN"/>
        </w:rPr>
        <w:t>Simulations</w:t>
      </w:r>
      <w:r>
        <w:rPr>
          <w:color w:val="000000" w:themeColor="text1"/>
          <w:lang w:eastAsia="zh-CN"/>
        </w:rPr>
        <w:t xml:space="preserve"> </w:t>
      </w:r>
      <w:r>
        <w:rPr>
          <w:lang w:eastAsia="zh-CN"/>
        </w:rPr>
        <w:t xml:space="preserve">indicated the </w:t>
      </w:r>
      <w:r w:rsidRPr="00C173AB">
        <w:rPr>
          <w:lang w:eastAsia="zh-CN"/>
        </w:rPr>
        <w:t>CE can reach 80% with a backside mirror.</w:t>
      </w:r>
    </w:p>
    <w:p w:rsidR="00514255" w:rsidRDefault="00514255" w:rsidP="00514255">
      <w:pPr>
        <w:pStyle w:val="OSABodyIndent"/>
      </w:pPr>
      <w:r>
        <w:t xml:space="preserve">The alignment tolerance of GCs is very important in real applications, especially for the integration with VCSEL lasers. The excess loss resulted from a photonic packaging mainly comes from the mode expansion in the vertical cavity formed by the solder bump and the horizontal misalignment [10]. Thus, it is important to investigate the tolerance to mode field diameter variations and optical alignment. Fig. 5(b) shows that Design II is quite robust to variations of MFD and incidence misalignment. </w:t>
      </w:r>
      <w:r w:rsidRPr="00015936">
        <w:rPr>
          <w:color w:val="000000" w:themeColor="text1"/>
        </w:rPr>
        <w:t xml:space="preserve">The excess coupling loss is smaller than 0.3 dB within </w:t>
      </w:r>
      <w:proofErr w:type="gramStart"/>
      <w:r w:rsidRPr="00015936">
        <w:rPr>
          <w:color w:val="000000" w:themeColor="text1"/>
        </w:rPr>
        <w:t>a</w:t>
      </w:r>
      <w:proofErr w:type="gramEnd"/>
      <w:r w:rsidRPr="00015936">
        <w:rPr>
          <w:color w:val="000000" w:themeColor="text1"/>
        </w:rPr>
        <w:t xml:space="preserve"> MFD range from 7 to 13.6 µm. </w:t>
      </w:r>
      <w:r>
        <w:t xml:space="preserve">The excess loss caused by ±2 µm waveguide-direction </w:t>
      </w:r>
      <w:r>
        <w:t>misalignment is only 0.6dB. Such a superior coupling tolerance would be very attractive for flexible applications and low-cost photonic packaging.</w:t>
      </w:r>
    </w:p>
    <w:p w:rsidR="00E611E3" w:rsidRPr="00C173AB" w:rsidRDefault="00E611E3" w:rsidP="00E611E3">
      <w:pPr>
        <w:spacing w:before="120"/>
        <w:jc w:val="both"/>
        <w:rPr>
          <w:rFonts w:ascii="Cambria" w:eastAsia="Malgun Gothic" w:hAnsi="Cambria"/>
          <w:spacing w:val="-8"/>
          <w:sz w:val="19"/>
          <w:lang w:val="en-GB" w:eastAsia="zh-CN"/>
        </w:rPr>
      </w:pPr>
      <w:r>
        <w:rPr>
          <w:rFonts w:ascii="Cambria" w:eastAsia="Malgun Gothic" w:hAnsi="Cambria"/>
          <w:spacing w:val="-8"/>
          <w:sz w:val="19"/>
          <w:lang w:eastAsia="zh-CN"/>
        </w:rPr>
        <w:t xml:space="preserve">        </w:t>
      </w:r>
      <w:r>
        <w:rPr>
          <w:rFonts w:ascii="Cambria" w:eastAsia="Malgun Gothic" w:hAnsi="Cambria"/>
          <w:noProof/>
          <w:spacing w:val="-8"/>
          <w:sz w:val="19"/>
          <w:lang w:val="en-GB" w:eastAsia="zh-CN"/>
        </w:rPr>
        <w:drawing>
          <wp:inline distT="0" distB="0" distL="0" distR="0" wp14:anchorId="4F495D75" wp14:editId="4C931F94">
            <wp:extent cx="2759796" cy="19669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132" cy="1977130"/>
                    </a:xfrm>
                    <a:prstGeom prst="rect">
                      <a:avLst/>
                    </a:prstGeom>
                  </pic:spPr>
                </pic:pic>
              </a:graphicData>
            </a:graphic>
          </wp:inline>
        </w:drawing>
      </w:r>
      <w:r>
        <w:rPr>
          <w:rFonts w:ascii="Cambria" w:eastAsia="Malgun Gothic" w:hAnsi="Cambria"/>
          <w:spacing w:val="-8"/>
          <w:sz w:val="19"/>
          <w:lang w:eastAsia="zh-CN"/>
        </w:rPr>
        <w:t xml:space="preserve">   </w:t>
      </w:r>
    </w:p>
    <w:p w:rsidR="00E611E3" w:rsidRPr="00E05897" w:rsidRDefault="00E611E3" w:rsidP="00E611E3">
      <w:pPr>
        <w:pStyle w:val="OSAFigureCaption"/>
        <w:rPr>
          <w:lang w:val="en-GB" w:eastAsia="zh-CN"/>
        </w:rPr>
      </w:pPr>
      <w:r w:rsidRPr="001B74F2">
        <w:t xml:space="preserve">Fig. </w:t>
      </w:r>
      <w:r>
        <w:rPr>
          <w:lang w:eastAsia="zh-CN"/>
        </w:rPr>
        <w:t>5</w:t>
      </w:r>
      <w:r w:rsidRPr="001B74F2">
        <w:t xml:space="preserve">.  </w:t>
      </w:r>
      <w:r>
        <w:t xml:space="preserve">(a) Calculated CE and upwards-reflection (UR) of the uniform bidirectional grating coupler (UBGC), Design I and Design II. (b) Coupling tolerance of Design II on the MFD variations and waveguide direction misalignment. </w:t>
      </w:r>
    </w:p>
    <w:p w:rsidR="00E611E3" w:rsidRDefault="00E611E3" w:rsidP="00E611E3">
      <w:pPr>
        <w:widowControl w:val="0"/>
        <w:spacing w:before="120"/>
        <w:jc w:val="both"/>
        <w:rPr>
          <w:rFonts w:ascii="Cambria" w:hAnsi="Cambria"/>
          <w:spacing w:val="-8"/>
          <w:sz w:val="19"/>
          <w:lang w:val="en-GB" w:eastAsia="zh-CN"/>
        </w:rPr>
      </w:pPr>
      <w:r>
        <w:rPr>
          <w:rFonts w:ascii="Cambria" w:hAnsi="Cambria"/>
          <w:spacing w:val="-8"/>
          <w:sz w:val="19"/>
          <w:lang w:val="en-GB" w:eastAsia="zh-CN"/>
        </w:rPr>
        <w:t xml:space="preserve">     We fabricated the devices on a 200mm silicon-on-insulator wafer with electron-beam lithography and Inductively Coupled Plasma (ICP) etching. An oxide overlayer of 750</w:t>
      </w:r>
      <w:r w:rsidRPr="00E34882">
        <w:rPr>
          <w:rFonts w:ascii="Cambria" w:hAnsi="Cambria"/>
          <w:spacing w:val="-8"/>
          <w:sz w:val="19"/>
          <w:lang w:val="en-GB" w:eastAsia="zh-CN"/>
        </w:rPr>
        <w:t xml:space="preserve"> </w:t>
      </w:r>
      <w:r>
        <w:rPr>
          <w:rFonts w:ascii="Cambria" w:hAnsi="Cambria"/>
          <w:spacing w:val="-8"/>
          <w:sz w:val="19"/>
          <w:lang w:val="en-GB" w:eastAsia="zh-CN"/>
        </w:rPr>
        <w:t xml:space="preserve">nm is deposited. A test device with </w:t>
      </w:r>
      <w:proofErr w:type="gramStart"/>
      <w:r>
        <w:rPr>
          <w:rFonts w:ascii="Cambria" w:hAnsi="Cambria"/>
          <w:spacing w:val="-8"/>
          <w:sz w:val="19"/>
          <w:lang w:val="en-GB" w:eastAsia="zh-CN"/>
        </w:rPr>
        <w:t>a</w:t>
      </w:r>
      <w:proofErr w:type="gramEnd"/>
      <w:r>
        <w:rPr>
          <w:rFonts w:ascii="Cambria" w:hAnsi="Cambria"/>
          <w:spacing w:val="-8"/>
          <w:sz w:val="19"/>
          <w:lang w:val="en-GB" w:eastAsia="zh-CN"/>
        </w:rPr>
        <w:t xml:space="preserve"> MMI combiner is fabricated as shown in Fig. 6(a). 400µm-long tapers and waveguide bends with 100</w:t>
      </w:r>
      <w:r w:rsidRPr="00E34882">
        <w:rPr>
          <w:rFonts w:ascii="Cambria" w:hAnsi="Cambria"/>
          <w:spacing w:val="-8"/>
          <w:sz w:val="19"/>
          <w:lang w:val="en-GB" w:eastAsia="zh-CN"/>
        </w:rPr>
        <w:t xml:space="preserve"> </w:t>
      </w:r>
      <w:r>
        <w:rPr>
          <w:rFonts w:ascii="Cambria" w:hAnsi="Cambria"/>
          <w:spacing w:val="-8"/>
          <w:sz w:val="19"/>
          <w:lang w:val="en-GB" w:eastAsia="zh-CN"/>
        </w:rPr>
        <w:t xml:space="preserve">µm radius are used. The optical loss of the MMI coupler and output GC can be normalized using a </w:t>
      </w:r>
      <w:proofErr w:type="spellStart"/>
      <w:r>
        <w:rPr>
          <w:rFonts w:ascii="Cambria" w:hAnsi="Cambria"/>
          <w:spacing w:val="-8"/>
          <w:sz w:val="19"/>
          <w:lang w:val="en-GB" w:eastAsia="zh-CN"/>
        </w:rPr>
        <w:t>neighboring</w:t>
      </w:r>
      <w:proofErr w:type="spellEnd"/>
      <w:r>
        <w:rPr>
          <w:rFonts w:ascii="Cambria" w:hAnsi="Cambria"/>
          <w:spacing w:val="-8"/>
          <w:sz w:val="19"/>
          <w:lang w:val="en-GB" w:eastAsia="zh-CN"/>
        </w:rPr>
        <w:t xml:space="preserve"> MZI test device. The SEM images are captured after the oxide cladding was removed in a </w:t>
      </w:r>
      <w:proofErr w:type="gramStart"/>
      <w:r>
        <w:rPr>
          <w:rFonts w:ascii="Cambria" w:hAnsi="Cambria"/>
          <w:spacing w:val="-8"/>
          <w:sz w:val="19"/>
          <w:lang w:val="en-GB" w:eastAsia="zh-CN"/>
        </w:rPr>
        <w:t>HF:H</w:t>
      </w:r>
      <w:r w:rsidRPr="00AC3B78">
        <w:rPr>
          <w:rFonts w:ascii="Cambria" w:hAnsi="Cambria"/>
          <w:spacing w:val="-8"/>
          <w:sz w:val="19"/>
          <w:vertAlign w:val="subscript"/>
          <w:lang w:val="en-GB" w:eastAsia="zh-CN"/>
        </w:rPr>
        <w:t>2</w:t>
      </w:r>
      <w:r>
        <w:rPr>
          <w:rFonts w:ascii="Cambria" w:hAnsi="Cambria"/>
          <w:spacing w:val="-8"/>
          <w:sz w:val="19"/>
          <w:lang w:val="en-GB" w:eastAsia="zh-CN"/>
        </w:rPr>
        <w:t>O</w:t>
      </w:r>
      <w:proofErr w:type="gramEnd"/>
      <w:r>
        <w:rPr>
          <w:rFonts w:ascii="Cambria" w:hAnsi="Cambria"/>
          <w:spacing w:val="-8"/>
          <w:sz w:val="19"/>
          <w:lang w:val="en-GB" w:eastAsia="zh-CN"/>
        </w:rPr>
        <w:t xml:space="preserve"> (1:7) solution for 4 minutes, shown in the inset of Fig. 6(a). Fig. 6(b) shows the measured CE of the fabricated Design II and uniform GC.</w:t>
      </w:r>
      <w:r w:rsidRPr="009A77E9">
        <w:rPr>
          <w:rFonts w:ascii="Cambria" w:hAnsi="Cambria"/>
          <w:spacing w:val="-8"/>
          <w:sz w:val="19"/>
          <w:lang w:val="en-GB" w:eastAsia="zh-CN"/>
        </w:rPr>
        <w:t xml:space="preserve"> </w:t>
      </w:r>
      <w:r>
        <w:rPr>
          <w:rFonts w:ascii="Cambria" w:hAnsi="Cambria"/>
          <w:spacing w:val="-8"/>
          <w:sz w:val="19"/>
          <w:lang w:val="en-GB" w:eastAsia="zh-CN"/>
        </w:rPr>
        <w:t>Clearly, Design II exhibits improved CE and reduced Fabry-Perot (FP)</w:t>
      </w:r>
      <w:r w:rsidRPr="00DE3113">
        <w:rPr>
          <w:rFonts w:ascii="Cambria" w:hAnsi="Cambria"/>
          <w:spacing w:val="-8"/>
          <w:sz w:val="19"/>
          <w:lang w:val="en-GB" w:eastAsia="zh-CN"/>
        </w:rPr>
        <w:t xml:space="preserve"> </w:t>
      </w:r>
      <w:r>
        <w:rPr>
          <w:rFonts w:ascii="Cambria" w:hAnsi="Cambria"/>
          <w:spacing w:val="-8"/>
          <w:sz w:val="19"/>
          <w:lang w:val="en-GB" w:eastAsia="zh-CN"/>
        </w:rPr>
        <w:t>ripples. The CE spectrum is blue-shifted for about 25nm with a</w:t>
      </w:r>
      <w:r w:rsidRPr="00DE3113">
        <w:rPr>
          <w:rFonts w:ascii="Cambria" w:hAnsi="Cambria"/>
          <w:spacing w:val="-8"/>
          <w:sz w:val="19"/>
          <w:lang w:val="en-GB" w:eastAsia="zh-CN"/>
        </w:rPr>
        <w:t xml:space="preserve"> </w:t>
      </w:r>
      <w:r>
        <w:rPr>
          <w:rFonts w:ascii="Cambria" w:hAnsi="Cambria"/>
          <w:spacing w:val="-8"/>
          <w:sz w:val="19"/>
          <w:lang w:val="en-GB" w:eastAsia="zh-CN"/>
        </w:rPr>
        <w:t>central wavelength around 1550nm, which is possibly caused by</w:t>
      </w:r>
      <w:r>
        <w:rPr>
          <w:lang w:val="en-GB" w:eastAsia="zh-CN"/>
        </w:rPr>
        <w:t xml:space="preserve"> </w:t>
      </w:r>
      <w:r>
        <w:rPr>
          <w:rFonts w:ascii="Cambria" w:hAnsi="Cambria"/>
          <w:spacing w:val="-8"/>
          <w:sz w:val="19"/>
          <w:lang w:val="en-GB" w:eastAsia="zh-CN"/>
        </w:rPr>
        <w:t>a 15nm</w:t>
      </w:r>
      <w:r w:rsidR="00027F48">
        <w:rPr>
          <w:rFonts w:ascii="Cambria" w:hAnsi="Cambria"/>
          <w:spacing w:val="-8"/>
          <w:sz w:val="19"/>
          <w:lang w:val="en-GB" w:eastAsia="zh-CN"/>
        </w:rPr>
        <w:t xml:space="preserve"> over-etch. The same issue </w:t>
      </w:r>
      <w:r>
        <w:rPr>
          <w:rFonts w:ascii="Cambria" w:hAnsi="Cambria"/>
          <w:spacing w:val="-8"/>
          <w:sz w:val="19"/>
          <w:lang w:val="en-GB" w:eastAsia="zh-CN"/>
        </w:rPr>
        <w:t xml:space="preserve">will </w:t>
      </w:r>
      <w:r w:rsidR="00027F48">
        <w:rPr>
          <w:rFonts w:ascii="Cambria" w:hAnsi="Cambria"/>
          <w:spacing w:val="-8"/>
          <w:sz w:val="19"/>
          <w:lang w:val="en-GB" w:eastAsia="zh-CN"/>
        </w:rPr>
        <w:t xml:space="preserve">also </w:t>
      </w:r>
      <w:r>
        <w:rPr>
          <w:rFonts w:ascii="Cambria" w:hAnsi="Cambria"/>
          <w:spacing w:val="-8"/>
          <w:sz w:val="19"/>
          <w:lang w:val="en-GB" w:eastAsia="zh-CN"/>
        </w:rPr>
        <w:t>lead to increased back reflections. Simulation shows the minimum upward reflection to fibre and waveguide back reflection is increased from 5% (-13dB)</w:t>
      </w:r>
      <w:r w:rsidRPr="008D20C4">
        <w:rPr>
          <w:rFonts w:ascii="Cambria" w:hAnsi="Cambria"/>
          <w:spacing w:val="-8"/>
          <w:sz w:val="19"/>
          <w:lang w:val="en-GB" w:eastAsia="zh-CN"/>
        </w:rPr>
        <w:t xml:space="preserve"> </w:t>
      </w:r>
      <w:r>
        <w:rPr>
          <w:rFonts w:ascii="Cambria" w:hAnsi="Cambria"/>
          <w:spacing w:val="-8"/>
          <w:sz w:val="19"/>
          <w:lang w:val="en-GB" w:eastAsia="zh-CN"/>
        </w:rPr>
        <w:t xml:space="preserve">and 2% (-17dB) to 9.7% (-10.1dB) and 6.6% (-11.8dB), respectively, assuming the etching depth is 15nm deeper than expected. The </w:t>
      </w:r>
      <w:r w:rsidR="00100754">
        <w:rPr>
          <w:rFonts w:ascii="Cambria" w:hAnsi="Cambria"/>
          <w:spacing w:val="-8"/>
          <w:sz w:val="19"/>
          <w:lang w:val="en-GB" w:eastAsia="zh-CN"/>
        </w:rPr>
        <w:t>CE simulation of D</w:t>
      </w:r>
      <w:r>
        <w:rPr>
          <w:rFonts w:ascii="Cambria" w:hAnsi="Cambria"/>
          <w:spacing w:val="-8"/>
          <w:sz w:val="19"/>
          <w:lang w:val="en-GB" w:eastAsia="zh-CN"/>
        </w:rPr>
        <w:t xml:space="preserve">esign II is then calibrated. The simulation and </w:t>
      </w:r>
      <w:proofErr w:type="spellStart"/>
      <w:r>
        <w:rPr>
          <w:rFonts w:ascii="Cambria" w:hAnsi="Cambria"/>
          <w:spacing w:val="-8"/>
          <w:sz w:val="19"/>
          <w:lang w:val="en-GB" w:eastAsia="zh-CN"/>
        </w:rPr>
        <w:t>measurment</w:t>
      </w:r>
      <w:proofErr w:type="spellEnd"/>
      <w:r>
        <w:rPr>
          <w:rFonts w:ascii="Cambria" w:hAnsi="Cambria"/>
          <w:spacing w:val="-8"/>
          <w:sz w:val="19"/>
          <w:lang w:val="en-GB" w:eastAsia="zh-CN"/>
        </w:rPr>
        <w:t xml:space="preserve"> results match well. A peak CE of -1.8dB (66%) is obtained experimentally with an excess l</w:t>
      </w:r>
      <w:r w:rsidR="00B539D8">
        <w:rPr>
          <w:rFonts w:ascii="Cambria" w:hAnsi="Cambria"/>
          <w:spacing w:val="-8"/>
          <w:sz w:val="19"/>
          <w:lang w:val="en-GB" w:eastAsia="zh-CN"/>
        </w:rPr>
        <w:t>oss of &lt; 1.35dB within ±3µm fib</w:t>
      </w:r>
      <w:r>
        <w:rPr>
          <w:rFonts w:ascii="Cambria" w:hAnsi="Cambria"/>
          <w:spacing w:val="-8"/>
          <w:sz w:val="19"/>
          <w:lang w:val="en-GB" w:eastAsia="zh-CN"/>
        </w:rPr>
        <w:t>r</w:t>
      </w:r>
      <w:r w:rsidR="00B539D8">
        <w:rPr>
          <w:rFonts w:ascii="Cambria" w:hAnsi="Cambria"/>
          <w:spacing w:val="-8"/>
          <w:sz w:val="19"/>
          <w:lang w:val="en-GB" w:eastAsia="zh-CN"/>
        </w:rPr>
        <w:t>e</w:t>
      </w:r>
      <w:r>
        <w:rPr>
          <w:rFonts w:ascii="Cambria" w:hAnsi="Cambria"/>
          <w:spacing w:val="-8"/>
          <w:sz w:val="19"/>
          <w:lang w:val="en-GB" w:eastAsia="zh-CN"/>
        </w:rPr>
        <w:t xml:space="preserve"> displacement. The measured 1-dB bandwidth is about 37nm, which agrees well with the simulation value of 42nm. As shown in table 1, our device exhibits advantages of high efficiency, large bandwidth and ease of fabrication compared with other reported perfectly vertical GCs.</w:t>
      </w:r>
    </w:p>
    <w:p w:rsidR="00E611E3" w:rsidRDefault="00100754" w:rsidP="00100754">
      <w:pPr>
        <w:pStyle w:val="OSABodyIndent"/>
        <w:ind w:firstLine="0"/>
        <w:rPr>
          <w:lang w:val="en-GB" w:eastAsia="zh-CN"/>
        </w:rPr>
      </w:pPr>
      <w:r>
        <w:rPr>
          <w:lang w:val="en-GB" w:eastAsia="zh-CN"/>
        </w:rPr>
        <w:t xml:space="preserve">     </w:t>
      </w:r>
      <w:r w:rsidR="00E611E3">
        <w:rPr>
          <w:lang w:val="en-GB" w:eastAsia="zh-CN"/>
        </w:rPr>
        <w:t>To conclude, we propose and demonstrate a sin</w:t>
      </w:r>
      <w:r>
        <w:rPr>
          <w:lang w:val="en-GB" w:eastAsia="zh-CN"/>
        </w:rPr>
        <w:t xml:space="preserve">gle-etch apodized </w:t>
      </w:r>
      <w:r w:rsidR="00E611E3">
        <w:rPr>
          <w:lang w:val="en-GB" w:eastAsia="zh-CN"/>
        </w:rPr>
        <w:t xml:space="preserve">bidirectional GC for highly efficient perfectly </w:t>
      </w:r>
      <w:r w:rsidR="00E611E3">
        <w:rPr>
          <w:rFonts w:hint="eastAsia"/>
          <w:lang w:val="en-GB" w:eastAsia="zh-CN"/>
        </w:rPr>
        <w:t>vertic</w:t>
      </w:r>
      <w:r w:rsidR="00E611E3">
        <w:rPr>
          <w:lang w:val="en-GB" w:eastAsia="zh-CN"/>
        </w:rPr>
        <w:t xml:space="preserve">al coupling. The optimized design exhibits a peak CE of </w:t>
      </w:r>
      <w:r w:rsidR="00E611E3" w:rsidRPr="00015936">
        <w:rPr>
          <w:color w:val="000000" w:themeColor="text1"/>
          <w:lang w:val="en-GB" w:eastAsia="zh-CN"/>
        </w:rPr>
        <w:t xml:space="preserve">72% </w:t>
      </w:r>
      <w:r w:rsidR="00E611E3">
        <w:rPr>
          <w:lang w:val="en-GB" w:eastAsia="zh-CN"/>
        </w:rPr>
        <w:t>and a mi</w:t>
      </w:r>
      <w:r w:rsidR="00CE48B5">
        <w:rPr>
          <w:lang w:val="en-GB" w:eastAsia="zh-CN"/>
        </w:rPr>
        <w:t>nimum upward reflection</w:t>
      </w:r>
      <w:r w:rsidR="00E611E3">
        <w:rPr>
          <w:lang w:val="en-GB" w:eastAsia="zh-CN"/>
        </w:rPr>
        <w:t xml:space="preserve"> of 5% in simulation. This coupler is robust to MFD variations and alignment error. </w:t>
      </w:r>
      <w:r w:rsidR="00E611E3" w:rsidRPr="00015936">
        <w:rPr>
          <w:color w:val="000000" w:themeColor="text1"/>
          <w:lang w:val="en-GB" w:eastAsia="zh-CN"/>
        </w:rPr>
        <w:t>The exce</w:t>
      </w:r>
      <w:r>
        <w:rPr>
          <w:color w:val="000000" w:themeColor="text1"/>
          <w:lang w:val="en-GB" w:eastAsia="zh-CN"/>
        </w:rPr>
        <w:t>ss coupling loss for an</w:t>
      </w:r>
      <w:r w:rsidR="00E611E3" w:rsidRPr="00015936">
        <w:rPr>
          <w:color w:val="000000" w:themeColor="text1"/>
          <w:lang w:val="en-GB" w:eastAsia="zh-CN"/>
        </w:rPr>
        <w:t xml:space="preserve"> </w:t>
      </w:r>
      <w:r w:rsidRPr="00100754">
        <w:rPr>
          <w:rFonts w:hint="eastAsia"/>
          <w:lang w:val="en-GB" w:eastAsia="zh-CN"/>
        </w:rPr>
        <w:t>inci</w:t>
      </w:r>
      <w:r w:rsidRPr="00100754">
        <w:rPr>
          <w:lang w:val="en-GB" w:eastAsia="zh-CN"/>
        </w:rPr>
        <w:t>dent</w:t>
      </w:r>
      <w:r>
        <w:rPr>
          <w:lang w:val="en-GB" w:eastAsia="zh-CN"/>
        </w:rPr>
        <w:t xml:space="preserve"> </w:t>
      </w:r>
      <w:r w:rsidR="00E611E3" w:rsidRPr="00015936">
        <w:rPr>
          <w:color w:val="000000" w:themeColor="text1"/>
          <w:lang w:val="en-GB" w:eastAsia="zh-CN"/>
        </w:rPr>
        <w:t xml:space="preserve">MFD ranging from 7 to 13.6 µm is smaller than 0.3 </w:t>
      </w:r>
      <w:proofErr w:type="spellStart"/>
      <w:r w:rsidR="00E611E3" w:rsidRPr="00015936">
        <w:rPr>
          <w:color w:val="000000" w:themeColor="text1"/>
          <w:lang w:val="en-GB" w:eastAsia="zh-CN"/>
        </w:rPr>
        <w:t>dB.</w:t>
      </w:r>
      <w:proofErr w:type="spellEnd"/>
      <w:r w:rsidR="00E611E3" w:rsidRPr="0064275A">
        <w:rPr>
          <w:lang w:val="en-GB" w:eastAsia="zh-CN"/>
        </w:rPr>
        <w:t xml:space="preserve"> The</w:t>
      </w:r>
      <w:r w:rsidR="00E611E3">
        <w:rPr>
          <w:lang w:val="en-GB" w:eastAsia="zh-CN"/>
        </w:rPr>
        <w:t xml:space="preserve"> excess loss </w:t>
      </w:r>
      <w:r w:rsidR="00E611E3" w:rsidRPr="0064275A">
        <w:rPr>
          <w:lang w:val="en-GB" w:eastAsia="zh-CN"/>
        </w:rPr>
        <w:t>caused by ±2µm waveguid</w:t>
      </w:r>
      <w:r w:rsidR="00E611E3">
        <w:rPr>
          <w:lang w:val="en-GB" w:eastAsia="zh-CN"/>
        </w:rPr>
        <w:t>e-direction misalignment is</w:t>
      </w:r>
      <w:r w:rsidR="00E611E3" w:rsidRPr="0064275A">
        <w:rPr>
          <w:lang w:val="en-GB" w:eastAsia="zh-CN"/>
        </w:rPr>
        <w:t xml:space="preserve"> 0.</w:t>
      </w:r>
      <w:r w:rsidR="00E611E3">
        <w:rPr>
          <w:lang w:val="en-GB" w:eastAsia="zh-CN"/>
        </w:rPr>
        <w:t>6</w:t>
      </w:r>
      <w:r w:rsidR="00E611E3" w:rsidRPr="0064275A">
        <w:rPr>
          <w:lang w:val="en-GB" w:eastAsia="zh-CN"/>
        </w:rPr>
        <w:t xml:space="preserve">dB. Measurement shows </w:t>
      </w:r>
      <w:r w:rsidRPr="0064275A">
        <w:rPr>
          <w:lang w:val="en-GB" w:eastAsia="zh-CN"/>
        </w:rPr>
        <w:t>the peak CE reaches -1.8</w:t>
      </w:r>
      <w:r>
        <w:rPr>
          <w:lang w:val="en-GB" w:eastAsia="zh-CN"/>
        </w:rPr>
        <w:t> </w:t>
      </w:r>
      <w:r w:rsidRPr="0064275A">
        <w:rPr>
          <w:lang w:val="en-GB" w:eastAsia="zh-CN"/>
        </w:rPr>
        <w:t>dB and the 1-dB op</w:t>
      </w:r>
      <w:r>
        <w:rPr>
          <w:lang w:val="en-GB" w:eastAsia="zh-CN"/>
        </w:rPr>
        <w:t>tical bandwidth is 37 </w:t>
      </w:r>
      <w:r w:rsidRPr="0064275A">
        <w:rPr>
          <w:lang w:val="en-GB" w:eastAsia="zh-CN"/>
        </w:rPr>
        <w:t>nm.</w:t>
      </w:r>
      <w:r>
        <w:rPr>
          <w:lang w:val="en-GB" w:eastAsia="zh-CN"/>
        </w:rPr>
        <w:t xml:space="preserve"> </w:t>
      </w:r>
      <w:r w:rsidRPr="0064275A">
        <w:rPr>
          <w:lang w:val="en-GB" w:eastAsia="zh-CN"/>
        </w:rPr>
        <w:t xml:space="preserve">The </w:t>
      </w:r>
      <w:r>
        <w:rPr>
          <w:lang w:val="en-GB" w:eastAsia="zh-CN"/>
        </w:rPr>
        <w:t xml:space="preserve">measured excess loss </w:t>
      </w:r>
      <w:r w:rsidRPr="0064275A">
        <w:rPr>
          <w:lang w:val="en-GB" w:eastAsia="zh-CN"/>
        </w:rPr>
        <w:t>within a fib</w:t>
      </w:r>
      <w:r>
        <w:rPr>
          <w:lang w:val="en-GB" w:eastAsia="zh-CN"/>
        </w:rPr>
        <w:t>re</w:t>
      </w:r>
      <w:r w:rsidRPr="0064275A">
        <w:rPr>
          <w:lang w:val="en-GB" w:eastAsia="zh-CN"/>
        </w:rPr>
        <w:t xml:space="preserve"> </w:t>
      </w:r>
      <w:r>
        <w:rPr>
          <w:lang w:val="en-GB" w:eastAsia="zh-CN"/>
        </w:rPr>
        <w:t>misalignment range</w:t>
      </w:r>
      <w:r w:rsidRPr="0064275A">
        <w:rPr>
          <w:lang w:val="en-GB" w:eastAsia="zh-CN"/>
        </w:rPr>
        <w:t xml:space="preserve"> of </w:t>
      </w:r>
      <w:r>
        <w:rPr>
          <w:lang w:val="en-GB" w:eastAsia="zh-CN"/>
        </w:rPr>
        <w:t>±3 µm is only 1.35 </w:t>
      </w:r>
      <w:proofErr w:type="spellStart"/>
      <w:r>
        <w:rPr>
          <w:lang w:val="en-GB" w:eastAsia="zh-CN"/>
        </w:rPr>
        <w:t>dB.</w:t>
      </w:r>
      <w:proofErr w:type="spellEnd"/>
    </w:p>
    <w:p w:rsidR="00E611E3" w:rsidRDefault="00E611E3" w:rsidP="00E05897">
      <w:pPr>
        <w:jc w:val="center"/>
        <w:rPr>
          <w:rFonts w:ascii="Cambria" w:hAnsi="Cambria"/>
          <w:b/>
          <w:sz w:val="14"/>
        </w:rPr>
        <w:sectPr w:rsidR="00E611E3" w:rsidSect="00BF1690">
          <w:type w:val="continuous"/>
          <w:pgSz w:w="12240" w:h="15840" w:code="1"/>
          <w:pgMar w:top="1080" w:right="994" w:bottom="1260" w:left="994" w:header="720" w:footer="720" w:gutter="0"/>
          <w:cols w:num="2" w:space="446"/>
          <w:docGrid w:linePitch="360"/>
        </w:sectPr>
      </w:pPr>
    </w:p>
    <w:p w:rsidR="00E611E3" w:rsidRPr="00027F48" w:rsidRDefault="00E611E3" w:rsidP="00E611E3">
      <w:pPr>
        <w:pStyle w:val="Caption"/>
        <w:keepNext/>
        <w:rPr>
          <w:rFonts w:ascii="Cambria" w:hAnsi="Cambria"/>
          <w:b/>
          <w:i w:val="0"/>
          <w:color w:val="000000" w:themeColor="text1"/>
        </w:rPr>
      </w:pPr>
      <w:r w:rsidRPr="00027F48">
        <w:rPr>
          <w:rFonts w:ascii="Cambria" w:hAnsi="Cambria"/>
          <w:b/>
          <w:i w:val="0"/>
          <w:color w:val="000000" w:themeColor="text1"/>
        </w:rPr>
        <w:lastRenderedPageBreak/>
        <w:t xml:space="preserve">Table </w:t>
      </w:r>
      <w:r w:rsidRPr="00027F48">
        <w:rPr>
          <w:rFonts w:ascii="Cambria" w:hAnsi="Cambria"/>
          <w:b/>
          <w:i w:val="0"/>
          <w:color w:val="000000" w:themeColor="text1"/>
        </w:rPr>
        <w:fldChar w:fldCharType="begin"/>
      </w:r>
      <w:r w:rsidRPr="00027F48">
        <w:rPr>
          <w:rFonts w:ascii="Cambria" w:hAnsi="Cambria"/>
          <w:b/>
          <w:i w:val="0"/>
          <w:color w:val="000000" w:themeColor="text1"/>
        </w:rPr>
        <w:instrText xml:space="preserve"> SEQ Table \* ARABIC </w:instrText>
      </w:r>
      <w:r w:rsidRPr="00027F48">
        <w:rPr>
          <w:rFonts w:ascii="Cambria" w:hAnsi="Cambria"/>
          <w:b/>
          <w:i w:val="0"/>
          <w:color w:val="000000" w:themeColor="text1"/>
        </w:rPr>
        <w:fldChar w:fldCharType="separate"/>
      </w:r>
      <w:r w:rsidRPr="00027F48">
        <w:rPr>
          <w:rFonts w:ascii="Cambria" w:hAnsi="Cambria"/>
          <w:b/>
          <w:i w:val="0"/>
          <w:noProof/>
          <w:color w:val="000000" w:themeColor="text1"/>
        </w:rPr>
        <w:t>1</w:t>
      </w:r>
      <w:r w:rsidRPr="00027F48">
        <w:rPr>
          <w:rFonts w:ascii="Cambria" w:hAnsi="Cambria"/>
          <w:b/>
          <w:i w:val="0"/>
          <w:color w:val="000000" w:themeColor="text1"/>
        </w:rPr>
        <w:fldChar w:fldCharType="end"/>
      </w:r>
      <w:r w:rsidRPr="00027F48">
        <w:rPr>
          <w:rFonts w:ascii="Cambria" w:hAnsi="Cambria"/>
          <w:b/>
          <w:i w:val="0"/>
          <w:color w:val="000000" w:themeColor="text1"/>
        </w:rPr>
        <w:t>. Comparison of figures of merits of the perfectly vertical GCs</w:t>
      </w:r>
    </w:p>
    <w:tbl>
      <w:tblPr>
        <w:tblStyle w:val="TableGrid"/>
        <w:tblW w:w="10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4"/>
        <w:gridCol w:w="679"/>
        <w:gridCol w:w="680"/>
        <w:gridCol w:w="679"/>
        <w:gridCol w:w="680"/>
        <w:gridCol w:w="679"/>
        <w:gridCol w:w="680"/>
        <w:gridCol w:w="850"/>
        <w:gridCol w:w="1020"/>
        <w:gridCol w:w="1188"/>
        <w:gridCol w:w="1021"/>
        <w:gridCol w:w="1020"/>
      </w:tblGrid>
      <w:tr w:rsidR="00E611E3" w:rsidRPr="003F4FD0" w:rsidTr="00E05897">
        <w:trPr>
          <w:trHeight w:val="802"/>
        </w:trPr>
        <w:tc>
          <w:tcPr>
            <w:tcW w:w="1014" w:type="dxa"/>
            <w:tcBorders>
              <w:top w:val="single" w:sz="8" w:space="0" w:color="auto"/>
            </w:tcBorders>
          </w:tcPr>
          <w:p w:rsidR="00E611E3" w:rsidRPr="003F4FD0" w:rsidRDefault="00E611E3" w:rsidP="00E05897">
            <w:pPr>
              <w:jc w:val="center"/>
              <w:rPr>
                <w:rFonts w:ascii="Cambria" w:hAnsi="Cambria"/>
                <w:b/>
                <w:sz w:val="14"/>
              </w:rPr>
            </w:pPr>
          </w:p>
        </w:tc>
        <w:tc>
          <w:tcPr>
            <w:tcW w:w="1359" w:type="dxa"/>
            <w:gridSpan w:val="2"/>
            <w:tcBorders>
              <w:top w:val="single" w:sz="8" w:space="0" w:color="auto"/>
            </w:tcBorders>
          </w:tcPr>
          <w:p w:rsidR="00E611E3" w:rsidRPr="003F4FD0" w:rsidRDefault="00E611E3" w:rsidP="00E05897">
            <w:pPr>
              <w:spacing w:line="276" w:lineRule="auto"/>
              <w:jc w:val="center"/>
              <w:rPr>
                <w:rFonts w:ascii="Cambria" w:hAnsi="Cambria"/>
                <w:b/>
                <w:sz w:val="14"/>
              </w:rPr>
            </w:pP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cstheme="minorBidi"/>
                <w:b/>
                <w:sz w:val="14"/>
                <w:szCs w:val="22"/>
              </w:rPr>
              <w:t>Coupling</w:t>
            </w: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cstheme="minorBidi"/>
                <w:b/>
                <w:sz w:val="14"/>
                <w:szCs w:val="22"/>
              </w:rPr>
              <w:t>Efficiency (%)</w:t>
            </w:r>
          </w:p>
        </w:tc>
        <w:tc>
          <w:tcPr>
            <w:tcW w:w="1359" w:type="dxa"/>
            <w:gridSpan w:val="2"/>
            <w:tcBorders>
              <w:top w:val="single" w:sz="8" w:space="0" w:color="auto"/>
            </w:tcBorders>
          </w:tcPr>
          <w:p w:rsidR="00E611E3" w:rsidRPr="003F4FD0" w:rsidRDefault="00E611E3" w:rsidP="00E05897">
            <w:pPr>
              <w:spacing w:line="276" w:lineRule="auto"/>
              <w:jc w:val="center"/>
              <w:rPr>
                <w:rFonts w:ascii="Cambria" w:hAnsi="Cambria"/>
                <w:b/>
                <w:sz w:val="14"/>
              </w:rPr>
            </w:pP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cstheme="minorBidi"/>
                <w:b/>
                <w:sz w:val="14"/>
                <w:szCs w:val="22"/>
              </w:rPr>
              <w:t>Back</w:t>
            </w: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cstheme="minorBidi"/>
                <w:b/>
                <w:sz w:val="14"/>
                <w:szCs w:val="22"/>
              </w:rPr>
              <w:t>Reflection (dB)</w:t>
            </w:r>
          </w:p>
        </w:tc>
        <w:tc>
          <w:tcPr>
            <w:tcW w:w="1359" w:type="dxa"/>
            <w:gridSpan w:val="2"/>
            <w:tcBorders>
              <w:top w:val="single" w:sz="8" w:space="0" w:color="auto"/>
            </w:tcBorders>
          </w:tcPr>
          <w:p w:rsidR="00E611E3" w:rsidRPr="003F4FD0" w:rsidRDefault="00E611E3" w:rsidP="00E05897">
            <w:pPr>
              <w:spacing w:line="276" w:lineRule="auto"/>
              <w:jc w:val="center"/>
              <w:rPr>
                <w:rFonts w:ascii="Cambria" w:hAnsi="Cambria"/>
                <w:b/>
                <w:sz w:val="14"/>
              </w:rPr>
            </w:pP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b/>
                <w:sz w:val="14"/>
              </w:rPr>
              <w:t>1-dB Optical</w:t>
            </w: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b/>
                <w:sz w:val="14"/>
              </w:rPr>
              <w:t>Bandwidth (nm)</w:t>
            </w:r>
          </w:p>
        </w:tc>
        <w:tc>
          <w:tcPr>
            <w:tcW w:w="1870" w:type="dxa"/>
            <w:gridSpan w:val="2"/>
            <w:tcBorders>
              <w:top w:val="single" w:sz="8" w:space="0" w:color="auto"/>
            </w:tcBorders>
          </w:tcPr>
          <w:p w:rsidR="00E611E3" w:rsidRPr="003F4FD0" w:rsidRDefault="00E611E3" w:rsidP="00E05897">
            <w:pPr>
              <w:spacing w:line="276" w:lineRule="auto"/>
              <w:jc w:val="center"/>
              <w:rPr>
                <w:rFonts w:ascii="Cambria" w:hAnsi="Cambria"/>
                <w:b/>
                <w:sz w:val="14"/>
              </w:rPr>
            </w:pPr>
          </w:p>
          <w:p w:rsidR="00E611E3" w:rsidRPr="003F4FD0" w:rsidRDefault="00E611E3" w:rsidP="00E05897">
            <w:pPr>
              <w:pBdr>
                <w:bottom w:val="single" w:sz="12" w:space="1" w:color="auto"/>
              </w:pBdr>
              <w:spacing w:line="276" w:lineRule="auto"/>
              <w:jc w:val="center"/>
              <w:rPr>
                <w:rFonts w:ascii="Cambria" w:hAnsi="Cambria"/>
                <w:b/>
                <w:sz w:val="14"/>
              </w:rPr>
            </w:pPr>
          </w:p>
          <w:p w:rsidR="00E611E3" w:rsidRPr="003F4FD0" w:rsidRDefault="00E611E3" w:rsidP="00E05897">
            <w:pPr>
              <w:pBdr>
                <w:bottom w:val="single" w:sz="12" w:space="1" w:color="auto"/>
              </w:pBdr>
              <w:spacing w:line="276" w:lineRule="auto"/>
              <w:jc w:val="center"/>
              <w:rPr>
                <w:rFonts w:ascii="Cambria" w:hAnsi="Cambria"/>
                <w:b/>
                <w:sz w:val="14"/>
              </w:rPr>
            </w:pPr>
            <w:r w:rsidRPr="003F4FD0">
              <w:rPr>
                <w:rFonts w:ascii="Cambria" w:hAnsi="Cambria" w:cstheme="minorBidi"/>
                <w:b/>
                <w:sz w:val="14"/>
                <w:szCs w:val="22"/>
              </w:rPr>
              <w:t>Fabrication</w:t>
            </w:r>
            <w:r w:rsidRPr="003F4FD0">
              <w:rPr>
                <w:rFonts w:ascii="Cambria" w:hAnsi="Cambria"/>
                <w:b/>
                <w:sz w:val="14"/>
              </w:rPr>
              <w:t xml:space="preserve"> </w:t>
            </w:r>
            <w:r w:rsidRPr="003F4FD0">
              <w:rPr>
                <w:rFonts w:ascii="Cambria" w:hAnsi="Cambria" w:cstheme="minorBidi"/>
                <w:b/>
                <w:sz w:val="14"/>
                <w:szCs w:val="22"/>
              </w:rPr>
              <w:t>Steps</w:t>
            </w:r>
          </w:p>
        </w:tc>
        <w:tc>
          <w:tcPr>
            <w:tcW w:w="1188" w:type="dxa"/>
            <w:vMerge w:val="restart"/>
            <w:tcBorders>
              <w:top w:val="single" w:sz="8" w:space="0" w:color="auto"/>
              <w:bottom w:val="single" w:sz="8" w:space="0" w:color="auto"/>
            </w:tcBorders>
          </w:tcPr>
          <w:p w:rsidR="00E611E3" w:rsidRPr="003F4FD0" w:rsidRDefault="00E611E3" w:rsidP="00E05897">
            <w:pPr>
              <w:jc w:val="center"/>
              <w:rPr>
                <w:rFonts w:ascii="Cambria" w:hAnsi="Cambria"/>
                <w:b/>
                <w:sz w:val="14"/>
              </w:rPr>
            </w:pPr>
          </w:p>
          <w:p w:rsidR="00E611E3" w:rsidRPr="003F4FD0" w:rsidRDefault="00E611E3" w:rsidP="00E05897">
            <w:pPr>
              <w:jc w:val="center"/>
              <w:rPr>
                <w:rFonts w:ascii="Cambria" w:hAnsi="Cambria"/>
                <w:b/>
                <w:sz w:val="14"/>
              </w:rPr>
            </w:pPr>
          </w:p>
          <w:p w:rsidR="00E611E3" w:rsidRDefault="00E611E3" w:rsidP="00E05897">
            <w:pPr>
              <w:jc w:val="center"/>
              <w:rPr>
                <w:rFonts w:ascii="Cambria" w:hAnsi="Cambria"/>
                <w:b/>
                <w:sz w:val="14"/>
              </w:rPr>
            </w:pPr>
          </w:p>
          <w:p w:rsidR="00E611E3" w:rsidRDefault="00E611E3" w:rsidP="00E05897">
            <w:pPr>
              <w:jc w:val="center"/>
              <w:rPr>
                <w:rFonts w:ascii="Cambria" w:hAnsi="Cambria"/>
                <w:b/>
                <w:sz w:val="14"/>
              </w:rPr>
            </w:pPr>
          </w:p>
          <w:p w:rsidR="00E611E3" w:rsidRPr="003F4FD0" w:rsidRDefault="00E611E3" w:rsidP="00E05897">
            <w:pPr>
              <w:jc w:val="center"/>
              <w:rPr>
                <w:rFonts w:ascii="Cambria" w:hAnsi="Cambria"/>
                <w:b/>
                <w:sz w:val="14"/>
              </w:rPr>
            </w:pPr>
            <w:r w:rsidRPr="003F4FD0">
              <w:rPr>
                <w:rFonts w:ascii="Cambria" w:hAnsi="Cambria"/>
                <w:b/>
                <w:sz w:val="14"/>
              </w:rPr>
              <w:t xml:space="preserve">Grating </w:t>
            </w:r>
            <w:r w:rsidRPr="003F4FD0">
              <w:rPr>
                <w:rFonts w:ascii="Cambria" w:hAnsi="Cambria" w:cstheme="minorBidi"/>
                <w:b/>
                <w:sz w:val="14"/>
                <w:szCs w:val="22"/>
              </w:rPr>
              <w:t>Height</w:t>
            </w:r>
            <w:r w:rsidRPr="003F4FD0">
              <w:rPr>
                <w:rFonts w:ascii="Cambria" w:hAnsi="Cambria"/>
                <w:b/>
                <w:sz w:val="14"/>
              </w:rPr>
              <w:t xml:space="preserve"> (nm)</w:t>
            </w:r>
          </w:p>
        </w:tc>
        <w:tc>
          <w:tcPr>
            <w:tcW w:w="1021" w:type="dxa"/>
            <w:vMerge w:val="restart"/>
            <w:tcBorders>
              <w:top w:val="single" w:sz="8" w:space="0" w:color="auto"/>
              <w:bottom w:val="single" w:sz="8" w:space="0" w:color="auto"/>
            </w:tcBorders>
          </w:tcPr>
          <w:p w:rsidR="00E611E3" w:rsidRPr="003F4FD0" w:rsidRDefault="00E611E3" w:rsidP="00E05897">
            <w:pPr>
              <w:jc w:val="center"/>
              <w:rPr>
                <w:rFonts w:ascii="Cambria" w:hAnsi="Cambria"/>
                <w:b/>
                <w:sz w:val="14"/>
              </w:rPr>
            </w:pPr>
          </w:p>
          <w:p w:rsidR="00E611E3" w:rsidRPr="003F4FD0" w:rsidRDefault="00E611E3" w:rsidP="00E05897">
            <w:pPr>
              <w:jc w:val="center"/>
              <w:rPr>
                <w:rFonts w:ascii="Cambria" w:hAnsi="Cambria"/>
                <w:b/>
                <w:sz w:val="14"/>
              </w:rPr>
            </w:pPr>
          </w:p>
          <w:p w:rsidR="00E611E3" w:rsidRDefault="00E611E3" w:rsidP="00E05897">
            <w:pPr>
              <w:jc w:val="center"/>
              <w:rPr>
                <w:rFonts w:ascii="Cambria" w:hAnsi="Cambria" w:cstheme="minorBidi"/>
                <w:b/>
                <w:sz w:val="14"/>
                <w:szCs w:val="22"/>
              </w:rPr>
            </w:pPr>
          </w:p>
          <w:p w:rsidR="00E611E3" w:rsidRDefault="00E611E3" w:rsidP="00E05897">
            <w:pPr>
              <w:jc w:val="center"/>
              <w:rPr>
                <w:rFonts w:ascii="Cambria" w:hAnsi="Cambria" w:cstheme="minorBidi"/>
                <w:b/>
                <w:sz w:val="14"/>
                <w:szCs w:val="22"/>
              </w:rPr>
            </w:pPr>
          </w:p>
          <w:p w:rsidR="00E611E3" w:rsidRPr="003F4FD0" w:rsidRDefault="00E611E3" w:rsidP="00E05897">
            <w:pPr>
              <w:jc w:val="center"/>
              <w:rPr>
                <w:rFonts w:ascii="Cambria" w:hAnsi="Cambria"/>
                <w:b/>
                <w:sz w:val="14"/>
              </w:rPr>
            </w:pPr>
            <w:r w:rsidRPr="003F4FD0">
              <w:rPr>
                <w:rFonts w:ascii="Cambria" w:hAnsi="Cambria" w:cstheme="minorBidi"/>
                <w:b/>
                <w:sz w:val="14"/>
                <w:szCs w:val="22"/>
              </w:rPr>
              <w:t>F</w:t>
            </w:r>
            <w:r w:rsidRPr="003F4FD0">
              <w:rPr>
                <w:rFonts w:ascii="Cambria" w:hAnsi="Cambria"/>
                <w:b/>
                <w:sz w:val="14"/>
              </w:rPr>
              <w:t xml:space="preserve">eature </w:t>
            </w:r>
            <w:r w:rsidRPr="003F4FD0">
              <w:rPr>
                <w:rFonts w:ascii="Cambria" w:hAnsi="Cambria" w:cstheme="minorBidi"/>
                <w:b/>
                <w:sz w:val="14"/>
                <w:szCs w:val="22"/>
              </w:rPr>
              <w:t>Size</w:t>
            </w:r>
            <w:r w:rsidRPr="003F4FD0">
              <w:rPr>
                <w:rFonts w:ascii="Cambria" w:hAnsi="Cambria"/>
                <w:b/>
                <w:sz w:val="14"/>
              </w:rPr>
              <w:t xml:space="preserve"> (nm)</w:t>
            </w:r>
          </w:p>
        </w:tc>
        <w:tc>
          <w:tcPr>
            <w:tcW w:w="1020" w:type="dxa"/>
            <w:vMerge w:val="restart"/>
            <w:tcBorders>
              <w:top w:val="single" w:sz="8" w:space="0" w:color="auto"/>
              <w:bottom w:val="single" w:sz="8" w:space="0" w:color="auto"/>
            </w:tcBorders>
          </w:tcPr>
          <w:p w:rsidR="00E611E3" w:rsidRPr="003F4FD0" w:rsidRDefault="00E611E3" w:rsidP="00E05897">
            <w:pPr>
              <w:rPr>
                <w:rFonts w:ascii="Cambria" w:hAnsi="Cambria"/>
                <w:b/>
                <w:sz w:val="14"/>
              </w:rPr>
            </w:pPr>
          </w:p>
          <w:p w:rsidR="00E611E3" w:rsidRPr="003F4FD0" w:rsidRDefault="00E611E3" w:rsidP="00E05897">
            <w:pPr>
              <w:jc w:val="center"/>
              <w:rPr>
                <w:rFonts w:ascii="Cambria" w:hAnsi="Cambria"/>
                <w:b/>
                <w:sz w:val="14"/>
              </w:rPr>
            </w:pPr>
          </w:p>
          <w:p w:rsidR="00E611E3" w:rsidRDefault="00E611E3" w:rsidP="00E05897">
            <w:pPr>
              <w:jc w:val="center"/>
              <w:rPr>
                <w:rFonts w:ascii="Cambria" w:hAnsi="Cambria" w:cstheme="minorBidi"/>
                <w:b/>
                <w:sz w:val="14"/>
                <w:szCs w:val="22"/>
              </w:rPr>
            </w:pPr>
          </w:p>
          <w:p w:rsidR="00E611E3" w:rsidRDefault="00E611E3" w:rsidP="00E05897">
            <w:pPr>
              <w:jc w:val="center"/>
              <w:rPr>
                <w:rFonts w:ascii="Cambria" w:hAnsi="Cambria" w:cstheme="minorBidi"/>
                <w:b/>
                <w:sz w:val="14"/>
                <w:szCs w:val="22"/>
              </w:rPr>
            </w:pPr>
          </w:p>
          <w:p w:rsidR="00E611E3" w:rsidRPr="003F4FD0" w:rsidRDefault="00E611E3" w:rsidP="00E05897">
            <w:pPr>
              <w:jc w:val="center"/>
              <w:rPr>
                <w:rFonts w:ascii="Cambria" w:hAnsi="Cambria"/>
                <w:b/>
                <w:sz w:val="14"/>
              </w:rPr>
            </w:pPr>
            <w:r w:rsidRPr="003F4FD0">
              <w:rPr>
                <w:rFonts w:ascii="Cambria" w:hAnsi="Cambria" w:cstheme="minorBidi"/>
                <w:b/>
                <w:sz w:val="14"/>
                <w:szCs w:val="22"/>
              </w:rPr>
              <w:t>Footprint</w:t>
            </w:r>
            <w:r w:rsidRPr="003F4FD0">
              <w:rPr>
                <w:rFonts w:ascii="Cambria" w:hAnsi="Cambria"/>
                <w:b/>
                <w:sz w:val="14"/>
              </w:rPr>
              <w:t xml:space="preserve"> (µm</w:t>
            </w:r>
            <w:r w:rsidRPr="003F4FD0">
              <w:rPr>
                <w:rFonts w:ascii="Cambria" w:hAnsi="Cambria"/>
                <w:b/>
                <w:sz w:val="14"/>
                <w:vertAlign w:val="superscript"/>
              </w:rPr>
              <w:t>2</w:t>
            </w:r>
            <w:r w:rsidRPr="003F4FD0">
              <w:rPr>
                <w:rFonts w:ascii="Cambria" w:hAnsi="Cambria"/>
                <w:b/>
                <w:sz w:val="14"/>
              </w:rPr>
              <w:t>)</w:t>
            </w:r>
          </w:p>
        </w:tc>
      </w:tr>
      <w:tr w:rsidR="00E611E3" w:rsidRPr="003F4FD0" w:rsidTr="00E05897">
        <w:trPr>
          <w:trHeight w:val="175"/>
        </w:trPr>
        <w:tc>
          <w:tcPr>
            <w:tcW w:w="1014"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cstheme="minorBidi"/>
                <w:b/>
                <w:sz w:val="14"/>
                <w:szCs w:val="22"/>
              </w:rPr>
              <w:t>References</w:t>
            </w:r>
          </w:p>
        </w:tc>
        <w:tc>
          <w:tcPr>
            <w:tcW w:w="679" w:type="dxa"/>
            <w:tcBorders>
              <w:bottom w:val="single" w:sz="8" w:space="0" w:color="auto"/>
            </w:tcBorders>
          </w:tcPr>
          <w:p w:rsidR="00E611E3" w:rsidRPr="003F4FD0" w:rsidRDefault="00E611E3" w:rsidP="00E05897">
            <w:pPr>
              <w:jc w:val="center"/>
              <w:rPr>
                <w:rFonts w:ascii="Cambria" w:hAnsi="Cambria"/>
                <w:b/>
                <w:sz w:val="14"/>
              </w:rPr>
            </w:pPr>
            <w:r>
              <w:rPr>
                <w:rFonts w:ascii="Cambria" w:hAnsi="Cambria"/>
                <w:b/>
                <w:sz w:val="14"/>
              </w:rPr>
              <w:t>Sim</w:t>
            </w:r>
          </w:p>
        </w:tc>
        <w:tc>
          <w:tcPr>
            <w:tcW w:w="68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Exp</w:t>
            </w:r>
          </w:p>
        </w:tc>
        <w:tc>
          <w:tcPr>
            <w:tcW w:w="679"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Sim</w:t>
            </w:r>
          </w:p>
        </w:tc>
        <w:tc>
          <w:tcPr>
            <w:tcW w:w="680"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Exp</w:t>
            </w:r>
          </w:p>
        </w:tc>
        <w:tc>
          <w:tcPr>
            <w:tcW w:w="679"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Sim</w:t>
            </w:r>
          </w:p>
        </w:tc>
        <w:tc>
          <w:tcPr>
            <w:tcW w:w="680"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Exp</w:t>
            </w:r>
          </w:p>
        </w:tc>
        <w:tc>
          <w:tcPr>
            <w:tcW w:w="850"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Etching</w:t>
            </w:r>
          </w:p>
        </w:tc>
        <w:tc>
          <w:tcPr>
            <w:tcW w:w="1020" w:type="dxa"/>
            <w:tcBorders>
              <w:bottom w:val="single" w:sz="8" w:space="0" w:color="auto"/>
            </w:tcBorders>
          </w:tcPr>
          <w:p w:rsidR="00E611E3" w:rsidRPr="003F4FD0" w:rsidRDefault="00E611E3" w:rsidP="00E05897">
            <w:pPr>
              <w:spacing w:line="360" w:lineRule="auto"/>
              <w:jc w:val="center"/>
              <w:rPr>
                <w:rFonts w:ascii="Cambria" w:hAnsi="Cambria"/>
                <w:b/>
                <w:sz w:val="14"/>
              </w:rPr>
            </w:pPr>
            <w:r w:rsidRPr="003F4FD0">
              <w:rPr>
                <w:rFonts w:ascii="Cambria" w:hAnsi="Cambria"/>
                <w:b/>
                <w:sz w:val="14"/>
              </w:rPr>
              <w:t>Deposition</w:t>
            </w:r>
          </w:p>
        </w:tc>
        <w:tc>
          <w:tcPr>
            <w:tcW w:w="1188" w:type="dxa"/>
            <w:vMerge/>
            <w:tcBorders>
              <w:bottom w:val="single" w:sz="8" w:space="0" w:color="auto"/>
            </w:tcBorders>
          </w:tcPr>
          <w:p w:rsidR="00E611E3" w:rsidRPr="003F4FD0" w:rsidRDefault="00E611E3" w:rsidP="00E05897">
            <w:pPr>
              <w:jc w:val="center"/>
              <w:rPr>
                <w:rFonts w:ascii="Cambria" w:hAnsi="Cambria"/>
                <w:b/>
                <w:sz w:val="14"/>
              </w:rPr>
            </w:pPr>
          </w:p>
        </w:tc>
        <w:tc>
          <w:tcPr>
            <w:tcW w:w="1021" w:type="dxa"/>
            <w:vMerge/>
            <w:tcBorders>
              <w:bottom w:val="single" w:sz="8" w:space="0" w:color="auto"/>
            </w:tcBorders>
          </w:tcPr>
          <w:p w:rsidR="00E611E3" w:rsidRPr="003F4FD0" w:rsidRDefault="00E611E3" w:rsidP="00E05897">
            <w:pPr>
              <w:jc w:val="center"/>
              <w:rPr>
                <w:rFonts w:ascii="Cambria" w:hAnsi="Cambria"/>
                <w:b/>
                <w:sz w:val="14"/>
              </w:rPr>
            </w:pPr>
          </w:p>
        </w:tc>
        <w:tc>
          <w:tcPr>
            <w:tcW w:w="1020" w:type="dxa"/>
            <w:vMerge/>
            <w:tcBorders>
              <w:bottom w:val="single" w:sz="8" w:space="0" w:color="auto"/>
            </w:tcBorders>
          </w:tcPr>
          <w:p w:rsidR="00E611E3" w:rsidRPr="003F4FD0" w:rsidRDefault="00E611E3" w:rsidP="00E05897">
            <w:pPr>
              <w:jc w:val="center"/>
              <w:rPr>
                <w:rFonts w:ascii="Cambria" w:hAnsi="Cambria"/>
                <w:b/>
                <w:sz w:val="14"/>
              </w:rPr>
            </w:pPr>
          </w:p>
        </w:tc>
      </w:tr>
      <w:tr w:rsidR="00E611E3" w:rsidRPr="003F4FD0" w:rsidTr="00E05897">
        <w:trPr>
          <w:trHeight w:val="162"/>
        </w:trPr>
        <w:tc>
          <w:tcPr>
            <w:tcW w:w="1014"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w:t>
            </w:r>
            <w:r>
              <w:rPr>
                <w:rFonts w:ascii="Cambria" w:hAnsi="Cambria"/>
                <w:b/>
                <w:sz w:val="14"/>
              </w:rPr>
              <w:t>2</w:t>
            </w:r>
            <w:r w:rsidRPr="003F4FD0">
              <w:rPr>
                <w:rFonts w:ascii="Cambria" w:hAnsi="Cambria"/>
                <w:b/>
                <w:sz w:val="14"/>
              </w:rPr>
              <w:t>]</w:t>
            </w:r>
          </w:p>
        </w:tc>
        <w:tc>
          <w:tcPr>
            <w:tcW w:w="679"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50</w:t>
            </w:r>
          </w:p>
        </w:tc>
        <w:tc>
          <w:tcPr>
            <w:tcW w:w="68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68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68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85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w:t>
            </w:r>
          </w:p>
        </w:tc>
        <w:tc>
          <w:tcPr>
            <w:tcW w:w="102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w:t>
            </w:r>
          </w:p>
        </w:tc>
        <w:tc>
          <w:tcPr>
            <w:tcW w:w="1188"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370</w:t>
            </w:r>
          </w:p>
        </w:tc>
        <w:tc>
          <w:tcPr>
            <w:tcW w:w="1021"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160</w:t>
            </w:r>
          </w:p>
        </w:tc>
        <w:tc>
          <w:tcPr>
            <w:tcW w:w="1020" w:type="dxa"/>
            <w:tcBorders>
              <w:top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r>
      <w:tr w:rsidR="00E611E3" w:rsidRPr="003F4FD0" w:rsidTr="00E05897">
        <w:trPr>
          <w:trHeight w:val="142"/>
        </w:trPr>
        <w:tc>
          <w:tcPr>
            <w:tcW w:w="1014" w:type="dxa"/>
          </w:tcPr>
          <w:p w:rsidR="00E611E3" w:rsidRPr="003F4FD0" w:rsidRDefault="00E611E3" w:rsidP="00E05897">
            <w:pPr>
              <w:jc w:val="center"/>
              <w:rPr>
                <w:rFonts w:ascii="Cambria" w:hAnsi="Cambria"/>
                <w:b/>
                <w:sz w:val="14"/>
              </w:rPr>
            </w:pPr>
            <w:r w:rsidRPr="003F4FD0">
              <w:rPr>
                <w:rFonts w:ascii="Cambria" w:hAnsi="Cambria"/>
                <w:b/>
                <w:sz w:val="14"/>
              </w:rPr>
              <w:t>[1</w:t>
            </w:r>
            <w:r>
              <w:rPr>
                <w:rFonts w:ascii="Cambria" w:hAnsi="Cambria"/>
                <w:b/>
                <w:sz w:val="14"/>
              </w:rPr>
              <w:t>6</w:t>
            </w: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66.2</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57</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&lt;-20</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Pr>
                <w:rFonts w:ascii="Cambria" w:hAnsi="Cambria"/>
                <w:b/>
                <w:sz w:val="14"/>
              </w:rPr>
              <w:t xml:space="preserve">   </w:t>
            </w:r>
            <w:r w:rsidRPr="003F4FD0">
              <w:rPr>
                <w:rFonts w:ascii="Cambria" w:hAnsi="Cambria"/>
                <w:b/>
                <w:sz w:val="14"/>
              </w:rPr>
              <w:t>33</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28-39</w:t>
            </w:r>
          </w:p>
        </w:tc>
        <w:tc>
          <w:tcPr>
            <w:tcW w:w="850" w:type="dxa"/>
          </w:tcPr>
          <w:p w:rsidR="00E611E3" w:rsidRPr="003F4FD0" w:rsidRDefault="00E611E3" w:rsidP="00E05897">
            <w:pPr>
              <w:jc w:val="center"/>
              <w:rPr>
                <w:rFonts w:ascii="Cambria" w:hAnsi="Cambria"/>
                <w:b/>
                <w:sz w:val="14"/>
              </w:rPr>
            </w:pPr>
            <w:r w:rsidRPr="003F4FD0">
              <w:rPr>
                <w:rFonts w:ascii="Cambria" w:hAnsi="Cambria"/>
                <w:b/>
                <w:sz w:val="14"/>
              </w:rPr>
              <w:t>3</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1</w:t>
            </w:r>
          </w:p>
        </w:tc>
        <w:tc>
          <w:tcPr>
            <w:tcW w:w="1188" w:type="dxa"/>
          </w:tcPr>
          <w:p w:rsidR="00E611E3" w:rsidRPr="003F4FD0" w:rsidRDefault="00E611E3" w:rsidP="00E05897">
            <w:pPr>
              <w:jc w:val="center"/>
              <w:rPr>
                <w:rFonts w:ascii="Cambria" w:hAnsi="Cambria"/>
                <w:b/>
                <w:sz w:val="14"/>
              </w:rPr>
            </w:pPr>
            <w:r w:rsidRPr="003F4FD0">
              <w:rPr>
                <w:rFonts w:ascii="Cambria" w:hAnsi="Cambria"/>
                <w:b/>
                <w:sz w:val="14"/>
              </w:rPr>
              <w:t>340</w:t>
            </w:r>
          </w:p>
        </w:tc>
        <w:tc>
          <w:tcPr>
            <w:tcW w:w="1021" w:type="dxa"/>
          </w:tcPr>
          <w:p w:rsidR="00E611E3" w:rsidRPr="003F4FD0" w:rsidRDefault="00E611E3" w:rsidP="00E05897">
            <w:pPr>
              <w:jc w:val="center"/>
              <w:rPr>
                <w:rFonts w:ascii="Cambria" w:hAnsi="Cambria"/>
                <w:b/>
                <w:sz w:val="14"/>
              </w:rPr>
            </w:pPr>
            <w:r w:rsidRPr="003F4FD0">
              <w:rPr>
                <w:rFonts w:ascii="Cambria" w:hAnsi="Cambria"/>
                <w:b/>
                <w:sz w:val="14"/>
              </w:rPr>
              <w:t>145</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~60×10</w:t>
            </w:r>
          </w:p>
        </w:tc>
      </w:tr>
      <w:tr w:rsidR="00E611E3" w:rsidRPr="003F4FD0" w:rsidTr="00E05897">
        <w:trPr>
          <w:trHeight w:val="116"/>
        </w:trPr>
        <w:tc>
          <w:tcPr>
            <w:tcW w:w="1014" w:type="dxa"/>
          </w:tcPr>
          <w:p w:rsidR="00E611E3" w:rsidRPr="003F4FD0" w:rsidRDefault="00E611E3" w:rsidP="00E05897">
            <w:pPr>
              <w:jc w:val="center"/>
              <w:rPr>
                <w:rFonts w:ascii="Cambria" w:hAnsi="Cambria"/>
                <w:b/>
                <w:sz w:val="14"/>
              </w:rPr>
            </w:pPr>
            <w:r w:rsidRPr="003F4FD0">
              <w:rPr>
                <w:rFonts w:ascii="Cambria" w:hAnsi="Cambria"/>
                <w:b/>
                <w:sz w:val="14"/>
              </w:rPr>
              <w:t>[1</w:t>
            </w:r>
            <w:r>
              <w:rPr>
                <w:rFonts w:ascii="Cambria" w:hAnsi="Cambria"/>
                <w:b/>
                <w:sz w:val="14"/>
              </w:rPr>
              <w:t>4</w:t>
            </w: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70</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&lt;-20</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&lt;35</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850" w:type="dxa"/>
          </w:tcPr>
          <w:p w:rsidR="00E611E3" w:rsidRPr="003F4FD0" w:rsidRDefault="00E611E3" w:rsidP="00E05897">
            <w:pPr>
              <w:jc w:val="center"/>
              <w:rPr>
                <w:rFonts w:ascii="Cambria" w:hAnsi="Cambria"/>
                <w:b/>
                <w:sz w:val="14"/>
              </w:rPr>
            </w:pPr>
            <w:r w:rsidRPr="003F4FD0">
              <w:rPr>
                <w:rFonts w:ascii="Cambria" w:hAnsi="Cambria"/>
                <w:b/>
                <w:sz w:val="14"/>
              </w:rPr>
              <w:t>2</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1</w:t>
            </w:r>
          </w:p>
        </w:tc>
        <w:tc>
          <w:tcPr>
            <w:tcW w:w="1188" w:type="dxa"/>
          </w:tcPr>
          <w:p w:rsidR="00E611E3" w:rsidRPr="003F4FD0" w:rsidRDefault="00E611E3" w:rsidP="00E05897">
            <w:pPr>
              <w:jc w:val="center"/>
              <w:rPr>
                <w:rFonts w:ascii="Cambria" w:hAnsi="Cambria"/>
                <w:b/>
                <w:sz w:val="14"/>
              </w:rPr>
            </w:pPr>
            <w:r w:rsidRPr="003F4FD0">
              <w:rPr>
                <w:rFonts w:ascii="Cambria" w:hAnsi="Cambria"/>
                <w:b/>
                <w:sz w:val="14"/>
              </w:rPr>
              <w:t>300</w:t>
            </w:r>
          </w:p>
        </w:tc>
        <w:tc>
          <w:tcPr>
            <w:tcW w:w="1021" w:type="dxa"/>
          </w:tcPr>
          <w:p w:rsidR="00E611E3" w:rsidRPr="003F4FD0" w:rsidRDefault="00E611E3" w:rsidP="00E05897">
            <w:pPr>
              <w:jc w:val="center"/>
              <w:rPr>
                <w:rFonts w:ascii="Cambria" w:hAnsi="Cambria"/>
                <w:b/>
                <w:sz w:val="14"/>
              </w:rPr>
            </w:pPr>
            <w:r w:rsidRPr="003F4FD0">
              <w:rPr>
                <w:rFonts w:ascii="Cambria" w:hAnsi="Cambria"/>
                <w:b/>
                <w:sz w:val="14"/>
              </w:rPr>
              <w:t>130</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w:t>
            </w:r>
          </w:p>
        </w:tc>
      </w:tr>
      <w:tr w:rsidR="00E611E3" w:rsidRPr="003F4FD0" w:rsidTr="00E05897">
        <w:trPr>
          <w:trHeight w:val="148"/>
        </w:trPr>
        <w:tc>
          <w:tcPr>
            <w:tcW w:w="1014" w:type="dxa"/>
          </w:tcPr>
          <w:p w:rsidR="00E611E3" w:rsidRPr="003F4FD0" w:rsidRDefault="00E611E3" w:rsidP="00E05897">
            <w:pPr>
              <w:jc w:val="center"/>
              <w:rPr>
                <w:rFonts w:ascii="Cambria" w:hAnsi="Cambria"/>
                <w:b/>
                <w:sz w:val="14"/>
              </w:rPr>
            </w:pPr>
            <w:r w:rsidRPr="003F4FD0">
              <w:rPr>
                <w:rFonts w:ascii="Cambria" w:hAnsi="Cambria"/>
                <w:b/>
                <w:sz w:val="14"/>
              </w:rPr>
              <w:t>[</w:t>
            </w:r>
            <w:r>
              <w:rPr>
                <w:rFonts w:ascii="Cambria" w:hAnsi="Cambria"/>
                <w:b/>
                <w:sz w:val="14"/>
              </w:rPr>
              <w:t>9</w:t>
            </w: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78</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60</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&lt;-20</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&lt;-11</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850" w:type="dxa"/>
          </w:tcPr>
          <w:p w:rsidR="00E611E3" w:rsidRPr="003F4FD0" w:rsidRDefault="00E611E3" w:rsidP="00E05897">
            <w:pPr>
              <w:jc w:val="center"/>
              <w:rPr>
                <w:rFonts w:ascii="Cambria" w:hAnsi="Cambria"/>
                <w:b/>
                <w:sz w:val="14"/>
              </w:rPr>
            </w:pPr>
            <w:r w:rsidRPr="003F4FD0">
              <w:rPr>
                <w:rFonts w:ascii="Cambria" w:hAnsi="Cambria"/>
                <w:b/>
                <w:sz w:val="14"/>
              </w:rPr>
              <w:t>2</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1188" w:type="dxa"/>
          </w:tcPr>
          <w:p w:rsidR="00E611E3" w:rsidRPr="003F4FD0" w:rsidRDefault="00E611E3" w:rsidP="00E05897">
            <w:pPr>
              <w:jc w:val="center"/>
              <w:rPr>
                <w:rFonts w:ascii="Cambria" w:hAnsi="Cambria"/>
                <w:b/>
                <w:sz w:val="14"/>
              </w:rPr>
            </w:pPr>
            <w:r w:rsidRPr="003F4FD0">
              <w:rPr>
                <w:rFonts w:ascii="Cambria" w:hAnsi="Cambria"/>
                <w:b/>
                <w:sz w:val="14"/>
              </w:rPr>
              <w:t>220</w:t>
            </w:r>
          </w:p>
        </w:tc>
        <w:tc>
          <w:tcPr>
            <w:tcW w:w="1021" w:type="dxa"/>
          </w:tcPr>
          <w:p w:rsidR="00E611E3" w:rsidRPr="003F4FD0" w:rsidRDefault="00E611E3" w:rsidP="00E05897">
            <w:pPr>
              <w:jc w:val="center"/>
              <w:rPr>
                <w:rFonts w:ascii="Cambria" w:hAnsi="Cambria"/>
                <w:b/>
                <w:sz w:val="14"/>
              </w:rPr>
            </w:pPr>
            <w:r w:rsidRPr="003F4FD0">
              <w:rPr>
                <w:rFonts w:ascii="Cambria" w:hAnsi="Cambria"/>
                <w:b/>
                <w:sz w:val="14"/>
              </w:rPr>
              <w:t>81</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~200×14</w:t>
            </w:r>
          </w:p>
        </w:tc>
      </w:tr>
      <w:tr w:rsidR="00E611E3" w:rsidRPr="003F4FD0" w:rsidTr="00E05897">
        <w:trPr>
          <w:trHeight w:val="113"/>
        </w:trPr>
        <w:tc>
          <w:tcPr>
            <w:tcW w:w="1014" w:type="dxa"/>
          </w:tcPr>
          <w:p w:rsidR="00E611E3" w:rsidRPr="003F4FD0" w:rsidRDefault="00E611E3" w:rsidP="00E05897">
            <w:pPr>
              <w:jc w:val="center"/>
              <w:rPr>
                <w:rFonts w:ascii="Cambria" w:hAnsi="Cambria"/>
                <w:b/>
                <w:sz w:val="14"/>
              </w:rPr>
            </w:pPr>
            <w:r w:rsidRPr="003F4FD0">
              <w:rPr>
                <w:rFonts w:ascii="Cambria" w:hAnsi="Cambria"/>
                <w:b/>
                <w:sz w:val="14"/>
              </w:rPr>
              <w:t>[</w:t>
            </w:r>
            <w:r>
              <w:rPr>
                <w:rFonts w:ascii="Cambria" w:hAnsi="Cambria"/>
                <w:b/>
                <w:sz w:val="14"/>
              </w:rPr>
              <w:t>9</w:t>
            </w: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87</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71</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&lt;-11</w:t>
            </w:r>
          </w:p>
        </w:tc>
        <w:tc>
          <w:tcPr>
            <w:tcW w:w="680" w:type="dxa"/>
          </w:tcPr>
          <w:p w:rsidR="00E611E3" w:rsidRPr="003F4FD0" w:rsidRDefault="00E611E3" w:rsidP="00E05897">
            <w:pPr>
              <w:rPr>
                <w:rFonts w:ascii="Cambria" w:hAnsi="Cambria"/>
                <w:b/>
                <w:sz w:val="14"/>
              </w:rPr>
            </w:pPr>
            <w:r>
              <w:rPr>
                <w:rFonts w:ascii="Cambria" w:hAnsi="Cambria"/>
                <w:b/>
                <w:sz w:val="14"/>
              </w:rPr>
              <w:t xml:space="preserve">   </w:t>
            </w:r>
            <w:r w:rsidRPr="003F4FD0">
              <w:rPr>
                <w:rFonts w:ascii="Cambria" w:hAnsi="Cambria"/>
                <w:b/>
                <w:sz w:val="14"/>
              </w:rPr>
              <w:t>&lt;-6</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850" w:type="dxa"/>
          </w:tcPr>
          <w:p w:rsidR="00E611E3" w:rsidRPr="003F4FD0" w:rsidRDefault="00E611E3" w:rsidP="00E05897">
            <w:pPr>
              <w:jc w:val="center"/>
              <w:rPr>
                <w:rFonts w:ascii="Cambria" w:hAnsi="Cambria"/>
                <w:b/>
                <w:sz w:val="14"/>
              </w:rPr>
            </w:pPr>
            <w:r w:rsidRPr="003F4FD0">
              <w:rPr>
                <w:rFonts w:ascii="Cambria" w:hAnsi="Cambria"/>
                <w:b/>
                <w:sz w:val="14"/>
              </w:rPr>
              <w:t>2</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w:t>
            </w:r>
          </w:p>
        </w:tc>
        <w:tc>
          <w:tcPr>
            <w:tcW w:w="1188" w:type="dxa"/>
          </w:tcPr>
          <w:p w:rsidR="00E611E3" w:rsidRPr="003F4FD0" w:rsidRDefault="00E611E3" w:rsidP="00E05897">
            <w:pPr>
              <w:jc w:val="center"/>
              <w:rPr>
                <w:rFonts w:ascii="Cambria" w:hAnsi="Cambria"/>
                <w:b/>
                <w:sz w:val="14"/>
              </w:rPr>
            </w:pPr>
            <w:r w:rsidRPr="003F4FD0">
              <w:rPr>
                <w:rFonts w:ascii="Cambria" w:hAnsi="Cambria"/>
                <w:b/>
                <w:sz w:val="14"/>
              </w:rPr>
              <w:t>220</w:t>
            </w:r>
          </w:p>
        </w:tc>
        <w:tc>
          <w:tcPr>
            <w:tcW w:w="1021" w:type="dxa"/>
          </w:tcPr>
          <w:p w:rsidR="00E611E3" w:rsidRPr="003F4FD0" w:rsidRDefault="00E611E3" w:rsidP="00E05897">
            <w:pPr>
              <w:jc w:val="center"/>
              <w:rPr>
                <w:rFonts w:ascii="Cambria" w:hAnsi="Cambria"/>
                <w:b/>
                <w:sz w:val="14"/>
              </w:rPr>
            </w:pPr>
            <w:r w:rsidRPr="003F4FD0">
              <w:rPr>
                <w:rFonts w:ascii="Cambria" w:hAnsi="Cambria"/>
                <w:b/>
                <w:sz w:val="14"/>
              </w:rPr>
              <w:t>&lt;40</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~200×14</w:t>
            </w:r>
          </w:p>
        </w:tc>
      </w:tr>
      <w:tr w:rsidR="00E611E3" w:rsidRPr="003F4FD0" w:rsidTr="00E05897">
        <w:trPr>
          <w:trHeight w:val="113"/>
        </w:trPr>
        <w:tc>
          <w:tcPr>
            <w:tcW w:w="1014" w:type="dxa"/>
          </w:tcPr>
          <w:p w:rsidR="00E611E3" w:rsidRPr="003F4FD0" w:rsidRDefault="00E611E3" w:rsidP="00E05897">
            <w:pPr>
              <w:jc w:val="center"/>
              <w:rPr>
                <w:rFonts w:ascii="Cambria" w:hAnsi="Cambria"/>
                <w:b/>
                <w:sz w:val="14"/>
              </w:rPr>
            </w:pPr>
            <w:r w:rsidRPr="003F4FD0">
              <w:rPr>
                <w:rFonts w:ascii="Cambria" w:hAnsi="Cambria"/>
                <w:b/>
                <w:sz w:val="14"/>
              </w:rPr>
              <w:t>[</w:t>
            </w:r>
            <w:r>
              <w:rPr>
                <w:rFonts w:ascii="Cambria" w:hAnsi="Cambria"/>
                <w:b/>
                <w:sz w:val="14"/>
              </w:rPr>
              <w:t>8</w:t>
            </w:r>
            <w:r w:rsidRPr="003F4FD0">
              <w:rPr>
                <w:rFonts w:ascii="Cambria" w:hAnsi="Cambria"/>
                <w:b/>
                <w:sz w:val="14"/>
              </w:rPr>
              <w:t>]</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62</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54</w:t>
            </w:r>
          </w:p>
        </w:tc>
        <w:tc>
          <w:tcPr>
            <w:tcW w:w="679" w:type="dxa"/>
          </w:tcPr>
          <w:p w:rsidR="00E611E3" w:rsidRPr="003F4FD0" w:rsidRDefault="00E611E3" w:rsidP="00E05897">
            <w:pPr>
              <w:jc w:val="center"/>
              <w:rPr>
                <w:rFonts w:ascii="Cambria" w:hAnsi="Cambria"/>
                <w:b/>
                <w:sz w:val="14"/>
              </w:rPr>
            </w:pPr>
            <w:r w:rsidRPr="003F4FD0">
              <w:rPr>
                <w:rFonts w:ascii="Cambria" w:hAnsi="Cambria"/>
                <w:b/>
                <w:sz w:val="14"/>
              </w:rPr>
              <w:t>&lt;-20</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&lt;-16</w:t>
            </w:r>
          </w:p>
        </w:tc>
        <w:tc>
          <w:tcPr>
            <w:tcW w:w="679" w:type="dxa"/>
          </w:tcPr>
          <w:p w:rsidR="00E611E3" w:rsidRPr="003F4FD0" w:rsidRDefault="00E611E3" w:rsidP="00E05897">
            <w:pPr>
              <w:jc w:val="center"/>
              <w:rPr>
                <w:rFonts w:ascii="Cambria" w:hAnsi="Cambria"/>
                <w:b/>
                <w:sz w:val="14"/>
              </w:rPr>
            </w:pPr>
            <w:r>
              <w:rPr>
                <w:rFonts w:ascii="Cambria" w:hAnsi="Cambria"/>
                <w:b/>
                <w:sz w:val="14"/>
              </w:rPr>
              <w:t xml:space="preserve"> </w:t>
            </w:r>
            <w:r w:rsidRPr="003F4FD0">
              <w:rPr>
                <w:rFonts w:ascii="Cambria" w:hAnsi="Cambria"/>
                <w:b/>
                <w:sz w:val="14"/>
              </w:rPr>
              <w:t>43</w:t>
            </w:r>
          </w:p>
        </w:tc>
        <w:tc>
          <w:tcPr>
            <w:tcW w:w="680" w:type="dxa"/>
          </w:tcPr>
          <w:p w:rsidR="00E611E3" w:rsidRPr="003F4FD0" w:rsidRDefault="00E611E3" w:rsidP="00E05897">
            <w:pPr>
              <w:jc w:val="center"/>
              <w:rPr>
                <w:rFonts w:ascii="Cambria" w:hAnsi="Cambria"/>
                <w:b/>
                <w:sz w:val="14"/>
              </w:rPr>
            </w:pPr>
            <w:r w:rsidRPr="003F4FD0">
              <w:rPr>
                <w:rFonts w:ascii="Cambria" w:hAnsi="Cambria"/>
                <w:b/>
                <w:sz w:val="14"/>
              </w:rPr>
              <w:t>33</w:t>
            </w:r>
          </w:p>
        </w:tc>
        <w:tc>
          <w:tcPr>
            <w:tcW w:w="850" w:type="dxa"/>
          </w:tcPr>
          <w:p w:rsidR="00E611E3" w:rsidRPr="003F4FD0" w:rsidRDefault="00E611E3" w:rsidP="00E05897">
            <w:pPr>
              <w:jc w:val="center"/>
              <w:rPr>
                <w:rFonts w:ascii="Cambria" w:hAnsi="Cambria"/>
                <w:b/>
                <w:sz w:val="14"/>
              </w:rPr>
            </w:pPr>
            <w:r w:rsidRPr="003F4FD0">
              <w:rPr>
                <w:rFonts w:ascii="Cambria" w:hAnsi="Cambria"/>
                <w:b/>
                <w:sz w:val="14"/>
              </w:rPr>
              <w:t>1</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1</w:t>
            </w:r>
          </w:p>
        </w:tc>
        <w:tc>
          <w:tcPr>
            <w:tcW w:w="1188" w:type="dxa"/>
          </w:tcPr>
          <w:p w:rsidR="00E611E3" w:rsidRPr="003F4FD0" w:rsidRDefault="00E611E3" w:rsidP="00E05897">
            <w:pPr>
              <w:jc w:val="center"/>
              <w:rPr>
                <w:rFonts w:ascii="Cambria" w:hAnsi="Cambria"/>
                <w:b/>
                <w:sz w:val="14"/>
              </w:rPr>
            </w:pPr>
            <w:r w:rsidRPr="003F4FD0">
              <w:rPr>
                <w:rFonts w:ascii="Cambria" w:hAnsi="Cambria"/>
                <w:b/>
                <w:sz w:val="14"/>
              </w:rPr>
              <w:t>380</w:t>
            </w:r>
          </w:p>
        </w:tc>
        <w:tc>
          <w:tcPr>
            <w:tcW w:w="1021" w:type="dxa"/>
          </w:tcPr>
          <w:p w:rsidR="00E611E3" w:rsidRPr="003F4FD0" w:rsidRDefault="00E611E3" w:rsidP="00E05897">
            <w:pPr>
              <w:jc w:val="center"/>
              <w:rPr>
                <w:rFonts w:ascii="Cambria" w:hAnsi="Cambria"/>
                <w:b/>
                <w:sz w:val="14"/>
              </w:rPr>
            </w:pPr>
            <w:r w:rsidRPr="003F4FD0">
              <w:rPr>
                <w:rFonts w:ascii="Cambria" w:hAnsi="Cambria"/>
                <w:b/>
                <w:sz w:val="14"/>
              </w:rPr>
              <w:t>206</w:t>
            </w:r>
          </w:p>
        </w:tc>
        <w:tc>
          <w:tcPr>
            <w:tcW w:w="1020" w:type="dxa"/>
          </w:tcPr>
          <w:p w:rsidR="00E611E3" w:rsidRPr="003F4FD0" w:rsidRDefault="00E611E3" w:rsidP="00E05897">
            <w:pPr>
              <w:jc w:val="center"/>
              <w:rPr>
                <w:rFonts w:ascii="Cambria" w:hAnsi="Cambria"/>
                <w:b/>
                <w:sz w:val="14"/>
              </w:rPr>
            </w:pPr>
            <w:r w:rsidRPr="003F4FD0">
              <w:rPr>
                <w:rFonts w:ascii="Cambria" w:hAnsi="Cambria"/>
                <w:b/>
                <w:sz w:val="14"/>
              </w:rPr>
              <w:t>30×24</w:t>
            </w:r>
          </w:p>
        </w:tc>
      </w:tr>
      <w:tr w:rsidR="00E611E3" w:rsidRPr="003F4FD0" w:rsidTr="00E05897">
        <w:trPr>
          <w:trHeight w:val="113"/>
        </w:trPr>
        <w:tc>
          <w:tcPr>
            <w:tcW w:w="1014"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This work</w:t>
            </w:r>
          </w:p>
        </w:tc>
        <w:tc>
          <w:tcPr>
            <w:tcW w:w="679" w:type="dxa"/>
            <w:tcBorders>
              <w:bottom w:val="single" w:sz="8" w:space="0" w:color="auto"/>
            </w:tcBorders>
          </w:tcPr>
          <w:p w:rsidR="00E611E3" w:rsidRPr="00015936" w:rsidRDefault="00E611E3" w:rsidP="00E05897">
            <w:pPr>
              <w:jc w:val="center"/>
              <w:rPr>
                <w:rFonts w:ascii="Cambria" w:hAnsi="Cambria"/>
                <w:b/>
                <w:sz w:val="14"/>
              </w:rPr>
            </w:pPr>
            <w:r w:rsidRPr="00015936">
              <w:rPr>
                <w:rFonts w:ascii="Cambria" w:hAnsi="Cambria"/>
                <w:b/>
                <w:color w:val="000000" w:themeColor="text1"/>
                <w:sz w:val="14"/>
              </w:rPr>
              <w:t>72</w:t>
            </w:r>
          </w:p>
        </w:tc>
        <w:tc>
          <w:tcPr>
            <w:tcW w:w="68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66</w:t>
            </w:r>
          </w:p>
        </w:tc>
        <w:tc>
          <w:tcPr>
            <w:tcW w:w="679"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&lt;-17</w:t>
            </w:r>
          </w:p>
        </w:tc>
        <w:tc>
          <w:tcPr>
            <w:tcW w:w="68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679" w:type="dxa"/>
            <w:tcBorders>
              <w:bottom w:val="single" w:sz="8" w:space="0" w:color="auto"/>
            </w:tcBorders>
          </w:tcPr>
          <w:p w:rsidR="00E611E3" w:rsidRPr="003F4FD0" w:rsidRDefault="00E611E3" w:rsidP="00E05897">
            <w:pPr>
              <w:jc w:val="center"/>
              <w:rPr>
                <w:rFonts w:ascii="Cambria" w:hAnsi="Cambria"/>
                <w:b/>
                <w:sz w:val="14"/>
              </w:rPr>
            </w:pPr>
            <w:r>
              <w:rPr>
                <w:rFonts w:ascii="Cambria" w:hAnsi="Cambria"/>
                <w:b/>
                <w:sz w:val="14"/>
              </w:rPr>
              <w:t xml:space="preserve"> </w:t>
            </w:r>
            <w:r w:rsidRPr="003F4FD0">
              <w:rPr>
                <w:rFonts w:ascii="Cambria" w:hAnsi="Cambria"/>
                <w:b/>
                <w:sz w:val="14"/>
              </w:rPr>
              <w:t>4</w:t>
            </w:r>
            <w:r>
              <w:rPr>
                <w:rFonts w:ascii="Cambria" w:hAnsi="Cambria"/>
                <w:b/>
                <w:sz w:val="14"/>
              </w:rPr>
              <w:t>2</w:t>
            </w:r>
          </w:p>
        </w:tc>
        <w:tc>
          <w:tcPr>
            <w:tcW w:w="680" w:type="dxa"/>
            <w:tcBorders>
              <w:bottom w:val="single" w:sz="8" w:space="0" w:color="auto"/>
            </w:tcBorders>
          </w:tcPr>
          <w:p w:rsidR="00E611E3" w:rsidRPr="003F4FD0" w:rsidRDefault="00E611E3" w:rsidP="00E05897">
            <w:pPr>
              <w:jc w:val="center"/>
              <w:rPr>
                <w:rFonts w:ascii="Cambria" w:hAnsi="Cambria"/>
                <w:b/>
                <w:sz w:val="14"/>
              </w:rPr>
            </w:pPr>
            <w:r>
              <w:rPr>
                <w:rFonts w:ascii="Cambria" w:hAnsi="Cambria"/>
                <w:b/>
                <w:sz w:val="14"/>
              </w:rPr>
              <w:t>37</w:t>
            </w:r>
          </w:p>
        </w:tc>
        <w:tc>
          <w:tcPr>
            <w:tcW w:w="85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w:t>
            </w:r>
          </w:p>
        </w:tc>
        <w:tc>
          <w:tcPr>
            <w:tcW w:w="102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w:t>
            </w:r>
          </w:p>
        </w:tc>
        <w:tc>
          <w:tcPr>
            <w:tcW w:w="1188"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340</w:t>
            </w:r>
          </w:p>
        </w:tc>
        <w:tc>
          <w:tcPr>
            <w:tcW w:w="1021"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100</w:t>
            </w:r>
          </w:p>
        </w:tc>
        <w:tc>
          <w:tcPr>
            <w:tcW w:w="1020" w:type="dxa"/>
            <w:tcBorders>
              <w:bottom w:val="single" w:sz="8" w:space="0" w:color="auto"/>
            </w:tcBorders>
          </w:tcPr>
          <w:p w:rsidR="00E611E3" w:rsidRPr="003F4FD0" w:rsidRDefault="00E611E3" w:rsidP="00E05897">
            <w:pPr>
              <w:jc w:val="center"/>
              <w:rPr>
                <w:rFonts w:ascii="Cambria" w:hAnsi="Cambria"/>
                <w:b/>
                <w:sz w:val="14"/>
              </w:rPr>
            </w:pPr>
            <w:r w:rsidRPr="003F4FD0">
              <w:rPr>
                <w:rFonts w:ascii="Cambria" w:hAnsi="Cambria"/>
                <w:b/>
                <w:sz w:val="14"/>
              </w:rPr>
              <w:t>~800×12</w:t>
            </w:r>
          </w:p>
        </w:tc>
      </w:tr>
    </w:tbl>
    <w:p w:rsidR="00E611E3" w:rsidRDefault="00E611E3" w:rsidP="00E611E3">
      <w:pPr>
        <w:pStyle w:val="OSABodyIndent"/>
        <w:rPr>
          <w:lang w:val="en-GB" w:eastAsia="zh-CN"/>
        </w:rPr>
        <w:sectPr w:rsidR="00E611E3" w:rsidSect="00E611E3">
          <w:type w:val="continuous"/>
          <w:pgSz w:w="12240" w:h="15840" w:code="1"/>
          <w:pgMar w:top="1080" w:right="994" w:bottom="1260" w:left="994" w:header="720" w:footer="720" w:gutter="0"/>
          <w:cols w:space="446"/>
          <w:docGrid w:linePitch="360"/>
        </w:sectPr>
      </w:pPr>
    </w:p>
    <w:p w:rsidR="00E611E3" w:rsidRPr="006B620F" w:rsidRDefault="00E611E3" w:rsidP="00E611E3">
      <w:pPr>
        <w:pStyle w:val="OSABody"/>
        <w:rPr>
          <w:b/>
        </w:rPr>
      </w:pPr>
      <w:r>
        <w:rPr>
          <w:b/>
          <w:noProof/>
          <w:lang w:val="en-GB" w:eastAsia="zh-CN"/>
        </w:rPr>
        <w:drawing>
          <wp:inline distT="0" distB="0" distL="0" distR="0" wp14:anchorId="2D581C10" wp14:editId="28396A01">
            <wp:extent cx="3023616" cy="194614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616" cy="1946148"/>
                    </a:xfrm>
                    <a:prstGeom prst="rect">
                      <a:avLst/>
                    </a:prstGeom>
                  </pic:spPr>
                </pic:pic>
              </a:graphicData>
            </a:graphic>
          </wp:inline>
        </w:drawing>
      </w:r>
    </w:p>
    <w:p w:rsidR="00E611E3" w:rsidRPr="00514D6C" w:rsidRDefault="00E611E3" w:rsidP="00E611E3">
      <w:pPr>
        <w:pStyle w:val="OSAFigureCaption"/>
        <w:rPr>
          <w:lang w:eastAsia="zh-CN"/>
        </w:rPr>
      </w:pPr>
      <w:r w:rsidRPr="001B74F2">
        <w:t xml:space="preserve">Fig. </w:t>
      </w:r>
      <w:r>
        <w:t>6</w:t>
      </w:r>
      <w:r w:rsidRPr="001B74F2">
        <w:t xml:space="preserve">.  </w:t>
      </w:r>
      <w:r>
        <w:t xml:space="preserve">(a) </w:t>
      </w:r>
      <w:r>
        <w:rPr>
          <w:rFonts w:hint="eastAsia"/>
          <w:lang w:eastAsia="zh-CN"/>
        </w:rPr>
        <w:t>The</w:t>
      </w:r>
      <w:r>
        <w:t xml:space="preserve"> microscope photo of the </w:t>
      </w:r>
      <w:r>
        <w:rPr>
          <w:lang w:eastAsia="zh-CN"/>
        </w:rPr>
        <w:t>test device</w:t>
      </w:r>
      <w:r>
        <w:t xml:space="preserve"> with the SEM images of </w:t>
      </w:r>
      <w:r>
        <w:rPr>
          <w:lang w:val="en-GB"/>
        </w:rPr>
        <w:t>Design II</w:t>
      </w:r>
      <w:r>
        <w:t xml:space="preserve"> shown in the inset. (b) The measured CE of Design II and uniform bidirectional coupler (UBGC), and the calibrated simulation result of Design II. The inset shows the measured fiber misalignment tolerance of Design II. </w:t>
      </w:r>
    </w:p>
    <w:p w:rsidR="00E611E3" w:rsidRDefault="00E611E3" w:rsidP="00E611E3">
      <w:pPr>
        <w:pStyle w:val="OSABody"/>
        <w:rPr>
          <w:b/>
        </w:rPr>
      </w:pPr>
      <w:r>
        <w:rPr>
          <w:b/>
        </w:rPr>
        <w:t>F</w:t>
      </w:r>
      <w:r>
        <w:rPr>
          <w:rFonts w:hint="eastAsia"/>
          <w:b/>
          <w:lang w:eastAsia="zh-CN"/>
        </w:rPr>
        <w:t>unding</w:t>
      </w:r>
      <w:r>
        <w:t xml:space="preserve">. The National Key R&amp;D Program of China (No. 2018YFA0209000), the EPSRC through </w:t>
      </w:r>
      <w:proofErr w:type="spellStart"/>
      <w:r>
        <w:t>programme</w:t>
      </w:r>
      <w:proofErr w:type="spellEnd"/>
      <w:r>
        <w:t xml:space="preserve"> grant “Silicon Photonics for Future Systems” (EP/L00044X/1), the National Natural Science Foundation </w:t>
      </w:r>
      <w:r w:rsidRPr="00F50750">
        <w:t>of China (No. 6171101108, 61675191, 61177078) and the Tianjin Research Program of application foundation and advanced tec</w:t>
      </w:r>
      <w:r>
        <w:t>hnology (No. 18JCQNJC01800)</w:t>
      </w:r>
      <w:r>
        <w:rPr>
          <w:b/>
        </w:rPr>
        <w:t>.</w:t>
      </w:r>
    </w:p>
    <w:p w:rsidR="00E611E3" w:rsidRPr="00B42B5A" w:rsidRDefault="00E611E3" w:rsidP="00E611E3">
      <w:pPr>
        <w:pStyle w:val="OSABodyIndent"/>
        <w:ind w:firstLine="0"/>
      </w:pPr>
    </w:p>
    <w:p w:rsidR="00E611E3" w:rsidRPr="001F62A8" w:rsidRDefault="00E611E3" w:rsidP="00E611E3">
      <w:pPr>
        <w:pStyle w:val="OSABody"/>
        <w:rPr>
          <w:b/>
        </w:rPr>
      </w:pPr>
      <w:r w:rsidRPr="00AE5BD9">
        <w:rPr>
          <w:b/>
        </w:rPr>
        <w:t>Acknowledgment</w:t>
      </w:r>
      <w:r>
        <w:t xml:space="preserve">. </w:t>
      </w:r>
      <w:proofErr w:type="spellStart"/>
      <w:r>
        <w:t>Zanyun</w:t>
      </w:r>
      <w:proofErr w:type="spellEnd"/>
      <w:r>
        <w:t xml:space="preserve"> Zhang acknowledges the support from the China Scholarship Council (No. 201809345003).</w:t>
      </w:r>
      <w:r w:rsidRPr="00E4381F">
        <w:t xml:space="preserve"> D. J. Thomson acknowledges funding from the Royal Society for his University Research Fellowship.</w:t>
      </w:r>
    </w:p>
    <w:p w:rsidR="00E611E3" w:rsidRPr="004764D4" w:rsidRDefault="00E611E3" w:rsidP="00E611E3">
      <w:pPr>
        <w:pStyle w:val="12Head1"/>
        <w:rPr>
          <w:rFonts w:ascii="Cambria" w:hAnsi="Cambria" w:cs="Times New Roman"/>
          <w:spacing w:val="-8"/>
          <w:sz w:val="19"/>
          <w:szCs w:val="16"/>
        </w:rPr>
      </w:pPr>
      <w:r w:rsidRPr="004764D4">
        <w:rPr>
          <w:rFonts w:ascii="Cambria" w:hAnsi="Cambria" w:cs="Times New Roman"/>
          <w:spacing w:val="-8"/>
          <w:sz w:val="19"/>
          <w:szCs w:val="16"/>
        </w:rPr>
        <w:t>References</w:t>
      </w:r>
    </w:p>
    <w:p w:rsidR="00E611E3" w:rsidRPr="009761CC" w:rsidRDefault="00E611E3" w:rsidP="005B6301">
      <w:pPr>
        <w:pStyle w:val="OSAReference"/>
        <w:numPr>
          <w:ilvl w:val="0"/>
          <w:numId w:val="24"/>
        </w:numPr>
        <w:ind w:left="215" w:hanging="215"/>
        <w:jc w:val="both"/>
      </w:pPr>
      <w:r w:rsidRPr="009761CC">
        <w:t xml:space="preserve">M. </w:t>
      </w:r>
      <w:proofErr w:type="spellStart"/>
      <w:r w:rsidRPr="009761CC">
        <w:t>Morsy</w:t>
      </w:r>
      <w:proofErr w:type="spellEnd"/>
      <w:r w:rsidRPr="009761CC">
        <w:t xml:space="preserve">-Osman, M. </w:t>
      </w:r>
      <w:proofErr w:type="spellStart"/>
      <w:r w:rsidRPr="009761CC">
        <w:t>Chagnon</w:t>
      </w:r>
      <w:proofErr w:type="spellEnd"/>
      <w:r w:rsidRPr="009761CC">
        <w:t xml:space="preserve">, X. Xu, Q. </w:t>
      </w:r>
      <w:proofErr w:type="spellStart"/>
      <w:r w:rsidRPr="009761CC">
        <w:t>Zhuge</w:t>
      </w:r>
      <w:proofErr w:type="spellEnd"/>
      <w:r w:rsidRPr="009761CC">
        <w:t xml:space="preserve">, M. Poulin, Y. Painchaud, M. Pelletier, C. Paquet, and D. V. Plant, Opt. Express </w:t>
      </w:r>
      <w:r w:rsidRPr="009761CC">
        <w:rPr>
          <w:b/>
        </w:rPr>
        <w:t>22</w:t>
      </w:r>
      <w:r w:rsidRPr="009761CC">
        <w:t>, 5693 (2014).</w:t>
      </w:r>
    </w:p>
    <w:p w:rsidR="00E611E3" w:rsidRPr="00520FB0" w:rsidRDefault="00E611E3" w:rsidP="005B6301">
      <w:pPr>
        <w:pStyle w:val="OSAReference"/>
        <w:numPr>
          <w:ilvl w:val="0"/>
          <w:numId w:val="24"/>
        </w:numPr>
        <w:ind w:left="215" w:hanging="215"/>
        <w:jc w:val="both"/>
      </w:pPr>
      <w:r w:rsidRPr="009761CC">
        <w:t xml:space="preserve">J. Sun, E. </w:t>
      </w:r>
      <w:proofErr w:type="spellStart"/>
      <w:r w:rsidRPr="009761CC">
        <w:t>Timurdogan</w:t>
      </w:r>
      <w:proofErr w:type="spellEnd"/>
      <w:r w:rsidRPr="009761CC">
        <w:t xml:space="preserve">, A. </w:t>
      </w:r>
      <w:proofErr w:type="spellStart"/>
      <w:r w:rsidRPr="009761CC">
        <w:t>Yaacobi</w:t>
      </w:r>
      <w:proofErr w:type="spellEnd"/>
      <w:r w:rsidRPr="009761CC">
        <w:t xml:space="preserve">, E. Shah Hosseini &amp; M. </w:t>
      </w:r>
      <w:proofErr w:type="spellStart"/>
      <w:proofErr w:type="gramStart"/>
      <w:r w:rsidRPr="009761CC">
        <w:t>R.Watts</w:t>
      </w:r>
      <w:proofErr w:type="spellEnd"/>
      <w:proofErr w:type="gramEnd"/>
      <w:r w:rsidRPr="009761CC">
        <w:t xml:space="preserve">, </w:t>
      </w:r>
      <w:r>
        <w:t>N</w:t>
      </w:r>
      <w:r w:rsidRPr="009761CC">
        <w:t xml:space="preserve">ature, </w:t>
      </w:r>
      <w:r w:rsidRPr="002E6FC3">
        <w:rPr>
          <w:b/>
        </w:rPr>
        <w:t>493</w:t>
      </w:r>
      <w:r w:rsidRPr="009761CC">
        <w:t>,</w:t>
      </w:r>
      <w:r>
        <w:t xml:space="preserve"> 195</w:t>
      </w:r>
      <w:r w:rsidRPr="009761CC">
        <w:t xml:space="preserve"> (2013).</w:t>
      </w:r>
    </w:p>
    <w:p w:rsidR="00E611E3" w:rsidRPr="009761CC" w:rsidRDefault="004365A8" w:rsidP="005B6301">
      <w:pPr>
        <w:pStyle w:val="OSAReference"/>
        <w:numPr>
          <w:ilvl w:val="0"/>
          <w:numId w:val="24"/>
        </w:numPr>
        <w:ind w:left="215" w:hanging="215"/>
        <w:jc w:val="both"/>
      </w:pPr>
      <w:hyperlink r:id="rId15" w:anchor="auth-1" w:history="1">
        <w:r w:rsidR="00E611E3" w:rsidRPr="009761CC">
          <w:t>Y. Shen</w:t>
        </w:r>
      </w:hyperlink>
      <w:r w:rsidR="00E611E3" w:rsidRPr="009761CC">
        <w:t xml:space="preserve">, </w:t>
      </w:r>
      <w:hyperlink r:id="rId16" w:anchor="auth-2" w:history="1">
        <w:r w:rsidR="00E611E3" w:rsidRPr="009761CC">
          <w:t>N. C. Harris</w:t>
        </w:r>
      </w:hyperlink>
      <w:r w:rsidR="00E611E3" w:rsidRPr="009761CC">
        <w:t xml:space="preserve">, </w:t>
      </w:r>
      <w:hyperlink r:id="rId17" w:anchor="auth-3" w:history="1">
        <w:r w:rsidR="00E611E3" w:rsidRPr="009761CC">
          <w:t xml:space="preserve">S. </w:t>
        </w:r>
        <w:proofErr w:type="spellStart"/>
        <w:r w:rsidR="00E611E3" w:rsidRPr="009761CC">
          <w:t>Skirlo</w:t>
        </w:r>
        <w:proofErr w:type="spellEnd"/>
      </w:hyperlink>
      <w:r w:rsidR="00E611E3" w:rsidRPr="009761CC">
        <w:t xml:space="preserve">, </w:t>
      </w:r>
      <w:hyperlink r:id="rId18" w:anchor="auth-4" w:history="1">
        <w:r w:rsidR="00E611E3" w:rsidRPr="009761CC">
          <w:t>M. Prabhu</w:t>
        </w:r>
      </w:hyperlink>
      <w:r w:rsidR="00E611E3" w:rsidRPr="009761CC">
        <w:t xml:space="preserve">, </w:t>
      </w:r>
      <w:hyperlink r:id="rId19" w:anchor="auth-5" w:history="1">
        <w:r w:rsidR="00E611E3" w:rsidRPr="009761CC">
          <w:t xml:space="preserve">T. </w:t>
        </w:r>
        <w:proofErr w:type="spellStart"/>
        <w:r w:rsidR="00E611E3" w:rsidRPr="009761CC">
          <w:t>Baehr</w:t>
        </w:r>
        <w:proofErr w:type="spellEnd"/>
        <w:r w:rsidR="00E611E3" w:rsidRPr="009761CC">
          <w:t>-Jones</w:t>
        </w:r>
      </w:hyperlink>
      <w:r w:rsidR="00E611E3" w:rsidRPr="009761CC">
        <w:t xml:space="preserve">, </w:t>
      </w:r>
      <w:hyperlink r:id="rId20" w:anchor="auth-6" w:history="1">
        <w:r w:rsidR="00E611E3" w:rsidRPr="009761CC">
          <w:t>M. Hochberg</w:t>
        </w:r>
      </w:hyperlink>
      <w:r w:rsidR="00E611E3" w:rsidRPr="009761CC">
        <w:t xml:space="preserve">, </w:t>
      </w:r>
      <w:hyperlink r:id="rId21" w:anchor="auth-7" w:history="1">
        <w:r w:rsidR="00E611E3" w:rsidRPr="009761CC">
          <w:t>X. Sun</w:t>
        </w:r>
      </w:hyperlink>
      <w:r w:rsidR="00E611E3" w:rsidRPr="009761CC">
        <w:t xml:space="preserve">, </w:t>
      </w:r>
      <w:hyperlink r:id="rId22" w:anchor="auth-8" w:history="1">
        <w:r w:rsidR="00E611E3" w:rsidRPr="009761CC">
          <w:t>S. Zhao</w:t>
        </w:r>
      </w:hyperlink>
      <w:r w:rsidR="00E611E3" w:rsidRPr="009761CC">
        <w:t xml:space="preserve">, </w:t>
      </w:r>
      <w:hyperlink r:id="rId23" w:anchor="auth-9" w:history="1">
        <w:r w:rsidR="00E611E3" w:rsidRPr="009761CC">
          <w:t>H. Larochelle</w:t>
        </w:r>
      </w:hyperlink>
      <w:r w:rsidR="00E611E3" w:rsidRPr="009761CC">
        <w:t xml:space="preserve">, </w:t>
      </w:r>
      <w:hyperlink r:id="rId24" w:anchor="auth-10" w:history="1">
        <w:r w:rsidR="00E611E3" w:rsidRPr="009761CC">
          <w:t>D. Englund</w:t>
        </w:r>
      </w:hyperlink>
      <w:r w:rsidR="00E611E3" w:rsidRPr="009761CC">
        <w:t xml:space="preserve"> &amp; </w:t>
      </w:r>
      <w:hyperlink r:id="rId25" w:anchor="auth-11" w:history="1">
        <w:r w:rsidR="00E611E3" w:rsidRPr="009761CC">
          <w:t xml:space="preserve">M. </w:t>
        </w:r>
        <w:proofErr w:type="spellStart"/>
        <w:r w:rsidR="00E611E3" w:rsidRPr="009761CC">
          <w:t>Soljačić</w:t>
        </w:r>
        <w:proofErr w:type="spellEnd"/>
      </w:hyperlink>
      <w:r w:rsidR="00E611E3" w:rsidRPr="009761CC">
        <w:t xml:space="preserve">, </w:t>
      </w:r>
      <w:r w:rsidR="00E611E3">
        <w:t>N</w:t>
      </w:r>
      <w:r w:rsidR="00E611E3" w:rsidRPr="009761CC">
        <w:t xml:space="preserve">ature photonics, </w:t>
      </w:r>
      <w:r w:rsidR="00E611E3" w:rsidRPr="002E6FC3">
        <w:rPr>
          <w:b/>
        </w:rPr>
        <w:t>11</w:t>
      </w:r>
      <w:r w:rsidR="00E611E3" w:rsidRPr="009761CC">
        <w:t xml:space="preserve">, </w:t>
      </w:r>
      <w:r w:rsidR="00E611E3">
        <w:t>441</w:t>
      </w:r>
      <w:r w:rsidR="00E611E3" w:rsidRPr="009761CC">
        <w:t xml:space="preserve"> (2017).</w:t>
      </w:r>
    </w:p>
    <w:p w:rsidR="00E611E3" w:rsidRPr="009761CC" w:rsidRDefault="00E611E3" w:rsidP="005B6301">
      <w:pPr>
        <w:pStyle w:val="OSAReference"/>
        <w:numPr>
          <w:ilvl w:val="0"/>
          <w:numId w:val="24"/>
        </w:numPr>
        <w:ind w:left="215" w:hanging="215"/>
        <w:jc w:val="both"/>
      </w:pPr>
      <w:r w:rsidRPr="009761CC">
        <w:t xml:space="preserve">X. Chen, D. J. Thomson, L. </w:t>
      </w:r>
      <w:proofErr w:type="spellStart"/>
      <w:r w:rsidRPr="009761CC">
        <w:t>Crudginton</w:t>
      </w:r>
      <w:proofErr w:type="spellEnd"/>
      <w:r w:rsidRPr="009761CC">
        <w:t xml:space="preserve">, A. Z. Khokhar, and G. T. Reed, Opt. Express </w:t>
      </w:r>
      <w:r w:rsidRPr="002E6FC3">
        <w:rPr>
          <w:b/>
        </w:rPr>
        <w:t>25</w:t>
      </w:r>
      <w:r>
        <w:t>, 17864</w:t>
      </w:r>
      <w:r w:rsidRPr="009761CC">
        <w:t xml:space="preserve"> (2017).</w:t>
      </w:r>
    </w:p>
    <w:p w:rsidR="00E611E3" w:rsidRPr="009761CC" w:rsidRDefault="00E611E3" w:rsidP="005B6301">
      <w:pPr>
        <w:pStyle w:val="OSAReference"/>
        <w:numPr>
          <w:ilvl w:val="0"/>
          <w:numId w:val="24"/>
        </w:numPr>
        <w:ind w:left="216" w:hanging="216"/>
        <w:jc w:val="both"/>
      </w:pPr>
      <w:r w:rsidRPr="009761CC">
        <w:t xml:space="preserve">C. Alonso-Ramos, P. </w:t>
      </w:r>
      <w:proofErr w:type="spellStart"/>
      <w:r w:rsidRPr="009761CC">
        <w:t>Cheben</w:t>
      </w:r>
      <w:proofErr w:type="spellEnd"/>
      <w:r w:rsidRPr="009761CC">
        <w:t>, A. Ortega-</w:t>
      </w:r>
      <w:proofErr w:type="spellStart"/>
      <w:r w:rsidRPr="009761CC">
        <w:t>Moñux</w:t>
      </w:r>
      <w:proofErr w:type="spellEnd"/>
      <w:r w:rsidRPr="009761CC">
        <w:t xml:space="preserve">, J. H. Schmid, D.-X. Xu, and I. Molina-Fernández, Opt. Lett. </w:t>
      </w:r>
      <w:r w:rsidRPr="002E6FC3">
        <w:rPr>
          <w:b/>
        </w:rPr>
        <w:t>39</w:t>
      </w:r>
      <w:r>
        <w:t>, 5351</w:t>
      </w:r>
      <w:r w:rsidRPr="009761CC">
        <w:t xml:space="preserve"> (2014). </w:t>
      </w:r>
    </w:p>
    <w:p w:rsidR="00E611E3" w:rsidRPr="009761CC" w:rsidRDefault="00E611E3" w:rsidP="005B6301">
      <w:pPr>
        <w:pStyle w:val="OSAReference"/>
        <w:numPr>
          <w:ilvl w:val="0"/>
          <w:numId w:val="24"/>
        </w:numPr>
        <w:ind w:left="216" w:hanging="216"/>
        <w:jc w:val="both"/>
      </w:pPr>
      <w:r w:rsidRPr="009761CC">
        <w:t xml:space="preserve">Y. Ding, C. </w:t>
      </w:r>
      <w:proofErr w:type="spellStart"/>
      <w:r w:rsidRPr="009761CC">
        <w:t>Peucheret</w:t>
      </w:r>
      <w:proofErr w:type="spellEnd"/>
      <w:r w:rsidRPr="009761CC">
        <w:t xml:space="preserve">, H. </w:t>
      </w:r>
      <w:proofErr w:type="spellStart"/>
      <w:r w:rsidRPr="009761CC">
        <w:t>Ou</w:t>
      </w:r>
      <w:proofErr w:type="spellEnd"/>
      <w:r w:rsidRPr="009761CC">
        <w:t xml:space="preserve">, and K. </w:t>
      </w:r>
      <w:proofErr w:type="spellStart"/>
      <w:r>
        <w:t>Yvind</w:t>
      </w:r>
      <w:proofErr w:type="spellEnd"/>
      <w:r>
        <w:t xml:space="preserve">, Opt. Lett. </w:t>
      </w:r>
      <w:r w:rsidRPr="00AC0E11">
        <w:rPr>
          <w:b/>
        </w:rPr>
        <w:t>39</w:t>
      </w:r>
      <w:r>
        <w:t xml:space="preserve">, 5348 </w:t>
      </w:r>
      <w:r w:rsidRPr="009761CC">
        <w:t>(2014).</w:t>
      </w:r>
    </w:p>
    <w:p w:rsidR="00E611E3" w:rsidRPr="009761CC" w:rsidRDefault="00E611E3" w:rsidP="005B6301">
      <w:pPr>
        <w:pStyle w:val="OSAReference"/>
        <w:numPr>
          <w:ilvl w:val="0"/>
          <w:numId w:val="24"/>
        </w:numPr>
        <w:ind w:left="216" w:hanging="216"/>
        <w:jc w:val="both"/>
      </w:pPr>
      <w:r w:rsidRPr="009761CC">
        <w:t xml:space="preserve">D. Vermeulen, S. </w:t>
      </w:r>
      <w:proofErr w:type="spellStart"/>
      <w:r w:rsidRPr="009761CC">
        <w:t>Selvaraja</w:t>
      </w:r>
      <w:proofErr w:type="spellEnd"/>
      <w:r w:rsidRPr="009761CC">
        <w:t xml:space="preserve">, P. </w:t>
      </w:r>
      <w:proofErr w:type="spellStart"/>
      <w:r w:rsidRPr="009761CC">
        <w:t>Verheyen</w:t>
      </w:r>
      <w:proofErr w:type="spellEnd"/>
      <w:r w:rsidRPr="009761CC">
        <w:t xml:space="preserve">, G. Lepage, W. Bogaerts, P. </w:t>
      </w:r>
      <w:proofErr w:type="spellStart"/>
      <w:r w:rsidRPr="009761CC">
        <w:t>Absil</w:t>
      </w:r>
      <w:proofErr w:type="spellEnd"/>
      <w:r w:rsidRPr="009761CC">
        <w:t xml:space="preserve">, D. V. </w:t>
      </w:r>
      <w:proofErr w:type="spellStart"/>
      <w:r w:rsidRPr="009761CC">
        <w:t>Thourhout</w:t>
      </w:r>
      <w:proofErr w:type="spellEnd"/>
      <w:r w:rsidRPr="009761CC">
        <w:t xml:space="preserve">, and G. </w:t>
      </w:r>
      <w:proofErr w:type="spellStart"/>
      <w:r w:rsidRPr="009761CC">
        <w:t>Roelkens</w:t>
      </w:r>
      <w:proofErr w:type="spellEnd"/>
      <w:r w:rsidRPr="009761CC">
        <w:t xml:space="preserve">, Opt. Express </w:t>
      </w:r>
      <w:r w:rsidRPr="002E6FC3">
        <w:rPr>
          <w:b/>
        </w:rPr>
        <w:t>18</w:t>
      </w:r>
      <w:r w:rsidRPr="009761CC">
        <w:t>, 18278 (2010).</w:t>
      </w:r>
    </w:p>
    <w:p w:rsidR="00E611E3" w:rsidRPr="002E6FC3" w:rsidRDefault="00E611E3" w:rsidP="005B6301">
      <w:pPr>
        <w:pStyle w:val="OSAReference"/>
        <w:numPr>
          <w:ilvl w:val="0"/>
          <w:numId w:val="24"/>
        </w:numPr>
        <w:ind w:left="216" w:hanging="216"/>
        <w:jc w:val="both"/>
      </w:pPr>
      <w:proofErr w:type="spellStart"/>
      <w:r w:rsidRPr="002E6FC3">
        <w:t>Yeyu</w:t>
      </w:r>
      <w:proofErr w:type="spellEnd"/>
      <w:r w:rsidRPr="002E6FC3">
        <w:t xml:space="preserve"> Tong, Wen Zhou, and Hon Ki Tsang, Opt. Lett. </w:t>
      </w:r>
      <w:r w:rsidRPr="002E6FC3">
        <w:rPr>
          <w:b/>
        </w:rPr>
        <w:t>43</w:t>
      </w:r>
      <w:r>
        <w:t>, 5709</w:t>
      </w:r>
      <w:r w:rsidRPr="002E6FC3">
        <w:t xml:space="preserve"> (2018).</w:t>
      </w:r>
    </w:p>
    <w:p w:rsidR="00E611E3" w:rsidRPr="00771D30" w:rsidRDefault="00E611E3" w:rsidP="005B6301">
      <w:pPr>
        <w:pStyle w:val="OSAReference"/>
        <w:numPr>
          <w:ilvl w:val="0"/>
          <w:numId w:val="24"/>
        </w:numPr>
        <w:ind w:left="216" w:hanging="216"/>
        <w:jc w:val="both"/>
      </w:pPr>
      <w:r w:rsidRPr="00771D30">
        <w:t xml:space="preserve">T. Watanabe, M. </w:t>
      </w:r>
      <w:proofErr w:type="spellStart"/>
      <w:r w:rsidRPr="00771D30">
        <w:t>Ayata</w:t>
      </w:r>
      <w:proofErr w:type="spellEnd"/>
      <w:r w:rsidRPr="00771D30">
        <w:t xml:space="preserve">, U. Koch, Y. </w:t>
      </w:r>
      <w:proofErr w:type="spellStart"/>
      <w:r w:rsidRPr="00771D30">
        <w:t>Fedoryshyn</w:t>
      </w:r>
      <w:proofErr w:type="spellEnd"/>
      <w:r w:rsidRPr="00771D30">
        <w:t xml:space="preserve"> and J. Leuthold, Journal of Lightwave Technology, </w:t>
      </w:r>
      <w:r w:rsidRPr="001C28F6">
        <w:rPr>
          <w:b/>
        </w:rPr>
        <w:t>35</w:t>
      </w:r>
      <w:r>
        <w:t>, (21), 4663</w:t>
      </w:r>
      <w:r w:rsidRPr="00771D30">
        <w:t xml:space="preserve"> (2017).</w:t>
      </w:r>
    </w:p>
    <w:p w:rsidR="00E611E3" w:rsidRPr="00654CE0" w:rsidRDefault="00E611E3" w:rsidP="005B6301">
      <w:pPr>
        <w:pStyle w:val="OSAReference"/>
        <w:numPr>
          <w:ilvl w:val="0"/>
          <w:numId w:val="24"/>
        </w:numPr>
        <w:ind w:left="216" w:hanging="216"/>
        <w:jc w:val="both"/>
      </w:pPr>
      <w:r w:rsidRPr="00771D30">
        <w:t xml:space="preserve">H. Lu, J. S. Lee, Y. Zhao, C. Scarcella, P. </w:t>
      </w:r>
      <w:proofErr w:type="spellStart"/>
      <w:r w:rsidRPr="00771D30">
        <w:t>Cardile</w:t>
      </w:r>
      <w:proofErr w:type="spellEnd"/>
      <w:r w:rsidRPr="00771D30">
        <w:t xml:space="preserve">, A. Daly, M. </w:t>
      </w:r>
      <w:proofErr w:type="spellStart"/>
      <w:r w:rsidRPr="00771D30">
        <w:t>Ortsiefer</w:t>
      </w:r>
      <w:proofErr w:type="spellEnd"/>
      <w:r w:rsidRPr="00771D30">
        <w:t xml:space="preserve">, L. Carroll, and P. O’Brien, Opt. Express </w:t>
      </w:r>
      <w:r w:rsidRPr="001F62A8">
        <w:t>24</w:t>
      </w:r>
      <w:r>
        <w:t>, 16258</w:t>
      </w:r>
      <w:r w:rsidRPr="00771D30">
        <w:t xml:space="preserve"> (2016).</w:t>
      </w:r>
    </w:p>
    <w:p w:rsidR="00E611E3" w:rsidRPr="00771D30" w:rsidRDefault="00E611E3" w:rsidP="005B6301">
      <w:pPr>
        <w:pStyle w:val="OSAReference"/>
        <w:numPr>
          <w:ilvl w:val="0"/>
          <w:numId w:val="24"/>
        </w:numPr>
        <w:ind w:left="216" w:hanging="216"/>
        <w:jc w:val="both"/>
      </w:pPr>
      <w:r w:rsidRPr="00771D30">
        <w:t>H. Li, X. Ma, B. Cui, Y. Wang, C. Zhang, J. Zhao, Z. Zhang, C. Tang, and E. Li, Optica</w:t>
      </w:r>
      <w:r>
        <w:t>.</w:t>
      </w:r>
      <w:r w:rsidRPr="00771D30">
        <w:t xml:space="preserve"> </w:t>
      </w:r>
      <w:r w:rsidRPr="001C28F6">
        <w:rPr>
          <w:b/>
        </w:rPr>
        <w:t>4</w:t>
      </w:r>
      <w:r>
        <w:t>, 692</w:t>
      </w:r>
      <w:r w:rsidRPr="00771D30">
        <w:t xml:space="preserve"> (2017)</w:t>
      </w:r>
    </w:p>
    <w:p w:rsidR="00E611E3" w:rsidRPr="00771D30" w:rsidRDefault="00E611E3" w:rsidP="005B6301">
      <w:pPr>
        <w:pStyle w:val="OSAReference"/>
        <w:numPr>
          <w:ilvl w:val="0"/>
          <w:numId w:val="24"/>
        </w:numPr>
        <w:ind w:left="216" w:hanging="216"/>
        <w:jc w:val="both"/>
      </w:pPr>
      <w:r w:rsidRPr="00771D30">
        <w:t xml:space="preserve">Günther </w:t>
      </w:r>
      <w:proofErr w:type="spellStart"/>
      <w:r w:rsidRPr="00771D30">
        <w:t>Roelkens</w:t>
      </w:r>
      <w:proofErr w:type="spellEnd"/>
      <w:r w:rsidRPr="00771D30">
        <w:t xml:space="preserve">, Dries Van </w:t>
      </w:r>
      <w:proofErr w:type="spellStart"/>
      <w:r w:rsidRPr="00771D30">
        <w:t>Thourhout</w:t>
      </w:r>
      <w:proofErr w:type="spellEnd"/>
      <w:r w:rsidRPr="00771D30">
        <w:t xml:space="preserve">, and Roel </w:t>
      </w:r>
      <w:proofErr w:type="spellStart"/>
      <w:r w:rsidRPr="00771D30">
        <w:t>Baets</w:t>
      </w:r>
      <w:proofErr w:type="spellEnd"/>
      <w:r w:rsidRPr="00771D30">
        <w:t xml:space="preserve">, Opt. Lett. </w:t>
      </w:r>
      <w:r w:rsidRPr="001C28F6">
        <w:rPr>
          <w:b/>
        </w:rPr>
        <w:t>32</w:t>
      </w:r>
      <w:r>
        <w:t>, 1495</w:t>
      </w:r>
      <w:r w:rsidRPr="00771D30">
        <w:t xml:space="preserve"> (2007)</w:t>
      </w:r>
    </w:p>
    <w:p w:rsidR="00E611E3" w:rsidRPr="00771D30" w:rsidRDefault="00E611E3" w:rsidP="005B6301">
      <w:pPr>
        <w:pStyle w:val="OSAReference"/>
        <w:numPr>
          <w:ilvl w:val="0"/>
          <w:numId w:val="24"/>
        </w:numPr>
        <w:ind w:left="216" w:hanging="216"/>
        <w:jc w:val="both"/>
      </w:pPr>
      <w:r w:rsidRPr="00771D30">
        <w:t xml:space="preserve">X. Chen, C. Li, and H. K. Tsang, IEEE Photonics Technol. Lett. </w:t>
      </w:r>
      <w:r w:rsidRPr="001C28F6">
        <w:rPr>
          <w:b/>
        </w:rPr>
        <w:t>20</w:t>
      </w:r>
      <w:r w:rsidRPr="00771D30">
        <w:t>, 1914 (2008).</w:t>
      </w:r>
    </w:p>
    <w:p w:rsidR="00E611E3" w:rsidRPr="00771D30" w:rsidRDefault="00E611E3" w:rsidP="005B6301">
      <w:pPr>
        <w:pStyle w:val="OSAReference"/>
        <w:numPr>
          <w:ilvl w:val="0"/>
          <w:numId w:val="24"/>
        </w:numPr>
        <w:ind w:left="216" w:hanging="216"/>
        <w:jc w:val="both"/>
      </w:pPr>
      <w:r w:rsidRPr="00771D30">
        <w:t>M. Dai, L. Ma, Y. Xu, M. Lu, X. Liu, and Y. Chen, Opt. Express</w:t>
      </w:r>
      <w:r>
        <w:t>,</w:t>
      </w:r>
      <w:r w:rsidRPr="00771D30">
        <w:t xml:space="preserve"> </w:t>
      </w:r>
      <w:r w:rsidRPr="001C28F6">
        <w:rPr>
          <w:b/>
        </w:rPr>
        <w:t>23</w:t>
      </w:r>
      <w:r w:rsidRPr="00771D30">
        <w:t>, 1691 (2015).</w:t>
      </w:r>
    </w:p>
    <w:p w:rsidR="00E611E3" w:rsidRPr="00771D30" w:rsidRDefault="00E611E3" w:rsidP="005B6301">
      <w:pPr>
        <w:pStyle w:val="OSAReference"/>
        <w:numPr>
          <w:ilvl w:val="0"/>
          <w:numId w:val="24"/>
        </w:numPr>
        <w:ind w:left="216" w:hanging="216"/>
        <w:jc w:val="both"/>
      </w:pPr>
      <w:r w:rsidRPr="00771D30">
        <w:t xml:space="preserve">L. Liu, J. Zhang, C. Zhang, S. Wang, C. </w:t>
      </w:r>
      <w:proofErr w:type="spellStart"/>
      <w:r w:rsidRPr="00771D30">
        <w:t>Jin</w:t>
      </w:r>
      <w:proofErr w:type="spellEnd"/>
      <w:r w:rsidRPr="00771D30">
        <w:t xml:space="preserve">, Y. Chen, K. Chen, T. Xiang, and Y. Shi, Opt. Lett. </w:t>
      </w:r>
      <w:r w:rsidRPr="001C28F6">
        <w:rPr>
          <w:b/>
        </w:rPr>
        <w:t>41</w:t>
      </w:r>
      <w:r w:rsidRPr="00771D30">
        <w:t>, 820 (2016).</w:t>
      </w:r>
    </w:p>
    <w:p w:rsidR="00E611E3" w:rsidRPr="00771D30" w:rsidRDefault="00E611E3" w:rsidP="005B6301">
      <w:pPr>
        <w:pStyle w:val="OSAReference"/>
        <w:numPr>
          <w:ilvl w:val="0"/>
          <w:numId w:val="24"/>
        </w:numPr>
        <w:ind w:left="216" w:hanging="216"/>
        <w:jc w:val="both"/>
      </w:pPr>
      <w:r w:rsidRPr="00771D30">
        <w:t>S. Wang, Y. Hong, Y. Zhu, J. Chen, S. Gao, X. Cai, Y. Shi, and L. Liu, Opt. Express</w:t>
      </w:r>
      <w:r>
        <w:t>,</w:t>
      </w:r>
      <w:r w:rsidRPr="00771D30">
        <w:t xml:space="preserve"> </w:t>
      </w:r>
      <w:r w:rsidRPr="001C28F6">
        <w:rPr>
          <w:b/>
        </w:rPr>
        <w:t>25</w:t>
      </w:r>
      <w:r w:rsidRPr="00771D30">
        <w:t>, 22032 (2017).</w:t>
      </w:r>
    </w:p>
    <w:p w:rsidR="00E611E3" w:rsidRPr="00771D30" w:rsidRDefault="00E611E3" w:rsidP="005B6301">
      <w:pPr>
        <w:pStyle w:val="OSAReference"/>
        <w:numPr>
          <w:ilvl w:val="0"/>
          <w:numId w:val="24"/>
        </w:numPr>
        <w:ind w:left="216" w:hanging="216"/>
        <w:jc w:val="both"/>
      </w:pPr>
      <w:r w:rsidRPr="00771D30">
        <w:t xml:space="preserve">D. </w:t>
      </w:r>
      <w:proofErr w:type="spellStart"/>
      <w:r w:rsidRPr="00771D30">
        <w:t>Benedikovic</w:t>
      </w:r>
      <w:proofErr w:type="spellEnd"/>
      <w:r w:rsidRPr="00771D30">
        <w:t>, C. Alonso-Ramos, D. Pérez-</w:t>
      </w:r>
      <w:proofErr w:type="spellStart"/>
      <w:r w:rsidRPr="00771D30">
        <w:t>Galacho</w:t>
      </w:r>
      <w:proofErr w:type="spellEnd"/>
      <w:r w:rsidRPr="00771D30">
        <w:t xml:space="preserve">, S. </w:t>
      </w:r>
      <w:proofErr w:type="spellStart"/>
      <w:r w:rsidRPr="00771D30">
        <w:t>Guerber</w:t>
      </w:r>
      <w:proofErr w:type="spellEnd"/>
      <w:r w:rsidRPr="00771D30">
        <w:t xml:space="preserve">, V. </w:t>
      </w:r>
      <w:proofErr w:type="spellStart"/>
      <w:r w:rsidRPr="00771D30">
        <w:t>Vakarin</w:t>
      </w:r>
      <w:proofErr w:type="spellEnd"/>
      <w:r w:rsidRPr="00771D30">
        <w:t xml:space="preserve">, G. </w:t>
      </w:r>
      <w:proofErr w:type="spellStart"/>
      <w:r w:rsidRPr="00771D30">
        <w:t>Marcaud</w:t>
      </w:r>
      <w:proofErr w:type="spellEnd"/>
      <w:r w:rsidRPr="00771D30">
        <w:t xml:space="preserve">, X. Le Roux, E. </w:t>
      </w:r>
      <w:proofErr w:type="spellStart"/>
      <w:r w:rsidRPr="00771D30">
        <w:t>Cassan</w:t>
      </w:r>
      <w:proofErr w:type="spellEnd"/>
      <w:r w:rsidRPr="00771D30">
        <w:t>, D. Marris-</w:t>
      </w:r>
      <w:proofErr w:type="spellStart"/>
      <w:r w:rsidRPr="00771D30">
        <w:t>Morini</w:t>
      </w:r>
      <w:proofErr w:type="spellEnd"/>
      <w:r w:rsidRPr="00771D30">
        <w:t xml:space="preserve">, P. </w:t>
      </w:r>
      <w:proofErr w:type="spellStart"/>
      <w:r w:rsidRPr="00771D30">
        <w:t>Cheben</w:t>
      </w:r>
      <w:proofErr w:type="spellEnd"/>
      <w:r w:rsidRPr="00771D30">
        <w:t xml:space="preserve">, F. Boeuf, C. </w:t>
      </w:r>
      <w:proofErr w:type="spellStart"/>
      <w:r w:rsidRPr="00771D30">
        <w:t>Baudot</w:t>
      </w:r>
      <w:proofErr w:type="spellEnd"/>
      <w:r w:rsidRPr="00771D30">
        <w:t xml:space="preserve">, and L. Vivien, Opt. Lett. </w:t>
      </w:r>
      <w:r w:rsidRPr="001C28F6">
        <w:rPr>
          <w:b/>
        </w:rPr>
        <w:t>42</w:t>
      </w:r>
      <w:r w:rsidRPr="00771D30">
        <w:t>, 3439 (2017).</w:t>
      </w:r>
    </w:p>
    <w:p w:rsidR="00E611E3" w:rsidRDefault="00E611E3" w:rsidP="005B6301">
      <w:pPr>
        <w:pStyle w:val="OSAReference"/>
        <w:numPr>
          <w:ilvl w:val="0"/>
          <w:numId w:val="24"/>
        </w:numPr>
        <w:ind w:left="216" w:hanging="216"/>
        <w:jc w:val="both"/>
      </w:pPr>
      <w:r w:rsidRPr="00771D30">
        <w:t>Z. Zhang, Z. Zhang, B. Huang, C. Cheng and H.</w:t>
      </w:r>
      <w:r>
        <w:t xml:space="preserve"> Chen, IEEE Photonics Technol. Lett.</w:t>
      </w:r>
      <w:r w:rsidRPr="00771D30">
        <w:t xml:space="preserve"> </w:t>
      </w:r>
      <w:r w:rsidRPr="001C28F6">
        <w:rPr>
          <w:b/>
        </w:rPr>
        <w:t>25</w:t>
      </w:r>
      <w:r>
        <w:t>, (3), 224</w:t>
      </w:r>
      <w:r w:rsidRPr="00771D30">
        <w:t xml:space="preserve"> (2013).</w:t>
      </w:r>
    </w:p>
    <w:p w:rsidR="00E611E3" w:rsidRPr="009A77E9" w:rsidRDefault="00E611E3" w:rsidP="005B6301">
      <w:pPr>
        <w:pStyle w:val="OSAReference"/>
        <w:numPr>
          <w:ilvl w:val="0"/>
          <w:numId w:val="24"/>
        </w:numPr>
        <w:ind w:left="216" w:hanging="216"/>
        <w:jc w:val="both"/>
      </w:pPr>
      <w:r w:rsidRPr="00430E94">
        <w:t>Z. Zhang, Z. Zhang, B. Huang, C. Cheng, H. Liu, H. Li, H. Chen, Opt. Laser</w:t>
      </w:r>
      <w:r>
        <w:t xml:space="preserve"> </w:t>
      </w:r>
      <w:r w:rsidRPr="00430E94">
        <w:t xml:space="preserve">Technol. </w:t>
      </w:r>
      <w:r w:rsidRPr="00430E94">
        <w:rPr>
          <w:b/>
        </w:rPr>
        <w:t>90</w:t>
      </w:r>
      <w:r w:rsidRPr="00430E94">
        <w:t>, 136</w:t>
      </w:r>
      <w:r>
        <w:t xml:space="preserve"> </w:t>
      </w:r>
      <w:r w:rsidRPr="00514D6C">
        <w:t>(2017)</w:t>
      </w:r>
      <w:r w:rsidRPr="00430E94">
        <w:t>.</w:t>
      </w:r>
    </w:p>
    <w:p w:rsidR="00E611E3" w:rsidRPr="006F533B" w:rsidRDefault="004365A8" w:rsidP="005B6301">
      <w:pPr>
        <w:pStyle w:val="OSAReference"/>
        <w:numPr>
          <w:ilvl w:val="0"/>
          <w:numId w:val="24"/>
        </w:numPr>
        <w:ind w:left="216" w:hanging="216"/>
        <w:jc w:val="both"/>
        <w:rPr>
          <w:lang w:eastAsia="zh-CN"/>
        </w:rPr>
      </w:pPr>
      <w:hyperlink r:id="rId26" w:anchor="auth-1" w:history="1">
        <w:r w:rsidR="00E611E3">
          <w:t>P.</w:t>
        </w:r>
        <w:r w:rsidR="00E611E3" w:rsidRPr="001C28F6">
          <w:t xml:space="preserve"> </w:t>
        </w:r>
        <w:proofErr w:type="spellStart"/>
        <w:r w:rsidR="00E611E3" w:rsidRPr="001C28F6">
          <w:t>Cheben</w:t>
        </w:r>
        <w:proofErr w:type="spellEnd"/>
      </w:hyperlink>
      <w:r w:rsidR="00E611E3" w:rsidRPr="001C28F6">
        <w:t xml:space="preserve">, </w:t>
      </w:r>
      <w:hyperlink r:id="rId27" w:anchor="auth-2" w:history="1">
        <w:r w:rsidR="00E611E3">
          <w:t>R.</w:t>
        </w:r>
        <w:r w:rsidR="00E611E3" w:rsidRPr="001C28F6">
          <w:t xml:space="preserve"> </w:t>
        </w:r>
        <w:proofErr w:type="spellStart"/>
        <w:r w:rsidR="00E611E3" w:rsidRPr="001C28F6">
          <w:t>Halir</w:t>
        </w:r>
        <w:proofErr w:type="spellEnd"/>
      </w:hyperlink>
      <w:r w:rsidR="00E611E3" w:rsidRPr="001C28F6">
        <w:t xml:space="preserve"> , </w:t>
      </w:r>
      <w:hyperlink r:id="rId28" w:anchor="auth-3" w:history="1">
        <w:r w:rsidR="00E611E3">
          <w:t>J.</w:t>
        </w:r>
        <w:r w:rsidR="00E611E3" w:rsidRPr="001C28F6">
          <w:t xml:space="preserve"> H. Schmid</w:t>
        </w:r>
      </w:hyperlink>
      <w:r w:rsidR="00E611E3" w:rsidRPr="001C28F6">
        <w:t xml:space="preserve">, </w:t>
      </w:r>
      <w:hyperlink r:id="rId29" w:anchor="auth-4" w:history="1">
        <w:r w:rsidR="00E611E3">
          <w:t>H.</w:t>
        </w:r>
        <w:r w:rsidR="00E611E3" w:rsidRPr="001C28F6">
          <w:t xml:space="preserve"> A. Atwater</w:t>
        </w:r>
      </w:hyperlink>
      <w:r w:rsidR="00E611E3" w:rsidRPr="001C28F6">
        <w:t xml:space="preserve"> &amp; </w:t>
      </w:r>
      <w:hyperlink r:id="rId30" w:anchor="auth-5" w:history="1">
        <w:r w:rsidR="00E611E3">
          <w:t>D.</w:t>
        </w:r>
        <w:r w:rsidR="00E611E3" w:rsidRPr="001C28F6">
          <w:t xml:space="preserve"> R. Smith</w:t>
        </w:r>
      </w:hyperlink>
      <w:r w:rsidR="00E611E3">
        <w:t xml:space="preserve">, Nature, </w:t>
      </w:r>
      <w:r w:rsidR="00E611E3" w:rsidRPr="001C28F6">
        <w:rPr>
          <w:b/>
        </w:rPr>
        <w:t>560</w:t>
      </w:r>
      <w:r w:rsidR="00E611E3">
        <w:t>, 565 (2018).</w:t>
      </w:r>
    </w:p>
    <w:p w:rsidR="00E611E3" w:rsidRPr="00E611E3" w:rsidRDefault="00E611E3" w:rsidP="00E611E3">
      <w:pPr>
        <w:pStyle w:val="OSABodyIndent"/>
        <w:ind w:firstLine="0"/>
        <w:rPr>
          <w:lang w:eastAsia="zh-CN"/>
        </w:rPr>
      </w:pPr>
    </w:p>
    <w:p w:rsidR="00E611E3" w:rsidRPr="00E611E3" w:rsidRDefault="00E611E3" w:rsidP="00514255">
      <w:pPr>
        <w:pStyle w:val="OSABodyIndent"/>
        <w:rPr>
          <w:lang w:val="en-GB"/>
        </w:rPr>
      </w:pPr>
    </w:p>
    <w:p w:rsidR="00514255" w:rsidRDefault="00514255" w:rsidP="00514255">
      <w:pPr>
        <w:pStyle w:val="OSABodyIndent"/>
        <w:ind w:firstLine="0"/>
        <w:rPr>
          <w:lang w:eastAsia="zh-CN"/>
        </w:rPr>
      </w:pPr>
    </w:p>
    <w:p w:rsidR="00514255" w:rsidRPr="00514255" w:rsidRDefault="00514255" w:rsidP="00514255">
      <w:pPr>
        <w:pStyle w:val="OSABodyIndent"/>
        <w:ind w:firstLine="0"/>
        <w:rPr>
          <w:lang w:eastAsia="zh-CN"/>
        </w:rPr>
      </w:pPr>
    </w:p>
    <w:p w:rsidR="00CA6799" w:rsidRDefault="00CA6799" w:rsidP="00514255">
      <w:pPr>
        <w:pStyle w:val="OSABodyIndent"/>
        <w:ind w:firstLine="0"/>
      </w:pPr>
    </w:p>
    <w:p w:rsidR="00CA6799" w:rsidRDefault="00814955" w:rsidP="002028FE">
      <w:pPr>
        <w:pStyle w:val="OSABodyIndent"/>
      </w:pPr>
      <w:r>
        <w:t xml:space="preserve">     </w:t>
      </w:r>
    </w:p>
    <w:p w:rsidR="006E12E6" w:rsidRPr="00E94621" w:rsidRDefault="006E12E6" w:rsidP="00E611E3">
      <w:pPr>
        <w:pStyle w:val="OSAReference"/>
        <w:numPr>
          <w:ilvl w:val="0"/>
          <w:numId w:val="0"/>
        </w:numPr>
      </w:pPr>
    </w:p>
    <w:sectPr w:rsidR="006E12E6" w:rsidRPr="00E94621"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4D3" w:rsidRPr="00A81FCC" w:rsidRDefault="002E24D3" w:rsidP="00A81FCC">
      <w:r>
        <w:separator/>
      </w:r>
    </w:p>
  </w:endnote>
  <w:endnote w:type="continuationSeparator" w:id="0">
    <w:p w:rsidR="002E24D3" w:rsidRPr="00A81FCC" w:rsidRDefault="002E24D3"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4D3" w:rsidRPr="00A81FCC" w:rsidRDefault="002E24D3" w:rsidP="00A81FCC">
      <w:r>
        <w:separator/>
      </w:r>
    </w:p>
  </w:footnote>
  <w:footnote w:type="continuationSeparator" w:id="0">
    <w:p w:rsidR="002E24D3" w:rsidRPr="00A81FCC" w:rsidRDefault="002E24D3"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849E0"/>
    <w:multiLevelType w:val="hybridMultilevel"/>
    <w:tmpl w:val="CC78BD1C"/>
    <w:lvl w:ilvl="0" w:tplc="89AE76A4">
      <w:start w:val="1"/>
      <w:numFmt w:val="decimal"/>
      <w:lvlText w:val="%1."/>
      <w:lvlJc w:val="left"/>
      <w:pPr>
        <w:ind w:left="360" w:hanging="360"/>
      </w:pPr>
      <w:rPr>
        <w:rFonts w:ascii="Calibri" w:eastAsiaTheme="minorEastAsia" w:hAnsi="Calibri" w:cs="AdvOT9cb306be.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17EF2"/>
    <w:multiLevelType w:val="hybridMultilevel"/>
    <w:tmpl w:val="7C94CD3A"/>
    <w:lvl w:ilvl="0" w:tplc="D578DBF6">
      <w:start w:val="1"/>
      <w:numFmt w:val="decimal"/>
      <w:pStyle w:val="OSA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7F0E0B"/>
    <w:multiLevelType w:val="multilevel"/>
    <w:tmpl w:val="0409001D"/>
    <w:numStyleLink w:val="12References"/>
  </w:abstractNum>
  <w:abstractNum w:abstractNumId="14"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BE5A4D"/>
    <w:multiLevelType w:val="multilevel"/>
    <w:tmpl w:val="0409001D"/>
    <w:numStyleLink w:val="12Refereces"/>
  </w:abstractNum>
  <w:abstractNum w:abstractNumId="18"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7"/>
  </w:num>
  <w:num w:numId="3">
    <w:abstractNumId w:val="12"/>
  </w:num>
  <w:num w:numId="4">
    <w:abstractNumId w:val="21"/>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1"/>
  </w:num>
  <w:num w:numId="19">
    <w:abstractNumId w:val="20"/>
  </w:num>
  <w:num w:numId="20">
    <w:abstractNumId w:val="16"/>
  </w:num>
  <w:num w:numId="21">
    <w:abstractNumId w:val="19"/>
  </w:num>
  <w:num w:numId="22">
    <w:abstractNumId w:val="11"/>
    <w:lvlOverride w:ilvl="0">
      <w:startOverride w:val="1"/>
    </w:lvlOverride>
  </w:num>
  <w:num w:numId="23">
    <w:abstractNumId w:val="11"/>
    <w:lvlOverride w:ilvl="0">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D20"/>
    <w:rsid w:val="00002075"/>
    <w:rsid w:val="00011C57"/>
    <w:rsid w:val="000125B9"/>
    <w:rsid w:val="00027F48"/>
    <w:rsid w:val="00036A6B"/>
    <w:rsid w:val="0004025B"/>
    <w:rsid w:val="0004113D"/>
    <w:rsid w:val="00046CD2"/>
    <w:rsid w:val="00082A79"/>
    <w:rsid w:val="000868B4"/>
    <w:rsid w:val="00090E6C"/>
    <w:rsid w:val="00092EDB"/>
    <w:rsid w:val="00097B01"/>
    <w:rsid w:val="000B3412"/>
    <w:rsid w:val="000C5E58"/>
    <w:rsid w:val="000D656F"/>
    <w:rsid w:val="000F0353"/>
    <w:rsid w:val="00100754"/>
    <w:rsid w:val="00122070"/>
    <w:rsid w:val="001253C0"/>
    <w:rsid w:val="0013203E"/>
    <w:rsid w:val="00132097"/>
    <w:rsid w:val="00133559"/>
    <w:rsid w:val="001422FA"/>
    <w:rsid w:val="00143BF0"/>
    <w:rsid w:val="0014689D"/>
    <w:rsid w:val="00174153"/>
    <w:rsid w:val="001900DE"/>
    <w:rsid w:val="001A2592"/>
    <w:rsid w:val="001A5A7B"/>
    <w:rsid w:val="001B54BC"/>
    <w:rsid w:val="001B74F2"/>
    <w:rsid w:val="001C1194"/>
    <w:rsid w:val="001C2848"/>
    <w:rsid w:val="001C4A45"/>
    <w:rsid w:val="001D29BD"/>
    <w:rsid w:val="001D2BEB"/>
    <w:rsid w:val="001E35C1"/>
    <w:rsid w:val="001E75D8"/>
    <w:rsid w:val="001F4A37"/>
    <w:rsid w:val="001F657A"/>
    <w:rsid w:val="002028FE"/>
    <w:rsid w:val="002070D5"/>
    <w:rsid w:val="0021556D"/>
    <w:rsid w:val="002246D2"/>
    <w:rsid w:val="00227498"/>
    <w:rsid w:val="0023169E"/>
    <w:rsid w:val="00245015"/>
    <w:rsid w:val="00255DD1"/>
    <w:rsid w:val="00262D85"/>
    <w:rsid w:val="00275149"/>
    <w:rsid w:val="00280759"/>
    <w:rsid w:val="002A2B44"/>
    <w:rsid w:val="002C0706"/>
    <w:rsid w:val="002D0C2C"/>
    <w:rsid w:val="002D451F"/>
    <w:rsid w:val="002E24D3"/>
    <w:rsid w:val="002E5FB1"/>
    <w:rsid w:val="002F05E1"/>
    <w:rsid w:val="002F43E7"/>
    <w:rsid w:val="003003BB"/>
    <w:rsid w:val="0030069A"/>
    <w:rsid w:val="00323712"/>
    <w:rsid w:val="00343AD7"/>
    <w:rsid w:val="0035356C"/>
    <w:rsid w:val="003575A3"/>
    <w:rsid w:val="00361D30"/>
    <w:rsid w:val="00375E25"/>
    <w:rsid w:val="003819A5"/>
    <w:rsid w:val="00386929"/>
    <w:rsid w:val="003871DF"/>
    <w:rsid w:val="003877ED"/>
    <w:rsid w:val="00390706"/>
    <w:rsid w:val="00392C6D"/>
    <w:rsid w:val="003B36FE"/>
    <w:rsid w:val="003C29C1"/>
    <w:rsid w:val="003C385F"/>
    <w:rsid w:val="003F0509"/>
    <w:rsid w:val="003F5B1E"/>
    <w:rsid w:val="003F662B"/>
    <w:rsid w:val="00407BEF"/>
    <w:rsid w:val="00412FE8"/>
    <w:rsid w:val="004155A7"/>
    <w:rsid w:val="004212EC"/>
    <w:rsid w:val="00430AF0"/>
    <w:rsid w:val="004365A8"/>
    <w:rsid w:val="00465CE1"/>
    <w:rsid w:val="00473766"/>
    <w:rsid w:val="0049204E"/>
    <w:rsid w:val="00492749"/>
    <w:rsid w:val="004937EE"/>
    <w:rsid w:val="004942CD"/>
    <w:rsid w:val="00496A25"/>
    <w:rsid w:val="004A34E3"/>
    <w:rsid w:val="004A34E6"/>
    <w:rsid w:val="004B02A5"/>
    <w:rsid w:val="004D40F5"/>
    <w:rsid w:val="004D79C9"/>
    <w:rsid w:val="004E31E8"/>
    <w:rsid w:val="004E4685"/>
    <w:rsid w:val="004F06BF"/>
    <w:rsid w:val="00514255"/>
    <w:rsid w:val="005148DE"/>
    <w:rsid w:val="0052755A"/>
    <w:rsid w:val="0056094E"/>
    <w:rsid w:val="005625E9"/>
    <w:rsid w:val="005876E3"/>
    <w:rsid w:val="00597C7E"/>
    <w:rsid w:val="005B5A17"/>
    <w:rsid w:val="005B6301"/>
    <w:rsid w:val="005B634F"/>
    <w:rsid w:val="005D070D"/>
    <w:rsid w:val="005F08E3"/>
    <w:rsid w:val="005F08E7"/>
    <w:rsid w:val="005F17D5"/>
    <w:rsid w:val="006000AF"/>
    <w:rsid w:val="006009F7"/>
    <w:rsid w:val="00604820"/>
    <w:rsid w:val="006225F8"/>
    <w:rsid w:val="00633E4D"/>
    <w:rsid w:val="00637463"/>
    <w:rsid w:val="006440AD"/>
    <w:rsid w:val="00653F3F"/>
    <w:rsid w:val="00654BE6"/>
    <w:rsid w:val="0066054A"/>
    <w:rsid w:val="006639E5"/>
    <w:rsid w:val="00672A5E"/>
    <w:rsid w:val="00684FDB"/>
    <w:rsid w:val="006A1E04"/>
    <w:rsid w:val="006D4A52"/>
    <w:rsid w:val="006D6AA3"/>
    <w:rsid w:val="006D7B87"/>
    <w:rsid w:val="006E12E6"/>
    <w:rsid w:val="006E6FC7"/>
    <w:rsid w:val="007012AE"/>
    <w:rsid w:val="00734A56"/>
    <w:rsid w:val="007535E2"/>
    <w:rsid w:val="007540AE"/>
    <w:rsid w:val="00764CD9"/>
    <w:rsid w:val="007672EA"/>
    <w:rsid w:val="00786E36"/>
    <w:rsid w:val="00793C81"/>
    <w:rsid w:val="007A60C4"/>
    <w:rsid w:val="007A6F09"/>
    <w:rsid w:val="007B4B0A"/>
    <w:rsid w:val="007D0234"/>
    <w:rsid w:val="007D4A2D"/>
    <w:rsid w:val="007F3799"/>
    <w:rsid w:val="007F3E22"/>
    <w:rsid w:val="008007B4"/>
    <w:rsid w:val="00803B0A"/>
    <w:rsid w:val="008044B5"/>
    <w:rsid w:val="00813273"/>
    <w:rsid w:val="00814955"/>
    <w:rsid w:val="00815FD7"/>
    <w:rsid w:val="00853D20"/>
    <w:rsid w:val="00897D77"/>
    <w:rsid w:val="008A275E"/>
    <w:rsid w:val="008E0E7A"/>
    <w:rsid w:val="008E50C7"/>
    <w:rsid w:val="008F0C65"/>
    <w:rsid w:val="008F2CB6"/>
    <w:rsid w:val="00921E75"/>
    <w:rsid w:val="009226C3"/>
    <w:rsid w:val="009360C2"/>
    <w:rsid w:val="009407BF"/>
    <w:rsid w:val="00947280"/>
    <w:rsid w:val="0096294F"/>
    <w:rsid w:val="009732F2"/>
    <w:rsid w:val="00976513"/>
    <w:rsid w:val="00977F16"/>
    <w:rsid w:val="00994110"/>
    <w:rsid w:val="009966FF"/>
    <w:rsid w:val="009B3A95"/>
    <w:rsid w:val="009C6D0F"/>
    <w:rsid w:val="009D2FEF"/>
    <w:rsid w:val="009D701B"/>
    <w:rsid w:val="00A20999"/>
    <w:rsid w:val="00A36106"/>
    <w:rsid w:val="00A41B48"/>
    <w:rsid w:val="00A42887"/>
    <w:rsid w:val="00A445EF"/>
    <w:rsid w:val="00A45F7B"/>
    <w:rsid w:val="00A512D7"/>
    <w:rsid w:val="00A81FCC"/>
    <w:rsid w:val="00A85264"/>
    <w:rsid w:val="00A90FBE"/>
    <w:rsid w:val="00AA45FC"/>
    <w:rsid w:val="00AC4A17"/>
    <w:rsid w:val="00AC6FAC"/>
    <w:rsid w:val="00AC704A"/>
    <w:rsid w:val="00AD35C2"/>
    <w:rsid w:val="00AE5BD9"/>
    <w:rsid w:val="00AF2E7F"/>
    <w:rsid w:val="00B00732"/>
    <w:rsid w:val="00B129C5"/>
    <w:rsid w:val="00B13B4D"/>
    <w:rsid w:val="00B24F23"/>
    <w:rsid w:val="00B36B9E"/>
    <w:rsid w:val="00B37F7C"/>
    <w:rsid w:val="00B42016"/>
    <w:rsid w:val="00B455A8"/>
    <w:rsid w:val="00B539D8"/>
    <w:rsid w:val="00B57679"/>
    <w:rsid w:val="00B63B84"/>
    <w:rsid w:val="00B669C6"/>
    <w:rsid w:val="00B82CDE"/>
    <w:rsid w:val="00BA4276"/>
    <w:rsid w:val="00BC2EF7"/>
    <w:rsid w:val="00BF1690"/>
    <w:rsid w:val="00C113D5"/>
    <w:rsid w:val="00C2449B"/>
    <w:rsid w:val="00C3783B"/>
    <w:rsid w:val="00C4260F"/>
    <w:rsid w:val="00C74E2F"/>
    <w:rsid w:val="00C92409"/>
    <w:rsid w:val="00C95F29"/>
    <w:rsid w:val="00C97B7E"/>
    <w:rsid w:val="00CA32F4"/>
    <w:rsid w:val="00CA6799"/>
    <w:rsid w:val="00CB67FC"/>
    <w:rsid w:val="00CC134E"/>
    <w:rsid w:val="00CD4A9B"/>
    <w:rsid w:val="00CE0A58"/>
    <w:rsid w:val="00CE0C3F"/>
    <w:rsid w:val="00CE2D99"/>
    <w:rsid w:val="00CE48B5"/>
    <w:rsid w:val="00CF5C15"/>
    <w:rsid w:val="00D0760B"/>
    <w:rsid w:val="00D07C12"/>
    <w:rsid w:val="00D11892"/>
    <w:rsid w:val="00D35539"/>
    <w:rsid w:val="00D41C85"/>
    <w:rsid w:val="00D41D04"/>
    <w:rsid w:val="00D46A97"/>
    <w:rsid w:val="00D54D1C"/>
    <w:rsid w:val="00D91CB5"/>
    <w:rsid w:val="00DA2462"/>
    <w:rsid w:val="00DB3B48"/>
    <w:rsid w:val="00DC0CC2"/>
    <w:rsid w:val="00DC105E"/>
    <w:rsid w:val="00DC5B71"/>
    <w:rsid w:val="00DD4428"/>
    <w:rsid w:val="00DE0ADD"/>
    <w:rsid w:val="00E03C96"/>
    <w:rsid w:val="00E06196"/>
    <w:rsid w:val="00E1326E"/>
    <w:rsid w:val="00E36548"/>
    <w:rsid w:val="00E3717D"/>
    <w:rsid w:val="00E4217F"/>
    <w:rsid w:val="00E53BBC"/>
    <w:rsid w:val="00E57C62"/>
    <w:rsid w:val="00E607BA"/>
    <w:rsid w:val="00E611E3"/>
    <w:rsid w:val="00E61E3A"/>
    <w:rsid w:val="00E650F5"/>
    <w:rsid w:val="00E74294"/>
    <w:rsid w:val="00E90499"/>
    <w:rsid w:val="00E909F1"/>
    <w:rsid w:val="00E94621"/>
    <w:rsid w:val="00EA520C"/>
    <w:rsid w:val="00EA6F8E"/>
    <w:rsid w:val="00EB42EF"/>
    <w:rsid w:val="00EC0BD6"/>
    <w:rsid w:val="00F0361F"/>
    <w:rsid w:val="00F14D3F"/>
    <w:rsid w:val="00F17884"/>
    <w:rsid w:val="00F32FB5"/>
    <w:rsid w:val="00F507AF"/>
    <w:rsid w:val="00F82443"/>
    <w:rsid w:val="00F8292F"/>
    <w:rsid w:val="00F866A8"/>
    <w:rsid w:val="00F8684C"/>
    <w:rsid w:val="00F914A3"/>
    <w:rsid w:val="00F936C0"/>
    <w:rsid w:val="00FB12D6"/>
    <w:rsid w:val="00FB1547"/>
    <w:rsid w:val="00FC0282"/>
    <w:rsid w:val="00FC2798"/>
    <w:rsid w:val="00FC4F52"/>
    <w:rsid w:val="00FC6746"/>
    <w:rsid w:val="00FE40B5"/>
    <w:rsid w:val="00FE6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731AFA1-20F6-4242-B7DD-CB30C42E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0361F"/>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DB3B48"/>
    <w:pPr>
      <w:jc w:val="both"/>
    </w:pPr>
    <w:rPr>
      <w:rFonts w:ascii="Cambria" w:hAnsi="Cambria"/>
      <w:spacing w:val="-8"/>
      <w:sz w:val="19"/>
    </w:rPr>
  </w:style>
  <w:style w:type="paragraph" w:customStyle="1" w:styleId="OSABodyIndent">
    <w:name w:val="OSA Body Indent"/>
    <w:basedOn w:val="OSABody"/>
    <w:link w:val="OSABodyIndentChar"/>
    <w:autoRedefine/>
    <w:qFormat/>
    <w:rsid w:val="002028FE"/>
    <w:pPr>
      <w:tabs>
        <w:tab w:val="left" w:pos="1350"/>
      </w:tabs>
      <w:autoSpaceDE w:val="0"/>
      <w:autoSpaceDN w:val="0"/>
      <w:adjustRightInd w:val="0"/>
      <w:ind w:firstLine="187"/>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2E5FB1"/>
    <w:pPr>
      <w:pBdr>
        <w:bottom w:val="single" w:sz="4" w:space="2" w:color="auto"/>
      </w:pBdr>
      <w:spacing w:before="120" w:after="120"/>
      <w:jc w:val="both"/>
    </w:pPr>
    <w:rPr>
      <w:sz w:val="18"/>
    </w:rPr>
  </w:style>
  <w:style w:type="paragraph" w:customStyle="1" w:styleId="OSAReference">
    <w:name w:val="OSA Reference"/>
    <w:basedOn w:val="12Head1"/>
    <w:qFormat/>
    <w:rsid w:val="00002075"/>
    <w:pPr>
      <w:numPr>
        <w:numId w:val="18"/>
      </w:numPr>
      <w:spacing w:before="0" w:after="0"/>
      <w:ind w:left="216"/>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DB3B48"/>
    <w:rPr>
      <w:rFonts w:ascii="Cambria" w:hAnsi="Cambria"/>
      <w:spacing w:val="-8"/>
      <w:sz w:val="19"/>
      <w:szCs w:val="16"/>
    </w:rPr>
  </w:style>
  <w:style w:type="character" w:customStyle="1" w:styleId="OSABodyIndentChar">
    <w:name w:val="OSA Body Indent Char"/>
    <w:link w:val="OSABodyIndent"/>
    <w:rsid w:val="002028FE"/>
    <w:rPr>
      <w:rFonts w:ascii="Cambria" w:eastAsia="Malgun Gothic" w:hAnsi="Cambria"/>
      <w:spacing w:val="-8"/>
      <w:sz w:val="18"/>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sz w:val="18"/>
    </w:rPr>
  </w:style>
  <w:style w:type="character" w:customStyle="1" w:styleId="10BodyIndentChar">
    <w:name w:val="10 Body Indent Char"/>
    <w:link w:val="10BodyIndent"/>
    <w:rsid w:val="00604820"/>
    <w:rPr>
      <w:rFonts w:ascii="Cambria" w:eastAsia="Malgun Gothic" w:hAnsi="Cambria"/>
      <w:spacing w:val="-8"/>
      <w:sz w:val="18"/>
      <w:szCs w:val="16"/>
    </w:rPr>
  </w:style>
  <w:style w:type="paragraph" w:styleId="Caption">
    <w:name w:val="caption"/>
    <w:basedOn w:val="Normal"/>
    <w:next w:val="Normal"/>
    <w:uiPriority w:val="35"/>
    <w:unhideWhenUsed/>
    <w:qFormat/>
    <w:rsid w:val="00E611E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hangzanyun@tjpu.edu.cn" TargetMode="External"/><Relationship Id="rId13" Type="http://schemas.openxmlformats.org/officeDocument/2006/relationships/image" Target="media/image5.tiff"/><Relationship Id="rId18" Type="http://schemas.openxmlformats.org/officeDocument/2006/relationships/hyperlink" Target="https://www.nature.com/articles/nphoton.2017.93" TargetMode="External"/><Relationship Id="rId26" Type="http://schemas.openxmlformats.org/officeDocument/2006/relationships/hyperlink" Target="https://www.nature.com/articles/s41586-018-0421-7" TargetMode="External"/><Relationship Id="rId3" Type="http://schemas.openxmlformats.org/officeDocument/2006/relationships/styles" Target="styles.xml"/><Relationship Id="rId21" Type="http://schemas.openxmlformats.org/officeDocument/2006/relationships/hyperlink" Target="https://www.nature.com/articles/nphoton.2017.93"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nature.com/articles/nphoton.2017.93" TargetMode="External"/><Relationship Id="rId25" Type="http://schemas.openxmlformats.org/officeDocument/2006/relationships/hyperlink" Target="https://www.nature.com/articles/nphoton.2017.93" TargetMode="External"/><Relationship Id="rId2" Type="http://schemas.openxmlformats.org/officeDocument/2006/relationships/numbering" Target="numbering.xml"/><Relationship Id="rId16" Type="http://schemas.openxmlformats.org/officeDocument/2006/relationships/hyperlink" Target="https://www.nature.com/articles/nphoton.2017.93" TargetMode="External"/><Relationship Id="rId20" Type="http://schemas.openxmlformats.org/officeDocument/2006/relationships/hyperlink" Target="https://www.nature.com/articles/nphoton.2017.93" TargetMode="External"/><Relationship Id="rId29" Type="http://schemas.openxmlformats.org/officeDocument/2006/relationships/hyperlink" Target="https://www.nature.com/articles/s41586-018-042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www.nature.com/articles/nphoton.2017.9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ature.com/articles/nphoton.2017.93" TargetMode="External"/><Relationship Id="rId23" Type="http://schemas.openxmlformats.org/officeDocument/2006/relationships/hyperlink" Target="https://www.nature.com/articles/nphoton.2017.93" TargetMode="External"/><Relationship Id="rId28" Type="http://schemas.openxmlformats.org/officeDocument/2006/relationships/hyperlink" Target="https://www.nature.com/articles/s41586-018-0421-7" TargetMode="External"/><Relationship Id="rId10" Type="http://schemas.openxmlformats.org/officeDocument/2006/relationships/image" Target="media/image2.tiff"/><Relationship Id="rId19" Type="http://schemas.openxmlformats.org/officeDocument/2006/relationships/hyperlink" Target="https://www.nature.com/articles/nphoton.2017.9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s://www.nature.com/articles/nphoton.2017.93" TargetMode="External"/><Relationship Id="rId27" Type="http://schemas.openxmlformats.org/officeDocument/2006/relationships/hyperlink" Target="https://www.nature.com/articles/s41586-018-0421-7" TargetMode="External"/><Relationship Id="rId30" Type="http://schemas.openxmlformats.org/officeDocument/2006/relationships/hyperlink" Target="https://www.nature.com/articles/s41586-018-042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_lega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02769D3-7BA0-48A8-BF22-3473756D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OL_legacy.dotx</Template>
  <TotalTime>0</TotalTime>
  <Pages>4</Pages>
  <Words>3121</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20876</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osaadmin</dc:creator>
  <cp:lastModifiedBy>Lucas N.</cp:lastModifiedBy>
  <cp:revision>2</cp:revision>
  <cp:lastPrinted>2014-03-12T18:40:00Z</cp:lastPrinted>
  <dcterms:created xsi:type="dcterms:W3CDTF">2019-11-21T12:54:00Z</dcterms:created>
  <dcterms:modified xsi:type="dcterms:W3CDTF">2019-11-21T12:54:00Z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