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B05B1" w14:textId="77777777" w:rsidR="008C05D4" w:rsidRPr="000017E4" w:rsidRDefault="00C163DE">
      <w:pPr>
        <w:rPr>
          <w:b/>
          <w:sz w:val="28"/>
          <w:szCs w:val="28"/>
        </w:rPr>
      </w:pPr>
      <w:bookmarkStart w:id="0" w:name="_GoBack"/>
      <w:bookmarkEnd w:id="0"/>
      <w:r w:rsidRPr="000017E4">
        <w:rPr>
          <w:b/>
          <w:sz w:val="28"/>
          <w:szCs w:val="28"/>
        </w:rPr>
        <w:t>Old consent and new developments: health professionals should ask and not presume</w:t>
      </w:r>
    </w:p>
    <w:p w14:paraId="0D38CD58" w14:textId="77777777" w:rsidR="008C05D4" w:rsidRDefault="008C05D4"/>
    <w:p w14:paraId="572A4E35" w14:textId="7299DD74" w:rsidR="00950D2B" w:rsidRDefault="004055EE" w:rsidP="009E56FC">
      <w:r>
        <w:t xml:space="preserve">We thank </w:t>
      </w:r>
      <w:r w:rsidR="00F25DEA">
        <w:t>Lucy Frith</w:t>
      </w:r>
      <w:r>
        <w:t xml:space="preserve"> for </w:t>
      </w:r>
      <w:r w:rsidR="00F25DEA">
        <w:t xml:space="preserve">her </w:t>
      </w:r>
      <w:r w:rsidR="00F2024A">
        <w:t>thought</w:t>
      </w:r>
      <w:r w:rsidR="00121D16">
        <w:t xml:space="preserve">-provoking </w:t>
      </w:r>
      <w:r>
        <w:t>response</w:t>
      </w:r>
      <w:r w:rsidR="001F6DBE">
        <w:fldChar w:fldCharType="begin"/>
      </w:r>
      <w:r w:rsidR="001F6DBE">
        <w:instrText xml:space="preserve"> ADDIN EN.CITE &lt;EndNote&gt;&lt;Cite&gt;&lt;Author&gt;Frith&lt;/Author&gt;&lt;Year&gt;2019&lt;/Year&gt;&lt;IDText&gt;Contacting gamete donors to facilitate diagnostic genetic testing for the donor-conceived child: what are the rights and obligations of gamete donors in these cases? A response to Horton &amp;lt;em&amp;gt;et al&amp;lt;/em&amp;gt;&lt;/IDText&gt;&lt;DisplayText&gt;(1)&lt;/DisplayText&gt;&lt;record&gt;&lt;urls&gt;&lt;related-urls&gt;&lt;url&gt;http://jme.bmj.com/content/early/2019/09/03/medethics-2019-105629.abstract&lt;/url&gt;&lt;/related-urls&gt;&lt;/urls&gt;&lt;titles&gt;&lt;title&gt;Contacting gamete donors to facilitate diagnostic genetic testing for the donor-conceived child: what are the rights and obligations of gamete donors in these cases? A response to Horton &amp;lt;em&amp;gt;et al&amp;lt;/em&amp;gt;&lt;/title&gt;&lt;secondary-title&gt;Journal of Medical Ethics&lt;/secondary-title&gt;&lt;/titles&gt;&lt;pages&gt;medethics-2019-105629&lt;/pages&gt;&lt;contributors&gt;&lt;authors&gt;&lt;author&gt;Frith, Lucy&lt;/author&gt;&lt;/authors&gt;&lt;/contributors&gt;&lt;added-date format="utc"&gt;1569332567&lt;/added-date&gt;&lt;ref-type name="Journal Article"&gt;17&lt;/ref-type&gt;&lt;dates&gt;&lt;year&gt;2019&lt;/year&gt;&lt;/dates&gt;&lt;rec-number&gt;2816&lt;/rec-number&gt;&lt;last-updated-date format="utc"&gt;1569332567&lt;/last-updated-date&gt;&lt;electronic-resource-num&gt;10.1136/medethics-2019-105629&lt;/electronic-resource-num&gt;&lt;/record&gt;&lt;/Cite&gt;&lt;/EndNote&gt;</w:instrText>
      </w:r>
      <w:r w:rsidR="001F6DBE">
        <w:fldChar w:fldCharType="separate"/>
      </w:r>
      <w:r w:rsidR="001F6DBE">
        <w:rPr>
          <w:noProof/>
        </w:rPr>
        <w:t>(1)</w:t>
      </w:r>
      <w:r w:rsidR="001F6DBE">
        <w:fldChar w:fldCharType="end"/>
      </w:r>
      <w:r>
        <w:t xml:space="preserve"> to </w:t>
      </w:r>
      <w:r w:rsidR="00121D16">
        <w:t>our paper</w:t>
      </w:r>
      <w:r w:rsidR="004009ED">
        <w:t xml:space="preserve">, </w:t>
      </w:r>
      <w:r w:rsidR="006D7703">
        <w:t>where we</w:t>
      </w:r>
      <w:r w:rsidR="004009ED">
        <w:t xml:space="preserve"> argued that it would be ethically acceptable to contact an anonymous egg donor to help facilitate diagnostic genetic testing for a donor-conceived child</w:t>
      </w:r>
      <w:r w:rsidR="007B6E45">
        <w:fldChar w:fldCharType="begin"/>
      </w:r>
      <w:r w:rsidR="001F6DBE">
        <w:instrText xml:space="preserve"> ADDIN EN.CITE &lt;EndNote&gt;&lt;Cite&gt;&lt;Author&gt;Horton&lt;/Author&gt;&lt;Year&gt;2019&lt;/Year&gt;&lt;IDText&gt;Is it acceptable to contact an anonymous egg donor to facilitate diagnostic genetic testing for the donor-conceived child?&lt;/IDText&gt;&lt;DisplayText&gt;(2)&lt;/DisplayText&gt;&lt;record&gt;&lt;urls&gt;&lt;related-urls&gt;&lt;url&gt;http://jme.bmj.com/content/45/6/357.abstract&lt;/url&gt;&lt;/related-urls&gt;&lt;/urls&gt;&lt;titles&gt;&lt;title&gt;Is it acceptable to contact an anonymous egg donor to facilitate diagnostic genetic testing for the donor-conceived child?&lt;/title&gt;&lt;secondary-title&gt;Journal of Medical Ethics&lt;/secondary-title&gt;&lt;/titles&gt;&lt;pages&gt;357&lt;/pages&gt;&lt;number&gt;6&lt;/number&gt;&lt;contributors&gt;&lt;authors&gt;&lt;author&gt;Horton, Rachel&lt;/author&gt;&lt;author&gt;Bell, Benjamin&lt;/author&gt;&lt;author&gt;Fenwick, Angela&lt;/author&gt;&lt;author&gt;Lucassen, Anneke M.&lt;/author&gt;&lt;/authors&gt;&lt;/contributors&gt;&lt;added-date format="utc"&gt;1567682209&lt;/added-date&gt;&lt;ref-type name="Journal Article"&gt;17&lt;/ref-type&gt;&lt;dates&gt;&lt;year&gt;2019&lt;/year&gt;&lt;/dates&gt;&lt;rec-number&gt;2806&lt;/rec-number&gt;&lt;last-updated-date format="utc"&gt;1567682209&lt;/last-updated-date&gt;&lt;electronic-resource-num&gt;10.1136/medethics-2018-105322&lt;/electronic-resource-num&gt;&lt;volume&gt;45&lt;/volume&gt;&lt;/record&gt;&lt;/Cite&gt;&lt;/EndNote&gt;</w:instrText>
      </w:r>
      <w:r w:rsidR="007B6E45">
        <w:fldChar w:fldCharType="separate"/>
      </w:r>
      <w:r w:rsidR="001F6DBE">
        <w:rPr>
          <w:noProof/>
        </w:rPr>
        <w:t>(2)</w:t>
      </w:r>
      <w:r w:rsidR="007B6E45">
        <w:fldChar w:fldCharType="end"/>
      </w:r>
      <w:r w:rsidR="00121D16">
        <w:t xml:space="preserve">. </w:t>
      </w:r>
      <w:r w:rsidR="00A32919">
        <w:t>W</w:t>
      </w:r>
      <w:r w:rsidR="00F2571C">
        <w:t xml:space="preserve">hilst we read </w:t>
      </w:r>
      <w:r w:rsidR="001635EC">
        <w:t>Frith’s</w:t>
      </w:r>
      <w:r w:rsidR="001635EC">
        <w:t xml:space="preserve"> </w:t>
      </w:r>
      <w:r>
        <w:t xml:space="preserve">commentary with </w:t>
      </w:r>
      <w:r w:rsidR="00F2571C">
        <w:t xml:space="preserve">interest, </w:t>
      </w:r>
      <w:r w:rsidR="00121D16">
        <w:t>we</w:t>
      </w:r>
      <w:r w:rsidR="00F2571C">
        <w:t xml:space="preserve"> </w:t>
      </w:r>
      <w:r w:rsidR="00F67BF0">
        <w:t>still think that</w:t>
      </w:r>
      <w:r w:rsidR="00F2571C">
        <w:t xml:space="preserve"> </w:t>
      </w:r>
      <w:r w:rsidR="00080DF5">
        <w:t>the egg donor</w:t>
      </w:r>
      <w:r w:rsidR="00CE1784">
        <w:t xml:space="preserve"> </w:t>
      </w:r>
      <w:r w:rsidR="00F2571C">
        <w:t>should be contacted</w:t>
      </w:r>
      <w:r w:rsidR="00F67BF0">
        <w:t xml:space="preserve"> in the case that we describe</w:t>
      </w:r>
      <w:r w:rsidR="0063060B">
        <w:t xml:space="preserve">. </w:t>
      </w:r>
      <w:r w:rsidR="00615016">
        <w:t>Frith</w:t>
      </w:r>
      <w:r w:rsidR="0063060B">
        <w:t xml:space="preserve"> raises</w:t>
      </w:r>
      <w:r w:rsidR="0056488F">
        <w:t xml:space="preserve"> </w:t>
      </w:r>
      <w:r w:rsidR="0063060B">
        <w:t xml:space="preserve">concerns </w:t>
      </w:r>
      <w:r w:rsidR="0056488F">
        <w:t>as to</w:t>
      </w:r>
      <w:r w:rsidR="0063060B">
        <w:t xml:space="preserve"> </w:t>
      </w:r>
      <w:r w:rsidR="0056488F">
        <w:t>whether contact</w:t>
      </w:r>
      <w:r w:rsidR="006D7703">
        <w:t xml:space="preserve"> would constitute ‘</w:t>
      </w:r>
      <w:r w:rsidR="006D7703" w:rsidRPr="00286E38">
        <w:rPr>
          <w:i/>
        </w:rPr>
        <w:t>overriding consent</w:t>
      </w:r>
      <w:r w:rsidR="006D7703">
        <w:t>’</w:t>
      </w:r>
      <w:r w:rsidR="0063060B">
        <w:t xml:space="preserve">, </w:t>
      </w:r>
      <w:r w:rsidR="00080DF5">
        <w:t xml:space="preserve">thus </w:t>
      </w:r>
      <w:r w:rsidR="006D7703">
        <w:t>’</w:t>
      </w:r>
      <w:r w:rsidR="006D7703" w:rsidRPr="00286E38">
        <w:rPr>
          <w:i/>
        </w:rPr>
        <w:t xml:space="preserve">potentially </w:t>
      </w:r>
      <w:proofErr w:type="gramStart"/>
      <w:r w:rsidR="006D7703" w:rsidRPr="00286E38">
        <w:rPr>
          <w:i/>
        </w:rPr>
        <w:t>set</w:t>
      </w:r>
      <w:r w:rsidR="00080DF5">
        <w:rPr>
          <w:i/>
        </w:rPr>
        <w:t>[</w:t>
      </w:r>
      <w:proofErr w:type="gramEnd"/>
      <w:r w:rsidR="00080DF5">
        <w:rPr>
          <w:i/>
        </w:rPr>
        <w:t>ting]</w:t>
      </w:r>
      <w:r w:rsidR="006D7703" w:rsidRPr="00286E38">
        <w:rPr>
          <w:i/>
        </w:rPr>
        <w:t xml:space="preserve"> a dangerous precedent</w:t>
      </w:r>
      <w:r w:rsidR="006D7703">
        <w:t xml:space="preserve">’ </w:t>
      </w:r>
      <w:r w:rsidR="00080DF5">
        <w:t>for existing gamete donors and donor-conceived children</w:t>
      </w:r>
      <w:r w:rsidR="0063060B">
        <w:t xml:space="preserve">. </w:t>
      </w:r>
      <w:r w:rsidR="006D7703">
        <w:t xml:space="preserve">In contrast, we consider that contacting the egg donor </w:t>
      </w:r>
      <w:r w:rsidR="00983581">
        <w:t xml:space="preserve">would not </w:t>
      </w:r>
      <w:r w:rsidR="006D7703">
        <w:t>override her consent,</w:t>
      </w:r>
      <w:r w:rsidR="00C159EB">
        <w:t xml:space="preserve"> as her views on contact in the</w:t>
      </w:r>
      <w:r w:rsidR="006D7703">
        <w:t xml:space="preserve"> instance </w:t>
      </w:r>
      <w:r w:rsidR="00C159EB">
        <w:t xml:space="preserve">that has now arisen </w:t>
      </w:r>
      <w:r w:rsidR="006D7703">
        <w:t xml:space="preserve">were never </w:t>
      </w:r>
      <w:r w:rsidR="00983581">
        <w:t>sought</w:t>
      </w:r>
      <w:r w:rsidR="006D7703">
        <w:t>.</w:t>
      </w:r>
      <w:r w:rsidR="00080DF5">
        <w:t xml:space="preserve"> </w:t>
      </w:r>
      <w:r w:rsidR="00F67BF0">
        <w:t>Our view is</w:t>
      </w:r>
      <w:r w:rsidR="00080DF5">
        <w:t xml:space="preserve"> that given </w:t>
      </w:r>
      <w:r w:rsidR="00983581">
        <w:t xml:space="preserve">we do not currently know what she might </w:t>
      </w:r>
      <w:r w:rsidR="00080DF5">
        <w:t xml:space="preserve">want, contacting her is </w:t>
      </w:r>
      <w:r w:rsidR="00AA2490">
        <w:t>a more legitimate</w:t>
      </w:r>
      <w:r w:rsidR="00080DF5">
        <w:t xml:space="preserve"> way of respecting her autonomy</w:t>
      </w:r>
      <w:r w:rsidR="00AA2490">
        <w:t xml:space="preserve"> than </w:t>
      </w:r>
      <w:r w:rsidR="00F67BF0">
        <w:t>trying to anticipate</w:t>
      </w:r>
      <w:r w:rsidR="009E56FC">
        <w:t xml:space="preserve"> her</w:t>
      </w:r>
      <w:r w:rsidR="00F67BF0">
        <w:t xml:space="preserve"> likely</w:t>
      </w:r>
      <w:r w:rsidR="00AA2490">
        <w:t xml:space="preserve"> answer</w:t>
      </w:r>
      <w:r w:rsidR="00080DF5">
        <w:t>.</w:t>
      </w:r>
      <w:r w:rsidR="006D7703">
        <w:t xml:space="preserve"> </w:t>
      </w:r>
      <w:r w:rsidR="004009ED">
        <w:t>W</w:t>
      </w:r>
      <w:r w:rsidR="00CE1784">
        <w:t>e</w:t>
      </w:r>
      <w:r w:rsidR="00F67BF0">
        <w:t xml:space="preserve"> strongly</w:t>
      </w:r>
      <w:r w:rsidR="00CE1784">
        <w:t xml:space="preserve"> </w:t>
      </w:r>
      <w:r w:rsidR="004009ED">
        <w:t>agree with</w:t>
      </w:r>
      <w:r w:rsidR="00CE1784">
        <w:t xml:space="preserve"> </w:t>
      </w:r>
      <w:r w:rsidR="00615016">
        <w:t>Frith</w:t>
      </w:r>
      <w:r w:rsidR="00CE1784">
        <w:t xml:space="preserve">’s suggestion that </w:t>
      </w:r>
      <w:r w:rsidR="00831DFE">
        <w:t xml:space="preserve">future </w:t>
      </w:r>
      <w:r w:rsidR="00CE1784">
        <w:t>consent discussions around gamete donation should make explicit ‘</w:t>
      </w:r>
      <w:r w:rsidR="00CE1784" w:rsidRPr="006C25D7">
        <w:rPr>
          <w:i/>
        </w:rPr>
        <w:t>the possibility of being contacted in the future if there is a relevant reason for doing so</w:t>
      </w:r>
      <w:r w:rsidR="00CE1784">
        <w:t>’.</w:t>
      </w:r>
    </w:p>
    <w:p w14:paraId="0D072BA9" w14:textId="77777777" w:rsidR="006C25D7" w:rsidRDefault="006C25D7"/>
    <w:p w14:paraId="6722B527" w14:textId="77777777" w:rsidR="006C25D7" w:rsidRPr="006C25D7" w:rsidRDefault="009978DB">
      <w:pPr>
        <w:rPr>
          <w:b/>
        </w:rPr>
      </w:pPr>
      <w:r>
        <w:rPr>
          <w:b/>
        </w:rPr>
        <w:t>Limitations of consent</w:t>
      </w:r>
    </w:p>
    <w:p w14:paraId="398C934D" w14:textId="77777777" w:rsidR="000E5EDF" w:rsidRDefault="000E5EDF" w:rsidP="00F2571C"/>
    <w:p w14:paraId="60FBCDA8" w14:textId="3853C119" w:rsidR="00363D8A" w:rsidRDefault="00615016" w:rsidP="009E56FC">
      <w:r>
        <w:t>Frith</w:t>
      </w:r>
      <w:r w:rsidR="000E5EDF">
        <w:t xml:space="preserve"> </w:t>
      </w:r>
      <w:r w:rsidR="00F67BF0">
        <w:t xml:space="preserve">expresses a concern </w:t>
      </w:r>
      <w:r w:rsidR="000E5EDF">
        <w:t xml:space="preserve">that </w:t>
      </w:r>
      <w:r w:rsidR="00F67BF0">
        <w:t>contact would constitute</w:t>
      </w:r>
      <w:r w:rsidR="000E5EDF">
        <w:t xml:space="preserve"> ‘</w:t>
      </w:r>
      <w:r w:rsidR="000E5EDF">
        <w:rPr>
          <w:i/>
        </w:rPr>
        <w:t>overriding [the egg donor’s] consent</w:t>
      </w:r>
      <w:r w:rsidR="000E5EDF">
        <w:t>’</w:t>
      </w:r>
      <w:r w:rsidR="00F67BF0">
        <w:t xml:space="preserve">, meaning that we have to </w:t>
      </w:r>
      <w:r w:rsidR="000E5EDF">
        <w:t>‘</w:t>
      </w:r>
      <w:r w:rsidR="000E5EDF">
        <w:rPr>
          <w:i/>
        </w:rPr>
        <w:t>justify contacting the egg donor against her previously stated wishes not to be contacted</w:t>
      </w:r>
      <w:r w:rsidR="000E5EDF">
        <w:t xml:space="preserve">’. </w:t>
      </w:r>
      <w:r w:rsidR="009E56FC">
        <w:t>However, our</w:t>
      </w:r>
      <w:r w:rsidR="0036015D">
        <w:t xml:space="preserve"> argument is</w:t>
      </w:r>
      <w:r w:rsidR="000E5EDF">
        <w:t xml:space="preserve"> that the egg donor was never asked whether or not she was happy to be contacted in the circumstances that have now arisen</w:t>
      </w:r>
      <w:r w:rsidR="009E56FC">
        <w:t>. Thus</w:t>
      </w:r>
      <w:r w:rsidR="000E5EDF">
        <w:t xml:space="preserve"> </w:t>
      </w:r>
      <w:r w:rsidR="009978DB">
        <w:t>there is no</w:t>
      </w:r>
      <w:r w:rsidR="000E5EDF">
        <w:t xml:space="preserve"> consent </w:t>
      </w:r>
      <w:r w:rsidR="009978DB">
        <w:t xml:space="preserve">to </w:t>
      </w:r>
      <w:r w:rsidR="000E5EDF">
        <w:t>be overridden</w:t>
      </w:r>
      <w:r w:rsidR="00983581">
        <w:t>,</w:t>
      </w:r>
      <w:r w:rsidR="000E5EDF">
        <w:t xml:space="preserve"> </w:t>
      </w:r>
      <w:r w:rsidR="009978DB">
        <w:t>given that she never gave or withheld it in</w:t>
      </w:r>
      <w:r w:rsidR="000E5EDF">
        <w:t xml:space="preserve"> the first plac</w:t>
      </w:r>
      <w:r w:rsidR="009978DB">
        <w:t>e.</w:t>
      </w:r>
      <w:r w:rsidR="000E5EDF" w:rsidRPr="000E5EDF">
        <w:t xml:space="preserve"> </w:t>
      </w:r>
      <w:r>
        <w:t>Frith</w:t>
      </w:r>
      <w:r w:rsidR="000E5EDF">
        <w:t xml:space="preserve"> rightly acknowledge</w:t>
      </w:r>
      <w:r w:rsidR="00A32919">
        <w:t>s</w:t>
      </w:r>
      <w:r w:rsidR="004055EE">
        <w:t xml:space="preserve"> that </w:t>
      </w:r>
      <w:r>
        <w:t xml:space="preserve">her </w:t>
      </w:r>
      <w:r w:rsidR="000E5EDF">
        <w:t>arguments</w:t>
      </w:r>
      <w:r w:rsidR="009978DB">
        <w:t xml:space="preserve"> therefore</w:t>
      </w:r>
      <w:r w:rsidR="000E5EDF">
        <w:t xml:space="preserve"> ‘</w:t>
      </w:r>
      <w:r w:rsidR="000E5EDF" w:rsidRPr="006C25D7">
        <w:rPr>
          <w:i/>
        </w:rPr>
        <w:t xml:space="preserve">[do] not fully address </w:t>
      </w:r>
      <w:r w:rsidR="000E5EDF">
        <w:rPr>
          <w:i/>
        </w:rPr>
        <w:t>[our]</w:t>
      </w:r>
      <w:r w:rsidR="000E5EDF" w:rsidRPr="006C25D7">
        <w:rPr>
          <w:i/>
        </w:rPr>
        <w:t xml:space="preserve"> main worry that the donor’s wishes are essentially unknown, as she was not asked about this specific situation and therefore, in effect, she has not refused or consented to contact’</w:t>
      </w:r>
      <w:r w:rsidR="004009ED">
        <w:t>.</w:t>
      </w:r>
      <w:r w:rsidR="0036015D">
        <w:t xml:space="preserve"> </w:t>
      </w:r>
      <w:r w:rsidR="00983581">
        <w:t xml:space="preserve">However </w:t>
      </w:r>
      <w:r>
        <w:t xml:space="preserve">she </w:t>
      </w:r>
      <w:r w:rsidR="004055EE">
        <w:t>conclude</w:t>
      </w:r>
      <w:r>
        <w:t>s</w:t>
      </w:r>
      <w:r w:rsidR="004055EE">
        <w:t xml:space="preserve"> that</w:t>
      </w:r>
      <w:r w:rsidR="000E5EDF">
        <w:t xml:space="preserve"> ‘</w:t>
      </w:r>
      <w:r w:rsidR="000E5EDF">
        <w:rPr>
          <w:i/>
        </w:rPr>
        <w:t>the balance of probabilities suggests that she does not want to be contacted</w:t>
      </w:r>
      <w:r w:rsidR="000E5EDF">
        <w:t>’</w:t>
      </w:r>
      <w:r w:rsidR="00493E92">
        <w:t xml:space="preserve">. </w:t>
      </w:r>
      <w:r w:rsidR="00F67BF0">
        <w:t xml:space="preserve">Whilst we appreciate </w:t>
      </w:r>
      <w:r>
        <w:t>Frith</w:t>
      </w:r>
      <w:r w:rsidR="00F67BF0">
        <w:t xml:space="preserve">’s focus on the importance of respecting the egg donor’s wishes, </w:t>
      </w:r>
      <w:r w:rsidR="009E56FC">
        <w:t>w</w:t>
      </w:r>
      <w:r w:rsidR="00080DF5">
        <w:t xml:space="preserve">e </w:t>
      </w:r>
      <w:r w:rsidR="00493E92">
        <w:t>are concerned that conjectur</w:t>
      </w:r>
      <w:r w:rsidR="00F25DEA">
        <w:t>ing</w:t>
      </w:r>
      <w:r w:rsidR="00493E92">
        <w:t xml:space="preserve"> </w:t>
      </w:r>
      <w:r w:rsidR="00983581">
        <w:t xml:space="preserve">the egg donor’s </w:t>
      </w:r>
      <w:r w:rsidR="00493E92">
        <w:t>likely answer is paternalistic</w:t>
      </w:r>
      <w:r w:rsidR="009E56FC">
        <w:t>.</w:t>
      </w:r>
      <w:r w:rsidR="00983581">
        <w:t xml:space="preserve"> </w:t>
      </w:r>
      <w:r w:rsidR="009E56FC">
        <w:t xml:space="preserve">Our suggestion is to contact </w:t>
      </w:r>
      <w:r w:rsidR="00983581">
        <w:t xml:space="preserve">her </w:t>
      </w:r>
      <w:r w:rsidR="009E56FC">
        <w:t>to</w:t>
      </w:r>
      <w:r w:rsidR="00983581">
        <w:t xml:space="preserve"> enable her to </w:t>
      </w:r>
      <w:r w:rsidR="00493E92">
        <w:t xml:space="preserve">make </w:t>
      </w:r>
      <w:r w:rsidR="00983581">
        <w:t>a decision</w:t>
      </w:r>
      <w:r w:rsidR="00493E92">
        <w:t xml:space="preserve"> for herself</w:t>
      </w:r>
      <w:r w:rsidR="00F67BF0">
        <w:t>; we feel that a</w:t>
      </w:r>
      <w:r w:rsidR="009E56FC">
        <w:t xml:space="preserve">ny other approach </w:t>
      </w:r>
      <w:r w:rsidR="004C7515">
        <w:t xml:space="preserve">risks </w:t>
      </w:r>
      <w:r w:rsidR="009E56FC">
        <w:t>significantly undermin</w:t>
      </w:r>
      <w:r w:rsidR="004C7515">
        <w:t>ing</w:t>
      </w:r>
      <w:r w:rsidR="009E56FC">
        <w:t xml:space="preserve"> her autonomy.</w:t>
      </w:r>
    </w:p>
    <w:p w14:paraId="370D9A52" w14:textId="77777777" w:rsidR="00080DF5" w:rsidRDefault="00080DF5" w:rsidP="000E5EDF"/>
    <w:p w14:paraId="1FE61209" w14:textId="74152400" w:rsidR="0036015D" w:rsidRPr="0036015D" w:rsidRDefault="00615016" w:rsidP="008340FE">
      <w:r>
        <w:t>Frith</w:t>
      </w:r>
      <w:r w:rsidR="0036015D">
        <w:t xml:space="preserve"> </w:t>
      </w:r>
      <w:r w:rsidR="00363D8A">
        <w:t>argues that ‘</w:t>
      </w:r>
      <w:r w:rsidR="00363D8A" w:rsidRPr="006C25D7">
        <w:rPr>
          <w:i/>
        </w:rPr>
        <w:t>choices in genomic medicine do not always warrant distinctive consent procedures and maybe we need to rethink the forms of genetic exceptionalism that this argument presupposes</w:t>
      </w:r>
      <w:r w:rsidR="00363D8A">
        <w:t xml:space="preserve">’. </w:t>
      </w:r>
      <w:r w:rsidR="00F67BF0">
        <w:t>However,</w:t>
      </w:r>
      <w:r w:rsidR="00363D8A">
        <w:t xml:space="preserve"> our arguments </w:t>
      </w:r>
      <w:r w:rsidR="00F67BF0">
        <w:t xml:space="preserve">do not </w:t>
      </w:r>
      <w:r w:rsidR="00363D8A">
        <w:t xml:space="preserve">rely on genetic exceptionalism – we highlight that narrow models of consent are unsuited to many decisions around genomic medicine, not by virtue of it being ‘genomic’ </w:t>
      </w:r>
      <w:r w:rsidR="00363D8A" w:rsidRPr="007368C9">
        <w:rPr>
          <w:i/>
        </w:rPr>
        <w:t>per se</w:t>
      </w:r>
      <w:r w:rsidR="00363D8A">
        <w:t>, but because genomic medicine has qualities that mean historical narrow consent as sole arbiter of future decisions is often inappropriate</w:t>
      </w:r>
      <w:r w:rsidR="00F13129">
        <w:t>. O</w:t>
      </w:r>
      <w:r w:rsidR="00363D8A">
        <w:t>f course, these qualities may be shared with other areas of medicine</w:t>
      </w:r>
      <w:r w:rsidR="00F13129">
        <w:t xml:space="preserve"> and </w:t>
      </w:r>
      <w:r w:rsidR="00363D8A">
        <w:t xml:space="preserve">Garrison </w:t>
      </w:r>
      <w:r w:rsidR="00363D8A">
        <w:rPr>
          <w:i/>
        </w:rPr>
        <w:t>et al</w:t>
      </w:r>
      <w:r w:rsidR="00363D8A">
        <w:t xml:space="preserve"> recently proposed </w:t>
      </w:r>
      <w:r w:rsidR="00F67BF0">
        <w:t xml:space="preserve">a </w:t>
      </w:r>
      <w:r w:rsidR="00363D8A">
        <w:t xml:space="preserve">concept of ‘genomic </w:t>
      </w:r>
      <w:proofErr w:type="spellStart"/>
      <w:r w:rsidR="00363D8A">
        <w:t>contextualism</w:t>
      </w:r>
      <w:proofErr w:type="spellEnd"/>
      <w:r w:rsidR="00363D8A">
        <w:t xml:space="preserve">’, which encompasses the </w:t>
      </w:r>
      <w:r w:rsidR="00363D8A" w:rsidRPr="00363D8A">
        <w:t>notion</w:t>
      </w:r>
      <w:r w:rsidR="00AA2490">
        <w:t xml:space="preserve"> that</w:t>
      </w:r>
      <w:r w:rsidR="00363D8A" w:rsidRPr="00363D8A">
        <w:t xml:space="preserve"> genomic information has some qualities that overlap with other kinds of medical information, and some that are distinct</w:t>
      </w:r>
      <w:r w:rsidR="00363D8A">
        <w:fldChar w:fldCharType="begin"/>
      </w:r>
      <w:r w:rsidR="001F6DBE">
        <w:instrText xml:space="preserve"> ADDIN EN.CITE &lt;EndNote&gt;&lt;Cite&gt;&lt;Author&gt;Garrison&lt;/Author&gt;&lt;Year&gt;2019&lt;/Year&gt;&lt;IDText&gt;Genomic Contextualism: Shifting the Rhetoric of Genetic Exceptionalism&lt;/IDText&gt;&lt;DisplayText&gt;(3)&lt;/DisplayText&gt;&lt;record&gt;&lt;dates&gt;&lt;pub-dates&gt;&lt;date&gt;2019/01/02&lt;/date&gt;&lt;/pub-dates&gt;&lt;year&gt;2019&lt;/year&gt;&lt;/dates&gt;&lt;urls&gt;&lt;related-urls&gt;&lt;url&gt;https://doi.org/10.1080/15265161.2018.1544304&lt;/url&gt;&lt;/related-urls&gt;&lt;/urls&gt;&lt;isbn&gt;1526-5161&lt;/isbn&gt;&lt;titles&gt;&lt;title&gt;Genomic Contextualism: Shifting the Rhetoric of Genetic Exceptionalism&lt;/title&gt;&lt;secondary-title&gt;The American Journal of Bioethics&lt;/secondary-title&gt;&lt;/titles&gt;&lt;pages&gt;51-63&lt;/pages&gt;&lt;number&gt;1&lt;/number&gt;&lt;contributors&gt;&lt;authors&gt;&lt;author&gt;Garrison, Nanibaa&amp;apos;&lt;/author&gt;&lt;author&gt;Brothers, Kyle B.&lt;/author&gt;&lt;author&gt;Goldenberg, Aaron J.&lt;/author&gt;&lt;author&gt;Lynch, John A.&lt;/author&gt;&lt;/authors&gt;&lt;/contributors&gt;&lt;added-date format="utc"&gt;1550227825&lt;/added-date&gt;&lt;ref-type name="Journal Article"&gt;17&lt;/ref-type&gt;&lt;rec-number&gt;2721&lt;/rec-number&gt;&lt;publisher&gt;Taylor &amp;amp; Francis&lt;/publisher&gt;&lt;last-updated-date format="utc"&gt;1550232273&lt;/last-updated-date&gt;&lt;electronic-resource-num&gt;10.1080/15265161.2018.1544304&lt;/electronic-resource-num&gt;&lt;volume&gt;19&lt;/volume&gt;&lt;/record&gt;&lt;/Cite&gt;&lt;/EndNote&gt;</w:instrText>
      </w:r>
      <w:r w:rsidR="00363D8A">
        <w:fldChar w:fldCharType="separate"/>
      </w:r>
      <w:r w:rsidR="001F6DBE">
        <w:rPr>
          <w:noProof/>
        </w:rPr>
        <w:t>(3)</w:t>
      </w:r>
      <w:r w:rsidR="00363D8A">
        <w:fldChar w:fldCharType="end"/>
      </w:r>
      <w:r w:rsidR="00363D8A">
        <w:t>. Insofar as other areas of medicine ‘</w:t>
      </w:r>
      <w:r w:rsidR="00363D8A" w:rsidRPr="006C25D7">
        <w:rPr>
          <w:i/>
        </w:rPr>
        <w:t>involve complex medical information, present uncertainties and could have unforeseen consequences</w:t>
      </w:r>
      <w:r w:rsidR="00363D8A">
        <w:t>’, we should not automatically subscribe to the precedent of using narrow consent in such situations either.</w:t>
      </w:r>
      <w:r w:rsidR="00363D8A" w:rsidRPr="007368C9">
        <w:t xml:space="preserve"> </w:t>
      </w:r>
      <w:r w:rsidR="00363D8A">
        <w:t>Perhaps the lessons learnt from genomic medicine in reconsidering the appropriateness of regarding consent as a one-off, definitive event might be usefully applied elsewhere.</w:t>
      </w:r>
    </w:p>
    <w:p w14:paraId="584E995E" w14:textId="77777777" w:rsidR="000E5EDF" w:rsidRDefault="000E5EDF" w:rsidP="00F2571C"/>
    <w:p w14:paraId="5A5E8A88" w14:textId="2D4D9497" w:rsidR="00BC723F" w:rsidRDefault="00615016" w:rsidP="00F2571C">
      <w:r>
        <w:t>Frith</w:t>
      </w:r>
      <w:r w:rsidR="00D15603">
        <w:t xml:space="preserve"> make</w:t>
      </w:r>
      <w:r w:rsidR="00AA2490">
        <w:t>s</w:t>
      </w:r>
      <w:r w:rsidR="00D15603">
        <w:t xml:space="preserve"> a convincing point that ‘</w:t>
      </w:r>
      <w:r w:rsidR="00D15603" w:rsidRPr="006C25D7">
        <w:rPr>
          <w:i/>
        </w:rPr>
        <w:t>we allow people to make future binding choices… in spite of the inevitable changes in circumstances there will be in the longer term. And generally, we do not go back and check if people are happy with their choices, we wait for them to ‘opt out’ of the arrangement</w:t>
      </w:r>
      <w:r w:rsidR="00D15603">
        <w:t xml:space="preserve">’. Whilst we acknowledge this, we argue that the analogies </w:t>
      </w:r>
      <w:r>
        <w:t>that Frith</w:t>
      </w:r>
      <w:r w:rsidR="00D15603">
        <w:t xml:space="preserve"> uses to </w:t>
      </w:r>
      <w:r w:rsidR="00261917">
        <w:t xml:space="preserve">illustrate </w:t>
      </w:r>
      <w:r>
        <w:t xml:space="preserve">her </w:t>
      </w:r>
      <w:r w:rsidR="00261917">
        <w:t>argument</w:t>
      </w:r>
      <w:r w:rsidR="00D15603">
        <w:t xml:space="preserve"> have key differences to the case under consideration here. When you make a will, </w:t>
      </w:r>
      <w:r w:rsidR="00D15603">
        <w:lastRenderedPageBreak/>
        <w:t xml:space="preserve">your solicitor does not regularly contact you to check you are still happy with it, but </w:t>
      </w:r>
      <w:r w:rsidR="00F13129">
        <w:t xml:space="preserve">in this scenario, you </w:t>
      </w:r>
      <w:r w:rsidR="00D15603">
        <w:t xml:space="preserve">would have awareness of the changing contexts that might influence your decisions regarding your legacy; the egg donor in our case </w:t>
      </w:r>
      <w:r w:rsidR="004009ED">
        <w:t xml:space="preserve">does </w:t>
      </w:r>
      <w:r w:rsidR="00D15603">
        <w:t>not.</w:t>
      </w:r>
    </w:p>
    <w:p w14:paraId="77F56602" w14:textId="77777777" w:rsidR="00BC723F" w:rsidRDefault="00BC723F" w:rsidP="00F2571C"/>
    <w:p w14:paraId="1C575C6E" w14:textId="0CDFC53E" w:rsidR="00BC723F" w:rsidRPr="00BC723F" w:rsidRDefault="00615016" w:rsidP="008340FE">
      <w:r>
        <w:t>Frith</w:t>
      </w:r>
      <w:r w:rsidR="006C25D7">
        <w:t xml:space="preserve"> also argues that ‘</w:t>
      </w:r>
      <w:r w:rsidR="006C25D7" w:rsidRPr="006C25D7">
        <w:rPr>
          <w:i/>
        </w:rPr>
        <w:t>medically, we wait until people present at the doctors to check any choices and treatment plans, rather than regularly initiating contact to check they are happy with their previously expressed choices</w:t>
      </w:r>
      <w:r w:rsidR="006C25D7">
        <w:t>’</w:t>
      </w:r>
      <w:r w:rsidR="00D70358">
        <w:t>, and w</w:t>
      </w:r>
      <w:r w:rsidR="00F67BF0">
        <w:t>e acknowledg</w:t>
      </w:r>
      <w:r w:rsidR="00D70358">
        <w:t xml:space="preserve">e that this is often the case. </w:t>
      </w:r>
      <w:r w:rsidR="006C25D7">
        <w:t>However, when individuals have made previous decisions around theoretical future treatments, for example an advanced d</w:t>
      </w:r>
      <w:r w:rsidR="00CF3251">
        <w:t>ecision</w:t>
      </w:r>
      <w:r w:rsidR="006C25D7">
        <w:t xml:space="preserve">, and circumstances evolve such that </w:t>
      </w:r>
      <w:r w:rsidR="00261917">
        <w:t xml:space="preserve">the </w:t>
      </w:r>
      <w:r w:rsidR="006C25D7">
        <w:t xml:space="preserve">treatment </w:t>
      </w:r>
      <w:r w:rsidR="00261917">
        <w:t xml:space="preserve">in question </w:t>
      </w:r>
      <w:r w:rsidR="006C25D7">
        <w:t>would now be actually indicated,</w:t>
      </w:r>
      <w:r w:rsidR="00AA2490">
        <w:t xml:space="preserve"> or a new alternative treatment that has never been discussed becomes available,</w:t>
      </w:r>
      <w:r w:rsidR="006C25D7">
        <w:t xml:space="preserve"> usual practice would involve checking with a patient that </w:t>
      </w:r>
      <w:r w:rsidR="00AA2490">
        <w:t>they still wish to</w:t>
      </w:r>
      <w:r w:rsidR="006C25D7">
        <w:t xml:space="preserve"> refuse treatment, rather than ign</w:t>
      </w:r>
      <w:r w:rsidR="00DD2D5D">
        <w:t xml:space="preserve">oring that possibility </w:t>
      </w:r>
      <w:r w:rsidR="00261917">
        <w:t>on the basis that</w:t>
      </w:r>
      <w:r w:rsidR="00DD2D5D">
        <w:t xml:space="preserve"> </w:t>
      </w:r>
      <w:r w:rsidR="006C25D7">
        <w:t xml:space="preserve">they </w:t>
      </w:r>
      <w:r w:rsidR="00F13129">
        <w:t xml:space="preserve">had already made their decision. </w:t>
      </w:r>
      <w:r>
        <w:t>Frith</w:t>
      </w:r>
      <w:r w:rsidR="00BC723F">
        <w:t xml:space="preserve"> raises a question as to whether contacting the egg donor may ‘</w:t>
      </w:r>
      <w:r w:rsidR="00BC723F">
        <w:rPr>
          <w:i/>
        </w:rPr>
        <w:t>press healthcare professionals’ duties to inform patients far over what is either ethically demanded or practical</w:t>
      </w:r>
      <w:r w:rsidR="00BC723F">
        <w:t xml:space="preserve">’. We agree that establishing a duty to contact in such cases is beyond the scope of our article, but </w:t>
      </w:r>
      <w:r w:rsidR="00982D64">
        <w:t>whether contact is required</w:t>
      </w:r>
      <w:r w:rsidR="004F5354">
        <w:t xml:space="preserve"> </w:t>
      </w:r>
      <w:r w:rsidR="008340FE">
        <w:t>in all cases</w:t>
      </w:r>
      <w:r w:rsidR="00C163DE">
        <w:t xml:space="preserve"> </w:t>
      </w:r>
      <w:r w:rsidR="00982D64">
        <w:t>and whether it is ethically defensible</w:t>
      </w:r>
      <w:r w:rsidR="008340FE">
        <w:t xml:space="preserve"> in a particular case</w:t>
      </w:r>
      <w:r w:rsidR="00982D64">
        <w:t xml:space="preserve"> are </w:t>
      </w:r>
      <w:r w:rsidR="004F5354">
        <w:t xml:space="preserve">two </w:t>
      </w:r>
      <w:r w:rsidR="00982D64">
        <w:t>different questions</w:t>
      </w:r>
      <w:r w:rsidR="004F5354">
        <w:t xml:space="preserve">; here we are concerned with the latter.  </w:t>
      </w:r>
    </w:p>
    <w:p w14:paraId="5E81AB9F" w14:textId="77777777" w:rsidR="006C25D7" w:rsidRDefault="006C25D7" w:rsidP="00F2571C"/>
    <w:p w14:paraId="2FA1CD6D" w14:textId="77777777" w:rsidR="00551632" w:rsidRPr="00551632" w:rsidRDefault="00551632" w:rsidP="00F2571C">
      <w:pPr>
        <w:rPr>
          <w:b/>
        </w:rPr>
      </w:pPr>
      <w:r w:rsidRPr="00551632">
        <w:rPr>
          <w:b/>
        </w:rPr>
        <w:t>Balancing the interests of the donor and the child</w:t>
      </w:r>
    </w:p>
    <w:p w14:paraId="6D52A031" w14:textId="77777777" w:rsidR="00551632" w:rsidRDefault="00551632" w:rsidP="00F2571C"/>
    <w:p w14:paraId="35E78F7C" w14:textId="61688766" w:rsidR="008340FE" w:rsidRDefault="00615016" w:rsidP="008340FE">
      <w:r>
        <w:t>Frith</w:t>
      </w:r>
      <w:r w:rsidR="00BA4172">
        <w:t xml:space="preserve"> </w:t>
      </w:r>
      <w:r w:rsidR="004F5354">
        <w:t xml:space="preserve">reviews </w:t>
      </w:r>
      <w:r w:rsidR="00BA4172">
        <w:t>our argument that the choices made by the egg donor might impa</w:t>
      </w:r>
      <w:r w:rsidR="0028365B">
        <w:t xml:space="preserve">ct on the donor-conceived child, and agrees that this issue needs careful consideration. </w:t>
      </w:r>
      <w:r>
        <w:t xml:space="preserve">She </w:t>
      </w:r>
      <w:r w:rsidR="0028365B">
        <w:t>accurately state</w:t>
      </w:r>
      <w:r>
        <w:t>s</w:t>
      </w:r>
      <w:r w:rsidR="0028365B">
        <w:t xml:space="preserve"> that ‘</w:t>
      </w:r>
      <w:r w:rsidR="0028365B">
        <w:rPr>
          <w:i/>
        </w:rPr>
        <w:t>the HFEA has always been clear that it is paramount to get consent and respect that consent from all parties involved in gamete donation</w:t>
      </w:r>
      <w:r w:rsidR="0028365B">
        <w:t>’, but go</w:t>
      </w:r>
      <w:r>
        <w:t>es</w:t>
      </w:r>
      <w:r w:rsidR="0028365B">
        <w:t xml:space="preserve"> on to argue from this that ‘</w:t>
      </w:r>
      <w:r w:rsidR="0028365B">
        <w:rPr>
          <w:i/>
        </w:rPr>
        <w:t>overriding the freely given consent of a donor… could potentially set a dangerous precedent</w:t>
      </w:r>
      <w:r w:rsidR="0028365B">
        <w:t xml:space="preserve">’. </w:t>
      </w:r>
      <w:r w:rsidR="0056488F">
        <w:t xml:space="preserve">We think this concern is </w:t>
      </w:r>
      <w:r w:rsidR="00286E38">
        <w:t xml:space="preserve">perhaps </w:t>
      </w:r>
      <w:r w:rsidR="0056488F">
        <w:t>based on a misunderstanding of our argument</w:t>
      </w:r>
      <w:r w:rsidR="004F5354">
        <w:t xml:space="preserve"> as we highlighted earlier: </w:t>
      </w:r>
      <w:r w:rsidR="0056488F">
        <w:t xml:space="preserve">we </w:t>
      </w:r>
      <w:r w:rsidR="00286E38">
        <w:t xml:space="preserve">are not advocating overriding </w:t>
      </w:r>
      <w:r w:rsidR="00BC723F">
        <w:t>the egg donor’s</w:t>
      </w:r>
      <w:r w:rsidR="0056488F">
        <w:t xml:space="preserve"> </w:t>
      </w:r>
      <w:r w:rsidR="0028365B">
        <w:t>‘</w:t>
      </w:r>
      <w:r w:rsidR="0028365B" w:rsidRPr="0028365B">
        <w:rPr>
          <w:i/>
        </w:rPr>
        <w:t>freely given consent</w:t>
      </w:r>
      <w:r w:rsidR="0028365B">
        <w:t>’</w:t>
      </w:r>
      <w:r w:rsidR="0056488F">
        <w:t xml:space="preserve"> – in contrast, we want to ask her </w:t>
      </w:r>
      <w:r w:rsidR="004F5354">
        <w:t xml:space="preserve">for her consent in relation to </w:t>
      </w:r>
      <w:r w:rsidR="00286E38">
        <w:t>th</w:t>
      </w:r>
      <w:r w:rsidR="004F5354">
        <w:t>e</w:t>
      </w:r>
      <w:r w:rsidR="00286E38">
        <w:t xml:space="preserve"> </w:t>
      </w:r>
      <w:r w:rsidR="008340FE">
        <w:t>newly arisen situation</w:t>
      </w:r>
      <w:r w:rsidR="00286E38">
        <w:t>,</w:t>
      </w:r>
      <w:r w:rsidR="0056488F">
        <w:t xml:space="preserve"> instead of second guessing</w:t>
      </w:r>
      <w:r w:rsidR="00286E38">
        <w:t xml:space="preserve"> what her answer will be</w:t>
      </w:r>
      <w:r w:rsidR="004F5354">
        <w:t>,</w:t>
      </w:r>
      <w:r w:rsidR="00BC723F" w:rsidRPr="00BC723F">
        <w:t xml:space="preserve"> </w:t>
      </w:r>
      <w:r w:rsidR="00BC723F">
        <w:t>and so denying her the opportunity to exercise her autonomy</w:t>
      </w:r>
      <w:r w:rsidR="0028365B">
        <w:t xml:space="preserve">. We acknowledge </w:t>
      </w:r>
      <w:r>
        <w:t>Frith</w:t>
      </w:r>
      <w:r w:rsidR="0028365B">
        <w:t>’s concern that in practice, shifts in policy around contact in such situation</w:t>
      </w:r>
      <w:r w:rsidR="00DD2D5D">
        <w:t>s</w:t>
      </w:r>
      <w:r w:rsidR="0028365B">
        <w:t xml:space="preserve"> ‘</w:t>
      </w:r>
      <w:r w:rsidR="0028365B">
        <w:rPr>
          <w:i/>
        </w:rPr>
        <w:t>could create unease among potential donors and recipients</w:t>
      </w:r>
      <w:r w:rsidR="0028365B">
        <w:t>’</w:t>
      </w:r>
      <w:r w:rsidR="00F67421">
        <w:t>. W</w:t>
      </w:r>
      <w:r w:rsidR="0028365B">
        <w:t xml:space="preserve">e think </w:t>
      </w:r>
      <w:r w:rsidR="00F67421">
        <w:t>that</w:t>
      </w:r>
      <w:r w:rsidR="0028365B">
        <w:t xml:space="preserve"> further discussion of such issues among relevant stakeholders</w:t>
      </w:r>
      <w:r w:rsidR="00F67421">
        <w:t xml:space="preserve"> will be important and necessary in responding to this concern, but our view is that we should not pre-empt the outcome of such discussions by automatically saying</w:t>
      </w:r>
      <w:r w:rsidR="0028365B">
        <w:t xml:space="preserve"> ‘no’ to contacting donors in unforeseeable future situations where there is a </w:t>
      </w:r>
      <w:r w:rsidR="007368C9">
        <w:t xml:space="preserve">pressing </w:t>
      </w:r>
      <w:r w:rsidR="0028365B">
        <w:t>medical reason for doing so.</w:t>
      </w:r>
    </w:p>
    <w:p w14:paraId="0F78578D" w14:textId="77777777" w:rsidR="0028365B" w:rsidRDefault="0028365B" w:rsidP="00F2571C"/>
    <w:p w14:paraId="16C364FD" w14:textId="5794D67E" w:rsidR="00551632" w:rsidRDefault="00EC0BB7" w:rsidP="00F2571C">
      <w:r>
        <w:t xml:space="preserve">Whilst this was not </w:t>
      </w:r>
      <w:r w:rsidR="00F40F8D">
        <w:t>a key</w:t>
      </w:r>
      <w:r>
        <w:t xml:space="preserve"> focus of our </w:t>
      </w:r>
      <w:r w:rsidR="00F40F8D">
        <w:t xml:space="preserve">original </w:t>
      </w:r>
      <w:r>
        <w:t xml:space="preserve">article nor of the response, it is interesting to reflect on how </w:t>
      </w:r>
      <w:r w:rsidR="00F40F8D">
        <w:t>the protections</w:t>
      </w:r>
      <w:r>
        <w:t xml:space="preserve"> around donor anonymity are shifting over time, outside the context of </w:t>
      </w:r>
      <w:proofErr w:type="spellStart"/>
      <w:r>
        <w:t>recontact</w:t>
      </w:r>
      <w:proofErr w:type="spellEnd"/>
      <w:r>
        <w:t xml:space="preserve"> for medical reasons. In 2005, UK law changed such that future donor-conceived children could receive information about their donor when they turned 18</w:t>
      </w:r>
      <w:r w:rsidR="0092340A">
        <w:fldChar w:fldCharType="begin"/>
      </w:r>
      <w:r w:rsidR="001F6DBE">
        <w:instrText xml:space="preserve"> ADDIN EN.CITE &lt;EndNote&gt;&lt;Cite&gt;&lt;Author&gt;HFEA&lt;/Author&gt;&lt;IDText&gt;Finding out about your donor and genetic siblings&lt;/IDText&gt;&lt;DisplayText&gt;(4)&lt;/DisplayText&gt;&lt;record&gt;&lt;urls&gt;&lt;related-urls&gt;&lt;url&gt;https://www.hfea.gov.uk/donation/donor-conceived-people-and-their-parents/finding-out-about-your-donor-and-genetic-siblings/&lt;/url&gt;&lt;/related-urls&gt;&lt;/urls&gt;&lt;titles&gt;&lt;title&gt;Finding out about your donor and genetic siblings&lt;/title&gt;&lt;/titles&gt;&lt;number&gt;29/08/2018&lt;/number&gt;&lt;contributors&gt;&lt;authors&gt;&lt;author&gt;HFEA&lt;/author&gt;&lt;/authors&gt;&lt;/contributors&gt;&lt;added-date format="utc"&gt;1535560098&lt;/added-date&gt;&lt;pub-location&gt;https://www.hfea.gov.uk&lt;/pub-location&gt;&lt;ref-type name="Web Page"&gt;12&lt;/ref-type&gt;&lt;rec-number&gt;2634&lt;/rec-number&gt;&lt;last-updated-date format="utc"&gt;1535560141&lt;/last-updated-date&gt;&lt;/record&gt;&lt;/Cite&gt;&lt;/EndNote&gt;</w:instrText>
      </w:r>
      <w:r w:rsidR="0092340A">
        <w:fldChar w:fldCharType="separate"/>
      </w:r>
      <w:r w:rsidR="001F6DBE">
        <w:rPr>
          <w:noProof/>
        </w:rPr>
        <w:t>(4)</w:t>
      </w:r>
      <w:r w:rsidR="0092340A">
        <w:fldChar w:fldCharType="end"/>
      </w:r>
      <w:r>
        <w:t xml:space="preserve"> – so in the case we discuss, in donating, the egg donor had to accept th</w:t>
      </w:r>
      <w:r w:rsidR="004F5354">
        <w:t>e</w:t>
      </w:r>
      <w:r>
        <w:t xml:space="preserve"> possibility of contact in the future. Increasing uptake of commercial genetic testing is changing this landscape further</w:t>
      </w:r>
      <w:r w:rsidR="00286E38">
        <w:fldChar w:fldCharType="begin"/>
      </w:r>
      <w:r w:rsidR="001F6DBE">
        <w:instrText xml:space="preserve"> ADDIN EN.CITE &lt;EndNote&gt;&lt;Cite&gt;&lt;Author&gt;Kennett&lt;/Author&gt;&lt;Year&gt;2018&lt;/Year&gt;&lt;IDText&gt;Personal genetic testing and the implications for the donor conception community&lt;/IDText&gt;&lt;DisplayText&gt;(5)&lt;/DisplayText&gt;&lt;record&gt;&lt;titles&gt;&lt;title&gt;Personal genetic testing and the implications for the donor conception community&lt;/title&gt;&lt;/titles&gt;&lt;number&gt;05/09/2019&lt;/number&gt;&lt;contributors&gt;&lt;authors&gt;&lt;author&gt;Kennett, Debbie&lt;/author&gt;&lt;/authors&gt;&lt;/contributors&gt;&lt;added-date format="utc"&gt;1567683454&lt;/added-date&gt;&lt;pub-location&gt;https://www.bionews.org.uk/page_96385&lt;/pub-location&gt;&lt;ref-type name="Web Page"&gt;12&lt;/ref-type&gt;&lt;dates&gt;&lt;year&gt;2018&lt;/year&gt;&lt;/dates&gt;&lt;rec-number&gt;2808&lt;/rec-number&gt;&lt;publisher&gt;BioNews  939&lt;/publisher&gt;&lt;last-updated-date format="utc"&gt;1567683513&lt;/last-updated-date&gt;&lt;volume&gt;2019&lt;/volume&gt;&lt;/record&gt;&lt;/Cite&gt;&lt;/EndNote&gt;</w:instrText>
      </w:r>
      <w:r w:rsidR="00286E38">
        <w:fldChar w:fldCharType="separate"/>
      </w:r>
      <w:r w:rsidR="001F6DBE">
        <w:rPr>
          <w:noProof/>
        </w:rPr>
        <w:t>(5)</w:t>
      </w:r>
      <w:r w:rsidR="00286E38">
        <w:fldChar w:fldCharType="end"/>
      </w:r>
      <w:r w:rsidR="001F753D">
        <w:t>, given the possibility of finding genetic relatives through ancestry testing</w:t>
      </w:r>
      <w:r>
        <w:t>. F</w:t>
      </w:r>
      <w:r w:rsidR="00BC723F">
        <w:t>or example, f</w:t>
      </w:r>
      <w:r w:rsidR="006F3267">
        <w:t xml:space="preserve">ive days after our </w:t>
      </w:r>
      <w:r w:rsidR="00831DFE">
        <w:t xml:space="preserve">initial </w:t>
      </w:r>
      <w:r w:rsidR="006F3267">
        <w:t>article was published</w:t>
      </w:r>
      <w:r w:rsidR="0028365B">
        <w:t xml:space="preserve"> online</w:t>
      </w:r>
      <w:r w:rsidR="006F3267">
        <w:t>, the Progress Educational Trust held an event entitled ‘Anonymous no more?’</w:t>
      </w:r>
      <w:r w:rsidR="000C1831">
        <w:fldChar w:fldCharType="begin"/>
      </w:r>
      <w:r w:rsidR="001F6DBE">
        <w:instrText xml:space="preserve"> ADDIN EN.CITE &lt;EndNote&gt;&lt;Cite&gt;&lt;Author&gt;Progress&lt;/Author&gt;&lt;Year&gt;2019&lt;/Year&gt;&lt;IDText&gt;Anonymous no more? Donor conception and direct-to-consumer DNA testing&lt;/IDText&gt;&lt;DisplayText&gt;(6)&lt;/DisplayText&gt;&lt;record&gt;&lt;titles&gt;&lt;title&gt;Anonymous no more? Donor conception and direct-to-consumer DNA testing&lt;/title&gt;&lt;/titles&gt;&lt;contributors&gt;&lt;authors&gt;&lt;author&gt;Progress Educational Trust&lt;/author&gt;&lt;author&gt;University of Liverpool&lt;/author&gt;&lt;author&gt;European Sperm Bank&lt;/author&gt;&lt;author&gt;London Women&amp;apos;s Clinic&lt;/author&gt;&lt;/authors&gt;&lt;/contributors&gt;&lt;added-date format="utc"&gt;1566226655&lt;/added-date&gt;&lt;pub-location&gt;University of Liverpool (London campus)&lt;/pub-location&gt;&lt;ref-type name="Conference Proceeding"&gt;10&lt;/ref-type&gt;&lt;dates&gt;&lt;year&gt;2019&lt;/year&gt;&lt;/dates&gt;&lt;rec-number&gt;2787&lt;/rec-number&gt;&lt;last-updated-date format="utc"&gt;1566226740&lt;/last-updated-date&gt;&lt;/record&gt;&lt;/Cite&gt;&lt;/EndNote&gt;</w:instrText>
      </w:r>
      <w:r w:rsidR="000C1831">
        <w:fldChar w:fldCharType="separate"/>
      </w:r>
      <w:r w:rsidR="001F6DBE">
        <w:rPr>
          <w:noProof/>
        </w:rPr>
        <w:t>(6)</w:t>
      </w:r>
      <w:r w:rsidR="000C1831">
        <w:fldChar w:fldCharType="end"/>
      </w:r>
      <w:r w:rsidR="006F3267">
        <w:t xml:space="preserve">, </w:t>
      </w:r>
      <w:r w:rsidR="00BC723F">
        <w:t>where one</w:t>
      </w:r>
      <w:r>
        <w:t xml:space="preserve"> of the key questions explored was ‘</w:t>
      </w:r>
      <w:r w:rsidRPr="0085113D">
        <w:rPr>
          <w:i/>
        </w:rPr>
        <w:t>where there is a delay between the birth of a donor-conceived child and the donor’</w:t>
      </w:r>
      <w:r w:rsidR="0085113D">
        <w:rPr>
          <w:i/>
        </w:rPr>
        <w:t>s identity having</w:t>
      </w:r>
      <w:r w:rsidRPr="0085113D">
        <w:rPr>
          <w:i/>
        </w:rPr>
        <w:t xml:space="preserve"> to be made available, could this arrangement be made impractical by the advent of direct-to-consumer genetic testing?</w:t>
      </w:r>
      <w:r>
        <w:t>’</w:t>
      </w:r>
    </w:p>
    <w:p w14:paraId="6105EA31" w14:textId="77777777" w:rsidR="002E611A" w:rsidRDefault="002E611A" w:rsidP="00F2571C"/>
    <w:p w14:paraId="3AF6410D" w14:textId="77777777" w:rsidR="002E611A" w:rsidRDefault="007368C9" w:rsidP="00F2571C">
      <w:r>
        <w:rPr>
          <w:b/>
        </w:rPr>
        <w:t>Conclusion</w:t>
      </w:r>
    </w:p>
    <w:p w14:paraId="142A751B" w14:textId="77777777" w:rsidR="002E611A" w:rsidRDefault="002E611A" w:rsidP="00F2571C"/>
    <w:p w14:paraId="3BDB3712" w14:textId="0A9EEFB9" w:rsidR="002E611A" w:rsidRPr="009B77F6" w:rsidRDefault="002E611A" w:rsidP="008340FE">
      <w:r>
        <w:t xml:space="preserve">We are grateful to </w:t>
      </w:r>
      <w:r w:rsidR="00615016">
        <w:t>Lucy Frith</w:t>
      </w:r>
      <w:r>
        <w:t xml:space="preserve"> for engaging with our article and giving us a useful opportunity </w:t>
      </w:r>
      <w:r w:rsidR="00CF3251">
        <w:t xml:space="preserve">to </w:t>
      </w:r>
      <w:r>
        <w:t xml:space="preserve">reflect on our arguments. </w:t>
      </w:r>
      <w:r w:rsidRPr="008C05D4">
        <w:t>We still hold that it would be ethically acceptable to contact the egg donor in the case that we describe: we consider that this eventuality was not covered during the consent process</w:t>
      </w:r>
      <w:r w:rsidR="004F5354" w:rsidRPr="004F5354">
        <w:t xml:space="preserve"> </w:t>
      </w:r>
      <w:r w:rsidR="004F5354">
        <w:t>and that the potential harm to the donor-conceived child from not contacting</w:t>
      </w:r>
      <w:r w:rsidR="00E23765">
        <w:t xml:space="preserve"> </w:t>
      </w:r>
      <w:r w:rsidR="008340FE">
        <w:t>the donor</w:t>
      </w:r>
      <w:r w:rsidR="004F5354">
        <w:t xml:space="preserve"> also needs to be factored in. The </w:t>
      </w:r>
      <w:r w:rsidRPr="008C05D4">
        <w:t>limitation of the consent process in this instance presents a useful opportunity to consider more widely the limitations of consent in the context of complex medical interventions.</w:t>
      </w:r>
      <w:r w:rsidR="00286E38">
        <w:t xml:space="preserve"> </w:t>
      </w:r>
      <w:r w:rsidR="00615016">
        <w:t>Frith</w:t>
      </w:r>
      <w:r w:rsidR="00A32919">
        <w:t>’s</w:t>
      </w:r>
      <w:r>
        <w:t xml:space="preserve"> call for a policy change such that future donors are warned of the possibility of future contact as part of the process of gamete donation</w:t>
      </w:r>
      <w:r w:rsidR="0035131B">
        <w:t>, is very welcome</w:t>
      </w:r>
      <w:r w:rsidR="00F67421">
        <w:t xml:space="preserve"> and timely</w:t>
      </w:r>
      <w:r w:rsidR="0035131B">
        <w:t>.</w:t>
      </w:r>
      <w:r w:rsidR="009B77F6">
        <w:t xml:space="preserve"> We</w:t>
      </w:r>
      <w:r w:rsidR="00F67421">
        <w:t xml:space="preserve"> </w:t>
      </w:r>
      <w:proofErr w:type="spellStart"/>
      <w:r w:rsidR="00CA67F4">
        <w:t>too</w:t>
      </w:r>
      <w:proofErr w:type="spellEnd"/>
      <w:r w:rsidR="00CA67F4">
        <w:t xml:space="preserve"> believe</w:t>
      </w:r>
      <w:r w:rsidR="009B77F6">
        <w:t xml:space="preserve"> that this would pre-empt such difficulties arising in the future, although we think it is important that this </w:t>
      </w:r>
      <w:r w:rsidR="008C05D4">
        <w:t xml:space="preserve">potential for </w:t>
      </w:r>
      <w:r w:rsidR="009B77F6">
        <w:t xml:space="preserve">contact is </w:t>
      </w:r>
      <w:r w:rsidR="00E23765">
        <w:t xml:space="preserve">clearly </w:t>
      </w:r>
      <w:r w:rsidR="009B77F6">
        <w:t xml:space="preserve">presented as a possibility not a choice. It would be unfair to give potential donors the illusion of veto unless we are sure that in every situation we would be able to honour </w:t>
      </w:r>
      <w:r w:rsidR="00DD2D5D">
        <w:t>it</w:t>
      </w:r>
      <w:r w:rsidR="009B77F6">
        <w:t xml:space="preserve">; as this is not the case, we agree with </w:t>
      </w:r>
      <w:r w:rsidR="00615016">
        <w:t>Frith</w:t>
      </w:r>
      <w:r w:rsidR="009B77F6">
        <w:t xml:space="preserve"> that ‘</w:t>
      </w:r>
      <w:r w:rsidR="009B77F6">
        <w:rPr>
          <w:i/>
        </w:rPr>
        <w:t>if donors do not want to sign up to these conditions, they can simply not donate</w:t>
      </w:r>
      <w:r w:rsidR="009B77F6">
        <w:t>’.</w:t>
      </w:r>
    </w:p>
    <w:p w14:paraId="63DC7219" w14:textId="77777777" w:rsidR="00D15603" w:rsidRDefault="00D15603"/>
    <w:p w14:paraId="1B120AA4" w14:textId="77777777" w:rsidR="00F01179" w:rsidRDefault="00F01179"/>
    <w:p w14:paraId="1E2EFC17" w14:textId="77777777" w:rsidR="00D15603" w:rsidRDefault="00D15603"/>
    <w:p w14:paraId="0B89AEEA" w14:textId="77777777" w:rsidR="000C1831" w:rsidRPr="000C1831" w:rsidRDefault="000C1831">
      <w:pPr>
        <w:rPr>
          <w:b/>
        </w:rPr>
      </w:pPr>
      <w:r>
        <w:rPr>
          <w:b/>
        </w:rPr>
        <w:t>References</w:t>
      </w:r>
    </w:p>
    <w:p w14:paraId="3C07EF18" w14:textId="77777777" w:rsidR="000C1831" w:rsidRDefault="000C1831"/>
    <w:p w14:paraId="1DE1F933" w14:textId="718EA8A3" w:rsidR="001F6DBE" w:rsidRPr="001F6DBE" w:rsidRDefault="00D15603" w:rsidP="001F6DBE">
      <w:pPr>
        <w:pStyle w:val="EndNoteBibliography"/>
      </w:pPr>
      <w:r>
        <w:fldChar w:fldCharType="begin"/>
      </w:r>
      <w:r w:rsidRPr="00615016">
        <w:instrText xml:space="preserve"> ADDIN EN.REFLIST </w:instrText>
      </w:r>
      <w:r>
        <w:fldChar w:fldCharType="separate"/>
      </w:r>
      <w:r w:rsidR="001F6DBE" w:rsidRPr="001F6DBE">
        <w:t>1.</w:t>
      </w:r>
      <w:r w:rsidR="001F6DBE" w:rsidRPr="001F6DBE">
        <w:tab/>
        <w:t>Frith L. Contacting gamete donors to facilitate diagnostic genetic testing for the donor-conceived child: what are the rights and obligations of gamete donors in these cases? A response to Horton et al. Journal of Medical Ethics. 2019:medethics-2019-105629.</w:t>
      </w:r>
    </w:p>
    <w:p w14:paraId="0C23AA1D" w14:textId="77777777" w:rsidR="001F6DBE" w:rsidRPr="001F6DBE" w:rsidRDefault="001F6DBE" w:rsidP="001F6DBE">
      <w:pPr>
        <w:pStyle w:val="EndNoteBibliography"/>
      </w:pPr>
      <w:r w:rsidRPr="001F6DBE">
        <w:t>2.</w:t>
      </w:r>
      <w:r w:rsidRPr="001F6DBE">
        <w:tab/>
        <w:t>Horton R, Bell B, Fenwick A, Lucassen AM. Is it acceptable to contact an anonymous egg donor to facilitate diagnostic genetic testing for the donor-conceived child? Journal of Medical Ethics. 2019;45(6):357.</w:t>
      </w:r>
    </w:p>
    <w:p w14:paraId="2BDE89C5" w14:textId="77777777" w:rsidR="001F6DBE" w:rsidRPr="001F6DBE" w:rsidRDefault="001F6DBE" w:rsidP="001F6DBE">
      <w:pPr>
        <w:pStyle w:val="EndNoteBibliography"/>
      </w:pPr>
      <w:r w:rsidRPr="001F6DBE">
        <w:t>3.</w:t>
      </w:r>
      <w:r w:rsidRPr="001F6DBE">
        <w:tab/>
        <w:t>Garrison N, Brothers KB, Goldenberg AJ, Lynch JA. Genomic Contextualism: Shifting the Rhetoric of Genetic Exceptionalism. The American Journal of Bioethics. 2019;19(1):51-63.</w:t>
      </w:r>
    </w:p>
    <w:p w14:paraId="05FEEA97" w14:textId="2EB49858" w:rsidR="001F6DBE" w:rsidRPr="001F6DBE" w:rsidRDefault="001F6DBE" w:rsidP="001F6DBE">
      <w:pPr>
        <w:pStyle w:val="EndNoteBibliography"/>
      </w:pPr>
      <w:r w:rsidRPr="001F6DBE">
        <w:t>4.</w:t>
      </w:r>
      <w:r w:rsidRPr="001F6DBE">
        <w:tab/>
        <w:t xml:space="preserve">HFEA. Finding out about your donor and genetic siblings </w:t>
      </w:r>
      <w:hyperlink r:id="rId5" w:history="1">
        <w:r w:rsidRPr="001F6DBE">
          <w:rPr>
            <w:rStyle w:val="Hyperlink"/>
          </w:rPr>
          <w:t>https://www.hfea.gov.uk</w:t>
        </w:r>
      </w:hyperlink>
      <w:r w:rsidRPr="001F6DBE">
        <w:t xml:space="preserve"> [Available from: </w:t>
      </w:r>
      <w:hyperlink r:id="rId6" w:history="1">
        <w:r w:rsidRPr="001F6DBE">
          <w:rPr>
            <w:rStyle w:val="Hyperlink"/>
          </w:rPr>
          <w:t>https://www.hfea.gov.uk/donation/donor-conceived-people-and-their-parents/finding-out-about-your-donor-and-genetic-siblings/</w:t>
        </w:r>
      </w:hyperlink>
      <w:r w:rsidRPr="001F6DBE">
        <w:t>.</w:t>
      </w:r>
    </w:p>
    <w:p w14:paraId="6F8089DE" w14:textId="26C429F0" w:rsidR="001F6DBE" w:rsidRPr="001F6DBE" w:rsidRDefault="001F6DBE" w:rsidP="001F6DBE">
      <w:pPr>
        <w:pStyle w:val="EndNoteBibliography"/>
      </w:pPr>
      <w:r w:rsidRPr="001F6DBE">
        <w:t>5.</w:t>
      </w:r>
      <w:r w:rsidRPr="001F6DBE">
        <w:tab/>
        <w:t xml:space="preserve">Kennett D. Personal genetic testing and the implications for the donor conception community </w:t>
      </w:r>
      <w:hyperlink r:id="rId7" w:history="1">
        <w:r w:rsidRPr="001F6DBE">
          <w:rPr>
            <w:rStyle w:val="Hyperlink"/>
          </w:rPr>
          <w:t>https://www.bionews.org.uk/page_96385</w:t>
        </w:r>
      </w:hyperlink>
      <w:r w:rsidRPr="001F6DBE">
        <w:t>: BioNews  939; 2018 [</w:t>
      </w:r>
    </w:p>
    <w:p w14:paraId="7DEEA6ED" w14:textId="65CC9966" w:rsidR="001F6DBE" w:rsidRPr="001F6DBE" w:rsidRDefault="001F6DBE" w:rsidP="001F6DBE">
      <w:pPr>
        <w:pStyle w:val="EndNoteBibliography"/>
      </w:pPr>
      <w:r w:rsidRPr="001F6DBE">
        <w:t>6.</w:t>
      </w:r>
      <w:r w:rsidRPr="001F6DBE">
        <w:tab/>
      </w:r>
      <w:r>
        <w:t xml:space="preserve">Progress Educational </w:t>
      </w:r>
      <w:r w:rsidRPr="00286E38">
        <w:t xml:space="preserve">Trust, </w:t>
      </w:r>
      <w:r>
        <w:t xml:space="preserve">University of </w:t>
      </w:r>
      <w:r w:rsidRPr="00286E38">
        <w:t xml:space="preserve">Liverpool, </w:t>
      </w:r>
      <w:r>
        <w:t xml:space="preserve">European Sperm </w:t>
      </w:r>
      <w:r w:rsidRPr="00286E38">
        <w:t xml:space="preserve">Bank, </w:t>
      </w:r>
      <w:r>
        <w:t xml:space="preserve">London Women's </w:t>
      </w:r>
      <w:r w:rsidRPr="00286E38">
        <w:t>Clinic</w:t>
      </w:r>
      <w:r w:rsidRPr="001F6DBE">
        <w:t>. Anonymous no more? Donor conception and direct-to-consumer DNA testing2019; University of Liverpool (London campus).</w:t>
      </w:r>
    </w:p>
    <w:p w14:paraId="45955144" w14:textId="3135F46C" w:rsidR="0092340A" w:rsidRDefault="00D15603">
      <w:r>
        <w:fldChar w:fldCharType="end"/>
      </w:r>
    </w:p>
    <w:sectPr w:rsidR="00923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5FE"/>
    <w:multiLevelType w:val="hybridMultilevel"/>
    <w:tmpl w:val="6818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07761"/>
    <w:rsid w:val="000017E4"/>
    <w:rsid w:val="00080DF5"/>
    <w:rsid w:val="000C1831"/>
    <w:rsid w:val="000E5EDF"/>
    <w:rsid w:val="001075C0"/>
    <w:rsid w:val="001168AB"/>
    <w:rsid w:val="00121D16"/>
    <w:rsid w:val="00125C72"/>
    <w:rsid w:val="001635EC"/>
    <w:rsid w:val="00181653"/>
    <w:rsid w:val="001F6DBE"/>
    <w:rsid w:val="001F753D"/>
    <w:rsid w:val="00261917"/>
    <w:rsid w:val="0028365B"/>
    <w:rsid w:val="00286E38"/>
    <w:rsid w:val="002946CE"/>
    <w:rsid w:val="002A13E4"/>
    <w:rsid w:val="002A7B40"/>
    <w:rsid w:val="002C53C9"/>
    <w:rsid w:val="002E611A"/>
    <w:rsid w:val="0035131B"/>
    <w:rsid w:val="0036015D"/>
    <w:rsid w:val="00363D8A"/>
    <w:rsid w:val="00367262"/>
    <w:rsid w:val="003C1671"/>
    <w:rsid w:val="003C2BF0"/>
    <w:rsid w:val="003D37A0"/>
    <w:rsid w:val="004009ED"/>
    <w:rsid w:val="004055EE"/>
    <w:rsid w:val="00426661"/>
    <w:rsid w:val="0043360A"/>
    <w:rsid w:val="00477E7A"/>
    <w:rsid w:val="00493E92"/>
    <w:rsid w:val="004C7515"/>
    <w:rsid w:val="004D3033"/>
    <w:rsid w:val="004F5354"/>
    <w:rsid w:val="00551632"/>
    <w:rsid w:val="0056488F"/>
    <w:rsid w:val="00607761"/>
    <w:rsid w:val="00615016"/>
    <w:rsid w:val="0063060B"/>
    <w:rsid w:val="0063294A"/>
    <w:rsid w:val="00640715"/>
    <w:rsid w:val="006C25D7"/>
    <w:rsid w:val="006D7703"/>
    <w:rsid w:val="006E07F7"/>
    <w:rsid w:val="006F3267"/>
    <w:rsid w:val="007368C9"/>
    <w:rsid w:val="007717B3"/>
    <w:rsid w:val="007B649B"/>
    <w:rsid w:val="007B6E45"/>
    <w:rsid w:val="00807C8A"/>
    <w:rsid w:val="00831DFE"/>
    <w:rsid w:val="008340FE"/>
    <w:rsid w:val="0085113D"/>
    <w:rsid w:val="00884895"/>
    <w:rsid w:val="008C05D4"/>
    <w:rsid w:val="00904EB8"/>
    <w:rsid w:val="0092340A"/>
    <w:rsid w:val="009343E7"/>
    <w:rsid w:val="00950D2B"/>
    <w:rsid w:val="00961D29"/>
    <w:rsid w:val="00982D64"/>
    <w:rsid w:val="00983581"/>
    <w:rsid w:val="009978DB"/>
    <w:rsid w:val="009A3E19"/>
    <w:rsid w:val="009B77F6"/>
    <w:rsid w:val="009E56FC"/>
    <w:rsid w:val="00A32919"/>
    <w:rsid w:val="00AA2490"/>
    <w:rsid w:val="00AB2975"/>
    <w:rsid w:val="00B90E3E"/>
    <w:rsid w:val="00BA4172"/>
    <w:rsid w:val="00BB02DB"/>
    <w:rsid w:val="00BC723F"/>
    <w:rsid w:val="00C10AF5"/>
    <w:rsid w:val="00C159EB"/>
    <w:rsid w:val="00C163DE"/>
    <w:rsid w:val="00C21472"/>
    <w:rsid w:val="00C42F36"/>
    <w:rsid w:val="00C448B3"/>
    <w:rsid w:val="00C45466"/>
    <w:rsid w:val="00C60731"/>
    <w:rsid w:val="00CA67F4"/>
    <w:rsid w:val="00CD531A"/>
    <w:rsid w:val="00CE1784"/>
    <w:rsid w:val="00CF3251"/>
    <w:rsid w:val="00D15603"/>
    <w:rsid w:val="00D70358"/>
    <w:rsid w:val="00DA4CD7"/>
    <w:rsid w:val="00DD2D5D"/>
    <w:rsid w:val="00DE1B35"/>
    <w:rsid w:val="00E23765"/>
    <w:rsid w:val="00E42789"/>
    <w:rsid w:val="00EC0BB7"/>
    <w:rsid w:val="00EF2009"/>
    <w:rsid w:val="00F01179"/>
    <w:rsid w:val="00F0704F"/>
    <w:rsid w:val="00F13129"/>
    <w:rsid w:val="00F2024A"/>
    <w:rsid w:val="00F2571C"/>
    <w:rsid w:val="00F25DEA"/>
    <w:rsid w:val="00F40F8D"/>
    <w:rsid w:val="00F67421"/>
    <w:rsid w:val="00F67BF0"/>
    <w:rsid w:val="00FA2191"/>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6523"/>
  <w15:chartTrackingRefBased/>
  <w15:docId w15:val="{8FF90E42-024B-46BB-BD5D-A13059F2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29"/>
    <w:pPr>
      <w:spacing w:after="0" w:line="240" w:lineRule="auto"/>
    </w:pPr>
  </w:style>
  <w:style w:type="paragraph" w:styleId="Heading1">
    <w:name w:val="heading 1"/>
    <w:basedOn w:val="Normal"/>
    <w:next w:val="Normal"/>
    <w:link w:val="Heading1Char"/>
    <w:uiPriority w:val="9"/>
    <w:qFormat/>
    <w:rsid w:val="007B649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649B"/>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B649B"/>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9B"/>
    <w:rPr>
      <w:rFonts w:eastAsiaTheme="majorEastAsia" w:cstheme="majorBidi"/>
      <w:b/>
      <w:sz w:val="32"/>
      <w:szCs w:val="32"/>
    </w:rPr>
  </w:style>
  <w:style w:type="character" w:customStyle="1" w:styleId="Heading2Char">
    <w:name w:val="Heading 2 Char"/>
    <w:basedOn w:val="DefaultParagraphFont"/>
    <w:link w:val="Heading2"/>
    <w:uiPriority w:val="9"/>
    <w:rsid w:val="007B649B"/>
    <w:rPr>
      <w:rFonts w:eastAsiaTheme="majorEastAsia" w:cstheme="majorBidi"/>
      <w:b/>
      <w:sz w:val="28"/>
      <w:szCs w:val="26"/>
    </w:rPr>
  </w:style>
  <w:style w:type="character" w:customStyle="1" w:styleId="Heading3Char">
    <w:name w:val="Heading 3 Char"/>
    <w:basedOn w:val="DefaultParagraphFont"/>
    <w:link w:val="Heading3"/>
    <w:uiPriority w:val="9"/>
    <w:rsid w:val="007B649B"/>
    <w:rPr>
      <w:rFonts w:eastAsiaTheme="majorEastAsia" w:cstheme="majorBidi"/>
      <w:b/>
      <w:szCs w:val="24"/>
    </w:rPr>
  </w:style>
  <w:style w:type="paragraph" w:styleId="Caption">
    <w:name w:val="caption"/>
    <w:basedOn w:val="Normal"/>
    <w:next w:val="Normal"/>
    <w:uiPriority w:val="35"/>
    <w:unhideWhenUsed/>
    <w:qFormat/>
    <w:rsid w:val="00181653"/>
    <w:pPr>
      <w:spacing w:line="259" w:lineRule="auto"/>
    </w:pPr>
    <w:rPr>
      <w:b/>
      <w:i/>
      <w:iCs/>
      <w:szCs w:val="18"/>
    </w:rPr>
  </w:style>
  <w:style w:type="paragraph" w:customStyle="1" w:styleId="EndNoteBibliographyTitle">
    <w:name w:val="EndNote Bibliography Title"/>
    <w:basedOn w:val="Normal"/>
    <w:link w:val="EndNoteBibliographyTitleChar"/>
    <w:rsid w:val="00D15603"/>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15603"/>
    <w:rPr>
      <w:rFonts w:ascii="Calibri" w:hAnsi="Calibri" w:cs="Calibri"/>
      <w:noProof/>
      <w:lang w:val="en-US"/>
    </w:rPr>
  </w:style>
  <w:style w:type="paragraph" w:customStyle="1" w:styleId="EndNoteBibliography">
    <w:name w:val="EndNote Bibliography"/>
    <w:basedOn w:val="Normal"/>
    <w:link w:val="EndNoteBibliographyChar"/>
    <w:rsid w:val="00D15603"/>
    <w:rPr>
      <w:rFonts w:ascii="Calibri" w:hAnsi="Calibri" w:cs="Calibri"/>
      <w:noProof/>
      <w:lang w:val="en-US"/>
    </w:rPr>
  </w:style>
  <w:style w:type="character" w:customStyle="1" w:styleId="EndNoteBibliographyChar">
    <w:name w:val="EndNote Bibliography Char"/>
    <w:basedOn w:val="DefaultParagraphFont"/>
    <w:link w:val="EndNoteBibliography"/>
    <w:rsid w:val="00D15603"/>
    <w:rPr>
      <w:rFonts w:ascii="Calibri" w:hAnsi="Calibri" w:cs="Calibri"/>
      <w:noProof/>
      <w:lang w:val="en-US"/>
    </w:rPr>
  </w:style>
  <w:style w:type="paragraph" w:styleId="BalloonText">
    <w:name w:val="Balloon Text"/>
    <w:basedOn w:val="Normal"/>
    <w:link w:val="BalloonTextChar"/>
    <w:uiPriority w:val="99"/>
    <w:semiHidden/>
    <w:unhideWhenUsed/>
    <w:rsid w:val="000E5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DF"/>
    <w:rPr>
      <w:rFonts w:ascii="Segoe UI" w:hAnsi="Segoe UI" w:cs="Segoe UI"/>
      <w:sz w:val="18"/>
      <w:szCs w:val="18"/>
    </w:rPr>
  </w:style>
  <w:style w:type="paragraph" w:styleId="ListParagraph">
    <w:name w:val="List Paragraph"/>
    <w:basedOn w:val="Normal"/>
    <w:uiPriority w:val="34"/>
    <w:qFormat/>
    <w:rsid w:val="00F01179"/>
    <w:pPr>
      <w:ind w:left="720"/>
      <w:contextualSpacing/>
    </w:pPr>
  </w:style>
  <w:style w:type="character" w:styleId="CommentReference">
    <w:name w:val="annotation reference"/>
    <w:basedOn w:val="DefaultParagraphFont"/>
    <w:uiPriority w:val="99"/>
    <w:semiHidden/>
    <w:unhideWhenUsed/>
    <w:rsid w:val="004055EE"/>
    <w:rPr>
      <w:sz w:val="16"/>
      <w:szCs w:val="16"/>
    </w:rPr>
  </w:style>
  <w:style w:type="paragraph" w:styleId="CommentText">
    <w:name w:val="annotation text"/>
    <w:basedOn w:val="Normal"/>
    <w:link w:val="CommentTextChar"/>
    <w:uiPriority w:val="99"/>
    <w:semiHidden/>
    <w:unhideWhenUsed/>
    <w:rsid w:val="004055EE"/>
    <w:rPr>
      <w:sz w:val="20"/>
      <w:szCs w:val="20"/>
    </w:rPr>
  </w:style>
  <w:style w:type="character" w:customStyle="1" w:styleId="CommentTextChar">
    <w:name w:val="Comment Text Char"/>
    <w:basedOn w:val="DefaultParagraphFont"/>
    <w:link w:val="CommentText"/>
    <w:uiPriority w:val="99"/>
    <w:semiHidden/>
    <w:rsid w:val="004055EE"/>
    <w:rPr>
      <w:sz w:val="20"/>
      <w:szCs w:val="20"/>
    </w:rPr>
  </w:style>
  <w:style w:type="paragraph" w:styleId="CommentSubject">
    <w:name w:val="annotation subject"/>
    <w:basedOn w:val="CommentText"/>
    <w:next w:val="CommentText"/>
    <w:link w:val="CommentSubjectChar"/>
    <w:uiPriority w:val="99"/>
    <w:semiHidden/>
    <w:unhideWhenUsed/>
    <w:rsid w:val="004055EE"/>
    <w:rPr>
      <w:b/>
      <w:bCs/>
    </w:rPr>
  </w:style>
  <w:style w:type="character" w:customStyle="1" w:styleId="CommentSubjectChar">
    <w:name w:val="Comment Subject Char"/>
    <w:basedOn w:val="CommentTextChar"/>
    <w:link w:val="CommentSubject"/>
    <w:uiPriority w:val="99"/>
    <w:semiHidden/>
    <w:rsid w:val="004055EE"/>
    <w:rPr>
      <w:b/>
      <w:bCs/>
      <w:sz w:val="20"/>
      <w:szCs w:val="20"/>
    </w:rPr>
  </w:style>
  <w:style w:type="character" w:styleId="Hyperlink">
    <w:name w:val="Hyperlink"/>
    <w:basedOn w:val="DefaultParagraphFont"/>
    <w:uiPriority w:val="99"/>
    <w:unhideWhenUsed/>
    <w:rsid w:val="00286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onews.org.uk/page_96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ea.gov.uk/donation/donor-conceived-people-and-their-parents/finding-out-about-your-donor-and-genetic-siblings/" TargetMode="External"/><Relationship Id="rId5" Type="http://schemas.openxmlformats.org/officeDocument/2006/relationships/hyperlink" Target="https://www.hfe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R.H.</dc:creator>
  <cp:keywords/>
  <dc:description/>
  <cp:lastModifiedBy>Horton R.H.</cp:lastModifiedBy>
  <cp:revision>18</cp:revision>
  <dcterms:created xsi:type="dcterms:W3CDTF">2019-09-20T13:15:00Z</dcterms:created>
  <dcterms:modified xsi:type="dcterms:W3CDTF">2019-09-24T13:52:00Z</dcterms:modified>
</cp:coreProperties>
</file>