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1D005" w14:textId="77777777" w:rsidR="002549C8" w:rsidRPr="003160F8" w:rsidRDefault="002549C8" w:rsidP="009B104D">
      <w:pPr>
        <w:pStyle w:val="MDPI11articletype"/>
        <w:rPr>
          <w:lang w:val="en-GB"/>
        </w:rPr>
      </w:pPr>
      <w:bookmarkStart w:id="0" w:name="_GoBack"/>
      <w:bookmarkEnd w:id="0"/>
      <w:r w:rsidRPr="003160F8">
        <w:rPr>
          <w:lang w:val="en-GB"/>
        </w:rPr>
        <w:t>Article</w:t>
      </w:r>
    </w:p>
    <w:p w14:paraId="4CB6132D" w14:textId="2C149439" w:rsidR="002549C8" w:rsidRPr="003160F8" w:rsidRDefault="007505A4" w:rsidP="009B104D">
      <w:pPr>
        <w:pStyle w:val="MDPI12title"/>
        <w:rPr>
          <w:lang w:val="en-GB"/>
        </w:rPr>
      </w:pPr>
      <w:r w:rsidRPr="003160F8">
        <w:rPr>
          <w:lang w:val="en-GB"/>
        </w:rPr>
        <w:t xml:space="preserve">Deriving the Dietary Approaches to Stop Hypertension (DASH) </w:t>
      </w:r>
      <w:r w:rsidR="00C236CF" w:rsidRPr="003160F8">
        <w:rPr>
          <w:lang w:val="en-GB"/>
        </w:rPr>
        <w:t xml:space="preserve">Score </w:t>
      </w:r>
      <w:r w:rsidRPr="003160F8">
        <w:rPr>
          <w:lang w:val="en-GB"/>
        </w:rPr>
        <w:t xml:space="preserve">in </w:t>
      </w:r>
      <w:r w:rsidR="00C236CF" w:rsidRPr="003160F8">
        <w:rPr>
          <w:lang w:val="en-GB"/>
        </w:rPr>
        <w:t xml:space="preserve">Women </w:t>
      </w:r>
      <w:r w:rsidRPr="003160F8">
        <w:rPr>
          <w:lang w:val="en-GB"/>
        </w:rPr>
        <w:t xml:space="preserve">from </w:t>
      </w:r>
      <w:r w:rsidR="00C236CF" w:rsidRPr="003160F8">
        <w:rPr>
          <w:lang w:val="en-GB"/>
        </w:rPr>
        <w:t xml:space="preserve">Seven Pregnancy Cohorts </w:t>
      </w:r>
      <w:r w:rsidRPr="003160F8">
        <w:rPr>
          <w:lang w:val="en-GB"/>
        </w:rPr>
        <w:t xml:space="preserve">from the European ALPHABET </w:t>
      </w:r>
      <w:r w:rsidR="00C236CF" w:rsidRPr="003160F8">
        <w:rPr>
          <w:lang w:val="en-GB"/>
        </w:rPr>
        <w:t>Consortium</w:t>
      </w:r>
    </w:p>
    <w:p w14:paraId="000A8A81" w14:textId="0297C693" w:rsidR="002549C8" w:rsidRPr="003160F8" w:rsidRDefault="007712AB" w:rsidP="00BC69B4">
      <w:pPr>
        <w:pStyle w:val="MDPI13authornames"/>
        <w:rPr>
          <w:lang w:val="en-GB"/>
        </w:rPr>
      </w:pPr>
      <w:r w:rsidRPr="009B104D">
        <w:rPr>
          <w:lang w:val="en-GB"/>
        </w:rPr>
        <w:t>Adrien</w:t>
      </w:r>
      <w:r w:rsidR="001E355A" w:rsidRPr="009B104D">
        <w:rPr>
          <w:lang w:val="en-GB"/>
        </w:rPr>
        <w:t xml:space="preserve"> M.</w:t>
      </w:r>
      <w:r w:rsidRPr="009B104D">
        <w:rPr>
          <w:lang w:val="en-GB"/>
        </w:rPr>
        <w:t xml:space="preserve"> Aubert</w:t>
      </w:r>
      <w:r w:rsidR="00C236CF" w:rsidRPr="009B104D">
        <w:rPr>
          <w:lang w:val="en-GB"/>
        </w:rPr>
        <w:t xml:space="preserve"> </w:t>
      </w:r>
      <w:r w:rsidRPr="009B104D">
        <w:rPr>
          <w:vertAlign w:val="superscript"/>
          <w:lang w:val="en-GB"/>
        </w:rPr>
        <w:t>1</w:t>
      </w:r>
      <w:r w:rsidRPr="009B104D">
        <w:rPr>
          <w:lang w:val="en-GB"/>
        </w:rPr>
        <w:t>, Anne Forhan</w:t>
      </w:r>
      <w:r w:rsidR="00C236CF" w:rsidRPr="003160F8">
        <w:rPr>
          <w:lang w:val="en-GB"/>
        </w:rPr>
        <w:t xml:space="preserve"> </w:t>
      </w:r>
      <w:r w:rsidRPr="003160F8">
        <w:rPr>
          <w:vertAlign w:val="superscript"/>
          <w:lang w:val="en-GB"/>
        </w:rPr>
        <w:t>1</w:t>
      </w:r>
      <w:r w:rsidRPr="003160F8">
        <w:rPr>
          <w:lang w:val="en-GB"/>
        </w:rPr>
        <w:t>, Blandine de Lauzon-Guillain</w:t>
      </w:r>
      <w:r w:rsidR="00C236CF" w:rsidRPr="003160F8">
        <w:rPr>
          <w:lang w:val="en-GB"/>
        </w:rPr>
        <w:t xml:space="preserve"> </w:t>
      </w:r>
      <w:r w:rsidRPr="003160F8">
        <w:rPr>
          <w:vertAlign w:val="superscript"/>
          <w:lang w:val="en-GB"/>
        </w:rPr>
        <w:t>1</w:t>
      </w:r>
      <w:r w:rsidRPr="003160F8">
        <w:rPr>
          <w:lang w:val="en-GB"/>
        </w:rPr>
        <w:t>, Ling-Wei Chen</w:t>
      </w:r>
      <w:r w:rsidR="00C236CF" w:rsidRPr="003160F8">
        <w:rPr>
          <w:lang w:val="en-GB"/>
        </w:rPr>
        <w:t xml:space="preserve"> </w:t>
      </w:r>
      <w:r w:rsidRPr="003160F8">
        <w:rPr>
          <w:vertAlign w:val="superscript"/>
          <w:lang w:val="en-GB"/>
        </w:rPr>
        <w:t>2</w:t>
      </w:r>
      <w:r w:rsidRPr="003160F8">
        <w:rPr>
          <w:lang w:val="en-GB"/>
        </w:rPr>
        <w:t>, Kinga Polanska</w:t>
      </w:r>
      <w:r w:rsidR="00C236CF" w:rsidRPr="003160F8">
        <w:rPr>
          <w:lang w:val="en-GB"/>
        </w:rPr>
        <w:t xml:space="preserve"> </w:t>
      </w:r>
      <w:r w:rsidRPr="003160F8">
        <w:rPr>
          <w:vertAlign w:val="superscript"/>
          <w:lang w:val="en-GB"/>
        </w:rPr>
        <w:t>3</w:t>
      </w:r>
      <w:r w:rsidRPr="003160F8">
        <w:rPr>
          <w:lang w:val="en-GB"/>
        </w:rPr>
        <w:t>, Wojciech Hanke</w:t>
      </w:r>
      <w:r w:rsidR="00C236CF" w:rsidRPr="003160F8">
        <w:rPr>
          <w:lang w:val="en-GB"/>
        </w:rPr>
        <w:t xml:space="preserve"> </w:t>
      </w:r>
      <w:r w:rsidRPr="003160F8">
        <w:rPr>
          <w:vertAlign w:val="superscript"/>
          <w:lang w:val="en-GB"/>
        </w:rPr>
        <w:t>3</w:t>
      </w:r>
      <w:r w:rsidRPr="003160F8">
        <w:rPr>
          <w:lang w:val="en-GB"/>
        </w:rPr>
        <w:t>, Agnieszka Jankowska</w:t>
      </w:r>
      <w:r w:rsidR="00C236CF" w:rsidRPr="003160F8">
        <w:rPr>
          <w:lang w:val="en-GB"/>
        </w:rPr>
        <w:t xml:space="preserve"> </w:t>
      </w:r>
      <w:r w:rsidRPr="003160F8">
        <w:rPr>
          <w:vertAlign w:val="superscript"/>
          <w:lang w:val="en-GB"/>
        </w:rPr>
        <w:t>3</w:t>
      </w:r>
      <w:r w:rsidRPr="003160F8">
        <w:rPr>
          <w:lang w:val="en-GB"/>
        </w:rPr>
        <w:t>, Sara M. Mensink-Bout</w:t>
      </w:r>
      <w:r w:rsidR="00C236CF" w:rsidRPr="003160F8">
        <w:rPr>
          <w:lang w:val="en-GB"/>
        </w:rPr>
        <w:t xml:space="preserve"> </w:t>
      </w:r>
      <w:r w:rsidRPr="003160F8">
        <w:rPr>
          <w:vertAlign w:val="superscript"/>
          <w:lang w:val="en-GB"/>
        </w:rPr>
        <w:t>4,5</w:t>
      </w:r>
      <w:r w:rsidRPr="003160F8">
        <w:rPr>
          <w:lang w:val="en-GB"/>
        </w:rPr>
        <w:t>, Liesbeth Duijts</w:t>
      </w:r>
      <w:r w:rsidR="00C236CF" w:rsidRPr="003160F8">
        <w:rPr>
          <w:lang w:val="en-GB"/>
        </w:rPr>
        <w:t xml:space="preserve"> </w:t>
      </w:r>
      <w:r w:rsidRPr="003160F8">
        <w:rPr>
          <w:vertAlign w:val="superscript"/>
          <w:lang w:val="en-GB"/>
        </w:rPr>
        <w:t>4,5,6</w:t>
      </w:r>
      <w:r w:rsidRPr="003160F8">
        <w:rPr>
          <w:lang w:val="en-GB"/>
        </w:rPr>
        <w:t>, Matthew Suderman</w:t>
      </w:r>
      <w:r w:rsidR="00C236CF" w:rsidRPr="003160F8">
        <w:rPr>
          <w:lang w:val="en-GB"/>
        </w:rPr>
        <w:t xml:space="preserve"> </w:t>
      </w:r>
      <w:r w:rsidRPr="003160F8">
        <w:rPr>
          <w:vertAlign w:val="superscript"/>
          <w:lang w:val="en-GB"/>
        </w:rPr>
        <w:t>7</w:t>
      </w:r>
      <w:r w:rsidRPr="003160F8">
        <w:rPr>
          <w:lang w:val="en-GB"/>
        </w:rPr>
        <w:t>, Caroline L. Relton</w:t>
      </w:r>
      <w:r w:rsidR="00C236CF" w:rsidRPr="003160F8">
        <w:rPr>
          <w:lang w:val="en-GB"/>
        </w:rPr>
        <w:t xml:space="preserve"> </w:t>
      </w:r>
      <w:r w:rsidRPr="003160F8">
        <w:rPr>
          <w:vertAlign w:val="superscript"/>
          <w:lang w:val="en-GB"/>
        </w:rPr>
        <w:t>7</w:t>
      </w:r>
      <w:r w:rsidRPr="003160F8">
        <w:rPr>
          <w:lang w:val="en-GB"/>
        </w:rPr>
        <w:t>, Sarah R. Crozier</w:t>
      </w:r>
      <w:r w:rsidR="00C236CF" w:rsidRPr="003160F8">
        <w:rPr>
          <w:lang w:val="en-GB"/>
        </w:rPr>
        <w:t xml:space="preserve"> </w:t>
      </w:r>
      <w:r w:rsidRPr="003160F8">
        <w:rPr>
          <w:vertAlign w:val="superscript"/>
          <w:lang w:val="en-GB"/>
        </w:rPr>
        <w:t>8</w:t>
      </w:r>
      <w:r w:rsidRPr="003160F8">
        <w:rPr>
          <w:lang w:val="en-GB"/>
        </w:rPr>
        <w:t>, Nicholas C. Harvey</w:t>
      </w:r>
      <w:r w:rsidR="00C236CF" w:rsidRPr="003160F8">
        <w:rPr>
          <w:lang w:val="en-GB"/>
        </w:rPr>
        <w:t xml:space="preserve"> </w:t>
      </w:r>
      <w:r w:rsidRPr="003160F8">
        <w:rPr>
          <w:vertAlign w:val="superscript"/>
          <w:lang w:val="en-GB"/>
        </w:rPr>
        <w:t>8,9</w:t>
      </w:r>
      <w:r w:rsidRPr="003160F8">
        <w:rPr>
          <w:lang w:val="en-GB"/>
        </w:rPr>
        <w:t>, Cyrus Cooper</w:t>
      </w:r>
      <w:r w:rsidR="00C236CF" w:rsidRPr="003160F8">
        <w:rPr>
          <w:lang w:val="en-GB"/>
        </w:rPr>
        <w:t xml:space="preserve"> </w:t>
      </w:r>
      <w:r w:rsidRPr="003160F8">
        <w:rPr>
          <w:vertAlign w:val="superscript"/>
          <w:lang w:val="en-GB"/>
        </w:rPr>
        <w:t>8,9,10</w:t>
      </w:r>
      <w:r w:rsidRPr="003160F8">
        <w:rPr>
          <w:lang w:val="en-GB"/>
        </w:rPr>
        <w:t>, Fionnuala M. McAuliffe</w:t>
      </w:r>
      <w:r w:rsidR="00C236CF" w:rsidRPr="003160F8">
        <w:rPr>
          <w:lang w:val="en-GB"/>
        </w:rPr>
        <w:t xml:space="preserve"> </w:t>
      </w:r>
      <w:r w:rsidRPr="003160F8">
        <w:rPr>
          <w:vertAlign w:val="superscript"/>
          <w:lang w:val="en-GB"/>
        </w:rPr>
        <w:t>11</w:t>
      </w:r>
      <w:r w:rsidRPr="003160F8">
        <w:rPr>
          <w:lang w:val="en-GB"/>
        </w:rPr>
        <w:t>, Cecily C. Kelleher</w:t>
      </w:r>
      <w:r w:rsidR="00C236CF" w:rsidRPr="003160F8">
        <w:rPr>
          <w:lang w:val="en-GB"/>
        </w:rPr>
        <w:t xml:space="preserve"> </w:t>
      </w:r>
      <w:r w:rsidRPr="003160F8">
        <w:rPr>
          <w:vertAlign w:val="superscript"/>
          <w:lang w:val="en-GB"/>
        </w:rPr>
        <w:t>2</w:t>
      </w:r>
      <w:r w:rsidRPr="003160F8">
        <w:rPr>
          <w:lang w:val="en-GB"/>
        </w:rPr>
        <w:t>, Catherine M. Phillips</w:t>
      </w:r>
      <w:r w:rsidR="00C236CF" w:rsidRPr="003160F8">
        <w:rPr>
          <w:lang w:val="en-GB"/>
        </w:rPr>
        <w:t xml:space="preserve"> </w:t>
      </w:r>
      <w:r w:rsidRPr="003160F8">
        <w:rPr>
          <w:vertAlign w:val="superscript"/>
          <w:lang w:val="en-GB"/>
        </w:rPr>
        <w:t>2</w:t>
      </w:r>
      <w:r w:rsidRPr="003160F8">
        <w:rPr>
          <w:lang w:val="en-GB"/>
        </w:rPr>
        <w:t xml:space="preserve">, </w:t>
      </w:r>
      <w:r w:rsidR="00E277C1" w:rsidRPr="003160F8">
        <w:rPr>
          <w:lang w:val="en-GB"/>
        </w:rPr>
        <w:t>Barbara Heude</w:t>
      </w:r>
      <w:r w:rsidR="00C236CF" w:rsidRPr="003160F8">
        <w:rPr>
          <w:lang w:val="en-GB"/>
        </w:rPr>
        <w:t xml:space="preserve"> </w:t>
      </w:r>
      <w:r w:rsidR="00E277C1" w:rsidRPr="003160F8">
        <w:rPr>
          <w:vertAlign w:val="superscript"/>
          <w:lang w:val="en-GB"/>
        </w:rPr>
        <w:t xml:space="preserve">1 </w:t>
      </w:r>
      <w:r w:rsidR="00C236CF" w:rsidRPr="003160F8">
        <w:rPr>
          <w:vertAlign w:val="superscript"/>
          <w:lang w:val="en-GB"/>
        </w:rPr>
        <w:t>†</w:t>
      </w:r>
      <w:r w:rsidR="00E277C1" w:rsidRPr="003160F8">
        <w:rPr>
          <w:lang w:val="en-GB"/>
        </w:rPr>
        <w:t xml:space="preserve"> * and </w:t>
      </w:r>
      <w:r w:rsidR="003C25AE" w:rsidRPr="003160F8">
        <w:rPr>
          <w:lang w:val="en-GB"/>
        </w:rPr>
        <w:t>Jonathan Y. Bernard</w:t>
      </w:r>
      <w:r w:rsidR="003C25AE" w:rsidRPr="003160F8">
        <w:rPr>
          <w:vertAlign w:val="superscript"/>
          <w:lang w:val="en-GB"/>
        </w:rPr>
        <w:t>1,12</w:t>
      </w:r>
      <w:r w:rsidR="00B260B3" w:rsidRPr="003160F8">
        <w:rPr>
          <w:rFonts w:eastAsiaTheme="minorEastAsia"/>
          <w:vertAlign w:val="superscript"/>
          <w:lang w:val="en-GB" w:eastAsia="zh-CN"/>
        </w:rPr>
        <w:t>,</w:t>
      </w:r>
      <w:r w:rsidR="00B260B3" w:rsidRPr="003160F8">
        <w:rPr>
          <w:vertAlign w:val="superscript"/>
          <w:lang w:val="en-GB"/>
        </w:rPr>
        <w:t>†</w:t>
      </w:r>
    </w:p>
    <w:p w14:paraId="2F703295" w14:textId="743A420F" w:rsidR="002549C8" w:rsidRPr="00A63D6C" w:rsidRDefault="002549C8" w:rsidP="00101347">
      <w:pPr>
        <w:pStyle w:val="MDPI16affiliation"/>
        <w:rPr>
          <w:color w:val="auto"/>
          <w:lang w:val="en-GB"/>
        </w:rPr>
      </w:pPr>
      <w:r w:rsidRPr="00A63D6C">
        <w:rPr>
          <w:color w:val="auto"/>
          <w:vertAlign w:val="superscript"/>
          <w:lang w:val="en-GB"/>
        </w:rPr>
        <w:t>1</w:t>
      </w:r>
      <w:r w:rsidR="007712AB" w:rsidRPr="00A63D6C">
        <w:rPr>
          <w:color w:val="auto"/>
          <w:lang w:val="en-GB"/>
        </w:rPr>
        <w:tab/>
      </w:r>
      <w:r w:rsidR="008F490F" w:rsidRPr="00642B9B">
        <w:rPr>
          <w:color w:val="auto"/>
          <w:lang w:val="en-GB"/>
        </w:rPr>
        <w:t>C</w:t>
      </w:r>
      <w:r w:rsidR="00A63D6C" w:rsidRPr="00642B9B">
        <w:rPr>
          <w:color w:val="auto"/>
          <w:lang w:val="en-GB"/>
        </w:rPr>
        <w:t>entre for</w:t>
      </w:r>
      <w:r w:rsidR="00A63D6C" w:rsidRPr="00A63D6C">
        <w:rPr>
          <w:color w:val="auto"/>
          <w:lang w:val="en-GB"/>
        </w:rPr>
        <w:t xml:space="preserve"> Res</w:t>
      </w:r>
      <w:r w:rsidR="00A63D6C" w:rsidRPr="00642B9B">
        <w:rPr>
          <w:color w:val="auto"/>
          <w:lang w:val="en-GB"/>
        </w:rPr>
        <w:t>ear</w:t>
      </w:r>
      <w:r w:rsidR="00A63D6C">
        <w:rPr>
          <w:color w:val="auto"/>
          <w:lang w:val="en-GB"/>
        </w:rPr>
        <w:t xml:space="preserve">ch in Epidemiology and StatisticS </w:t>
      </w:r>
      <w:r w:rsidR="008F490F" w:rsidRPr="00642B9B">
        <w:rPr>
          <w:color w:val="auto"/>
          <w:lang w:val="en-GB"/>
        </w:rPr>
        <w:t>(</w:t>
      </w:r>
      <w:r w:rsidR="007712AB" w:rsidRPr="00A63D6C">
        <w:rPr>
          <w:color w:val="auto"/>
          <w:lang w:val="en-GB"/>
        </w:rPr>
        <w:t>CRESS</w:t>
      </w:r>
      <w:r w:rsidR="008F490F" w:rsidRPr="00642B9B">
        <w:rPr>
          <w:color w:val="auto"/>
          <w:lang w:val="en-GB"/>
        </w:rPr>
        <w:t>)</w:t>
      </w:r>
      <w:r w:rsidR="007712AB" w:rsidRPr="00A63D6C">
        <w:rPr>
          <w:color w:val="auto"/>
          <w:lang w:val="en-GB"/>
        </w:rPr>
        <w:t>,</w:t>
      </w:r>
      <w:r w:rsidR="00FE5EFC" w:rsidRPr="00FE5EFC">
        <w:rPr>
          <w:color w:val="auto"/>
          <w:lang w:val="en-GB"/>
        </w:rPr>
        <w:t xml:space="preserve"> </w:t>
      </w:r>
      <w:r w:rsidR="00FE5EFC" w:rsidRPr="00A63D6C">
        <w:rPr>
          <w:color w:val="auto"/>
          <w:lang w:val="en-GB"/>
        </w:rPr>
        <w:t>Université de Paris,</w:t>
      </w:r>
      <w:r w:rsidR="007712AB" w:rsidRPr="00A63D6C">
        <w:rPr>
          <w:color w:val="auto"/>
          <w:lang w:val="en-GB"/>
        </w:rPr>
        <w:t xml:space="preserve"> </w:t>
      </w:r>
      <w:r w:rsidR="001740F2" w:rsidRPr="00A63D6C">
        <w:rPr>
          <w:color w:val="auto"/>
          <w:lang w:val="en-GB"/>
        </w:rPr>
        <w:t>I</w:t>
      </w:r>
      <w:r w:rsidR="001740F2">
        <w:rPr>
          <w:color w:val="auto"/>
          <w:lang w:val="en-GB"/>
        </w:rPr>
        <w:t>nserm</w:t>
      </w:r>
      <w:r w:rsidR="007712AB" w:rsidRPr="00A63D6C">
        <w:rPr>
          <w:color w:val="auto"/>
          <w:lang w:val="en-GB"/>
        </w:rPr>
        <w:t>, I</w:t>
      </w:r>
      <w:r w:rsidR="001740F2">
        <w:rPr>
          <w:color w:val="auto"/>
          <w:lang w:val="en-GB"/>
        </w:rPr>
        <w:t>nra</w:t>
      </w:r>
      <w:r w:rsidR="007712AB" w:rsidRPr="00A63D6C">
        <w:rPr>
          <w:color w:val="auto"/>
          <w:lang w:val="en-GB"/>
        </w:rPr>
        <w:t>,</w:t>
      </w:r>
      <w:r w:rsidR="00BC69B4" w:rsidRPr="00A63D6C">
        <w:rPr>
          <w:color w:val="auto"/>
          <w:lang w:val="en-GB"/>
        </w:rPr>
        <w:t xml:space="preserve"> </w:t>
      </w:r>
      <w:r w:rsidR="001326F5" w:rsidRPr="00A63D6C">
        <w:rPr>
          <w:color w:val="auto"/>
          <w:lang w:val="en-GB"/>
        </w:rPr>
        <w:t>F</w:t>
      </w:r>
      <w:r w:rsidR="001326F5" w:rsidRPr="00642B9B">
        <w:rPr>
          <w:color w:val="auto"/>
          <w:lang w:val="en-GB"/>
        </w:rPr>
        <w:t>-75004</w:t>
      </w:r>
      <w:r w:rsidR="007712AB" w:rsidRPr="00A63D6C">
        <w:rPr>
          <w:color w:val="auto"/>
          <w:lang w:val="en-GB"/>
        </w:rPr>
        <w:t xml:space="preserve"> Paris, France;</w:t>
      </w:r>
      <w:r w:rsidR="00BA739A" w:rsidRPr="00A63D6C">
        <w:rPr>
          <w:color w:val="auto"/>
          <w:lang w:val="en-GB"/>
        </w:rPr>
        <w:t xml:space="preserve"> </w:t>
      </w:r>
      <w:hyperlink r:id="rId8" w:history="1">
        <w:r w:rsidR="00BC69B4" w:rsidRPr="00A63D6C">
          <w:rPr>
            <w:rStyle w:val="Hyperlink"/>
            <w:color w:val="auto"/>
            <w:u w:val="none"/>
            <w:lang w:val="en-GB"/>
          </w:rPr>
          <w:t>adrien.aubert@inserm.fr</w:t>
        </w:r>
      </w:hyperlink>
      <w:r w:rsidR="00BC69B4" w:rsidRPr="00A63D6C">
        <w:rPr>
          <w:color w:val="auto"/>
          <w:lang w:val="en-GB"/>
        </w:rPr>
        <w:t xml:space="preserve"> (A.M.A.)</w:t>
      </w:r>
      <w:r w:rsidR="00BA739A" w:rsidRPr="00A63D6C">
        <w:rPr>
          <w:color w:val="auto"/>
          <w:lang w:val="en-GB"/>
        </w:rPr>
        <w:t xml:space="preserve">; </w:t>
      </w:r>
      <w:hyperlink r:id="rId9" w:history="1">
        <w:r w:rsidR="00BC69B4" w:rsidRPr="00A63D6C">
          <w:rPr>
            <w:rStyle w:val="Hyperlink"/>
            <w:color w:val="auto"/>
            <w:u w:val="none"/>
            <w:lang w:val="en-GB"/>
          </w:rPr>
          <w:t>anne.forhan@inserm.fr</w:t>
        </w:r>
      </w:hyperlink>
      <w:r w:rsidR="00BC69B4" w:rsidRPr="00A63D6C">
        <w:rPr>
          <w:color w:val="auto"/>
          <w:lang w:val="en-GB"/>
        </w:rPr>
        <w:t xml:space="preserve"> (A.F.)</w:t>
      </w:r>
      <w:r w:rsidR="00BA739A" w:rsidRPr="00A63D6C">
        <w:rPr>
          <w:color w:val="auto"/>
          <w:lang w:val="en-GB"/>
        </w:rPr>
        <w:t xml:space="preserve">; </w:t>
      </w:r>
      <w:hyperlink r:id="rId10" w:history="1">
        <w:r w:rsidR="00BC69B4" w:rsidRPr="00A63D6C">
          <w:rPr>
            <w:rStyle w:val="Hyperlink"/>
            <w:color w:val="auto"/>
            <w:u w:val="none"/>
            <w:lang w:val="en-GB"/>
          </w:rPr>
          <w:t>blandine.delauzon@inserm.fr</w:t>
        </w:r>
      </w:hyperlink>
      <w:r w:rsidR="00BC69B4" w:rsidRPr="00A63D6C">
        <w:rPr>
          <w:color w:val="auto"/>
          <w:lang w:val="en-GB"/>
        </w:rPr>
        <w:t xml:space="preserve"> (</w:t>
      </w:r>
      <w:r w:rsidR="00B3063E" w:rsidRPr="00A63D6C">
        <w:rPr>
          <w:color w:val="auto"/>
          <w:lang w:val="en-GB"/>
        </w:rPr>
        <w:t>B.</w:t>
      </w:r>
      <w:r w:rsidR="002616E7" w:rsidRPr="00A63D6C">
        <w:rPr>
          <w:color w:val="auto"/>
          <w:lang w:val="en-GB"/>
        </w:rPr>
        <w:t>d</w:t>
      </w:r>
      <w:r w:rsidR="00B3063E" w:rsidRPr="00A63D6C">
        <w:rPr>
          <w:color w:val="auto"/>
          <w:lang w:val="en-GB"/>
        </w:rPr>
        <w:t>.L.-G.</w:t>
      </w:r>
      <w:r w:rsidR="00BC69B4" w:rsidRPr="00A63D6C">
        <w:rPr>
          <w:color w:val="auto"/>
          <w:lang w:val="en-GB"/>
        </w:rPr>
        <w:t>)</w:t>
      </w:r>
      <w:r w:rsidR="00216DB7" w:rsidRPr="00A63D6C">
        <w:rPr>
          <w:color w:val="auto"/>
          <w:lang w:val="en-GB"/>
        </w:rPr>
        <w:t xml:space="preserve">; </w:t>
      </w:r>
      <w:hyperlink r:id="rId11" w:history="1">
        <w:r w:rsidR="00B3063E" w:rsidRPr="00A63D6C">
          <w:rPr>
            <w:rStyle w:val="Hyperlink"/>
            <w:color w:val="auto"/>
            <w:u w:val="none"/>
            <w:lang w:val="en-GB"/>
          </w:rPr>
          <w:t>jonathan.bernard@inserm.fr</w:t>
        </w:r>
      </w:hyperlink>
      <w:r w:rsidR="00B3063E" w:rsidRPr="00A63D6C">
        <w:rPr>
          <w:color w:val="auto"/>
          <w:lang w:val="en-GB"/>
        </w:rPr>
        <w:t xml:space="preserve"> (J.Y.B.)</w:t>
      </w:r>
    </w:p>
    <w:p w14:paraId="7E514F0D" w14:textId="30363F2D" w:rsidR="002549C8" w:rsidRPr="003160F8" w:rsidRDefault="002549C8" w:rsidP="00101347">
      <w:pPr>
        <w:pStyle w:val="MDPI16affiliation"/>
        <w:rPr>
          <w:color w:val="auto"/>
          <w:lang w:val="en-GB"/>
        </w:rPr>
      </w:pPr>
      <w:r w:rsidRPr="003160F8">
        <w:rPr>
          <w:color w:val="auto"/>
          <w:szCs w:val="20"/>
          <w:vertAlign w:val="superscript"/>
          <w:lang w:val="en-GB"/>
        </w:rPr>
        <w:t>2</w:t>
      </w:r>
      <w:r w:rsidR="00BA739A" w:rsidRPr="003160F8">
        <w:rPr>
          <w:color w:val="auto"/>
          <w:szCs w:val="20"/>
          <w:lang w:val="en-GB"/>
        </w:rPr>
        <w:tab/>
      </w:r>
      <w:r w:rsidR="00BA739A" w:rsidRPr="003160F8">
        <w:rPr>
          <w:bCs/>
          <w:color w:val="auto"/>
          <w:lang w:val="en-GB"/>
        </w:rPr>
        <w:t xml:space="preserve">HRB Centre for </w:t>
      </w:r>
      <w:r w:rsidR="002135C5">
        <w:rPr>
          <w:bCs/>
          <w:color w:val="auto"/>
          <w:lang w:val="en-GB"/>
        </w:rPr>
        <w:t xml:space="preserve">Health and </w:t>
      </w:r>
      <w:r w:rsidR="00BA739A" w:rsidRPr="003160F8">
        <w:rPr>
          <w:bCs/>
          <w:color w:val="auto"/>
          <w:lang w:val="en-GB"/>
        </w:rPr>
        <w:t>Diet Research</w:t>
      </w:r>
      <w:r w:rsidR="00BA739A" w:rsidRPr="003160F8">
        <w:rPr>
          <w:color w:val="auto"/>
          <w:lang w:val="en-GB"/>
        </w:rPr>
        <w:t>, School of Public Health, Physiotherapy, and Sports Science, University College Dublin,</w:t>
      </w:r>
      <w:r w:rsidR="00B3063E" w:rsidRPr="003160F8">
        <w:rPr>
          <w:color w:val="auto"/>
          <w:lang w:val="en-GB"/>
        </w:rPr>
        <w:t xml:space="preserve"> Belfield, Dublin 4, Ireland</w:t>
      </w:r>
      <w:r w:rsidR="00BA739A" w:rsidRPr="003160F8">
        <w:rPr>
          <w:color w:val="auto"/>
          <w:lang w:val="en-GB"/>
        </w:rPr>
        <w:t>;</w:t>
      </w:r>
      <w:r w:rsidR="00625D97" w:rsidRPr="003160F8">
        <w:rPr>
          <w:color w:val="auto"/>
          <w:lang w:val="en-GB"/>
        </w:rPr>
        <w:t xml:space="preserve"> </w:t>
      </w:r>
      <w:hyperlink r:id="rId12" w:history="1">
        <w:r w:rsidR="00B3063E" w:rsidRPr="003160F8">
          <w:rPr>
            <w:rStyle w:val="Hyperlink"/>
            <w:color w:val="auto"/>
            <w:u w:val="none"/>
            <w:lang w:val="en-GB"/>
          </w:rPr>
          <w:t>ling-wei.chen@ucd.ie</w:t>
        </w:r>
      </w:hyperlink>
      <w:r w:rsidR="00B3063E" w:rsidRPr="003160F8">
        <w:rPr>
          <w:color w:val="auto"/>
          <w:lang w:val="en-GB"/>
        </w:rPr>
        <w:t xml:space="preserve"> (L.-W.C.)</w:t>
      </w:r>
      <w:r w:rsidR="00625D97" w:rsidRPr="003160F8">
        <w:rPr>
          <w:color w:val="auto"/>
          <w:lang w:val="en-GB"/>
        </w:rPr>
        <w:t xml:space="preserve">; </w:t>
      </w:r>
      <w:hyperlink r:id="rId13" w:history="1">
        <w:r w:rsidR="00B3063E" w:rsidRPr="003160F8">
          <w:rPr>
            <w:rStyle w:val="Hyperlink"/>
            <w:color w:val="auto"/>
            <w:u w:val="none"/>
            <w:lang w:val="en-GB"/>
          </w:rPr>
          <w:t>cecily.kelleher@ucd.ie</w:t>
        </w:r>
      </w:hyperlink>
      <w:r w:rsidR="00B3063E" w:rsidRPr="003160F8">
        <w:rPr>
          <w:color w:val="auto"/>
          <w:lang w:val="en-GB"/>
        </w:rPr>
        <w:t xml:space="preserve"> (C.C.K.)</w:t>
      </w:r>
      <w:r w:rsidR="00625D97" w:rsidRPr="003160F8">
        <w:rPr>
          <w:color w:val="auto"/>
          <w:lang w:val="en-GB"/>
        </w:rPr>
        <w:t xml:space="preserve">; </w:t>
      </w:r>
      <w:hyperlink r:id="rId14" w:history="1">
        <w:r w:rsidR="00B3063E" w:rsidRPr="003160F8">
          <w:rPr>
            <w:rStyle w:val="Hyperlink"/>
            <w:color w:val="auto"/>
            <w:u w:val="none"/>
            <w:lang w:val="en-GB"/>
          </w:rPr>
          <w:t>catherine.phillips@ucd.ie</w:t>
        </w:r>
      </w:hyperlink>
      <w:r w:rsidR="00B3063E" w:rsidRPr="003160F8">
        <w:rPr>
          <w:color w:val="auto"/>
          <w:lang w:val="en-GB"/>
        </w:rPr>
        <w:t xml:space="preserve"> (C.M.P.)</w:t>
      </w:r>
      <w:r w:rsidR="00625D97" w:rsidRPr="003160F8">
        <w:rPr>
          <w:color w:val="auto"/>
          <w:lang w:val="en-GB"/>
        </w:rPr>
        <w:t xml:space="preserve"> </w:t>
      </w:r>
    </w:p>
    <w:p w14:paraId="105293CC" w14:textId="14FE97DF" w:rsidR="00BA739A" w:rsidRPr="003160F8" w:rsidRDefault="00BA739A" w:rsidP="00101347">
      <w:pPr>
        <w:pStyle w:val="MDPI16affiliation"/>
        <w:rPr>
          <w:color w:val="auto"/>
          <w:lang w:val="en-GB"/>
        </w:rPr>
      </w:pPr>
      <w:r w:rsidRPr="003160F8">
        <w:rPr>
          <w:color w:val="auto"/>
          <w:szCs w:val="20"/>
          <w:vertAlign w:val="superscript"/>
          <w:lang w:val="en-GB"/>
        </w:rPr>
        <w:t>3</w:t>
      </w:r>
      <w:r w:rsidRPr="003160F8">
        <w:rPr>
          <w:color w:val="auto"/>
          <w:szCs w:val="20"/>
          <w:lang w:val="en-GB"/>
        </w:rPr>
        <w:tab/>
      </w:r>
      <w:r w:rsidRPr="003160F8">
        <w:rPr>
          <w:color w:val="auto"/>
          <w:lang w:val="en-GB"/>
        </w:rPr>
        <w:t xml:space="preserve">Department of Environmental Epidemiology, Nofer Institute of Occupational </w:t>
      </w:r>
      <w:r w:rsidRPr="009B104D">
        <w:rPr>
          <w:color w:val="auto"/>
          <w:lang w:val="en-GB"/>
        </w:rPr>
        <w:t xml:space="preserve">Medicine, </w:t>
      </w:r>
      <w:r w:rsidR="00B3063E" w:rsidRPr="009B104D">
        <w:rPr>
          <w:color w:val="auto"/>
          <w:lang w:val="en-GB"/>
        </w:rPr>
        <w:t xml:space="preserve">91-348 </w:t>
      </w:r>
      <w:r w:rsidRPr="009B104D">
        <w:rPr>
          <w:color w:val="auto"/>
          <w:lang w:val="en-GB"/>
        </w:rPr>
        <w:t>Lodz</w:t>
      </w:r>
      <w:r w:rsidRPr="003160F8">
        <w:rPr>
          <w:color w:val="auto"/>
          <w:lang w:val="en-GB"/>
        </w:rPr>
        <w:t>, Poland</w:t>
      </w:r>
      <w:r w:rsidRPr="003160F8">
        <w:rPr>
          <w:color w:val="auto"/>
          <w:szCs w:val="20"/>
          <w:lang w:val="en-GB"/>
        </w:rPr>
        <w:t>;</w:t>
      </w:r>
      <w:r w:rsidR="00A53765" w:rsidRPr="003160F8">
        <w:rPr>
          <w:color w:val="auto"/>
          <w:szCs w:val="20"/>
          <w:lang w:val="en-GB"/>
        </w:rPr>
        <w:t xml:space="preserve"> </w:t>
      </w:r>
      <w:hyperlink r:id="rId15" w:history="1">
        <w:r w:rsidR="00B3063E" w:rsidRPr="003160F8">
          <w:rPr>
            <w:rStyle w:val="Hyperlink"/>
            <w:color w:val="auto"/>
            <w:szCs w:val="20"/>
            <w:u w:val="none"/>
            <w:lang w:val="en-GB"/>
          </w:rPr>
          <w:t>kinga.polanska@imp.lodz.pl</w:t>
        </w:r>
      </w:hyperlink>
      <w:r w:rsidR="00B3063E" w:rsidRPr="003160F8">
        <w:rPr>
          <w:color w:val="auto"/>
          <w:szCs w:val="20"/>
          <w:lang w:val="en-GB"/>
        </w:rPr>
        <w:t xml:space="preserve"> (K.P.)</w:t>
      </w:r>
      <w:r w:rsidR="00A53765" w:rsidRPr="003160F8">
        <w:rPr>
          <w:color w:val="auto"/>
          <w:szCs w:val="20"/>
          <w:lang w:val="en-GB"/>
        </w:rPr>
        <w:t>;</w:t>
      </w:r>
      <w:r w:rsidR="00A5473B" w:rsidRPr="003160F8">
        <w:rPr>
          <w:color w:val="auto"/>
          <w:szCs w:val="20"/>
          <w:lang w:val="en-GB"/>
        </w:rPr>
        <w:t xml:space="preserve"> </w:t>
      </w:r>
      <w:hyperlink r:id="rId16" w:history="1">
        <w:r w:rsidR="00B3063E" w:rsidRPr="003160F8">
          <w:rPr>
            <w:rStyle w:val="Hyperlink"/>
            <w:color w:val="auto"/>
            <w:u w:val="none"/>
            <w:lang w:val="en-GB"/>
          </w:rPr>
          <w:t>wojciech.hanke@imp.lodz.pl</w:t>
        </w:r>
      </w:hyperlink>
      <w:r w:rsidR="00B3063E" w:rsidRPr="003160F8">
        <w:rPr>
          <w:color w:val="auto"/>
          <w:lang w:val="en-GB"/>
        </w:rPr>
        <w:t xml:space="preserve"> (W.H.)</w:t>
      </w:r>
      <w:r w:rsidR="00A5473B" w:rsidRPr="003160F8">
        <w:rPr>
          <w:color w:val="auto"/>
          <w:szCs w:val="20"/>
          <w:lang w:val="en-GB"/>
        </w:rPr>
        <w:t xml:space="preserve">; </w:t>
      </w:r>
      <w:hyperlink r:id="rId17" w:history="1">
        <w:r w:rsidR="00B3063E" w:rsidRPr="003160F8">
          <w:rPr>
            <w:rStyle w:val="Hyperlink"/>
            <w:color w:val="auto"/>
            <w:u w:val="none"/>
            <w:lang w:val="en-GB"/>
          </w:rPr>
          <w:t>agnieszka.jankowska@imp.lodz.pl</w:t>
        </w:r>
      </w:hyperlink>
      <w:r w:rsidR="00B3063E" w:rsidRPr="003160F8">
        <w:rPr>
          <w:color w:val="auto"/>
          <w:lang w:val="en-GB"/>
        </w:rPr>
        <w:t xml:space="preserve"> (A.J.)</w:t>
      </w:r>
    </w:p>
    <w:p w14:paraId="4AFCA624" w14:textId="0047F5DA" w:rsidR="00BA739A" w:rsidRPr="003160F8" w:rsidRDefault="00BA739A" w:rsidP="00101347">
      <w:pPr>
        <w:pStyle w:val="MDPI16affiliation"/>
        <w:rPr>
          <w:color w:val="auto"/>
          <w:lang w:val="en-GB"/>
        </w:rPr>
      </w:pPr>
      <w:r w:rsidRPr="003160F8">
        <w:rPr>
          <w:color w:val="auto"/>
          <w:szCs w:val="20"/>
          <w:vertAlign w:val="superscript"/>
          <w:lang w:val="en-GB"/>
        </w:rPr>
        <w:t>4</w:t>
      </w:r>
      <w:r w:rsidRPr="003160F8">
        <w:rPr>
          <w:color w:val="auto"/>
          <w:szCs w:val="20"/>
          <w:lang w:val="en-GB"/>
        </w:rPr>
        <w:tab/>
      </w:r>
      <w:r w:rsidRPr="003160F8">
        <w:rPr>
          <w:color w:val="auto"/>
          <w:lang w:val="en-GB"/>
        </w:rPr>
        <w:t xml:space="preserve">The Generation R </w:t>
      </w:r>
      <w:r w:rsidR="00640847" w:rsidRPr="003160F8">
        <w:rPr>
          <w:color w:val="auto"/>
          <w:lang w:val="en-GB"/>
        </w:rPr>
        <w:t>S</w:t>
      </w:r>
      <w:r w:rsidRPr="003160F8">
        <w:rPr>
          <w:color w:val="auto"/>
          <w:lang w:val="en-GB"/>
        </w:rPr>
        <w:t xml:space="preserve">tudy Group, Erasmus MC, University Medical Center Rotterdam, </w:t>
      </w:r>
      <w:r w:rsidR="00B3063E" w:rsidRPr="003160F8">
        <w:rPr>
          <w:color w:val="auto"/>
          <w:lang w:val="en-GB"/>
        </w:rPr>
        <w:t xml:space="preserve">3000 CA Rotterdam, </w:t>
      </w:r>
      <w:r w:rsidRPr="003160F8">
        <w:rPr>
          <w:color w:val="auto"/>
          <w:lang w:val="en-GB"/>
        </w:rPr>
        <w:t>the Netherlands</w:t>
      </w:r>
      <w:r w:rsidRPr="003160F8">
        <w:rPr>
          <w:color w:val="auto"/>
          <w:szCs w:val="20"/>
          <w:lang w:val="en-GB"/>
        </w:rPr>
        <w:t xml:space="preserve">; </w:t>
      </w:r>
      <w:hyperlink r:id="rId18" w:history="1">
        <w:r w:rsidR="00B3063E" w:rsidRPr="003160F8">
          <w:rPr>
            <w:rStyle w:val="Hyperlink"/>
            <w:color w:val="auto"/>
            <w:szCs w:val="20"/>
            <w:u w:val="none"/>
            <w:lang w:val="en-GB"/>
          </w:rPr>
          <w:t>s.mensink-bout@erasmusmc.nl</w:t>
        </w:r>
      </w:hyperlink>
      <w:r w:rsidR="00B3063E" w:rsidRPr="003160F8">
        <w:rPr>
          <w:color w:val="auto"/>
          <w:szCs w:val="20"/>
          <w:lang w:val="en-GB"/>
        </w:rPr>
        <w:t xml:space="preserve"> (S.M</w:t>
      </w:r>
      <w:r w:rsidR="00867675" w:rsidRPr="003160F8">
        <w:rPr>
          <w:color w:val="auto"/>
          <w:szCs w:val="20"/>
          <w:lang w:val="en-GB"/>
        </w:rPr>
        <w:t>.M.-B.</w:t>
      </w:r>
      <w:r w:rsidR="00B3063E" w:rsidRPr="003160F8">
        <w:rPr>
          <w:color w:val="auto"/>
          <w:szCs w:val="20"/>
          <w:lang w:val="en-GB"/>
        </w:rPr>
        <w:t>)</w:t>
      </w:r>
      <w:r w:rsidR="00A53765" w:rsidRPr="003160F8">
        <w:rPr>
          <w:color w:val="auto"/>
          <w:szCs w:val="20"/>
          <w:lang w:val="en-GB"/>
        </w:rPr>
        <w:t xml:space="preserve">; </w:t>
      </w:r>
      <w:hyperlink r:id="rId19" w:history="1">
        <w:r w:rsidR="00867675" w:rsidRPr="003160F8">
          <w:rPr>
            <w:rStyle w:val="Hyperlink"/>
            <w:color w:val="auto"/>
            <w:szCs w:val="20"/>
            <w:u w:val="none"/>
            <w:lang w:val="en-GB"/>
          </w:rPr>
          <w:t>l.duijts@erasmusmc.nl</w:t>
        </w:r>
      </w:hyperlink>
      <w:r w:rsidR="00867675" w:rsidRPr="003160F8">
        <w:rPr>
          <w:color w:val="auto"/>
          <w:szCs w:val="20"/>
          <w:lang w:val="en-GB"/>
        </w:rPr>
        <w:t xml:space="preserve"> (L.D.)</w:t>
      </w:r>
    </w:p>
    <w:p w14:paraId="597E9349" w14:textId="2D67865E" w:rsidR="00BA739A" w:rsidRPr="003160F8" w:rsidRDefault="00BA739A" w:rsidP="00101347">
      <w:pPr>
        <w:pStyle w:val="MDPI16affiliation"/>
        <w:rPr>
          <w:color w:val="auto"/>
          <w:lang w:val="en-GB"/>
        </w:rPr>
      </w:pPr>
      <w:r w:rsidRPr="003160F8">
        <w:rPr>
          <w:color w:val="auto"/>
          <w:szCs w:val="20"/>
          <w:vertAlign w:val="superscript"/>
          <w:lang w:val="en-GB"/>
        </w:rPr>
        <w:t>5</w:t>
      </w:r>
      <w:r w:rsidRPr="003160F8">
        <w:rPr>
          <w:color w:val="auto"/>
          <w:szCs w:val="20"/>
          <w:lang w:val="en-GB"/>
        </w:rPr>
        <w:tab/>
      </w:r>
      <w:r w:rsidRPr="003160F8">
        <w:rPr>
          <w:color w:val="auto"/>
          <w:lang w:val="en-GB"/>
        </w:rPr>
        <w:t xml:space="preserve">Department of Pediatrics, </w:t>
      </w:r>
      <w:r w:rsidR="00867675" w:rsidRPr="003160F8">
        <w:rPr>
          <w:color w:val="auto"/>
          <w:lang w:val="en-GB"/>
        </w:rPr>
        <w:t>D</w:t>
      </w:r>
      <w:r w:rsidRPr="003160F8">
        <w:rPr>
          <w:color w:val="auto"/>
          <w:lang w:val="en-GB"/>
        </w:rPr>
        <w:t xml:space="preserve">ivision of Respiratory Medicine and Allergology, Erasmus MC, University Medical Center Rotterdam, </w:t>
      </w:r>
      <w:bookmarkStart w:id="1" w:name="OLE_LINK4"/>
      <w:bookmarkStart w:id="2" w:name="OLE_LINK5"/>
      <w:r w:rsidR="00867675" w:rsidRPr="003160F8">
        <w:rPr>
          <w:color w:val="auto"/>
          <w:lang w:val="en-GB"/>
        </w:rPr>
        <w:t xml:space="preserve">3000 CB </w:t>
      </w:r>
      <w:bookmarkEnd w:id="1"/>
      <w:bookmarkEnd w:id="2"/>
      <w:r w:rsidRPr="003160F8">
        <w:rPr>
          <w:color w:val="auto"/>
          <w:lang w:val="en-GB"/>
        </w:rPr>
        <w:t>Rotterdam, the Netherlands</w:t>
      </w:r>
    </w:p>
    <w:p w14:paraId="67E53A0C" w14:textId="3DD80D84" w:rsidR="00BA739A" w:rsidRPr="003160F8" w:rsidRDefault="00BA739A" w:rsidP="00101347">
      <w:pPr>
        <w:pStyle w:val="MDPI16affiliation"/>
        <w:rPr>
          <w:color w:val="auto"/>
          <w:lang w:val="en-GB"/>
        </w:rPr>
      </w:pPr>
      <w:r w:rsidRPr="003160F8">
        <w:rPr>
          <w:color w:val="auto"/>
          <w:szCs w:val="20"/>
          <w:vertAlign w:val="superscript"/>
          <w:lang w:val="en-GB"/>
        </w:rPr>
        <w:t>6</w:t>
      </w:r>
      <w:r w:rsidRPr="003160F8">
        <w:rPr>
          <w:color w:val="auto"/>
          <w:szCs w:val="20"/>
          <w:lang w:val="en-GB"/>
        </w:rPr>
        <w:tab/>
      </w:r>
      <w:r w:rsidRPr="003160F8">
        <w:rPr>
          <w:color w:val="auto"/>
          <w:lang w:val="en-GB"/>
        </w:rPr>
        <w:t xml:space="preserve">Department of Pediatrics, division of Neonatology, Erasmus MC, University Medical Center Rotterdam, </w:t>
      </w:r>
      <w:r w:rsidR="00867675" w:rsidRPr="003160F8">
        <w:rPr>
          <w:lang w:val="en-GB"/>
        </w:rPr>
        <w:t xml:space="preserve">3000 CB </w:t>
      </w:r>
      <w:r w:rsidRPr="003160F8">
        <w:rPr>
          <w:color w:val="auto"/>
          <w:lang w:val="en-GB"/>
        </w:rPr>
        <w:t>Rotterdam, the Netherlands</w:t>
      </w:r>
    </w:p>
    <w:p w14:paraId="5FF0D917" w14:textId="6FE8BBD2" w:rsidR="00BA739A" w:rsidRPr="003160F8" w:rsidRDefault="00BA739A" w:rsidP="00101347">
      <w:pPr>
        <w:pStyle w:val="MDPI16affiliation"/>
        <w:rPr>
          <w:color w:val="auto"/>
          <w:lang w:val="en-GB"/>
        </w:rPr>
      </w:pPr>
      <w:r w:rsidRPr="003160F8">
        <w:rPr>
          <w:color w:val="auto"/>
          <w:szCs w:val="20"/>
          <w:vertAlign w:val="superscript"/>
          <w:lang w:val="en-GB"/>
        </w:rPr>
        <w:t>7</w:t>
      </w:r>
      <w:r w:rsidRPr="003160F8">
        <w:rPr>
          <w:color w:val="auto"/>
          <w:szCs w:val="20"/>
          <w:lang w:val="en-GB"/>
        </w:rPr>
        <w:tab/>
      </w:r>
      <w:r w:rsidRPr="003160F8">
        <w:rPr>
          <w:color w:val="auto"/>
          <w:lang w:val="en-GB"/>
        </w:rPr>
        <w:t xml:space="preserve">MRC Integrative Epidemiology Unit, Population Health Sciences, Bristol Medical School, University of Bristol, </w:t>
      </w:r>
      <w:r w:rsidR="00867675" w:rsidRPr="003160F8">
        <w:rPr>
          <w:lang w:val="en-GB"/>
        </w:rPr>
        <w:t>Bristol BS8 2BN</w:t>
      </w:r>
      <w:r w:rsidRPr="003160F8">
        <w:rPr>
          <w:color w:val="auto"/>
          <w:lang w:val="en-GB"/>
        </w:rPr>
        <w:t>, UK</w:t>
      </w:r>
      <w:r w:rsidRPr="003160F8">
        <w:rPr>
          <w:color w:val="auto"/>
          <w:szCs w:val="20"/>
          <w:lang w:val="en-GB"/>
        </w:rPr>
        <w:t xml:space="preserve">; </w:t>
      </w:r>
      <w:hyperlink r:id="rId20" w:history="1">
        <w:r w:rsidR="00867675" w:rsidRPr="003160F8">
          <w:rPr>
            <w:rStyle w:val="Hyperlink"/>
            <w:color w:val="auto"/>
            <w:szCs w:val="20"/>
            <w:u w:val="none"/>
            <w:lang w:val="en-GB"/>
          </w:rPr>
          <w:t>matthew.suderman@bristol.ac.uk</w:t>
        </w:r>
      </w:hyperlink>
      <w:r w:rsidR="00867675" w:rsidRPr="003160F8">
        <w:rPr>
          <w:color w:val="auto"/>
          <w:szCs w:val="20"/>
          <w:lang w:val="en-GB"/>
        </w:rPr>
        <w:t xml:space="preserve"> (M.S.)</w:t>
      </w:r>
      <w:r w:rsidR="00A53765" w:rsidRPr="003160F8">
        <w:rPr>
          <w:color w:val="auto"/>
          <w:szCs w:val="20"/>
          <w:lang w:val="en-GB"/>
        </w:rPr>
        <w:t xml:space="preserve">; </w:t>
      </w:r>
      <w:hyperlink r:id="rId21" w:history="1">
        <w:r w:rsidR="00867675" w:rsidRPr="003160F8">
          <w:rPr>
            <w:rStyle w:val="Hyperlink"/>
            <w:color w:val="auto"/>
            <w:szCs w:val="20"/>
            <w:u w:val="none"/>
            <w:lang w:val="en-GB"/>
          </w:rPr>
          <w:t>caroline.relton@bristol.ac.uk</w:t>
        </w:r>
      </w:hyperlink>
      <w:r w:rsidR="00867675" w:rsidRPr="003160F8">
        <w:rPr>
          <w:color w:val="auto"/>
          <w:szCs w:val="20"/>
          <w:lang w:val="en-GB"/>
        </w:rPr>
        <w:t xml:space="preserve"> (C.L.R.)</w:t>
      </w:r>
    </w:p>
    <w:p w14:paraId="35C5356D" w14:textId="2CBD1ADF" w:rsidR="00BA739A" w:rsidRPr="003160F8" w:rsidRDefault="00BA739A" w:rsidP="00101347">
      <w:pPr>
        <w:pStyle w:val="MDPI16affiliation"/>
        <w:rPr>
          <w:color w:val="auto"/>
          <w:lang w:val="en-GB"/>
        </w:rPr>
      </w:pPr>
      <w:r w:rsidRPr="003160F8">
        <w:rPr>
          <w:color w:val="auto"/>
          <w:szCs w:val="20"/>
          <w:vertAlign w:val="superscript"/>
          <w:lang w:val="en-GB"/>
        </w:rPr>
        <w:t>8</w:t>
      </w:r>
      <w:r w:rsidRPr="003160F8">
        <w:rPr>
          <w:color w:val="auto"/>
          <w:szCs w:val="20"/>
          <w:lang w:val="en-GB"/>
        </w:rPr>
        <w:tab/>
      </w:r>
      <w:r w:rsidR="00625D97" w:rsidRPr="003160F8">
        <w:rPr>
          <w:color w:val="auto"/>
          <w:lang w:val="en-GB"/>
        </w:rPr>
        <w:t>MRC Lifecourse Epidemiology Unit, University of Southampton, Southampton General Hospital Southampton, Southampton</w:t>
      </w:r>
      <w:r w:rsidR="00DE5398" w:rsidRPr="003160F8">
        <w:rPr>
          <w:color w:val="auto"/>
          <w:lang w:val="en-GB"/>
        </w:rPr>
        <w:t xml:space="preserve"> SO16 6YD</w:t>
      </w:r>
      <w:r w:rsidR="00625D97" w:rsidRPr="003160F8">
        <w:rPr>
          <w:color w:val="auto"/>
          <w:lang w:val="en-GB"/>
        </w:rPr>
        <w:t>, UK</w:t>
      </w:r>
      <w:r w:rsidRPr="003160F8">
        <w:rPr>
          <w:color w:val="auto"/>
          <w:szCs w:val="20"/>
          <w:lang w:val="en-GB"/>
        </w:rPr>
        <w:t xml:space="preserve">; </w:t>
      </w:r>
      <w:hyperlink r:id="rId22" w:history="1">
        <w:r w:rsidR="00DE5398" w:rsidRPr="003160F8">
          <w:rPr>
            <w:rStyle w:val="Hyperlink"/>
            <w:color w:val="auto"/>
            <w:szCs w:val="20"/>
            <w:u w:val="none"/>
            <w:lang w:val="en-GB"/>
          </w:rPr>
          <w:t>src@mrc.soton.ac.uk</w:t>
        </w:r>
      </w:hyperlink>
      <w:r w:rsidR="00DE5398" w:rsidRPr="003160F8">
        <w:rPr>
          <w:color w:val="auto"/>
          <w:szCs w:val="20"/>
          <w:lang w:val="en-GB"/>
        </w:rPr>
        <w:t xml:space="preserve"> (S.R.C.)</w:t>
      </w:r>
      <w:r w:rsidR="00A53765" w:rsidRPr="003160F8">
        <w:rPr>
          <w:color w:val="auto"/>
          <w:szCs w:val="20"/>
          <w:lang w:val="en-GB"/>
        </w:rPr>
        <w:t xml:space="preserve">; </w:t>
      </w:r>
      <w:hyperlink r:id="rId23" w:history="1">
        <w:r w:rsidR="00DE5398" w:rsidRPr="003160F8">
          <w:rPr>
            <w:rStyle w:val="Hyperlink"/>
            <w:color w:val="auto"/>
            <w:szCs w:val="20"/>
            <w:u w:val="none"/>
            <w:lang w:val="en-GB"/>
          </w:rPr>
          <w:t>nch@mrc.soton.ac.uk</w:t>
        </w:r>
      </w:hyperlink>
      <w:r w:rsidR="00DE5398" w:rsidRPr="003160F8">
        <w:rPr>
          <w:color w:val="auto"/>
          <w:szCs w:val="20"/>
          <w:lang w:val="en-GB"/>
        </w:rPr>
        <w:t xml:space="preserve"> (N.C.H.)</w:t>
      </w:r>
      <w:r w:rsidR="00A53765" w:rsidRPr="003160F8">
        <w:rPr>
          <w:color w:val="auto"/>
          <w:szCs w:val="20"/>
          <w:lang w:val="en-GB"/>
        </w:rPr>
        <w:t xml:space="preserve">; </w:t>
      </w:r>
      <w:hyperlink r:id="rId24" w:history="1">
        <w:r w:rsidR="00DE5398" w:rsidRPr="003160F8">
          <w:rPr>
            <w:rStyle w:val="Hyperlink"/>
            <w:color w:val="auto"/>
            <w:szCs w:val="20"/>
            <w:u w:val="none"/>
            <w:lang w:val="en-GB"/>
          </w:rPr>
          <w:t>cc@mrc.soton.ac.uk</w:t>
        </w:r>
      </w:hyperlink>
      <w:r w:rsidR="00DE5398" w:rsidRPr="003160F8">
        <w:rPr>
          <w:color w:val="auto"/>
          <w:szCs w:val="20"/>
          <w:lang w:val="en-GB"/>
        </w:rPr>
        <w:t xml:space="preserve"> (C.C.)</w:t>
      </w:r>
    </w:p>
    <w:p w14:paraId="699F69EA" w14:textId="2B96947B" w:rsidR="00BA739A" w:rsidRPr="003160F8" w:rsidRDefault="00BA739A" w:rsidP="00101347">
      <w:pPr>
        <w:pStyle w:val="MDPI16affiliation"/>
        <w:rPr>
          <w:color w:val="auto"/>
          <w:lang w:val="en-GB"/>
        </w:rPr>
      </w:pPr>
      <w:r w:rsidRPr="003160F8">
        <w:rPr>
          <w:color w:val="auto"/>
          <w:szCs w:val="20"/>
          <w:vertAlign w:val="superscript"/>
          <w:lang w:val="en-GB"/>
        </w:rPr>
        <w:t>9</w:t>
      </w:r>
      <w:r w:rsidRPr="003160F8">
        <w:rPr>
          <w:color w:val="auto"/>
          <w:szCs w:val="20"/>
          <w:lang w:val="en-GB"/>
        </w:rPr>
        <w:tab/>
      </w:r>
      <w:r w:rsidR="00625D97" w:rsidRPr="003160F8">
        <w:rPr>
          <w:color w:val="auto"/>
          <w:lang w:val="en-GB"/>
        </w:rPr>
        <w:t>NIHR Southampton Biomedical Research Centre, University of Southampton and University Hospital Southampton NHS Foundation Trust, Southampton</w:t>
      </w:r>
      <w:r w:rsidR="00DE5398" w:rsidRPr="003160F8">
        <w:rPr>
          <w:color w:val="auto"/>
          <w:lang w:val="en-GB"/>
        </w:rPr>
        <w:t xml:space="preserve"> </w:t>
      </w:r>
      <w:r w:rsidR="00DE5398" w:rsidRPr="003160F8">
        <w:rPr>
          <w:lang w:val="en-GB"/>
        </w:rPr>
        <w:t>SO16 6YD</w:t>
      </w:r>
      <w:r w:rsidR="00625D97" w:rsidRPr="003160F8">
        <w:rPr>
          <w:color w:val="auto"/>
          <w:lang w:val="en-GB"/>
        </w:rPr>
        <w:t>, UK</w:t>
      </w:r>
    </w:p>
    <w:p w14:paraId="23AF359D" w14:textId="4AED0810" w:rsidR="00BA739A" w:rsidRPr="003160F8" w:rsidRDefault="00BA739A" w:rsidP="00101347">
      <w:pPr>
        <w:pStyle w:val="MDPI16affiliation"/>
        <w:rPr>
          <w:color w:val="auto"/>
          <w:lang w:val="en-GB"/>
        </w:rPr>
      </w:pPr>
      <w:r w:rsidRPr="003160F8">
        <w:rPr>
          <w:color w:val="auto"/>
          <w:szCs w:val="20"/>
          <w:vertAlign w:val="superscript"/>
          <w:lang w:val="en-GB"/>
        </w:rPr>
        <w:t>10</w:t>
      </w:r>
      <w:r w:rsidRPr="003160F8">
        <w:rPr>
          <w:color w:val="auto"/>
          <w:szCs w:val="20"/>
          <w:lang w:val="en-GB"/>
        </w:rPr>
        <w:tab/>
      </w:r>
      <w:r w:rsidR="00625D97" w:rsidRPr="003160F8">
        <w:rPr>
          <w:color w:val="auto"/>
          <w:lang w:val="en-GB"/>
        </w:rPr>
        <w:t xml:space="preserve">NIHR Oxford Biomedical Research Centre, University of Oxford, </w:t>
      </w:r>
      <w:r w:rsidR="00DE5398" w:rsidRPr="003160F8">
        <w:rPr>
          <w:lang w:val="en-GB"/>
        </w:rPr>
        <w:t xml:space="preserve">Oxford OX1 2JD, </w:t>
      </w:r>
      <w:r w:rsidR="00625D97" w:rsidRPr="003160F8">
        <w:rPr>
          <w:color w:val="auto"/>
          <w:lang w:val="en-GB"/>
        </w:rPr>
        <w:t>UK</w:t>
      </w:r>
    </w:p>
    <w:p w14:paraId="13A88854" w14:textId="5F2F56E4" w:rsidR="00BA739A" w:rsidRPr="003160F8" w:rsidRDefault="00BA739A" w:rsidP="00101347">
      <w:pPr>
        <w:pStyle w:val="MDPI16affiliation"/>
        <w:rPr>
          <w:color w:val="auto"/>
          <w:lang w:val="en-GB"/>
        </w:rPr>
      </w:pPr>
      <w:r w:rsidRPr="003160F8">
        <w:rPr>
          <w:color w:val="auto"/>
          <w:szCs w:val="20"/>
          <w:vertAlign w:val="superscript"/>
          <w:lang w:val="en-GB"/>
        </w:rPr>
        <w:t>11</w:t>
      </w:r>
      <w:r w:rsidRPr="003160F8">
        <w:rPr>
          <w:color w:val="auto"/>
          <w:szCs w:val="20"/>
          <w:lang w:val="en-GB"/>
        </w:rPr>
        <w:tab/>
      </w:r>
      <w:r w:rsidR="00625D97" w:rsidRPr="003160F8">
        <w:rPr>
          <w:color w:val="auto"/>
          <w:lang w:val="en-GB"/>
        </w:rPr>
        <w:t>UCD Perinatal Research Centre, School of Medicine, University College Dublin, National Maternity Hospital, Dublin</w:t>
      </w:r>
      <w:r w:rsidR="00DE5398" w:rsidRPr="003160F8">
        <w:rPr>
          <w:color w:val="auto"/>
          <w:lang w:val="en-GB"/>
        </w:rPr>
        <w:t xml:space="preserve"> 2</w:t>
      </w:r>
      <w:r w:rsidR="00625D97" w:rsidRPr="003160F8">
        <w:rPr>
          <w:color w:val="auto"/>
          <w:lang w:val="en-GB"/>
        </w:rPr>
        <w:t>, Ireland</w:t>
      </w:r>
      <w:r w:rsidRPr="003160F8">
        <w:rPr>
          <w:color w:val="auto"/>
          <w:szCs w:val="20"/>
          <w:lang w:val="en-GB"/>
        </w:rPr>
        <w:t xml:space="preserve">; </w:t>
      </w:r>
      <w:r w:rsidR="00F37423" w:rsidRPr="003160F8">
        <w:rPr>
          <w:color w:val="auto"/>
          <w:szCs w:val="20"/>
          <w:lang w:val="en-GB"/>
        </w:rPr>
        <w:t>fionnuala.mcauliffe@ucd.ie</w:t>
      </w:r>
    </w:p>
    <w:p w14:paraId="4382AC26" w14:textId="1D570615" w:rsidR="00BA739A" w:rsidRPr="003160F8" w:rsidRDefault="00BA739A" w:rsidP="00101347">
      <w:pPr>
        <w:pStyle w:val="MDPI16affiliation"/>
        <w:rPr>
          <w:color w:val="auto"/>
          <w:lang w:val="en-GB"/>
        </w:rPr>
      </w:pPr>
      <w:r w:rsidRPr="003160F8">
        <w:rPr>
          <w:color w:val="auto"/>
          <w:szCs w:val="20"/>
          <w:vertAlign w:val="superscript"/>
          <w:lang w:val="en-GB"/>
        </w:rPr>
        <w:t>12</w:t>
      </w:r>
      <w:r w:rsidRPr="003160F8">
        <w:rPr>
          <w:color w:val="auto"/>
          <w:szCs w:val="20"/>
          <w:lang w:val="en-GB"/>
        </w:rPr>
        <w:tab/>
      </w:r>
      <w:bookmarkStart w:id="3" w:name="OLE_LINK6"/>
      <w:bookmarkStart w:id="4" w:name="OLE_LINK7"/>
      <w:r w:rsidR="00625D97" w:rsidRPr="003160F8">
        <w:rPr>
          <w:color w:val="auto"/>
          <w:lang w:val="en-GB"/>
        </w:rPr>
        <w:t xml:space="preserve">Singapore Institute for Clinical Sciences (SICS), Agency for Science, Technology and Research </w:t>
      </w:r>
      <w:bookmarkEnd w:id="3"/>
      <w:bookmarkEnd w:id="4"/>
      <w:r w:rsidR="00625D97" w:rsidRPr="003160F8">
        <w:rPr>
          <w:color w:val="auto"/>
          <w:lang w:val="en-GB"/>
        </w:rPr>
        <w:t xml:space="preserve">(A*STAR), </w:t>
      </w:r>
      <w:r w:rsidR="00642B9B" w:rsidRPr="00642B9B">
        <w:rPr>
          <w:color w:val="auto"/>
          <w:lang w:val="en-GB"/>
        </w:rPr>
        <w:t>117609</w:t>
      </w:r>
      <w:r w:rsidR="00E93EC2" w:rsidRPr="003160F8">
        <w:rPr>
          <w:color w:val="auto"/>
          <w:lang w:val="en-GB"/>
        </w:rPr>
        <w:t xml:space="preserve"> </w:t>
      </w:r>
      <w:r w:rsidR="00625D97" w:rsidRPr="003160F8">
        <w:rPr>
          <w:color w:val="auto"/>
          <w:lang w:val="en-GB"/>
        </w:rPr>
        <w:t>Singapore, Singapore</w:t>
      </w:r>
    </w:p>
    <w:p w14:paraId="7ACCBD86" w14:textId="77777777" w:rsidR="00C236CF" w:rsidRPr="003160F8" w:rsidRDefault="00C236CF" w:rsidP="00C236CF">
      <w:pPr>
        <w:pStyle w:val="MDPI16affiliation"/>
        <w:rPr>
          <w:lang w:val="en-GB"/>
        </w:rPr>
      </w:pPr>
      <w:bookmarkStart w:id="5" w:name="OLE_LINK3"/>
      <w:r w:rsidRPr="003160F8">
        <w:rPr>
          <w:vertAlign w:val="superscript"/>
          <w:lang w:val="en-GB"/>
        </w:rPr>
        <w:t>†</w:t>
      </w:r>
      <w:bookmarkEnd w:id="5"/>
      <w:r w:rsidRPr="003160F8">
        <w:rPr>
          <w:lang w:val="en-GB"/>
        </w:rPr>
        <w:tab/>
        <w:t>The authors contributed equally to this article.</w:t>
      </w:r>
    </w:p>
    <w:p w14:paraId="7DE88FD4" w14:textId="77777777" w:rsidR="002549C8" w:rsidRPr="003160F8" w:rsidRDefault="002549C8" w:rsidP="00101347">
      <w:pPr>
        <w:pStyle w:val="MDPI16affiliation"/>
        <w:rPr>
          <w:color w:val="auto"/>
          <w:lang w:val="en-GB"/>
        </w:rPr>
      </w:pPr>
      <w:r w:rsidRPr="003160F8">
        <w:rPr>
          <w:b/>
          <w:color w:val="auto"/>
          <w:lang w:val="en-GB"/>
        </w:rPr>
        <w:t>*</w:t>
      </w:r>
      <w:r w:rsidRPr="003160F8">
        <w:rPr>
          <w:color w:val="auto"/>
          <w:lang w:val="en-GB"/>
        </w:rPr>
        <w:tab/>
        <w:t xml:space="preserve">Correspondence: </w:t>
      </w:r>
      <w:r w:rsidR="00F37423" w:rsidRPr="003160F8">
        <w:rPr>
          <w:color w:val="auto"/>
          <w:lang w:val="en-GB"/>
        </w:rPr>
        <w:t>barbara.heude@inserm.fr</w:t>
      </w:r>
    </w:p>
    <w:p w14:paraId="5DE2B5BE" w14:textId="1890FF59" w:rsidR="002549C8" w:rsidRPr="003160F8" w:rsidRDefault="002549C8" w:rsidP="002549C8">
      <w:pPr>
        <w:pStyle w:val="MDPI14history"/>
        <w:rPr>
          <w:color w:val="auto"/>
          <w:lang w:val="en-GB"/>
        </w:rPr>
      </w:pPr>
      <w:r w:rsidRPr="003160F8">
        <w:rPr>
          <w:color w:val="auto"/>
          <w:lang w:val="en-GB"/>
        </w:rPr>
        <w:t xml:space="preserve">Received: </w:t>
      </w:r>
      <w:r w:rsidR="00E93EC2" w:rsidRPr="003160F8">
        <w:rPr>
          <w:lang w:val="en-GB"/>
        </w:rPr>
        <w:t>10 October 2019</w:t>
      </w:r>
      <w:r w:rsidRPr="003160F8">
        <w:rPr>
          <w:color w:val="auto"/>
          <w:lang w:val="en-GB"/>
        </w:rPr>
        <w:t xml:space="preserve">; Accepted: </w:t>
      </w:r>
      <w:r w:rsidR="00E93EC2" w:rsidRPr="003160F8">
        <w:rPr>
          <w:lang w:val="en-GB"/>
        </w:rPr>
        <w:t>04 November 2019</w:t>
      </w:r>
      <w:r w:rsidRPr="003160F8">
        <w:rPr>
          <w:color w:val="auto"/>
          <w:lang w:val="en-GB"/>
        </w:rPr>
        <w:t>; Published: date</w:t>
      </w:r>
    </w:p>
    <w:p w14:paraId="5D63326F" w14:textId="38D97608" w:rsidR="00EF0B10" w:rsidRPr="003160F8" w:rsidRDefault="002549C8" w:rsidP="00A33971">
      <w:pPr>
        <w:pStyle w:val="MDPI17abstract"/>
        <w:rPr>
          <w:lang w:val="en-GB"/>
        </w:rPr>
      </w:pPr>
      <w:r w:rsidRPr="003160F8">
        <w:rPr>
          <w:b/>
          <w:lang w:val="en-GB"/>
        </w:rPr>
        <w:t xml:space="preserve">Abstract: </w:t>
      </w:r>
      <w:bookmarkStart w:id="6" w:name="_Hlk23340288"/>
      <w:r w:rsidR="00EF0B10" w:rsidRPr="003160F8">
        <w:rPr>
          <w:lang w:val="en-GB"/>
        </w:rPr>
        <w:t xml:space="preserve">The ALPHABET consortium </w:t>
      </w:r>
      <w:r w:rsidR="002E2A2A" w:rsidRPr="003160F8">
        <w:rPr>
          <w:lang w:val="en-GB"/>
        </w:rPr>
        <w:t xml:space="preserve">aims to examine the interplays between maternal diet quality, epigenetics and offspring health </w:t>
      </w:r>
      <w:r w:rsidR="00EF0B10" w:rsidRPr="003160F8">
        <w:rPr>
          <w:lang w:val="en-GB"/>
        </w:rPr>
        <w:t xml:space="preserve">in seven pregnancy/birth cohorts from five European countries. </w:t>
      </w:r>
      <w:r w:rsidR="009B6F89" w:rsidRPr="003160F8">
        <w:rPr>
          <w:lang w:val="en-GB"/>
        </w:rPr>
        <w:t xml:space="preserve">We aimed </w:t>
      </w:r>
      <w:r w:rsidR="00EF0B10" w:rsidRPr="003160F8">
        <w:rPr>
          <w:lang w:val="en-GB"/>
        </w:rPr>
        <w:t>to use the Dietary Approaches to Stop Hypertension (DASH) score to assess diet quality</w:t>
      </w:r>
      <w:r w:rsidR="009B6F89" w:rsidRPr="003160F8">
        <w:rPr>
          <w:lang w:val="en-GB"/>
        </w:rPr>
        <w:t>, but d</w:t>
      </w:r>
      <w:r w:rsidR="00EF0B10" w:rsidRPr="003160F8">
        <w:rPr>
          <w:lang w:val="en-GB"/>
        </w:rPr>
        <w:t xml:space="preserve">ifferent versions have been published. To derive a single DASH score </w:t>
      </w:r>
      <w:r w:rsidR="005362C9" w:rsidRPr="003160F8">
        <w:rPr>
          <w:lang w:val="en-GB"/>
        </w:rPr>
        <w:t>allowing cross-country, cross-cohort and cross-period comparison</w:t>
      </w:r>
      <w:r w:rsidR="008324FD" w:rsidRPr="003160F8">
        <w:rPr>
          <w:lang w:val="en-GB"/>
        </w:rPr>
        <w:t xml:space="preserve"> and limiting </w:t>
      </w:r>
      <w:r w:rsidR="00EF0B10" w:rsidRPr="003160F8">
        <w:rPr>
          <w:lang w:val="en-GB"/>
        </w:rPr>
        <w:t xml:space="preserve">data heterogeneity within the ALPHABET consortium, we harmonised </w:t>
      </w:r>
      <w:r w:rsidR="002E2A2A" w:rsidRPr="003160F8">
        <w:rPr>
          <w:lang w:val="en-GB"/>
        </w:rPr>
        <w:t xml:space="preserve">food frequency questionnaire (FFQ) </w:t>
      </w:r>
      <w:r w:rsidR="00EF0B10" w:rsidRPr="003160F8">
        <w:rPr>
          <w:lang w:val="en-GB"/>
        </w:rPr>
        <w:t xml:space="preserve">data </w:t>
      </w:r>
      <w:r w:rsidR="002E2A2A" w:rsidRPr="003160F8">
        <w:rPr>
          <w:lang w:val="en-GB"/>
        </w:rPr>
        <w:t xml:space="preserve">collected before and during pregnancy in </w:t>
      </w:r>
      <w:r w:rsidR="00E93EC2" w:rsidRPr="003160F8">
        <w:rPr>
          <w:lang w:val="en-GB"/>
        </w:rPr>
        <w:t>≥</w:t>
      </w:r>
      <w:r w:rsidR="00EF0B10" w:rsidRPr="003160F8">
        <w:rPr>
          <w:lang w:val="en-GB"/>
        </w:rPr>
        <w:t>26,500 women</w:t>
      </w:r>
      <w:r w:rsidR="009B6F89" w:rsidRPr="003160F8">
        <w:rPr>
          <w:lang w:val="en-GB"/>
        </w:rPr>
        <w:t xml:space="preserve">. </w:t>
      </w:r>
      <w:r w:rsidR="00765D4D" w:rsidRPr="003160F8">
        <w:rPr>
          <w:lang w:val="en-GB"/>
        </w:rPr>
        <w:t>Although FFQs differed strongly in length and content</w:t>
      </w:r>
      <w:r w:rsidR="009B6F89" w:rsidRPr="003160F8">
        <w:rPr>
          <w:lang w:val="en-GB"/>
        </w:rPr>
        <w:t xml:space="preserve">, </w:t>
      </w:r>
      <w:r w:rsidR="00765D4D" w:rsidRPr="003160F8">
        <w:rPr>
          <w:lang w:val="en-GB"/>
        </w:rPr>
        <w:t xml:space="preserve">we derived a </w:t>
      </w:r>
      <w:r w:rsidR="00585563" w:rsidRPr="003160F8">
        <w:rPr>
          <w:lang w:val="en-GB"/>
        </w:rPr>
        <w:t xml:space="preserve">consortium </w:t>
      </w:r>
      <w:r w:rsidR="00765D4D" w:rsidRPr="003160F8">
        <w:rPr>
          <w:lang w:val="en-GB"/>
        </w:rPr>
        <w:t xml:space="preserve">DASH score composed of eight food components by </w:t>
      </w:r>
      <w:r w:rsidR="00585563" w:rsidRPr="003160F8">
        <w:rPr>
          <w:lang w:val="en-GB"/>
        </w:rPr>
        <w:t>combining</w:t>
      </w:r>
      <w:r w:rsidR="00765D4D" w:rsidRPr="003160F8">
        <w:rPr>
          <w:lang w:val="en-GB"/>
        </w:rPr>
        <w:t xml:space="preserve"> </w:t>
      </w:r>
      <w:r w:rsidR="009B6F89" w:rsidRPr="003160F8">
        <w:rPr>
          <w:lang w:val="en-GB"/>
        </w:rPr>
        <w:t xml:space="preserve">the prescriptive original DASH and the DASH described by Fung </w:t>
      </w:r>
      <w:r w:rsidR="009B6F89" w:rsidRPr="003160F8">
        <w:rPr>
          <w:iCs/>
          <w:lang w:val="en-GB"/>
        </w:rPr>
        <w:t>et al.</w:t>
      </w:r>
      <w:r w:rsidR="00EF0B10" w:rsidRPr="003160F8">
        <w:rPr>
          <w:lang w:val="en-GB"/>
        </w:rPr>
        <w:t xml:space="preserve"> </w:t>
      </w:r>
      <w:r w:rsidR="00765D4D" w:rsidRPr="003160F8">
        <w:rPr>
          <w:lang w:val="en-GB"/>
        </w:rPr>
        <w:t>S</w:t>
      </w:r>
      <w:r w:rsidR="00EF0B10" w:rsidRPr="003160F8">
        <w:rPr>
          <w:lang w:val="en-GB"/>
        </w:rPr>
        <w:t xml:space="preserve">tatistical issues tied to the </w:t>
      </w:r>
      <w:r w:rsidR="00EF0B10" w:rsidRPr="003160F8">
        <w:rPr>
          <w:lang w:val="en-GB"/>
        </w:rPr>
        <w:lastRenderedPageBreak/>
        <w:t>nature of the FFQs</w:t>
      </w:r>
      <w:r w:rsidR="00765D4D" w:rsidRPr="003160F8">
        <w:rPr>
          <w:lang w:val="en-GB"/>
        </w:rPr>
        <w:t xml:space="preserve"> led us to </w:t>
      </w:r>
      <w:r w:rsidR="00EF0B10" w:rsidRPr="003160F8">
        <w:rPr>
          <w:lang w:val="en-GB"/>
        </w:rPr>
        <w:t>re-classif</w:t>
      </w:r>
      <w:r w:rsidR="00765D4D" w:rsidRPr="003160F8">
        <w:rPr>
          <w:lang w:val="en-GB"/>
        </w:rPr>
        <w:t>y</w:t>
      </w:r>
      <w:r w:rsidR="00EF0B10" w:rsidRPr="003160F8">
        <w:rPr>
          <w:lang w:val="en-GB"/>
        </w:rPr>
        <w:t xml:space="preserve"> two food groups (grains and dairy products). </w:t>
      </w:r>
      <w:r w:rsidR="008324FD" w:rsidRPr="003160F8">
        <w:rPr>
          <w:lang w:val="en-GB"/>
        </w:rPr>
        <w:t>Most DASH f</w:t>
      </w:r>
      <w:r w:rsidR="005362C9" w:rsidRPr="003160F8">
        <w:rPr>
          <w:lang w:val="en-GB"/>
        </w:rPr>
        <w:t xml:space="preserve">ood components </w:t>
      </w:r>
      <w:r w:rsidR="008324FD" w:rsidRPr="003160F8">
        <w:rPr>
          <w:lang w:val="en-GB"/>
        </w:rPr>
        <w:t xml:space="preserve">exhibited </w:t>
      </w:r>
      <w:r w:rsidR="005362C9" w:rsidRPr="003160F8">
        <w:rPr>
          <w:lang w:val="en-GB"/>
        </w:rPr>
        <w:t>pronounced between-cohort variability</w:t>
      </w:r>
      <w:r w:rsidR="008324FD" w:rsidRPr="003160F8">
        <w:rPr>
          <w:lang w:val="en-GB"/>
        </w:rPr>
        <w:t>, including non-full-fat dairy products (median intake ranging from 0.1 to 2.2 servings/day), sugar-sweetened beverages/sweets/added sugars (0.3</w:t>
      </w:r>
      <w:r w:rsidR="00E93EC2" w:rsidRPr="003160F8">
        <w:rPr>
          <w:lang w:val="en-GB"/>
        </w:rPr>
        <w:t>–</w:t>
      </w:r>
      <w:r w:rsidR="008324FD" w:rsidRPr="003160F8">
        <w:rPr>
          <w:lang w:val="en-GB"/>
        </w:rPr>
        <w:t>1.7 servings/day), fruits (1.1</w:t>
      </w:r>
      <w:r w:rsidR="00E93EC2" w:rsidRPr="003160F8">
        <w:rPr>
          <w:lang w:val="en-GB"/>
        </w:rPr>
        <w:t>–</w:t>
      </w:r>
      <w:r w:rsidR="008324FD" w:rsidRPr="003160F8">
        <w:rPr>
          <w:lang w:val="en-GB"/>
        </w:rPr>
        <w:t>3.1 servings/day), and vegetables (1.5</w:t>
      </w:r>
      <w:r w:rsidR="00E93EC2" w:rsidRPr="003160F8">
        <w:rPr>
          <w:lang w:val="en-GB"/>
        </w:rPr>
        <w:t>–</w:t>
      </w:r>
      <w:r w:rsidR="008324FD" w:rsidRPr="003160F8">
        <w:rPr>
          <w:lang w:val="en-GB"/>
        </w:rPr>
        <w:t xml:space="preserve">3.6 servings/day). </w:t>
      </w:r>
      <w:r w:rsidR="00EF0B10" w:rsidRPr="003160F8">
        <w:rPr>
          <w:lang w:val="en-GB"/>
        </w:rPr>
        <w:t xml:space="preserve">We successfully developed a </w:t>
      </w:r>
      <w:r w:rsidR="003C47A7" w:rsidRPr="003160F8">
        <w:rPr>
          <w:lang w:val="en-GB"/>
        </w:rPr>
        <w:t xml:space="preserve">harmonized </w:t>
      </w:r>
      <w:r w:rsidR="00EF0B10" w:rsidRPr="003160F8">
        <w:rPr>
          <w:lang w:val="en-GB"/>
        </w:rPr>
        <w:t xml:space="preserve">DASH score adapted to all cohorts </w:t>
      </w:r>
      <w:r w:rsidR="009470E1" w:rsidRPr="003160F8">
        <w:rPr>
          <w:lang w:val="en-GB"/>
        </w:rPr>
        <w:t xml:space="preserve">being </w:t>
      </w:r>
      <w:r w:rsidR="003C47A7" w:rsidRPr="003160F8">
        <w:rPr>
          <w:lang w:val="en-GB"/>
        </w:rPr>
        <w:t xml:space="preserve">part of </w:t>
      </w:r>
      <w:r w:rsidR="00EF0B10" w:rsidRPr="003160F8">
        <w:rPr>
          <w:lang w:val="en-GB"/>
        </w:rPr>
        <w:t>the ALPHABET consortium. Th</w:t>
      </w:r>
      <w:r w:rsidR="00585563" w:rsidRPr="003160F8">
        <w:rPr>
          <w:lang w:val="en-GB"/>
        </w:rPr>
        <w:t xml:space="preserve">is methodological work may benefit </w:t>
      </w:r>
      <w:r w:rsidR="00EF0B10" w:rsidRPr="003160F8">
        <w:rPr>
          <w:lang w:val="en-GB"/>
        </w:rPr>
        <w:t xml:space="preserve">other research teams </w:t>
      </w:r>
      <w:r w:rsidR="00585563" w:rsidRPr="003160F8">
        <w:rPr>
          <w:lang w:val="en-GB"/>
        </w:rPr>
        <w:t xml:space="preserve">in </w:t>
      </w:r>
      <w:r w:rsidR="00EF0B10" w:rsidRPr="003160F8">
        <w:rPr>
          <w:lang w:val="en-GB"/>
        </w:rPr>
        <w:t>adapting the DASH to their study’s specificities.</w:t>
      </w:r>
      <w:bookmarkEnd w:id="6"/>
    </w:p>
    <w:p w14:paraId="4192A231" w14:textId="3ED0B1E9" w:rsidR="002549C8" w:rsidRPr="003160F8" w:rsidRDefault="00A33971" w:rsidP="00A33971">
      <w:pPr>
        <w:pStyle w:val="MDPI18keywords"/>
        <w:rPr>
          <w:lang w:val="en-GB"/>
        </w:rPr>
      </w:pPr>
      <w:r w:rsidRPr="003160F8">
        <w:rPr>
          <w:b/>
          <w:lang w:val="en-GB"/>
        </w:rPr>
        <w:t>Keywords:</w:t>
      </w:r>
      <w:r w:rsidR="002549C8" w:rsidRPr="003160F8">
        <w:rPr>
          <w:b/>
          <w:lang w:val="en-GB"/>
        </w:rPr>
        <w:t xml:space="preserve"> </w:t>
      </w:r>
      <w:r w:rsidR="00720220" w:rsidRPr="003160F8">
        <w:rPr>
          <w:lang w:val="en-GB"/>
        </w:rPr>
        <w:t>DASH (Dietary Approaches to Stop Hypertension)</w:t>
      </w:r>
      <w:r w:rsidR="002549C8" w:rsidRPr="003160F8">
        <w:rPr>
          <w:lang w:val="en-GB"/>
        </w:rPr>
        <w:t xml:space="preserve">; </w:t>
      </w:r>
      <w:r w:rsidR="00720220" w:rsidRPr="003160F8">
        <w:rPr>
          <w:lang w:val="en-GB"/>
        </w:rPr>
        <w:t>diet</w:t>
      </w:r>
      <w:r w:rsidR="002549C8" w:rsidRPr="003160F8">
        <w:rPr>
          <w:lang w:val="en-GB"/>
        </w:rPr>
        <w:t xml:space="preserve">; </w:t>
      </w:r>
      <w:r w:rsidR="00720220" w:rsidRPr="003160F8">
        <w:rPr>
          <w:lang w:val="en-GB"/>
        </w:rPr>
        <w:t>nutrition; pregnancy</w:t>
      </w:r>
    </w:p>
    <w:p w14:paraId="316511C9" w14:textId="77777777" w:rsidR="002549C8" w:rsidRPr="003160F8" w:rsidRDefault="002549C8" w:rsidP="00A33971">
      <w:pPr>
        <w:pStyle w:val="MDPI19line"/>
        <w:pBdr>
          <w:bottom w:val="single" w:sz="4" w:space="1" w:color="000000"/>
        </w:pBdr>
        <w:spacing w:after="480"/>
        <w:rPr>
          <w:color w:val="auto"/>
          <w:lang w:val="en-GB"/>
        </w:rPr>
      </w:pPr>
    </w:p>
    <w:p w14:paraId="0D6819A6" w14:textId="7B0FE13A" w:rsidR="002549C8" w:rsidRPr="003160F8" w:rsidRDefault="00A33971" w:rsidP="00A33971">
      <w:pPr>
        <w:pStyle w:val="MDPI21heading1"/>
        <w:rPr>
          <w:lang w:val="en-GB"/>
        </w:rPr>
      </w:pPr>
      <w:r w:rsidRPr="003160F8">
        <w:rPr>
          <w:lang w:val="en-GB" w:eastAsia="zh-CN"/>
        </w:rPr>
        <w:t xml:space="preserve">1. </w:t>
      </w:r>
      <w:r w:rsidR="002549C8" w:rsidRPr="003160F8">
        <w:rPr>
          <w:lang w:val="en-GB"/>
        </w:rPr>
        <w:t>Introduction</w:t>
      </w:r>
    </w:p>
    <w:p w14:paraId="6DACAFAC" w14:textId="11331B45" w:rsidR="00411C29" w:rsidRPr="003160F8" w:rsidRDefault="00411C29" w:rsidP="00A33971">
      <w:pPr>
        <w:pStyle w:val="MDPI31text"/>
        <w:rPr>
          <w:lang w:val="en-GB"/>
        </w:rPr>
      </w:pPr>
      <w:bookmarkStart w:id="7" w:name="OLE_LINK1"/>
      <w:bookmarkStart w:id="8" w:name="OLE_LINK2"/>
      <w:r w:rsidRPr="003160F8">
        <w:rPr>
          <w:lang w:val="en-GB"/>
        </w:rPr>
        <w:t xml:space="preserve">The Developmental Origins of Health and Disease (DOHaD) paradigm suggests that environmental exposures during critical periods of early life development, even before conception, may influence later health in childhood and adulthood </w:t>
      </w:r>
      <w:r w:rsidRPr="003160F8">
        <w:rPr>
          <w:lang w:val="en-GB"/>
        </w:rPr>
        <w:fldChar w:fldCharType="begin"/>
      </w:r>
      <w:r w:rsidRPr="003160F8">
        <w:rPr>
          <w:lang w:val="en-GB"/>
        </w:rPr>
        <w:instrText xml:space="preserve"> ADDIN ZOTERO_ITEM CSL_CITATION {"citationID":"IHaxjlVm","properties":{"formattedCitation":"(1,2)","plainCitation":"(1,2)","noteIndex":0},"citationItems":[{"id":37,"uris":["http://zotero.org/users/4872814/items/ZQRPTRJ9"],"uri":["http://zotero.org/users/4872814/items/ZQRPTRJ9"],"itemData":{"id":37,"type":"article-journal","title":"The developmental environment, epigenetic biomarkers and long-term health","container-title":"Journal of Developmental Origins of Health and Disease","page":"399-406","volume":"6","issue":"5","source":"PubMed","abstract":"Evidence from both human and animal studies has shown that the prenatal and early postnatal environments influence susceptibility to chronic disease in later life and suggests that epigenetic processes are an important mechanism by which the environment alters long-term disease risk. Epigenetic processes, including DNA methylation, histone modification and non-coding RNAs, play a central role in regulating gene expression. The epigenome is highly sensitive to environmental factors in early life, such as nutrition, stress, endocrine disruption and pollution, and changes in the epigenome can induce long-term changes in gene expression and phenotype. In this review we focus on how the early life nutritional environment can alter the epigenome leading to an altered susceptibility to disease in later life.","DOI":"10.1017/S204017441500121X","ISSN":"2040-1752","note":"PMID: 26017068\nPMCID: PMC4789489","journalAbbreviation":"J Dev Orig Health Dis","language":"eng","author":[{"family":"Godfrey","given":"K. M."},{"family":"Costello","given":"P. M."},{"family":"Lillycrop","given":"K. A."}],"issued":{"date-parts":[["2015",10]]}}},{"id":38,"uris":["http://zotero.org/users/4872814/items/SN2BGMRM"],"uri":["http://zotero.org/users/4872814/items/SN2BGMRM"],"itemData":{"id":38,"type":"article-journal","title":"Evolution of DOHaD: the impact of environmental health sciences","container-title":"Journal of developmental origins of health and disease","page":"55-64","volume":"6","issue":"2","source":"PubMed Central","abstract":"Environmental exposures have a significant influence on the chronic health conditions plaguing children and adults. Although the Developmental Origins of Health and Disease (DOHaD) paradigm historically has focused on nutrition, an expanding body of research specifically communicates the effects of chemical exposures on early-life development and the propagation of non-communicable disease across the lifespan. This paper provides an overview of 20 years of research efforts aimed at identifying critical windows of susceptibility to environmental exposures and the signaling changes and epigenetic influences associated with disease progression. DOHaD grants funded by the National Institute of Environmental Health Sciences (NIEHS) in 1991, 2001 and 2011 are identified by grant-analysis software, and each portfolio is analyzed for exposures, disease endpoints, windows of exposure, study design and impact on the field based on publication data. Results show that the 1991 and 2001 portfolios comprised metals, PCBs and air pollutants; however, by 2011, the portfolio has evolved to include or expand the variety of endocrine disruptors, pesticides/persistent organic pollutants and metals. An assortment of brain-health endpoints is most targeted across the portfolios, whereas reproduction and cancer increase steadily over the same time period, and new endpoints like obesity are introduced by 2011. With mounting evidence connecting early-life exposures to later-life disease, we conclude that it is critical to expand the original DOHaD concept to include environmental chemical exposures, and to continue a research agenda that emphasizes defining sensitive windows of exposure and the mechanisms that cause disease.","DOI":"10.1017/S2040174414000580","ISSN":"2040-1744","note":"PMID: 25471238\nPMCID: PMC4393755","title-short":"Evolution of DOHaD","journalAbbreviation":"J Dev Orig Health Dis","author":[{"family":"Haugen","given":"A. C."},{"family":"Schug","given":"T. T."},{"family":"Collman","given":"G."},{"family":"Heindel","given":"J. J."}],"issued":{"date-parts":[["2015",4]]}}}],"schema":"https://github.com/citation-style-language/schema/raw/master/csl-citation.json"} </w:instrText>
      </w:r>
      <w:r w:rsidRPr="003160F8">
        <w:rPr>
          <w:lang w:val="en-GB"/>
        </w:rPr>
        <w:fldChar w:fldCharType="separate"/>
      </w:r>
      <w:r w:rsidR="00BE1D55" w:rsidRPr="003160F8">
        <w:rPr>
          <w:lang w:val="en-GB"/>
        </w:rPr>
        <w:t>[</w:t>
      </w:r>
      <w:r w:rsidR="00534555" w:rsidRPr="003160F8">
        <w:rPr>
          <w:lang w:val="en-GB"/>
        </w:rPr>
        <w:t>1,2</w:t>
      </w:r>
      <w:r w:rsidR="00BE1D55" w:rsidRPr="003160F8">
        <w:rPr>
          <w:lang w:val="en-GB"/>
        </w:rPr>
        <w:t>]</w:t>
      </w:r>
      <w:r w:rsidRPr="003160F8">
        <w:rPr>
          <w:lang w:val="en-GB"/>
        </w:rPr>
        <w:fldChar w:fldCharType="end"/>
      </w:r>
      <w:r w:rsidRPr="003160F8">
        <w:rPr>
          <w:lang w:val="en-GB"/>
        </w:rPr>
        <w:t xml:space="preserve">. It has been established that maternal diet is an important early-life exposure and determinant of both maternal, neonatal and child health outcomes </w:t>
      </w:r>
      <w:r w:rsidRPr="003160F8">
        <w:rPr>
          <w:lang w:val="en-GB"/>
        </w:rPr>
        <w:fldChar w:fldCharType="begin"/>
      </w:r>
      <w:r w:rsidRPr="003160F8">
        <w:rPr>
          <w:lang w:val="en-GB"/>
        </w:rPr>
        <w:instrText xml:space="preserve"> ADDIN ZOTERO_ITEM CSL_CITATION {"citationID":"WSxb4EVn","properties":{"formattedCitation":"(3)","plainCitation":"(3)","noteIndex":0},"citationItems":[{"id":225,"uris":["http://zotero.org/users/4872814/items/PNTRDQT7"],"uri":["http://zotero.org/users/4872814/items/PNTRDQT7"],"itemData":{"id":225,"type":"article-journal","title":"Position of the Academy of Nutrition and Dietetics: nutrition and lifestyle for a healthy pregnancy outcome","container-title":"Journal of the Academy of Nutrition and Dietetics","page":"1099-1103","volume":"114","issue":"7","source":"PubMed","abstract":"It is the position of the Academy of Nutrition and Dietetics that women of childbearing age should adopt a lifestyle optimizing health and reducing risk of birth defects, suboptimal fetal development, and chronic health problems in both mother and child. Components leading to a healthy pregnancy outcome include healthy prepregnancy weight, appropriate weight gain and physical activity during pregnancy, consumption of a wide variety of foods, appropriate vitamin and mineral supplementation, avoidance of alcohol and other harmful substances, and safe food handling. Pregnancy is a critical period during which maternal nutrition and lifestyle choices are major influences on mother and child health. Inadequate levels of key nutrients during crucial periods of fetal development may lead to reprogramming within fetal tissues, predisposing the infant to chronic conditions in later life. Improving the well-being of mothers, infants, and children is key to the health of the next generation. This position paper and the accompanying practice paper (www.eatright.org/members/practicepapers) on the same topic provide registered dietitian nutritionists and dietetic technicians, registered; other professional associations; government agencies; industry; and the public with the Academy's stance on factors determined to influence healthy pregnancy, as well as an overview of best practices in nutrition and healthy lifestyles during pregnancy.","DOI":"10.1016/j.jand.2014.05.005","ISSN":"2212-2672","note":"PMID: 24956993","title-short":"Position of the Academy of Nutrition and Dietetics","journalAbbreviation":"J Acad Nutr Diet","language":"eng","author":[{"family":"Procter","given":"Sandra B."},{"family":"Campbell","given":"Christina G."}],"issued":{"date-parts":[["2014",7]]}}}],"schema":"https://github.com/citation-style-language/schema/raw/master/csl-citation.json"} </w:instrText>
      </w:r>
      <w:r w:rsidRPr="003160F8">
        <w:rPr>
          <w:lang w:val="en-GB"/>
        </w:rPr>
        <w:fldChar w:fldCharType="separate"/>
      </w:r>
      <w:r w:rsidR="00BE1D55" w:rsidRPr="003160F8">
        <w:rPr>
          <w:lang w:val="en-GB"/>
        </w:rPr>
        <w:t>[</w:t>
      </w:r>
      <w:r w:rsidR="00534555" w:rsidRPr="003160F8">
        <w:rPr>
          <w:lang w:val="en-GB"/>
        </w:rPr>
        <w:t>3</w:t>
      </w:r>
      <w:r w:rsidR="00BE1D55" w:rsidRPr="003160F8">
        <w:rPr>
          <w:lang w:val="en-GB"/>
        </w:rPr>
        <w:t>]</w:t>
      </w:r>
      <w:r w:rsidRPr="003160F8">
        <w:rPr>
          <w:lang w:val="en-GB"/>
        </w:rPr>
        <w:fldChar w:fldCharType="end"/>
      </w:r>
      <w:r w:rsidRPr="003160F8">
        <w:rPr>
          <w:lang w:val="en-GB"/>
        </w:rPr>
        <w:t>. Indeed, interventional and observational studies have highlighted the role of certain macronutrients, micronutrients</w:t>
      </w:r>
      <w:r w:rsidR="003160F8" w:rsidRPr="003160F8">
        <w:rPr>
          <w:lang w:val="en-GB"/>
        </w:rPr>
        <w:t>,</w:t>
      </w:r>
      <w:r w:rsidRPr="003160F8">
        <w:rPr>
          <w:lang w:val="en-GB"/>
        </w:rPr>
        <w:t xml:space="preserve"> and vitamins on pregnancy complications (e.g. decreased risk of pre-eclampsia), birth outcomes (e.g. decreased risk of preterm birth and low birth weight), and offspring health and growth (e.g. obesity, respiratory health and neurocognitive development) </w:t>
      </w:r>
      <w:r w:rsidRPr="003160F8">
        <w:rPr>
          <w:lang w:val="en-GB"/>
        </w:rPr>
        <w:fldChar w:fldCharType="begin"/>
      </w:r>
      <w:r w:rsidRPr="003160F8">
        <w:rPr>
          <w:lang w:val="en-GB"/>
        </w:rPr>
        <w:instrText xml:space="preserve"> ADDIN ZOTERO_ITEM CSL_CITATION {"citationID":"SDi5jInq","properties":{"formattedCitation":"(4\\uc0\\u8211{}9)","plainCitation":"(4–9)","noteIndex":0},"citationItems":[{"id":224,"uris":["http://zotero.org/users/4872814/items/IM8IS2XZ"],"uri":["http://zotero.org/users/4872814/items/IM8IS2XZ"],"itemData":{"id":224,"type":"article-journal","title":"Low maternal vitamin E intake during pregnancy is associated with asthma in 5-year-old children","container-title":"American Journal of Respiratory and Critical Care Medicine","page":"499-507","volume":"174","issue":"5","source":"PubMed","abstract":"RATIONALE: We have previously reported an association between reduced maternal vitamin E intake during pregnancy and wheezing in 2-yr-old children.\nOBJECTIVES: To assess whether maternal nutrient intake during pregnancy is associated with asthma-related outcomes in children aged 5 yr.\nMETHODS: A longitudinal cohort study of 1,861 children born to women recruited during pregnancy and followed up at 5 yr.\nMEASUREMENTS: Maternal nutrient status was assessed by a food frequency questionnaire and plasma levels. Respiratory and food frequency questionnaires were completed at 5 yr and children were invited for measurement of spirometry and skin-prick testing.\nMAIN RESULTS: Symptom and food frequency questionnaire data were available for 1,253 and 1,120 children, respectively; 700 children were skin prick tested, and FEV(1) was measured in 478 and exhaled nitric oxide in 167 children. In 5-yr-old children, maternal vitamin E intake during pregnancy was negatively associated with wheeze in previous year (odds ratio per intake quintile, 0.82; 95% confidence interval, 0.71-0.95), asthma ever (0.84, 0.72-0.98), asthma and wheeze in previous year (0.79, 0.65-0.95), and persistent wheezing (0.77, 0.63-0.93). Maternal plasma alpha-tocopherol during pregnancy was positively associated with post-bronchodilator FEV(1) at 5 yr, with a 7-ml (95% confidence interval, 0-14; p = 0.04) increase in FEV(1) per microg/ml alpha-tocopherol. Maternal zinc intake during pregnancy was negatively associated with asthma ever (0.83, 0.71-0.78) and active asthma (0.72, 0.59-0.89). There were no associations between children's nutrient intake and respiratory outcomes.\nCONCLUSION: Maternal intake of foods containing vitamin E and zinc during pregnancy is associated with differences in the risks of developing childhood wheeze and asthma.","DOI":"10.1164/rccm.200512-1946OC","ISSN":"1073-449X","note":"PMID: 16763215","journalAbbreviation":"Am. J. Respir. Crit. Care Med.","language":"eng","author":[{"family":"Devereux","given":"Graham"},{"family":"Turner","given":"Stephen W."},{"family":"Craig","given":"Leone C. A."},{"family":"McNeill","given":"Geraldine"},{"family":"Martindale","given":"Sheelagh"},{"family":"Harbour","given":"Paul J."},{"family":"Helms","given":"Peter J."},{"family":"Seaton","given":"Anthony"}],"issued":{"date-parts":[["2006",9,1]]}}},{"id":258,"uris":["http://zotero.org/users/4872814/items/8SHKPE88"],"uri":["http://zotero.org/users/4872814/items/8SHKPE88"],"itemData":{"id":258,"type":"article-journal","title":"Major dietary patterns in pregnancy and fetal growth","container-title":"European Journal of Clinical Nutrition","page":"463-470","volume":"62","issue":"4","source":"PubMed","abstract":"OBJECTIVES: To investigate possible associations between maternal diet during pregnancy and fetal growth.\nMETHOD: Factor analysis was used to explore dietary patterns among pregnant women. The association between maternal dietary patterns and fetal growth (in terms of small for gestational age, SGA) was investigated by logistic regression. Prospective cohort study, including information on 44 612 women in Denmark.\nRESULTS: Two major dietary patterns were defined: the first pattern was characterized by red and processed meat, high-fat dairy, and the second pattern was characterized by intake of vegetables, fruits, poultry and fish. Women were classified into three classes according to their diet: the first class had high intake of foods of the first dietary pattern, and was classified as 'the Western diet', the second class preferred foods of the second pattern and was classified as the 'Health Conscious'; and the third one had eaten foods of both patterns, and was classified as the 'Intermediate'. The odds ratio of having a small for gestational-age infant (with a birth weight below the 2.5th percentile for gestational age and gender) was 0.74 (95% CI 0.64-0.86) for women in the Health Conscious class compared with women in the Western Diet class. The analyses were adjusted for parity, maternal smoking, age, height, pre-pregnancy weight and father's height.\nCONCLUSIONS: Our results indicated that a diet in pregnancy, based on red and processed meat and high-fat diary, was associated with increased risk for SGA. Further studies are warranted to identify specific macro-, or micronutrients that may be underlying these associations.","DOI":"10.1038/sj.ejcn.1602745","ISSN":"0954-3007","note":"PMID: 17392696","journalAbbreviation":"Eur J Clin Nutr","language":"eng","author":[{"family":"Knudsen","given":"V. K."},{"family":"Orozova-Bekkevold","given":"I. M."},{"family":"Mikkelsen","given":"T. B."},{"family":"Wolff","given":"S."},{"family":"Olsen","given":"S. F."}],"issued":{"date-parts":[["2008",4]]}}},{"id":285,"uris":["http://zotero.org/users/4872814/items/NEXSWXD3"],"uri":["http://zotero.org/users/4872814/items/NEXSWXD3"],"itemData":{"id":285,"type":"article-journal","title":"Maternal nutrition and birth outcomes","container-title":"Epidemiologic Reviews","page":"5-25","volume":"32","source":"PubMed","abstract":"In this review, the authors summarize current knowledge on maternal nutritional requirements during pregnancy, with a focus on the nutrients that have been most commonly investigated in association with birth outcomes. Data sourcing and extraction included searches of the primary resources establishing maternal nutrient requirements during pregnancy (e.g., Dietary Reference Intakes), and searches of Medline for \"maternal nutrition\"/[specific nutrient of interest] and \"birth/pregnancy outcomes,\" focusing mainly on the less extensively reviewed evidence from observational studies of maternal dietary intake and birth outcomes. The authors used a conceptual framework which took both primary and secondary factors (e.g., baseline maternal nutritional status, socioeconomic status of the study populations, timing and methods of assessing maternal nutritional variables) into account when interpreting study findings. The authors conclude that maternal nutrition is a modifiable risk factor of public health importance that can be integrated into efforts to prevent adverse birth outcomes, particularly among economically developing/low-income populations.","DOI":"10.1093/epirev/mxq001","ISSN":"1478-6729","note":"PMID: 20237078","journalAbbreviation":"Epidemiol Rev","language":"eng","author":[{"family":"Abu-Saad","given":"Kathleen"},{"family":"Fraser","given":"Drora"}],"issued":{"date-parts":[["2010"]]}}},{"id":226,"uris":["http://zotero.org/users/4872814/items/Y4BYZP6J"],"uri":["http://zotero.org/users/4872814/items/Y4BYZP6J"],"itemData":{"id":226,"type":"article-journal","title":"Micronutrient deficiencies in pregnancy worldwide: health effects and prevention","container-title":"Nature reviews. Endocrinology","page":"274-289","volume":"12","issue":"5","source":"PubMed Central","abstract":"Micronutrients, vitamins and minerals accessible from the diet, are essential for biologic activity. Micronutrient status varies widely throughout pregnancy and across populations. Women in low-income countries often enter pregnancy malnourished, and the demands of gestation can exacerbate micronutrient deficiencies with health consequences to the fetus. Examples of efficacious single micronutrient interventions include folic acid to prevent neural tube defects, iodine to prevent cretinism, zinc to reduce of preterm birth, and iron to reduce the risk of low birth weight. Folic acid and vitamin D might also increase birth weight. While extensive mechanism and association research links antenatal multiple micronutrients to plausible materno-fetal health advantages, hypothesized benefits have often been absent, minimal or unexpected in trials. These findings suggest a role for population context in determining health responses and extensive gaps in knowledge. Multiple micronutrient supplements reduce risks of being born low birth weight, small for gestational age or stillborn in undernourished settings, and justify micronutrient interventions with antenatal care. Measurable health effects of gestational micronutrient exposure may persist into childhood but few data exists on potential long-term benefits. In this Review, we discuss micronutrient intake recommendations, risks and consequences of deficiencies, and the effects of interventions with a particular emphasis on offspring.","DOI":"10.1038/nrendo.2016.37","ISSN":"1759-5029","note":"PMID: 27032981\nPMCID: PMC4927329","title-short":"Micronutrient deficiencies in pregnancy worldwide","journalAbbreviation":"Nat Rev Endocrinol","author":[{"family":"Gernand","given":"Alison D."},{"family":"Schulze","given":"Kerry J."},{"family":"Stewart","given":"Christine P."},{"family":"West","given":"Keith P."},{"family":"Christian","given":"Parul"}],"issued":{"date-parts":[["2016",5]]}}},{"id":257,"uris":["http://zotero.org/users/4872814/items/DXU5PVEY"],"uri":["http://zotero.org/users/4872814/items/DXU5PVEY"],"itemData":{"id":257,"type":"article-journal","title":"Maternal diet quality in pregnancy and neonatal adiposity: the Healthy Start Study","container-title":"International Journal of Obesity (2005)","page":"1056-1062","volume":"40","issue":"7","source":"PubMed","abstract":"BACKGROUND/OBJECTIVES: Poor maternal diet in pregnancy can influence fetal growth and development. We tested the hypothesis that poor maternal diet quality during pregnancy would increase neonatal adiposity (percent fat mass (%FM)) at birth by increasing the fat mass (FM) component of neonatal body composition.\nMETHODS: Our analysis was conducted using a prebirth observational cohort of 1079 mother-offspring pairs. Pregnancy diet was assessed via repeated Automated Self-Administered 24-h dietary recalls, from which Healthy Eating Index-2010 (HEI-2010) scores were calculated for each mother. HEI-2010 was dichotomized into scores of </w:instrText>
      </w:r>
      <w:r w:rsidRPr="003160F8">
        <w:rPr>
          <w:rFonts w:ascii="Cambria Math" w:hAnsi="Cambria Math" w:cs="Cambria Math"/>
          <w:lang w:val="en-GB"/>
        </w:rPr>
        <w:instrText>⩽</w:instrText>
      </w:r>
      <w:r w:rsidRPr="003160F8">
        <w:rPr>
          <w:lang w:val="en-GB"/>
        </w:rPr>
        <w:instrText xml:space="preserve">57 and &gt;57, with low scores representing poorer diet quality. Neonatal %FM was assessed within 72 h after birth with air displacement plethysmography. Using univariate and multivariate linear models, we analyzed the relationship between maternal diet quality and neonatal %FM, FM, and fat-free mass (FFM) while adjusting for prepregnancy body mass index (BMI), physical activity, maternal age, smoking, energy intake, preeclampsia, hypertension, infant sex and gestational age.\nRESULTS: Total HEI-2010 score ranged between 18.2 and 89.5 (mean: 54.2, s.d.: 13.6). An HEI-2010 score of </w:instrText>
      </w:r>
      <w:r w:rsidRPr="003160F8">
        <w:rPr>
          <w:rFonts w:ascii="Cambria Math" w:hAnsi="Cambria Math" w:cs="Cambria Math"/>
          <w:lang w:val="en-GB"/>
        </w:rPr>
        <w:instrText>⩽</w:instrText>
      </w:r>
      <w:r w:rsidRPr="003160F8">
        <w:rPr>
          <w:lang w:val="en-GB"/>
        </w:rPr>
        <w:instrText xml:space="preserve">57 was significantly associated with higher neonatal %FM (β=0.58, 95% confidence interval (CI) 0.07-1.1, P&lt;0.05) and FM (β=20.74; 95% CI 1.49-40.0; P&lt;0.05) but no difference in FFM.\nCONCLUSIONS: Poor diet quality during pregnancy increases neonatal adiposity independent of maternal prepregnancy BMI and total caloric intake. This further implicates maternal diet as a potentially important exposure for fetal adiposity.","DOI":"10.1038/ijo.2016.79","ISSN":"1476-5497","note":"PMID: 27133623\nPMCID: PMC5356926","title-short":"Maternal diet quality in pregnancy and neonatal adiposity","journalAbbreviation":"Int J Obes (Lond)","language":"eng","author":[{"family":"Shapiro","given":"A. L. B."},{"family":"Kaar","given":"J. L."},{"family":"Crume","given":"T. L."},{"family":"Starling","given":"A. P."},{"family":"Siega-Riz","given":"A. M."},{"family":"Ringham","given":"B. M."},{"family":"Glueck","given":"D. H."},{"family":"Norris","given":"J. M."},{"family":"Barbour","given":"L. A."},{"family":"Friedman","given":"J. E."},{"family":"Dabelea","given":"D."}],"issued":{"date-parts":[["2016"]]}}},{"id":283,"uris":["http://zotero.org/users/4872814/items/FHVQQ5US"],"uri":["http://zotero.org/users/4872814/items/FHVQQ5US"],"itemData":{"id":283,"type":"article-journal","title":"The importance of maternal diet quality during pregnancy on cognitive and behavioural outcomes in children: a systematic review and meta-analysis","container-title":"BMJ open","page":"e016777","volume":"7","issue":"9","source":"PubMed","abstract":"OBJECTIVES: This systematic review and meta-analysis provides a quantitative summary of the literature exploring the relationship between maternal diet quality during pregnancy and child cognitive and affective outcomes. We investigate whether there are indications for robust associations and aim to identify methodological strengths and challenges of the current research to provide suggestions of improvement for future research.\nDESIGN AND PARTICIPANTS: Relevant studies were identified through a systematic literature search in relevant databases. All studies investigating maternal diet quality during pregnancy in relation to child cognitive or affective functioning in children of elementary school age or younger were assessed for inclusion.\nRESULTS: 18 relevant studies, comprising 63 861 participants were identified. The results indicated a small positive association between better maternal diet quality during pregnancy and child functioning. We observed publication bias and significant heterogeneity between studies, where type of diet classification, publication year and outcome domain together accounted for about 30% of this heterogeneity. Trim and fill analysis substantiated the presence of publication bias for studies in the affective domain and showed an adjusted effect size of Hedge's g=0.088 (p=0.0018) (unadjusted g=0.093 (p=0.03)). We observed no publication bias in the cognitive domain, where results indicated a slightly larger effect size (g=0.14 (p&lt;0.0001)) compared with that of the affective domain. The overall summary effect size was g=0.075 (p&lt;0.0001) adjusted for publication bias (unadjusted g=0.112 (p=0.0001)). Child diet was not systematically controlled for in the majority of the studies.\nCONCLUSION: The results indicated that a better maternal diet quality during pregnancy has a small positive association with child neurodevelopment, with more reliable results seen for cognitive development. These results warrant further research on the association between maternal diet quality during pregnancy and cognitive and affective aspects of child neurodevelopment, whereby it is crucial that future studies account for child diet in the analysis.","DOI":"10.1136/bmjopen-2017-016777","ISSN":"2044-6055","note":"PMID: 28947450\nPMCID: PMC5623570","title-short":"The importance of maternal diet quality during pregnancy on cognitive and behavioural outcomes in children","journalAbbreviation":"BMJ Open","language":"eng","author":[{"family":"Borge","given":"Tiril Cecilie"},{"family":"Aase","given":"Heidi"},{"family":"Brantsæter","given":"Anne Lise"},{"family":"Biele","given":"Guido"}],"issued":{"date-parts":[["2017",9,24]]}}}],"schema":"https://github.com/citation-style-language/schema/raw/master/csl-citation.json"} </w:instrText>
      </w:r>
      <w:r w:rsidRPr="003160F8">
        <w:rPr>
          <w:lang w:val="en-GB"/>
        </w:rPr>
        <w:fldChar w:fldCharType="separate"/>
      </w:r>
      <w:r w:rsidR="00BE1D55" w:rsidRPr="003160F8">
        <w:rPr>
          <w:szCs w:val="24"/>
          <w:lang w:val="en-GB"/>
        </w:rPr>
        <w:t>[</w:t>
      </w:r>
      <w:r w:rsidR="00534555" w:rsidRPr="003160F8">
        <w:rPr>
          <w:szCs w:val="24"/>
          <w:lang w:val="en-GB"/>
        </w:rPr>
        <w:t>4–9</w:t>
      </w:r>
      <w:r w:rsidR="00BE1D55" w:rsidRPr="003160F8">
        <w:rPr>
          <w:szCs w:val="24"/>
          <w:lang w:val="en-GB"/>
        </w:rPr>
        <w:t>]</w:t>
      </w:r>
      <w:r w:rsidRPr="003160F8">
        <w:rPr>
          <w:lang w:val="en-GB"/>
        </w:rPr>
        <w:fldChar w:fldCharType="end"/>
      </w:r>
      <w:r w:rsidRPr="003160F8">
        <w:rPr>
          <w:lang w:val="en-GB"/>
        </w:rPr>
        <w:t>. Despite extensive research on the potential importance of maternal intakes of individual nutrients and food groups, looking at dietary quality holistically based on whole diet can improve applicability for public health messaging, since people do not consume nutrients in isolation.</w:t>
      </w:r>
    </w:p>
    <w:p w14:paraId="14DC466F" w14:textId="2C938CDD" w:rsidR="00411C29" w:rsidRPr="003160F8" w:rsidRDefault="00411C29" w:rsidP="00A33971">
      <w:pPr>
        <w:pStyle w:val="MDPI31text"/>
        <w:rPr>
          <w:lang w:val="en-GB"/>
        </w:rPr>
      </w:pPr>
      <w:r w:rsidRPr="003160F8">
        <w:rPr>
          <w:lang w:val="en-GB"/>
        </w:rPr>
        <w:t xml:space="preserve">Several scales or indices have been proposed to measure diet quality, and among them the Dietary Approaches to Stop Hypertension (DASH) score is commonly used. Indeed, numerous studies have related the adherence to a DASH diet to several health outcomes such as cardiovascular and metabolic disorders </w:t>
      </w:r>
      <w:r w:rsidRPr="003160F8">
        <w:rPr>
          <w:lang w:val="en-GB"/>
        </w:rPr>
        <w:fldChar w:fldCharType="begin"/>
      </w:r>
      <w:r w:rsidRPr="003160F8">
        <w:rPr>
          <w:lang w:val="en-GB"/>
        </w:rPr>
        <w:instrText xml:space="preserve"> ADDIN ZOTERO_ITEM CSL_CITATION {"citationID":"45ttDgPV","properties":{"formattedCitation":"(10\\uc0\\u8211{}12)","plainCitation":"(10–12)","noteIndex":0},"citationItems":[{"id":293,"uris":["http://zotero.org/users/4872814/items/ACQ92NBP"],"uri":["http://zotero.org/users/4872814/items/ACQ92NBP"],"itemData":{"id":293,"type":"article-journal","title":"Adherence to a DASH-style diet and risk of coronary heart disease and stroke in women","container-title":"Archives of Internal Medicine","page":"713-720","volume":"168","issue":"7","source":"PubMed","abstract":"BACKGROUND: The Dietary Approaches to Stop Hypertension (DASH) diet has been shown to lower blood pressure, but little is known about its long-term effect on cardiovascular end points. Our objective was to assess the association between a DASH-style diet adherence score and risk of coronary heart disease (CHD) and stroke in women.\nMETHODS: In this prospective cohort study, diet was assessed 7 times during 24 years of follow-up (1980-2004) with validated food frequency questionnaires. A DASH score based on 8 food and nutrient components (fruits, vegetables, whole grains, nuts and legumes, low-fat dairy, red and processed meats, sweetened beverages, and sodium) was calculated. Lifestyle and medical information was collected biennially with a questionnaire. The Cox proportional hazard model was used to adjust for potential confounders. The study population comprised 88,517 female nurses aged 34 to 59 years without a history of cardiovascular disease or diabetes in 1980. The main outcome measures were the numbers of confirmed incident cases of nonfatal myocardial infarction, CHD death, and stroke.\nRESULTS: We documented 2129 cases of incident nonfatal myocardial infarction, 976 CHD deaths, and 2317 [corrected] cases of stroke. After adjustment for age, smoking, and other cardiovascular risk factors, the relative risks of CHD across quintiles of the DASH score were 1.0, 0.99, 0.86, 0.87, and 0.76 (95% confidence interval, 0.67-0.85) (P&lt;.001 for trend). The magnitude of risk difference was similar for nonfatal myocardial infarction and fatal CHD. The DASH score was also significantly associated with lower risk of stroke (multivariate relative risks across quintiles of the DASH score were 1.0, 0.92, 0.91, 0.89, and 0.82) (P=.002 for trend). Cross-sectional analysis in a subgroup of women with blood samples showed that the DASH score was significantly associated with lower plasma levels of C-reactive protein (P=.008 for trend) and interleukin 6 (P=.04 for trend).\nCONCLUSION: Adherence to the DASH-style diet is associated with a lower risk of CHD and stroke among middle-aged women during 24 years of follow-up.","DOI":"10.1001/archinte.168.7.713","ISSN":"0003-9926","note":"PMID: 18413553","journalAbbreviation":"Arch. Intern. Med.","language":"eng","author":[{"family":"Fung","given":"Teresa T."},{"family":"Chiuve","given":"Stephanie E."},{"family":"McCullough","given":"Marjorie L."},{"family":"Rexrode","given":"Kathryn M."},{"family":"Logroscino","given":"Giancarlo"},{"family":"Hu","given":"Frank B."}],"issued":{"date-parts":[["2008",4,14]]}}},{"id":247,"uris":["http://zotero.org/users/4872814/items/973QPHTI"],"uri":["http://zotero.org/users/4872814/items/973QPHTI"],"itemData":{"id":247,"type":"article-journal","title":"The DASH diet and insulin sensitivity","container-title":"Current Hypertension Reports","page":"67-73","volume":"13","issue":"1","source":"PubMed","abstract":"Lifestyle modifications, including adoption of the Dietary Approaches to Stop Hypertension (DASH) dietary pattern, weight loss in individuals who are overweight or obese, and physical activity, are effective in the prevention and treatment of hypertension. A healthy lifestyle may also have beneficial effects on metabolic abnormalities, such as insulin resistance, that are associated with high blood pressure. This review examines the independent and combined effects of the DASH diet and weight loss plus exercise on blood pressure and insulin sensitivity, with a focus on recently published results from the ENCORE study. Our data suggest that the DASH eating plan alone lowers blood pressure in overweight individuals with higher than optimal blood pressure, but significant improvements in insulin sensitivity are observed only when the DASH diet is implemented as part of a more comprehensive lifestyle modification program that includes exercise and weight loss.","DOI":"10.1007/s11906-010-0168-5","ISSN":"1534-3111","note":"PMID: 21058045\nPMCID: PMC3767170","journalAbbreviation":"Curr. Hypertens. Rep.","language":"eng","author":[{"family":"Hinderliter","given":"Alan L."},{"family":"Babyak","given":"Michael A."},{"family":"Sherwood","given":"Andrew"},{"family":"Blumenthal","given":"James A."}],"issued":{"date-parts":[["2011",2]]}}},{"id":42,"uris":["http://zotero.org/users/4872814/items/IGIT7G4E"],"uri":["http://zotero.org/users/4872814/items/IGIT7G4E"],"itemData":{"id":42,"type":"article-journal","title":"DASH diet score and distribution of blood pressure in middle-aged men and women","container-title":"American Journal of Hypertension","page":"1311-1320","volume":"26","issue":"11","source":"PubMed","abstract":"BACKGROUND: The Dietary Approaches to Stop Hypertension (DASH) Trial provides critical data on the impact of a specific diet pattern (low in salt, fat, and processed foods and high in fruit and vegetables) on blood pressure (BP). The effect of compliance with a DASH-type diet on BP in a general population sample is less well defined. We studied associations between a DASH style diet and BP.\nMETHODS: We used cross-sectional data from a study of men and women aged 47-73 years (n = 2,047). Participants completed a physical examination that included 3 standardized clinical BP recordings. A subsample (n = 1,187) had ambulatory BP measurements (ABPM) taken. Diet was assessed using a DASH dietary score constructed from a standard Food Frequency Questionnaire. Lower scores indicated less healthy diets. Hypertension was defined as clinic BP ≥ 140/90 mm Hg on medication or as 24-hour ABPM ≥ 130/80 mmHg.\nRESULTS: Inverse associations were evident between DASH and systolic BP (SBP). There was a difference in clinic SBP of 7.5 mm Hg and 5.1 mm Hg and a difference in ABPM SBP of 6.3mm Hg and 5.4mm Hg in men and women, respectively, between the highest and lowest DASH quintiles. In fully adjusted multivariable regression analysis, DASH score was inversely associated with SBP. Clear population differences in SBP were evident across DASH quintiles.\nCONCLUSIONS: The observed associations indicate that the findings are consistent with the hypothesis that adherence to DASH-equivalent diet can reduce BP at the population level. Public policy promoting a DASH-style healthy diet could have a significant impact on population health by reducing average BP in the population.","DOI":"10.1093/ajh/hpt106","ISSN":"1941-7225","note":"PMID: 23920282","journalAbbreviation":"Am. J. Hypertens.","language":"eng","author":[{"family":"Harrington","given":"Janas M."},{"family":"Fitzgerald","given":"Anthony P."},{"family":"Kearney","given":"Patricia M."},{"family":"McCarthy","given":"Vera J. C."},{"family":"Madden","given":"Jamie"},{"family":"Browne","given":"Gemma"},{"family":"Dolan","given":"Eamon"},{"family":"Perry","given":"Ivan J."}],"issued":{"date-parts":[["2013",11]]}}}],"schema":"https://github.com/citation-style-language/schema/raw/master/csl-citation.json"} </w:instrText>
      </w:r>
      <w:r w:rsidRPr="003160F8">
        <w:rPr>
          <w:lang w:val="en-GB"/>
        </w:rPr>
        <w:fldChar w:fldCharType="separate"/>
      </w:r>
      <w:r w:rsidR="00BE1D55" w:rsidRPr="003160F8">
        <w:rPr>
          <w:szCs w:val="24"/>
          <w:lang w:val="en-GB"/>
        </w:rPr>
        <w:t>[</w:t>
      </w:r>
      <w:r w:rsidR="00534555" w:rsidRPr="003160F8">
        <w:rPr>
          <w:szCs w:val="24"/>
          <w:lang w:val="en-GB"/>
        </w:rPr>
        <w:t>10–12</w:t>
      </w:r>
      <w:r w:rsidR="00BE1D55" w:rsidRPr="003160F8">
        <w:rPr>
          <w:szCs w:val="24"/>
          <w:lang w:val="en-GB"/>
        </w:rPr>
        <w:t>]</w:t>
      </w:r>
      <w:r w:rsidRPr="003160F8">
        <w:rPr>
          <w:lang w:val="en-GB"/>
        </w:rPr>
        <w:fldChar w:fldCharType="end"/>
      </w:r>
      <w:r w:rsidRPr="003160F8">
        <w:rPr>
          <w:lang w:val="en-GB"/>
        </w:rPr>
        <w:t xml:space="preserve">, cancers </w:t>
      </w:r>
      <w:r w:rsidRPr="003160F8">
        <w:rPr>
          <w:lang w:val="en-GB"/>
        </w:rPr>
        <w:fldChar w:fldCharType="begin"/>
      </w:r>
      <w:r w:rsidRPr="003160F8">
        <w:rPr>
          <w:lang w:val="en-GB"/>
        </w:rPr>
        <w:instrText xml:space="preserve"> ADDIN ZOTERO_ITEM CSL_CITATION {"citationID":"yDDyjTJh","properties":{"formattedCitation":"(13)","plainCitation":"(13)","noteIndex":0},"citationItems":[{"id":41,"uris":["http://zotero.org/users/4872814/items/XHSN22HI"],"uri":["http://zotero.org/users/4872814/items/XHSN22HI"],"itemData":{"id":41,"type":"article-journal","title":"A DASH dietary pattern and the risk of colorectal cancer in Canadian adults","container-title":"Health Promotion and Chronic Disease Prevention in Canada: Research, Policy and Practice","page":"12-20","volume":"35","issue":"1","source":"PubMed","abstract":"INTRODUCTION: Colorectal cancer (CRC) is a high incidence cancer affecting many Canadian adults each year. Diet is important in the etiology of CRC with many dietary components identified as potential risk factors. The Dietary Approaches to Stop Hypertension (DASH) diet is a well-established pattern to characterize overall eating. The purpose of this study was to characterize a DASH pattern within the Canadian context and to assess its relationship to the risk of CRC in Canadian adults.\nMETHODS: Unconditional multiple logistic regression with control for confounding variables was performed using data from the National Enhanced Cancer Surveillance Study. Dietary intake was captured for this case-control study through a food frequency questionnaire (FFQ) and categorized into a DASH score ranging from 0 to 10 representing a poor to a strong DASH pattern respectively.\nRESULTS: Consuming a strong DASH pattern of eating (score ≥ 8) was not common in the 3161 cases and 3097 controls. Overall, only 10.8% of men and 13.6% of women had a strong DASH pattern. Multivariate analysis demonstrated a trend for decreasing risk of CRC in men with increasing DASH scores (p value for trend = .007). Men with a strong DASH score had a 33% reduction in risk of CRC compared to those with a low DASH score. There were no significant trends for women for CRC or for colon or rectal cancers separately.\nCONCLUSION: Our findings are similar to other researchers suggesting a benefit with a strong DASH pattern associated with a decreased risk of CRC, especially in men. Research should further investigate our gender-based differences.","ISSN":"2368-738X","note":"PMID: 25811401\nPMCID: PMC4939457","journalAbbreviation":"Health Promot Chronic Dis Prev Can","language":"eng, fre","author":[{"family":"Jones-McLean","given":"E."},{"family":"Hu","given":"J."},{"family":"Greene-Finestone","given":"L. S."},{"family":"Groh","given":"M.","non-dropping-particle":"de"}],"issued":{"date-parts":[["2015",3]]}}}],"schema":"https://github.com/citation-style-language/schema/raw/master/csl-citation.json"} </w:instrText>
      </w:r>
      <w:r w:rsidRPr="003160F8">
        <w:rPr>
          <w:lang w:val="en-GB"/>
        </w:rPr>
        <w:fldChar w:fldCharType="separate"/>
      </w:r>
      <w:r w:rsidR="00BE1D55" w:rsidRPr="003160F8">
        <w:rPr>
          <w:lang w:val="en-GB"/>
        </w:rPr>
        <w:t>[</w:t>
      </w:r>
      <w:r w:rsidR="00534555" w:rsidRPr="003160F8">
        <w:rPr>
          <w:lang w:val="en-GB"/>
        </w:rPr>
        <w:t>13</w:t>
      </w:r>
      <w:r w:rsidR="00BE1D55" w:rsidRPr="003160F8">
        <w:rPr>
          <w:lang w:val="en-GB"/>
        </w:rPr>
        <w:t>]</w:t>
      </w:r>
      <w:r w:rsidRPr="003160F8">
        <w:rPr>
          <w:lang w:val="en-GB"/>
        </w:rPr>
        <w:fldChar w:fldCharType="end"/>
      </w:r>
      <w:r w:rsidRPr="003160F8">
        <w:rPr>
          <w:lang w:val="en-GB"/>
        </w:rPr>
        <w:t xml:space="preserve"> or weight management </w:t>
      </w:r>
      <w:r w:rsidRPr="003160F8">
        <w:rPr>
          <w:lang w:val="en-GB"/>
        </w:rPr>
        <w:fldChar w:fldCharType="begin"/>
      </w:r>
      <w:r w:rsidRPr="003160F8">
        <w:rPr>
          <w:lang w:val="en-GB"/>
        </w:rPr>
        <w:instrText xml:space="preserve"> ADDIN ZOTERO_ITEM CSL_CITATION {"citationID":"ySu1O4al","properties":{"formattedCitation":"(14)","plainCitation":"(14)","noteIndex":0},"citationItems":[{"id":40,"uris":["http://zotero.org/users/4872814/items/IIIE7NR2"],"uri":["http://zotero.org/users/4872814/items/IIIE7NR2"],"itemData":{"id":40,"type":"article-journal","title":"Use of a DASH Food Group Score to Predict Excess Weight Gain in Adolescent Girls in the National Growth and Health Study","container-title":"Archives of Pediatrics &amp; Adolescent Medicine","page":"540-546","volume":"165","issue":"6","source":"jamanetwork.com","abstract":"&lt;h3&gt;Objective&lt;/h3&gt;&lt;p&gt;To study the effects of selected dietary patterns, particularly a DASH (Dietary Approach to Stop Hypertension) eating pattern, on body mass index (BMI) throughout adolescence.&lt;/p&gt;&lt;h3&gt;Design&lt;/h3&gt;&lt;p&gt;Prospective National Growth and Health Study.&lt;/p&gt;&lt;h3&gt;Setting&lt;/h3&gt;&lt;p&gt;Washington, DC; Cincinnati, Ohio; and Berkeley, California.&lt;/p&gt;&lt;h3&gt;Participants&lt;/h3&gt;&lt;p&gt;A total of 2327 girls with 10 annual visits starting at age 9 years.&lt;/p&gt;&lt;h3&gt;Main Exposures&lt;/h3&gt;&lt;p&gt;Individual DASH-related food groups and a modified DASH adherence score.&lt;/p&gt;&lt;h3&gt;Main Outcome Measure&lt;/h3&gt;&lt;p&gt;The BMI value from measured yearly height and weight over 10 years.&lt;/p&gt;&lt;h3&gt;Results&lt;/h3&gt;&lt;p&gt;Longitudinal mixed modeling methods were used to assess the effects of individual DASH food groups and a DASH adherence score on BMI during 10 years of follow-up, adjusting for race, height, socioeconomic status, television viewing and video game playing hours, physical activity level, and total energy intake. Girls in the highest vs lowest quintile of the DASH score had an adjusted mean BMI of 24.4 vs 26.3 (calculated as weight in kilograms divided by height in meters squared) (&lt;i&gt;P&lt;/i&gt; &amp;lt; .05). The strongest individual food group predictors of BMI were total fruit (mean BMI, 26.0 vs 23.6 for &amp;lt;1 vs ≥2 servings per day;&lt;i&gt;P&lt;/i&gt; &amp;lt; .001) and low-fat dairy (mean BMI, 25.7 vs 23.2 for &amp;lt;1 vs ≥2 servings per day;&lt;i&gt;P&lt;/i&gt; &amp;lt; .001). Whole grain consumption was more weakly but beneficially associated with BMI.&lt;/p&gt;&lt;h3&gt;Conclusions&lt;/h3&gt;&lt;p&gt;Adolescent girls whose diet more closely resembled the DASH eating pattern had smaller gains in BMI over 10 years. Such an eating pattern may help prevent excess weight gain during adolescence.&lt;/p&gt;","DOI":"10.1001/archpediatrics.2011.71","ISSN":"1072-4710","journalAbbreviation":"Arch Pediatr Adolesc Med","language":"en","author":[{"family":"Berz","given":"Jonathan P. B."},{"family":"Singer","given":"Martha R."},{"family":"Guo","given":"Xinxin"},{"family":"Daniels","given":"Stephen R."},{"family":"Moore","given":"Lynn L."}],"issued":{"date-parts":[["2011",6,6]]}}}],"schema":"https://github.com/citation-style-language/schema/raw/master/csl-citation.json"} </w:instrText>
      </w:r>
      <w:r w:rsidRPr="003160F8">
        <w:rPr>
          <w:lang w:val="en-GB"/>
        </w:rPr>
        <w:fldChar w:fldCharType="separate"/>
      </w:r>
      <w:r w:rsidR="00BE1D55" w:rsidRPr="003160F8">
        <w:rPr>
          <w:lang w:val="en-GB"/>
        </w:rPr>
        <w:t>[</w:t>
      </w:r>
      <w:r w:rsidR="00534555" w:rsidRPr="003160F8">
        <w:rPr>
          <w:lang w:val="en-GB"/>
        </w:rPr>
        <w:t>14</w:t>
      </w:r>
      <w:r w:rsidR="00BE1D55" w:rsidRPr="003160F8">
        <w:rPr>
          <w:lang w:val="en-GB"/>
        </w:rPr>
        <w:t>]</w:t>
      </w:r>
      <w:r w:rsidRPr="003160F8">
        <w:rPr>
          <w:lang w:val="en-GB"/>
        </w:rPr>
        <w:fldChar w:fldCharType="end"/>
      </w:r>
      <w:r w:rsidRPr="003160F8">
        <w:rPr>
          <w:lang w:val="en-GB"/>
        </w:rPr>
        <w:t>. For instance, a meta-analysis on cardiovascular risk factors concluded that the DASH diet was</w:t>
      </w:r>
      <w:r w:rsidRPr="003160F8">
        <w:rPr>
          <w:i/>
          <w:lang w:val="en-GB"/>
        </w:rPr>
        <w:t xml:space="preserve"> “an effective nutritional strategy to prevent cardiovascular diseases” </w:t>
      </w:r>
      <w:r w:rsidRPr="003160F8">
        <w:rPr>
          <w:lang w:val="en-GB"/>
        </w:rPr>
        <w:fldChar w:fldCharType="begin"/>
      </w:r>
      <w:r w:rsidRPr="003160F8">
        <w:rPr>
          <w:lang w:val="en-GB"/>
        </w:rPr>
        <w:instrText xml:space="preserve"> ADDIN ZOTERO_ITEM CSL_CITATION {"citationID":"ewTsSCWS","properties":{"formattedCitation":"(15)","plainCitation":"(15)","noteIndex":0},"citationItems":[{"id":43,"uris":["http://zotero.org/users/4872814/items/WMQVJPNF"],"uri":["http://zotero.org/users/4872814/items/WMQVJPNF"],"itemData":{"id":43,"type":"article-journal","title":"Effects of the Dietary Approach to Stop Hypertension (DASH) diet on cardiovascular risk factors: a systematic review and meta-analysis","container-title":"The British Journal of Nutrition","page":"1-15","volume":"113","issue":"1","source":"PubMed","abstract":"The Dietary Approach to Stop Hypertension (DASH) is recommended to lower blood pressure (BP), but its effects on cardiometabolic biomarkers are unclear. A systematic review and meta-analysis of randomised controlled trials (RCT) was conducted to determine the effects of the DASH diet on cardiovascular risk factors. Medline, Embase and Scopus databases were searched from inception to December 2013. Inclusion criteria were as follows: (1) DASH diet; (2) RCT; (3) risk factors including systolic and diastolic BP and glucose, HDL, LDL, TAG and total cholesterol concentrations; (4) control group. Random-effects models were used to determine the pooled effect sizes. Meta-regression analyses were carried out to examine the association between effect sizes, baseline values of the risk factors, BMI, age, quality of trials, salt intake and study duration. A total of twenty articles reporting data for 1917 participants were included in the meta-analysis. The duration of interventions ranged from 2 to 24 weeks. The DASH diet was found to result in significant decreases in systolic BP ( - 5·2 mmHg, 95% CI - 7·0, - 3·4; P&lt; 0·001) and diastolic BP ( - 2·6 mmHg, 95% CI - 3·5, - 1·7; P&lt; 0·001) and in the concentrations of total cholesterol ( - 0·20 mmol/l, 95% CI - 0·31, - 0·10; P&lt; 0·001) and LDL ( - 0·10 mmol/l, 95% CI - 0·20, - 0·01; P= 0·03). Changes in both systolic and diastolic BP were greater in participants with higher baseline BP or BMI. These changes predicted a reduction of approximately 13% in the 10-year Framingham risk score for CVD. The DASH diet improved cardiovascular risk factors and appeared to have greater beneficial effects in subjects with an increased cardiometabolic risk. The DASH diet is an effective nutritional strategy to prevent CVD.","DOI":"10.1017/S0007114514003341","ISSN":"1475-2662","note":"PMID: 25430608","title-short":"Effects of the Dietary Approach to Stop Hypertension (DASH) diet on cardiovascular risk factors","journalAbbreviation":"Br. J. Nutr.","language":"eng","author":[{"family":"Siervo","given":"Mario"},{"family":"Lara","given":"Jose"},{"family":"Chowdhury","given":"Shakir"},{"family":"Ashor","given":"Ammar"},{"family":"Oggioni","given":"Clio"},{"family":"Mathers","given":"John C."}],"issued":{"date-parts":[["2015",1,14]]}}}],"schema":"https://github.com/citation-style-language/schema/raw/master/csl-citation.json"} </w:instrText>
      </w:r>
      <w:r w:rsidRPr="003160F8">
        <w:rPr>
          <w:lang w:val="en-GB"/>
        </w:rPr>
        <w:fldChar w:fldCharType="separate"/>
      </w:r>
      <w:r w:rsidR="00BE1D55" w:rsidRPr="003160F8">
        <w:rPr>
          <w:lang w:val="en-GB"/>
        </w:rPr>
        <w:t>[</w:t>
      </w:r>
      <w:r w:rsidR="00534555" w:rsidRPr="003160F8">
        <w:rPr>
          <w:lang w:val="en-GB"/>
        </w:rPr>
        <w:t>15</w:t>
      </w:r>
      <w:r w:rsidR="00BE1D55" w:rsidRPr="003160F8">
        <w:rPr>
          <w:lang w:val="en-GB"/>
        </w:rPr>
        <w:t>]</w:t>
      </w:r>
      <w:r w:rsidRPr="003160F8">
        <w:rPr>
          <w:lang w:val="en-GB"/>
        </w:rPr>
        <w:fldChar w:fldCharType="end"/>
      </w:r>
      <w:r w:rsidRPr="003160F8">
        <w:rPr>
          <w:lang w:val="en-GB"/>
        </w:rPr>
        <w:t xml:space="preserve">. Specifically, among pregnant women with complications such as gestational or chronic hypertension and gestational diabetes mellitus, favouring a DASH diet can be a potential strategy for improving pregnancy outcomes </w:t>
      </w:r>
      <w:r w:rsidRPr="003160F8">
        <w:rPr>
          <w:lang w:val="en-GB"/>
        </w:rPr>
        <w:fldChar w:fldCharType="begin"/>
      </w:r>
      <w:r w:rsidRPr="003160F8">
        <w:rPr>
          <w:lang w:val="en-GB"/>
        </w:rPr>
        <w:instrText xml:space="preserve"> ADDIN ZOTERO_ITEM CSL_CITATION {"citationID":"6sXec1ZY","properties":{"formattedCitation":"(16,17)","plainCitation":"(16,17)","noteIndex":0},"citationItems":[{"id":246,"uris":["http://zotero.org/users/4872814/items/MDCWR8UV"],"uri":["http://zotero.org/users/4872814/items/MDCWR8UV"],"itemData":{"id":246,"type":"article-journal","title":"A randomized controlled clinical trial investigating the effect of DASH diet on insulin resistance, inflammation, and oxidative stress in gestational diabetes","container-title":"Nutrition (Burbank, Los Angeles County, Calif.)","page":"619-624","volume":"29","issue":"4","source":"PubMed","abstract":"OBJECTIVE: To our knowledge, no reports are available indicating the effects of the dietary approaches to stop hypertension (DASH) eating plan on insulin resistance, inflammation, and oxidative stress among pregnant women with gestational diabetes mellitus (GDM). This study was designed to investigate the effects of the DASH diet on insulin resistance, serum high-sensitivity C-reactive protein (hs-CRP) and biomarkers of oxidative stress among pregnant women with GDM.\nMETHODS: This randomized controlled clinical trial was performed with 32 pregnant women diagnosed with GDM at 24 to 28 wk gestation. Participants were randomly assigned to consume either the control (n = 16) or DASH diet (n = 16) for 4 wk. The DASH diet was rich in fruits, vegetables, whole grains, and low-fat dairy products and was low in saturated fats, total fats, cholesterol, refined grains, and sweets, with a total of 2400 mg/d of sodium. The control diet contained 40% to 55% of its energy as carbohydrates, 10% to 20% as proteins, and 25% to 30% as total fats. Fasting blood samples were taken at baseline and after 4 wk of intervention to measure fasting plasma glucose (FPG), serum insulin, and hs-CRP, homeostasis model of assessment-insulin resistance (HOMA-IR), plasma total antioxidant capacity (TAC), and total glutathione levels (GSH).\nRESULTS: Consumption of the DASH diet compared with the control diet resulted in decreased FPG (-7.62 versus 3.68 mg/dL; P = 0.02), serum insulin levels (-2.62 versus 4.32 μIU/mL, P = 0.03), and HOMA-IR score (-0.8 versus 1.1; P = 0.03). Increased concentrations of plasma TAC (45.2 versus -159.2 mmol/L; P &lt; 0.0001) and GSH (108.1 versus -150.9 μmol/L; P &lt; 0.0001) also were seen in the DASH group compared with control group. We failed to find a significant difference in mean changes of serum hs-CRP levels between the two diets. Within-group comparisons revealed significant reductions in plasma TAC and GSH levels in the control diet, while a significant increase in these biomarkers in the DASH diet.\nCONCLUSION: Consumption of the DASH diet in pregnant women with GDM had beneficial effects on FPG, serum insulin levels, HOMA-IR score, plasma TAC, and total GSH levels. The effects of this dietary pattern on pregnancy outcomes need to be investigated in future studies.","DOI":"10.1016/j.nut.2012.11.020","ISSN":"1873-1244","note":"PMID: 23466048","journalAbbreviation":"Nutrition","language":"eng","author":[{"family":"Asemi","given":"Zatollah"},{"family":"Samimi","given":"Mansooreh"},{"family":"Tabassi","given":"Zohreh"},{"family":"Sabihi","given":"Sima-sadat"},{"family":"Esmaillzadeh","given":"Ahmad"}],"issued":{"date-parts":[["2013",4]]}}},{"id":235,"uris":["http://zotero.org/users/4872814/items/U47C7YN5"],"uri":["http://zotero.org/users/4872814/items/U47C7YN5"],"itemData":{"id":235,"type":"article-journal","title":"The efficacy of the Dietary Approaches to Stop Hypertension diet with respect to improving pregnancy outcomes in women with hypertensive disorders","container-title":"Journal of Human Nutrition and Dietetics: The Official Journal of the British Dietetic Association","source":"PubMed","abstract":"BACKGROUND: The DASH (Dietary Approaches to Stop Hypertension) diet serves as a dietary pattern for the prevention and control of hypertension. The present study aimed to investigate whether the DASH diet can improve the outcomes of pregnancy with gestational hypertension (GH) and chronic hypertension.\nMETHODS: The current randomised controlled clinical trial was performed in 85 pregnant women diagnosed with GH and chronic hypertension between July 2015 and December 2017. The women were categorised into a control group (41 cases) and a DASH group (44 cases). Participants were followed until delivery. The clinical outcomes of mothers included gestational weeks of birth, delivery mode, postpartum haemorrhage and GH, as well as the incidence of pre-eclampsia during the second and third trimesters. Newborn measurements were collected by evaluating prematurity, birth weight, body length and neonatal Apgar score.\nRESULTS: The incidence of pre-eclampsia, prematurity and low birth weight in the DASH group was lower than that in the control group (P &lt; 0.05). Significant differences were also observed in gestational age at delivery and the newborn body length between the two groups (P &lt; 0.05). We failed to find a significant difference in changes of delivery mode, postpartum haemorrhage, postpartum GH, mean birth weight and Apgar score (P &gt; 0.05) between the two diets.\nCONCLUSIONS: A DASH diet might comprise a potential strategy for improving the clinical outcomes in pregnant women with GH and chronic hypertension. Future robust clinical trials are warranted to corroborate these findings.","DOI":"10.1111/jhn.12654","ISSN":"1365-277X","note":"PMID: 30941817","journalAbbreviation":"J Hum Nutr Diet","language":"eng","author":[{"family":"Jiang","given":"F."},{"family":"Li","given":"Y."},{"family":"Xu","given":"P."},{"family":"Li","given":"J."},{"family":"Chen","given":"X."},{"family":"Yu","given":"H."},{"family":"Gao","given":"B."},{"family":"Xu","given":"B."},{"family":"Li","given":"X."},{"family":"Chen","given":"W."}],"issued":{"date-parts":[["2019",4,3]]}}}],"schema":"https://github.com/citation-style-language/schema/raw/master/csl-citation.json"} </w:instrText>
      </w:r>
      <w:r w:rsidRPr="003160F8">
        <w:rPr>
          <w:lang w:val="en-GB"/>
        </w:rPr>
        <w:fldChar w:fldCharType="separate"/>
      </w:r>
      <w:r w:rsidR="00BE1D55" w:rsidRPr="003160F8">
        <w:rPr>
          <w:lang w:val="en-GB"/>
        </w:rPr>
        <w:t>[</w:t>
      </w:r>
      <w:r w:rsidR="00534555" w:rsidRPr="003160F8">
        <w:rPr>
          <w:lang w:val="en-GB"/>
        </w:rPr>
        <w:t>16,17</w:t>
      </w:r>
      <w:r w:rsidR="00BE1D55" w:rsidRPr="003160F8">
        <w:rPr>
          <w:lang w:val="en-GB"/>
        </w:rPr>
        <w:t>]</w:t>
      </w:r>
      <w:r w:rsidRPr="003160F8">
        <w:rPr>
          <w:lang w:val="en-GB"/>
        </w:rPr>
        <w:fldChar w:fldCharType="end"/>
      </w:r>
      <w:r w:rsidRPr="003160F8">
        <w:rPr>
          <w:lang w:val="en-GB"/>
        </w:rPr>
        <w:t>. However, among women without pregnancy complications</w:t>
      </w:r>
      <w:r w:rsidR="003160F8">
        <w:rPr>
          <w:lang w:val="en-GB"/>
        </w:rPr>
        <w:t>,</w:t>
      </w:r>
      <w:r w:rsidRPr="003160F8">
        <w:rPr>
          <w:lang w:val="en-GB"/>
        </w:rPr>
        <w:t xml:space="preserve"> the protective effects of the DASH diet against risk of adverse pregnancy and birth outcomes are inconsistent, warranting further research in general pregnant populations </w:t>
      </w:r>
      <w:r w:rsidRPr="003160F8">
        <w:rPr>
          <w:lang w:val="en-GB"/>
        </w:rPr>
        <w:fldChar w:fldCharType="begin"/>
      </w:r>
      <w:r w:rsidRPr="003160F8">
        <w:rPr>
          <w:lang w:val="en-GB"/>
        </w:rPr>
        <w:instrText xml:space="preserve"> ADDIN ZOTERO_ITEM CSL_CITATION {"citationID":"9qK3XmL1","properties":{"formattedCitation":"(18)","plainCitation":"(18)","noteIndex":0},"citationItems":[{"id":36,"uris":["http://zotero.org/users/4872814/items/HM9UG54P"],"uri":["http://zotero.org/users/4872814/items/HM9UG54P"],"itemData":{"id":36,"type":"article-journal","title":"Associations of the dietary approaches to stop hypertension (DASH) diet with pregnancy complications in Project Viva","container-title":"European Journal of Clinical Nutrition","source":"PubMed","abstract":"BACKGROUND/OBJECTIVES: The Dietary Approaches to Stop Hypertension (DASH) diet has been shown to improve cardiometabolic outcomes in non-pregnant populations. Little is known regarding the impact of this diet on health during pregnancy. The objective of this research is to examine associations of adherence to the DASH diet with hypertensive disorders of pregnancy (HDP) and other pregnancy outcomes.\nSUBJECTS/METHODS: We conducted analyses with data that came from 1760 women in Project Viva, a Boston-area longitudinal cohort recruited in early pregnancy 1999-2002. We derived a DASH score using data from a food frequency questionnaire (FFQ) administered at median 11.1 weeks gestation. Next, we used multivariable linear regression models that accounted for the woman's age at enrollment, pre-pregnancy body mass index (BMI), education, smoking habits, race/ethnicity, gestational weight gain (GWG) up until the time of the FFQ, and total energy intake to examine associations of the DASH score with HDP, gestational diabetes, preterm delivery (&lt;37 weeks), birth size, and GWG from FFQ to delivery. Models for HDP and GDM were additionally mutually adjusted for each other. Because pre-pregnancy weight status may modify these relationships, we tested for interactions between pre-pregnancy BMI and the DASH score.\nRESULTS: Mean ± SD age of the women was 32.2 ± 4.9 years; 71.9% were white. Overall, the DASH diet score (mean: 24.0, SD: 5.0) was not associated with any of the pregnancy outcomes or complications. However, we found a positive association between the DASH diet and subsequent GWG among women who were obese before pregnancy (0.19 [95% CI: 0.05, 0.34], P ≤ 0.05 kg higher GWG per 1 unit DASH score).\nCONCLUSIONS: Adherence to DASH diet during early pregnancy does not appear to be protective against HDP or other adverse pregnancy outcomes.","DOI":"10.1038/s41430-017-0068-8","ISSN":"1476-5640","note":"PMID: 29339829\nPMCID: PMC6050156","journalAbbreviation":"Eur J Clin Nutr","language":"eng","author":[{"family":"Fulay","given":"Aarohee P."},{"family":"Rifas-Shiman","given":"Sheryl L."},{"family":"Oken","given":"Emily"},{"family":"Perng","given":"Wei"}],"issued":{"date-parts":[["2018",1,17]]}}}],"schema":"https://github.com/citation-style-language/schema/raw/master/csl-citation.json"} </w:instrText>
      </w:r>
      <w:r w:rsidRPr="003160F8">
        <w:rPr>
          <w:lang w:val="en-GB"/>
        </w:rPr>
        <w:fldChar w:fldCharType="separate"/>
      </w:r>
      <w:r w:rsidR="008C6934" w:rsidRPr="003160F8">
        <w:rPr>
          <w:lang w:val="en-GB"/>
        </w:rPr>
        <w:t>[</w:t>
      </w:r>
      <w:r w:rsidR="00534555" w:rsidRPr="003160F8">
        <w:rPr>
          <w:lang w:val="en-GB"/>
        </w:rPr>
        <w:t>18</w:t>
      </w:r>
      <w:r w:rsidR="008C6934" w:rsidRPr="003160F8">
        <w:rPr>
          <w:lang w:val="en-GB"/>
        </w:rPr>
        <w:t>]</w:t>
      </w:r>
      <w:r w:rsidRPr="003160F8">
        <w:rPr>
          <w:lang w:val="en-GB"/>
        </w:rPr>
        <w:fldChar w:fldCharType="end"/>
      </w:r>
      <w:r w:rsidRPr="003160F8">
        <w:rPr>
          <w:lang w:val="en-GB"/>
        </w:rPr>
        <w:t xml:space="preserve">. </w:t>
      </w:r>
    </w:p>
    <w:p w14:paraId="6186C7FF" w14:textId="3233CD7F" w:rsidR="00411C29" w:rsidRPr="003160F8" w:rsidRDefault="00411C29" w:rsidP="00A33971">
      <w:pPr>
        <w:pStyle w:val="MDPI31text"/>
        <w:rPr>
          <w:lang w:val="en-GB"/>
        </w:rPr>
      </w:pPr>
      <w:r w:rsidRPr="003160F8">
        <w:rPr>
          <w:lang w:val="en-GB"/>
        </w:rPr>
        <w:t xml:space="preserve">Gathering data from seven mother-child cohorts from five European countries, the ALPHABET consortium aims to expand the knowledge base regarding the interplay between maternal diet quality (defined by the DASH score), dietary inflammation (defined by the dietary inflammatory index </w:t>
      </w:r>
      <w:r w:rsidRPr="003160F8">
        <w:rPr>
          <w:lang w:val="en-GB"/>
        </w:rPr>
        <w:fldChar w:fldCharType="begin"/>
      </w:r>
      <w:r w:rsidRPr="003160F8">
        <w:rPr>
          <w:lang w:val="en-GB"/>
        </w:rPr>
        <w:instrText xml:space="preserve"> ADDIN ZOTERO_ITEM CSL_CITATION {"citationID":"tmCKGS8u","properties":{"formattedCitation":"(19)","plainCitation":"(19)","noteIndex":0},"citationItems":[{"id":679,"uris":["http://zotero.org/users/4872814/items/NI8YEVF7"],"uri":["http://zotero.org/users/4872814/items/NI8YEVF7"],"itemData":{"id":679,"type":"article-journal","title":"Dietary Inflammatory Index and Non-Communicable Disease Risk: A Narrative Review.","container-title":"Nutrients","volume":"11","issue":"8","source":"PubMed","URL":"https://www.ncbi.nlm.nih.gov/pubmed/31408965","DOI":"10.3390/nu11081873","author":[{"family":"Phillips","given":"C.M."},{"family":"Chen","given":"L.W."},{"family":"Heude","given":"B."},{"family":"Bernard","given":"J.Y."},{"family":"Harvey","given":"N.C."},{"family":"Duijts","given":"L."},{"family":"Mensink-Bout","given":"S.M."},{"family":"Polanska","given":"K."},{"family":"Mancano","given":"G."},{"family":"Suderman","given":"M."},{"family":"Shivappa","given":"N."},{"family":"Hébert","given":"J.R."}],"issued":{"date-parts":[["2019",8]]},"accessed":{"date-parts":[["2019",9,19]]}}}],"schema":"https://github.com/citation-style-language/schema/raw/master/csl-citation.json"} </w:instrText>
      </w:r>
      <w:r w:rsidRPr="003160F8">
        <w:rPr>
          <w:lang w:val="en-GB"/>
        </w:rPr>
        <w:fldChar w:fldCharType="separate"/>
      </w:r>
      <w:r w:rsidR="008C6934" w:rsidRPr="003160F8">
        <w:rPr>
          <w:lang w:val="en-GB"/>
        </w:rPr>
        <w:t>[</w:t>
      </w:r>
      <w:r w:rsidR="00534555" w:rsidRPr="003160F8">
        <w:rPr>
          <w:lang w:val="en-GB"/>
        </w:rPr>
        <w:t>19</w:t>
      </w:r>
      <w:r w:rsidR="008C6934" w:rsidRPr="003160F8">
        <w:rPr>
          <w:lang w:val="en-GB"/>
        </w:rPr>
        <w:t>]</w:t>
      </w:r>
      <w:r w:rsidRPr="003160F8">
        <w:rPr>
          <w:lang w:val="en-GB"/>
        </w:rPr>
        <w:fldChar w:fldCharType="end"/>
      </w:r>
      <w:r w:rsidRPr="003160F8">
        <w:rPr>
          <w:lang w:val="en-GB"/>
        </w:rPr>
        <w:t>), epigenetics (DNA methylation)</w:t>
      </w:r>
      <w:r w:rsidR="003160F8">
        <w:rPr>
          <w:lang w:val="en-GB"/>
        </w:rPr>
        <w:t>,</w:t>
      </w:r>
      <w:r w:rsidRPr="003160F8">
        <w:rPr>
          <w:lang w:val="en-GB"/>
        </w:rPr>
        <w:t xml:space="preserve"> and offspring health (adiposity, bone, cardiometabolic, respiratory and neurodevelopmental health) and identify biomarkers that may inform future public health strategies. To examine these research questions, the DASH score, used to assess maternal dietary quality, needs to be derived in a harmonised way for the seven ALPHABET cohorts to reduce heterogeneity. The harmonisation is important because even though it is common to assess dietary intake through food frequency questionnaires (FFQ) in epidemiological studies, these questionnaires can differ in structure and length from one cohort to the other. Some studies have successfully achieved post hoc standardisation of dietary data from diverse sources and cohorts </w:t>
      </w:r>
      <w:r w:rsidRPr="003160F8">
        <w:rPr>
          <w:lang w:val="en-GB"/>
        </w:rPr>
        <w:fldChar w:fldCharType="begin"/>
      </w:r>
      <w:r w:rsidRPr="003160F8">
        <w:rPr>
          <w:lang w:val="en-GB"/>
        </w:rPr>
        <w:instrText xml:space="preserve"> ADDIN ZOTERO_ITEM CSL_CITATION {"citationID":"zghc8sGp","properties":{"formattedCitation":"(20,21)","plainCitation":"(20,21)","noteIndex":0},"citationItems":[{"id":230,"uris":["http://zotero.org/users/4872814/items/7RJPIZBJ"],"uri":["http://zotero.org/users/4872814/items/7RJPIZBJ"],"itemData":{"id":230,"type":"article-journal","title":"A comparative analysis of dietary intakes during pregnancy in Europe: a planned pooled analysis of birth cohort studies","container-title":"The American Journal of Clinical Nutrition","page":"1993S-1999S","volume":"94","issue":"6 Suppl","source":"PubMed","abstract":"BACKGROUND: There is growing evidence that despite the absence of marked deficiencies, diet during pregnancy has important implications for maternal and child health in industrialized countries. At present, relatively little is known about prevailing patterns of intake across groups with diverse sociodemographic and lifestyle patterns in these settings.\nOBJECTIVES: The aims of this study were to develop methods for the standardization of food group intake data and to describe the process of applying these methods to existing pregnancy cohort studies, which included &gt;200,000 women across Europe.\nDESIGN: The study developed a detailed standardization protocol to harmonize intakes of selected food groups, which included fruit, vegetables, meats, seafood, and dairy products. Standardization is necessary to facilitate valid comparisons of intake patterns and disparities across countries and will lead to the development of harmonized databases for possible future pooled analyses.\nRESULTS: On the basis of comparisons with previously coordinated multicountry studies, preliminary data suggest that the standardization process yielded sufficiently comparable intake data, which indicate differences in food cultures across the countries that participated.\nCONCLUSIONS: This project provides lessons on the feasibility of harmonizing dietary intake data from existing studies, which can be applied in future post hoc standardization efforts. The data yielded in this analysis will also provide useful information for the development of food and nutrition policies for pregnant women in Europe, including the identification of population subgroups in which dietary inadequacies during pregnancy may be widespread.","DOI":"10.3945/ajcn.110.001164","ISSN":"1938-3207","note":"PMID: 21974890\nPMCID: PMC3742009","title-short":"A comparative analysis of dietary intakes during pregnancy in Europe","journalAbbreviation":"Am. J. Clin. Nutr.","language":"eng","author":[{"family":"Mendez","given":"Michelle A."},{"family":"Kogevinas","given":"Manolis"}],"issued":{"date-parts":[["2011",12]]}}},{"id":231,"uris":["http://zotero.org/users/4872814/items/QNC4UMYJ"],"uri":["http://zotero.org/users/4872814/items/QNC4UMYJ"],"itemData":{"id":231,"type":"article-journal","title":"Possibilities and considerations when merging dietary data from the world's two largest pregnancy cohorts: the Danish National Birth Cohort and the Norwegian Mother and Child Cohort Study","container-title":"Acta Obstetricia Et Gynecologica Scandinavica","page":"1131-1140","volume":"93","issue":"11","source":"PubMed","abstract":"OBJECTIVES: To elucidate the research possibilities when merging data on maternal diet from the Danish National Birth Cohort (DNBC) and the Norwegian Mother and Child Cohort Study (MoBa), through comparison of (i) the methodology used for dietary assessment and (ii) the estimated intake of selected food groups in the two cohorts.\nDESIGN: Qualitative and quantitative comparison of the two dietary databases.\nSETTING: Two national prospective pregnancy cohorts.\nPOPULATION: Denmark, Norway.\nMETHODS: Comparison of food intake using food frequency questionnaires (FFQs).\nRESULTS: The FFQs had overlapping time windows and a majority of the questions in the two FFQs were comparable. Calculation principles shared similar features, including the software used and use of global questions to calibrate intakes of different food groups. A total of 63 food groups were defined that could be compared across the two cohorts; these were further aggregated down to 31 broader groups. A comparison of food intakes (grams/d) showed 39, 74 and 141% lower daily intakes of fish, potatoes and rice, respectively, in DNBC vs. MoBa and 39, 54 and 65% higher daily intakes of milk, butter and potatoes in DNBC vs. MoBa. For most other food groups, differences in consumption data were below 20%.\nCONCLUSIONS: The two FFQs are to a large extent compatible and substantial differences in dietary habits were observed between the two cohorts. This may strengthen studies using pooled analysis to examine diet-disease relations. This is a conclusion of great importance given the colossal and costly task involved to establish each of these two cohorts.","DOI":"10.1111/aogs.12513","ISSN":"1600-0412","note":"PMID: 25250851","title-short":"Possibilities and considerations when merging dietary data from the world's two largest pregnancy cohorts","journalAbbreviation":"Acta Obstet Gynecol Scand","language":"eng","author":[{"family":"Olsen","given":"Sjurdur F."},{"family":"Birgisdottir","given":"Bryndis Eva"},{"family":"Halldorsson","given":"Thorhallur I."},{"family":"Brantsaeter","given":"Anne Lise"},{"family":"Haugen","given":"Margaretha"},{"family":"Torjusen","given":"Hanne"},{"family":"Petersen","given":"Sesilje B."},{"family":"Strøm","given":"Marin"},{"family":"Meltzer","given":"Helle Margrete"}],"issued":{"date-parts":[["2014",11]]}}}],"schema":"https://github.com/citation-style-language/schema/raw/master/csl-citation.json"} </w:instrText>
      </w:r>
      <w:r w:rsidRPr="003160F8">
        <w:rPr>
          <w:lang w:val="en-GB"/>
        </w:rPr>
        <w:fldChar w:fldCharType="separate"/>
      </w:r>
      <w:r w:rsidR="008C6934" w:rsidRPr="003160F8">
        <w:rPr>
          <w:lang w:val="en-GB"/>
        </w:rPr>
        <w:t>[</w:t>
      </w:r>
      <w:r w:rsidR="00534555" w:rsidRPr="003160F8">
        <w:rPr>
          <w:lang w:val="en-GB"/>
        </w:rPr>
        <w:t>20,21</w:t>
      </w:r>
      <w:r w:rsidR="008C6934" w:rsidRPr="003160F8">
        <w:rPr>
          <w:lang w:val="en-GB"/>
        </w:rPr>
        <w:t>]</w:t>
      </w:r>
      <w:r w:rsidRPr="003160F8">
        <w:rPr>
          <w:lang w:val="en-GB"/>
        </w:rPr>
        <w:fldChar w:fldCharType="end"/>
      </w:r>
      <w:r w:rsidRPr="003160F8">
        <w:rPr>
          <w:lang w:val="en-GB"/>
        </w:rPr>
        <w:t xml:space="preserve">. Furthermore, several variants of DASH index derivation methods have been published, with notable differences in the food components included and the scoring criteria </w:t>
      </w:r>
      <w:r w:rsidRPr="003160F8">
        <w:rPr>
          <w:lang w:val="en-GB"/>
        </w:rPr>
        <w:fldChar w:fldCharType="begin"/>
      </w:r>
      <w:r w:rsidRPr="003160F8">
        <w:rPr>
          <w:lang w:val="en-GB"/>
        </w:rPr>
        <w:instrText xml:space="preserve"> ADDIN ZOTERO_ITEM CSL_CITATION {"citationID":"nncXZE38","properties":{"formattedCitation":"(15,16)","plainCitation":"(15,16)","noteIndex":0},"citationItems":[{"id":43,"uris":["http://zotero.org/users/4872814/items/WMQVJPNF"],"uri":["http://zotero.org/users/4872814/items/WMQVJPNF"],"itemData":{"id":43,"type":"article-journal","title":"Effects of the Dietary Approach to Stop Hypertension (DASH) diet on cardiovascular risk factors: a systematic review and meta-analysis","container-title":"The British Journal of Nutrition","page":"1-15","volume":"113","issue":"1","source":"PubMed","abstract":"The Dietary Approach to Stop Hypertension (DASH) is recommended to lower blood pressure (BP), but its effects on cardiometabolic biomarkers are unclear. A systematic review and meta-analysis of randomised controlled trials (RCT) was conducted to determine the effects of the DASH diet on cardiovascular risk factors. Medline, Embase and Scopus databases were searched from inception to December 2013. Inclusion criteria were as follows: (1) DASH diet; (2) RCT; (3) risk factors including systolic and diastolic BP and glucose, HDL, LDL, TAG and total cholesterol concentrations; (4) control group. Random-effects models were used to determine the pooled effect sizes. Meta-regression analyses were carried out to examine the association between effect sizes, baseline values of the risk factors, BMI, age, quality of trials, salt intake and study duration. A total of twenty articles reporting data for 1917 participants were included in the meta-analysis. The duration of interventions ranged from 2 to 24 weeks. The DASH diet was found to result in significant decreases in systolic BP ( - 5·2 mmHg, 95% CI - 7·0, - 3·4; P&lt; 0·001) and diastolic BP ( - 2·6 mmHg, 95% CI - 3·5, - 1·7; P&lt; 0·001) and in the concentrations of total cholesterol ( - 0·20 mmol/l, 95% CI - 0·31, - 0·10; P&lt; 0·001) and LDL ( - 0·10 mmol/l, 95% CI - 0·20, - 0·01; P= 0·03). Changes in both systolic and diastolic BP were greater in participants with higher baseline BP or BMI. These changes predicted a reduction of approximately 13% in the 10-year Framingham risk score for CVD. The DASH diet improved cardiovascular risk factors and appeared to have greater beneficial effects in subjects with an increased cardiometabolic risk. The DASH diet is an effective nutritional strategy to prevent CVD.","DOI":"10.1017/S0007114514003341","ISSN":"1475-2662","note":"PMID: 25430608","title-short":"Effects of the Dietary Approach to Stop Hypertension (DASH) diet on cardiovascular risk factors","journalAbbreviation":"Br. J. Nutr.","language":"eng","author":[{"family":"Siervo","given":"Mario"},{"family":"Lara","given":"Jose"},{"family":"Chowdhury","given":"Shakir"},{"family":"Ashor","given":"Ammar"},{"family":"Oggioni","given":"Clio"},{"family":"Mathers","given":"John C."}],"issued":{"date-parts":[["2015",1,14]]}}},{"id":246,"uris":["http://zotero.org/users/4872814/items/MDCWR8UV"],"uri":["http://zotero.org/users/4872814/items/MDCWR8UV"],"itemData":{"id":246,"type":"article-journal","title":"A randomized controlled clinical trial investigating the effect of DASH diet on insulin resistance, inflammation, and oxidative stress in gestational diabetes","container-title":"Nutrition (Burbank, Los Angeles County, Calif.)","page":"619-624","volume":"29","issue":"4","source":"PubMed","abstract":"OBJECTIVE: To our knowledge, no reports are available indicating the effects of the dietary approaches to stop hypertension (DASH) eating plan on insulin resistance, inflammation, and oxidative stress among pregnant women with gestational diabetes mellitus (GDM). This study was designed to investigate the effects of the DASH diet on insulin resistance, serum high-sensitivity C-reactive protein (hs-CRP) and biomarkers of oxidative stress among pregnant women with GDM.\nMETHODS: This randomized controlled clinical trial was performed with 32 pregnant women diagnosed with GDM at 24 to 28 wk gestation. Participants were randomly assigned to consume either the control (n = 16) or DASH diet (n = 16) for 4 wk. The DASH diet was rich in fruits, vegetables, whole grains, and low-fat dairy products and was low in saturated fats, total fats, cholesterol, refined grains, and sweets, with a total of 2400 mg/d of sodium. The control diet contained 40% to 55% of its energy as carbohydrates, 10% to 20% as proteins, and 25% to 30% as total fats. Fasting blood samples were taken at baseline and after 4 wk of intervention to measure fasting plasma glucose (FPG), serum insulin, and hs-CRP, homeostasis model of assessment-insulin resistance (HOMA-IR), plasma total antioxidant capacity (TAC), and total glutathione levels (GSH).\nRESULTS: Consumption of the DASH diet compared with the control diet resulted in decreased FPG (-7.62 versus 3.68 mg/dL; P = 0.02), serum insulin levels (-2.62 versus 4.32 μIU/mL, P = 0.03), and HOMA-IR score (-0.8 versus 1.1; P = 0.03). Increased concentrations of plasma TAC (45.2 versus -159.2 mmol/L; P &lt; 0.0001) and GSH (108.1 versus -150.9 μmol/L; P &lt; 0.0001) also were seen in the DASH group compared with control group. We failed to find a significant difference in mean changes of serum hs-CRP levels between the two diets. Within-group comparisons revealed significant reductions in plasma TAC and GSH levels in the control diet, while a significant increase in these biomarkers in the DASH diet.\nCONCLUSION: Consumption of the DASH diet in pregnant women with GDM had beneficial effects on FPG, serum insulin levels, HOMA-IR score, plasma TAC, and total GSH levels. The effects of this dietary pattern on pregnancy outcomes need to be investigated in future studies.","DOI":"10.1016/j.nut.2012.11.020","ISSN":"1873-1244","note":"PMID: 23466048","journalAbbreviation":"Nutrition","language":"eng","author":[{"family":"Asemi","given":"Zatollah"},{"family":"Samimi","given":"Mansooreh"},{"family":"Tabassi","given":"Zohreh"},{"family":"Sabihi","given":"Sima-sadat"},{"family":"Esmaillzadeh","given":"Ahmad"}],"issued":{"date-parts":[["2013",4]]}}}],"schema":"https://github.com/citation-style-language/schema/raw/master/csl-citation.json"} </w:instrText>
      </w:r>
      <w:r w:rsidRPr="003160F8">
        <w:rPr>
          <w:lang w:val="en-GB"/>
        </w:rPr>
        <w:fldChar w:fldCharType="separate"/>
      </w:r>
      <w:r w:rsidR="008C6934" w:rsidRPr="003160F8">
        <w:rPr>
          <w:lang w:val="en-GB"/>
        </w:rPr>
        <w:t>[</w:t>
      </w:r>
      <w:r w:rsidR="00534555" w:rsidRPr="003160F8">
        <w:rPr>
          <w:lang w:val="en-GB"/>
        </w:rPr>
        <w:t>15,16</w:t>
      </w:r>
      <w:r w:rsidR="008C6934" w:rsidRPr="003160F8">
        <w:rPr>
          <w:lang w:val="en-GB"/>
        </w:rPr>
        <w:t>]</w:t>
      </w:r>
      <w:r w:rsidRPr="003160F8">
        <w:rPr>
          <w:lang w:val="en-GB"/>
        </w:rPr>
        <w:fldChar w:fldCharType="end"/>
      </w:r>
      <w:r w:rsidRPr="003160F8">
        <w:rPr>
          <w:lang w:val="en-GB"/>
        </w:rPr>
        <w:t xml:space="preserve">. No consensus exists but the most commonly used DASH score method is the one proposed by Fung </w:t>
      </w:r>
      <w:r w:rsidRPr="003160F8">
        <w:rPr>
          <w:iCs/>
          <w:lang w:val="en-GB"/>
        </w:rPr>
        <w:t>et al.</w:t>
      </w:r>
      <w:r w:rsidRPr="003160F8">
        <w:rPr>
          <w:i/>
          <w:iCs/>
          <w:lang w:val="en-GB"/>
        </w:rPr>
        <w:t xml:space="preserve"> </w:t>
      </w:r>
      <w:r w:rsidRPr="003160F8">
        <w:rPr>
          <w:lang w:val="en-GB"/>
        </w:rPr>
        <w:fldChar w:fldCharType="begin"/>
      </w:r>
      <w:r w:rsidRPr="003160F8">
        <w:rPr>
          <w:lang w:val="en-GB"/>
        </w:rPr>
        <w:instrText xml:space="preserve"> ADDIN ZOTERO_ITEM CSL_CITATION {"citationID":"NQpKshAM","properties":{"formattedCitation":"(10)","plainCitation":"(10)","noteIndex":0},"citationItems":[{"id":293,"uris":["http://zotero.org/users/4872814/items/ACQ92NBP"],"uri":["http://zotero.org/users/4872814/items/ACQ92NBP"],"itemData":{"id":293,"type":"article-journal","title":"Adherence to a DASH-style diet and risk of coronary heart disease and stroke in women","container-title":"Archives of Internal Medicine","page":"713-720","volume":"168","issue":"7","source":"PubMed","abstract":"BACKGROUND: The Dietary Approaches to Stop Hypertension (DASH) diet has been shown to lower blood pressure, but little is known about its long-term effect on cardiovascular end points. Our objective was to assess the association between a DASH-style diet adherence score and risk of coronary heart disease (CHD) and stroke in women.\nMETHODS: In this prospective cohort study, diet was assessed 7 times during 24 years of follow-up (1980-2004) with validated food frequency questionnaires. A DASH score based on 8 food and nutrient components (fruits, vegetables, whole grains, nuts and legumes, low-fat dairy, red and processed meats, sweetened beverages, and sodium) was calculated. Lifestyle and medical information was collected biennially with a questionnaire. The Cox proportional hazard model was used to adjust for potential confounders. The study population comprised 88,517 female nurses aged 34 to 59 years without a history of cardiovascular disease or diabetes in 1980. The main outcome measures were the numbers of confirmed incident cases of nonfatal myocardial infarction, CHD death, and stroke.\nRESULTS: We documented 2129 cases of incident nonfatal myocardial infarction, 976 CHD deaths, and 2317 [corrected] cases of stroke. After adjustment for age, smoking, and other cardiovascular risk factors, the relative risks of CHD across quintiles of the DASH score were 1.0, 0.99, 0.86, 0.87, and 0.76 (95% confidence interval, 0.67-0.85) (P&lt;.001 for trend). The magnitude of risk difference was similar for nonfatal myocardial infarction and fatal CHD. The DASH score was also significantly associated with lower risk of stroke (multivariate relative risks across quintiles of the DASH score were 1.0, 0.92, 0.91, 0.89, and 0.82) (P=.002 for trend). Cross-sectional analysis in a subgroup of women with blood samples showed that the DASH score was significantly associated with lower plasma levels of C-reactive protein (P=.008 for trend) and interleukin 6 (P=.04 for trend).\nCONCLUSION: Adherence to the DASH-style diet is associated with a lower risk of CHD and stroke among middle-aged women during 24 years of follow-up.","DOI":"10.1001/archinte.168.7.713","ISSN":"0003-9926","note":"PMID: 18413553","journalAbbreviation":"Arch. Intern. Med.","language":"eng","author":[{"family":"Fung","given":"Teresa T."},{"family":"Chiuve","given":"Stephanie E."},{"family":"McCullough","given":"Marjorie L."},{"family":"Rexrode","given":"Kathryn M."},{"family":"Logroscino","given":"Giancarlo"},{"family":"Hu","given":"Frank B."}],"issued":{"date-parts":[["2008",4,14]]}}}],"schema":"https://github.com/citation-style-language/schema/raw/master/csl-citation.json"} </w:instrText>
      </w:r>
      <w:r w:rsidRPr="003160F8">
        <w:rPr>
          <w:lang w:val="en-GB"/>
        </w:rPr>
        <w:fldChar w:fldCharType="separate"/>
      </w:r>
      <w:r w:rsidR="008C6934" w:rsidRPr="003160F8">
        <w:rPr>
          <w:lang w:val="en-GB"/>
        </w:rPr>
        <w:t>[</w:t>
      </w:r>
      <w:r w:rsidR="00534555" w:rsidRPr="003160F8">
        <w:rPr>
          <w:lang w:val="en-GB"/>
        </w:rPr>
        <w:t>10</w:t>
      </w:r>
      <w:r w:rsidR="008C6934" w:rsidRPr="003160F8">
        <w:rPr>
          <w:lang w:val="en-GB"/>
        </w:rPr>
        <w:t>]</w:t>
      </w:r>
      <w:r w:rsidRPr="003160F8">
        <w:rPr>
          <w:lang w:val="en-GB"/>
        </w:rPr>
        <w:fldChar w:fldCharType="end"/>
      </w:r>
      <w:r w:rsidRPr="003160F8">
        <w:rPr>
          <w:lang w:val="en-GB"/>
        </w:rPr>
        <w:t>, which ranks participants based on quintiles of dietary intakes.</w:t>
      </w:r>
    </w:p>
    <w:p w14:paraId="0AB359E8" w14:textId="085F464D" w:rsidR="002549C8" w:rsidRPr="003160F8" w:rsidRDefault="00411C29" w:rsidP="00A33971">
      <w:pPr>
        <w:pStyle w:val="MDPI31text"/>
        <w:rPr>
          <w:lang w:val="en-GB"/>
        </w:rPr>
      </w:pPr>
      <w:r w:rsidRPr="003160F8">
        <w:rPr>
          <w:lang w:val="en-GB"/>
        </w:rPr>
        <w:t xml:space="preserve">In this context, the present work aims to </w:t>
      </w:r>
      <w:r w:rsidR="003160F8">
        <w:rPr>
          <w:lang w:val="en-GB"/>
        </w:rPr>
        <w:t>(</w:t>
      </w:r>
      <w:r w:rsidRPr="003160F8">
        <w:rPr>
          <w:lang w:val="en-GB"/>
        </w:rPr>
        <w:t xml:space="preserve">1) explain the method used to derive a harmonised DASH score in the ALPHABET consortium and detail the challenges encountered during this process </w:t>
      </w:r>
      <w:r w:rsidRPr="003160F8">
        <w:rPr>
          <w:lang w:val="en-GB"/>
        </w:rPr>
        <w:lastRenderedPageBreak/>
        <w:t xml:space="preserve">and </w:t>
      </w:r>
      <w:r w:rsidR="003160F8">
        <w:rPr>
          <w:lang w:val="en-GB"/>
        </w:rPr>
        <w:t>(</w:t>
      </w:r>
      <w:r w:rsidRPr="003160F8">
        <w:rPr>
          <w:lang w:val="en-GB"/>
        </w:rPr>
        <w:t>2) describe the maternal DASH score and related food consumption in different cohorts and over three periods of assessment: pre-pregnancy, early pregnancy</w:t>
      </w:r>
      <w:r w:rsidR="003160F8">
        <w:rPr>
          <w:lang w:val="en-GB"/>
        </w:rPr>
        <w:t>,</w:t>
      </w:r>
      <w:r w:rsidRPr="003160F8">
        <w:rPr>
          <w:lang w:val="en-GB"/>
        </w:rPr>
        <w:t xml:space="preserve"> and late pregnancy.</w:t>
      </w:r>
    </w:p>
    <w:bookmarkEnd w:id="7"/>
    <w:bookmarkEnd w:id="8"/>
    <w:p w14:paraId="1D8CCBB6" w14:textId="1937C0C8" w:rsidR="002549C8" w:rsidRPr="003160F8" w:rsidRDefault="00A33971" w:rsidP="00A33971">
      <w:pPr>
        <w:pStyle w:val="MDPI21heading1"/>
        <w:rPr>
          <w:lang w:val="en-GB"/>
        </w:rPr>
      </w:pPr>
      <w:r w:rsidRPr="003160F8">
        <w:rPr>
          <w:lang w:val="en-GB" w:eastAsia="zh-CN"/>
        </w:rPr>
        <w:t xml:space="preserve">2. </w:t>
      </w:r>
      <w:r w:rsidR="002549C8" w:rsidRPr="003160F8">
        <w:rPr>
          <w:lang w:val="en-GB"/>
        </w:rPr>
        <w:t xml:space="preserve">Materials and Methods </w:t>
      </w:r>
    </w:p>
    <w:p w14:paraId="3D6FC1F6" w14:textId="69857D49" w:rsidR="00757500" w:rsidRPr="003160F8" w:rsidRDefault="00A33971" w:rsidP="00A33971">
      <w:pPr>
        <w:pStyle w:val="MDPI22heading2"/>
        <w:rPr>
          <w:noProof w:val="0"/>
          <w:lang w:val="en-GB"/>
        </w:rPr>
      </w:pPr>
      <w:r w:rsidRPr="003160F8">
        <w:rPr>
          <w:noProof w:val="0"/>
          <w:lang w:val="en-GB"/>
        </w:rPr>
        <w:t xml:space="preserve">2.1. </w:t>
      </w:r>
      <w:r w:rsidR="00757500" w:rsidRPr="003160F8">
        <w:rPr>
          <w:noProof w:val="0"/>
          <w:lang w:val="en-GB"/>
        </w:rPr>
        <w:t>S</w:t>
      </w:r>
      <w:r w:rsidR="005F0128" w:rsidRPr="003160F8">
        <w:rPr>
          <w:noProof w:val="0"/>
          <w:lang w:val="en-GB"/>
        </w:rPr>
        <w:t xml:space="preserve">tudy </w:t>
      </w:r>
      <w:r w:rsidR="00717F76" w:rsidRPr="003160F8">
        <w:rPr>
          <w:noProof w:val="0"/>
          <w:lang w:val="en-GB"/>
        </w:rPr>
        <w:t>Populations</w:t>
      </w:r>
    </w:p>
    <w:p w14:paraId="0370C0BB" w14:textId="45B29183" w:rsidR="005F0128" w:rsidRPr="003160F8" w:rsidRDefault="005F0128" w:rsidP="00A33971">
      <w:pPr>
        <w:pStyle w:val="MDPI31text"/>
        <w:rPr>
          <w:lang w:val="en-GB"/>
        </w:rPr>
      </w:pPr>
      <w:r w:rsidRPr="003160F8">
        <w:rPr>
          <w:lang w:val="en-GB"/>
        </w:rPr>
        <w:t>The ALPHABET project is a European consortium comprised of seven longitudinal birth cohort studies: the Avon Longitudinal Study of Parents and Children (ALSPAC), the study on the pre- and early postnatal determinants of child health and development (EDEN), the Generation R Study (Generation R), the Lifeways Cross-Generation Cohort Study (Lifeways), the Polish Mother and Child Cohort (REPRO</w:t>
      </w:r>
      <w:r w:rsidR="00717F76" w:rsidRPr="003160F8">
        <w:rPr>
          <w:lang w:val="en-GB"/>
        </w:rPr>
        <w:t>_</w:t>
      </w:r>
      <w:r w:rsidRPr="003160F8">
        <w:rPr>
          <w:lang w:val="en-GB"/>
        </w:rPr>
        <w:t xml:space="preserve">PL), the Randomised Control Trial of Low Glycaemic Index Diet study (ROLO), and the Southampton Women’s Survey (SWS). Details on study designs and sample sizes of these cohorts are available elsewhere </w:t>
      </w:r>
      <w:r w:rsidRPr="003160F8">
        <w:rPr>
          <w:lang w:val="en-GB"/>
        </w:rPr>
        <w:fldChar w:fldCharType="begin"/>
      </w:r>
      <w:r w:rsidRPr="003160F8">
        <w:rPr>
          <w:lang w:val="en-GB"/>
        </w:rPr>
        <w:instrText xml:space="preserve"> ADDIN ZOTERO_ITEM CSL_CITATION {"citationID":"ZjbPpGN9","properties":{"unsorted":true,"formattedCitation":"(22\\uc0\\u8211{}30)","plainCitation":"(22–30)","noteIndex":0},"citationItems":[{"id":249,"uris":["http://zotero.org/users/4872814/items/75ASAVWG"],"uri":["http://zotero.org/users/4872814/items/75ASAVWG"],"itemData":{"id":249,"type":"article-journal","title":"Cohort Profile: the Avon Longitudinal Study of Parents and Children: ALSPAC mothers cohort","container-title":"International Journal of Epidemiology","page":"97-110","volume":"42","issue":"1","source":"PubMed","abstract":"Summary The Avon Longitudinal Study of Children and Parents (ALSPAC) was established to understand how genetic and environmental characteristics influence health and development in parents and children. All pregnant women resident in a defined area in the South West of England, with an expected date of delivery between 1st April 1991 and 31st December 1992, were eligible and 13761 women (contributing 13867 pregnancies) were recruited. These women have been followed over the last 19-22 years and have completed up to 20 questionnaires, have had detailed data abstracted from their medical records and have information on any cancer diagnoses and deaths through record linkage. A follow-up assessment was completed 17-18 years postnatal at which anthropometry, blood pressure, fat, lean and bone mass and carotid intima media thickness were assessed, and a fasting blood sample taken. The second follow-up clinic, which additionally measures cognitive function, physical capability, physical activity (with accelerometer) and wrist bone architecture, is underway and two further assessments with similar measurements will take place over the next 5 years. There is a detailed biobank that includes DNA, with genome-wide data available on &gt;10000, stored serum and plasma taken repeatedly since pregnancy and other samples; a wide range of data on completed biospecimen assays are available. Details of how to access these data are provided in this cohort profile.","DOI":"10.1093/ije/dys066","ISSN":"1464-3685","note":"PMID: 22507742\nPMCID: PMC3600619","title-short":"Cohort Profile","journalAbbreviation":"Int J Epidemiol","language":"eng","author":[{"family":"Fraser","given":"Abigail"},{"family":"Macdonald-Wallis","given":"Corrie"},{"family":"Tilling","given":"Kate"},{"family":"Boyd","given":"Andy"},{"family":"Golding","given":"Jean"},{"family":"Davey Smith","given":"George"},{"family":"Henderson","given":"John"},{"family":"Macleod","given":"John"},{"family":"Molloy","given":"Lynn"},{"family":"Ness","given":"Andy"},{"family":"Ring","given":"Susan"},{"family":"Nelson","given":"Scott M."},{"family":"Lawlor","given":"Debbie A."}],"issued":{"date-parts":[["2013",2]]}}},{"id":64,"uris":["http://zotero.org/users/4872814/items/DDXPDNHC"],"uri":["http://zotero.org/users/4872814/items/DDXPDNHC"],"itemData":{"id":64,"type":"article-journal","title":"Cohort Profile: The ‘Children of the 90s’—the index offspring of the Avon Longitudinal Study of Parents and Children","container-title":"International Journal of Epidemiology","page":"111-127","volume":"42","issue":"1","source":"PubMed Central","abstract":"The Avon Longitudinal Study of Parents and Children (ALSPAC) is a transgenerational\nprospective observational study investigating influences on health and development across\nthe life course. It considers multiple genetic, epigenetic, biological, psychological,\nsocial and other environmental exposures in relation to a similarly diverse range of\nhealth, social and developmental outcomes. Recruitment sought to enrol pregnant women in\nthe Bristol area of the UK during 1990–92; this was extended to include additional\nchildren eligible using the original enrolment definition up to the age of 18 years. The\nchildren from 14 541 pregnancies were recruited in 1990–92, increasing to\n15 247 pregnancies by the age of 18 years. This cohort profile describes the index\nchildren of these pregnancies. Follow-up includes 59 questionnaires (4 weeks–18\nyears of age) and 9 clinical assessment visits (7–17 years of age). The resource\ncomprises a wide range of phenotypic and environmental measures in addition to biological\nsamples, genetic (DNA on 11 343 children, genome-wide data on 8365 children,\ncomplete genome sequencing on 2000 children) and epigenetic (methylation sampling on 1000\nchildren) information and linkage to health and administrative records. Data access is\ndescribed in this article and is currently set up as a supported access resource. To date,\nover 700 peer-reviewed articles have been published using ALSPAC data.","DOI":"10.1093/ije/dys064","ISSN":"0300-5771","note":"PMID: 22507743\nPMCID: PMC3600618","title-short":"Cohort Profile","journalAbbreviation":"Int J Epidemiol","author":[{"family":"Boyd","given":"Andy"},{"family":"Golding","given":"Jean"},{"family":"Macleod","given":"John"},{"family":"Lawlor","given":"Debbie A"},{"family":"Fraser","given":"Abigail"},{"family":"Henderson","given":"John"},{"family":"Molloy","given":"Lynn"},{"family":"Ness","given":"Andy"},{"family":"Ring","given":"Susan"},{"family":"Davey Smith","given":"George"}],"issued":{"date-parts":[["2013",2]]}}},{"id":178,"uris":["http://zotero.org/users/4872814/items/JUB9V6B4"],"uri":["http://zotero.org/users/4872814/items/JUB9V6B4"],"itemData":{"id":178,"type":"article-journal","title":"Cohort Profile: The EDEN mother-child cohort on the prenatal and early postnatal determinants of child health and development","container-title":"International Journal of Epidemiology","page":"353-363","volume":"45","issue":"2","source":"PubMed","DOI":"10.1093/ije/dyv151","ISSN":"1464-3685","note":"PMID: 26283636","title-short":"Cohort Profile","journalAbbreviation":"Int J Epidemiol","language":"eng","author":[{"family":"Heude","given":"Barbara"},{"family":"Forhan","given":"Anne"},{"family":"Slama","given":"Rémy"},{"family":"Douhaud","given":"Lorraine"},{"family":"Bedel","given":"Sophie"},{"family":"Saurel-Cubizolles","given":"Marie-Josèphe"},{"family":"Hankard","given":"Régis"},{"family":"Thiebaugeorges","given":"Olivier"},{"family":"De Agostini","given":"Maria"},{"family":"Annesi-Maesano","given":"Isabella"},{"family":"Kaminski","given":"Monique"},{"family":"Charles","given":"Marie-Aline"},{"literal":"EDEN mother-child cohort study group"}],"issued":{"date-parts":[["2016",4]]}}},{"id":58,"uris":["http://zotero.org/users/4872814/items/ZMABPJ4A"],"uri":["http://zotero.org/users/4872814/items/ZMABPJ4A"],"itemData":{"id":58,"type":"article-journal","title":"The Generation R Study: design and cohort update 2017","container-title":"European Journal of Epidemiology","page":"1243-1264","volume":"31","issue":"12","source":"PubMed Central","abstract":"The Generation R Study is a population-based prospective cohort study from fetal life until adulthood. The study is designed to identify early environmental and genetic causes and causal pathways leading to normal and abnormal growth, development and health from fetal life, childhood and young adulthood. This multidisciplinary study focuses on several health outcomes including behaviour and cognition, body composition, eye development, growth, hearing, heart and vascular development, infectious disease and immunity, oral health and facial growth, respiratory health, allergy and skin disorders of children and their parents. Main exposures of interest include environmental, endocrine, genomic (genetic, epigenetic, microbiome), lifestyle related, nutritional and socio-demographic determinants. In total, 9778 mothers with a delivery date from April 2002 until January 2006 were enrolled in the study. Response at baseline was 61%, and general follow-up rates until the age of 10 years were around 80%. Data collection in children and their parents includes questionnaires, interviews, detailed physical and ultrasound examinations, behavioural observations, lung function, Magnetic Resonance Imaging and biological sampling. Genome and epigenome wide association screens are available. Eventually, results from the Generation R Study contribute to the development of strategies for optimizing health and healthcare for pregnant women and children.","DOI":"10.1007/s10654-016-0224-9","ISSN":"0393-2990","note":"PMID: 28070760\nPMCID: PMC5233749","title-short":"The Generation R Study","journalAbbreviation":"Eur J Epidemiol","author":[{"family":"Kooijman","given":"Marjolein N."},{"family":"Kruithof","given":"Claudia J."},{"family":"Duijn","given":"Cornelia M.","non-dropping-particle":"van"},{"family":"Duijts","given":"Liesbeth"},{"family":"Franco","given":"Oscar H."},{"family":"IJzendoorn","given":"Marinus H.","non-dropping-particle":"van"},{"family":"Jongste","given":"Johan C.","non-dropping-particle":"de"},{"family":"Klaver","given":"Caroline C. W."},{"family":"Lugt","given":"Aad","non-dropping-particle":"van der"},{"family":"Mackenbach","given":"Johan P."},{"family":"Moll","given":"Henriëtte A."},{"family":"Peeters","given":"Robin P."},{"family":"Raat","given":"Hein"},{"family":"Rings","given":"Edmond H. H. M."},{"family":"Rivadeneira","given":"Fernando"},{"family":"Schroeff","given":"Marc P.","non-dropping-particle":"van der"},{"family":"Steegers","given":"Eric A. P."},{"family":"Tiemeier","given":"Henning"},{"family":"Uitterlinden","given":"André G."},{"family":"Verhulst","given":"Frank C."},{"family":"Wolvius","given":"Eppo"},{"family":"Felix","given":"Janine F."},{"family":"Jaddoe","given":"Vincent W. V."}],"issued":{"date-parts":[["2016"]]}}},{"id":60,"uris":["http://zotero.org/users/4872814/items/RHRT5P4C"],"uri":["http://zotero.org/users/4872814/items/RHRT5P4C"],"itemData":{"id":60,"type":"article-journal","title":"The Lifeways Cross-Generation Study: design, recruitment and data management considerations","container-title":"Irish Medical Journal","page":"suppl 3-6","volume":"100","issue":"8","source":"PubMed","abstract":"The Lifeways Cross-Generation Cohort Study was first established in 2001 and is a unique longitudinal database in Ireland, with currently over three and a half thousand family participants derived from 1124 mothers recruited initially during pregnancy, mainly during 2002. The database comprises a) baseline self-reported health data for all mothers, a third of fathers and at least one grandparent b) clinical hospital data at recruitment, c) three year follow-up data from the families' General Practitioners, and d) linkage to hospital and vaccination databases. Data collection for the five-year follow-up with parents is underway, continuing through 2007. Because there is at present no single national/regional health information system in Ireland, original data instruments were designed to capture data directly from family members and through their hospitals and healthcare providers. A system of relational databases was designed to coordinate data capture for a complex array of study instruments and to facilitate tracking of family members at different time points.","ISSN":"0332-3102","note":"PMID: 17955692","title-short":"The Lifeways Cross-Generation Study","journalAbbreviation":"Ir Med J","language":"eng","author":[{"family":"O'Mahony","given":"D."},{"family":"Fallon","given":"U. B."},{"family":"Hannon","given":"F."},{"family":"Kloeckner","given":"K."},{"family":"Avalos","given":"G."},{"family":"Murphy","given":"A. W."},{"family":"Kelleher","given":"C. C."},{"literal":"Lifeways Cross Generation Cohort Study Steering Group"}],"issued":{"date-parts":[["2007",9]]}}},{"id":57,"uris":["http://zotero.org/users/4872814/items/EEJKZRHB"],"uri":["http://zotero.org/users/4872814/items/EEJKZRHB"],"itemData":{"id":57,"type":"article-journal","title":"Pregnancy, exercise and nutrition research study with smart phone app support (Pears): Study protocol of a randomized controlled trial","container-title":"Contemporary Clinical Trials","page":"92-99","volume":"46","source":"PubMed","abstract":"OBJECTIVE: Maternal adiposity confers an increased risk of GDM in pregnancy. A low glycemic index (GI) dietary intervention has been found to improve glucose homeostasis and reduce gestational weight gain. Mobile Health (mHealth) Technology-assisted interventions are becoming commonplace as an aid to treating many chronic diseases. The aim of this study is to assess the impact of a 'healthy lifestyle package' with mHealth smart phone technology as support compared with usual care on the incidence of GDM in an overweight and obese pregnant population.\nMETHODS: We propose a randomized controlled trial of an mHealth assisted healthy lifestyle intervention package versus standard obstetric care in pregnant women with a BMI ≥25kg/m(2)-39.9kg/m(2). Patients are randomized to control or intervention group in a 1:1 ratio. The intervention arm healthy lifestyle package includes a motivational counseling session to encourage behavior change, involving targeted, low GI nutritional advice and daily physical activity prescription delivered before 18weeks gestation, as well as a smart phone app to provide ongoing healthy lifestyle advice and support throughout pregnancy. The primary outcome is the incidence of GDM at 29weeks' gestation and power analysis indicates that 253 women are required in each group to detect a difference.\nCONCLUSION: This will be the first clinical trial to evaluate the effectiveness of a smart phone technology-assisted targeted healthy lifestyle intervention, which is grounded in behavior change theories and techniques, to support antenatal management of an overweight and obese pregnant population in preventing GDM.","DOI":"10.1016/j.cct.2015.11.018","ISSN":"1559-2030","note":"PMID: 26625980","title-short":"Pregnancy, exercise and nutrition research study with smart phone app support (Pears)","journalAbbreviation":"Contemp Clin Trials","language":"eng","author":[{"family":"Kennelly","given":"Maria A."},{"family":"Ainscough","given":"Kate"},{"family":"Lindsay","given":"Karen"},{"family":"Gibney","given":"Eileen"},{"family":"Mc Carthy","given":"Mary"},{"family":"McAuliffe","given":"Fionnuala M."}],"issued":{"date-parts":[["2016",1]]}}},{"id":56,"uris":["http://zotero.org/users/4872814/items/T5W3A69J"],"uri":["http://zotero.org/users/4872814/items/T5W3A69J"],"itemData":{"id":56,"type":"article-journal","title":"Polish mother and child cohort study--defining the problem, the aim of the study and methodological assumption","container-title":"International Journal of Occupational Medicine and Environmental Health","page":"383-391","volume":"22","issue":"4","source":"PubMed","abstract":"OBJECTIVES: Exposures during prenatal period have implications for pregnancy outcome as well as for children's health, morbidity and mortality. Prospective cohort study design allows for the identification of exposures that may influence pregnancy outcome and children's health, verification of such exposures by biomarker measurements and notification of any changes in exposure level.\nMATERIALS AND METHODS: Polish Mother and Child Cohort Study (REPRO_PL) is multicenter prospective cohort study conducted in 8 different regions of Poland. The final cohort is intended to comprise 1300 mother-child pairs to be recruited within 4-year period (2007-2011). The recruitment and all scheduled visits are conducted in maternity units or clinics in the districts included in the study. The women are followed-up 3 times in pregnancy (once in each trimester) and after delivery for the notification of pregnancy outcome. During each visit, detailed questionnaire and biological samples are collected including saliva, urine, hair, maternal blood and cord blood. About 6 weeks postpartum, breast milk from part of the women is collected. The study concentrates on the identification and evaluation of the effects of prenatal environmental exposure on pregnancy outcome and children's health. Specific research hypotheses refer to the role of heavy metals, exposure to polycyclic aromatic hydrocarbons (PAHs) and environmental tobacco smoke (ETS) in the aetiology of small-for-gestational-age (SGA) and preterm delivery (PD). The role of oxidative stress putative mechanism and pregnant women nutritional status will be investigated. Based on questionnaire data, the impact of occupational exposures and stressful situations will be evaluated.\nRESULTS: The results of the study will become available within the next few years and will help to determine levels of child prenatal exposure in several areas of Poland and its impact on course and outcome of pregnancy.","DOI":"10.2478/v10001-009-0037-0","ISSN":"1232-1087","note":"PMID: 20053622","journalAbbreviation":"Int J Occup Med Environ Health","language":"eng","author":[{"family":"Polańska","given":"Kinga"},{"family":"Hanke","given":"Wojciech"},{"family":"Gromadzińska","given":"Jolanta"},{"family":"Ligocka","given":"Danuta"},{"family":"Gulczyńska","given":"Ewa"},{"family":"Sobala","given":"Wojciech"},{"family":"Wásowicz","given":"Wojciech"}],"issued":{"date-parts":[["2009"]]}}},{"id":59,"uris":["http://zotero.org/users/4872814/items/T49NHRKJ"],"uri":["http://zotero.org/users/4872814/items/T49NHRKJ"],"itemData":{"id":59,"type":"article-journal","title":"Low glycaemic index diet in pregnancy to prevent macrosomia (ROLO study): randomised control trial","container-title":"The BMJ","volume":"345","source":"PubMed Central","abstract":"Objective To determine if a low glycaemic index diet in pregnancy could reduce the incidence of macrosomia in an at risk group., Design Randomised controlled trial., Setting Maternity hospital in Dublin, Ireland., Participants 800 women without diabetes, all in their second pregnancy between January 2007 to January 2011, having previously delivered an infant weighing greater than 4 kg. , Intervention Women were randomised to receive no dietary intervention or start on a low glycaemic index diet from early pregnancy., Main outcomes The primary outcome measure was difference in birth weight. The secondary outcome measure was difference in gestational weight gain., Results No significant difference was seen between the two groups in absolute birth weight, birthweight centile, or ponderal index. Significantly less gestational weight gain occurred in women in the intervention arm (12.2 v 13.7 kg; mean difference −1.3, 95% confidence interval −2.4 to −0.2; P=0.01). The rate of glucose intolerance was also lower in the intervention arm: 21% (67/320) compared with 28% (100/352) of controls had a fasting glucose of 5.1 mmol/L or greater or a 1 hour glucose challenge test result of greater than 7.8 mmol/L (P=0.02)., Conclusion A low glycaemic index diet in pregnancy did not reduce the incidence of large for gestational age infants in a group at risk of fetal macrosomia. It did, however, have a significant positive effect on gestational weight gain and maternal glucose intolerance., Trial registration Current Controlled Trials ISRCTN54392969.","URL":"https://www.ncbi.nlm.nih.gov/pmc/articles/PMC3431285/","DOI":"10.1136/bmj.e5605","ISSN":"0959-8138","note":"PMID: 22936795\nPMCID: PMC3431285","title-short":"Low glycaemic index diet in pregnancy to prevent macrosomia (ROLO study)","journalAbbreviation":"BMJ","author":[{"family":"Walsh","given":"Jennifer M"},{"family":"McGowan","given":"Ciara A"},{"family":"Mahony","given":"Rhona"},{"family":"Foley","given":"Michael E"},{"family":"McAuliffe","given":"Fionnuala M"}],"issued":{"date-parts":[["2012",8,30]]}}},{"id":61,"uris":["http://zotero.org/users/4872814/items/MCRBUKDA"],"uri":["http://zotero.org/users/4872814/items/MCRBUKDA"],"itemData":{"id":61,"type":"article-journal","title":"Cohort Profile: The Southampton Women’s Survey","container-title":"International journal of epidemiology","page":"42-48","volume":"35","issue":"1","source":"PubMed Central","DOI":"10.1093/ije/dyi202","ISSN":"0300-5771","note":"PMID: 16195252\nPMCID: PMC4579566","title-short":"Cohort Profile","journalAbbreviation":"Int J Epidemiol","author":[{"family":"Inskip","given":"Hazel M"},{"family":"Godfrey","given":"Keith M"},{"family":"Robinson","given":"Siân M"},{"family":"Law","given":"Catherine M"},{"family":"Barker","given":"David JP"},{"family":"Cooper","given":"Cyrus"}],"issued":{"date-parts":[["2006",2]]}}}],"schema":"https://github.com/citation-style-language/schema/raw/master/csl-citation.json"} </w:instrText>
      </w:r>
      <w:r w:rsidRPr="003160F8">
        <w:rPr>
          <w:lang w:val="en-GB"/>
        </w:rPr>
        <w:fldChar w:fldCharType="separate"/>
      </w:r>
      <w:r w:rsidR="008439C6" w:rsidRPr="003160F8">
        <w:rPr>
          <w:szCs w:val="24"/>
          <w:lang w:val="en-GB"/>
        </w:rPr>
        <w:t>[</w:t>
      </w:r>
      <w:r w:rsidR="00534555" w:rsidRPr="003160F8">
        <w:rPr>
          <w:szCs w:val="24"/>
          <w:lang w:val="en-GB"/>
        </w:rPr>
        <w:t>22–30</w:t>
      </w:r>
      <w:r w:rsidR="008439C6" w:rsidRPr="003160F8">
        <w:rPr>
          <w:szCs w:val="24"/>
          <w:lang w:val="en-GB"/>
        </w:rPr>
        <w:t>]</w:t>
      </w:r>
      <w:r w:rsidRPr="003160F8">
        <w:rPr>
          <w:lang w:val="en-GB"/>
        </w:rPr>
        <w:fldChar w:fldCharType="end"/>
      </w:r>
      <w:r w:rsidRPr="003160F8">
        <w:rPr>
          <w:lang w:val="en-GB"/>
        </w:rPr>
        <w:t xml:space="preserve">. </w:t>
      </w:r>
    </w:p>
    <w:p w14:paraId="179E688E" w14:textId="527A5CC7" w:rsidR="005F0128" w:rsidRPr="003160F8" w:rsidRDefault="001D5A70" w:rsidP="00A33971">
      <w:pPr>
        <w:pStyle w:val="MDPI31text"/>
        <w:rPr>
          <w:lang w:val="en-GB"/>
        </w:rPr>
      </w:pPr>
      <w:r w:rsidRPr="003160F8">
        <w:rPr>
          <w:lang w:val="en-GB"/>
        </w:rPr>
        <w:t>Descriptive c</w:t>
      </w:r>
      <w:r w:rsidR="005F0128" w:rsidRPr="003160F8">
        <w:rPr>
          <w:lang w:val="en-GB"/>
        </w:rPr>
        <w:t>haracteristics of each of the cohorts within the ALPHABET consortium are presented in Table</w:t>
      </w:r>
      <w:r w:rsidR="00717F76" w:rsidRPr="003160F8">
        <w:rPr>
          <w:lang w:val="en-GB"/>
        </w:rPr>
        <w:t xml:space="preserve"> </w:t>
      </w:r>
      <w:r w:rsidR="005F0128" w:rsidRPr="003160F8">
        <w:rPr>
          <w:lang w:val="en-GB"/>
        </w:rPr>
        <w:t>1. Of the seven included studies, two were based in Ireland, two in England, and one each in Poland, the Netherlands</w:t>
      </w:r>
      <w:r w:rsidR="003160F8">
        <w:rPr>
          <w:lang w:val="en-GB"/>
        </w:rPr>
        <w:t>,</w:t>
      </w:r>
      <w:r w:rsidR="005F0128" w:rsidRPr="003160F8">
        <w:rPr>
          <w:lang w:val="en-GB"/>
        </w:rPr>
        <w:t xml:space="preserve"> and France. Most women were recruited during pregnancy, except for SWS where recruitment commenced before pregnancy. Started in 1990, ALSPAC was the oldest study, whereas REPRO_PL and ROLO, both started in 2007, were the most recent. The sample size ranged from 759 (ROLO) to 14,541 (ALSPAC). Since all studies assessed maternal diet with FFQs at times which differed between cohorts, we categorised into three periods: pre-pregnancy, early pregnancy (1</w:t>
      </w:r>
      <w:r w:rsidR="005F0128" w:rsidRPr="00957AAC">
        <w:rPr>
          <w:lang w:val="en-GB"/>
        </w:rPr>
        <w:t>st</w:t>
      </w:r>
      <w:r w:rsidR="005F0128" w:rsidRPr="003160F8">
        <w:rPr>
          <w:lang w:val="en-GB"/>
        </w:rPr>
        <w:t xml:space="preserve"> or 2</w:t>
      </w:r>
      <w:r w:rsidR="005F0128" w:rsidRPr="00957AAC">
        <w:rPr>
          <w:lang w:val="en-GB"/>
        </w:rPr>
        <w:t>nd</w:t>
      </w:r>
      <w:r w:rsidR="005F0128" w:rsidRPr="003160F8">
        <w:rPr>
          <w:lang w:val="en-GB"/>
        </w:rPr>
        <w:t xml:space="preserve"> trimester) and late pregnancy (3</w:t>
      </w:r>
      <w:r w:rsidR="005F0128" w:rsidRPr="00957AAC">
        <w:rPr>
          <w:lang w:val="en-GB"/>
        </w:rPr>
        <w:t>rd</w:t>
      </w:r>
      <w:r w:rsidR="005F0128" w:rsidRPr="003160F8">
        <w:rPr>
          <w:lang w:val="en-GB"/>
        </w:rPr>
        <w:t xml:space="preserve"> trimester).</w:t>
      </w:r>
    </w:p>
    <w:p w14:paraId="331DBFEA" w14:textId="77777777" w:rsidR="005F0128" w:rsidRPr="003160F8" w:rsidRDefault="005F0128" w:rsidP="00A33971">
      <w:pPr>
        <w:pStyle w:val="MDPI31text"/>
        <w:rPr>
          <w:lang w:val="en-GB"/>
        </w:rPr>
      </w:pPr>
      <w:r w:rsidRPr="003160F8">
        <w:rPr>
          <w:lang w:val="en-GB"/>
        </w:rPr>
        <w:t>All participating cohorts have obtained the relevant institutional ethical approval and research to date has been conducted according to the guidelines laid down in the Declaration of Helsinki.</w:t>
      </w:r>
    </w:p>
    <w:p w14:paraId="175853EB" w14:textId="77777777" w:rsidR="00CE25C3" w:rsidRPr="003160F8" w:rsidRDefault="00CE25C3" w:rsidP="00282691">
      <w:pPr>
        <w:pStyle w:val="MDPI41tablecaption"/>
        <w:jc w:val="center"/>
        <w:rPr>
          <w:b/>
          <w:color w:val="auto"/>
          <w:lang w:val="en-GB"/>
        </w:rPr>
        <w:sectPr w:rsidR="00CE25C3" w:rsidRPr="003160F8" w:rsidSect="00B0160C">
          <w:headerReference w:type="even" r:id="rId25"/>
          <w:headerReference w:type="default" r:id="rId26"/>
          <w:footerReference w:type="default" r:id="rId27"/>
          <w:headerReference w:type="first" r:id="rId28"/>
          <w:footerReference w:type="first" r:id="rId29"/>
          <w:pgSz w:w="11906" w:h="16838" w:code="9"/>
          <w:pgMar w:top="1417" w:right="1531" w:bottom="1077" w:left="1531" w:header="1020" w:footer="850" w:gutter="0"/>
          <w:cols w:space="425"/>
          <w:titlePg/>
          <w:docGrid w:type="lines" w:linePitch="326"/>
        </w:sectPr>
      </w:pPr>
    </w:p>
    <w:p w14:paraId="32982508" w14:textId="40E416B3" w:rsidR="00282691" w:rsidRPr="003160F8" w:rsidRDefault="00717F76" w:rsidP="00717F76">
      <w:pPr>
        <w:pStyle w:val="MDPI41tablecaption"/>
        <w:jc w:val="center"/>
        <w:rPr>
          <w:lang w:val="en-GB"/>
        </w:rPr>
      </w:pPr>
      <w:r w:rsidRPr="003160F8">
        <w:rPr>
          <w:b/>
          <w:lang w:val="en-GB"/>
        </w:rPr>
        <w:t>Table 1.</w:t>
      </w:r>
      <w:r w:rsidR="00282691" w:rsidRPr="003160F8">
        <w:rPr>
          <w:b/>
          <w:lang w:val="en-GB"/>
        </w:rPr>
        <w:t xml:space="preserve"> </w:t>
      </w:r>
      <w:r w:rsidR="00282691" w:rsidRPr="003160F8">
        <w:rPr>
          <w:lang w:val="en-GB"/>
        </w:rPr>
        <w:t>Characteristics of the cohorts in the ALPHABET consortium.</w:t>
      </w:r>
    </w:p>
    <w:tbl>
      <w:tblPr>
        <w:tblStyle w:val="TableGrid"/>
        <w:tblW w:w="5000" w:type="pct"/>
        <w:jc w:val="center"/>
        <w:tblLook w:val="04A0" w:firstRow="1" w:lastRow="0" w:firstColumn="1" w:lastColumn="0" w:noHBand="0" w:noVBand="1"/>
      </w:tblPr>
      <w:tblGrid>
        <w:gridCol w:w="1698"/>
        <w:gridCol w:w="1718"/>
        <w:gridCol w:w="924"/>
        <w:gridCol w:w="772"/>
        <w:gridCol w:w="1704"/>
        <w:gridCol w:w="1848"/>
        <w:gridCol w:w="1704"/>
        <w:gridCol w:w="1704"/>
        <w:gridCol w:w="852"/>
        <w:gridCol w:w="709"/>
        <w:gridCol w:w="711"/>
      </w:tblGrid>
      <w:tr w:rsidR="00717F76" w:rsidRPr="003160F8" w14:paraId="044CB582" w14:textId="77777777" w:rsidTr="00B0160C">
        <w:trPr>
          <w:jc w:val="center"/>
        </w:trPr>
        <w:tc>
          <w:tcPr>
            <w:tcW w:w="592" w:type="pct"/>
            <w:tcBorders>
              <w:top w:val="single" w:sz="8" w:space="0" w:color="auto"/>
              <w:left w:val="nil"/>
              <w:bottom w:val="nil"/>
              <w:right w:val="nil"/>
            </w:tcBorders>
            <w:shd w:val="clear" w:color="auto" w:fill="auto"/>
            <w:vAlign w:val="center"/>
          </w:tcPr>
          <w:p w14:paraId="11D16266" w14:textId="77777777" w:rsidR="00CE25C3" w:rsidRPr="003160F8" w:rsidRDefault="00CE25C3" w:rsidP="00717F76">
            <w:pPr>
              <w:pStyle w:val="MDPI42tablebody"/>
              <w:autoSpaceDE w:val="0"/>
              <w:autoSpaceDN w:val="0"/>
              <w:spacing w:line="240" w:lineRule="auto"/>
              <w:rPr>
                <w:b/>
                <w:color w:val="auto"/>
                <w:lang w:val="en-GB"/>
              </w:rPr>
            </w:pPr>
            <w:r w:rsidRPr="003160F8">
              <w:rPr>
                <w:b/>
                <w:color w:val="auto"/>
                <w:lang w:val="en-GB"/>
              </w:rPr>
              <w:t>Cohort</w:t>
            </w:r>
          </w:p>
        </w:tc>
        <w:tc>
          <w:tcPr>
            <w:tcW w:w="599" w:type="pct"/>
            <w:tcBorders>
              <w:top w:val="single" w:sz="8" w:space="0" w:color="auto"/>
              <w:left w:val="nil"/>
              <w:bottom w:val="nil"/>
              <w:right w:val="nil"/>
            </w:tcBorders>
            <w:shd w:val="clear" w:color="auto" w:fill="auto"/>
            <w:vAlign w:val="center"/>
          </w:tcPr>
          <w:p w14:paraId="28B8A944" w14:textId="77777777" w:rsidR="00CE25C3" w:rsidRPr="003160F8" w:rsidRDefault="00CE25C3" w:rsidP="00717F76">
            <w:pPr>
              <w:pStyle w:val="MDPI42tablebody"/>
              <w:autoSpaceDE w:val="0"/>
              <w:autoSpaceDN w:val="0"/>
              <w:spacing w:line="240" w:lineRule="auto"/>
              <w:rPr>
                <w:b/>
                <w:color w:val="auto"/>
                <w:vertAlign w:val="superscript"/>
                <w:lang w:val="en-GB"/>
              </w:rPr>
            </w:pPr>
            <w:r w:rsidRPr="003160F8">
              <w:rPr>
                <w:b/>
                <w:color w:val="auto"/>
                <w:lang w:val="en-GB"/>
              </w:rPr>
              <w:t>ALSPAC</w:t>
            </w:r>
          </w:p>
        </w:tc>
        <w:tc>
          <w:tcPr>
            <w:tcW w:w="591" w:type="pct"/>
            <w:gridSpan w:val="2"/>
            <w:tcBorders>
              <w:top w:val="single" w:sz="8" w:space="0" w:color="auto"/>
              <w:left w:val="nil"/>
              <w:bottom w:val="nil"/>
              <w:right w:val="nil"/>
            </w:tcBorders>
            <w:shd w:val="clear" w:color="auto" w:fill="auto"/>
            <w:vAlign w:val="center"/>
          </w:tcPr>
          <w:p w14:paraId="4F4250BF" w14:textId="77777777" w:rsidR="00CE25C3" w:rsidRPr="003160F8" w:rsidRDefault="00CE25C3" w:rsidP="00717F76">
            <w:pPr>
              <w:pStyle w:val="MDPI42tablebody"/>
              <w:autoSpaceDE w:val="0"/>
              <w:autoSpaceDN w:val="0"/>
              <w:spacing w:line="240" w:lineRule="auto"/>
              <w:rPr>
                <w:b/>
                <w:color w:val="auto"/>
                <w:vertAlign w:val="superscript"/>
                <w:lang w:val="en-GB"/>
              </w:rPr>
            </w:pPr>
            <w:r w:rsidRPr="003160F8">
              <w:rPr>
                <w:b/>
                <w:color w:val="auto"/>
                <w:lang w:val="en-GB"/>
              </w:rPr>
              <w:t>EDEN</w:t>
            </w:r>
          </w:p>
        </w:tc>
        <w:tc>
          <w:tcPr>
            <w:tcW w:w="594" w:type="pct"/>
            <w:tcBorders>
              <w:top w:val="single" w:sz="8" w:space="0" w:color="auto"/>
              <w:left w:val="nil"/>
              <w:bottom w:val="nil"/>
              <w:right w:val="nil"/>
            </w:tcBorders>
            <w:shd w:val="clear" w:color="auto" w:fill="auto"/>
            <w:vAlign w:val="center"/>
          </w:tcPr>
          <w:p w14:paraId="3E208E52" w14:textId="77777777" w:rsidR="00CE25C3" w:rsidRPr="003160F8" w:rsidRDefault="00CE25C3" w:rsidP="00717F76">
            <w:pPr>
              <w:pStyle w:val="MDPI42tablebody"/>
              <w:autoSpaceDE w:val="0"/>
              <w:autoSpaceDN w:val="0"/>
              <w:spacing w:line="240" w:lineRule="auto"/>
              <w:rPr>
                <w:b/>
                <w:color w:val="auto"/>
                <w:vertAlign w:val="superscript"/>
                <w:lang w:val="en-GB"/>
              </w:rPr>
            </w:pPr>
            <w:r w:rsidRPr="003160F8">
              <w:rPr>
                <w:b/>
                <w:color w:val="auto"/>
                <w:lang w:val="en-GB"/>
              </w:rPr>
              <w:t>Generation R</w:t>
            </w:r>
          </w:p>
        </w:tc>
        <w:tc>
          <w:tcPr>
            <w:tcW w:w="644" w:type="pct"/>
            <w:tcBorders>
              <w:top w:val="single" w:sz="8" w:space="0" w:color="auto"/>
              <w:left w:val="nil"/>
              <w:bottom w:val="nil"/>
              <w:right w:val="nil"/>
            </w:tcBorders>
            <w:shd w:val="clear" w:color="auto" w:fill="auto"/>
            <w:vAlign w:val="center"/>
          </w:tcPr>
          <w:p w14:paraId="0200BEF4" w14:textId="77777777" w:rsidR="00CE25C3" w:rsidRPr="003160F8" w:rsidRDefault="00CE25C3" w:rsidP="00717F76">
            <w:pPr>
              <w:pStyle w:val="MDPI42tablebody"/>
              <w:autoSpaceDE w:val="0"/>
              <w:autoSpaceDN w:val="0"/>
              <w:spacing w:line="240" w:lineRule="auto"/>
              <w:rPr>
                <w:b/>
                <w:color w:val="auto"/>
                <w:vertAlign w:val="superscript"/>
                <w:lang w:val="en-GB"/>
              </w:rPr>
            </w:pPr>
            <w:r w:rsidRPr="003160F8">
              <w:rPr>
                <w:b/>
                <w:color w:val="auto"/>
                <w:lang w:val="en-GB"/>
              </w:rPr>
              <w:t>Lifeways</w:t>
            </w:r>
          </w:p>
        </w:tc>
        <w:tc>
          <w:tcPr>
            <w:tcW w:w="594" w:type="pct"/>
            <w:tcBorders>
              <w:top w:val="single" w:sz="8" w:space="0" w:color="auto"/>
              <w:left w:val="nil"/>
              <w:bottom w:val="nil"/>
              <w:right w:val="nil"/>
            </w:tcBorders>
            <w:shd w:val="clear" w:color="auto" w:fill="auto"/>
            <w:vAlign w:val="center"/>
          </w:tcPr>
          <w:p w14:paraId="71AA3DFA" w14:textId="77777777" w:rsidR="00CE25C3" w:rsidRPr="003160F8" w:rsidRDefault="00CE25C3" w:rsidP="00717F76">
            <w:pPr>
              <w:pStyle w:val="MDPI42tablebody"/>
              <w:autoSpaceDE w:val="0"/>
              <w:autoSpaceDN w:val="0"/>
              <w:spacing w:line="240" w:lineRule="auto"/>
              <w:rPr>
                <w:b/>
                <w:color w:val="auto"/>
                <w:vertAlign w:val="superscript"/>
                <w:lang w:val="en-GB"/>
              </w:rPr>
            </w:pPr>
            <w:r w:rsidRPr="003160F8">
              <w:rPr>
                <w:b/>
                <w:color w:val="auto"/>
                <w:lang w:val="en-GB"/>
              </w:rPr>
              <w:t>REPRO_PL</w:t>
            </w:r>
          </w:p>
        </w:tc>
        <w:tc>
          <w:tcPr>
            <w:tcW w:w="594" w:type="pct"/>
            <w:tcBorders>
              <w:top w:val="single" w:sz="8" w:space="0" w:color="auto"/>
              <w:left w:val="nil"/>
              <w:bottom w:val="nil"/>
              <w:right w:val="nil"/>
            </w:tcBorders>
            <w:shd w:val="clear" w:color="auto" w:fill="auto"/>
            <w:vAlign w:val="center"/>
          </w:tcPr>
          <w:p w14:paraId="2B188786" w14:textId="77777777" w:rsidR="00CE25C3" w:rsidRPr="003160F8" w:rsidRDefault="00CE25C3" w:rsidP="00717F76">
            <w:pPr>
              <w:pStyle w:val="MDPI42tablebody"/>
              <w:autoSpaceDE w:val="0"/>
              <w:autoSpaceDN w:val="0"/>
              <w:spacing w:line="240" w:lineRule="auto"/>
              <w:rPr>
                <w:b/>
                <w:color w:val="auto"/>
                <w:vertAlign w:val="superscript"/>
                <w:lang w:val="en-GB"/>
              </w:rPr>
            </w:pPr>
            <w:r w:rsidRPr="003160F8">
              <w:rPr>
                <w:b/>
                <w:color w:val="auto"/>
                <w:lang w:val="en-GB"/>
              </w:rPr>
              <w:t>ROLO</w:t>
            </w:r>
          </w:p>
        </w:tc>
        <w:tc>
          <w:tcPr>
            <w:tcW w:w="792" w:type="pct"/>
            <w:gridSpan w:val="3"/>
            <w:tcBorders>
              <w:top w:val="single" w:sz="8" w:space="0" w:color="auto"/>
              <w:left w:val="nil"/>
              <w:bottom w:val="nil"/>
              <w:right w:val="nil"/>
            </w:tcBorders>
            <w:shd w:val="clear" w:color="auto" w:fill="auto"/>
            <w:vAlign w:val="center"/>
          </w:tcPr>
          <w:p w14:paraId="6713F938" w14:textId="77777777" w:rsidR="00CE25C3" w:rsidRPr="003160F8" w:rsidRDefault="00CE25C3" w:rsidP="00717F76">
            <w:pPr>
              <w:pStyle w:val="MDPI42tablebody"/>
              <w:autoSpaceDE w:val="0"/>
              <w:autoSpaceDN w:val="0"/>
              <w:spacing w:line="240" w:lineRule="auto"/>
              <w:rPr>
                <w:b/>
                <w:color w:val="auto"/>
                <w:vertAlign w:val="superscript"/>
                <w:lang w:val="en-GB"/>
              </w:rPr>
            </w:pPr>
            <w:r w:rsidRPr="003160F8">
              <w:rPr>
                <w:b/>
                <w:color w:val="auto"/>
                <w:lang w:val="en-GB"/>
              </w:rPr>
              <w:t>SWS</w:t>
            </w:r>
          </w:p>
        </w:tc>
      </w:tr>
      <w:tr w:rsidR="00101347" w:rsidRPr="003160F8" w14:paraId="36D87D5D" w14:textId="77777777" w:rsidTr="00B0160C">
        <w:trPr>
          <w:jc w:val="center"/>
        </w:trPr>
        <w:tc>
          <w:tcPr>
            <w:tcW w:w="592" w:type="pct"/>
            <w:tcBorders>
              <w:top w:val="nil"/>
              <w:left w:val="nil"/>
              <w:bottom w:val="single" w:sz="4" w:space="0" w:color="auto"/>
              <w:right w:val="nil"/>
            </w:tcBorders>
            <w:shd w:val="clear" w:color="auto" w:fill="auto"/>
            <w:vAlign w:val="center"/>
          </w:tcPr>
          <w:p w14:paraId="0DDBFFBE" w14:textId="4090E02E" w:rsidR="00CE25C3" w:rsidRPr="003160F8" w:rsidRDefault="00CE25C3" w:rsidP="00717F76">
            <w:pPr>
              <w:pStyle w:val="MDPI42tablebody"/>
              <w:autoSpaceDE w:val="0"/>
              <w:autoSpaceDN w:val="0"/>
              <w:spacing w:line="240" w:lineRule="auto"/>
              <w:rPr>
                <w:b/>
                <w:color w:val="auto"/>
                <w:szCs w:val="18"/>
                <w:lang w:val="en-GB"/>
              </w:rPr>
            </w:pPr>
            <w:r w:rsidRPr="003160F8">
              <w:rPr>
                <w:b/>
                <w:color w:val="auto"/>
                <w:szCs w:val="18"/>
                <w:lang w:val="en-GB"/>
              </w:rPr>
              <w:t xml:space="preserve">Number of </w:t>
            </w:r>
            <w:r w:rsidR="00D8011B">
              <w:rPr>
                <w:b/>
                <w:color w:val="auto"/>
                <w:szCs w:val="18"/>
                <w:lang w:val="en-GB"/>
              </w:rPr>
              <w:t>R</w:t>
            </w:r>
            <w:r w:rsidRPr="003160F8">
              <w:rPr>
                <w:b/>
                <w:color w:val="auto"/>
                <w:szCs w:val="18"/>
                <w:lang w:val="en-GB"/>
              </w:rPr>
              <w:t xml:space="preserve">ecruited </w:t>
            </w:r>
            <w:r w:rsidR="00D8011B">
              <w:rPr>
                <w:b/>
                <w:color w:val="auto"/>
                <w:szCs w:val="18"/>
                <w:lang w:val="en-GB"/>
              </w:rPr>
              <w:t>W</w:t>
            </w:r>
            <w:r w:rsidRPr="003160F8">
              <w:rPr>
                <w:b/>
                <w:color w:val="auto"/>
                <w:szCs w:val="18"/>
                <w:lang w:val="en-GB"/>
              </w:rPr>
              <w:t>omen</w:t>
            </w:r>
          </w:p>
        </w:tc>
        <w:tc>
          <w:tcPr>
            <w:tcW w:w="599" w:type="pct"/>
            <w:tcBorders>
              <w:top w:val="nil"/>
              <w:left w:val="nil"/>
              <w:bottom w:val="single" w:sz="4" w:space="0" w:color="auto"/>
              <w:right w:val="nil"/>
            </w:tcBorders>
            <w:shd w:val="clear" w:color="auto" w:fill="auto"/>
            <w:vAlign w:val="center"/>
          </w:tcPr>
          <w:p w14:paraId="4BEEC263"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14,541</w:t>
            </w:r>
          </w:p>
        </w:tc>
        <w:tc>
          <w:tcPr>
            <w:tcW w:w="591" w:type="pct"/>
            <w:gridSpan w:val="2"/>
            <w:tcBorders>
              <w:top w:val="nil"/>
              <w:left w:val="nil"/>
              <w:bottom w:val="single" w:sz="4" w:space="0" w:color="auto"/>
              <w:right w:val="nil"/>
            </w:tcBorders>
            <w:shd w:val="clear" w:color="auto" w:fill="auto"/>
            <w:vAlign w:val="center"/>
          </w:tcPr>
          <w:p w14:paraId="21A429CE"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2,002</w:t>
            </w:r>
          </w:p>
        </w:tc>
        <w:tc>
          <w:tcPr>
            <w:tcW w:w="594" w:type="pct"/>
            <w:tcBorders>
              <w:top w:val="nil"/>
              <w:left w:val="nil"/>
              <w:bottom w:val="single" w:sz="4" w:space="0" w:color="auto"/>
              <w:right w:val="nil"/>
            </w:tcBorders>
            <w:shd w:val="clear" w:color="auto" w:fill="auto"/>
            <w:vAlign w:val="center"/>
          </w:tcPr>
          <w:p w14:paraId="31E49582"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9,778</w:t>
            </w:r>
          </w:p>
        </w:tc>
        <w:tc>
          <w:tcPr>
            <w:tcW w:w="644" w:type="pct"/>
            <w:tcBorders>
              <w:top w:val="nil"/>
              <w:left w:val="nil"/>
              <w:bottom w:val="single" w:sz="4" w:space="0" w:color="auto"/>
              <w:right w:val="nil"/>
            </w:tcBorders>
            <w:shd w:val="clear" w:color="auto" w:fill="auto"/>
            <w:vAlign w:val="center"/>
          </w:tcPr>
          <w:p w14:paraId="2948759E"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1,132</w:t>
            </w:r>
          </w:p>
        </w:tc>
        <w:tc>
          <w:tcPr>
            <w:tcW w:w="594" w:type="pct"/>
            <w:tcBorders>
              <w:top w:val="nil"/>
              <w:left w:val="nil"/>
              <w:bottom w:val="single" w:sz="4" w:space="0" w:color="auto"/>
              <w:right w:val="nil"/>
            </w:tcBorders>
            <w:shd w:val="clear" w:color="auto" w:fill="auto"/>
            <w:vAlign w:val="center"/>
          </w:tcPr>
          <w:p w14:paraId="5BD4FC9F"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1,451</w:t>
            </w:r>
          </w:p>
        </w:tc>
        <w:tc>
          <w:tcPr>
            <w:tcW w:w="594" w:type="pct"/>
            <w:tcBorders>
              <w:top w:val="nil"/>
              <w:left w:val="nil"/>
              <w:bottom w:val="single" w:sz="4" w:space="0" w:color="auto"/>
              <w:right w:val="nil"/>
            </w:tcBorders>
            <w:shd w:val="clear" w:color="auto" w:fill="auto"/>
            <w:vAlign w:val="center"/>
          </w:tcPr>
          <w:p w14:paraId="14EC51E1"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759</w:t>
            </w:r>
          </w:p>
        </w:tc>
        <w:tc>
          <w:tcPr>
            <w:tcW w:w="792" w:type="pct"/>
            <w:gridSpan w:val="3"/>
            <w:tcBorders>
              <w:top w:val="nil"/>
              <w:left w:val="nil"/>
              <w:bottom w:val="single" w:sz="4" w:space="0" w:color="auto"/>
              <w:right w:val="nil"/>
            </w:tcBorders>
            <w:shd w:val="clear" w:color="auto" w:fill="auto"/>
            <w:vAlign w:val="center"/>
          </w:tcPr>
          <w:p w14:paraId="490DF0B7"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12,583</w:t>
            </w:r>
          </w:p>
        </w:tc>
      </w:tr>
      <w:tr w:rsidR="00101347" w:rsidRPr="003160F8" w14:paraId="2A12494C" w14:textId="77777777" w:rsidTr="00B0160C">
        <w:trPr>
          <w:jc w:val="center"/>
        </w:trPr>
        <w:tc>
          <w:tcPr>
            <w:tcW w:w="592" w:type="pct"/>
            <w:tcBorders>
              <w:top w:val="single" w:sz="4" w:space="0" w:color="auto"/>
              <w:left w:val="nil"/>
              <w:bottom w:val="nil"/>
              <w:right w:val="nil"/>
            </w:tcBorders>
            <w:shd w:val="clear" w:color="auto" w:fill="auto"/>
            <w:vAlign w:val="center"/>
          </w:tcPr>
          <w:p w14:paraId="2A4E2D4E"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Women age eligibility</w:t>
            </w:r>
          </w:p>
        </w:tc>
        <w:tc>
          <w:tcPr>
            <w:tcW w:w="599" w:type="pct"/>
            <w:tcBorders>
              <w:top w:val="single" w:sz="4" w:space="0" w:color="auto"/>
              <w:left w:val="nil"/>
              <w:bottom w:val="nil"/>
              <w:right w:val="nil"/>
            </w:tcBorders>
            <w:shd w:val="clear" w:color="auto" w:fill="auto"/>
            <w:vAlign w:val="center"/>
          </w:tcPr>
          <w:p w14:paraId="142CDEFB"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No age limit</w:t>
            </w:r>
          </w:p>
        </w:tc>
        <w:tc>
          <w:tcPr>
            <w:tcW w:w="591" w:type="pct"/>
            <w:gridSpan w:val="2"/>
            <w:tcBorders>
              <w:top w:val="single" w:sz="4" w:space="0" w:color="auto"/>
              <w:left w:val="nil"/>
              <w:bottom w:val="nil"/>
              <w:right w:val="nil"/>
            </w:tcBorders>
            <w:shd w:val="clear" w:color="auto" w:fill="auto"/>
            <w:vAlign w:val="center"/>
          </w:tcPr>
          <w:p w14:paraId="18730E44"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18 and over</w:t>
            </w:r>
          </w:p>
        </w:tc>
        <w:tc>
          <w:tcPr>
            <w:tcW w:w="594" w:type="pct"/>
            <w:tcBorders>
              <w:top w:val="single" w:sz="4" w:space="0" w:color="auto"/>
              <w:left w:val="nil"/>
              <w:bottom w:val="nil"/>
              <w:right w:val="nil"/>
            </w:tcBorders>
            <w:shd w:val="clear" w:color="auto" w:fill="auto"/>
            <w:vAlign w:val="center"/>
          </w:tcPr>
          <w:p w14:paraId="10F6FA55"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No age limit</w:t>
            </w:r>
          </w:p>
        </w:tc>
        <w:tc>
          <w:tcPr>
            <w:tcW w:w="644" w:type="pct"/>
            <w:tcBorders>
              <w:top w:val="single" w:sz="4" w:space="0" w:color="auto"/>
              <w:left w:val="nil"/>
              <w:bottom w:val="nil"/>
              <w:right w:val="nil"/>
            </w:tcBorders>
            <w:shd w:val="clear" w:color="auto" w:fill="auto"/>
            <w:vAlign w:val="center"/>
          </w:tcPr>
          <w:p w14:paraId="6DEE481F"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No age limit</w:t>
            </w:r>
          </w:p>
        </w:tc>
        <w:tc>
          <w:tcPr>
            <w:tcW w:w="594" w:type="pct"/>
            <w:tcBorders>
              <w:top w:val="single" w:sz="4" w:space="0" w:color="auto"/>
              <w:left w:val="nil"/>
              <w:bottom w:val="nil"/>
              <w:right w:val="nil"/>
            </w:tcBorders>
            <w:shd w:val="clear" w:color="auto" w:fill="auto"/>
            <w:vAlign w:val="center"/>
          </w:tcPr>
          <w:p w14:paraId="6951C4C5"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No age limit</w:t>
            </w:r>
          </w:p>
        </w:tc>
        <w:tc>
          <w:tcPr>
            <w:tcW w:w="594" w:type="pct"/>
            <w:tcBorders>
              <w:top w:val="single" w:sz="4" w:space="0" w:color="auto"/>
              <w:left w:val="nil"/>
              <w:bottom w:val="nil"/>
              <w:right w:val="nil"/>
            </w:tcBorders>
            <w:shd w:val="clear" w:color="auto" w:fill="auto"/>
            <w:vAlign w:val="center"/>
          </w:tcPr>
          <w:p w14:paraId="00F6AEFC"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18 and over</w:t>
            </w:r>
          </w:p>
        </w:tc>
        <w:tc>
          <w:tcPr>
            <w:tcW w:w="792" w:type="pct"/>
            <w:gridSpan w:val="3"/>
            <w:tcBorders>
              <w:top w:val="single" w:sz="4" w:space="0" w:color="auto"/>
              <w:left w:val="nil"/>
              <w:bottom w:val="nil"/>
              <w:right w:val="nil"/>
            </w:tcBorders>
            <w:shd w:val="clear" w:color="auto" w:fill="auto"/>
            <w:vAlign w:val="center"/>
          </w:tcPr>
          <w:p w14:paraId="12A39EDD" w14:textId="40B40B12"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20</w:t>
            </w:r>
            <w:r w:rsidR="00717F76" w:rsidRPr="003160F8">
              <w:rPr>
                <w:color w:val="auto"/>
                <w:szCs w:val="18"/>
                <w:lang w:val="en-GB"/>
              </w:rPr>
              <w:t>–</w:t>
            </w:r>
            <w:r w:rsidRPr="003160F8">
              <w:rPr>
                <w:color w:val="auto"/>
                <w:szCs w:val="18"/>
                <w:lang w:val="en-GB"/>
              </w:rPr>
              <w:t>34 years</w:t>
            </w:r>
          </w:p>
        </w:tc>
      </w:tr>
      <w:tr w:rsidR="00101347" w:rsidRPr="003160F8" w14:paraId="6C28CB2A" w14:textId="77777777" w:rsidTr="00B0160C">
        <w:trPr>
          <w:jc w:val="center"/>
        </w:trPr>
        <w:tc>
          <w:tcPr>
            <w:tcW w:w="592" w:type="pct"/>
            <w:tcBorders>
              <w:top w:val="nil"/>
              <w:left w:val="nil"/>
              <w:bottom w:val="nil"/>
              <w:right w:val="nil"/>
            </w:tcBorders>
            <w:shd w:val="clear" w:color="auto" w:fill="auto"/>
            <w:vAlign w:val="center"/>
          </w:tcPr>
          <w:p w14:paraId="1A92B2C1"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Study type</w:t>
            </w:r>
          </w:p>
        </w:tc>
        <w:tc>
          <w:tcPr>
            <w:tcW w:w="599" w:type="pct"/>
            <w:tcBorders>
              <w:top w:val="nil"/>
              <w:left w:val="nil"/>
              <w:bottom w:val="nil"/>
              <w:right w:val="nil"/>
            </w:tcBorders>
            <w:shd w:val="clear" w:color="auto" w:fill="auto"/>
            <w:vAlign w:val="center"/>
          </w:tcPr>
          <w:p w14:paraId="08E0528C"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Mother-child</w:t>
            </w:r>
          </w:p>
          <w:p w14:paraId="20CB7813"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cohort</w:t>
            </w:r>
          </w:p>
        </w:tc>
        <w:tc>
          <w:tcPr>
            <w:tcW w:w="591" w:type="pct"/>
            <w:gridSpan w:val="2"/>
            <w:tcBorders>
              <w:top w:val="nil"/>
              <w:left w:val="nil"/>
              <w:bottom w:val="nil"/>
              <w:right w:val="nil"/>
            </w:tcBorders>
            <w:shd w:val="clear" w:color="auto" w:fill="auto"/>
            <w:vAlign w:val="center"/>
          </w:tcPr>
          <w:p w14:paraId="38CA3D5E"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Mother-child</w:t>
            </w:r>
          </w:p>
          <w:p w14:paraId="41A113C8"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cohort</w:t>
            </w:r>
          </w:p>
        </w:tc>
        <w:tc>
          <w:tcPr>
            <w:tcW w:w="594" w:type="pct"/>
            <w:tcBorders>
              <w:top w:val="nil"/>
              <w:left w:val="nil"/>
              <w:bottom w:val="nil"/>
              <w:right w:val="nil"/>
            </w:tcBorders>
            <w:shd w:val="clear" w:color="auto" w:fill="auto"/>
            <w:vAlign w:val="center"/>
          </w:tcPr>
          <w:p w14:paraId="5B80AC88"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Pregnancy-child</w:t>
            </w:r>
          </w:p>
          <w:p w14:paraId="7267C52E"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cohort</w:t>
            </w:r>
          </w:p>
        </w:tc>
        <w:tc>
          <w:tcPr>
            <w:tcW w:w="644" w:type="pct"/>
            <w:tcBorders>
              <w:top w:val="nil"/>
              <w:left w:val="nil"/>
              <w:bottom w:val="nil"/>
              <w:right w:val="nil"/>
            </w:tcBorders>
            <w:shd w:val="clear" w:color="auto" w:fill="auto"/>
            <w:vAlign w:val="center"/>
          </w:tcPr>
          <w:p w14:paraId="12046582"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Mother-child</w:t>
            </w:r>
          </w:p>
          <w:p w14:paraId="4DB6E000"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cohort</w:t>
            </w:r>
          </w:p>
        </w:tc>
        <w:tc>
          <w:tcPr>
            <w:tcW w:w="594" w:type="pct"/>
            <w:tcBorders>
              <w:top w:val="nil"/>
              <w:left w:val="nil"/>
              <w:bottom w:val="nil"/>
              <w:right w:val="nil"/>
            </w:tcBorders>
            <w:shd w:val="clear" w:color="auto" w:fill="auto"/>
            <w:vAlign w:val="center"/>
          </w:tcPr>
          <w:p w14:paraId="7BBC4D8B"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Mother-child</w:t>
            </w:r>
          </w:p>
          <w:p w14:paraId="01F7BCC5"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cohort</w:t>
            </w:r>
          </w:p>
        </w:tc>
        <w:tc>
          <w:tcPr>
            <w:tcW w:w="594" w:type="pct"/>
            <w:tcBorders>
              <w:top w:val="nil"/>
              <w:left w:val="nil"/>
              <w:bottom w:val="nil"/>
              <w:right w:val="nil"/>
            </w:tcBorders>
            <w:shd w:val="clear" w:color="auto" w:fill="auto"/>
            <w:vAlign w:val="center"/>
          </w:tcPr>
          <w:p w14:paraId="18117B01"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Randomised control trial</w:t>
            </w:r>
          </w:p>
        </w:tc>
        <w:tc>
          <w:tcPr>
            <w:tcW w:w="792" w:type="pct"/>
            <w:gridSpan w:val="3"/>
            <w:tcBorders>
              <w:top w:val="nil"/>
              <w:left w:val="nil"/>
              <w:bottom w:val="nil"/>
              <w:right w:val="nil"/>
            </w:tcBorders>
            <w:shd w:val="clear" w:color="auto" w:fill="auto"/>
            <w:vAlign w:val="center"/>
          </w:tcPr>
          <w:p w14:paraId="71A899FF"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Pre-pregnancy and pregnancy-child cohort</w:t>
            </w:r>
          </w:p>
        </w:tc>
      </w:tr>
      <w:tr w:rsidR="00101347" w:rsidRPr="003160F8" w14:paraId="6DB28D0C" w14:textId="77777777" w:rsidTr="00B0160C">
        <w:trPr>
          <w:jc w:val="center"/>
        </w:trPr>
        <w:tc>
          <w:tcPr>
            <w:tcW w:w="592" w:type="pct"/>
            <w:tcBorders>
              <w:top w:val="nil"/>
              <w:left w:val="nil"/>
              <w:bottom w:val="nil"/>
              <w:right w:val="nil"/>
            </w:tcBorders>
            <w:shd w:val="clear" w:color="auto" w:fill="auto"/>
            <w:vAlign w:val="center"/>
          </w:tcPr>
          <w:p w14:paraId="7406EA17"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Period of inclusion</w:t>
            </w:r>
          </w:p>
        </w:tc>
        <w:tc>
          <w:tcPr>
            <w:tcW w:w="599" w:type="pct"/>
            <w:tcBorders>
              <w:top w:val="nil"/>
              <w:left w:val="nil"/>
              <w:bottom w:val="nil"/>
              <w:right w:val="nil"/>
            </w:tcBorders>
            <w:shd w:val="clear" w:color="auto" w:fill="auto"/>
            <w:vAlign w:val="center"/>
          </w:tcPr>
          <w:p w14:paraId="484F5A7C" w14:textId="29FCBCD4"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1990</w:t>
            </w:r>
            <w:r w:rsidR="00717F76" w:rsidRPr="003160F8">
              <w:rPr>
                <w:color w:val="auto"/>
                <w:szCs w:val="18"/>
                <w:lang w:val="en-GB"/>
              </w:rPr>
              <w:t>–</w:t>
            </w:r>
            <w:r w:rsidRPr="003160F8">
              <w:rPr>
                <w:color w:val="auto"/>
                <w:szCs w:val="18"/>
                <w:lang w:val="en-GB"/>
              </w:rPr>
              <w:t>1992</w:t>
            </w:r>
          </w:p>
        </w:tc>
        <w:tc>
          <w:tcPr>
            <w:tcW w:w="591" w:type="pct"/>
            <w:gridSpan w:val="2"/>
            <w:tcBorders>
              <w:top w:val="nil"/>
              <w:left w:val="nil"/>
              <w:bottom w:val="nil"/>
              <w:right w:val="nil"/>
            </w:tcBorders>
            <w:shd w:val="clear" w:color="auto" w:fill="auto"/>
            <w:vAlign w:val="center"/>
          </w:tcPr>
          <w:p w14:paraId="274F10B4" w14:textId="6C0725BF"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2003</w:t>
            </w:r>
            <w:r w:rsidR="00717F76" w:rsidRPr="003160F8">
              <w:rPr>
                <w:color w:val="auto"/>
                <w:szCs w:val="18"/>
                <w:lang w:val="en-GB"/>
              </w:rPr>
              <w:t>–</w:t>
            </w:r>
            <w:r w:rsidRPr="003160F8">
              <w:rPr>
                <w:color w:val="auto"/>
                <w:szCs w:val="18"/>
                <w:lang w:val="en-GB"/>
              </w:rPr>
              <w:t>2006</w:t>
            </w:r>
          </w:p>
        </w:tc>
        <w:tc>
          <w:tcPr>
            <w:tcW w:w="594" w:type="pct"/>
            <w:tcBorders>
              <w:top w:val="nil"/>
              <w:left w:val="nil"/>
              <w:bottom w:val="nil"/>
              <w:right w:val="nil"/>
            </w:tcBorders>
            <w:shd w:val="clear" w:color="auto" w:fill="auto"/>
            <w:vAlign w:val="center"/>
          </w:tcPr>
          <w:p w14:paraId="1F409213" w14:textId="5670A924"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2002</w:t>
            </w:r>
            <w:r w:rsidR="00717F76" w:rsidRPr="003160F8">
              <w:rPr>
                <w:color w:val="auto"/>
                <w:szCs w:val="18"/>
                <w:lang w:val="en-GB"/>
              </w:rPr>
              <w:t>–</w:t>
            </w:r>
            <w:r w:rsidRPr="003160F8">
              <w:rPr>
                <w:color w:val="auto"/>
                <w:szCs w:val="18"/>
                <w:lang w:val="en-GB"/>
              </w:rPr>
              <w:t>2006</w:t>
            </w:r>
          </w:p>
        </w:tc>
        <w:tc>
          <w:tcPr>
            <w:tcW w:w="644" w:type="pct"/>
            <w:tcBorders>
              <w:top w:val="nil"/>
              <w:left w:val="nil"/>
              <w:bottom w:val="nil"/>
              <w:right w:val="nil"/>
            </w:tcBorders>
            <w:shd w:val="clear" w:color="auto" w:fill="auto"/>
            <w:vAlign w:val="center"/>
          </w:tcPr>
          <w:p w14:paraId="0B309DB9" w14:textId="49499404"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2001</w:t>
            </w:r>
            <w:r w:rsidR="00717F76" w:rsidRPr="003160F8">
              <w:rPr>
                <w:color w:val="auto"/>
                <w:szCs w:val="18"/>
                <w:lang w:val="en-GB"/>
              </w:rPr>
              <w:t>–</w:t>
            </w:r>
            <w:r w:rsidRPr="003160F8">
              <w:rPr>
                <w:color w:val="auto"/>
                <w:szCs w:val="18"/>
                <w:lang w:val="en-GB"/>
              </w:rPr>
              <w:t>2003</w:t>
            </w:r>
          </w:p>
        </w:tc>
        <w:tc>
          <w:tcPr>
            <w:tcW w:w="594" w:type="pct"/>
            <w:tcBorders>
              <w:top w:val="nil"/>
              <w:left w:val="nil"/>
              <w:bottom w:val="nil"/>
              <w:right w:val="nil"/>
            </w:tcBorders>
            <w:shd w:val="clear" w:color="auto" w:fill="auto"/>
            <w:vAlign w:val="center"/>
          </w:tcPr>
          <w:p w14:paraId="631F8C3C" w14:textId="37132A0C"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2007</w:t>
            </w:r>
            <w:r w:rsidR="00717F76" w:rsidRPr="003160F8">
              <w:rPr>
                <w:color w:val="auto"/>
                <w:szCs w:val="18"/>
                <w:lang w:val="en-GB"/>
              </w:rPr>
              <w:t>–</w:t>
            </w:r>
            <w:r w:rsidRPr="003160F8">
              <w:rPr>
                <w:color w:val="auto"/>
                <w:szCs w:val="18"/>
                <w:lang w:val="en-GB"/>
              </w:rPr>
              <w:t>2011</w:t>
            </w:r>
          </w:p>
        </w:tc>
        <w:tc>
          <w:tcPr>
            <w:tcW w:w="594" w:type="pct"/>
            <w:tcBorders>
              <w:top w:val="nil"/>
              <w:left w:val="nil"/>
              <w:bottom w:val="nil"/>
              <w:right w:val="nil"/>
            </w:tcBorders>
            <w:shd w:val="clear" w:color="auto" w:fill="auto"/>
            <w:vAlign w:val="center"/>
          </w:tcPr>
          <w:p w14:paraId="4C53C552" w14:textId="56A597DC"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2007</w:t>
            </w:r>
            <w:r w:rsidR="00717F76" w:rsidRPr="003160F8">
              <w:rPr>
                <w:color w:val="auto"/>
                <w:szCs w:val="18"/>
                <w:lang w:val="en-GB"/>
              </w:rPr>
              <w:t>–</w:t>
            </w:r>
            <w:r w:rsidRPr="003160F8">
              <w:rPr>
                <w:color w:val="auto"/>
                <w:szCs w:val="18"/>
                <w:lang w:val="en-GB"/>
              </w:rPr>
              <w:t>2011</w:t>
            </w:r>
          </w:p>
        </w:tc>
        <w:tc>
          <w:tcPr>
            <w:tcW w:w="792" w:type="pct"/>
            <w:gridSpan w:val="3"/>
            <w:tcBorders>
              <w:top w:val="nil"/>
              <w:left w:val="nil"/>
              <w:bottom w:val="nil"/>
              <w:right w:val="nil"/>
            </w:tcBorders>
            <w:shd w:val="clear" w:color="auto" w:fill="auto"/>
            <w:vAlign w:val="center"/>
          </w:tcPr>
          <w:p w14:paraId="44C5A75E" w14:textId="3D80D66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1998</w:t>
            </w:r>
            <w:r w:rsidR="00717F76" w:rsidRPr="003160F8">
              <w:rPr>
                <w:color w:val="auto"/>
                <w:szCs w:val="18"/>
                <w:lang w:val="en-GB"/>
              </w:rPr>
              <w:t>–</w:t>
            </w:r>
            <w:r w:rsidRPr="003160F8">
              <w:rPr>
                <w:color w:val="auto"/>
                <w:szCs w:val="18"/>
                <w:lang w:val="en-GB"/>
              </w:rPr>
              <w:t>2002</w:t>
            </w:r>
          </w:p>
        </w:tc>
      </w:tr>
      <w:tr w:rsidR="00101347" w:rsidRPr="003160F8" w14:paraId="749C5803" w14:textId="77777777" w:rsidTr="00B0160C">
        <w:trPr>
          <w:jc w:val="center"/>
        </w:trPr>
        <w:tc>
          <w:tcPr>
            <w:tcW w:w="592" w:type="pct"/>
            <w:tcBorders>
              <w:top w:val="nil"/>
              <w:left w:val="nil"/>
              <w:bottom w:val="nil"/>
              <w:right w:val="nil"/>
            </w:tcBorders>
            <w:shd w:val="clear" w:color="auto" w:fill="auto"/>
            <w:vAlign w:val="center"/>
          </w:tcPr>
          <w:p w14:paraId="75DA05A2"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Location</w:t>
            </w:r>
          </w:p>
          <w:p w14:paraId="481716DB"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(specific cities)</w:t>
            </w:r>
          </w:p>
        </w:tc>
        <w:tc>
          <w:tcPr>
            <w:tcW w:w="599" w:type="pct"/>
            <w:tcBorders>
              <w:top w:val="nil"/>
              <w:left w:val="nil"/>
              <w:bottom w:val="nil"/>
              <w:right w:val="nil"/>
            </w:tcBorders>
            <w:shd w:val="clear" w:color="auto" w:fill="auto"/>
            <w:vAlign w:val="center"/>
          </w:tcPr>
          <w:p w14:paraId="38D4A4E7"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England</w:t>
            </w:r>
          </w:p>
          <w:p w14:paraId="50C7077C"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(Bristol)</w:t>
            </w:r>
          </w:p>
        </w:tc>
        <w:tc>
          <w:tcPr>
            <w:tcW w:w="591" w:type="pct"/>
            <w:gridSpan w:val="2"/>
            <w:tcBorders>
              <w:top w:val="nil"/>
              <w:left w:val="nil"/>
              <w:bottom w:val="nil"/>
              <w:right w:val="nil"/>
            </w:tcBorders>
            <w:shd w:val="clear" w:color="auto" w:fill="auto"/>
            <w:vAlign w:val="center"/>
          </w:tcPr>
          <w:p w14:paraId="7E770A84"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France (Multicentre)</w:t>
            </w:r>
          </w:p>
        </w:tc>
        <w:tc>
          <w:tcPr>
            <w:tcW w:w="594" w:type="pct"/>
            <w:tcBorders>
              <w:top w:val="nil"/>
              <w:left w:val="nil"/>
              <w:bottom w:val="nil"/>
              <w:right w:val="nil"/>
            </w:tcBorders>
            <w:shd w:val="clear" w:color="auto" w:fill="auto"/>
            <w:vAlign w:val="center"/>
          </w:tcPr>
          <w:p w14:paraId="37DB6E6D"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The Netherlands (Rotterdam)</w:t>
            </w:r>
          </w:p>
        </w:tc>
        <w:tc>
          <w:tcPr>
            <w:tcW w:w="644" w:type="pct"/>
            <w:tcBorders>
              <w:top w:val="nil"/>
              <w:left w:val="nil"/>
              <w:bottom w:val="nil"/>
              <w:right w:val="nil"/>
            </w:tcBorders>
            <w:shd w:val="clear" w:color="auto" w:fill="auto"/>
            <w:vAlign w:val="center"/>
          </w:tcPr>
          <w:p w14:paraId="78282AD4"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Republic of Ireland</w:t>
            </w:r>
          </w:p>
          <w:p w14:paraId="3800020C"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(Multicentre)</w:t>
            </w:r>
          </w:p>
        </w:tc>
        <w:tc>
          <w:tcPr>
            <w:tcW w:w="594" w:type="pct"/>
            <w:tcBorders>
              <w:top w:val="nil"/>
              <w:left w:val="nil"/>
              <w:bottom w:val="nil"/>
              <w:right w:val="nil"/>
            </w:tcBorders>
            <w:shd w:val="clear" w:color="auto" w:fill="auto"/>
            <w:vAlign w:val="center"/>
          </w:tcPr>
          <w:p w14:paraId="735B6A16"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Poland (Multicentre)</w:t>
            </w:r>
          </w:p>
        </w:tc>
        <w:tc>
          <w:tcPr>
            <w:tcW w:w="594" w:type="pct"/>
            <w:tcBorders>
              <w:top w:val="nil"/>
              <w:left w:val="nil"/>
              <w:bottom w:val="nil"/>
              <w:right w:val="nil"/>
            </w:tcBorders>
            <w:shd w:val="clear" w:color="auto" w:fill="auto"/>
            <w:vAlign w:val="center"/>
          </w:tcPr>
          <w:p w14:paraId="1501C522"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Republic of Ireland</w:t>
            </w:r>
          </w:p>
          <w:p w14:paraId="7FF455A1"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(Dublin)</w:t>
            </w:r>
          </w:p>
        </w:tc>
        <w:tc>
          <w:tcPr>
            <w:tcW w:w="792" w:type="pct"/>
            <w:gridSpan w:val="3"/>
            <w:tcBorders>
              <w:top w:val="nil"/>
              <w:left w:val="nil"/>
              <w:bottom w:val="nil"/>
              <w:right w:val="nil"/>
            </w:tcBorders>
            <w:shd w:val="clear" w:color="auto" w:fill="auto"/>
            <w:vAlign w:val="center"/>
          </w:tcPr>
          <w:p w14:paraId="5B860F1A"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England</w:t>
            </w:r>
          </w:p>
          <w:p w14:paraId="40FE3DF9"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(Southampton)</w:t>
            </w:r>
          </w:p>
        </w:tc>
      </w:tr>
      <w:tr w:rsidR="00101347" w:rsidRPr="003160F8" w14:paraId="283414EF" w14:textId="77777777" w:rsidTr="00B0160C">
        <w:trPr>
          <w:jc w:val="center"/>
        </w:trPr>
        <w:tc>
          <w:tcPr>
            <w:tcW w:w="592" w:type="pct"/>
            <w:tcBorders>
              <w:top w:val="nil"/>
              <w:left w:val="nil"/>
              <w:bottom w:val="nil"/>
              <w:right w:val="nil"/>
            </w:tcBorders>
            <w:shd w:val="clear" w:color="auto" w:fill="auto"/>
            <w:vAlign w:val="center"/>
          </w:tcPr>
          <w:p w14:paraId="2CE97423"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Assessment types</w:t>
            </w:r>
          </w:p>
        </w:tc>
        <w:tc>
          <w:tcPr>
            <w:tcW w:w="599" w:type="pct"/>
            <w:tcBorders>
              <w:top w:val="nil"/>
              <w:left w:val="nil"/>
              <w:bottom w:val="nil"/>
              <w:right w:val="nil"/>
            </w:tcBorders>
            <w:shd w:val="clear" w:color="auto" w:fill="auto"/>
            <w:vAlign w:val="center"/>
          </w:tcPr>
          <w:p w14:paraId="13191EBC" w14:textId="77777777" w:rsidR="00CE25C3" w:rsidRPr="003160F8" w:rsidRDefault="00CE25C3" w:rsidP="00717F76">
            <w:pPr>
              <w:pStyle w:val="MDPI42tablebody"/>
              <w:autoSpaceDE w:val="0"/>
              <w:autoSpaceDN w:val="0"/>
              <w:spacing w:line="240" w:lineRule="auto"/>
              <w:rPr>
                <w:color w:val="auto"/>
                <w:szCs w:val="18"/>
                <w:vertAlign w:val="superscript"/>
                <w:lang w:val="en-GB"/>
              </w:rPr>
            </w:pPr>
            <w:r w:rsidRPr="003160F8">
              <w:rPr>
                <w:color w:val="auto"/>
                <w:szCs w:val="18"/>
                <w:lang w:val="en-GB"/>
              </w:rPr>
              <w:t>Non-quantitative FFQ</w:t>
            </w:r>
          </w:p>
        </w:tc>
        <w:tc>
          <w:tcPr>
            <w:tcW w:w="591" w:type="pct"/>
            <w:gridSpan w:val="2"/>
            <w:tcBorders>
              <w:top w:val="nil"/>
              <w:left w:val="nil"/>
              <w:bottom w:val="nil"/>
              <w:right w:val="nil"/>
            </w:tcBorders>
            <w:shd w:val="clear" w:color="auto" w:fill="auto"/>
            <w:vAlign w:val="center"/>
          </w:tcPr>
          <w:p w14:paraId="45BCD8BB"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Semi-quantitative FFQ</w:t>
            </w:r>
          </w:p>
        </w:tc>
        <w:tc>
          <w:tcPr>
            <w:tcW w:w="594" w:type="pct"/>
            <w:tcBorders>
              <w:top w:val="nil"/>
              <w:left w:val="nil"/>
              <w:bottom w:val="nil"/>
              <w:right w:val="nil"/>
            </w:tcBorders>
            <w:shd w:val="clear" w:color="auto" w:fill="auto"/>
            <w:vAlign w:val="center"/>
          </w:tcPr>
          <w:p w14:paraId="78D34DE1"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Semi-quantitative FFQ</w:t>
            </w:r>
          </w:p>
        </w:tc>
        <w:tc>
          <w:tcPr>
            <w:tcW w:w="644" w:type="pct"/>
            <w:tcBorders>
              <w:top w:val="nil"/>
              <w:left w:val="nil"/>
              <w:bottom w:val="nil"/>
              <w:right w:val="nil"/>
            </w:tcBorders>
            <w:shd w:val="clear" w:color="auto" w:fill="auto"/>
            <w:vAlign w:val="center"/>
          </w:tcPr>
          <w:p w14:paraId="5D5FA9AC"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Semi-quantitative FFQ</w:t>
            </w:r>
          </w:p>
        </w:tc>
        <w:tc>
          <w:tcPr>
            <w:tcW w:w="594" w:type="pct"/>
            <w:tcBorders>
              <w:top w:val="nil"/>
              <w:left w:val="nil"/>
              <w:bottom w:val="nil"/>
              <w:right w:val="nil"/>
            </w:tcBorders>
            <w:shd w:val="clear" w:color="auto" w:fill="auto"/>
            <w:vAlign w:val="center"/>
          </w:tcPr>
          <w:p w14:paraId="39FD0BEB"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Non-quantitative FFQ</w:t>
            </w:r>
          </w:p>
        </w:tc>
        <w:tc>
          <w:tcPr>
            <w:tcW w:w="594" w:type="pct"/>
            <w:tcBorders>
              <w:top w:val="nil"/>
              <w:left w:val="nil"/>
              <w:bottom w:val="nil"/>
              <w:right w:val="nil"/>
            </w:tcBorders>
            <w:shd w:val="clear" w:color="auto" w:fill="auto"/>
            <w:vAlign w:val="center"/>
          </w:tcPr>
          <w:p w14:paraId="3BBF0772"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Semi-quantitative FFQ</w:t>
            </w:r>
          </w:p>
        </w:tc>
        <w:tc>
          <w:tcPr>
            <w:tcW w:w="792" w:type="pct"/>
            <w:gridSpan w:val="3"/>
            <w:tcBorders>
              <w:top w:val="nil"/>
              <w:left w:val="nil"/>
              <w:bottom w:val="nil"/>
              <w:right w:val="nil"/>
            </w:tcBorders>
            <w:shd w:val="clear" w:color="auto" w:fill="auto"/>
            <w:vAlign w:val="center"/>
          </w:tcPr>
          <w:p w14:paraId="2A8D686C"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Non-quantitative</w:t>
            </w:r>
          </w:p>
          <w:p w14:paraId="0DEBC011"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FFQ</w:t>
            </w:r>
          </w:p>
        </w:tc>
      </w:tr>
      <w:tr w:rsidR="003805B0" w:rsidRPr="003160F8" w14:paraId="61AB4F71" w14:textId="77777777" w:rsidTr="00B0160C">
        <w:trPr>
          <w:jc w:val="center"/>
        </w:trPr>
        <w:tc>
          <w:tcPr>
            <w:tcW w:w="592" w:type="pct"/>
            <w:tcBorders>
              <w:top w:val="nil"/>
              <w:left w:val="nil"/>
              <w:bottom w:val="nil"/>
              <w:right w:val="nil"/>
            </w:tcBorders>
            <w:shd w:val="clear" w:color="auto" w:fill="auto"/>
            <w:vAlign w:val="center"/>
          </w:tcPr>
          <w:p w14:paraId="7113D69C"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Period of FFQ</w:t>
            </w:r>
            <w:r w:rsidRPr="003160F8">
              <w:rPr>
                <w:color w:val="auto"/>
                <w:szCs w:val="18"/>
                <w:vertAlign w:val="superscript"/>
                <w:lang w:val="en-GB"/>
              </w:rPr>
              <w:t xml:space="preserve"> </w:t>
            </w:r>
            <w:r w:rsidRPr="003160F8">
              <w:rPr>
                <w:color w:val="auto"/>
                <w:szCs w:val="18"/>
                <w:lang w:val="en-GB"/>
              </w:rPr>
              <w:t>assessment</w:t>
            </w:r>
          </w:p>
        </w:tc>
        <w:tc>
          <w:tcPr>
            <w:tcW w:w="599" w:type="pct"/>
            <w:tcBorders>
              <w:top w:val="nil"/>
              <w:left w:val="nil"/>
              <w:bottom w:val="nil"/>
              <w:right w:val="nil"/>
            </w:tcBorders>
            <w:shd w:val="clear" w:color="auto" w:fill="auto"/>
            <w:vAlign w:val="center"/>
          </w:tcPr>
          <w:p w14:paraId="211D0AF2" w14:textId="3D399E0D" w:rsidR="00CE25C3" w:rsidRPr="003160F8" w:rsidRDefault="00667968" w:rsidP="00717F76">
            <w:pPr>
              <w:pStyle w:val="MDPI42tablebody"/>
              <w:autoSpaceDE w:val="0"/>
              <w:autoSpaceDN w:val="0"/>
              <w:spacing w:line="240" w:lineRule="auto"/>
              <w:rPr>
                <w:color w:val="auto"/>
                <w:szCs w:val="18"/>
                <w:lang w:val="en-GB"/>
              </w:rPr>
            </w:pPr>
            <w:r w:rsidRPr="003160F8">
              <w:rPr>
                <w:color w:val="auto"/>
                <w:szCs w:val="18"/>
                <w:lang w:val="en-GB"/>
              </w:rPr>
              <w:t>Around 32</w:t>
            </w:r>
            <w:r w:rsidR="003805B0" w:rsidRPr="003160F8">
              <w:rPr>
                <w:color w:val="auto"/>
                <w:szCs w:val="18"/>
                <w:lang w:val="en-GB"/>
              </w:rPr>
              <w:t xml:space="preserve"> </w:t>
            </w:r>
            <w:r w:rsidR="00BE3FD0" w:rsidRPr="003160F8">
              <w:rPr>
                <w:color w:val="auto"/>
                <w:szCs w:val="18"/>
                <w:lang w:val="en-GB"/>
              </w:rPr>
              <w:t>WG</w:t>
            </w:r>
          </w:p>
        </w:tc>
        <w:tc>
          <w:tcPr>
            <w:tcW w:w="322" w:type="pct"/>
            <w:tcBorders>
              <w:top w:val="nil"/>
              <w:left w:val="nil"/>
              <w:bottom w:val="nil"/>
              <w:right w:val="nil"/>
            </w:tcBorders>
            <w:shd w:val="clear" w:color="auto" w:fill="auto"/>
            <w:vAlign w:val="center"/>
          </w:tcPr>
          <w:p w14:paraId="7239AB85" w14:textId="493B36C4" w:rsidR="00CE25C3" w:rsidRPr="003160F8" w:rsidRDefault="0063334E" w:rsidP="00717F76">
            <w:pPr>
              <w:pStyle w:val="MDPI42tablebody"/>
              <w:autoSpaceDE w:val="0"/>
              <w:autoSpaceDN w:val="0"/>
              <w:spacing w:line="240" w:lineRule="auto"/>
              <w:rPr>
                <w:color w:val="auto"/>
                <w:szCs w:val="18"/>
                <w:lang w:val="en-GB"/>
              </w:rPr>
            </w:pPr>
            <w:r w:rsidRPr="003160F8">
              <w:rPr>
                <w:color w:val="auto"/>
                <w:szCs w:val="18"/>
                <w:lang w:val="en-GB"/>
              </w:rPr>
              <w:t>24</w:t>
            </w:r>
            <w:r w:rsidR="003805B0" w:rsidRPr="003160F8">
              <w:rPr>
                <w:color w:val="auto"/>
                <w:szCs w:val="18"/>
                <w:lang w:val="en-GB"/>
              </w:rPr>
              <w:t>–</w:t>
            </w:r>
            <w:r w:rsidRPr="003160F8">
              <w:rPr>
                <w:color w:val="auto"/>
                <w:szCs w:val="18"/>
                <w:lang w:val="en-GB"/>
              </w:rPr>
              <w:t>28</w:t>
            </w:r>
            <w:r w:rsidR="003805B0" w:rsidRPr="003160F8">
              <w:rPr>
                <w:color w:val="auto"/>
                <w:szCs w:val="18"/>
                <w:lang w:val="en-GB"/>
              </w:rPr>
              <w:t xml:space="preserve"> </w:t>
            </w:r>
            <w:r w:rsidRPr="003160F8">
              <w:rPr>
                <w:color w:val="auto"/>
                <w:szCs w:val="18"/>
                <w:lang w:val="en-GB"/>
              </w:rPr>
              <w:t>WG</w:t>
            </w:r>
          </w:p>
        </w:tc>
        <w:tc>
          <w:tcPr>
            <w:tcW w:w="269" w:type="pct"/>
            <w:tcBorders>
              <w:top w:val="nil"/>
              <w:left w:val="nil"/>
              <w:bottom w:val="nil"/>
              <w:right w:val="nil"/>
            </w:tcBorders>
            <w:shd w:val="clear" w:color="auto" w:fill="auto"/>
            <w:vAlign w:val="center"/>
          </w:tcPr>
          <w:p w14:paraId="297603B4"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Birth</w:t>
            </w:r>
          </w:p>
        </w:tc>
        <w:tc>
          <w:tcPr>
            <w:tcW w:w="594" w:type="pct"/>
            <w:tcBorders>
              <w:top w:val="nil"/>
              <w:left w:val="nil"/>
              <w:bottom w:val="nil"/>
              <w:right w:val="nil"/>
            </w:tcBorders>
            <w:shd w:val="clear" w:color="auto" w:fill="auto"/>
            <w:vAlign w:val="center"/>
          </w:tcPr>
          <w:p w14:paraId="2F78E9EE" w14:textId="1C7D34B7" w:rsidR="00CE25C3" w:rsidRPr="003160F8" w:rsidRDefault="00667968" w:rsidP="00717F76">
            <w:pPr>
              <w:pStyle w:val="MDPI42tablebody"/>
              <w:autoSpaceDE w:val="0"/>
              <w:autoSpaceDN w:val="0"/>
              <w:spacing w:line="240" w:lineRule="auto"/>
              <w:rPr>
                <w:color w:val="auto"/>
                <w:szCs w:val="18"/>
                <w:lang w:val="en-GB"/>
              </w:rPr>
            </w:pPr>
            <w:r w:rsidRPr="003160F8">
              <w:rPr>
                <w:color w:val="auto"/>
                <w:szCs w:val="18"/>
                <w:lang w:val="en-GB"/>
              </w:rPr>
              <w:t>&lt;</w:t>
            </w:r>
            <w:r w:rsidR="00BE3FD0" w:rsidRPr="003160F8">
              <w:rPr>
                <w:color w:val="auto"/>
                <w:szCs w:val="18"/>
                <w:lang w:val="en-GB"/>
              </w:rPr>
              <w:t>24</w:t>
            </w:r>
            <w:r w:rsidR="003805B0" w:rsidRPr="003160F8">
              <w:rPr>
                <w:color w:val="auto"/>
                <w:szCs w:val="18"/>
                <w:lang w:val="en-GB"/>
              </w:rPr>
              <w:t xml:space="preserve"> </w:t>
            </w:r>
            <w:r w:rsidR="00BE3FD0" w:rsidRPr="003160F8">
              <w:rPr>
                <w:color w:val="auto"/>
                <w:szCs w:val="18"/>
                <w:lang w:val="en-GB"/>
              </w:rPr>
              <w:t>WG</w:t>
            </w:r>
          </w:p>
        </w:tc>
        <w:tc>
          <w:tcPr>
            <w:tcW w:w="644" w:type="pct"/>
            <w:tcBorders>
              <w:top w:val="nil"/>
              <w:left w:val="nil"/>
              <w:bottom w:val="nil"/>
              <w:right w:val="nil"/>
            </w:tcBorders>
            <w:shd w:val="clear" w:color="auto" w:fill="auto"/>
            <w:vAlign w:val="center"/>
          </w:tcPr>
          <w:p w14:paraId="4CB32B9F" w14:textId="71B74AE3" w:rsidR="00CE25C3" w:rsidRPr="003160F8" w:rsidRDefault="001C57CB" w:rsidP="00717F76">
            <w:pPr>
              <w:pStyle w:val="MDPI42tablebody"/>
              <w:autoSpaceDE w:val="0"/>
              <w:autoSpaceDN w:val="0"/>
              <w:spacing w:line="240" w:lineRule="auto"/>
              <w:rPr>
                <w:color w:val="auto"/>
                <w:szCs w:val="18"/>
                <w:lang w:val="en-GB"/>
              </w:rPr>
            </w:pPr>
            <w:r w:rsidRPr="003160F8">
              <w:rPr>
                <w:color w:val="auto"/>
                <w:szCs w:val="18"/>
                <w:lang w:val="en-GB"/>
              </w:rPr>
              <w:t>12</w:t>
            </w:r>
            <w:r w:rsidR="003805B0" w:rsidRPr="003160F8">
              <w:rPr>
                <w:color w:val="auto"/>
                <w:szCs w:val="18"/>
                <w:lang w:val="en-GB"/>
              </w:rPr>
              <w:t>–</w:t>
            </w:r>
            <w:r w:rsidRPr="003160F8">
              <w:rPr>
                <w:color w:val="auto"/>
                <w:szCs w:val="18"/>
                <w:lang w:val="en-GB"/>
              </w:rPr>
              <w:t>16</w:t>
            </w:r>
            <w:r w:rsidR="003805B0" w:rsidRPr="003160F8">
              <w:rPr>
                <w:color w:val="auto"/>
                <w:szCs w:val="18"/>
                <w:lang w:val="en-GB"/>
              </w:rPr>
              <w:t xml:space="preserve"> </w:t>
            </w:r>
            <w:r w:rsidRPr="003160F8">
              <w:rPr>
                <w:color w:val="auto"/>
                <w:szCs w:val="18"/>
                <w:lang w:val="en-GB"/>
              </w:rPr>
              <w:t>WG</w:t>
            </w:r>
          </w:p>
        </w:tc>
        <w:tc>
          <w:tcPr>
            <w:tcW w:w="594" w:type="pct"/>
            <w:tcBorders>
              <w:top w:val="nil"/>
              <w:left w:val="nil"/>
              <w:bottom w:val="nil"/>
              <w:right w:val="nil"/>
            </w:tcBorders>
            <w:shd w:val="clear" w:color="auto" w:fill="auto"/>
            <w:vAlign w:val="center"/>
          </w:tcPr>
          <w:p w14:paraId="109D5CA3" w14:textId="380917DD" w:rsidR="00CE25C3" w:rsidRPr="003160F8" w:rsidRDefault="00BE3FD0" w:rsidP="00717F76">
            <w:pPr>
              <w:pStyle w:val="MDPI42tablebody"/>
              <w:autoSpaceDE w:val="0"/>
              <w:autoSpaceDN w:val="0"/>
              <w:spacing w:line="240" w:lineRule="auto"/>
              <w:rPr>
                <w:color w:val="auto"/>
                <w:szCs w:val="18"/>
                <w:lang w:val="en-GB"/>
              </w:rPr>
            </w:pPr>
            <w:r w:rsidRPr="003160F8">
              <w:rPr>
                <w:color w:val="auto"/>
                <w:szCs w:val="18"/>
                <w:lang w:val="en-GB"/>
              </w:rPr>
              <w:t>20</w:t>
            </w:r>
            <w:r w:rsidR="003805B0" w:rsidRPr="003160F8">
              <w:rPr>
                <w:color w:val="auto"/>
                <w:szCs w:val="18"/>
                <w:lang w:val="en-GB"/>
              </w:rPr>
              <w:t>–</w:t>
            </w:r>
            <w:r w:rsidRPr="003160F8">
              <w:rPr>
                <w:color w:val="auto"/>
                <w:szCs w:val="18"/>
                <w:lang w:val="en-GB"/>
              </w:rPr>
              <w:t>24</w:t>
            </w:r>
            <w:r w:rsidR="003805B0" w:rsidRPr="003160F8">
              <w:rPr>
                <w:color w:val="auto"/>
                <w:szCs w:val="18"/>
                <w:lang w:val="en-GB"/>
              </w:rPr>
              <w:t xml:space="preserve"> </w:t>
            </w:r>
            <w:r w:rsidRPr="003160F8">
              <w:rPr>
                <w:color w:val="auto"/>
                <w:szCs w:val="18"/>
                <w:lang w:val="en-GB"/>
              </w:rPr>
              <w:t>WG</w:t>
            </w:r>
          </w:p>
        </w:tc>
        <w:tc>
          <w:tcPr>
            <w:tcW w:w="594" w:type="pct"/>
            <w:tcBorders>
              <w:top w:val="nil"/>
              <w:left w:val="nil"/>
              <w:bottom w:val="nil"/>
              <w:right w:val="nil"/>
            </w:tcBorders>
            <w:shd w:val="clear" w:color="auto" w:fill="auto"/>
            <w:vAlign w:val="center"/>
          </w:tcPr>
          <w:p w14:paraId="7FF7A5F0" w14:textId="10183381" w:rsidR="00CE25C3" w:rsidRPr="003160F8" w:rsidRDefault="003805B0" w:rsidP="00717F76">
            <w:pPr>
              <w:pStyle w:val="MDPI42tablebody"/>
              <w:autoSpaceDE w:val="0"/>
              <w:autoSpaceDN w:val="0"/>
              <w:spacing w:line="240" w:lineRule="auto"/>
              <w:rPr>
                <w:color w:val="auto"/>
                <w:szCs w:val="18"/>
                <w:lang w:val="en-GB"/>
              </w:rPr>
            </w:pPr>
            <w:r w:rsidRPr="003160F8">
              <w:rPr>
                <w:color w:val="auto"/>
                <w:szCs w:val="18"/>
                <w:lang w:val="en-GB"/>
              </w:rPr>
              <w:t>≤</w:t>
            </w:r>
            <w:r w:rsidR="00BE3FD0" w:rsidRPr="003160F8">
              <w:rPr>
                <w:color w:val="auto"/>
                <w:szCs w:val="18"/>
                <w:lang w:val="en-GB"/>
              </w:rPr>
              <w:t>28</w:t>
            </w:r>
            <w:r w:rsidRPr="003160F8">
              <w:rPr>
                <w:color w:val="auto"/>
                <w:szCs w:val="18"/>
                <w:lang w:val="en-GB"/>
              </w:rPr>
              <w:t xml:space="preserve"> </w:t>
            </w:r>
            <w:r w:rsidR="00BE3FD0" w:rsidRPr="003160F8">
              <w:rPr>
                <w:color w:val="auto"/>
                <w:szCs w:val="18"/>
                <w:lang w:val="en-GB"/>
              </w:rPr>
              <w:t>WG</w:t>
            </w:r>
          </w:p>
        </w:tc>
        <w:tc>
          <w:tcPr>
            <w:tcW w:w="297" w:type="pct"/>
            <w:tcBorders>
              <w:top w:val="nil"/>
              <w:left w:val="nil"/>
              <w:bottom w:val="nil"/>
              <w:right w:val="nil"/>
            </w:tcBorders>
            <w:shd w:val="clear" w:color="auto" w:fill="auto"/>
            <w:vAlign w:val="center"/>
          </w:tcPr>
          <w:p w14:paraId="5AA5E863"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PP</w:t>
            </w:r>
          </w:p>
        </w:tc>
        <w:tc>
          <w:tcPr>
            <w:tcW w:w="247" w:type="pct"/>
            <w:tcBorders>
              <w:top w:val="nil"/>
              <w:left w:val="nil"/>
              <w:bottom w:val="nil"/>
              <w:right w:val="nil"/>
            </w:tcBorders>
            <w:shd w:val="clear" w:color="auto" w:fill="auto"/>
            <w:vAlign w:val="center"/>
          </w:tcPr>
          <w:p w14:paraId="29D11614" w14:textId="46B8D593" w:rsidR="00CE25C3" w:rsidRPr="003160F8" w:rsidRDefault="00BE3FD0" w:rsidP="00717F76">
            <w:pPr>
              <w:pStyle w:val="MDPI42tablebody"/>
              <w:autoSpaceDE w:val="0"/>
              <w:autoSpaceDN w:val="0"/>
              <w:spacing w:line="240" w:lineRule="auto"/>
              <w:rPr>
                <w:color w:val="auto"/>
                <w:szCs w:val="18"/>
                <w:lang w:val="en-GB"/>
              </w:rPr>
            </w:pPr>
            <w:r w:rsidRPr="003160F8">
              <w:rPr>
                <w:color w:val="auto"/>
                <w:szCs w:val="18"/>
                <w:lang w:val="en-GB"/>
              </w:rPr>
              <w:t>11</w:t>
            </w:r>
            <w:r w:rsidR="003805B0" w:rsidRPr="003160F8">
              <w:rPr>
                <w:color w:val="auto"/>
                <w:szCs w:val="18"/>
                <w:lang w:val="en-GB"/>
              </w:rPr>
              <w:t xml:space="preserve"> </w:t>
            </w:r>
            <w:r w:rsidRPr="003160F8">
              <w:rPr>
                <w:color w:val="auto"/>
                <w:szCs w:val="18"/>
                <w:lang w:val="en-GB"/>
              </w:rPr>
              <w:t>WG</w:t>
            </w:r>
          </w:p>
        </w:tc>
        <w:tc>
          <w:tcPr>
            <w:tcW w:w="248" w:type="pct"/>
            <w:tcBorders>
              <w:top w:val="nil"/>
              <w:left w:val="nil"/>
              <w:bottom w:val="nil"/>
              <w:right w:val="nil"/>
            </w:tcBorders>
            <w:shd w:val="clear" w:color="auto" w:fill="auto"/>
            <w:vAlign w:val="center"/>
          </w:tcPr>
          <w:p w14:paraId="5548B742" w14:textId="0E3CD708" w:rsidR="00CE25C3" w:rsidRPr="003160F8" w:rsidRDefault="00BE3FD0" w:rsidP="00717F76">
            <w:pPr>
              <w:pStyle w:val="MDPI42tablebody"/>
              <w:autoSpaceDE w:val="0"/>
              <w:autoSpaceDN w:val="0"/>
              <w:spacing w:line="240" w:lineRule="auto"/>
              <w:rPr>
                <w:color w:val="auto"/>
                <w:szCs w:val="18"/>
                <w:lang w:val="en-GB"/>
              </w:rPr>
            </w:pPr>
            <w:r w:rsidRPr="003160F8">
              <w:rPr>
                <w:color w:val="auto"/>
                <w:szCs w:val="18"/>
                <w:lang w:val="en-GB"/>
              </w:rPr>
              <w:t>34</w:t>
            </w:r>
            <w:r w:rsidR="003805B0" w:rsidRPr="003160F8">
              <w:rPr>
                <w:color w:val="auto"/>
                <w:szCs w:val="18"/>
                <w:lang w:val="en-GB"/>
              </w:rPr>
              <w:t xml:space="preserve"> </w:t>
            </w:r>
            <w:r w:rsidRPr="003160F8">
              <w:rPr>
                <w:color w:val="auto"/>
                <w:szCs w:val="18"/>
                <w:lang w:val="en-GB"/>
              </w:rPr>
              <w:t>WG</w:t>
            </w:r>
          </w:p>
        </w:tc>
      </w:tr>
      <w:tr w:rsidR="003805B0" w:rsidRPr="003160F8" w14:paraId="56C3D426" w14:textId="77777777" w:rsidTr="00B0160C">
        <w:trPr>
          <w:jc w:val="center"/>
        </w:trPr>
        <w:tc>
          <w:tcPr>
            <w:tcW w:w="592" w:type="pct"/>
            <w:tcBorders>
              <w:top w:val="nil"/>
              <w:left w:val="nil"/>
              <w:bottom w:val="nil"/>
              <w:right w:val="nil"/>
            </w:tcBorders>
            <w:shd w:val="clear" w:color="auto" w:fill="auto"/>
            <w:vAlign w:val="center"/>
          </w:tcPr>
          <w:p w14:paraId="0413948C" w14:textId="77777777" w:rsidR="00CE25C3" w:rsidRPr="003160F8" w:rsidRDefault="00CE25C3" w:rsidP="00717F76">
            <w:pPr>
              <w:pStyle w:val="MDPI42tablebody"/>
              <w:autoSpaceDE w:val="0"/>
              <w:autoSpaceDN w:val="0"/>
              <w:spacing w:line="240" w:lineRule="auto"/>
              <w:rPr>
                <w:color w:val="auto"/>
                <w:szCs w:val="18"/>
                <w:lang w:val="en-GB" w:eastAsia="fr-FR"/>
              </w:rPr>
            </w:pPr>
            <w:r w:rsidRPr="003160F8">
              <w:rPr>
                <w:color w:val="auto"/>
                <w:szCs w:val="18"/>
                <w:lang w:val="en-GB"/>
              </w:rPr>
              <w:t>FFQ window period</w:t>
            </w:r>
          </w:p>
        </w:tc>
        <w:tc>
          <w:tcPr>
            <w:tcW w:w="599" w:type="pct"/>
            <w:tcBorders>
              <w:top w:val="nil"/>
              <w:left w:val="nil"/>
              <w:bottom w:val="nil"/>
              <w:right w:val="nil"/>
            </w:tcBorders>
            <w:shd w:val="clear" w:color="auto" w:fill="auto"/>
            <w:vAlign w:val="center"/>
          </w:tcPr>
          <w:p w14:paraId="7E3660F3" w14:textId="77777777" w:rsidR="00CE25C3" w:rsidRPr="003160F8" w:rsidRDefault="00CE25C3" w:rsidP="00717F76">
            <w:pPr>
              <w:pStyle w:val="MDPI42tablebody"/>
              <w:autoSpaceDE w:val="0"/>
              <w:autoSpaceDN w:val="0"/>
              <w:spacing w:line="240" w:lineRule="auto"/>
              <w:rPr>
                <w:color w:val="auto"/>
                <w:szCs w:val="18"/>
                <w:lang w:val="en-GB" w:eastAsia="fr-FR"/>
              </w:rPr>
            </w:pPr>
            <w:r w:rsidRPr="003160F8">
              <w:rPr>
                <w:color w:val="auto"/>
                <w:szCs w:val="18"/>
                <w:lang w:val="en-GB"/>
              </w:rPr>
              <w:t>LP</w:t>
            </w:r>
          </w:p>
        </w:tc>
        <w:tc>
          <w:tcPr>
            <w:tcW w:w="322" w:type="pct"/>
            <w:tcBorders>
              <w:top w:val="nil"/>
              <w:left w:val="nil"/>
              <w:bottom w:val="nil"/>
              <w:right w:val="nil"/>
            </w:tcBorders>
            <w:shd w:val="clear" w:color="auto" w:fill="auto"/>
            <w:vAlign w:val="center"/>
          </w:tcPr>
          <w:p w14:paraId="07323CEC" w14:textId="77777777" w:rsidR="00CE25C3" w:rsidRPr="003160F8" w:rsidRDefault="00CE25C3" w:rsidP="00717F76">
            <w:pPr>
              <w:pStyle w:val="MDPI42tablebody"/>
              <w:autoSpaceDE w:val="0"/>
              <w:autoSpaceDN w:val="0"/>
              <w:spacing w:line="240" w:lineRule="auto"/>
              <w:rPr>
                <w:color w:val="auto"/>
                <w:szCs w:val="18"/>
                <w:lang w:val="en-GB" w:eastAsia="fr-FR"/>
              </w:rPr>
            </w:pPr>
            <w:r w:rsidRPr="003160F8">
              <w:rPr>
                <w:color w:val="auto"/>
                <w:szCs w:val="18"/>
                <w:lang w:val="en-GB"/>
              </w:rPr>
              <w:t>PP</w:t>
            </w:r>
          </w:p>
        </w:tc>
        <w:tc>
          <w:tcPr>
            <w:tcW w:w="269" w:type="pct"/>
            <w:tcBorders>
              <w:top w:val="nil"/>
              <w:left w:val="nil"/>
              <w:bottom w:val="nil"/>
              <w:right w:val="nil"/>
            </w:tcBorders>
            <w:shd w:val="clear" w:color="auto" w:fill="auto"/>
            <w:vAlign w:val="center"/>
          </w:tcPr>
          <w:p w14:paraId="2D57D9EA" w14:textId="77777777" w:rsidR="00CE25C3" w:rsidRPr="003160F8" w:rsidRDefault="00CE25C3" w:rsidP="00717F76">
            <w:pPr>
              <w:pStyle w:val="MDPI42tablebody"/>
              <w:autoSpaceDE w:val="0"/>
              <w:autoSpaceDN w:val="0"/>
              <w:spacing w:line="240" w:lineRule="auto"/>
              <w:rPr>
                <w:color w:val="auto"/>
                <w:szCs w:val="18"/>
                <w:lang w:val="en-GB" w:eastAsia="fr-FR"/>
              </w:rPr>
            </w:pPr>
            <w:r w:rsidRPr="003160F8">
              <w:rPr>
                <w:color w:val="auto"/>
                <w:szCs w:val="18"/>
                <w:lang w:val="en-GB" w:eastAsia="fr-FR"/>
              </w:rPr>
              <w:t>LP</w:t>
            </w:r>
          </w:p>
        </w:tc>
        <w:tc>
          <w:tcPr>
            <w:tcW w:w="594" w:type="pct"/>
            <w:tcBorders>
              <w:top w:val="nil"/>
              <w:left w:val="nil"/>
              <w:bottom w:val="nil"/>
              <w:right w:val="nil"/>
            </w:tcBorders>
            <w:shd w:val="clear" w:color="auto" w:fill="auto"/>
            <w:vAlign w:val="center"/>
          </w:tcPr>
          <w:p w14:paraId="1E4FB7FB" w14:textId="77777777" w:rsidR="00CE25C3" w:rsidRPr="003160F8" w:rsidRDefault="00CE25C3" w:rsidP="00717F76">
            <w:pPr>
              <w:pStyle w:val="MDPI42tablebody"/>
              <w:autoSpaceDE w:val="0"/>
              <w:autoSpaceDN w:val="0"/>
              <w:spacing w:line="240" w:lineRule="auto"/>
              <w:rPr>
                <w:color w:val="auto"/>
                <w:szCs w:val="18"/>
                <w:lang w:val="en-GB" w:eastAsia="fr-FR"/>
              </w:rPr>
            </w:pPr>
            <w:r w:rsidRPr="003160F8">
              <w:rPr>
                <w:color w:val="auto"/>
                <w:szCs w:val="18"/>
                <w:lang w:val="en-GB"/>
              </w:rPr>
              <w:t>EP</w:t>
            </w:r>
          </w:p>
        </w:tc>
        <w:tc>
          <w:tcPr>
            <w:tcW w:w="644" w:type="pct"/>
            <w:tcBorders>
              <w:top w:val="nil"/>
              <w:left w:val="nil"/>
              <w:bottom w:val="nil"/>
              <w:right w:val="nil"/>
            </w:tcBorders>
            <w:shd w:val="clear" w:color="auto" w:fill="auto"/>
            <w:vAlign w:val="center"/>
          </w:tcPr>
          <w:p w14:paraId="7351E715" w14:textId="77777777" w:rsidR="00CE25C3" w:rsidRPr="003160F8" w:rsidRDefault="00CE25C3" w:rsidP="00717F76">
            <w:pPr>
              <w:pStyle w:val="MDPI42tablebody"/>
              <w:autoSpaceDE w:val="0"/>
              <w:autoSpaceDN w:val="0"/>
              <w:spacing w:line="240" w:lineRule="auto"/>
              <w:rPr>
                <w:color w:val="auto"/>
                <w:szCs w:val="18"/>
                <w:lang w:val="en-GB" w:eastAsia="fr-FR"/>
              </w:rPr>
            </w:pPr>
            <w:r w:rsidRPr="003160F8">
              <w:rPr>
                <w:color w:val="auto"/>
                <w:szCs w:val="18"/>
                <w:lang w:val="en-GB"/>
              </w:rPr>
              <w:t>EP</w:t>
            </w:r>
          </w:p>
        </w:tc>
        <w:tc>
          <w:tcPr>
            <w:tcW w:w="594" w:type="pct"/>
            <w:tcBorders>
              <w:top w:val="nil"/>
              <w:left w:val="nil"/>
              <w:bottom w:val="nil"/>
              <w:right w:val="nil"/>
            </w:tcBorders>
            <w:shd w:val="clear" w:color="auto" w:fill="auto"/>
            <w:vAlign w:val="center"/>
          </w:tcPr>
          <w:p w14:paraId="281AF4BC" w14:textId="77777777" w:rsidR="00CE25C3" w:rsidRPr="003160F8" w:rsidRDefault="00CE25C3" w:rsidP="00717F76">
            <w:pPr>
              <w:pStyle w:val="MDPI42tablebody"/>
              <w:autoSpaceDE w:val="0"/>
              <w:autoSpaceDN w:val="0"/>
              <w:spacing w:line="240" w:lineRule="auto"/>
              <w:rPr>
                <w:color w:val="auto"/>
                <w:szCs w:val="18"/>
                <w:lang w:val="en-GB" w:eastAsia="fr-FR"/>
              </w:rPr>
            </w:pPr>
            <w:r w:rsidRPr="003160F8">
              <w:rPr>
                <w:color w:val="auto"/>
                <w:szCs w:val="18"/>
                <w:lang w:val="en-GB"/>
              </w:rPr>
              <w:t>EP</w:t>
            </w:r>
          </w:p>
        </w:tc>
        <w:tc>
          <w:tcPr>
            <w:tcW w:w="594" w:type="pct"/>
            <w:tcBorders>
              <w:top w:val="nil"/>
              <w:left w:val="nil"/>
              <w:bottom w:val="nil"/>
              <w:right w:val="nil"/>
            </w:tcBorders>
            <w:shd w:val="clear" w:color="auto" w:fill="auto"/>
            <w:vAlign w:val="center"/>
          </w:tcPr>
          <w:p w14:paraId="2D2B9D8D" w14:textId="77777777" w:rsidR="00CE25C3" w:rsidRPr="003160F8" w:rsidRDefault="00CE25C3" w:rsidP="00717F76">
            <w:pPr>
              <w:pStyle w:val="MDPI42tablebody"/>
              <w:autoSpaceDE w:val="0"/>
              <w:autoSpaceDN w:val="0"/>
              <w:spacing w:line="240" w:lineRule="auto"/>
              <w:rPr>
                <w:color w:val="auto"/>
                <w:szCs w:val="18"/>
                <w:lang w:val="en-GB" w:eastAsia="fr-FR"/>
              </w:rPr>
            </w:pPr>
            <w:r w:rsidRPr="003160F8">
              <w:rPr>
                <w:color w:val="auto"/>
                <w:szCs w:val="18"/>
                <w:lang w:val="en-GB"/>
              </w:rPr>
              <w:t>EP</w:t>
            </w:r>
          </w:p>
        </w:tc>
        <w:tc>
          <w:tcPr>
            <w:tcW w:w="297" w:type="pct"/>
            <w:tcBorders>
              <w:top w:val="nil"/>
              <w:left w:val="nil"/>
              <w:bottom w:val="nil"/>
              <w:right w:val="nil"/>
            </w:tcBorders>
            <w:shd w:val="clear" w:color="auto" w:fill="auto"/>
            <w:vAlign w:val="center"/>
          </w:tcPr>
          <w:p w14:paraId="7D47E81C" w14:textId="77777777" w:rsidR="00CE25C3" w:rsidRPr="003160F8" w:rsidRDefault="00CE25C3" w:rsidP="00717F76">
            <w:pPr>
              <w:pStyle w:val="MDPI42tablebody"/>
              <w:autoSpaceDE w:val="0"/>
              <w:autoSpaceDN w:val="0"/>
              <w:spacing w:line="240" w:lineRule="auto"/>
              <w:rPr>
                <w:color w:val="auto"/>
                <w:szCs w:val="18"/>
                <w:lang w:val="en-GB" w:eastAsia="fr-FR"/>
              </w:rPr>
            </w:pPr>
            <w:r w:rsidRPr="003160F8">
              <w:rPr>
                <w:color w:val="auto"/>
                <w:szCs w:val="18"/>
                <w:lang w:val="en-GB"/>
              </w:rPr>
              <w:t>PP</w:t>
            </w:r>
          </w:p>
        </w:tc>
        <w:tc>
          <w:tcPr>
            <w:tcW w:w="247" w:type="pct"/>
            <w:tcBorders>
              <w:top w:val="nil"/>
              <w:left w:val="nil"/>
              <w:bottom w:val="nil"/>
              <w:right w:val="nil"/>
            </w:tcBorders>
            <w:shd w:val="clear" w:color="auto" w:fill="auto"/>
            <w:vAlign w:val="center"/>
          </w:tcPr>
          <w:p w14:paraId="4AA07BB9" w14:textId="77777777" w:rsidR="00CE25C3" w:rsidRPr="003160F8" w:rsidRDefault="00CE25C3" w:rsidP="00717F76">
            <w:pPr>
              <w:pStyle w:val="MDPI42tablebody"/>
              <w:autoSpaceDE w:val="0"/>
              <w:autoSpaceDN w:val="0"/>
              <w:spacing w:line="240" w:lineRule="auto"/>
              <w:rPr>
                <w:color w:val="auto"/>
                <w:szCs w:val="18"/>
                <w:lang w:val="en-GB" w:eastAsia="fr-FR"/>
              </w:rPr>
            </w:pPr>
            <w:r w:rsidRPr="003160F8">
              <w:rPr>
                <w:color w:val="auto"/>
                <w:szCs w:val="18"/>
                <w:lang w:val="en-GB" w:eastAsia="fr-FR"/>
              </w:rPr>
              <w:t>EP</w:t>
            </w:r>
          </w:p>
        </w:tc>
        <w:tc>
          <w:tcPr>
            <w:tcW w:w="248" w:type="pct"/>
            <w:tcBorders>
              <w:top w:val="nil"/>
              <w:left w:val="nil"/>
              <w:bottom w:val="nil"/>
              <w:right w:val="nil"/>
            </w:tcBorders>
            <w:shd w:val="clear" w:color="auto" w:fill="auto"/>
            <w:vAlign w:val="center"/>
          </w:tcPr>
          <w:p w14:paraId="09B7444C" w14:textId="77777777" w:rsidR="00CE25C3" w:rsidRPr="003160F8" w:rsidRDefault="00CE25C3" w:rsidP="00717F76">
            <w:pPr>
              <w:pStyle w:val="MDPI42tablebody"/>
              <w:autoSpaceDE w:val="0"/>
              <w:autoSpaceDN w:val="0"/>
              <w:spacing w:line="240" w:lineRule="auto"/>
              <w:rPr>
                <w:color w:val="auto"/>
                <w:szCs w:val="18"/>
                <w:lang w:val="en-GB" w:eastAsia="fr-FR"/>
              </w:rPr>
            </w:pPr>
            <w:r w:rsidRPr="003160F8">
              <w:rPr>
                <w:color w:val="auto"/>
                <w:szCs w:val="18"/>
                <w:lang w:val="en-GB" w:eastAsia="fr-FR"/>
              </w:rPr>
              <w:t>LP</w:t>
            </w:r>
          </w:p>
        </w:tc>
      </w:tr>
      <w:tr w:rsidR="00717F76" w:rsidRPr="003160F8" w14:paraId="03989B09" w14:textId="77777777" w:rsidTr="00B0160C">
        <w:trPr>
          <w:jc w:val="center"/>
        </w:trPr>
        <w:tc>
          <w:tcPr>
            <w:tcW w:w="592" w:type="pct"/>
            <w:tcBorders>
              <w:top w:val="nil"/>
              <w:left w:val="nil"/>
              <w:bottom w:val="nil"/>
              <w:right w:val="nil"/>
            </w:tcBorders>
            <w:shd w:val="clear" w:color="auto" w:fill="auto"/>
            <w:vAlign w:val="center"/>
          </w:tcPr>
          <w:p w14:paraId="31AEAD04" w14:textId="2022153F"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eastAsia="fr-FR"/>
              </w:rPr>
              <w:t>Number of women with validated FFQ</w:t>
            </w:r>
            <w:r w:rsidR="003805B0" w:rsidRPr="003160F8">
              <w:rPr>
                <w:color w:val="auto"/>
                <w:szCs w:val="18"/>
                <w:lang w:val="en-GB" w:eastAsia="fr-FR"/>
              </w:rPr>
              <w:t xml:space="preserve"> </w:t>
            </w:r>
            <w:r w:rsidR="005134D5" w:rsidRPr="003160F8">
              <w:rPr>
                <w:color w:val="auto"/>
                <w:szCs w:val="18"/>
                <w:vertAlign w:val="superscript"/>
                <w:lang w:val="en-GB" w:eastAsia="fr-FR"/>
              </w:rPr>
              <w:t>1</w:t>
            </w:r>
          </w:p>
        </w:tc>
        <w:tc>
          <w:tcPr>
            <w:tcW w:w="599" w:type="pct"/>
            <w:tcBorders>
              <w:top w:val="nil"/>
              <w:left w:val="nil"/>
              <w:bottom w:val="nil"/>
              <w:right w:val="nil"/>
            </w:tcBorders>
            <w:shd w:val="clear" w:color="auto" w:fill="auto"/>
            <w:vAlign w:val="center"/>
          </w:tcPr>
          <w:p w14:paraId="15304BEC"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eastAsia="fr-FR"/>
              </w:rPr>
              <w:t>11,965</w:t>
            </w:r>
          </w:p>
        </w:tc>
        <w:tc>
          <w:tcPr>
            <w:tcW w:w="322" w:type="pct"/>
            <w:tcBorders>
              <w:top w:val="nil"/>
              <w:left w:val="nil"/>
              <w:bottom w:val="nil"/>
              <w:right w:val="nil"/>
            </w:tcBorders>
            <w:shd w:val="clear" w:color="auto" w:fill="auto"/>
            <w:vAlign w:val="center"/>
          </w:tcPr>
          <w:p w14:paraId="78DD4B90"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eastAsia="fr-FR"/>
              </w:rPr>
              <w:t>1,964</w:t>
            </w:r>
          </w:p>
        </w:tc>
        <w:tc>
          <w:tcPr>
            <w:tcW w:w="269" w:type="pct"/>
            <w:tcBorders>
              <w:top w:val="nil"/>
              <w:left w:val="nil"/>
              <w:bottom w:val="nil"/>
              <w:right w:val="nil"/>
            </w:tcBorders>
            <w:shd w:val="clear" w:color="auto" w:fill="auto"/>
            <w:vAlign w:val="center"/>
          </w:tcPr>
          <w:p w14:paraId="5CA8C14E"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1,849</w:t>
            </w:r>
          </w:p>
        </w:tc>
        <w:tc>
          <w:tcPr>
            <w:tcW w:w="594" w:type="pct"/>
            <w:tcBorders>
              <w:top w:val="nil"/>
              <w:left w:val="nil"/>
              <w:bottom w:val="nil"/>
              <w:right w:val="nil"/>
            </w:tcBorders>
            <w:shd w:val="clear" w:color="auto" w:fill="auto"/>
            <w:vAlign w:val="center"/>
          </w:tcPr>
          <w:p w14:paraId="510CC00D" w14:textId="349FD119" w:rsidR="00CE25C3" w:rsidRPr="003160F8" w:rsidRDefault="00CE25C3" w:rsidP="00717F76">
            <w:pPr>
              <w:pStyle w:val="MDPI42tablebody"/>
              <w:autoSpaceDE w:val="0"/>
              <w:autoSpaceDN w:val="0"/>
              <w:spacing w:line="240" w:lineRule="auto"/>
              <w:rPr>
                <w:color w:val="auto"/>
                <w:szCs w:val="18"/>
                <w:vertAlign w:val="superscript"/>
                <w:lang w:val="en-GB"/>
              </w:rPr>
            </w:pPr>
            <w:r w:rsidRPr="003160F8">
              <w:rPr>
                <w:color w:val="auto"/>
                <w:szCs w:val="18"/>
                <w:lang w:val="en-GB" w:eastAsia="fr-FR"/>
              </w:rPr>
              <w:t>6,402</w:t>
            </w:r>
            <w:r w:rsidR="003805B0" w:rsidRPr="003160F8">
              <w:rPr>
                <w:color w:val="auto"/>
                <w:szCs w:val="18"/>
                <w:lang w:val="en-GB" w:eastAsia="fr-FR"/>
              </w:rPr>
              <w:t xml:space="preserve"> </w:t>
            </w:r>
            <w:r w:rsidR="005134D5" w:rsidRPr="003160F8">
              <w:rPr>
                <w:color w:val="auto"/>
                <w:szCs w:val="18"/>
                <w:vertAlign w:val="superscript"/>
                <w:lang w:val="en-GB" w:eastAsia="fr-FR"/>
              </w:rPr>
              <w:t>2</w:t>
            </w:r>
          </w:p>
        </w:tc>
        <w:tc>
          <w:tcPr>
            <w:tcW w:w="644" w:type="pct"/>
            <w:tcBorders>
              <w:top w:val="nil"/>
              <w:left w:val="nil"/>
              <w:bottom w:val="nil"/>
              <w:right w:val="nil"/>
            </w:tcBorders>
            <w:shd w:val="clear" w:color="auto" w:fill="auto"/>
            <w:vAlign w:val="center"/>
          </w:tcPr>
          <w:p w14:paraId="71309015"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eastAsia="fr-FR"/>
              </w:rPr>
              <w:t>1,121</w:t>
            </w:r>
          </w:p>
        </w:tc>
        <w:tc>
          <w:tcPr>
            <w:tcW w:w="594" w:type="pct"/>
            <w:tcBorders>
              <w:top w:val="nil"/>
              <w:left w:val="nil"/>
              <w:bottom w:val="nil"/>
              <w:right w:val="nil"/>
            </w:tcBorders>
            <w:shd w:val="clear" w:color="auto" w:fill="auto"/>
            <w:vAlign w:val="center"/>
          </w:tcPr>
          <w:p w14:paraId="6F145BE7"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eastAsia="fr-FR"/>
              </w:rPr>
              <w:t>1,314</w:t>
            </w:r>
          </w:p>
        </w:tc>
        <w:tc>
          <w:tcPr>
            <w:tcW w:w="594" w:type="pct"/>
            <w:tcBorders>
              <w:top w:val="nil"/>
              <w:left w:val="nil"/>
              <w:bottom w:val="nil"/>
              <w:right w:val="nil"/>
            </w:tcBorders>
            <w:shd w:val="clear" w:color="auto" w:fill="auto"/>
            <w:vAlign w:val="center"/>
          </w:tcPr>
          <w:p w14:paraId="7B16AADF"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eastAsia="fr-FR"/>
              </w:rPr>
              <w:t>631</w:t>
            </w:r>
          </w:p>
        </w:tc>
        <w:tc>
          <w:tcPr>
            <w:tcW w:w="297" w:type="pct"/>
            <w:tcBorders>
              <w:top w:val="nil"/>
              <w:left w:val="nil"/>
              <w:bottom w:val="nil"/>
              <w:right w:val="nil"/>
            </w:tcBorders>
            <w:shd w:val="clear" w:color="auto" w:fill="auto"/>
            <w:vAlign w:val="center"/>
          </w:tcPr>
          <w:p w14:paraId="2FA613E4" w14:textId="0219D8D3" w:rsidR="00CE25C3" w:rsidRPr="003160F8" w:rsidRDefault="00CE25C3" w:rsidP="00717F76">
            <w:pPr>
              <w:pStyle w:val="MDPI42tablebody"/>
              <w:autoSpaceDE w:val="0"/>
              <w:autoSpaceDN w:val="0"/>
              <w:spacing w:line="240" w:lineRule="auto"/>
              <w:rPr>
                <w:color w:val="auto"/>
                <w:szCs w:val="18"/>
                <w:vertAlign w:val="superscript"/>
                <w:lang w:val="en-GB"/>
              </w:rPr>
            </w:pPr>
            <w:r w:rsidRPr="003160F8">
              <w:rPr>
                <w:color w:val="auto"/>
                <w:szCs w:val="18"/>
                <w:lang w:val="en-GB" w:eastAsia="fr-FR"/>
              </w:rPr>
              <w:t>3,156</w:t>
            </w:r>
            <w:r w:rsidR="003805B0" w:rsidRPr="003160F8">
              <w:rPr>
                <w:color w:val="auto"/>
                <w:szCs w:val="18"/>
                <w:lang w:val="en-GB" w:eastAsia="fr-FR"/>
              </w:rPr>
              <w:t xml:space="preserve"> </w:t>
            </w:r>
            <w:r w:rsidR="005134D5" w:rsidRPr="003160F8">
              <w:rPr>
                <w:color w:val="auto"/>
                <w:szCs w:val="18"/>
                <w:vertAlign w:val="superscript"/>
                <w:lang w:val="en-GB" w:eastAsia="fr-FR"/>
              </w:rPr>
              <w:t>3</w:t>
            </w:r>
          </w:p>
        </w:tc>
        <w:tc>
          <w:tcPr>
            <w:tcW w:w="247" w:type="pct"/>
            <w:tcBorders>
              <w:top w:val="nil"/>
              <w:left w:val="nil"/>
              <w:bottom w:val="nil"/>
              <w:right w:val="nil"/>
            </w:tcBorders>
            <w:shd w:val="clear" w:color="auto" w:fill="auto"/>
            <w:vAlign w:val="center"/>
          </w:tcPr>
          <w:p w14:paraId="1155D471"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eastAsia="fr-FR"/>
              </w:rPr>
              <w:t>2,270</w:t>
            </w:r>
          </w:p>
        </w:tc>
        <w:tc>
          <w:tcPr>
            <w:tcW w:w="248" w:type="pct"/>
            <w:tcBorders>
              <w:top w:val="nil"/>
              <w:left w:val="nil"/>
              <w:bottom w:val="nil"/>
              <w:right w:val="nil"/>
            </w:tcBorders>
            <w:shd w:val="clear" w:color="auto" w:fill="auto"/>
            <w:vAlign w:val="center"/>
          </w:tcPr>
          <w:p w14:paraId="24C3B8E3"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eastAsia="fr-FR"/>
              </w:rPr>
              <w:t>2,649</w:t>
            </w:r>
          </w:p>
        </w:tc>
      </w:tr>
      <w:tr w:rsidR="003805B0" w:rsidRPr="003160F8" w14:paraId="13E4A2F4" w14:textId="77777777" w:rsidTr="00B0160C">
        <w:trPr>
          <w:jc w:val="center"/>
        </w:trPr>
        <w:tc>
          <w:tcPr>
            <w:tcW w:w="592" w:type="pct"/>
            <w:tcBorders>
              <w:top w:val="nil"/>
              <w:left w:val="nil"/>
              <w:bottom w:val="single" w:sz="8" w:space="0" w:color="auto"/>
              <w:right w:val="nil"/>
            </w:tcBorders>
            <w:shd w:val="clear" w:color="auto" w:fill="auto"/>
            <w:vAlign w:val="center"/>
          </w:tcPr>
          <w:p w14:paraId="10804F16"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Mode of FFQ assessment</w:t>
            </w:r>
          </w:p>
        </w:tc>
        <w:tc>
          <w:tcPr>
            <w:tcW w:w="599" w:type="pct"/>
            <w:tcBorders>
              <w:top w:val="nil"/>
              <w:left w:val="nil"/>
              <w:bottom w:val="single" w:sz="8" w:space="0" w:color="auto"/>
              <w:right w:val="nil"/>
            </w:tcBorders>
            <w:shd w:val="clear" w:color="auto" w:fill="auto"/>
            <w:vAlign w:val="center"/>
          </w:tcPr>
          <w:p w14:paraId="2566B5EB"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Self-reported</w:t>
            </w:r>
          </w:p>
        </w:tc>
        <w:tc>
          <w:tcPr>
            <w:tcW w:w="591" w:type="pct"/>
            <w:gridSpan w:val="2"/>
            <w:tcBorders>
              <w:top w:val="nil"/>
              <w:left w:val="nil"/>
              <w:bottom w:val="single" w:sz="8" w:space="0" w:color="auto"/>
              <w:right w:val="nil"/>
            </w:tcBorders>
            <w:shd w:val="clear" w:color="auto" w:fill="auto"/>
            <w:vAlign w:val="center"/>
          </w:tcPr>
          <w:p w14:paraId="705DB150"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Self-reported</w:t>
            </w:r>
          </w:p>
        </w:tc>
        <w:tc>
          <w:tcPr>
            <w:tcW w:w="594" w:type="pct"/>
            <w:tcBorders>
              <w:top w:val="nil"/>
              <w:left w:val="nil"/>
              <w:bottom w:val="single" w:sz="8" w:space="0" w:color="auto"/>
              <w:right w:val="nil"/>
            </w:tcBorders>
            <w:shd w:val="clear" w:color="auto" w:fill="auto"/>
            <w:vAlign w:val="center"/>
          </w:tcPr>
          <w:p w14:paraId="55684C10"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Self-reported</w:t>
            </w:r>
          </w:p>
        </w:tc>
        <w:tc>
          <w:tcPr>
            <w:tcW w:w="644" w:type="pct"/>
            <w:tcBorders>
              <w:top w:val="nil"/>
              <w:left w:val="nil"/>
              <w:bottom w:val="single" w:sz="8" w:space="0" w:color="auto"/>
              <w:right w:val="nil"/>
            </w:tcBorders>
            <w:shd w:val="clear" w:color="auto" w:fill="auto"/>
            <w:vAlign w:val="center"/>
          </w:tcPr>
          <w:p w14:paraId="1D3AE159"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Self-reported</w:t>
            </w:r>
          </w:p>
        </w:tc>
        <w:tc>
          <w:tcPr>
            <w:tcW w:w="594" w:type="pct"/>
            <w:tcBorders>
              <w:top w:val="nil"/>
              <w:left w:val="nil"/>
              <w:bottom w:val="single" w:sz="8" w:space="0" w:color="auto"/>
              <w:right w:val="nil"/>
            </w:tcBorders>
            <w:shd w:val="clear" w:color="auto" w:fill="auto"/>
            <w:vAlign w:val="center"/>
          </w:tcPr>
          <w:p w14:paraId="76E3DD82"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Self-reported</w:t>
            </w:r>
          </w:p>
        </w:tc>
        <w:tc>
          <w:tcPr>
            <w:tcW w:w="594" w:type="pct"/>
            <w:tcBorders>
              <w:top w:val="nil"/>
              <w:left w:val="nil"/>
              <w:bottom w:val="single" w:sz="8" w:space="0" w:color="auto"/>
              <w:right w:val="nil"/>
            </w:tcBorders>
            <w:shd w:val="clear" w:color="auto" w:fill="auto"/>
            <w:vAlign w:val="center"/>
          </w:tcPr>
          <w:p w14:paraId="1EB5BDB0"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Self-reported</w:t>
            </w:r>
          </w:p>
        </w:tc>
        <w:tc>
          <w:tcPr>
            <w:tcW w:w="792" w:type="pct"/>
            <w:gridSpan w:val="3"/>
            <w:tcBorders>
              <w:top w:val="nil"/>
              <w:left w:val="nil"/>
              <w:bottom w:val="single" w:sz="8" w:space="0" w:color="auto"/>
              <w:right w:val="nil"/>
            </w:tcBorders>
            <w:shd w:val="clear" w:color="auto" w:fill="auto"/>
            <w:vAlign w:val="center"/>
          </w:tcPr>
          <w:p w14:paraId="3D3ACD59" w14:textId="77777777" w:rsidR="00CE25C3" w:rsidRPr="003160F8" w:rsidRDefault="00CE25C3" w:rsidP="00717F76">
            <w:pPr>
              <w:pStyle w:val="MDPI42tablebody"/>
              <w:autoSpaceDE w:val="0"/>
              <w:autoSpaceDN w:val="0"/>
              <w:spacing w:line="240" w:lineRule="auto"/>
              <w:rPr>
                <w:color w:val="auto"/>
                <w:szCs w:val="18"/>
                <w:lang w:val="en-GB"/>
              </w:rPr>
            </w:pPr>
            <w:r w:rsidRPr="003160F8">
              <w:rPr>
                <w:color w:val="auto"/>
                <w:szCs w:val="18"/>
                <w:lang w:val="en-GB"/>
              </w:rPr>
              <w:t>Nurse administered</w:t>
            </w:r>
          </w:p>
        </w:tc>
      </w:tr>
    </w:tbl>
    <w:p w14:paraId="72BD00B8" w14:textId="0AD9C7BE" w:rsidR="00CE25C3" w:rsidRPr="003160F8" w:rsidRDefault="00717F76" w:rsidP="00717F76">
      <w:pPr>
        <w:pStyle w:val="MDPI43tablefooter"/>
        <w:ind w:left="425" w:right="425"/>
        <w:rPr>
          <w:lang w:val="en-GB"/>
        </w:rPr>
        <w:sectPr w:rsidR="00CE25C3" w:rsidRPr="003160F8" w:rsidSect="003805B0">
          <w:pgSz w:w="16838" w:h="11906" w:orient="landscape" w:code="9"/>
          <w:pgMar w:top="1531" w:right="1417" w:bottom="1531" w:left="1077" w:header="1020" w:footer="850" w:gutter="0"/>
          <w:cols w:space="425"/>
          <w:docGrid w:type="lines" w:linePitch="326"/>
        </w:sectPr>
      </w:pPr>
      <w:r w:rsidRPr="003160F8">
        <w:rPr>
          <w:lang w:val="en-GB"/>
        </w:rPr>
        <w:t xml:space="preserve">FFQ: Food Frequency Questionnaire. WG: weeks of gestation. PP: pre-pregnancy, EP: early pregnancy, LP: late pregnancy. </w:t>
      </w:r>
      <w:r w:rsidRPr="003160F8">
        <w:rPr>
          <w:vertAlign w:val="superscript"/>
          <w:lang w:val="en-GB"/>
        </w:rPr>
        <w:t>1</w:t>
      </w:r>
      <w:r w:rsidRPr="003160F8">
        <w:rPr>
          <w:lang w:val="en-GB"/>
        </w:rPr>
        <w:t xml:space="preserve"> Finally included in this study. </w:t>
      </w:r>
      <w:r w:rsidRPr="003160F8">
        <w:rPr>
          <w:vertAlign w:val="superscript"/>
          <w:lang w:val="en-GB"/>
        </w:rPr>
        <w:t>2</w:t>
      </w:r>
      <w:r w:rsidRPr="003160F8">
        <w:rPr>
          <w:lang w:val="en-GB"/>
        </w:rPr>
        <w:t xml:space="preserve"> Generation R used a caloric cut-off to exclude women with caloric intakes &lt;500 kcal or &gt;3,500 kcal (all other cohorts did not make any exclusion based on energy before deriving the DASH score). </w:t>
      </w:r>
      <w:r w:rsidRPr="003160F8">
        <w:rPr>
          <w:vertAlign w:val="superscript"/>
          <w:lang w:val="en-GB"/>
        </w:rPr>
        <w:t>3</w:t>
      </w:r>
      <w:r w:rsidRPr="003160F8">
        <w:rPr>
          <w:lang w:val="en-GB"/>
        </w:rPr>
        <w:t xml:space="preserve"> 12,572 women answered the FFQ at PP period but only 3,158 women went on to have live singleton birth within the study.</w:t>
      </w:r>
    </w:p>
    <w:p w14:paraId="57D19166" w14:textId="603F25A9" w:rsidR="005F0128" w:rsidRPr="003160F8" w:rsidRDefault="00A33971" w:rsidP="00A33971">
      <w:pPr>
        <w:pStyle w:val="MDPI22heading2"/>
        <w:rPr>
          <w:noProof w:val="0"/>
          <w:lang w:val="en-GB"/>
        </w:rPr>
      </w:pPr>
      <w:r w:rsidRPr="003160F8">
        <w:rPr>
          <w:noProof w:val="0"/>
          <w:lang w:val="en-GB"/>
        </w:rPr>
        <w:t xml:space="preserve">2.2. </w:t>
      </w:r>
      <w:r w:rsidR="005F0128" w:rsidRPr="003160F8">
        <w:rPr>
          <w:noProof w:val="0"/>
          <w:lang w:val="en-GB"/>
        </w:rPr>
        <w:t xml:space="preserve">Dietary </w:t>
      </w:r>
      <w:r w:rsidR="003805B0" w:rsidRPr="003160F8">
        <w:rPr>
          <w:noProof w:val="0"/>
          <w:lang w:val="en-GB"/>
        </w:rPr>
        <w:t xml:space="preserve">Data Collection </w:t>
      </w:r>
      <w:r w:rsidR="005F0128" w:rsidRPr="003160F8">
        <w:rPr>
          <w:noProof w:val="0"/>
          <w:lang w:val="en-GB"/>
        </w:rPr>
        <w:t xml:space="preserve">and </w:t>
      </w:r>
      <w:r w:rsidR="00E16E20" w:rsidRPr="003160F8">
        <w:rPr>
          <w:noProof w:val="0"/>
          <w:lang w:val="en-GB"/>
        </w:rPr>
        <w:t>T</w:t>
      </w:r>
      <w:r w:rsidR="005F0128" w:rsidRPr="003160F8">
        <w:rPr>
          <w:noProof w:val="0"/>
          <w:lang w:val="en-GB"/>
        </w:rPr>
        <w:t>reatment</w:t>
      </w:r>
    </w:p>
    <w:p w14:paraId="1DC3C7F4" w14:textId="44A6C008" w:rsidR="005F0128" w:rsidRPr="003160F8" w:rsidRDefault="005F0128" w:rsidP="00A33971">
      <w:pPr>
        <w:pStyle w:val="MDPI31text"/>
        <w:rPr>
          <w:lang w:val="en-GB"/>
        </w:rPr>
      </w:pPr>
      <w:r w:rsidRPr="003160F8">
        <w:rPr>
          <w:lang w:val="en-GB"/>
        </w:rPr>
        <w:t>Women completed mostly validated (except ALSPAC)</w:t>
      </w:r>
      <w:r w:rsidR="00D8011B">
        <w:rPr>
          <w:lang w:val="en-GB"/>
        </w:rPr>
        <w:t>,</w:t>
      </w:r>
      <w:r w:rsidRPr="003160F8">
        <w:rPr>
          <w:lang w:val="en-GB"/>
        </w:rPr>
        <w:t xml:space="preserve"> semi-quantitative (EDEN </w:t>
      </w:r>
      <w:r w:rsidRPr="003160F8">
        <w:rPr>
          <w:lang w:val="en-GB"/>
        </w:rPr>
        <w:fldChar w:fldCharType="begin"/>
      </w:r>
      <w:r w:rsidRPr="003160F8">
        <w:rPr>
          <w:lang w:val="en-GB"/>
        </w:rPr>
        <w:instrText xml:space="preserve"> ADDIN ZOTERO_ITEM CSL_CITATION {"citationID":"I6J9R1yp","properties":{"formattedCitation":"(31)","plainCitation":"(31)","noteIndex":0},"citationItems":[{"id":291,"uris":["http://zotero.org/users/4872814/items/KYZVQ6QR"],"uri":["http://zotero.org/users/4872814/items/KYZVQ6QR"],"itemData":{"id":291,"type":"article-journal","title":"Reproducibility and relative validity of a food-frequency questionnaire among French adults and adolescents","container-title":"European Journal of Clinical Nutrition","page":"282-291","volume":"63","issue":"2","source":"PubMed","abstract":"OBJECTIVE: Our aim was to evaluate the reproducibility of a food-frequency questionnaire (FFQ) developed in a French population, and its validity against four 24-h dietary recalls (24-HRs).\nMETHODS: A total of 57 adults (aged 18-63), 17 adolescents (aged 14-18) and 20 children (aged 10-14) completed four 24-HRs (one per season) and two FFQs over a 1-year interval. Reproducibility of the FFQ was estimated by intraclass correlation coefficients (ICCs). The validity of FFQ was assessed by comparison with the four 24-HRs.\nRESULTS: For most nutrients, the first FFQ measurements gave higher mean values than the second FFQ. The ICCs for nutrients ranged from 0.39 for total protein to 0.83 for alcohol. The ICCs were higher for food items consumed daily such as milk (0.80) or sugars and confectionery (0.65), and lower for rarely eaten food such as inner organs (0.11). Nutrient intakes as assessed by FFQs were higher than those from the 24-HRs, except for alcohol. The de-attenuated Pearson's correlation coefficient for nutrients varied from 0.25 (dietary fiber) to 0.90 (alcohol), but the adjustment for energy did not improve these coefficients. When nutrient intakes were categorized into quintiles, FFQ and 24-HRs produced agreement rates (same or adjacent quintile) between 55% (for PUFA) and 95% (for alcohol), while misclassification to an extreme quintile was rare (&lt;5%).\nCONCLUSION: The FFQ developed for the FLVS II Study can be used to classify adults or adolescents according to their nutrients and food intakes over a 1-year period.","DOI":"10.1038/sj.ejcn.1602914","ISSN":"1476-5640","note":"PMID: 17882132\nPMCID: PMC2663891","journalAbbreviation":"Eur J Clin Nutr","language":"eng","author":[{"family":"Deschamps","given":"V."},{"family":"Lauzon-Guillain","given":"B.","non-dropping-particle":"de"},{"family":"Lafay","given":"L."},{"family":"Borys","given":"J.-M."},{"family":"Charles","given":"M. A."},{"family":"Romon","given":"M."}],"issued":{"date-parts":[["2009",2]]}}}],"schema":"https://github.com/citation-style-language/schema/raw/master/csl-citation.json"} </w:instrText>
      </w:r>
      <w:r w:rsidRPr="003160F8">
        <w:rPr>
          <w:lang w:val="en-GB"/>
        </w:rPr>
        <w:fldChar w:fldCharType="separate"/>
      </w:r>
      <w:r w:rsidR="008439C6" w:rsidRPr="003160F8">
        <w:rPr>
          <w:lang w:val="en-GB"/>
        </w:rPr>
        <w:t>[</w:t>
      </w:r>
      <w:r w:rsidR="00534555" w:rsidRPr="003160F8">
        <w:rPr>
          <w:lang w:val="en-GB"/>
        </w:rPr>
        <w:t>31</w:t>
      </w:r>
      <w:r w:rsidR="008439C6" w:rsidRPr="003160F8">
        <w:rPr>
          <w:lang w:val="en-GB"/>
        </w:rPr>
        <w:t>]</w:t>
      </w:r>
      <w:r w:rsidRPr="003160F8">
        <w:rPr>
          <w:lang w:val="en-GB"/>
        </w:rPr>
        <w:fldChar w:fldCharType="end"/>
      </w:r>
      <w:r w:rsidRPr="003160F8">
        <w:rPr>
          <w:lang w:val="en-GB"/>
        </w:rPr>
        <w:t xml:space="preserve">, Generation R </w:t>
      </w:r>
      <w:r w:rsidRPr="003160F8">
        <w:rPr>
          <w:lang w:val="en-GB"/>
        </w:rPr>
        <w:fldChar w:fldCharType="begin"/>
      </w:r>
      <w:r w:rsidRPr="003160F8">
        <w:rPr>
          <w:lang w:val="en-GB"/>
        </w:rPr>
        <w:instrText xml:space="preserve"> ADDIN ZOTERO_ITEM CSL_CITATION {"citationID":"9vM2MtxU","properties":{"formattedCitation":"(32)","plainCitation":"(32)","noteIndex":0},"citationItems":[{"id":290,"uris":["http://zotero.org/users/4872814/items/ULUKFZ6F"],"uri":["http://zotero.org/users/4872814/items/ULUKFZ6F"],"itemData":{"id":290,"type":"article-journal","title":"Dietary assessment in the elderly: validation of a semiquantitative food frequency questionnaire","container-title":"European Journal of Clinical Nutrition","page":"588-596","volume":"52","issue":"8","source":"PubMed","abstract":"OBJECTIVE: The study was conducted to assess the relative validity of a 170-item semiquantitative food frequency questionnaire (SFFQ) adapted for use in the elderly.\nDESIGN AND SUBJECTS: The study was carried out in a sample of 80 men and women aged 55-75 y participating in a community based prospective cohort study in Rotterdam, The Netherlands. The two-step dietary assessment comprised a simple self-administered questionnaire (20 min) followed by a structured interview with trained dietitians (20 min) based on the completed questionnaire. Multiple food records (FR) collected over a one year period served as reference method. 24 h urine urea was used as indirect marker for protein intake.\nRESULTS: Compared with FR, the SFFQ generally overestimated nutrient intake as reflected by difference in means and the ratio of SFFQ to FR. Energy adjustment reduced the observed overestimation. Pearson's correlation coefficients varied from close to 0.5 to about 0.9 for crude data, and after adjustment for age, sex, total energy intake, and for within-person variability in daily intake for 0.4-0.8. Cross-classification into quintiles resulted in correct classification into the same or adjacent quintile of 75.8% for crude and 76.8% for energy-adjusted data. Validation of protein intake estimated by SFFQ with protein excretion from 24h urine urea indicated overestimation of protein intake by SFFQ. Spearman correlation coefficient between protein intake estimated from urea excretion and SFFQ was 0.67.\nCONCLUSIONS: Adaptation of a SFFQ for use in the elderly resulted in a valid and time-efficient dietary assessment instrument. Its ability to adequately rank study subjects according to their dietary intake support its application in epidemiological studies in the elderly.","ISSN":"0954-3007","note":"PMID: 9725660","title-short":"Dietary assessment in the elderly","journalAbbreviation":"Eur J Clin Nutr","language":"eng","author":[{"family":"Klipstein-Grobusch","given":"K."},{"family":"Breeijen","given":"J. H.","non-dropping-particle":"den"},{"family":"Goldbohm","given":"R. A."},{"family":"Geleijnse","given":"J. M."},{"family":"Hofman","given":"A."},{"family":"Grobbee","given":"D. E."},{"family":"Witteman","given":"J. C."}],"issued":{"date-parts":[["1998",8]]}}}],"schema":"https://github.com/citation-style-language/schema/raw/master/csl-citation.json"} </w:instrText>
      </w:r>
      <w:r w:rsidRPr="003160F8">
        <w:rPr>
          <w:lang w:val="en-GB"/>
        </w:rPr>
        <w:fldChar w:fldCharType="separate"/>
      </w:r>
      <w:r w:rsidR="008439C6" w:rsidRPr="003160F8">
        <w:rPr>
          <w:lang w:val="en-GB"/>
        </w:rPr>
        <w:t>[</w:t>
      </w:r>
      <w:r w:rsidR="00534555" w:rsidRPr="003160F8">
        <w:rPr>
          <w:lang w:val="en-GB"/>
        </w:rPr>
        <w:t>32</w:t>
      </w:r>
      <w:r w:rsidR="008439C6" w:rsidRPr="003160F8">
        <w:rPr>
          <w:lang w:val="en-GB"/>
        </w:rPr>
        <w:t>]</w:t>
      </w:r>
      <w:r w:rsidRPr="003160F8">
        <w:rPr>
          <w:lang w:val="en-GB"/>
        </w:rPr>
        <w:fldChar w:fldCharType="end"/>
      </w:r>
      <w:r w:rsidRPr="003160F8">
        <w:rPr>
          <w:lang w:val="en-GB"/>
        </w:rPr>
        <w:t xml:space="preserve">, Lifeways </w:t>
      </w:r>
      <w:r w:rsidRPr="003160F8">
        <w:rPr>
          <w:lang w:val="en-GB"/>
        </w:rPr>
        <w:fldChar w:fldCharType="begin"/>
      </w:r>
      <w:r w:rsidRPr="003160F8">
        <w:rPr>
          <w:lang w:val="en-GB"/>
        </w:rPr>
        <w:instrText xml:space="preserve"> ADDIN ZOTERO_ITEM CSL_CITATION {"citationID":"8F5s9lFr","properties":{"formattedCitation":"(33,34)","plainCitation":"(33,34)","noteIndex":0},"citationItems":[{"id":289,"uris":["http://zotero.org/users/4872814/items/Y2GEM5D2"],"uri":["http://zotero.org/users/4872814/items/Y2GEM5D2"],"itemData":{"id":289,"type":"article-journal","title":"Maternal macronutrient intake during pregnancy and 5 years postpartum and associations with child weight status aged five","container-title":"European Journal of Clinical Nutrition","page":"670-679","volume":"67","issue":"6","source":"PubMed","abstract":"BACKGROUND/OBJECTIVES: Animal models have demonstrated that maternal overnutrition during pregnancy influences offspring adiposity. Few human studies of normal pregnancy have replicated these findings. We examined the association between child body mass index at age 5 years and maternal nutrient intake during pregnancy and 5 years postpartum.\nSUBJECTS/METHODS: Five-year-old children (n=585) and their mothers were recruited during pregnancy from two maternity hospitals in Ireland. Data are from the Lifeways Cross-Generation Cohort study with detailed dietary information obtained during pregnancy and postpartum using a food frequency questionnaire. Nutrient intake was adjusted for energy intake (EI) and expressed in quartiles. Heights and weights were measured when the children were aged 5 years. We performed multivariate logistic regression analyses to examine the independent associations of macronutrients (protein, fat and carbohydrate) and their components (saturated fatty acid (SFA)/monounsaturated fatty acid/polyunsaturated fatty acid and sugar/starch) with child overweight/obesity. Associations were examined for nutrient intake during pregnancy (T1), at 5 years postpartum (T2) and the change in nutrient intake between T1 and T2.\nRESULTS: Total mean (s.d.) EI was significantly higher during pregnancy (2548 ± 1239 kcal) than 5 years postpartum (2084 ± 718 kcal). Increased odds of overweight/obesity were found in mothers with higher intakes of sugar at T1 (Q4 odds ratio (OR): 4.57, 95% confidence interval (CI): 1.01-20.69) and high intakes of SFA at T2 (Q4 OR: 3.35, 95% CI: 0.97-11.57). Mothers with persistently high intakes of SFA and those who reduce their sugar intake between T1 and T2 were more likely to have overweight/obese children.\nCONCLUSION: Maternal prenatal sugar and pre/postnatal SFA was associated with offspring adiposity.","DOI":"10.1038/ejcn.2013.76","ISSN":"1476-5640","note":"PMID: 23612514","journalAbbreviation":"Eur J Clin Nutr","language":"eng","author":[{"family":"Murrin","given":"C."},{"family":"Shrivastava","given":"A."},{"family":"Kelleher","given":"C. C."},{"literal":"Lifeways Cross-generation Cohort Study Steering Group"}],"issued":{"date-parts":[["2013",6]]}}},{"id":222,"uris":["http://zotero.org/users/4872814/items/2GJS2CP5"],"uri":["http://zotero.org/users/4872814/items/2GJS2CP5"],"itemData":{"id":222,"type":"thesis","title":"Validation of a Food Frequency Questionnaire as a tool for assessing nutrient intake.","publisher":"National University of Ireland Galway","publisher-place":"Galway","genre":"MA Thesis","event-place":"Galway","author":[{"family":"Harrington","given":"J."}],"issued":{"date-parts":[["1997"]]}}}],"schema":"https://github.com/citation-style-language/schema/raw/master/csl-citation.json"} </w:instrText>
      </w:r>
      <w:r w:rsidRPr="003160F8">
        <w:rPr>
          <w:lang w:val="en-GB"/>
        </w:rPr>
        <w:fldChar w:fldCharType="separate"/>
      </w:r>
      <w:r w:rsidR="008439C6" w:rsidRPr="003160F8">
        <w:rPr>
          <w:lang w:val="en-GB"/>
        </w:rPr>
        <w:t>[</w:t>
      </w:r>
      <w:r w:rsidR="00534555" w:rsidRPr="003160F8">
        <w:rPr>
          <w:lang w:val="en-GB"/>
        </w:rPr>
        <w:t>33,34</w:t>
      </w:r>
      <w:r w:rsidR="008439C6" w:rsidRPr="003160F8">
        <w:rPr>
          <w:lang w:val="en-GB"/>
        </w:rPr>
        <w:t>]</w:t>
      </w:r>
      <w:r w:rsidRPr="003160F8">
        <w:rPr>
          <w:lang w:val="en-GB"/>
        </w:rPr>
        <w:fldChar w:fldCharType="end"/>
      </w:r>
      <w:r w:rsidRPr="003160F8">
        <w:rPr>
          <w:lang w:val="en-GB"/>
        </w:rPr>
        <w:t xml:space="preserve">, ROLO </w:t>
      </w:r>
      <w:r w:rsidRPr="003160F8">
        <w:rPr>
          <w:lang w:val="en-GB"/>
        </w:rPr>
        <w:fldChar w:fldCharType="begin"/>
      </w:r>
      <w:r w:rsidRPr="003160F8">
        <w:rPr>
          <w:lang w:val="en-GB"/>
        </w:rPr>
        <w:instrText xml:space="preserve"> ADDIN ZOTERO_ITEM CSL_CITATION {"citationID":"AbHexKpp","properties":{"formattedCitation":"(34,35)","plainCitation":"(34,35)","noteIndex":0},"citationItems":[{"id":222,"uris":["http://zotero.org/users/4872814/items/2GJS2CP5"],"uri":["http://zotero.org/users/4872814/items/2GJS2CP5"],"itemData":{"id":222,"type":"thesis","title":"Validation of a Food Frequency Questionnaire as a tool for assessing nutrient intake.","publisher":"National University of Ireland Galway","publisher-place":"Galway","genre":"MA Thesis","event-place":"Galway","author":[{"family":"Harrington","given":"J."}],"issued":{"date-parts":[["1997"]]}}},{"id":239,"uris":["http://zotero.org/users/4872814/items/Y39D6PW8"],"uri":["http://zotero.org/users/4872814/items/Y39D6PW8"],"itemData":{"id":239,"type":"article-journal","title":"Well-being in pregnancy: an examination of the effect of socioeconomic, dietary and lifestyle factors including impact of a low glycaemic index dietary intervention","container-title":"European Journal of Clinical Nutrition","page":"19-24","volume":"68","issue":"1","source":"PubMed","abstract":"BACKGROUND/OBJECTIVE: Well-being has been linked to the quality of diet and lifestyle in adults; however, there is a paucity of data in pregnancy. The aim of this study was to examine the relationship between well-being and socioeconomic status, diet and lifestyle during pregnancy and to consider the effect of intervention with low glycaemic index (GI) diet on well-being.\nSUBJECTS/METHODS: This was a cohort analysis of 619 participants of the ROLO study (Randomised cOntrol trial of LOw GI diet versus no dietary intervention to prevent recurrence of fetal macrosomia). The following data were collected: educational attainment, dietary intakes (food frequency questionnaire), physical activity (self-reported) and well-being (WHO-5-Item Wellbeing Index--expressed as a percentage).\nRESULTS: Well-being was positively associated with education and physical activity. Third-level education was associated with a 3.07-point higher well-being percentage score, and each day that an individual achieved &gt;30 min walking per week was associated with a 1.10-point increase in percentage well-being score, Radj(2) 2.4% (F=7.260, P=0.001). The intervention low GI group had a significantly lower percentage well-being score than the usual diet group (56.3% vs 59.9%, P=0.015). No correlation was noted between well-being and GI status calculated from food diaries (P=0.469). Well-being was not associated with micronutrient intake.\nCONCLUSIONS: Well-being in pregnancy was independently and positively associated with education and physical activity and negatively associated with low GI dietary intervention. These findings have significance not only for women at risk of low mood but also for healthcare professionals when counselling women about the importance of healthy lifestyle in pregnancy.","DOI":"10.1038/ejcn.2013.212","ISSN":"1476-5640","note":"PMID: 24169456","title-short":"Well-being in pregnancy","journalAbbreviation":"Eur J Clin Nutr","language":"eng","author":[{"family":"Horan","given":"M. K."},{"family":"McGowan","given":"C. A."},{"family":"Doyle","given":"O."},{"family":"McAuliffe","given":"F. M."}],"issued":{"date-parts":[["2014",1]]}}}],"schema":"https://github.com/citation-style-language/schema/raw/master/csl-citation.json"} </w:instrText>
      </w:r>
      <w:r w:rsidRPr="003160F8">
        <w:rPr>
          <w:lang w:val="en-GB"/>
        </w:rPr>
        <w:fldChar w:fldCharType="separate"/>
      </w:r>
      <w:r w:rsidR="008439C6" w:rsidRPr="003160F8">
        <w:rPr>
          <w:lang w:val="en-GB"/>
        </w:rPr>
        <w:t>[</w:t>
      </w:r>
      <w:r w:rsidR="00534555" w:rsidRPr="003160F8">
        <w:rPr>
          <w:lang w:val="en-GB"/>
        </w:rPr>
        <w:t>34,35</w:t>
      </w:r>
      <w:r w:rsidR="008439C6" w:rsidRPr="003160F8">
        <w:rPr>
          <w:lang w:val="en-GB"/>
        </w:rPr>
        <w:t>]</w:t>
      </w:r>
      <w:r w:rsidRPr="003160F8">
        <w:rPr>
          <w:lang w:val="en-GB"/>
        </w:rPr>
        <w:fldChar w:fldCharType="end"/>
      </w:r>
      <w:r w:rsidRPr="003160F8">
        <w:rPr>
          <w:lang w:val="en-GB"/>
        </w:rPr>
        <w:t>)</w:t>
      </w:r>
      <w:r w:rsidR="00D8011B">
        <w:rPr>
          <w:lang w:val="en-GB"/>
        </w:rPr>
        <w:t>,</w:t>
      </w:r>
      <w:r w:rsidRPr="003160F8">
        <w:rPr>
          <w:lang w:val="en-GB"/>
        </w:rPr>
        <w:t xml:space="preserve"> or non-quantitative (ALSPAC </w:t>
      </w:r>
      <w:r w:rsidRPr="003160F8">
        <w:rPr>
          <w:lang w:val="en-GB"/>
        </w:rPr>
        <w:fldChar w:fldCharType="begin"/>
      </w:r>
      <w:r w:rsidRPr="003160F8">
        <w:rPr>
          <w:lang w:val="en-GB"/>
        </w:rPr>
        <w:instrText xml:space="preserve"> ADDIN ZOTERO_ITEM CSL_CITATION {"citationID":"e7wFoaCq","properties":{"formattedCitation":"(36)","plainCitation":"(36)","noteIndex":0},"citationItems":[{"id":292,"uris":["http://zotero.org/users/4872814/items/VT3CXSGS"],"uri":["http://zotero.org/users/4872814/items/VT3CXSGS"],"itemData":{"id":292,"type":"article-journal","title":"Diet during pregnancy in a population of pregnant women in South West England. ALSPAC Study Team. Avon Longitudinal Study of Pregnancy and Childhood","container-title":"European Journal of Clinical Nutrition","page":"246-250","volume":"52","issue":"4","source":"PubMed","abstract":"OBJECTIVE: To describe the diet of a population of pregnant women.\nSUBJECTS: Eleven thousand, nine hundred and twenty-three pregnant women resident in the south-west of England.\nDESIGN: A self-completion unquantified food-frequency questionnaire was sent to the women at 32 weeks gestation. Estimated daily nutrient intakes were calculated from the answers to the questionnaire.\nRESULTS: On the whole, nutrient intakes of the pregnant women in this survey compared very closely with the reported nutrient intakes for all women aged 16-64 in the last Dietary and Nutritional Survey of British Adults (DNSBA). The exceptions were sugar, calcium, folate and vitamin C where the estimated intakes were somewhat higher, and retinol, where the estimated intake was somewhat lower than the DNSBA. Mean and median estimated nutrient intakes were above the RNIs for the majority of nutrients investigated except for energy, iron, magnesium, potassium and folate. Levels of supplementary vitamin and mineral use were fairly low, the two most commonly taken supplements were iron--taken by 22.5% of the pregnant women before 18 weeks and 43% at 32 weeks, and folate, taken by 9% and 18% of the women, respectively.\nCONCLUSIONS: These results suggest that the diets of pregnant women in this country are likely to contain adequate amounts of most nutrients, the most likely exceptions being iron, magnesium, potassium and folate. The relatively low intakes of folate and small proportion of women taking folate supplements is of concern, because of the association between inadequate amounts of folate in the diet and neural tube defects.","ISSN":"0954-3007","note":"PMID: 9578336","journalAbbreviation":"Eur J Clin Nutr","language":"eng","author":[{"family":"Rogers","given":"I."},{"family":"Emmett","given":"P."}],"issued":{"date-parts":[["1998",4]]}}}],"schema":"https://github.com/citation-style-language/schema/raw/master/csl-citation.json"} </w:instrText>
      </w:r>
      <w:r w:rsidRPr="003160F8">
        <w:rPr>
          <w:lang w:val="en-GB"/>
        </w:rPr>
        <w:fldChar w:fldCharType="separate"/>
      </w:r>
      <w:r w:rsidR="008439C6" w:rsidRPr="003160F8">
        <w:rPr>
          <w:lang w:val="en-GB"/>
        </w:rPr>
        <w:t>[</w:t>
      </w:r>
      <w:r w:rsidR="00534555" w:rsidRPr="003160F8">
        <w:rPr>
          <w:lang w:val="en-GB"/>
        </w:rPr>
        <w:t>36</w:t>
      </w:r>
      <w:r w:rsidR="008439C6" w:rsidRPr="003160F8">
        <w:rPr>
          <w:lang w:val="en-GB"/>
        </w:rPr>
        <w:t>]</w:t>
      </w:r>
      <w:r w:rsidRPr="003160F8">
        <w:rPr>
          <w:lang w:val="en-GB"/>
        </w:rPr>
        <w:fldChar w:fldCharType="end"/>
      </w:r>
      <w:r w:rsidRPr="003160F8">
        <w:rPr>
          <w:lang w:val="en-GB"/>
        </w:rPr>
        <w:t xml:space="preserve">, REPRO_PL </w:t>
      </w:r>
      <w:r w:rsidRPr="003160F8">
        <w:rPr>
          <w:lang w:val="en-GB"/>
        </w:rPr>
        <w:fldChar w:fldCharType="begin"/>
      </w:r>
      <w:r w:rsidRPr="003160F8">
        <w:rPr>
          <w:lang w:val="en-GB"/>
        </w:rPr>
        <w:instrText xml:space="preserve"> ADDIN ZOTERO_ITEM CSL_CITATION {"citationID":"vw7cgV4F","properties":{"formattedCitation":"(28)","plainCitation":"(28)","noteIndex":0},"citationItems":[{"id":56,"uris":["http://zotero.org/users/4872814/items/T5W3A69J"],"uri":["http://zotero.org/users/4872814/items/T5W3A69J"],"itemData":{"id":56,"type":"article-journal","title":"Polish mother and child cohort study--defining the problem, the aim of the study and methodological assumption","container-title":"International Journal of Occupational Medicine and Environmental Health","page":"383-391","volume":"22","issue":"4","source":"PubMed","abstract":"OBJECTIVES: Exposures during prenatal period have implications for pregnancy outcome as well as for children's health, morbidity and mortality. Prospective cohort study design allows for the identification of exposures that may influence pregnancy outcome and children's health, verification of such exposures by biomarker measurements and notification of any changes in exposure level.\nMATERIALS AND METHODS: Polish Mother and Child Cohort Study (REPRO_PL) is multicenter prospective cohort study conducted in 8 different regions of Poland. The final cohort is intended to comprise 1300 mother-child pairs to be recruited within 4-year period (2007-2011). The recruitment and all scheduled visits are conducted in maternity units or clinics in the districts included in the study. The women are followed-up 3 times in pregnancy (once in each trimester) and after delivery for the notification of pregnancy outcome. During each visit, detailed questionnaire and biological samples are collected including saliva, urine, hair, maternal blood and cord blood. About 6 weeks postpartum, breast milk from part of the women is collected. The study concentrates on the identification and evaluation of the effects of prenatal environmental exposure on pregnancy outcome and children's health. Specific research hypotheses refer to the role of heavy metals, exposure to polycyclic aromatic hydrocarbons (PAHs) and environmental tobacco smoke (ETS) in the aetiology of small-for-gestational-age (SGA) and preterm delivery (PD). The role of oxidative stress putative mechanism and pregnant women nutritional status will be investigated. Based on questionnaire data, the impact of occupational exposures and stressful situations will be evaluated.\nRESULTS: The results of the study will become available within the next few years and will help to determine levels of child prenatal exposure in several areas of Poland and its impact on course and outcome of pregnancy.","DOI":"10.2478/v10001-009-0037-0","ISSN":"1232-1087","note":"PMID: 20053622","journalAbbreviation":"Int J Occup Med Environ Health","language":"eng","author":[{"family":"Polańska","given":"Kinga"},{"family":"Hanke","given":"Wojciech"},{"family":"Gromadzińska","given":"Jolanta"},{"family":"Ligocka","given":"Danuta"},{"family":"Gulczyńska","given":"Ewa"},{"family":"Sobala","given":"Wojciech"},{"family":"Wásowicz","given":"Wojciech"}],"issued":{"date-parts":[["2009"]]}}}],"schema":"https://github.com/citation-style-language/schema/raw/master/csl-citation.json"} </w:instrText>
      </w:r>
      <w:r w:rsidRPr="003160F8">
        <w:rPr>
          <w:lang w:val="en-GB"/>
        </w:rPr>
        <w:fldChar w:fldCharType="separate"/>
      </w:r>
      <w:r w:rsidR="008439C6" w:rsidRPr="003160F8">
        <w:rPr>
          <w:lang w:val="en-GB"/>
        </w:rPr>
        <w:t>[</w:t>
      </w:r>
      <w:r w:rsidR="00534555" w:rsidRPr="003160F8">
        <w:rPr>
          <w:lang w:val="en-GB"/>
        </w:rPr>
        <w:t>28</w:t>
      </w:r>
      <w:r w:rsidR="008439C6" w:rsidRPr="003160F8">
        <w:rPr>
          <w:lang w:val="en-GB"/>
        </w:rPr>
        <w:t>]</w:t>
      </w:r>
      <w:r w:rsidRPr="003160F8">
        <w:rPr>
          <w:lang w:val="en-GB"/>
        </w:rPr>
        <w:fldChar w:fldCharType="end"/>
      </w:r>
      <w:r w:rsidRPr="003160F8">
        <w:rPr>
          <w:lang w:val="en-GB"/>
        </w:rPr>
        <w:t xml:space="preserve">, SWS </w:t>
      </w:r>
      <w:r w:rsidRPr="003160F8">
        <w:rPr>
          <w:lang w:val="en-GB"/>
        </w:rPr>
        <w:fldChar w:fldCharType="begin"/>
      </w:r>
      <w:r w:rsidRPr="003160F8">
        <w:rPr>
          <w:lang w:val="en-GB"/>
        </w:rPr>
        <w:instrText xml:space="preserve"> ADDIN ZOTERO_ITEM CSL_CITATION {"citationID":"coqyRGkf","properties":{"formattedCitation":"(37)","plainCitation":"(37)","noteIndex":0},"citationItems":[{"id":286,"uris":["http://zotero.org/users/4872814/items/WREWIASD"],"uri":["http://zotero.org/users/4872814/items/WREWIASD"],"itemData":{"id":286,"type":"article-journal","title":"Evaluation of a food frequency questionnaire used to assess nutrient intakes in pregnant women","container-title":"European Journal of Clinical Nutrition","page":"302-308","volume":"50","issue":"5","source":"PubMed","abstract":"OBJECTIVE: To compare nutrient intakes assessed by food frequency questionnaire (FFQ) with those determined from food diaries.\nDESIGN: A 100-item FFQ was administered to women at 15 weeks of pregnancy. Food diaries were kept for a 4-day period at 16 weeks of pregnancy.\nSETTING: Community-based study of a general population sample of pregnant women booked for delivery at the Princess Anne Maternity Hospital, Southampton, UK.\nSUBJECTS: 603 women were recruited. Complete dietary data were provided by 569 women.\nRESULTS: Nutrient intakes determined by FFQ were greater than those from food diaries. Spearman rank correlation coefficients for macronutrients ranged from 0.27 (protein and starch) to 0.37 (fat). Stronger correlations for energy, fat and carbohydrate were seen in women who did not experience nausea, suggesting that the level of agreement observed between the FFQ and food diary in the whole group may be an underestimate of the true agreement. The percentage of individuals classified to the same quarter of the distribution of nutrient intake by the FFQ and diaries ranged from 30% (starch) to 41% (calcium), with between 4% (riboflavin) and 8% (energy, protein and vitamin E) classified to the opposite quarters. Using serum vitamin C as an independent biomarker of intake, the percentage of individuals classified to the correct quarter of intake was similar for the FFQ and diary (34% and 37%), with 8% (FFQ) and 6% (diary) misclassified to the opposite quarter.\nCONCLUSION: The FFQ appears to give meaningful estimates of nutrient intake in early pregnancy which can be used to rank individuals within the distribution.","ISSN":"0954-3007","note":"PMID: 8735311","journalAbbreviation":"Eur J Clin Nutr","language":"eng","author":[{"family":"Robinson","given":"S."},{"family":"Godfrey","given":"K."},{"family":"Osmond","given":"C."},{"family":"Cox","given":"V."},{"family":"Barker","given":"D."}],"issued":{"date-parts":[["1996",5]]}}}],"schema":"https://github.com/citation-style-language/schema/raw/master/csl-citation.json"} </w:instrText>
      </w:r>
      <w:r w:rsidRPr="003160F8">
        <w:rPr>
          <w:lang w:val="en-GB"/>
        </w:rPr>
        <w:fldChar w:fldCharType="separate"/>
      </w:r>
      <w:r w:rsidR="00B10160" w:rsidRPr="003160F8">
        <w:rPr>
          <w:lang w:val="en-GB"/>
        </w:rPr>
        <w:t>[</w:t>
      </w:r>
      <w:r w:rsidR="00534555" w:rsidRPr="003160F8">
        <w:rPr>
          <w:lang w:val="en-GB"/>
        </w:rPr>
        <w:t>37</w:t>
      </w:r>
      <w:r w:rsidR="00B10160" w:rsidRPr="003160F8">
        <w:rPr>
          <w:lang w:val="en-GB"/>
        </w:rPr>
        <w:t>]</w:t>
      </w:r>
      <w:r w:rsidRPr="003160F8">
        <w:rPr>
          <w:lang w:val="en-GB"/>
        </w:rPr>
        <w:fldChar w:fldCharType="end"/>
      </w:r>
      <w:r w:rsidRPr="003160F8">
        <w:rPr>
          <w:lang w:val="en-GB"/>
        </w:rPr>
        <w:t>) FFQs</w:t>
      </w:r>
      <w:r w:rsidR="00D8011B">
        <w:rPr>
          <w:lang w:val="en-GB"/>
        </w:rPr>
        <w:t>,</w:t>
      </w:r>
      <w:r w:rsidRPr="003160F8">
        <w:rPr>
          <w:lang w:val="en-GB"/>
        </w:rPr>
        <w:t xml:space="preserve"> which were designed to assess average dietary intake over pre-conception or pregnancy periods (Table</w:t>
      </w:r>
      <w:r w:rsidR="003805B0" w:rsidRPr="003160F8">
        <w:rPr>
          <w:lang w:val="en-GB"/>
        </w:rPr>
        <w:t xml:space="preserve"> </w:t>
      </w:r>
      <w:r w:rsidRPr="003160F8">
        <w:rPr>
          <w:lang w:val="en-GB"/>
        </w:rPr>
        <w:t>1). Women declared food intake on frequency scales ranging from five (in ALSPAC) to nine response categories (in Generation R, Lifeways and ROLO) (Table</w:t>
      </w:r>
      <w:r w:rsidR="003805B0" w:rsidRPr="003160F8">
        <w:rPr>
          <w:lang w:val="en-GB"/>
        </w:rPr>
        <w:t xml:space="preserve"> </w:t>
      </w:r>
      <w:r w:rsidRPr="003160F8">
        <w:rPr>
          <w:lang w:val="en-GB"/>
        </w:rPr>
        <w:t xml:space="preserve">S1). An item “not ticked” (missing) was considered as “non-consuming” and imputed with zero, assuming that these mothers did not eat it. All food consumption frequencies were converted into daily frequencies (servings per day) to be comparable across cohorts. For cohorts with semi-quantitative FFQs, we also calculated food consumption data in amounts (grams and </w:t>
      </w:r>
      <w:r w:rsidR="00F16328" w:rsidRPr="003160F8">
        <w:rPr>
          <w:lang w:val="en-GB"/>
        </w:rPr>
        <w:t>millilitr</w:t>
      </w:r>
      <w:r w:rsidR="00362D81" w:rsidRPr="003160F8">
        <w:rPr>
          <w:lang w:val="en-GB"/>
        </w:rPr>
        <w:t>e</w:t>
      </w:r>
      <w:r w:rsidR="00F16328" w:rsidRPr="003160F8">
        <w:rPr>
          <w:lang w:val="en-GB"/>
        </w:rPr>
        <w:t>s</w:t>
      </w:r>
      <w:r w:rsidRPr="003160F8">
        <w:rPr>
          <w:lang w:val="en-GB"/>
        </w:rPr>
        <w:t xml:space="preserve"> per day).</w:t>
      </w:r>
    </w:p>
    <w:p w14:paraId="7ADAA392" w14:textId="68D1F0D4" w:rsidR="006A7224" w:rsidRPr="003160F8" w:rsidRDefault="00A33971" w:rsidP="00A33971">
      <w:pPr>
        <w:pStyle w:val="MDPI22heading2"/>
        <w:rPr>
          <w:noProof w:val="0"/>
          <w:lang w:val="en-GB"/>
        </w:rPr>
      </w:pPr>
      <w:r w:rsidRPr="003160F8">
        <w:rPr>
          <w:noProof w:val="0"/>
          <w:lang w:val="en-GB"/>
        </w:rPr>
        <w:t xml:space="preserve">2.3. </w:t>
      </w:r>
      <w:r w:rsidR="006A7224" w:rsidRPr="003160F8">
        <w:rPr>
          <w:noProof w:val="0"/>
          <w:lang w:val="en-GB"/>
        </w:rPr>
        <w:t xml:space="preserve">DASH </w:t>
      </w:r>
      <w:r w:rsidR="003805B0" w:rsidRPr="003160F8">
        <w:rPr>
          <w:noProof w:val="0"/>
          <w:lang w:val="en-GB"/>
        </w:rPr>
        <w:t>Score Creation</w:t>
      </w:r>
    </w:p>
    <w:p w14:paraId="30C20044" w14:textId="475F7111" w:rsidR="006A7224" w:rsidRPr="003160F8" w:rsidRDefault="006A7224" w:rsidP="00A33971">
      <w:pPr>
        <w:pStyle w:val="MDPI31text"/>
        <w:rPr>
          <w:lang w:val="en-GB"/>
        </w:rPr>
      </w:pPr>
      <w:r w:rsidRPr="003160F8">
        <w:rPr>
          <w:lang w:val="en-GB"/>
        </w:rPr>
        <w:t>Several DASH scores have been developed or adapted in the literature</w:t>
      </w:r>
      <w:r w:rsidR="00D8011B">
        <w:rPr>
          <w:lang w:val="en-GB"/>
        </w:rPr>
        <w:t>,</w:t>
      </w:r>
      <w:r w:rsidRPr="003160F8">
        <w:rPr>
          <w:lang w:val="en-GB"/>
        </w:rPr>
        <w:t xml:space="preserve"> which differ regarding both the food components included and scoring method </w:t>
      </w:r>
      <w:r w:rsidRPr="003160F8">
        <w:rPr>
          <w:lang w:val="en-GB"/>
        </w:rPr>
        <w:fldChar w:fldCharType="begin"/>
      </w:r>
      <w:r w:rsidRPr="003160F8">
        <w:rPr>
          <w:lang w:val="en-GB"/>
        </w:rPr>
        <w:instrText xml:space="preserve"> ADDIN ZOTERO_ITEM CSL_CITATION {"citationID":"aF1L367P","properties":{"formattedCitation":"(38)","plainCitation":"(38)","noteIndex":0},"citationItems":[{"id":54,"uris":["http://zotero.org/users/4872814/items/3U884ZR5"],"uri":["http://zotero.org/users/4872814/items/3U884ZR5"],"itemData":{"id":54,"type":"article-journal","title":"Comparison of 4 established DASH diet indexes: examining associations of index scores and colorectal cancer","container-title":"The American Journal of Clinical Nutrition","page":"794-803","volume":"98","issue":"3","source":"PubMed","abstract":"BACKGROUND: Multiple diet indexes have been developed to capture the Dietary Approaches to Stop Hypertension (DASH) dietary pattern and examine relations with health outcomes but have not been compared within the same study population to our knowledge.\nOBJECTIVE: We compared 4 established DASH indexes and examined associations with colorectal cancer.\nDESIGN: Scores were generated from a food-frequency questionnaire in the NIH-AARP Diet and Health Study (n = 491,841). Separate indexes defined by Dixon (7 food groups, saturated fat, and alcohol), Mellen (9 nutrients), Fung (7 food groups and sodium), and Günther (8 food groups) were used. HRs and 95% CIs for colorectal cancer were generated by using Cox proportional hazard models.\nRESULTS: From 1995 through 2006, 6752 incident colorectal cancer cases were ascertained. In men, higher scores were associated with reduced colorectal cancer incidence by comparing highest to lowest quintiles for all indexes as follows: Dixon (HR: 0.77; 95% CI: 0.69, 0.87), Mellen (HR: 0.78; 95% CI: 0.71, 0.86), Fung (HR: 0.75; 95% CI: 0.68, 0.83), and Günther (HR: 0.81; 95% CI: 0.74, 0.90). Higher scores in women were inversely associated with colorectal cancer incidence by using methods defined by Mellen (HR: 0.79; 95% CI: 0.68, 0.91), Fung (HR: 0.84; 95% CI: 0.73, 0.96), and Günther (HR: 0.84; 95% CI: 0.73.0.97) but not Dixon (HR: 1.01; 95% CI: 0.80, 1.28).\nCONCLUSION: The consistency in findings, particularly in men, suggests that all indexes capture an underlying construct inherent in the DASH dietary pattern, although the specific index used can affect results.","DOI":"10.3945/ajcn.113.063602","ISSN":"1938-3207","note":"PMID: 23864539\nPMCID: PMC3743737","title-short":"Comparison of 4 established DASH diet indexes","journalAbbreviation":"Am. J. Clin. Nutr.","language":"eng","author":[{"family":"Miller","given":"Paige E."},{"family":"Cross","given":"Amanda J."},{"family":"Subar","given":"Amy F."},{"family":"Krebs-Smith","given":"Susan M."},{"family":"Park","given":"Yikyung"},{"family":"Powell-Wiley","given":"Tiffany"},{"family":"Hollenbeck","given":"Albert"},{"family":"Reedy","given":"Jill"}],"issued":{"date-parts":[["2013",9]]}}}],"schema":"https://github.com/citation-style-language/schema/raw/master/csl-citation.json"} </w:instrText>
      </w:r>
      <w:r w:rsidRPr="003160F8">
        <w:rPr>
          <w:lang w:val="en-GB"/>
        </w:rPr>
        <w:fldChar w:fldCharType="separate"/>
      </w:r>
      <w:r w:rsidR="00B10160" w:rsidRPr="003160F8">
        <w:rPr>
          <w:lang w:val="en-GB"/>
        </w:rPr>
        <w:t>[</w:t>
      </w:r>
      <w:r w:rsidR="00534555" w:rsidRPr="003160F8">
        <w:rPr>
          <w:lang w:val="en-GB"/>
        </w:rPr>
        <w:t>38</w:t>
      </w:r>
      <w:r w:rsidR="00B10160" w:rsidRPr="003160F8">
        <w:rPr>
          <w:lang w:val="en-GB"/>
        </w:rPr>
        <w:t>]</w:t>
      </w:r>
      <w:r w:rsidRPr="003160F8">
        <w:rPr>
          <w:lang w:val="en-GB"/>
        </w:rPr>
        <w:fldChar w:fldCharType="end"/>
      </w:r>
      <w:r w:rsidRPr="003160F8">
        <w:rPr>
          <w:lang w:val="en-GB"/>
        </w:rPr>
        <w:t xml:space="preserve">. The DASH diet was initially created to help reduce arterial hypertension but no consensus exists on how to generate DASH scores from FFQs </w:t>
      </w:r>
      <w:r w:rsidRPr="003160F8">
        <w:rPr>
          <w:lang w:val="en-GB"/>
        </w:rPr>
        <w:fldChar w:fldCharType="begin"/>
      </w:r>
      <w:r w:rsidRPr="003160F8">
        <w:rPr>
          <w:lang w:val="en-GB"/>
        </w:rPr>
        <w:instrText xml:space="preserve"> ADDIN ZOTERO_ITEM CSL_CITATION {"citationID":"vY9brchF","properties":{"formattedCitation":"(39)","plainCitation":"(39)","noteIndex":0},"citationItems":[{"id":50,"uris":["http://zotero.org/users/4872814/items/W7WBG34X"],"uri":["http://zotero.org/users/4872814/items/W7WBG34X"],"itemData":{"id":50,"type":"article-journal","title":"Compliance with the Dietary Approaches to Stop Hypertension (DASH) Diet: A Systematic Review","container-title":"PLoS ONE","volume":"8","issue":"10","source":"PubMed Central","abstract":"Background\nThe Dietary Approaches to Stop Hypertension (DASH) diet has been recognized as effective to lower blood pressure in feeding trials, but compliance with the diet must be persistent to maximize health benefits in clinical practice. This paper reports a systematic review of the latest evidence on the method to assess DASH compliance and the corresponding patients' compliance in interventional settings.\n\nMethods\nThe databases including MEDLINE, EBM Reviews, EMBASE, and CINAHL Plus were searched for original research studies published in the period of January 1992- December 2012 that evaluated compliance with DASH diet. Studies written in English language, with DASH intervention, with complete documentation of the degree of DASH compliance and the assessment method used were included in this review. The search terms included: dietary approaches to stop hypertension, DASH, compliance, adherence, consistency, and concordance.\n\nResults\nNine studies were included. Different types of interventions were identified, ranging from feeding trial to dietary counseling. These studies differed in the assessment methods used to evaluate DASH compliance, which included objective approaches like measurement of urinary excretion, and subjective approaches like dietary intake assessment for DASH target comparison and construction of DASH scoring systems. Compliance levels were lower in educational interventions than that of the original DASH feeding trial.\n\nConclusions\nTo conclude, although no consensus existed regarding the best approach to assess DASH compliance, its suboptimal compliance warrants attention. This study implied a need to investigate effective approaches to sustain the DASH dietary pattern beyond counselling alone.","URL":"https://www.ncbi.nlm.nih.gov/pmc/articles/PMC3813594/","DOI":"10.1371/journal.pone.0078412","ISSN":"1932-6203","note":"PMID: 24205227\nPMCID: PMC3813594","title-short":"Compliance with the Dietary Approaches to Stop Hypertension (DASH) Diet","journalAbbreviation":"PLoS One","author":[{"family":"Kwan","given":"Mandy Wing-Man"},{"family":"Wong","given":"Martin Chi-Sang"},{"family":"Wang","given":"Harry Hao-Xiang"},{"family":"Liu","given":"Kirin Qi-Lin"},{"family":"Lee","given":"Catherine Lok-Sze"},{"family":"Yan","given":"Bryan Ping-Yen"},{"family":"Yu","given":"Cheuk-Man"},{"family":"Griffiths","given":"Sian Meryl"}],"issued":{"date-parts":[["2013",10,30]]}}}],"schema":"https://github.com/citation-style-language/schema/raw/master/csl-citation.json"} </w:instrText>
      </w:r>
      <w:r w:rsidRPr="003160F8">
        <w:rPr>
          <w:lang w:val="en-GB"/>
        </w:rPr>
        <w:fldChar w:fldCharType="separate"/>
      </w:r>
      <w:r w:rsidR="00B10160" w:rsidRPr="003160F8">
        <w:rPr>
          <w:lang w:val="en-GB"/>
        </w:rPr>
        <w:t>[</w:t>
      </w:r>
      <w:r w:rsidR="00534555" w:rsidRPr="003160F8">
        <w:rPr>
          <w:lang w:val="en-GB"/>
        </w:rPr>
        <w:t>39</w:t>
      </w:r>
      <w:r w:rsidR="00B10160" w:rsidRPr="003160F8">
        <w:rPr>
          <w:lang w:val="en-GB"/>
        </w:rPr>
        <w:t>]</w:t>
      </w:r>
      <w:r w:rsidRPr="003160F8">
        <w:rPr>
          <w:lang w:val="en-GB"/>
        </w:rPr>
        <w:fldChar w:fldCharType="end"/>
      </w:r>
      <w:r w:rsidRPr="003160F8">
        <w:rPr>
          <w:lang w:val="en-GB"/>
        </w:rPr>
        <w:t>. To our knowledge, the DASH index proposed by Fung et al</w:t>
      </w:r>
      <w:r w:rsidRPr="003160F8">
        <w:rPr>
          <w:i/>
          <w:lang w:val="en-GB"/>
        </w:rPr>
        <w:t>.</w:t>
      </w:r>
      <w:r w:rsidRPr="003160F8">
        <w:rPr>
          <w:lang w:val="en-GB"/>
        </w:rPr>
        <w:t xml:space="preserve"> </w:t>
      </w:r>
      <w:r w:rsidRPr="003160F8">
        <w:rPr>
          <w:lang w:val="en-GB"/>
        </w:rPr>
        <w:fldChar w:fldCharType="begin"/>
      </w:r>
      <w:r w:rsidRPr="003160F8">
        <w:rPr>
          <w:lang w:val="en-GB"/>
        </w:rPr>
        <w:instrText xml:space="preserve"> ADDIN ZOTERO_ITEM CSL_CITATION {"citationID":"U7jtlaz4","properties":{"formattedCitation":"(10)","plainCitation":"(10)","noteIndex":0},"citationItems":[{"id":293,"uris":["http://zotero.org/users/4872814/items/ACQ92NBP"],"uri":["http://zotero.org/users/4872814/items/ACQ92NBP"],"itemData":{"id":293,"type":"article-journal","title":"Adherence to a DASH-style diet and risk of coronary heart disease and stroke in women","container-title":"Archives of Internal Medicine","page":"713-720","volume":"168","issue":"7","source":"PubMed","abstract":"BACKGROUND: The Dietary Approaches to Stop Hypertension (DASH) diet has been shown to lower blood pressure, but little is known about its long-term effect on cardiovascular end points. Our objective was to assess the association between a DASH-style diet adherence score and risk of coronary heart disease (CHD) and stroke in women.\nMETHODS: In this prospective cohort study, diet was assessed 7 times during 24 years of follow-up (1980-2004) with validated food frequency questionnaires. A DASH score based on 8 food and nutrient components (fruits, vegetables, whole grains, nuts and legumes, low-fat dairy, red and processed meats, sweetened beverages, and sodium) was calculated. Lifestyle and medical information was collected biennially with a questionnaire. The Cox proportional hazard model was used to adjust for potential confounders. The study population comprised 88,517 female nurses aged 34 to 59 years without a history of cardiovascular disease or diabetes in 1980. The main outcome measures were the numbers of confirmed incident cases of nonfatal myocardial infarction, CHD death, and stroke.\nRESULTS: We documented 2129 cases of incident nonfatal myocardial infarction, 976 CHD deaths, and 2317 [corrected] cases of stroke. After adjustment for age, smoking, and other cardiovascular risk factors, the relative risks of CHD across quintiles of the DASH score were 1.0, 0.99, 0.86, 0.87, and 0.76 (95% confidence interval, 0.67-0.85) (P&lt;.001 for trend). The magnitude of risk difference was similar for nonfatal myocardial infarction and fatal CHD. The DASH score was also significantly associated with lower risk of stroke (multivariate relative risks across quintiles of the DASH score were 1.0, 0.92, 0.91, 0.89, and 0.82) (P=.002 for trend). Cross-sectional analysis in a subgroup of women with blood samples showed that the DASH score was significantly associated with lower plasma levels of C-reactive protein (P=.008 for trend) and interleukin 6 (P=.04 for trend).\nCONCLUSION: Adherence to the DASH-style diet is associated with a lower risk of CHD and stroke among middle-aged women during 24 years of follow-up.","DOI":"10.1001/archinte.168.7.713","ISSN":"0003-9926","note":"PMID: 18413553","journalAbbreviation":"Arch. Intern. Med.","language":"eng","author":[{"family":"Fung","given":"Teresa T."},{"family":"Chiuve","given":"Stephanie E."},{"family":"McCullough","given":"Marjorie L."},{"family":"Rexrode","given":"Kathryn M."},{"family":"Logroscino","given":"Giancarlo"},{"family":"Hu","given":"Frank B."}],"issued":{"date-parts":[["2008",4,14]]}}}],"schema":"https://github.com/citation-style-language/schema/raw/master/csl-citation.json"} </w:instrText>
      </w:r>
      <w:r w:rsidRPr="003160F8">
        <w:rPr>
          <w:lang w:val="en-GB"/>
        </w:rPr>
        <w:fldChar w:fldCharType="separate"/>
      </w:r>
      <w:r w:rsidR="00B10160" w:rsidRPr="003160F8">
        <w:rPr>
          <w:lang w:val="en-GB"/>
        </w:rPr>
        <w:t>[</w:t>
      </w:r>
      <w:r w:rsidR="00534555" w:rsidRPr="003160F8">
        <w:rPr>
          <w:lang w:val="en-GB"/>
        </w:rPr>
        <w:t>10</w:t>
      </w:r>
      <w:r w:rsidR="00B10160" w:rsidRPr="003160F8">
        <w:rPr>
          <w:lang w:val="en-GB"/>
        </w:rPr>
        <w:t>]</w:t>
      </w:r>
      <w:r w:rsidRPr="003160F8">
        <w:rPr>
          <w:lang w:val="en-GB"/>
        </w:rPr>
        <w:fldChar w:fldCharType="end"/>
      </w:r>
      <w:r w:rsidRPr="003160F8">
        <w:rPr>
          <w:lang w:val="en-GB"/>
        </w:rPr>
        <w:t xml:space="preserve"> has been the most widely used. Therefore, we generated DASH scores, using the Fung method, from the data collected within each of the ALPHABET consortium cohorts and adapted to their specificities as described below. Previously published DASH scores were based on whether one meets a recommended minimum number of servings </w:t>
      </w:r>
      <w:r w:rsidRPr="003160F8">
        <w:rPr>
          <w:lang w:val="en-GB"/>
        </w:rPr>
        <w:fldChar w:fldCharType="begin"/>
      </w:r>
      <w:r w:rsidRPr="003160F8">
        <w:rPr>
          <w:lang w:val="en-GB"/>
        </w:rPr>
        <w:instrText xml:space="preserve"> ADDIN ZOTERO_ITEM CSL_CITATION {"citationID":"XMdFJtYB","properties":{"formattedCitation":"(40)","plainCitation":"(40)","noteIndex":0},"citationItems":[{"id":294,"uris":["http://zotero.org/users/4872814/items/MH77SEGX"],"uri":["http://zotero.org/users/4872814/items/MH77SEGX"],"itemData":{"id":294,"type":"article-journal","title":"Adherence to the USDA Food Guide, DASH Eating Plan, and Mediterranean dietary pattern reduces risk of colorectal adenoma","container-title":"The Journal of Nutrition","page":"2443-2450","volume":"137","issue":"11","source":"PubMed","abstract":"The 2005 Dietary Guidelines for Americans include quantitative recommendations for 2 eating patterns, the USDA Food Guide and the Dietary Approaches to Stop Hypertension (DASH) Eating Plan, to promote optimal health and reduce disease risk. A Mediterranean dietary pattern has also been promoted for health benefits. Our objective was to determine whether adherence to the USDA Food Guide recommendations, the DASH Eating Plan, or a Mediterranean dietary pattern is associated with reduced risk of distal colorectal adenoma. In the Prostate, Lung, Colorectal, and Ovarian Cancer Screening Trial, men and women aged 55-74 y were screened for colorectal cancer by sigmoidoscopy at 10 centers in the U.S. After adjusting for potential confounders, men who most complied with the USDA Food Guide recommendations had a 26% reduced risk of colorectal adenoma compared with men who least complied with the recommendations (OR USDA score &gt;or= 5 vs. &lt;or=2 = 0.74, 95% CI = 0.64-0.85; P-trend &lt; 0.001). Comparable results were found for men who had intakes most similar to the DASH Eating Plan or a Mediterranean dietary pattern. Women who most complied with the USDA Food Guide recommendations had an 18% reduced risk for colorectal adenoma, but subgroup analyses revealed protective associations only for current smokers (OR USDA score &gt;or= 5 vs. &lt;or=2 = 0.52, 95% CI = 0.31-0.89; P-trend &lt; 0.01) or normal-weight women (OR USDA score &gt;or= 5 vs. &lt;or=2 = 0.74, 95% CI = 0.55-0.99; P-trend = 0.08). Following the current U.S. dietary recommendations or a Mediterranean dietary pattern is associated with reduced risk of colorectal adenoma, especially in men.","DOI":"10.1093/jn/137.11.2443","ISSN":"0022-3166","note":"PMID: 17951483","journalAbbreviation":"J. Nutr.","language":"eng","author":[{"family":"Dixon","given":"L. Beth"},{"family":"Subar","given":"Amy F."},{"family":"Peters","given":"Ulrike"},{"family":"Weissfeld","given":"Joel L."},{"family":"Bresalier","given":"Robert S."},{"family":"Risch","given":"Adam"},{"family":"Schatzkin","given":"Arthur"},{"family":"Hayes","given":"Richard B."}],"issued":{"date-parts":[["2007",11]]}}}],"schema":"https://github.com/citation-style-language/schema/raw/master/csl-citation.json"} </w:instrText>
      </w:r>
      <w:r w:rsidRPr="003160F8">
        <w:rPr>
          <w:lang w:val="en-GB"/>
        </w:rPr>
        <w:fldChar w:fldCharType="separate"/>
      </w:r>
      <w:r w:rsidR="0096085C" w:rsidRPr="003160F8">
        <w:rPr>
          <w:lang w:val="en-GB"/>
        </w:rPr>
        <w:t>[</w:t>
      </w:r>
      <w:r w:rsidR="00534555" w:rsidRPr="003160F8">
        <w:rPr>
          <w:lang w:val="en-GB"/>
        </w:rPr>
        <w:t>40</w:t>
      </w:r>
      <w:r w:rsidR="0096085C" w:rsidRPr="003160F8">
        <w:rPr>
          <w:lang w:val="en-GB"/>
        </w:rPr>
        <w:t>]</w:t>
      </w:r>
      <w:r w:rsidRPr="003160F8">
        <w:rPr>
          <w:lang w:val="en-GB"/>
        </w:rPr>
        <w:fldChar w:fldCharType="end"/>
      </w:r>
      <w:r w:rsidRPr="003160F8">
        <w:rPr>
          <w:lang w:val="en-GB"/>
        </w:rPr>
        <w:t xml:space="preserve">. In contrast, Fung’s DASH index relies on quintile ranking, allowing for a wider, more-discriminating score range </w:t>
      </w:r>
      <w:r w:rsidRPr="003160F8">
        <w:rPr>
          <w:lang w:val="en-GB"/>
        </w:rPr>
        <w:fldChar w:fldCharType="begin"/>
      </w:r>
      <w:r w:rsidRPr="003160F8">
        <w:rPr>
          <w:lang w:val="en-GB"/>
        </w:rPr>
        <w:instrText xml:space="preserve"> ADDIN ZOTERO_ITEM CSL_CITATION {"citationID":"QyRtvhcp","properties":{"formattedCitation":"(38)","plainCitation":"(38)","noteIndex":0},"citationItems":[{"id":54,"uris":["http://zotero.org/users/4872814/items/3U884ZR5"],"uri":["http://zotero.org/users/4872814/items/3U884ZR5"],"itemData":{"id":54,"type":"article-journal","title":"Comparison of 4 established DASH diet indexes: examining associations of index scores and colorectal cancer","container-title":"The American Journal of Clinical Nutrition","page":"794-803","volume":"98","issue":"3","source":"PubMed","abstract":"BACKGROUND: Multiple diet indexes have been developed to capture the Dietary Approaches to Stop Hypertension (DASH) dietary pattern and examine relations with health outcomes but have not been compared within the same study population to our knowledge.\nOBJECTIVE: We compared 4 established DASH indexes and examined associations with colorectal cancer.\nDESIGN: Scores were generated from a food-frequency questionnaire in the NIH-AARP Diet and Health Study (n = 491,841). Separate indexes defined by Dixon (7 food groups, saturated fat, and alcohol), Mellen (9 nutrients), Fung (7 food groups and sodium), and Günther (8 food groups) were used. HRs and 95% CIs for colorectal cancer were generated by using Cox proportional hazard models.\nRESULTS: From 1995 through 2006, 6752 incident colorectal cancer cases were ascertained. In men, higher scores were associated with reduced colorectal cancer incidence by comparing highest to lowest quintiles for all indexes as follows: Dixon (HR: 0.77; 95% CI: 0.69, 0.87), Mellen (HR: 0.78; 95% CI: 0.71, 0.86), Fung (HR: 0.75; 95% CI: 0.68, 0.83), and Günther (HR: 0.81; 95% CI: 0.74, 0.90). Higher scores in women were inversely associated with colorectal cancer incidence by using methods defined by Mellen (HR: 0.79; 95% CI: 0.68, 0.91), Fung (HR: 0.84; 95% CI: 0.73, 0.96), and Günther (HR: 0.84; 95% CI: 0.73.0.97) but not Dixon (HR: 1.01; 95% CI: 0.80, 1.28).\nCONCLUSION: The consistency in findings, particularly in men, suggests that all indexes capture an underlying construct inherent in the DASH dietary pattern, although the specific index used can affect results.","DOI":"10.3945/ajcn.113.063602","ISSN":"1938-3207","note":"PMID: 23864539\nPMCID: PMC3743737","title-short":"Comparison of 4 established DASH diet indexes","journalAbbreviation":"Am. J. Clin. Nutr.","language":"eng","author":[{"family":"Miller","given":"Paige E."},{"family":"Cross","given":"Amanda J."},{"family":"Subar","given":"Amy F."},{"family":"Krebs-Smith","given":"Susan M."},{"family":"Park","given":"Yikyung"},{"family":"Powell-Wiley","given":"Tiffany"},{"family":"Hollenbeck","given":"Albert"},{"family":"Reedy","given":"Jill"}],"issued":{"date-parts":[["2013",9]]}}}],"schema":"https://github.com/citation-style-language/schema/raw/master/csl-citation.json"} </w:instrText>
      </w:r>
      <w:r w:rsidRPr="003160F8">
        <w:rPr>
          <w:lang w:val="en-GB"/>
        </w:rPr>
        <w:fldChar w:fldCharType="separate"/>
      </w:r>
      <w:r w:rsidR="0096085C" w:rsidRPr="003160F8">
        <w:rPr>
          <w:lang w:val="en-GB"/>
        </w:rPr>
        <w:t>[</w:t>
      </w:r>
      <w:r w:rsidR="00534555" w:rsidRPr="003160F8">
        <w:rPr>
          <w:lang w:val="en-GB"/>
        </w:rPr>
        <w:t>38</w:t>
      </w:r>
      <w:r w:rsidR="0096085C" w:rsidRPr="003160F8">
        <w:rPr>
          <w:lang w:val="en-GB"/>
        </w:rPr>
        <w:t>]</w:t>
      </w:r>
      <w:r w:rsidRPr="003160F8">
        <w:rPr>
          <w:lang w:val="en-GB"/>
        </w:rPr>
        <w:fldChar w:fldCharType="end"/>
      </w:r>
      <w:r w:rsidRPr="003160F8">
        <w:rPr>
          <w:lang w:val="en-GB"/>
        </w:rPr>
        <w:t>, an approach that we judged more appropriate for ALPHABET considering the diversity of cohorts, time periods</w:t>
      </w:r>
      <w:r w:rsidR="00D8011B">
        <w:rPr>
          <w:lang w:val="en-GB"/>
        </w:rPr>
        <w:t>,</w:t>
      </w:r>
      <w:r w:rsidRPr="003160F8">
        <w:rPr>
          <w:lang w:val="en-GB"/>
        </w:rPr>
        <w:t xml:space="preserve"> and FFQs used. Because the main purpose of a FFQ is to rank participants according to their reported intakes rather than estimation of absolute intakes (sodium in particular is not estimated well with FFQ), scoring by quintiles would be less prone to misclassification </w:t>
      </w:r>
      <w:r w:rsidRPr="003160F8">
        <w:rPr>
          <w:lang w:val="en-GB"/>
        </w:rPr>
        <w:fldChar w:fldCharType="begin"/>
      </w:r>
      <w:r w:rsidRPr="003160F8">
        <w:rPr>
          <w:lang w:val="en-GB"/>
        </w:rPr>
        <w:instrText xml:space="preserve"> ADDIN ZOTERO_ITEM CSL_CITATION {"citationID":"Qd72M8rX","properties":{"formattedCitation":"(10)","plainCitation":"(10)","noteIndex":0},"citationItems":[{"id":293,"uris":["http://zotero.org/users/4872814/items/ACQ92NBP"],"uri":["http://zotero.org/users/4872814/items/ACQ92NBP"],"itemData":{"id":293,"type":"article-journal","title":"Adherence to a DASH-style diet and risk of coronary heart disease and stroke in women","container-title":"Archives of Internal Medicine","page":"713-720","volume":"168","issue":"7","source":"PubMed","abstract":"BACKGROUND: The Dietary Approaches to Stop Hypertension (DASH) diet has been shown to lower blood pressure, but little is known about its long-term effect on cardiovascular end points. Our objective was to assess the association between a DASH-style diet adherence score and risk of coronary heart disease (CHD) and stroke in women.\nMETHODS: In this prospective cohort study, diet was assessed 7 times during 24 years of follow-up (1980-2004) with validated food frequency questionnaires. A DASH score based on 8 food and nutrient components (fruits, vegetables, whole grains, nuts and legumes, low-fat dairy, red and processed meats, sweetened beverages, and sodium) was calculated. Lifestyle and medical information was collected biennially with a questionnaire. The Cox proportional hazard model was used to adjust for potential confounders. The study population comprised 88,517 female nurses aged 34 to 59 years without a history of cardiovascular disease or diabetes in 1980. The main outcome measures were the numbers of confirmed incident cases of nonfatal myocardial infarction, CHD death, and stroke.\nRESULTS: We documented 2129 cases of incident nonfatal myocardial infarction, 976 CHD deaths, and 2317 [corrected] cases of stroke. After adjustment for age, smoking, and other cardiovascular risk factors, the relative risks of CHD across quintiles of the DASH score were 1.0, 0.99, 0.86, 0.87, and 0.76 (95% confidence interval, 0.67-0.85) (P&lt;.001 for trend). The magnitude of risk difference was similar for nonfatal myocardial infarction and fatal CHD. The DASH score was also significantly associated with lower risk of stroke (multivariate relative risks across quintiles of the DASH score were 1.0, 0.92, 0.91, 0.89, and 0.82) (P=.002 for trend). Cross-sectional analysis in a subgroup of women with blood samples showed that the DASH score was significantly associated with lower plasma levels of C-reactive protein (P=.008 for trend) and interleukin 6 (P=.04 for trend).\nCONCLUSION: Adherence to the DASH-style diet is associated with a lower risk of CHD and stroke among middle-aged women during 24 years of follow-up.","DOI":"10.1001/archinte.168.7.713","ISSN":"0003-9926","note":"PMID: 18413553","journalAbbreviation":"Arch. Intern. Med.","language":"eng","author":[{"family":"Fung","given":"Teresa T."},{"family":"Chiuve","given":"Stephanie E."},{"family":"McCullough","given":"Marjorie L."},{"family":"Rexrode","given":"Kathryn M."},{"family":"Logroscino","given":"Giancarlo"},{"family":"Hu","given":"Frank B."}],"issued":{"date-parts":[["2008",4,14]]}}}],"schema":"https://github.com/citation-style-language/schema/raw/master/csl-citation.json"} </w:instrText>
      </w:r>
      <w:r w:rsidRPr="003160F8">
        <w:rPr>
          <w:lang w:val="en-GB"/>
        </w:rPr>
        <w:fldChar w:fldCharType="separate"/>
      </w:r>
      <w:r w:rsidR="0096085C" w:rsidRPr="003160F8">
        <w:rPr>
          <w:lang w:val="en-GB"/>
        </w:rPr>
        <w:t>[</w:t>
      </w:r>
      <w:r w:rsidR="00534555" w:rsidRPr="003160F8">
        <w:rPr>
          <w:lang w:val="en-GB"/>
        </w:rPr>
        <w:t>10</w:t>
      </w:r>
      <w:r w:rsidR="0096085C" w:rsidRPr="003160F8">
        <w:rPr>
          <w:lang w:val="en-GB"/>
        </w:rPr>
        <w:t>]</w:t>
      </w:r>
      <w:r w:rsidRPr="003160F8">
        <w:rPr>
          <w:lang w:val="en-GB"/>
        </w:rPr>
        <w:fldChar w:fldCharType="end"/>
      </w:r>
      <w:r w:rsidRPr="003160F8">
        <w:rPr>
          <w:lang w:val="en-GB"/>
        </w:rPr>
        <w:t>.</w:t>
      </w:r>
    </w:p>
    <w:p w14:paraId="1D90FDA8" w14:textId="30DB97C6" w:rsidR="00D819F1" w:rsidRPr="003160F8" w:rsidRDefault="00A33971" w:rsidP="00A33971">
      <w:pPr>
        <w:pStyle w:val="MDPI23heading3"/>
        <w:rPr>
          <w:lang w:val="en-GB"/>
        </w:rPr>
      </w:pPr>
      <w:r w:rsidRPr="003160F8">
        <w:rPr>
          <w:lang w:val="en-GB"/>
        </w:rPr>
        <w:t xml:space="preserve">2.3.1. </w:t>
      </w:r>
      <w:r w:rsidR="00D819F1" w:rsidRPr="003160F8">
        <w:rPr>
          <w:lang w:val="en-GB"/>
        </w:rPr>
        <w:t xml:space="preserve">Food </w:t>
      </w:r>
      <w:r w:rsidR="003805B0" w:rsidRPr="003160F8">
        <w:rPr>
          <w:lang w:val="en-GB"/>
        </w:rPr>
        <w:t xml:space="preserve">Group Classification </w:t>
      </w:r>
      <w:r w:rsidR="00D819F1" w:rsidRPr="003160F8">
        <w:rPr>
          <w:lang w:val="en-GB"/>
        </w:rPr>
        <w:t xml:space="preserve">and </w:t>
      </w:r>
      <w:r w:rsidR="003805B0" w:rsidRPr="003160F8">
        <w:rPr>
          <w:lang w:val="en-GB"/>
        </w:rPr>
        <w:t>Item Selections</w:t>
      </w:r>
    </w:p>
    <w:p w14:paraId="5E5FDE69" w14:textId="33817F3B" w:rsidR="00D819F1" w:rsidRPr="003160F8" w:rsidRDefault="003D48F6" w:rsidP="00A33971">
      <w:pPr>
        <w:pStyle w:val="MDPI31text"/>
        <w:rPr>
          <w:lang w:val="en-GB"/>
        </w:rPr>
      </w:pPr>
      <w:r w:rsidRPr="003160F8">
        <w:rPr>
          <w:lang w:val="en-GB"/>
        </w:rPr>
        <w:t xml:space="preserve">To select food groups and to classify food items into food components, we referred to the Fung’s DASH </w:t>
      </w:r>
      <w:r w:rsidRPr="003160F8">
        <w:rPr>
          <w:lang w:val="en-GB"/>
        </w:rPr>
        <w:fldChar w:fldCharType="begin"/>
      </w:r>
      <w:r w:rsidRPr="003160F8">
        <w:rPr>
          <w:lang w:val="en-GB"/>
        </w:rPr>
        <w:instrText xml:space="preserve"> ADDIN ZOTERO_ITEM CSL_CITATION {"citationID":"neEBZyg6","properties":{"formattedCitation":"(10)","plainCitation":"(10)","noteIndex":0},"citationItems":[{"id":293,"uris":["http://zotero.org/users/4872814/items/ACQ92NBP"],"uri":["http://zotero.org/users/4872814/items/ACQ92NBP"],"itemData":{"id":293,"type":"article-journal","title":"Adherence to a DASH-style diet and risk of coronary heart disease and stroke in women","container-title":"Archives of Internal Medicine","page":"713-720","volume":"168","issue":"7","source":"PubMed","abstract":"BACKGROUND: The Dietary Approaches to Stop Hypertension (DASH) diet has been shown to lower blood pressure, but little is known about its long-term effect on cardiovascular end points. Our objective was to assess the association between a DASH-style diet adherence score and risk of coronary heart disease (CHD) and stroke in women.\nMETHODS: In this prospective cohort study, diet was assessed 7 times during 24 years of follow-up (1980-2004) with validated food frequency questionnaires. A DASH score based on 8 food and nutrient components (fruits, vegetables, whole grains, nuts and legumes, low-fat dairy, red and processed meats, sweetened beverages, and sodium) was calculated. Lifestyle and medical information was collected biennially with a questionnaire. The Cox proportional hazard model was used to adjust for potential confounders. The study population comprised 88,517 female nurses aged 34 to 59 years without a history of cardiovascular disease or diabetes in 1980. The main outcome measures were the numbers of confirmed incident cases of nonfatal myocardial infarction, CHD death, and stroke.\nRESULTS: We documented 2129 cases of incident nonfatal myocardial infarction, 976 CHD deaths, and 2317 [corrected] cases of stroke. After adjustment for age, smoking, and other cardiovascular risk factors, the relative risks of CHD across quintiles of the DASH score were 1.0, 0.99, 0.86, 0.87, and 0.76 (95% confidence interval, 0.67-0.85) (P&lt;.001 for trend). The magnitude of risk difference was similar for nonfatal myocardial infarction and fatal CHD. The DASH score was also significantly associated with lower risk of stroke (multivariate relative risks across quintiles of the DASH score were 1.0, 0.92, 0.91, 0.89, and 0.82) (P=.002 for trend). Cross-sectional analysis in a subgroup of women with blood samples showed that the DASH score was significantly associated with lower plasma levels of C-reactive protein (P=.008 for trend) and interleukin 6 (P=.04 for trend).\nCONCLUSION: Adherence to the DASH-style diet is associated with a lower risk of CHD and stroke among middle-aged women during 24 years of follow-up.","DOI":"10.1001/archinte.168.7.713","ISSN":"0003-9926","note":"PMID: 18413553","journalAbbreviation":"Arch. Intern. Med.","language":"eng","author":[{"family":"Fung","given":"Teresa T."},{"family":"Chiuve","given":"Stephanie E."},{"family":"McCullough","given":"Marjorie L."},{"family":"Rexrode","given":"Kathryn M."},{"family":"Logroscino","given":"Giancarlo"},{"family":"Hu","given":"Frank B."}],"issued":{"date-parts":[["2008",4,14]]}}}],"schema":"https://github.com/citation-style-language/schema/raw/master/csl-citation.json"} </w:instrText>
      </w:r>
      <w:r w:rsidRPr="003160F8">
        <w:rPr>
          <w:lang w:val="en-GB"/>
        </w:rPr>
        <w:fldChar w:fldCharType="separate"/>
      </w:r>
      <w:r w:rsidR="0096085C" w:rsidRPr="003160F8">
        <w:rPr>
          <w:lang w:val="en-GB"/>
        </w:rPr>
        <w:t>[</w:t>
      </w:r>
      <w:r w:rsidR="00534555" w:rsidRPr="003160F8">
        <w:rPr>
          <w:lang w:val="en-GB"/>
        </w:rPr>
        <w:t>10</w:t>
      </w:r>
      <w:r w:rsidR="0096085C" w:rsidRPr="003160F8">
        <w:rPr>
          <w:lang w:val="en-GB"/>
        </w:rPr>
        <w:t>]</w:t>
      </w:r>
      <w:r w:rsidRPr="003160F8">
        <w:rPr>
          <w:lang w:val="en-GB"/>
        </w:rPr>
        <w:fldChar w:fldCharType="end"/>
      </w:r>
      <w:r w:rsidRPr="003160F8">
        <w:rPr>
          <w:lang w:val="en-GB"/>
        </w:rPr>
        <w:t xml:space="preserve">, the original “DASH Eating Plan” </w:t>
      </w:r>
      <w:r w:rsidRPr="003160F8">
        <w:rPr>
          <w:lang w:val="en-GB"/>
        </w:rPr>
        <w:fldChar w:fldCharType="begin"/>
      </w:r>
      <w:r w:rsidRPr="003160F8">
        <w:rPr>
          <w:lang w:val="en-GB"/>
        </w:rPr>
        <w:instrText xml:space="preserve"> ADDIN ZOTERO_ITEM CSL_CITATION {"citationID":"bSfDFd3d","properties":{"formattedCitation":"(41)","plainCitation":"(41)","noteIndex":0},"citationItems":[{"id":52,"uris":["http://zotero.org/users/4872814/items/CZ9TF2P9"],"uri":["http://zotero.org/users/4872814/items/CZ9TF2P9"],"itemData":{"id":52,"type":"report","title":"Your guide to lowering your blood pressure with DASH.","page":"64","URL":"https://www.nhlbi.nih.gov/files/docs/public/heart/new_dash.pdf","number":"NIH Publication No. 06-4082","author":[{"literal":"U.S. Department of health and human services."}],"issued":{"date-parts":[["1998"]],"season":"Revised 2006"},"accessed":{"date-parts":[["2018",6,15]]}}}],"schema":"https://github.com/citation-style-language/schema/raw/master/csl-citation.json"} </w:instrText>
      </w:r>
      <w:r w:rsidRPr="003160F8">
        <w:rPr>
          <w:lang w:val="en-GB"/>
        </w:rPr>
        <w:fldChar w:fldCharType="separate"/>
      </w:r>
      <w:r w:rsidR="0096085C" w:rsidRPr="003160F8">
        <w:rPr>
          <w:lang w:val="en-GB"/>
        </w:rPr>
        <w:t>[</w:t>
      </w:r>
      <w:r w:rsidR="00534555" w:rsidRPr="003160F8">
        <w:rPr>
          <w:lang w:val="en-GB"/>
        </w:rPr>
        <w:t>41</w:t>
      </w:r>
      <w:r w:rsidR="0096085C" w:rsidRPr="003160F8">
        <w:rPr>
          <w:lang w:val="en-GB"/>
        </w:rPr>
        <w:t>]</w:t>
      </w:r>
      <w:r w:rsidRPr="003160F8">
        <w:rPr>
          <w:lang w:val="en-GB"/>
        </w:rPr>
        <w:fldChar w:fldCharType="end"/>
      </w:r>
      <w:r w:rsidRPr="003160F8">
        <w:rPr>
          <w:lang w:val="en-GB"/>
        </w:rPr>
        <w:t xml:space="preserve"> and the Eurocode 2 </w:t>
      </w:r>
      <w:r w:rsidRPr="003160F8">
        <w:rPr>
          <w:lang w:val="en-GB"/>
        </w:rPr>
        <w:fldChar w:fldCharType="begin"/>
      </w:r>
      <w:r w:rsidRPr="003160F8">
        <w:rPr>
          <w:lang w:val="en-GB"/>
        </w:rPr>
        <w:instrText xml:space="preserve"> ADDIN ZOTERO_ITEM CSL_CITATION {"citationID":"KG5tBQmm","properties":{"formattedCitation":"(42)","plainCitation":"(42)","noteIndex":0},"citationItems":[{"id":279,"uris":["http://zotero.org/users/4872814/items/72R678JM"],"uri":["http://zotero.org/users/4872814/items/72R678JM"],"itemData":{"id":279,"type":"webpage","title":"Eurocode 2 Food Coding System","URL":"http://www.ianunwin.demon.co.uk/eurocode/index.htm","author":[{"family":"Eurocode 2","given":""}],"accessed":{"date-parts":[["2019",2,19]]}}}],"schema":"https://github.com/citation-style-language/schema/raw/master/csl-citation.json"} </w:instrText>
      </w:r>
      <w:r w:rsidRPr="003160F8">
        <w:rPr>
          <w:lang w:val="en-GB"/>
        </w:rPr>
        <w:fldChar w:fldCharType="separate"/>
      </w:r>
      <w:r w:rsidR="0096085C" w:rsidRPr="003160F8">
        <w:rPr>
          <w:lang w:val="en-GB"/>
        </w:rPr>
        <w:t>[</w:t>
      </w:r>
      <w:r w:rsidR="00534555" w:rsidRPr="003160F8">
        <w:rPr>
          <w:lang w:val="en-GB"/>
        </w:rPr>
        <w:t>42</w:t>
      </w:r>
      <w:r w:rsidR="0096085C" w:rsidRPr="003160F8">
        <w:rPr>
          <w:lang w:val="en-GB"/>
        </w:rPr>
        <w:t>]</w:t>
      </w:r>
      <w:r w:rsidRPr="003160F8">
        <w:rPr>
          <w:lang w:val="en-GB"/>
        </w:rPr>
        <w:fldChar w:fldCharType="end"/>
      </w:r>
      <w:r w:rsidRPr="003160F8">
        <w:rPr>
          <w:lang w:val="en-GB"/>
        </w:rPr>
        <w:t>. Table</w:t>
      </w:r>
      <w:r w:rsidR="003805B0" w:rsidRPr="003160F8">
        <w:rPr>
          <w:lang w:val="en-GB"/>
        </w:rPr>
        <w:t xml:space="preserve"> </w:t>
      </w:r>
      <w:r w:rsidRPr="003160F8">
        <w:rPr>
          <w:lang w:val="en-GB"/>
        </w:rPr>
        <w:t>2 present</w:t>
      </w:r>
      <w:r w:rsidR="001D5A70" w:rsidRPr="003160F8">
        <w:rPr>
          <w:lang w:val="en-GB"/>
        </w:rPr>
        <w:t>s</w:t>
      </w:r>
      <w:r w:rsidRPr="003160F8">
        <w:rPr>
          <w:lang w:val="en-GB"/>
        </w:rPr>
        <w:t xml:space="preserve"> an inventory of the number of food items available by food component between cohorts, based on food components included in the Fung’s DASH or the original “DASH Eating Plan”. As illustrated</w:t>
      </w:r>
      <w:r w:rsidRPr="003160F8">
        <w:rPr>
          <w:b/>
          <w:lang w:val="en-GB"/>
        </w:rPr>
        <w:t xml:space="preserve">, </w:t>
      </w:r>
      <w:r w:rsidRPr="003160F8">
        <w:rPr>
          <w:lang w:val="en-GB"/>
        </w:rPr>
        <w:t>the details for dietary data differed across the ALPHABET consortium cohorts. The number of FFQ items ranged from 43 to almost 300. The ALSPAC FFQ included less than 8 food items within each food component. In contrast, the Generation R questionnaire included more than 8 food items for most food groups (except for sugar-sweetened beverages). The number of items varied also according to food components: vegetables (mean</w:t>
      </w:r>
      <w:r w:rsidR="003805B0" w:rsidRPr="003160F8">
        <w:rPr>
          <w:lang w:val="en-GB"/>
        </w:rPr>
        <w:t xml:space="preserve"> </w:t>
      </w:r>
      <w:r w:rsidRPr="003160F8">
        <w:rPr>
          <w:lang w:val="en-GB"/>
        </w:rPr>
        <w:t>=</w:t>
      </w:r>
      <w:r w:rsidR="003805B0" w:rsidRPr="003160F8">
        <w:rPr>
          <w:lang w:val="en-GB"/>
        </w:rPr>
        <w:t xml:space="preserve"> </w:t>
      </w:r>
      <w:r w:rsidRPr="003160F8">
        <w:rPr>
          <w:lang w:val="en-GB"/>
        </w:rPr>
        <w:t>18.6), fruits (mean</w:t>
      </w:r>
      <w:r w:rsidR="003805B0" w:rsidRPr="003160F8">
        <w:rPr>
          <w:lang w:val="en-GB"/>
        </w:rPr>
        <w:t xml:space="preserve"> </w:t>
      </w:r>
      <w:r w:rsidRPr="003160F8">
        <w:rPr>
          <w:lang w:val="en-GB"/>
        </w:rPr>
        <w:t>=</w:t>
      </w:r>
      <w:r w:rsidR="003805B0" w:rsidRPr="003160F8">
        <w:rPr>
          <w:lang w:val="en-GB"/>
        </w:rPr>
        <w:t xml:space="preserve"> </w:t>
      </w:r>
      <w:r w:rsidRPr="003160F8">
        <w:rPr>
          <w:lang w:val="en-GB"/>
        </w:rPr>
        <w:t>11.9)</w:t>
      </w:r>
      <w:r w:rsidR="00D8011B">
        <w:rPr>
          <w:lang w:val="en-GB"/>
        </w:rPr>
        <w:t>,</w:t>
      </w:r>
      <w:r w:rsidRPr="003160F8">
        <w:rPr>
          <w:lang w:val="en-GB"/>
        </w:rPr>
        <w:t xml:space="preserve"> and red and processed meats (mean</w:t>
      </w:r>
      <w:r w:rsidR="003805B0" w:rsidRPr="003160F8">
        <w:rPr>
          <w:lang w:val="en-GB"/>
        </w:rPr>
        <w:t xml:space="preserve"> </w:t>
      </w:r>
      <w:r w:rsidRPr="003160F8">
        <w:rPr>
          <w:lang w:val="en-GB"/>
        </w:rPr>
        <w:t>=</w:t>
      </w:r>
      <w:r w:rsidR="003805B0" w:rsidRPr="003160F8">
        <w:rPr>
          <w:lang w:val="en-GB"/>
        </w:rPr>
        <w:t xml:space="preserve"> </w:t>
      </w:r>
      <w:r w:rsidRPr="003160F8">
        <w:rPr>
          <w:lang w:val="en-GB"/>
        </w:rPr>
        <w:t>12.0) were generally assessed by more than 11 food items, while whole grains (mean</w:t>
      </w:r>
      <w:r w:rsidR="003805B0" w:rsidRPr="003160F8">
        <w:rPr>
          <w:lang w:val="en-GB"/>
        </w:rPr>
        <w:t xml:space="preserve"> </w:t>
      </w:r>
      <w:r w:rsidRPr="003160F8">
        <w:rPr>
          <w:lang w:val="en-GB"/>
        </w:rPr>
        <w:t>=</w:t>
      </w:r>
      <w:r w:rsidR="003805B0" w:rsidRPr="003160F8">
        <w:rPr>
          <w:lang w:val="en-GB"/>
        </w:rPr>
        <w:t xml:space="preserve"> </w:t>
      </w:r>
      <w:r w:rsidRPr="003160F8">
        <w:rPr>
          <w:lang w:val="en-GB"/>
        </w:rPr>
        <w:t>5.3) and low-fat dairy products (mean</w:t>
      </w:r>
      <w:r w:rsidR="003805B0" w:rsidRPr="003160F8">
        <w:rPr>
          <w:lang w:val="en-GB"/>
        </w:rPr>
        <w:t xml:space="preserve"> </w:t>
      </w:r>
      <w:r w:rsidRPr="003160F8">
        <w:rPr>
          <w:lang w:val="en-GB"/>
        </w:rPr>
        <w:t>=</w:t>
      </w:r>
      <w:r w:rsidR="003805B0" w:rsidRPr="003160F8">
        <w:rPr>
          <w:lang w:val="en-GB"/>
        </w:rPr>
        <w:t xml:space="preserve"> </w:t>
      </w:r>
      <w:r w:rsidRPr="003160F8">
        <w:rPr>
          <w:lang w:val="en-GB"/>
        </w:rPr>
        <w:t>4.3) food component were assessed through a much smaller number of items. A food component with a limited number of items included may result in statistical distributions that are less able to discriminate participants from each other. Therefore, we inventoried all relevant food items in all cohorts and examined all food component distributions.</w:t>
      </w:r>
    </w:p>
    <w:p w14:paraId="1EE44DD2" w14:textId="77777777" w:rsidR="00BB05F6" w:rsidRPr="003160F8" w:rsidRDefault="00BB05F6" w:rsidP="00282691">
      <w:pPr>
        <w:pStyle w:val="MDPI41tablecaption"/>
        <w:jc w:val="center"/>
        <w:rPr>
          <w:b/>
          <w:color w:val="auto"/>
          <w:lang w:val="en-GB"/>
        </w:rPr>
        <w:sectPr w:rsidR="00BB05F6" w:rsidRPr="003160F8" w:rsidSect="003805B0">
          <w:pgSz w:w="11906" w:h="16838" w:code="9"/>
          <w:pgMar w:top="1417" w:right="1531" w:bottom="1077" w:left="1531" w:header="1020" w:footer="850" w:gutter="0"/>
          <w:cols w:space="425"/>
          <w:docGrid w:type="lines" w:linePitch="326"/>
        </w:sectPr>
      </w:pPr>
    </w:p>
    <w:p w14:paraId="378A2571" w14:textId="2D790CA5" w:rsidR="00282691" w:rsidRPr="003160F8" w:rsidRDefault="003805B0" w:rsidP="003805B0">
      <w:pPr>
        <w:pStyle w:val="MDPI41tablecaption"/>
        <w:jc w:val="center"/>
        <w:rPr>
          <w:lang w:val="en-GB"/>
        </w:rPr>
      </w:pPr>
      <w:r w:rsidRPr="003160F8">
        <w:rPr>
          <w:b/>
          <w:lang w:val="en-GB"/>
        </w:rPr>
        <w:t>Table 2.</w:t>
      </w:r>
      <w:r w:rsidR="00282691" w:rsidRPr="003160F8">
        <w:rPr>
          <w:b/>
          <w:lang w:val="en-GB"/>
        </w:rPr>
        <w:t xml:space="preserve"> </w:t>
      </w:r>
      <w:r w:rsidR="00282691" w:rsidRPr="003160F8">
        <w:rPr>
          <w:lang w:val="en-GB"/>
        </w:rPr>
        <w:t>Availability of FFQ data for each cohort</w:t>
      </w:r>
      <w:r w:rsidR="00882D84" w:rsidRPr="003160F8">
        <w:rPr>
          <w:lang w:val="en-GB"/>
        </w:rPr>
        <w:t>.</w:t>
      </w:r>
    </w:p>
    <w:tbl>
      <w:tblPr>
        <w:tblW w:w="5000" w:type="pct"/>
        <w:jc w:val="center"/>
        <w:tblCellMar>
          <w:left w:w="70" w:type="dxa"/>
          <w:right w:w="70" w:type="dxa"/>
        </w:tblCellMar>
        <w:tblLook w:val="04A0" w:firstRow="1" w:lastRow="0" w:firstColumn="1" w:lastColumn="0" w:noHBand="0" w:noVBand="1"/>
      </w:tblPr>
      <w:tblGrid>
        <w:gridCol w:w="2135"/>
        <w:gridCol w:w="2215"/>
        <w:gridCol w:w="1371"/>
        <w:gridCol w:w="1578"/>
        <w:gridCol w:w="1371"/>
        <w:gridCol w:w="1440"/>
        <w:gridCol w:w="1371"/>
        <w:gridCol w:w="1371"/>
        <w:gridCol w:w="1492"/>
      </w:tblGrid>
      <w:tr w:rsidR="003805B0" w:rsidRPr="009B104D" w14:paraId="04A9D60C" w14:textId="77777777" w:rsidTr="00B0160C">
        <w:trPr>
          <w:jc w:val="center"/>
        </w:trPr>
        <w:tc>
          <w:tcPr>
            <w:tcW w:w="744" w:type="pct"/>
            <w:tcBorders>
              <w:top w:val="single" w:sz="8" w:space="0" w:color="auto"/>
              <w:bottom w:val="single" w:sz="4" w:space="0" w:color="auto"/>
            </w:tcBorders>
            <w:shd w:val="clear" w:color="auto" w:fill="auto"/>
            <w:vAlign w:val="center"/>
          </w:tcPr>
          <w:p w14:paraId="49CB23B6" w14:textId="77777777" w:rsidR="00BB05F6" w:rsidRPr="009B104D" w:rsidRDefault="00BB05F6" w:rsidP="003805B0">
            <w:pPr>
              <w:pStyle w:val="MDPI42tablebody"/>
              <w:autoSpaceDE w:val="0"/>
              <w:autoSpaceDN w:val="0"/>
              <w:spacing w:line="240" w:lineRule="auto"/>
              <w:rPr>
                <w:b/>
                <w:color w:val="auto"/>
                <w:sz w:val="18"/>
                <w:szCs w:val="18"/>
                <w:lang w:val="en-GB" w:eastAsia="fr-FR"/>
              </w:rPr>
            </w:pPr>
            <w:r w:rsidRPr="009B104D">
              <w:rPr>
                <w:b/>
                <w:color w:val="auto"/>
                <w:sz w:val="18"/>
                <w:szCs w:val="18"/>
                <w:lang w:val="en-GB" w:eastAsia="fr-FR"/>
              </w:rPr>
              <w:t>Cohort</w:t>
            </w:r>
          </w:p>
        </w:tc>
        <w:tc>
          <w:tcPr>
            <w:tcW w:w="772" w:type="pct"/>
            <w:tcBorders>
              <w:top w:val="single" w:sz="8" w:space="0" w:color="auto"/>
              <w:bottom w:val="single" w:sz="4" w:space="0" w:color="auto"/>
            </w:tcBorders>
            <w:shd w:val="clear" w:color="auto" w:fill="auto"/>
            <w:noWrap/>
            <w:vAlign w:val="center"/>
          </w:tcPr>
          <w:p w14:paraId="1125D7C9" w14:textId="77777777" w:rsidR="00BB05F6" w:rsidRPr="009B104D" w:rsidRDefault="00BB05F6" w:rsidP="003805B0">
            <w:pPr>
              <w:pStyle w:val="MDPI42tablebody"/>
              <w:autoSpaceDE w:val="0"/>
              <w:autoSpaceDN w:val="0"/>
              <w:spacing w:line="240" w:lineRule="auto"/>
              <w:rPr>
                <w:b/>
                <w:color w:val="auto"/>
                <w:sz w:val="18"/>
                <w:szCs w:val="18"/>
                <w:lang w:val="en-GB" w:eastAsia="fr-FR"/>
              </w:rPr>
            </w:pPr>
            <w:r w:rsidRPr="009B104D">
              <w:rPr>
                <w:b/>
                <w:color w:val="auto"/>
                <w:sz w:val="18"/>
                <w:szCs w:val="18"/>
                <w:lang w:val="en-GB" w:eastAsia="fr-FR"/>
              </w:rPr>
              <w:t>ALSPAC</w:t>
            </w:r>
          </w:p>
        </w:tc>
        <w:tc>
          <w:tcPr>
            <w:tcW w:w="478" w:type="pct"/>
            <w:tcBorders>
              <w:top w:val="single" w:sz="8" w:space="0" w:color="auto"/>
              <w:bottom w:val="single" w:sz="4" w:space="0" w:color="auto"/>
            </w:tcBorders>
            <w:shd w:val="clear" w:color="auto" w:fill="auto"/>
            <w:noWrap/>
            <w:vAlign w:val="center"/>
            <w:hideMark/>
          </w:tcPr>
          <w:p w14:paraId="73D3E540" w14:textId="77777777" w:rsidR="00BB05F6" w:rsidRPr="009B104D" w:rsidRDefault="00BB05F6" w:rsidP="003805B0">
            <w:pPr>
              <w:pStyle w:val="MDPI42tablebody"/>
              <w:autoSpaceDE w:val="0"/>
              <w:autoSpaceDN w:val="0"/>
              <w:spacing w:line="240" w:lineRule="auto"/>
              <w:rPr>
                <w:b/>
                <w:color w:val="auto"/>
                <w:sz w:val="18"/>
                <w:szCs w:val="18"/>
                <w:lang w:val="en-GB" w:eastAsia="fr-FR"/>
              </w:rPr>
            </w:pPr>
            <w:r w:rsidRPr="009B104D">
              <w:rPr>
                <w:b/>
                <w:color w:val="auto"/>
                <w:sz w:val="18"/>
                <w:szCs w:val="18"/>
                <w:lang w:val="en-GB" w:eastAsia="fr-FR"/>
              </w:rPr>
              <w:t>EDEN</w:t>
            </w:r>
          </w:p>
        </w:tc>
        <w:tc>
          <w:tcPr>
            <w:tcW w:w="550" w:type="pct"/>
            <w:tcBorders>
              <w:top w:val="single" w:sz="8" w:space="0" w:color="auto"/>
              <w:bottom w:val="single" w:sz="4" w:space="0" w:color="auto"/>
            </w:tcBorders>
            <w:shd w:val="clear" w:color="auto" w:fill="auto"/>
            <w:noWrap/>
            <w:vAlign w:val="center"/>
          </w:tcPr>
          <w:p w14:paraId="230EC109" w14:textId="77777777" w:rsidR="00BB05F6" w:rsidRPr="009B104D" w:rsidRDefault="00BB05F6" w:rsidP="003805B0">
            <w:pPr>
              <w:pStyle w:val="MDPI42tablebody"/>
              <w:autoSpaceDE w:val="0"/>
              <w:autoSpaceDN w:val="0"/>
              <w:spacing w:line="240" w:lineRule="auto"/>
              <w:rPr>
                <w:b/>
                <w:color w:val="auto"/>
                <w:sz w:val="18"/>
                <w:szCs w:val="18"/>
                <w:lang w:val="en-GB" w:eastAsia="fr-FR"/>
              </w:rPr>
            </w:pPr>
            <w:r w:rsidRPr="009B104D">
              <w:rPr>
                <w:b/>
                <w:color w:val="auto"/>
                <w:sz w:val="18"/>
                <w:szCs w:val="18"/>
                <w:lang w:val="en-GB" w:eastAsia="fr-FR"/>
              </w:rPr>
              <w:t>Generation R</w:t>
            </w:r>
          </w:p>
        </w:tc>
        <w:tc>
          <w:tcPr>
            <w:tcW w:w="478" w:type="pct"/>
            <w:tcBorders>
              <w:top w:val="single" w:sz="8" w:space="0" w:color="auto"/>
              <w:bottom w:val="single" w:sz="4" w:space="0" w:color="auto"/>
            </w:tcBorders>
            <w:shd w:val="clear" w:color="auto" w:fill="auto"/>
            <w:noWrap/>
            <w:vAlign w:val="center"/>
          </w:tcPr>
          <w:p w14:paraId="0810489F" w14:textId="77777777" w:rsidR="00BB05F6" w:rsidRPr="009B104D" w:rsidRDefault="00BB05F6" w:rsidP="003805B0">
            <w:pPr>
              <w:pStyle w:val="MDPI42tablebody"/>
              <w:autoSpaceDE w:val="0"/>
              <w:autoSpaceDN w:val="0"/>
              <w:spacing w:line="240" w:lineRule="auto"/>
              <w:rPr>
                <w:b/>
                <w:color w:val="auto"/>
                <w:sz w:val="18"/>
                <w:szCs w:val="18"/>
                <w:lang w:val="en-GB" w:eastAsia="fr-FR"/>
              </w:rPr>
            </w:pPr>
            <w:r w:rsidRPr="009B104D">
              <w:rPr>
                <w:b/>
                <w:color w:val="auto"/>
                <w:sz w:val="18"/>
                <w:szCs w:val="18"/>
                <w:lang w:val="en-GB" w:eastAsia="fr-FR"/>
              </w:rPr>
              <w:t>Lifeways</w:t>
            </w:r>
          </w:p>
        </w:tc>
        <w:tc>
          <w:tcPr>
            <w:tcW w:w="502" w:type="pct"/>
            <w:tcBorders>
              <w:top w:val="single" w:sz="8" w:space="0" w:color="auto"/>
              <w:bottom w:val="single" w:sz="4" w:space="0" w:color="auto"/>
            </w:tcBorders>
            <w:shd w:val="clear" w:color="auto" w:fill="auto"/>
            <w:noWrap/>
            <w:vAlign w:val="center"/>
          </w:tcPr>
          <w:p w14:paraId="73BEA0C6" w14:textId="77777777" w:rsidR="00BB05F6" w:rsidRPr="009B104D" w:rsidRDefault="00BB05F6" w:rsidP="003805B0">
            <w:pPr>
              <w:pStyle w:val="MDPI42tablebody"/>
              <w:autoSpaceDE w:val="0"/>
              <w:autoSpaceDN w:val="0"/>
              <w:spacing w:line="240" w:lineRule="auto"/>
              <w:rPr>
                <w:b/>
                <w:color w:val="auto"/>
                <w:sz w:val="18"/>
                <w:szCs w:val="18"/>
                <w:lang w:val="en-GB" w:eastAsia="fr-FR"/>
              </w:rPr>
            </w:pPr>
            <w:r w:rsidRPr="009B104D">
              <w:rPr>
                <w:b/>
                <w:color w:val="auto"/>
                <w:sz w:val="18"/>
                <w:szCs w:val="18"/>
                <w:lang w:val="en-GB" w:eastAsia="fr-FR"/>
              </w:rPr>
              <w:t>REPRO_PL</w:t>
            </w:r>
          </w:p>
        </w:tc>
        <w:tc>
          <w:tcPr>
            <w:tcW w:w="478" w:type="pct"/>
            <w:tcBorders>
              <w:top w:val="single" w:sz="8" w:space="0" w:color="auto"/>
              <w:bottom w:val="single" w:sz="4" w:space="0" w:color="auto"/>
            </w:tcBorders>
            <w:shd w:val="clear" w:color="auto" w:fill="auto"/>
            <w:noWrap/>
            <w:vAlign w:val="center"/>
          </w:tcPr>
          <w:p w14:paraId="732AC1CA" w14:textId="77777777" w:rsidR="00BB05F6" w:rsidRPr="009B104D" w:rsidRDefault="00BB05F6" w:rsidP="003805B0">
            <w:pPr>
              <w:pStyle w:val="MDPI42tablebody"/>
              <w:autoSpaceDE w:val="0"/>
              <w:autoSpaceDN w:val="0"/>
              <w:spacing w:line="240" w:lineRule="auto"/>
              <w:rPr>
                <w:b/>
                <w:color w:val="auto"/>
                <w:sz w:val="18"/>
                <w:szCs w:val="18"/>
                <w:lang w:val="en-GB" w:eastAsia="fr-FR"/>
              </w:rPr>
            </w:pPr>
            <w:r w:rsidRPr="009B104D">
              <w:rPr>
                <w:b/>
                <w:color w:val="auto"/>
                <w:sz w:val="18"/>
                <w:szCs w:val="18"/>
                <w:lang w:val="en-GB" w:eastAsia="fr-FR"/>
              </w:rPr>
              <w:t>ROLO</w:t>
            </w:r>
          </w:p>
        </w:tc>
        <w:tc>
          <w:tcPr>
            <w:tcW w:w="478" w:type="pct"/>
            <w:tcBorders>
              <w:top w:val="single" w:sz="8" w:space="0" w:color="auto"/>
              <w:bottom w:val="single" w:sz="4" w:space="0" w:color="auto"/>
            </w:tcBorders>
            <w:shd w:val="clear" w:color="auto" w:fill="auto"/>
            <w:noWrap/>
            <w:vAlign w:val="center"/>
          </w:tcPr>
          <w:p w14:paraId="4A5957F2" w14:textId="77777777" w:rsidR="00BB05F6" w:rsidRPr="009B104D" w:rsidRDefault="00BB05F6" w:rsidP="003805B0">
            <w:pPr>
              <w:pStyle w:val="MDPI42tablebody"/>
              <w:autoSpaceDE w:val="0"/>
              <w:autoSpaceDN w:val="0"/>
              <w:spacing w:line="240" w:lineRule="auto"/>
              <w:rPr>
                <w:b/>
                <w:color w:val="auto"/>
                <w:sz w:val="18"/>
                <w:szCs w:val="18"/>
                <w:lang w:val="en-GB" w:eastAsia="fr-FR"/>
              </w:rPr>
            </w:pPr>
            <w:r w:rsidRPr="009B104D">
              <w:rPr>
                <w:b/>
                <w:color w:val="auto"/>
                <w:sz w:val="18"/>
                <w:szCs w:val="18"/>
                <w:lang w:val="en-GB" w:eastAsia="fr-FR"/>
              </w:rPr>
              <w:t>SWS</w:t>
            </w:r>
          </w:p>
        </w:tc>
        <w:tc>
          <w:tcPr>
            <w:tcW w:w="519" w:type="pct"/>
            <w:tcBorders>
              <w:top w:val="single" w:sz="8" w:space="0" w:color="auto"/>
              <w:bottom w:val="single" w:sz="4" w:space="0" w:color="auto"/>
            </w:tcBorders>
            <w:shd w:val="clear" w:color="auto" w:fill="auto"/>
            <w:vAlign w:val="center"/>
          </w:tcPr>
          <w:p w14:paraId="608FB89A" w14:textId="00141759" w:rsidR="00BB05F6" w:rsidRPr="009B104D" w:rsidRDefault="00BB05F6" w:rsidP="003805B0">
            <w:pPr>
              <w:pStyle w:val="MDPI42tablebody"/>
              <w:autoSpaceDE w:val="0"/>
              <w:autoSpaceDN w:val="0"/>
              <w:spacing w:line="240" w:lineRule="auto"/>
              <w:rPr>
                <w:b/>
                <w:color w:val="auto"/>
                <w:sz w:val="18"/>
                <w:szCs w:val="18"/>
                <w:lang w:val="en-GB" w:eastAsia="fr-FR"/>
              </w:rPr>
            </w:pPr>
            <w:r w:rsidRPr="009B104D">
              <w:rPr>
                <w:b/>
                <w:color w:val="auto"/>
                <w:sz w:val="18"/>
                <w:szCs w:val="18"/>
                <w:lang w:val="en-GB" w:eastAsia="fr-FR"/>
              </w:rPr>
              <w:t>ALPHABET</w:t>
            </w:r>
            <w:r w:rsidR="003805B0" w:rsidRPr="009B104D">
              <w:rPr>
                <w:b/>
                <w:color w:val="auto"/>
                <w:sz w:val="18"/>
                <w:szCs w:val="18"/>
                <w:lang w:val="en-GB" w:eastAsia="fr-FR"/>
              </w:rPr>
              <w:t xml:space="preserve"> </w:t>
            </w:r>
            <w:r w:rsidR="00700944" w:rsidRPr="009B104D">
              <w:rPr>
                <w:b/>
                <w:color w:val="auto"/>
                <w:sz w:val="18"/>
                <w:szCs w:val="18"/>
                <w:vertAlign w:val="superscript"/>
                <w:lang w:val="en-GB" w:eastAsia="fr-FR"/>
              </w:rPr>
              <w:t>1</w:t>
            </w:r>
          </w:p>
        </w:tc>
      </w:tr>
      <w:tr w:rsidR="00101347" w:rsidRPr="009B104D" w14:paraId="5FC41707" w14:textId="77777777" w:rsidTr="00B0160C">
        <w:trPr>
          <w:jc w:val="center"/>
        </w:trPr>
        <w:tc>
          <w:tcPr>
            <w:tcW w:w="744" w:type="pct"/>
            <w:tcBorders>
              <w:top w:val="single" w:sz="4" w:space="0" w:color="auto"/>
            </w:tcBorders>
            <w:shd w:val="clear" w:color="auto" w:fill="auto"/>
            <w:vAlign w:val="center"/>
          </w:tcPr>
          <w:p w14:paraId="028545A2"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FFQ total of food items</w:t>
            </w:r>
          </w:p>
        </w:tc>
        <w:tc>
          <w:tcPr>
            <w:tcW w:w="772" w:type="pct"/>
            <w:tcBorders>
              <w:top w:val="single" w:sz="4" w:space="0" w:color="auto"/>
            </w:tcBorders>
            <w:shd w:val="clear" w:color="auto" w:fill="auto"/>
            <w:noWrap/>
            <w:vAlign w:val="center"/>
          </w:tcPr>
          <w:p w14:paraId="4DCCFEF7"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43</w:t>
            </w:r>
          </w:p>
        </w:tc>
        <w:tc>
          <w:tcPr>
            <w:tcW w:w="478" w:type="pct"/>
            <w:tcBorders>
              <w:top w:val="single" w:sz="4" w:space="0" w:color="auto"/>
            </w:tcBorders>
            <w:shd w:val="clear" w:color="auto" w:fill="auto"/>
            <w:noWrap/>
            <w:vAlign w:val="center"/>
          </w:tcPr>
          <w:p w14:paraId="4C5E1C87"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137</w:t>
            </w:r>
          </w:p>
        </w:tc>
        <w:tc>
          <w:tcPr>
            <w:tcW w:w="550" w:type="pct"/>
            <w:tcBorders>
              <w:top w:val="single" w:sz="4" w:space="0" w:color="auto"/>
            </w:tcBorders>
            <w:shd w:val="clear" w:color="auto" w:fill="auto"/>
            <w:noWrap/>
            <w:vAlign w:val="center"/>
          </w:tcPr>
          <w:p w14:paraId="51794CDF"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293</w:t>
            </w:r>
          </w:p>
        </w:tc>
        <w:tc>
          <w:tcPr>
            <w:tcW w:w="478" w:type="pct"/>
            <w:tcBorders>
              <w:top w:val="single" w:sz="4" w:space="0" w:color="auto"/>
            </w:tcBorders>
            <w:shd w:val="clear" w:color="auto" w:fill="auto"/>
            <w:noWrap/>
            <w:vAlign w:val="center"/>
          </w:tcPr>
          <w:p w14:paraId="3586DB15"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158</w:t>
            </w:r>
          </w:p>
        </w:tc>
        <w:tc>
          <w:tcPr>
            <w:tcW w:w="502" w:type="pct"/>
            <w:tcBorders>
              <w:top w:val="single" w:sz="4" w:space="0" w:color="auto"/>
            </w:tcBorders>
            <w:shd w:val="clear" w:color="auto" w:fill="auto"/>
            <w:noWrap/>
            <w:vAlign w:val="center"/>
          </w:tcPr>
          <w:p w14:paraId="118F86D4"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66</w:t>
            </w:r>
          </w:p>
        </w:tc>
        <w:tc>
          <w:tcPr>
            <w:tcW w:w="478" w:type="pct"/>
            <w:tcBorders>
              <w:top w:val="single" w:sz="4" w:space="0" w:color="auto"/>
            </w:tcBorders>
            <w:shd w:val="clear" w:color="auto" w:fill="auto"/>
            <w:noWrap/>
            <w:vAlign w:val="center"/>
          </w:tcPr>
          <w:p w14:paraId="4A343075"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158</w:t>
            </w:r>
          </w:p>
        </w:tc>
        <w:tc>
          <w:tcPr>
            <w:tcW w:w="478" w:type="pct"/>
            <w:tcBorders>
              <w:top w:val="single" w:sz="4" w:space="0" w:color="auto"/>
            </w:tcBorders>
            <w:shd w:val="clear" w:color="auto" w:fill="auto"/>
            <w:noWrap/>
            <w:vAlign w:val="center"/>
          </w:tcPr>
          <w:p w14:paraId="4F33D03F"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104</w:t>
            </w:r>
          </w:p>
        </w:tc>
        <w:tc>
          <w:tcPr>
            <w:tcW w:w="519" w:type="pct"/>
            <w:tcBorders>
              <w:top w:val="single" w:sz="4" w:space="0" w:color="auto"/>
            </w:tcBorders>
            <w:shd w:val="clear" w:color="auto" w:fill="auto"/>
            <w:vAlign w:val="center"/>
          </w:tcPr>
          <w:p w14:paraId="11C8CF44"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137.0</w:t>
            </w:r>
          </w:p>
        </w:tc>
      </w:tr>
      <w:tr w:rsidR="00101347" w:rsidRPr="009B104D" w14:paraId="6D3C6815" w14:textId="77777777" w:rsidTr="00B0160C">
        <w:trPr>
          <w:jc w:val="center"/>
        </w:trPr>
        <w:tc>
          <w:tcPr>
            <w:tcW w:w="744" w:type="pct"/>
            <w:shd w:val="clear" w:color="auto" w:fill="auto"/>
            <w:vAlign w:val="center"/>
          </w:tcPr>
          <w:p w14:paraId="00B451A5"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FFQ total of food items without alcohol</w:t>
            </w:r>
          </w:p>
        </w:tc>
        <w:tc>
          <w:tcPr>
            <w:tcW w:w="772" w:type="pct"/>
            <w:shd w:val="clear" w:color="auto" w:fill="auto"/>
            <w:noWrap/>
            <w:vAlign w:val="center"/>
          </w:tcPr>
          <w:p w14:paraId="20ACE236"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43</w:t>
            </w:r>
          </w:p>
        </w:tc>
        <w:tc>
          <w:tcPr>
            <w:tcW w:w="478" w:type="pct"/>
            <w:shd w:val="clear" w:color="auto" w:fill="auto"/>
            <w:noWrap/>
            <w:vAlign w:val="center"/>
          </w:tcPr>
          <w:p w14:paraId="236EFF19"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130</w:t>
            </w:r>
          </w:p>
        </w:tc>
        <w:tc>
          <w:tcPr>
            <w:tcW w:w="550" w:type="pct"/>
            <w:shd w:val="clear" w:color="auto" w:fill="auto"/>
            <w:noWrap/>
            <w:vAlign w:val="center"/>
          </w:tcPr>
          <w:p w14:paraId="743D1A03"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283</w:t>
            </w:r>
          </w:p>
        </w:tc>
        <w:tc>
          <w:tcPr>
            <w:tcW w:w="478" w:type="pct"/>
            <w:shd w:val="clear" w:color="auto" w:fill="auto"/>
            <w:noWrap/>
            <w:vAlign w:val="center"/>
          </w:tcPr>
          <w:p w14:paraId="671BE8ED"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154</w:t>
            </w:r>
          </w:p>
        </w:tc>
        <w:tc>
          <w:tcPr>
            <w:tcW w:w="502" w:type="pct"/>
            <w:shd w:val="clear" w:color="auto" w:fill="auto"/>
            <w:noWrap/>
            <w:vAlign w:val="center"/>
          </w:tcPr>
          <w:p w14:paraId="34C3A9AF"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62</w:t>
            </w:r>
          </w:p>
        </w:tc>
        <w:tc>
          <w:tcPr>
            <w:tcW w:w="478" w:type="pct"/>
            <w:shd w:val="clear" w:color="auto" w:fill="auto"/>
            <w:noWrap/>
            <w:vAlign w:val="center"/>
          </w:tcPr>
          <w:p w14:paraId="51517364"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154</w:t>
            </w:r>
          </w:p>
        </w:tc>
        <w:tc>
          <w:tcPr>
            <w:tcW w:w="478" w:type="pct"/>
            <w:shd w:val="clear" w:color="auto" w:fill="auto"/>
            <w:noWrap/>
            <w:vAlign w:val="center"/>
          </w:tcPr>
          <w:p w14:paraId="3CC4B4D8"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99</w:t>
            </w:r>
          </w:p>
        </w:tc>
        <w:tc>
          <w:tcPr>
            <w:tcW w:w="519" w:type="pct"/>
            <w:shd w:val="clear" w:color="auto" w:fill="auto"/>
            <w:vAlign w:val="center"/>
          </w:tcPr>
          <w:p w14:paraId="615AA36D"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132.1</w:t>
            </w:r>
          </w:p>
        </w:tc>
      </w:tr>
      <w:tr w:rsidR="00101347" w:rsidRPr="009B104D" w14:paraId="1D1C18B1" w14:textId="77777777" w:rsidTr="00B0160C">
        <w:trPr>
          <w:jc w:val="center"/>
        </w:trPr>
        <w:tc>
          <w:tcPr>
            <w:tcW w:w="744" w:type="pct"/>
            <w:shd w:val="clear" w:color="auto" w:fill="auto"/>
            <w:vAlign w:val="center"/>
          </w:tcPr>
          <w:p w14:paraId="4171E584"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Total of food items selected for the DASH</w:t>
            </w:r>
          </w:p>
        </w:tc>
        <w:tc>
          <w:tcPr>
            <w:tcW w:w="772" w:type="pct"/>
            <w:shd w:val="clear" w:color="auto" w:fill="auto"/>
            <w:noWrap/>
            <w:vAlign w:val="center"/>
          </w:tcPr>
          <w:p w14:paraId="497EC468"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34</w:t>
            </w:r>
          </w:p>
        </w:tc>
        <w:tc>
          <w:tcPr>
            <w:tcW w:w="478" w:type="pct"/>
            <w:shd w:val="clear" w:color="auto" w:fill="auto"/>
            <w:noWrap/>
            <w:vAlign w:val="center"/>
          </w:tcPr>
          <w:p w14:paraId="1F41A040"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65</w:t>
            </w:r>
          </w:p>
        </w:tc>
        <w:tc>
          <w:tcPr>
            <w:tcW w:w="550" w:type="pct"/>
            <w:shd w:val="clear" w:color="auto" w:fill="auto"/>
            <w:noWrap/>
            <w:vAlign w:val="center"/>
          </w:tcPr>
          <w:p w14:paraId="33AD8241"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136</w:t>
            </w:r>
          </w:p>
        </w:tc>
        <w:tc>
          <w:tcPr>
            <w:tcW w:w="478" w:type="pct"/>
            <w:shd w:val="clear" w:color="auto" w:fill="auto"/>
            <w:noWrap/>
            <w:vAlign w:val="center"/>
          </w:tcPr>
          <w:p w14:paraId="226ACAA3"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85</w:t>
            </w:r>
          </w:p>
        </w:tc>
        <w:tc>
          <w:tcPr>
            <w:tcW w:w="502" w:type="pct"/>
            <w:shd w:val="clear" w:color="auto" w:fill="auto"/>
            <w:noWrap/>
            <w:vAlign w:val="center"/>
          </w:tcPr>
          <w:p w14:paraId="75EC8C94"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36</w:t>
            </w:r>
          </w:p>
        </w:tc>
        <w:tc>
          <w:tcPr>
            <w:tcW w:w="478" w:type="pct"/>
            <w:shd w:val="clear" w:color="auto" w:fill="auto"/>
            <w:noWrap/>
            <w:vAlign w:val="center"/>
          </w:tcPr>
          <w:p w14:paraId="0EDA00E8"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85</w:t>
            </w:r>
          </w:p>
        </w:tc>
        <w:tc>
          <w:tcPr>
            <w:tcW w:w="478" w:type="pct"/>
            <w:shd w:val="clear" w:color="auto" w:fill="auto"/>
            <w:noWrap/>
            <w:vAlign w:val="center"/>
          </w:tcPr>
          <w:p w14:paraId="5C617090"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58</w:t>
            </w:r>
          </w:p>
        </w:tc>
        <w:tc>
          <w:tcPr>
            <w:tcW w:w="519" w:type="pct"/>
            <w:shd w:val="clear" w:color="auto" w:fill="auto"/>
            <w:vAlign w:val="center"/>
          </w:tcPr>
          <w:p w14:paraId="21282B91"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71.3</w:t>
            </w:r>
          </w:p>
        </w:tc>
      </w:tr>
      <w:tr w:rsidR="00101347" w:rsidRPr="009B104D" w14:paraId="7B1282AE" w14:textId="77777777" w:rsidTr="00B0160C">
        <w:trPr>
          <w:jc w:val="center"/>
        </w:trPr>
        <w:tc>
          <w:tcPr>
            <w:tcW w:w="744" w:type="pct"/>
            <w:tcBorders>
              <w:bottom w:val="single" w:sz="4" w:space="0" w:color="auto"/>
            </w:tcBorders>
            <w:shd w:val="clear" w:color="auto" w:fill="auto"/>
            <w:vAlign w:val="center"/>
          </w:tcPr>
          <w:p w14:paraId="59EC0EEC" w14:textId="407FC0CC"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w:t>
            </w:r>
            <w:r w:rsidR="003805B0" w:rsidRPr="009B104D">
              <w:rPr>
                <w:color w:val="auto"/>
                <w:sz w:val="18"/>
                <w:szCs w:val="18"/>
                <w:lang w:val="en-GB" w:eastAsia="fr-FR"/>
              </w:rPr>
              <w:t xml:space="preserve"> </w:t>
            </w:r>
            <w:r w:rsidR="00700944" w:rsidRPr="009B104D">
              <w:rPr>
                <w:color w:val="auto"/>
                <w:sz w:val="18"/>
                <w:szCs w:val="18"/>
                <w:vertAlign w:val="superscript"/>
                <w:lang w:val="en-GB" w:eastAsia="fr-FR"/>
              </w:rPr>
              <w:t>2</w:t>
            </w:r>
            <w:r w:rsidRPr="009B104D">
              <w:rPr>
                <w:color w:val="auto"/>
                <w:sz w:val="18"/>
                <w:szCs w:val="18"/>
                <w:lang w:val="en-GB" w:eastAsia="fr-FR"/>
              </w:rPr>
              <w:t xml:space="preserve"> items selected/total food items without alcohol</w:t>
            </w:r>
          </w:p>
        </w:tc>
        <w:tc>
          <w:tcPr>
            <w:tcW w:w="772" w:type="pct"/>
            <w:tcBorders>
              <w:bottom w:val="single" w:sz="4" w:space="0" w:color="auto"/>
            </w:tcBorders>
            <w:shd w:val="clear" w:color="auto" w:fill="auto"/>
            <w:noWrap/>
            <w:vAlign w:val="center"/>
          </w:tcPr>
          <w:p w14:paraId="50055EA8"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79.1%</w:t>
            </w:r>
          </w:p>
        </w:tc>
        <w:tc>
          <w:tcPr>
            <w:tcW w:w="478" w:type="pct"/>
            <w:tcBorders>
              <w:bottom w:val="single" w:sz="4" w:space="0" w:color="auto"/>
            </w:tcBorders>
            <w:shd w:val="clear" w:color="auto" w:fill="auto"/>
            <w:noWrap/>
            <w:vAlign w:val="center"/>
          </w:tcPr>
          <w:p w14:paraId="790D3496"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50.0%</w:t>
            </w:r>
          </w:p>
        </w:tc>
        <w:tc>
          <w:tcPr>
            <w:tcW w:w="550" w:type="pct"/>
            <w:tcBorders>
              <w:bottom w:val="single" w:sz="4" w:space="0" w:color="auto"/>
            </w:tcBorders>
            <w:shd w:val="clear" w:color="auto" w:fill="auto"/>
            <w:noWrap/>
            <w:vAlign w:val="center"/>
          </w:tcPr>
          <w:p w14:paraId="0AA74B5E"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48.1%</w:t>
            </w:r>
          </w:p>
        </w:tc>
        <w:tc>
          <w:tcPr>
            <w:tcW w:w="478" w:type="pct"/>
            <w:tcBorders>
              <w:bottom w:val="single" w:sz="4" w:space="0" w:color="auto"/>
            </w:tcBorders>
            <w:shd w:val="clear" w:color="auto" w:fill="auto"/>
            <w:noWrap/>
            <w:vAlign w:val="center"/>
          </w:tcPr>
          <w:p w14:paraId="4F0305C7"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55.2%</w:t>
            </w:r>
          </w:p>
        </w:tc>
        <w:tc>
          <w:tcPr>
            <w:tcW w:w="502" w:type="pct"/>
            <w:tcBorders>
              <w:bottom w:val="single" w:sz="4" w:space="0" w:color="auto"/>
            </w:tcBorders>
            <w:shd w:val="clear" w:color="auto" w:fill="auto"/>
            <w:noWrap/>
            <w:vAlign w:val="center"/>
          </w:tcPr>
          <w:p w14:paraId="420178B6"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58.1%</w:t>
            </w:r>
          </w:p>
        </w:tc>
        <w:tc>
          <w:tcPr>
            <w:tcW w:w="478" w:type="pct"/>
            <w:tcBorders>
              <w:bottom w:val="single" w:sz="4" w:space="0" w:color="auto"/>
            </w:tcBorders>
            <w:shd w:val="clear" w:color="auto" w:fill="auto"/>
            <w:noWrap/>
            <w:vAlign w:val="center"/>
          </w:tcPr>
          <w:p w14:paraId="4D80BAA7"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55.2%</w:t>
            </w:r>
          </w:p>
        </w:tc>
        <w:tc>
          <w:tcPr>
            <w:tcW w:w="478" w:type="pct"/>
            <w:tcBorders>
              <w:bottom w:val="single" w:sz="4" w:space="0" w:color="auto"/>
            </w:tcBorders>
            <w:shd w:val="clear" w:color="auto" w:fill="auto"/>
            <w:noWrap/>
            <w:vAlign w:val="center"/>
          </w:tcPr>
          <w:p w14:paraId="5E857F05"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58.6%</w:t>
            </w:r>
          </w:p>
        </w:tc>
        <w:tc>
          <w:tcPr>
            <w:tcW w:w="519" w:type="pct"/>
            <w:tcBorders>
              <w:bottom w:val="single" w:sz="4" w:space="0" w:color="auto"/>
            </w:tcBorders>
            <w:shd w:val="clear" w:color="auto" w:fill="auto"/>
            <w:vAlign w:val="center"/>
          </w:tcPr>
          <w:p w14:paraId="4266C14D"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57.8%</w:t>
            </w:r>
          </w:p>
        </w:tc>
      </w:tr>
      <w:tr w:rsidR="00101347" w:rsidRPr="009B104D" w14:paraId="10859788" w14:textId="77777777" w:rsidTr="00B0160C">
        <w:trPr>
          <w:jc w:val="center"/>
        </w:trPr>
        <w:tc>
          <w:tcPr>
            <w:tcW w:w="5000" w:type="pct"/>
            <w:gridSpan w:val="9"/>
            <w:tcBorders>
              <w:top w:val="single" w:sz="4" w:space="0" w:color="auto"/>
            </w:tcBorders>
            <w:shd w:val="clear" w:color="auto" w:fill="auto"/>
            <w:vAlign w:val="center"/>
          </w:tcPr>
          <w:p w14:paraId="102C5A01" w14:textId="77777777" w:rsidR="00BB05F6" w:rsidRPr="009B104D" w:rsidRDefault="00BB05F6" w:rsidP="003805B0">
            <w:pPr>
              <w:pStyle w:val="MDPI42tablebody"/>
              <w:autoSpaceDE w:val="0"/>
              <w:autoSpaceDN w:val="0"/>
              <w:spacing w:line="240" w:lineRule="auto"/>
              <w:rPr>
                <w:b/>
                <w:color w:val="auto"/>
                <w:sz w:val="18"/>
                <w:szCs w:val="18"/>
                <w:lang w:val="en-GB" w:eastAsia="fr-FR"/>
              </w:rPr>
            </w:pPr>
            <w:r w:rsidRPr="009B104D">
              <w:rPr>
                <w:b/>
                <w:color w:val="auto"/>
                <w:sz w:val="18"/>
                <w:szCs w:val="18"/>
                <w:lang w:val="en-GB" w:eastAsia="fr-FR"/>
              </w:rPr>
              <w:t>Food components with higher intakes recommended</w:t>
            </w:r>
          </w:p>
        </w:tc>
      </w:tr>
      <w:tr w:rsidR="00101347" w:rsidRPr="009B104D" w14:paraId="5815CC79" w14:textId="77777777" w:rsidTr="00B0160C">
        <w:trPr>
          <w:jc w:val="center"/>
        </w:trPr>
        <w:tc>
          <w:tcPr>
            <w:tcW w:w="744" w:type="pct"/>
            <w:shd w:val="clear" w:color="auto" w:fill="auto"/>
            <w:vAlign w:val="center"/>
          </w:tcPr>
          <w:p w14:paraId="7012F49A"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Whole grains</w:t>
            </w:r>
          </w:p>
        </w:tc>
        <w:tc>
          <w:tcPr>
            <w:tcW w:w="772" w:type="pct"/>
            <w:shd w:val="clear" w:color="auto" w:fill="auto"/>
            <w:noWrap/>
            <w:vAlign w:val="center"/>
          </w:tcPr>
          <w:p w14:paraId="223E9AA1"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3</w:t>
            </w:r>
          </w:p>
        </w:tc>
        <w:tc>
          <w:tcPr>
            <w:tcW w:w="478" w:type="pct"/>
            <w:shd w:val="clear" w:color="auto" w:fill="auto"/>
            <w:noWrap/>
            <w:vAlign w:val="center"/>
          </w:tcPr>
          <w:p w14:paraId="56BECE81"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w:t>
            </w:r>
          </w:p>
        </w:tc>
        <w:tc>
          <w:tcPr>
            <w:tcW w:w="550" w:type="pct"/>
            <w:shd w:val="clear" w:color="auto" w:fill="auto"/>
            <w:noWrap/>
            <w:vAlign w:val="center"/>
          </w:tcPr>
          <w:p w14:paraId="710517A8"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13</w:t>
            </w:r>
          </w:p>
        </w:tc>
        <w:tc>
          <w:tcPr>
            <w:tcW w:w="478" w:type="pct"/>
            <w:shd w:val="clear" w:color="auto" w:fill="auto"/>
            <w:noWrap/>
            <w:vAlign w:val="center"/>
          </w:tcPr>
          <w:p w14:paraId="6B697E57"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7</w:t>
            </w:r>
          </w:p>
        </w:tc>
        <w:tc>
          <w:tcPr>
            <w:tcW w:w="502" w:type="pct"/>
            <w:shd w:val="clear" w:color="auto" w:fill="auto"/>
            <w:noWrap/>
            <w:vAlign w:val="center"/>
          </w:tcPr>
          <w:p w14:paraId="4920C89D"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2</w:t>
            </w:r>
          </w:p>
        </w:tc>
        <w:tc>
          <w:tcPr>
            <w:tcW w:w="478" w:type="pct"/>
            <w:shd w:val="clear" w:color="auto" w:fill="auto"/>
            <w:noWrap/>
            <w:vAlign w:val="center"/>
          </w:tcPr>
          <w:p w14:paraId="09BD165D"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7</w:t>
            </w:r>
          </w:p>
        </w:tc>
        <w:tc>
          <w:tcPr>
            <w:tcW w:w="478" w:type="pct"/>
            <w:shd w:val="clear" w:color="auto" w:fill="auto"/>
            <w:noWrap/>
            <w:vAlign w:val="center"/>
          </w:tcPr>
          <w:p w14:paraId="360FB3C5"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4</w:t>
            </w:r>
          </w:p>
        </w:tc>
        <w:tc>
          <w:tcPr>
            <w:tcW w:w="519" w:type="pct"/>
            <w:shd w:val="clear" w:color="auto" w:fill="auto"/>
            <w:vAlign w:val="center"/>
          </w:tcPr>
          <w:p w14:paraId="13705912"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5.3</w:t>
            </w:r>
          </w:p>
        </w:tc>
      </w:tr>
      <w:tr w:rsidR="00101347" w:rsidRPr="009B104D" w14:paraId="322DCDE9" w14:textId="77777777" w:rsidTr="00B0160C">
        <w:trPr>
          <w:jc w:val="center"/>
        </w:trPr>
        <w:tc>
          <w:tcPr>
            <w:tcW w:w="744" w:type="pct"/>
            <w:shd w:val="clear" w:color="auto" w:fill="auto"/>
            <w:vAlign w:val="center"/>
          </w:tcPr>
          <w:p w14:paraId="57521BFE" w14:textId="0A16CB20" w:rsidR="00BB05F6" w:rsidRPr="009B104D" w:rsidRDefault="00BB05F6" w:rsidP="003805B0">
            <w:pPr>
              <w:pStyle w:val="MDPI42tablebody"/>
              <w:autoSpaceDE w:val="0"/>
              <w:autoSpaceDN w:val="0"/>
              <w:spacing w:line="240" w:lineRule="auto"/>
              <w:rPr>
                <w:color w:val="auto"/>
                <w:sz w:val="18"/>
                <w:szCs w:val="18"/>
                <w:vertAlign w:val="superscript"/>
                <w:lang w:val="en-GB" w:eastAsia="fr-FR"/>
              </w:rPr>
            </w:pPr>
            <w:r w:rsidRPr="009B104D">
              <w:rPr>
                <w:color w:val="auto"/>
                <w:sz w:val="18"/>
                <w:szCs w:val="18"/>
                <w:lang w:val="en-GB" w:eastAsia="fr-FR"/>
              </w:rPr>
              <w:t>Total grains</w:t>
            </w:r>
            <w:r w:rsidR="003805B0" w:rsidRPr="009B104D">
              <w:rPr>
                <w:color w:val="auto"/>
                <w:sz w:val="18"/>
                <w:szCs w:val="18"/>
                <w:lang w:val="en-GB" w:eastAsia="fr-FR"/>
              </w:rPr>
              <w:t xml:space="preserve"> </w:t>
            </w:r>
            <w:r w:rsidR="00700944" w:rsidRPr="009B104D">
              <w:rPr>
                <w:color w:val="auto"/>
                <w:sz w:val="18"/>
                <w:szCs w:val="18"/>
                <w:vertAlign w:val="superscript"/>
                <w:lang w:val="en-GB" w:eastAsia="fr-FR"/>
              </w:rPr>
              <w:t>3</w:t>
            </w:r>
          </w:p>
        </w:tc>
        <w:tc>
          <w:tcPr>
            <w:tcW w:w="772" w:type="pct"/>
            <w:shd w:val="clear" w:color="auto" w:fill="auto"/>
            <w:noWrap/>
            <w:vAlign w:val="center"/>
          </w:tcPr>
          <w:p w14:paraId="0408B78B"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7</w:t>
            </w:r>
          </w:p>
        </w:tc>
        <w:tc>
          <w:tcPr>
            <w:tcW w:w="478" w:type="pct"/>
            <w:shd w:val="clear" w:color="auto" w:fill="auto"/>
            <w:noWrap/>
            <w:vAlign w:val="center"/>
            <w:hideMark/>
          </w:tcPr>
          <w:p w14:paraId="5D7601EC"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7</w:t>
            </w:r>
          </w:p>
        </w:tc>
        <w:tc>
          <w:tcPr>
            <w:tcW w:w="550" w:type="pct"/>
            <w:shd w:val="clear" w:color="auto" w:fill="auto"/>
            <w:noWrap/>
            <w:vAlign w:val="center"/>
          </w:tcPr>
          <w:p w14:paraId="13349DF1"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20</w:t>
            </w:r>
          </w:p>
        </w:tc>
        <w:tc>
          <w:tcPr>
            <w:tcW w:w="478" w:type="pct"/>
            <w:shd w:val="clear" w:color="auto" w:fill="auto"/>
            <w:noWrap/>
            <w:vAlign w:val="center"/>
          </w:tcPr>
          <w:p w14:paraId="649BECE8"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14</w:t>
            </w:r>
          </w:p>
        </w:tc>
        <w:tc>
          <w:tcPr>
            <w:tcW w:w="502" w:type="pct"/>
            <w:shd w:val="clear" w:color="auto" w:fill="auto"/>
            <w:noWrap/>
            <w:vAlign w:val="center"/>
          </w:tcPr>
          <w:p w14:paraId="4CDC6FA0"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5</w:t>
            </w:r>
          </w:p>
        </w:tc>
        <w:tc>
          <w:tcPr>
            <w:tcW w:w="478" w:type="pct"/>
            <w:shd w:val="clear" w:color="auto" w:fill="auto"/>
            <w:noWrap/>
            <w:vAlign w:val="center"/>
          </w:tcPr>
          <w:p w14:paraId="3FB323D1"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14</w:t>
            </w:r>
          </w:p>
        </w:tc>
        <w:tc>
          <w:tcPr>
            <w:tcW w:w="478" w:type="pct"/>
            <w:shd w:val="clear" w:color="auto" w:fill="auto"/>
            <w:noWrap/>
            <w:vAlign w:val="center"/>
          </w:tcPr>
          <w:p w14:paraId="5671E8D5"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8</w:t>
            </w:r>
          </w:p>
        </w:tc>
        <w:tc>
          <w:tcPr>
            <w:tcW w:w="519" w:type="pct"/>
            <w:shd w:val="clear" w:color="auto" w:fill="auto"/>
            <w:vAlign w:val="center"/>
          </w:tcPr>
          <w:p w14:paraId="6AFE2066"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10.7</w:t>
            </w:r>
          </w:p>
        </w:tc>
      </w:tr>
      <w:tr w:rsidR="00101347" w:rsidRPr="009B104D" w14:paraId="16934E9E" w14:textId="77777777" w:rsidTr="00B0160C">
        <w:trPr>
          <w:jc w:val="center"/>
        </w:trPr>
        <w:tc>
          <w:tcPr>
            <w:tcW w:w="744" w:type="pct"/>
            <w:shd w:val="clear" w:color="auto" w:fill="auto"/>
            <w:vAlign w:val="center"/>
          </w:tcPr>
          <w:p w14:paraId="22412A01"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Vegetables</w:t>
            </w:r>
          </w:p>
        </w:tc>
        <w:tc>
          <w:tcPr>
            <w:tcW w:w="772" w:type="pct"/>
            <w:shd w:val="clear" w:color="auto" w:fill="auto"/>
            <w:noWrap/>
            <w:vAlign w:val="center"/>
          </w:tcPr>
          <w:p w14:paraId="38F53158"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5</w:t>
            </w:r>
          </w:p>
        </w:tc>
        <w:tc>
          <w:tcPr>
            <w:tcW w:w="478" w:type="pct"/>
            <w:shd w:val="clear" w:color="auto" w:fill="auto"/>
            <w:noWrap/>
            <w:vAlign w:val="center"/>
          </w:tcPr>
          <w:p w14:paraId="3172D3A9"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16</w:t>
            </w:r>
          </w:p>
        </w:tc>
        <w:tc>
          <w:tcPr>
            <w:tcW w:w="550" w:type="pct"/>
            <w:shd w:val="clear" w:color="auto" w:fill="auto"/>
            <w:noWrap/>
            <w:vAlign w:val="center"/>
          </w:tcPr>
          <w:p w14:paraId="1D2EDA4E"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33</w:t>
            </w:r>
          </w:p>
        </w:tc>
        <w:tc>
          <w:tcPr>
            <w:tcW w:w="478" w:type="pct"/>
            <w:shd w:val="clear" w:color="auto" w:fill="auto"/>
            <w:noWrap/>
            <w:vAlign w:val="center"/>
          </w:tcPr>
          <w:p w14:paraId="2979A8FF"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24</w:t>
            </w:r>
          </w:p>
        </w:tc>
        <w:tc>
          <w:tcPr>
            <w:tcW w:w="502" w:type="pct"/>
            <w:shd w:val="clear" w:color="auto" w:fill="auto"/>
            <w:noWrap/>
            <w:vAlign w:val="center"/>
          </w:tcPr>
          <w:p w14:paraId="3B54FD21"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12</w:t>
            </w:r>
          </w:p>
        </w:tc>
        <w:tc>
          <w:tcPr>
            <w:tcW w:w="478" w:type="pct"/>
            <w:shd w:val="clear" w:color="auto" w:fill="auto"/>
            <w:noWrap/>
            <w:vAlign w:val="center"/>
          </w:tcPr>
          <w:p w14:paraId="467FA132"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24</w:t>
            </w:r>
          </w:p>
        </w:tc>
        <w:tc>
          <w:tcPr>
            <w:tcW w:w="478" w:type="pct"/>
            <w:shd w:val="clear" w:color="auto" w:fill="auto"/>
            <w:noWrap/>
            <w:vAlign w:val="center"/>
          </w:tcPr>
          <w:p w14:paraId="2957DC93"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16</w:t>
            </w:r>
          </w:p>
        </w:tc>
        <w:tc>
          <w:tcPr>
            <w:tcW w:w="519" w:type="pct"/>
            <w:shd w:val="clear" w:color="auto" w:fill="auto"/>
            <w:vAlign w:val="center"/>
          </w:tcPr>
          <w:p w14:paraId="2AB5ABFA"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18.6</w:t>
            </w:r>
          </w:p>
        </w:tc>
      </w:tr>
      <w:tr w:rsidR="00101347" w:rsidRPr="009B104D" w14:paraId="25FD2E72" w14:textId="77777777" w:rsidTr="00B0160C">
        <w:trPr>
          <w:jc w:val="center"/>
        </w:trPr>
        <w:tc>
          <w:tcPr>
            <w:tcW w:w="744" w:type="pct"/>
            <w:shd w:val="clear" w:color="auto" w:fill="auto"/>
            <w:vAlign w:val="center"/>
          </w:tcPr>
          <w:p w14:paraId="2C3BD11A"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Fruits</w:t>
            </w:r>
          </w:p>
        </w:tc>
        <w:tc>
          <w:tcPr>
            <w:tcW w:w="772" w:type="pct"/>
            <w:shd w:val="clear" w:color="auto" w:fill="auto"/>
            <w:noWrap/>
            <w:vAlign w:val="center"/>
          </w:tcPr>
          <w:p w14:paraId="0DD193C9"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3</w:t>
            </w:r>
          </w:p>
        </w:tc>
        <w:tc>
          <w:tcPr>
            <w:tcW w:w="478" w:type="pct"/>
            <w:shd w:val="clear" w:color="auto" w:fill="auto"/>
            <w:noWrap/>
            <w:vAlign w:val="center"/>
          </w:tcPr>
          <w:p w14:paraId="3C1F487B"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12</w:t>
            </w:r>
          </w:p>
        </w:tc>
        <w:tc>
          <w:tcPr>
            <w:tcW w:w="550" w:type="pct"/>
            <w:shd w:val="clear" w:color="auto" w:fill="auto"/>
            <w:noWrap/>
            <w:vAlign w:val="center"/>
          </w:tcPr>
          <w:p w14:paraId="172C74F2"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20</w:t>
            </w:r>
          </w:p>
        </w:tc>
        <w:tc>
          <w:tcPr>
            <w:tcW w:w="478" w:type="pct"/>
            <w:shd w:val="clear" w:color="auto" w:fill="auto"/>
            <w:noWrap/>
            <w:vAlign w:val="center"/>
          </w:tcPr>
          <w:p w14:paraId="1F8F2EB9"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13</w:t>
            </w:r>
          </w:p>
        </w:tc>
        <w:tc>
          <w:tcPr>
            <w:tcW w:w="502" w:type="pct"/>
            <w:shd w:val="clear" w:color="auto" w:fill="auto"/>
            <w:noWrap/>
            <w:vAlign w:val="center"/>
          </w:tcPr>
          <w:p w14:paraId="53003BA2"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10</w:t>
            </w:r>
          </w:p>
        </w:tc>
        <w:tc>
          <w:tcPr>
            <w:tcW w:w="478" w:type="pct"/>
            <w:shd w:val="clear" w:color="auto" w:fill="auto"/>
            <w:noWrap/>
            <w:vAlign w:val="center"/>
          </w:tcPr>
          <w:p w14:paraId="4AFC9A2E"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13</w:t>
            </w:r>
          </w:p>
        </w:tc>
        <w:tc>
          <w:tcPr>
            <w:tcW w:w="478" w:type="pct"/>
            <w:shd w:val="clear" w:color="auto" w:fill="auto"/>
            <w:noWrap/>
            <w:vAlign w:val="center"/>
          </w:tcPr>
          <w:p w14:paraId="57B3B8DE"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12</w:t>
            </w:r>
          </w:p>
        </w:tc>
        <w:tc>
          <w:tcPr>
            <w:tcW w:w="519" w:type="pct"/>
            <w:shd w:val="clear" w:color="auto" w:fill="auto"/>
            <w:vAlign w:val="center"/>
          </w:tcPr>
          <w:p w14:paraId="24C7F48B"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11.9</w:t>
            </w:r>
          </w:p>
        </w:tc>
      </w:tr>
      <w:tr w:rsidR="00101347" w:rsidRPr="009B104D" w14:paraId="7BE2422A" w14:textId="77777777" w:rsidTr="00B0160C">
        <w:trPr>
          <w:jc w:val="center"/>
        </w:trPr>
        <w:tc>
          <w:tcPr>
            <w:tcW w:w="744" w:type="pct"/>
            <w:shd w:val="clear" w:color="auto" w:fill="auto"/>
            <w:vAlign w:val="center"/>
          </w:tcPr>
          <w:p w14:paraId="7CEB9CDC"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Low-fat dairy products</w:t>
            </w:r>
          </w:p>
        </w:tc>
        <w:tc>
          <w:tcPr>
            <w:tcW w:w="772" w:type="pct"/>
            <w:shd w:val="clear" w:color="auto" w:fill="auto"/>
            <w:noWrap/>
            <w:vAlign w:val="center"/>
          </w:tcPr>
          <w:p w14:paraId="75ED8EC4"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2</w:t>
            </w:r>
          </w:p>
        </w:tc>
        <w:tc>
          <w:tcPr>
            <w:tcW w:w="478" w:type="pct"/>
            <w:shd w:val="clear" w:color="auto" w:fill="auto"/>
            <w:noWrap/>
            <w:vAlign w:val="center"/>
            <w:hideMark/>
          </w:tcPr>
          <w:p w14:paraId="358AF64E"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4</w:t>
            </w:r>
          </w:p>
        </w:tc>
        <w:tc>
          <w:tcPr>
            <w:tcW w:w="550" w:type="pct"/>
            <w:shd w:val="clear" w:color="auto" w:fill="auto"/>
            <w:noWrap/>
            <w:vAlign w:val="center"/>
          </w:tcPr>
          <w:p w14:paraId="2F17E6FA" w14:textId="39E9D773" w:rsidR="00BB05F6" w:rsidRPr="009B104D" w:rsidRDefault="00BB05F6" w:rsidP="003805B0">
            <w:pPr>
              <w:pStyle w:val="MDPI42tablebody"/>
              <w:autoSpaceDE w:val="0"/>
              <w:autoSpaceDN w:val="0"/>
              <w:spacing w:line="240" w:lineRule="auto"/>
              <w:rPr>
                <w:color w:val="auto"/>
                <w:sz w:val="18"/>
                <w:szCs w:val="18"/>
                <w:vertAlign w:val="superscript"/>
                <w:lang w:val="en-GB" w:eastAsia="fr-FR"/>
              </w:rPr>
            </w:pPr>
            <w:r w:rsidRPr="009B104D">
              <w:rPr>
                <w:color w:val="auto"/>
                <w:sz w:val="18"/>
                <w:szCs w:val="18"/>
                <w:lang w:val="en-GB" w:eastAsia="fr-FR"/>
              </w:rPr>
              <w:t>10</w:t>
            </w:r>
            <w:r w:rsidR="003805B0" w:rsidRPr="009B104D">
              <w:rPr>
                <w:color w:val="auto"/>
                <w:sz w:val="18"/>
                <w:szCs w:val="18"/>
                <w:lang w:val="en-GB" w:eastAsia="fr-FR"/>
              </w:rPr>
              <w:t xml:space="preserve"> </w:t>
            </w:r>
            <w:r w:rsidR="00700944" w:rsidRPr="009B104D">
              <w:rPr>
                <w:color w:val="auto"/>
                <w:sz w:val="18"/>
                <w:szCs w:val="18"/>
                <w:vertAlign w:val="superscript"/>
                <w:lang w:val="en-GB" w:eastAsia="fr-FR"/>
              </w:rPr>
              <w:t>4</w:t>
            </w:r>
          </w:p>
        </w:tc>
        <w:tc>
          <w:tcPr>
            <w:tcW w:w="478" w:type="pct"/>
            <w:shd w:val="clear" w:color="auto" w:fill="auto"/>
            <w:noWrap/>
            <w:vAlign w:val="center"/>
          </w:tcPr>
          <w:p w14:paraId="4304DA17"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6</w:t>
            </w:r>
          </w:p>
        </w:tc>
        <w:tc>
          <w:tcPr>
            <w:tcW w:w="502" w:type="pct"/>
            <w:shd w:val="clear" w:color="auto" w:fill="auto"/>
            <w:noWrap/>
            <w:vAlign w:val="center"/>
          </w:tcPr>
          <w:p w14:paraId="2C2F72F5"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0</w:t>
            </w:r>
          </w:p>
        </w:tc>
        <w:tc>
          <w:tcPr>
            <w:tcW w:w="478" w:type="pct"/>
            <w:shd w:val="clear" w:color="auto" w:fill="auto"/>
            <w:noWrap/>
            <w:vAlign w:val="center"/>
          </w:tcPr>
          <w:p w14:paraId="3359E93C"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6</w:t>
            </w:r>
          </w:p>
        </w:tc>
        <w:tc>
          <w:tcPr>
            <w:tcW w:w="478" w:type="pct"/>
            <w:shd w:val="clear" w:color="auto" w:fill="auto"/>
            <w:noWrap/>
            <w:vAlign w:val="center"/>
          </w:tcPr>
          <w:p w14:paraId="1B558089"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2</w:t>
            </w:r>
          </w:p>
        </w:tc>
        <w:tc>
          <w:tcPr>
            <w:tcW w:w="519" w:type="pct"/>
            <w:shd w:val="clear" w:color="auto" w:fill="auto"/>
            <w:vAlign w:val="center"/>
          </w:tcPr>
          <w:p w14:paraId="3A30C42A"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4.3</w:t>
            </w:r>
          </w:p>
        </w:tc>
      </w:tr>
      <w:tr w:rsidR="00101347" w:rsidRPr="009B104D" w14:paraId="71842D35" w14:textId="77777777" w:rsidTr="00B0160C">
        <w:trPr>
          <w:jc w:val="center"/>
        </w:trPr>
        <w:tc>
          <w:tcPr>
            <w:tcW w:w="744" w:type="pct"/>
            <w:shd w:val="clear" w:color="auto" w:fill="auto"/>
            <w:vAlign w:val="center"/>
          </w:tcPr>
          <w:p w14:paraId="32114D54" w14:textId="277B4E83" w:rsidR="00BB05F6" w:rsidRPr="009B104D" w:rsidRDefault="00BB05F6" w:rsidP="003805B0">
            <w:pPr>
              <w:pStyle w:val="MDPI42tablebody"/>
              <w:autoSpaceDE w:val="0"/>
              <w:autoSpaceDN w:val="0"/>
              <w:spacing w:line="240" w:lineRule="auto"/>
              <w:rPr>
                <w:color w:val="auto"/>
                <w:sz w:val="18"/>
                <w:szCs w:val="18"/>
                <w:vertAlign w:val="superscript"/>
                <w:lang w:val="en-GB" w:eastAsia="fr-FR"/>
              </w:rPr>
            </w:pPr>
            <w:r w:rsidRPr="009B104D">
              <w:rPr>
                <w:color w:val="auto"/>
                <w:sz w:val="18"/>
                <w:szCs w:val="18"/>
                <w:lang w:val="en-GB" w:eastAsia="fr-FR"/>
              </w:rPr>
              <w:t>Non-full-fat dairy products</w:t>
            </w:r>
            <w:r w:rsidR="003805B0" w:rsidRPr="009B104D">
              <w:rPr>
                <w:color w:val="auto"/>
                <w:sz w:val="18"/>
                <w:szCs w:val="18"/>
                <w:lang w:val="en-GB" w:eastAsia="fr-FR"/>
              </w:rPr>
              <w:t xml:space="preserve"> </w:t>
            </w:r>
            <w:r w:rsidR="00700944" w:rsidRPr="009B104D">
              <w:rPr>
                <w:color w:val="auto"/>
                <w:sz w:val="18"/>
                <w:szCs w:val="18"/>
                <w:vertAlign w:val="superscript"/>
                <w:lang w:val="en-GB" w:eastAsia="fr-FR"/>
              </w:rPr>
              <w:t>3</w:t>
            </w:r>
          </w:p>
        </w:tc>
        <w:tc>
          <w:tcPr>
            <w:tcW w:w="772" w:type="pct"/>
            <w:shd w:val="clear" w:color="auto" w:fill="auto"/>
            <w:noWrap/>
            <w:vAlign w:val="center"/>
          </w:tcPr>
          <w:p w14:paraId="5CD063F5"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3</w:t>
            </w:r>
          </w:p>
        </w:tc>
        <w:tc>
          <w:tcPr>
            <w:tcW w:w="478" w:type="pct"/>
            <w:shd w:val="clear" w:color="auto" w:fill="auto"/>
            <w:noWrap/>
            <w:vAlign w:val="center"/>
            <w:hideMark/>
          </w:tcPr>
          <w:p w14:paraId="4197A30B"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6</w:t>
            </w:r>
          </w:p>
        </w:tc>
        <w:tc>
          <w:tcPr>
            <w:tcW w:w="550" w:type="pct"/>
            <w:shd w:val="clear" w:color="auto" w:fill="auto"/>
            <w:noWrap/>
            <w:vAlign w:val="center"/>
          </w:tcPr>
          <w:p w14:paraId="7156AC31" w14:textId="5AFB3662" w:rsidR="00BB05F6" w:rsidRPr="009B104D" w:rsidRDefault="00BB05F6" w:rsidP="003805B0">
            <w:pPr>
              <w:pStyle w:val="MDPI42tablebody"/>
              <w:autoSpaceDE w:val="0"/>
              <w:autoSpaceDN w:val="0"/>
              <w:spacing w:line="240" w:lineRule="auto"/>
              <w:rPr>
                <w:color w:val="auto"/>
                <w:sz w:val="18"/>
                <w:szCs w:val="18"/>
                <w:vertAlign w:val="superscript"/>
                <w:lang w:val="en-GB" w:eastAsia="fr-FR"/>
              </w:rPr>
            </w:pPr>
            <w:r w:rsidRPr="009B104D">
              <w:rPr>
                <w:color w:val="auto"/>
                <w:sz w:val="18"/>
                <w:szCs w:val="18"/>
                <w:lang w:val="en-GB" w:eastAsia="fr-FR"/>
              </w:rPr>
              <w:t>18</w:t>
            </w:r>
            <w:r w:rsidR="003805B0" w:rsidRPr="009B104D">
              <w:rPr>
                <w:color w:val="auto"/>
                <w:sz w:val="18"/>
                <w:szCs w:val="18"/>
                <w:lang w:val="en-GB" w:eastAsia="fr-FR"/>
              </w:rPr>
              <w:t xml:space="preserve"> </w:t>
            </w:r>
            <w:r w:rsidR="00700944" w:rsidRPr="009B104D">
              <w:rPr>
                <w:color w:val="auto"/>
                <w:sz w:val="18"/>
                <w:szCs w:val="18"/>
                <w:vertAlign w:val="superscript"/>
                <w:lang w:val="en-GB" w:eastAsia="fr-FR"/>
              </w:rPr>
              <w:t>4</w:t>
            </w:r>
          </w:p>
        </w:tc>
        <w:tc>
          <w:tcPr>
            <w:tcW w:w="478" w:type="pct"/>
            <w:shd w:val="clear" w:color="auto" w:fill="auto"/>
            <w:noWrap/>
            <w:vAlign w:val="center"/>
          </w:tcPr>
          <w:p w14:paraId="2518D3C8"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7</w:t>
            </w:r>
          </w:p>
        </w:tc>
        <w:tc>
          <w:tcPr>
            <w:tcW w:w="502" w:type="pct"/>
            <w:shd w:val="clear" w:color="auto" w:fill="auto"/>
            <w:noWrap/>
            <w:vAlign w:val="center"/>
          </w:tcPr>
          <w:p w14:paraId="44815C6C"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2</w:t>
            </w:r>
          </w:p>
        </w:tc>
        <w:tc>
          <w:tcPr>
            <w:tcW w:w="478" w:type="pct"/>
            <w:shd w:val="clear" w:color="auto" w:fill="auto"/>
            <w:noWrap/>
            <w:vAlign w:val="center"/>
          </w:tcPr>
          <w:p w14:paraId="31C380FD"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7</w:t>
            </w:r>
          </w:p>
        </w:tc>
        <w:tc>
          <w:tcPr>
            <w:tcW w:w="478" w:type="pct"/>
            <w:shd w:val="clear" w:color="auto" w:fill="auto"/>
            <w:noWrap/>
            <w:vAlign w:val="center"/>
          </w:tcPr>
          <w:p w14:paraId="34383703"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5</w:t>
            </w:r>
          </w:p>
        </w:tc>
        <w:tc>
          <w:tcPr>
            <w:tcW w:w="519" w:type="pct"/>
            <w:shd w:val="clear" w:color="auto" w:fill="auto"/>
            <w:vAlign w:val="center"/>
          </w:tcPr>
          <w:p w14:paraId="6BA34468"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6.9</w:t>
            </w:r>
          </w:p>
        </w:tc>
      </w:tr>
      <w:tr w:rsidR="00101347" w:rsidRPr="009B104D" w14:paraId="4A02B409" w14:textId="77777777" w:rsidTr="00B0160C">
        <w:trPr>
          <w:jc w:val="center"/>
        </w:trPr>
        <w:tc>
          <w:tcPr>
            <w:tcW w:w="744" w:type="pct"/>
            <w:shd w:val="clear" w:color="auto" w:fill="auto"/>
            <w:vAlign w:val="center"/>
          </w:tcPr>
          <w:p w14:paraId="76C74BF4"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Lean meats, poultry, fish</w:t>
            </w:r>
          </w:p>
        </w:tc>
        <w:tc>
          <w:tcPr>
            <w:tcW w:w="772" w:type="pct"/>
            <w:shd w:val="clear" w:color="auto" w:fill="auto"/>
            <w:noWrap/>
            <w:vAlign w:val="center"/>
          </w:tcPr>
          <w:p w14:paraId="56B9B9AA"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4</w:t>
            </w:r>
          </w:p>
        </w:tc>
        <w:tc>
          <w:tcPr>
            <w:tcW w:w="478" w:type="pct"/>
            <w:shd w:val="clear" w:color="auto" w:fill="auto"/>
            <w:noWrap/>
            <w:vAlign w:val="center"/>
            <w:hideMark/>
          </w:tcPr>
          <w:p w14:paraId="2E14897F"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9</w:t>
            </w:r>
          </w:p>
        </w:tc>
        <w:tc>
          <w:tcPr>
            <w:tcW w:w="550" w:type="pct"/>
            <w:shd w:val="clear" w:color="auto" w:fill="auto"/>
            <w:noWrap/>
            <w:vAlign w:val="center"/>
          </w:tcPr>
          <w:p w14:paraId="64EBA5B3"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10</w:t>
            </w:r>
          </w:p>
        </w:tc>
        <w:tc>
          <w:tcPr>
            <w:tcW w:w="478" w:type="pct"/>
            <w:shd w:val="clear" w:color="auto" w:fill="auto"/>
            <w:noWrap/>
            <w:vAlign w:val="center"/>
          </w:tcPr>
          <w:p w14:paraId="3F40B8B1"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9</w:t>
            </w:r>
          </w:p>
        </w:tc>
        <w:tc>
          <w:tcPr>
            <w:tcW w:w="502" w:type="pct"/>
            <w:shd w:val="clear" w:color="auto" w:fill="auto"/>
            <w:noWrap/>
            <w:vAlign w:val="center"/>
          </w:tcPr>
          <w:p w14:paraId="30FA3106"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13</w:t>
            </w:r>
          </w:p>
        </w:tc>
        <w:tc>
          <w:tcPr>
            <w:tcW w:w="478" w:type="pct"/>
            <w:shd w:val="clear" w:color="auto" w:fill="auto"/>
            <w:noWrap/>
            <w:vAlign w:val="center"/>
          </w:tcPr>
          <w:p w14:paraId="09377B0A"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9</w:t>
            </w:r>
          </w:p>
        </w:tc>
        <w:tc>
          <w:tcPr>
            <w:tcW w:w="478" w:type="pct"/>
            <w:shd w:val="clear" w:color="auto" w:fill="auto"/>
            <w:noWrap/>
            <w:vAlign w:val="center"/>
          </w:tcPr>
          <w:p w14:paraId="3077E987"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5</w:t>
            </w:r>
          </w:p>
        </w:tc>
        <w:tc>
          <w:tcPr>
            <w:tcW w:w="519" w:type="pct"/>
            <w:shd w:val="clear" w:color="auto" w:fill="auto"/>
            <w:vAlign w:val="center"/>
          </w:tcPr>
          <w:p w14:paraId="0346B10B"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8.4</w:t>
            </w:r>
          </w:p>
        </w:tc>
      </w:tr>
      <w:tr w:rsidR="00101347" w:rsidRPr="009B104D" w14:paraId="6B1A722D" w14:textId="77777777" w:rsidTr="00B0160C">
        <w:trPr>
          <w:jc w:val="center"/>
        </w:trPr>
        <w:tc>
          <w:tcPr>
            <w:tcW w:w="744" w:type="pct"/>
            <w:tcBorders>
              <w:bottom w:val="single" w:sz="4" w:space="0" w:color="auto"/>
            </w:tcBorders>
            <w:shd w:val="clear" w:color="auto" w:fill="auto"/>
            <w:vAlign w:val="center"/>
          </w:tcPr>
          <w:p w14:paraId="64C18A39"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Nuts, seeds, legumes</w:t>
            </w:r>
          </w:p>
        </w:tc>
        <w:tc>
          <w:tcPr>
            <w:tcW w:w="772" w:type="pct"/>
            <w:tcBorders>
              <w:bottom w:val="single" w:sz="4" w:space="0" w:color="auto"/>
            </w:tcBorders>
            <w:shd w:val="clear" w:color="auto" w:fill="auto"/>
            <w:noWrap/>
            <w:vAlign w:val="center"/>
          </w:tcPr>
          <w:p w14:paraId="6FE08C17"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7</w:t>
            </w:r>
          </w:p>
        </w:tc>
        <w:tc>
          <w:tcPr>
            <w:tcW w:w="478" w:type="pct"/>
            <w:tcBorders>
              <w:bottom w:val="single" w:sz="4" w:space="0" w:color="auto"/>
            </w:tcBorders>
            <w:shd w:val="clear" w:color="auto" w:fill="auto"/>
            <w:noWrap/>
            <w:vAlign w:val="center"/>
            <w:hideMark/>
          </w:tcPr>
          <w:p w14:paraId="146B30F7"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4</w:t>
            </w:r>
          </w:p>
        </w:tc>
        <w:tc>
          <w:tcPr>
            <w:tcW w:w="550" w:type="pct"/>
            <w:tcBorders>
              <w:bottom w:val="single" w:sz="4" w:space="0" w:color="auto"/>
            </w:tcBorders>
            <w:shd w:val="clear" w:color="auto" w:fill="auto"/>
            <w:noWrap/>
            <w:vAlign w:val="center"/>
          </w:tcPr>
          <w:p w14:paraId="6F4228B4"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14</w:t>
            </w:r>
          </w:p>
        </w:tc>
        <w:tc>
          <w:tcPr>
            <w:tcW w:w="478" w:type="pct"/>
            <w:tcBorders>
              <w:bottom w:val="single" w:sz="4" w:space="0" w:color="auto"/>
            </w:tcBorders>
            <w:shd w:val="clear" w:color="auto" w:fill="auto"/>
            <w:noWrap/>
            <w:vAlign w:val="center"/>
          </w:tcPr>
          <w:p w14:paraId="58206B57"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5</w:t>
            </w:r>
          </w:p>
        </w:tc>
        <w:tc>
          <w:tcPr>
            <w:tcW w:w="502" w:type="pct"/>
            <w:tcBorders>
              <w:bottom w:val="single" w:sz="4" w:space="0" w:color="auto"/>
            </w:tcBorders>
            <w:shd w:val="clear" w:color="auto" w:fill="auto"/>
            <w:noWrap/>
            <w:vAlign w:val="center"/>
          </w:tcPr>
          <w:p w14:paraId="6EC2BC73"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2</w:t>
            </w:r>
          </w:p>
        </w:tc>
        <w:tc>
          <w:tcPr>
            <w:tcW w:w="478" w:type="pct"/>
            <w:tcBorders>
              <w:bottom w:val="single" w:sz="4" w:space="0" w:color="auto"/>
            </w:tcBorders>
            <w:shd w:val="clear" w:color="auto" w:fill="auto"/>
            <w:noWrap/>
            <w:vAlign w:val="center"/>
          </w:tcPr>
          <w:p w14:paraId="3FC46B6F"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5</w:t>
            </w:r>
          </w:p>
        </w:tc>
        <w:tc>
          <w:tcPr>
            <w:tcW w:w="478" w:type="pct"/>
            <w:tcBorders>
              <w:bottom w:val="single" w:sz="4" w:space="0" w:color="auto"/>
            </w:tcBorders>
            <w:shd w:val="clear" w:color="auto" w:fill="auto"/>
            <w:noWrap/>
            <w:vAlign w:val="center"/>
          </w:tcPr>
          <w:p w14:paraId="6D5A4B47"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2</w:t>
            </w:r>
          </w:p>
        </w:tc>
        <w:tc>
          <w:tcPr>
            <w:tcW w:w="519" w:type="pct"/>
            <w:tcBorders>
              <w:bottom w:val="single" w:sz="4" w:space="0" w:color="auto"/>
            </w:tcBorders>
            <w:shd w:val="clear" w:color="auto" w:fill="auto"/>
            <w:vAlign w:val="center"/>
          </w:tcPr>
          <w:p w14:paraId="3C06C759"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5.6</w:t>
            </w:r>
          </w:p>
        </w:tc>
      </w:tr>
      <w:tr w:rsidR="00101347" w:rsidRPr="009B104D" w14:paraId="0B611BB2" w14:textId="77777777" w:rsidTr="00B0160C">
        <w:trPr>
          <w:jc w:val="center"/>
        </w:trPr>
        <w:tc>
          <w:tcPr>
            <w:tcW w:w="5000" w:type="pct"/>
            <w:gridSpan w:val="9"/>
            <w:tcBorders>
              <w:top w:val="single" w:sz="4" w:space="0" w:color="auto"/>
            </w:tcBorders>
            <w:shd w:val="clear" w:color="auto" w:fill="auto"/>
            <w:vAlign w:val="center"/>
          </w:tcPr>
          <w:p w14:paraId="709B282C" w14:textId="77777777" w:rsidR="00BB05F6" w:rsidRPr="009B104D" w:rsidRDefault="00BB05F6" w:rsidP="003805B0">
            <w:pPr>
              <w:pStyle w:val="MDPI42tablebody"/>
              <w:autoSpaceDE w:val="0"/>
              <w:autoSpaceDN w:val="0"/>
              <w:spacing w:line="240" w:lineRule="auto"/>
              <w:rPr>
                <w:b/>
                <w:color w:val="auto"/>
                <w:sz w:val="18"/>
                <w:szCs w:val="18"/>
                <w:lang w:val="en-GB" w:eastAsia="fr-FR"/>
              </w:rPr>
            </w:pPr>
            <w:r w:rsidRPr="009B104D">
              <w:rPr>
                <w:b/>
                <w:color w:val="auto"/>
                <w:sz w:val="18"/>
                <w:szCs w:val="18"/>
                <w:lang w:val="en-GB" w:eastAsia="fr-FR"/>
              </w:rPr>
              <w:t>Food components with lower intakes recommended</w:t>
            </w:r>
          </w:p>
        </w:tc>
      </w:tr>
      <w:tr w:rsidR="00101347" w:rsidRPr="009B104D" w14:paraId="1959FEA2" w14:textId="77777777" w:rsidTr="00B0160C">
        <w:trPr>
          <w:jc w:val="center"/>
        </w:trPr>
        <w:tc>
          <w:tcPr>
            <w:tcW w:w="744" w:type="pct"/>
            <w:shd w:val="clear" w:color="auto" w:fill="auto"/>
            <w:vAlign w:val="center"/>
          </w:tcPr>
          <w:p w14:paraId="27702AF2"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Fats and oils</w:t>
            </w:r>
          </w:p>
        </w:tc>
        <w:tc>
          <w:tcPr>
            <w:tcW w:w="772" w:type="pct"/>
            <w:shd w:val="clear" w:color="auto" w:fill="auto"/>
            <w:noWrap/>
            <w:vAlign w:val="center"/>
          </w:tcPr>
          <w:p w14:paraId="152C50FF"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5</w:t>
            </w:r>
          </w:p>
        </w:tc>
        <w:tc>
          <w:tcPr>
            <w:tcW w:w="478" w:type="pct"/>
            <w:shd w:val="clear" w:color="auto" w:fill="auto"/>
            <w:noWrap/>
            <w:vAlign w:val="center"/>
            <w:hideMark/>
          </w:tcPr>
          <w:p w14:paraId="602BFA43"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10</w:t>
            </w:r>
          </w:p>
        </w:tc>
        <w:tc>
          <w:tcPr>
            <w:tcW w:w="550" w:type="pct"/>
            <w:shd w:val="clear" w:color="auto" w:fill="auto"/>
            <w:noWrap/>
            <w:vAlign w:val="center"/>
          </w:tcPr>
          <w:p w14:paraId="122CBBF4"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13</w:t>
            </w:r>
          </w:p>
        </w:tc>
        <w:tc>
          <w:tcPr>
            <w:tcW w:w="478" w:type="pct"/>
            <w:shd w:val="clear" w:color="auto" w:fill="auto"/>
            <w:noWrap/>
            <w:vAlign w:val="center"/>
          </w:tcPr>
          <w:p w14:paraId="59332A6C"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15</w:t>
            </w:r>
          </w:p>
        </w:tc>
        <w:tc>
          <w:tcPr>
            <w:tcW w:w="502" w:type="pct"/>
            <w:shd w:val="clear" w:color="auto" w:fill="auto"/>
            <w:noWrap/>
            <w:vAlign w:val="center"/>
          </w:tcPr>
          <w:p w14:paraId="1AEF6693"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2</w:t>
            </w:r>
          </w:p>
        </w:tc>
        <w:tc>
          <w:tcPr>
            <w:tcW w:w="478" w:type="pct"/>
            <w:shd w:val="clear" w:color="auto" w:fill="auto"/>
            <w:noWrap/>
            <w:vAlign w:val="center"/>
          </w:tcPr>
          <w:p w14:paraId="6D3EDA1C"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15</w:t>
            </w:r>
          </w:p>
        </w:tc>
        <w:tc>
          <w:tcPr>
            <w:tcW w:w="478" w:type="pct"/>
            <w:shd w:val="clear" w:color="auto" w:fill="auto"/>
            <w:noWrap/>
            <w:vAlign w:val="center"/>
          </w:tcPr>
          <w:p w14:paraId="1F4253AB"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11</w:t>
            </w:r>
          </w:p>
        </w:tc>
        <w:tc>
          <w:tcPr>
            <w:tcW w:w="519" w:type="pct"/>
            <w:shd w:val="clear" w:color="auto" w:fill="auto"/>
            <w:vAlign w:val="center"/>
          </w:tcPr>
          <w:p w14:paraId="4E908563"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10.1</w:t>
            </w:r>
          </w:p>
        </w:tc>
      </w:tr>
      <w:tr w:rsidR="00101347" w:rsidRPr="009B104D" w14:paraId="7CD01426" w14:textId="77777777" w:rsidTr="00B0160C">
        <w:trPr>
          <w:jc w:val="center"/>
        </w:trPr>
        <w:tc>
          <w:tcPr>
            <w:tcW w:w="744" w:type="pct"/>
            <w:shd w:val="clear" w:color="auto" w:fill="auto"/>
            <w:vAlign w:val="center"/>
          </w:tcPr>
          <w:p w14:paraId="2C8A5442"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Sweets and added sugars</w:t>
            </w:r>
          </w:p>
        </w:tc>
        <w:tc>
          <w:tcPr>
            <w:tcW w:w="772" w:type="pct"/>
            <w:shd w:val="clear" w:color="auto" w:fill="auto"/>
            <w:noWrap/>
            <w:vAlign w:val="center"/>
          </w:tcPr>
          <w:p w14:paraId="51CF45C9"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3</w:t>
            </w:r>
          </w:p>
        </w:tc>
        <w:tc>
          <w:tcPr>
            <w:tcW w:w="478" w:type="pct"/>
            <w:shd w:val="clear" w:color="auto" w:fill="auto"/>
            <w:noWrap/>
            <w:vAlign w:val="center"/>
            <w:hideMark/>
          </w:tcPr>
          <w:p w14:paraId="17B519BF"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5</w:t>
            </w:r>
          </w:p>
        </w:tc>
        <w:tc>
          <w:tcPr>
            <w:tcW w:w="550" w:type="pct"/>
            <w:shd w:val="clear" w:color="auto" w:fill="auto"/>
            <w:noWrap/>
            <w:vAlign w:val="center"/>
          </w:tcPr>
          <w:p w14:paraId="19A9732E"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9</w:t>
            </w:r>
          </w:p>
        </w:tc>
        <w:tc>
          <w:tcPr>
            <w:tcW w:w="478" w:type="pct"/>
            <w:shd w:val="clear" w:color="auto" w:fill="auto"/>
            <w:noWrap/>
            <w:vAlign w:val="center"/>
          </w:tcPr>
          <w:p w14:paraId="14B4676F"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4</w:t>
            </w:r>
          </w:p>
        </w:tc>
        <w:tc>
          <w:tcPr>
            <w:tcW w:w="502" w:type="pct"/>
            <w:shd w:val="clear" w:color="auto" w:fill="auto"/>
            <w:noWrap/>
            <w:vAlign w:val="center"/>
          </w:tcPr>
          <w:p w14:paraId="67F0B7E2"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w:t>
            </w:r>
          </w:p>
        </w:tc>
        <w:tc>
          <w:tcPr>
            <w:tcW w:w="478" w:type="pct"/>
            <w:shd w:val="clear" w:color="auto" w:fill="auto"/>
            <w:noWrap/>
            <w:vAlign w:val="center"/>
          </w:tcPr>
          <w:p w14:paraId="18CB3989"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4</w:t>
            </w:r>
          </w:p>
        </w:tc>
        <w:tc>
          <w:tcPr>
            <w:tcW w:w="478" w:type="pct"/>
            <w:shd w:val="clear" w:color="auto" w:fill="auto"/>
            <w:noWrap/>
            <w:vAlign w:val="center"/>
          </w:tcPr>
          <w:p w14:paraId="476B0DD8"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3</w:t>
            </w:r>
          </w:p>
        </w:tc>
        <w:tc>
          <w:tcPr>
            <w:tcW w:w="519" w:type="pct"/>
            <w:shd w:val="clear" w:color="auto" w:fill="auto"/>
            <w:vAlign w:val="center"/>
          </w:tcPr>
          <w:p w14:paraId="70FEDF79"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4.1</w:t>
            </w:r>
          </w:p>
        </w:tc>
      </w:tr>
      <w:tr w:rsidR="00101347" w:rsidRPr="009B104D" w14:paraId="56756D0E" w14:textId="77777777" w:rsidTr="00B0160C">
        <w:trPr>
          <w:jc w:val="center"/>
        </w:trPr>
        <w:tc>
          <w:tcPr>
            <w:tcW w:w="744" w:type="pct"/>
            <w:shd w:val="clear" w:color="auto" w:fill="auto"/>
            <w:vAlign w:val="center"/>
          </w:tcPr>
          <w:p w14:paraId="55A1E4EC"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Sugar-sweetened beverages</w:t>
            </w:r>
          </w:p>
        </w:tc>
        <w:tc>
          <w:tcPr>
            <w:tcW w:w="772" w:type="pct"/>
            <w:shd w:val="clear" w:color="auto" w:fill="auto"/>
            <w:noWrap/>
            <w:vAlign w:val="center"/>
          </w:tcPr>
          <w:p w14:paraId="3ED819F6"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2</w:t>
            </w:r>
          </w:p>
        </w:tc>
        <w:tc>
          <w:tcPr>
            <w:tcW w:w="478" w:type="pct"/>
            <w:shd w:val="clear" w:color="auto" w:fill="auto"/>
            <w:noWrap/>
            <w:vAlign w:val="center"/>
            <w:hideMark/>
          </w:tcPr>
          <w:p w14:paraId="0368BF3F"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3</w:t>
            </w:r>
          </w:p>
        </w:tc>
        <w:tc>
          <w:tcPr>
            <w:tcW w:w="550" w:type="pct"/>
            <w:shd w:val="clear" w:color="auto" w:fill="auto"/>
            <w:noWrap/>
            <w:vAlign w:val="center"/>
          </w:tcPr>
          <w:p w14:paraId="647D954C"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2</w:t>
            </w:r>
          </w:p>
        </w:tc>
        <w:tc>
          <w:tcPr>
            <w:tcW w:w="478" w:type="pct"/>
            <w:shd w:val="clear" w:color="auto" w:fill="auto"/>
            <w:noWrap/>
            <w:vAlign w:val="center"/>
          </w:tcPr>
          <w:p w14:paraId="40D57467"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w:t>
            </w:r>
          </w:p>
        </w:tc>
        <w:tc>
          <w:tcPr>
            <w:tcW w:w="502" w:type="pct"/>
            <w:shd w:val="clear" w:color="auto" w:fill="auto"/>
            <w:noWrap/>
            <w:vAlign w:val="center"/>
          </w:tcPr>
          <w:p w14:paraId="57DF6D8E"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0</w:t>
            </w:r>
          </w:p>
        </w:tc>
        <w:tc>
          <w:tcPr>
            <w:tcW w:w="478" w:type="pct"/>
            <w:shd w:val="clear" w:color="auto" w:fill="auto"/>
            <w:noWrap/>
            <w:vAlign w:val="center"/>
          </w:tcPr>
          <w:p w14:paraId="317ACE22"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w:t>
            </w:r>
          </w:p>
        </w:tc>
        <w:tc>
          <w:tcPr>
            <w:tcW w:w="478" w:type="pct"/>
            <w:shd w:val="clear" w:color="auto" w:fill="auto"/>
            <w:noWrap/>
            <w:vAlign w:val="center"/>
          </w:tcPr>
          <w:p w14:paraId="4F42B742"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2</w:t>
            </w:r>
          </w:p>
        </w:tc>
        <w:tc>
          <w:tcPr>
            <w:tcW w:w="519" w:type="pct"/>
            <w:shd w:val="clear" w:color="auto" w:fill="auto"/>
            <w:vAlign w:val="center"/>
          </w:tcPr>
          <w:p w14:paraId="4D7D2EB3"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1.6</w:t>
            </w:r>
          </w:p>
        </w:tc>
      </w:tr>
      <w:tr w:rsidR="00101347" w:rsidRPr="009B104D" w14:paraId="43C887A6" w14:textId="77777777" w:rsidTr="00B0160C">
        <w:trPr>
          <w:jc w:val="center"/>
        </w:trPr>
        <w:tc>
          <w:tcPr>
            <w:tcW w:w="744" w:type="pct"/>
            <w:shd w:val="clear" w:color="auto" w:fill="auto"/>
            <w:vAlign w:val="center"/>
          </w:tcPr>
          <w:p w14:paraId="71E59EBB"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Red and Processed meat</w:t>
            </w:r>
          </w:p>
        </w:tc>
        <w:tc>
          <w:tcPr>
            <w:tcW w:w="772" w:type="pct"/>
            <w:shd w:val="clear" w:color="auto" w:fill="auto"/>
            <w:noWrap/>
            <w:vAlign w:val="center"/>
          </w:tcPr>
          <w:p w14:paraId="11075450"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4</w:t>
            </w:r>
          </w:p>
        </w:tc>
        <w:tc>
          <w:tcPr>
            <w:tcW w:w="478" w:type="pct"/>
            <w:shd w:val="clear" w:color="auto" w:fill="auto"/>
            <w:noWrap/>
            <w:vAlign w:val="center"/>
            <w:hideMark/>
          </w:tcPr>
          <w:p w14:paraId="613A3596"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12</w:t>
            </w:r>
          </w:p>
        </w:tc>
        <w:tc>
          <w:tcPr>
            <w:tcW w:w="550" w:type="pct"/>
            <w:shd w:val="clear" w:color="auto" w:fill="auto"/>
            <w:noWrap/>
            <w:vAlign w:val="center"/>
          </w:tcPr>
          <w:p w14:paraId="1126A1FF"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20</w:t>
            </w:r>
          </w:p>
        </w:tc>
        <w:tc>
          <w:tcPr>
            <w:tcW w:w="478" w:type="pct"/>
            <w:shd w:val="clear" w:color="auto" w:fill="auto"/>
            <w:noWrap/>
            <w:vAlign w:val="center"/>
          </w:tcPr>
          <w:p w14:paraId="122179B3"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17</w:t>
            </w:r>
          </w:p>
        </w:tc>
        <w:tc>
          <w:tcPr>
            <w:tcW w:w="502" w:type="pct"/>
            <w:shd w:val="clear" w:color="auto" w:fill="auto"/>
            <w:noWrap/>
            <w:vAlign w:val="center"/>
          </w:tcPr>
          <w:p w14:paraId="29467523"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4</w:t>
            </w:r>
          </w:p>
        </w:tc>
        <w:tc>
          <w:tcPr>
            <w:tcW w:w="478" w:type="pct"/>
            <w:shd w:val="clear" w:color="auto" w:fill="auto"/>
            <w:noWrap/>
            <w:vAlign w:val="center"/>
          </w:tcPr>
          <w:p w14:paraId="0F088088"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17</w:t>
            </w:r>
          </w:p>
        </w:tc>
        <w:tc>
          <w:tcPr>
            <w:tcW w:w="478" w:type="pct"/>
            <w:shd w:val="clear" w:color="auto" w:fill="auto"/>
            <w:noWrap/>
            <w:vAlign w:val="center"/>
          </w:tcPr>
          <w:p w14:paraId="54379974"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10</w:t>
            </w:r>
          </w:p>
        </w:tc>
        <w:tc>
          <w:tcPr>
            <w:tcW w:w="519" w:type="pct"/>
            <w:shd w:val="clear" w:color="auto" w:fill="auto"/>
            <w:vAlign w:val="center"/>
          </w:tcPr>
          <w:p w14:paraId="7406CBE2"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12.0</w:t>
            </w:r>
          </w:p>
        </w:tc>
      </w:tr>
      <w:tr w:rsidR="00101347" w:rsidRPr="009B104D" w14:paraId="5C6C51D9" w14:textId="77777777" w:rsidTr="00B0160C">
        <w:trPr>
          <w:jc w:val="center"/>
        </w:trPr>
        <w:tc>
          <w:tcPr>
            <w:tcW w:w="744" w:type="pct"/>
            <w:tcBorders>
              <w:bottom w:val="single" w:sz="8" w:space="0" w:color="auto"/>
            </w:tcBorders>
            <w:shd w:val="clear" w:color="auto" w:fill="auto"/>
            <w:vAlign w:val="center"/>
          </w:tcPr>
          <w:p w14:paraId="7F08D087"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Sodium</w:t>
            </w:r>
          </w:p>
        </w:tc>
        <w:tc>
          <w:tcPr>
            <w:tcW w:w="772" w:type="pct"/>
            <w:tcBorders>
              <w:bottom w:val="single" w:sz="8" w:space="0" w:color="auto"/>
            </w:tcBorders>
            <w:shd w:val="clear" w:color="auto" w:fill="auto"/>
            <w:noWrap/>
            <w:vAlign w:val="center"/>
          </w:tcPr>
          <w:p w14:paraId="1034DA75"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Available in grams/day</w:t>
            </w:r>
          </w:p>
        </w:tc>
        <w:tc>
          <w:tcPr>
            <w:tcW w:w="478" w:type="pct"/>
            <w:tcBorders>
              <w:bottom w:val="single" w:sz="8" w:space="0" w:color="auto"/>
            </w:tcBorders>
            <w:shd w:val="clear" w:color="auto" w:fill="auto"/>
            <w:vAlign w:val="center"/>
          </w:tcPr>
          <w:p w14:paraId="56AD8774"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Available in grams/day</w:t>
            </w:r>
          </w:p>
        </w:tc>
        <w:tc>
          <w:tcPr>
            <w:tcW w:w="550" w:type="pct"/>
            <w:tcBorders>
              <w:bottom w:val="single" w:sz="8" w:space="0" w:color="auto"/>
            </w:tcBorders>
            <w:shd w:val="clear" w:color="auto" w:fill="auto"/>
            <w:vAlign w:val="center"/>
          </w:tcPr>
          <w:p w14:paraId="5A325BE2"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Available in grams/day</w:t>
            </w:r>
          </w:p>
        </w:tc>
        <w:tc>
          <w:tcPr>
            <w:tcW w:w="478" w:type="pct"/>
            <w:tcBorders>
              <w:bottom w:val="single" w:sz="8" w:space="0" w:color="auto"/>
            </w:tcBorders>
            <w:shd w:val="clear" w:color="auto" w:fill="auto"/>
            <w:vAlign w:val="center"/>
          </w:tcPr>
          <w:p w14:paraId="58FBD8C6"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Available in grams/day</w:t>
            </w:r>
          </w:p>
        </w:tc>
        <w:tc>
          <w:tcPr>
            <w:tcW w:w="502" w:type="pct"/>
            <w:tcBorders>
              <w:bottom w:val="single" w:sz="8" w:space="0" w:color="auto"/>
            </w:tcBorders>
            <w:shd w:val="clear" w:color="auto" w:fill="auto"/>
            <w:vAlign w:val="center"/>
          </w:tcPr>
          <w:p w14:paraId="50B7FE71"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Available in grams/day</w:t>
            </w:r>
          </w:p>
        </w:tc>
        <w:tc>
          <w:tcPr>
            <w:tcW w:w="478" w:type="pct"/>
            <w:tcBorders>
              <w:bottom w:val="single" w:sz="8" w:space="0" w:color="auto"/>
            </w:tcBorders>
            <w:shd w:val="clear" w:color="auto" w:fill="auto"/>
            <w:vAlign w:val="center"/>
          </w:tcPr>
          <w:p w14:paraId="3DA91F13"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Available in grams/day</w:t>
            </w:r>
          </w:p>
        </w:tc>
        <w:tc>
          <w:tcPr>
            <w:tcW w:w="478" w:type="pct"/>
            <w:tcBorders>
              <w:bottom w:val="single" w:sz="8" w:space="0" w:color="auto"/>
            </w:tcBorders>
            <w:shd w:val="clear" w:color="auto" w:fill="auto"/>
            <w:vAlign w:val="center"/>
          </w:tcPr>
          <w:p w14:paraId="1C19F691"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Available in grams/day</w:t>
            </w:r>
          </w:p>
        </w:tc>
        <w:tc>
          <w:tcPr>
            <w:tcW w:w="519" w:type="pct"/>
            <w:tcBorders>
              <w:bottom w:val="single" w:sz="8" w:space="0" w:color="auto"/>
            </w:tcBorders>
            <w:shd w:val="clear" w:color="auto" w:fill="auto"/>
            <w:vAlign w:val="center"/>
          </w:tcPr>
          <w:p w14:paraId="2B14EA46" w14:textId="77777777" w:rsidR="00BB05F6" w:rsidRPr="009B104D" w:rsidRDefault="00BB05F6" w:rsidP="003805B0">
            <w:pPr>
              <w:pStyle w:val="MDPI42tablebody"/>
              <w:autoSpaceDE w:val="0"/>
              <w:autoSpaceDN w:val="0"/>
              <w:spacing w:line="240" w:lineRule="auto"/>
              <w:rPr>
                <w:color w:val="auto"/>
                <w:sz w:val="18"/>
                <w:szCs w:val="18"/>
                <w:lang w:val="en-GB" w:eastAsia="fr-FR"/>
              </w:rPr>
            </w:pPr>
            <w:r w:rsidRPr="009B104D">
              <w:rPr>
                <w:color w:val="auto"/>
                <w:sz w:val="18"/>
                <w:szCs w:val="18"/>
                <w:lang w:val="en-GB" w:eastAsia="fr-FR"/>
              </w:rPr>
              <w:t>Available in grams/day</w:t>
            </w:r>
          </w:p>
        </w:tc>
      </w:tr>
    </w:tbl>
    <w:p w14:paraId="7EC280B0" w14:textId="49E190C9" w:rsidR="00BB05F6" w:rsidRPr="003160F8" w:rsidRDefault="00A63D6C" w:rsidP="003805B0">
      <w:pPr>
        <w:pStyle w:val="MDPI43tablefooter"/>
        <w:ind w:left="425" w:right="425"/>
        <w:rPr>
          <w:lang w:val="en-GB" w:eastAsia="fr-FR"/>
        </w:rPr>
        <w:sectPr w:rsidR="00BB05F6" w:rsidRPr="003160F8" w:rsidSect="003805B0">
          <w:pgSz w:w="16838" w:h="11906" w:orient="landscape" w:code="9"/>
          <w:pgMar w:top="1531" w:right="1417" w:bottom="1531" w:left="1077" w:header="1020" w:footer="850" w:gutter="0"/>
          <w:cols w:space="425"/>
          <w:docGrid w:type="lines" w:linePitch="326"/>
        </w:sectPr>
      </w:pPr>
      <w:r>
        <w:rPr>
          <w:lang w:val="en-GB" w:eastAsia="fr-FR"/>
        </w:rPr>
        <w:t xml:space="preserve">FFQ: Food Frequency Questionnaire. </w:t>
      </w:r>
      <w:r w:rsidR="003805B0" w:rsidRPr="003160F8">
        <w:rPr>
          <w:vertAlign w:val="superscript"/>
          <w:lang w:val="en-GB" w:eastAsia="fr-FR"/>
        </w:rPr>
        <w:t>1</w:t>
      </w:r>
      <w:r w:rsidR="003805B0" w:rsidRPr="003160F8">
        <w:rPr>
          <w:lang w:val="en-GB" w:eastAsia="fr-FR"/>
        </w:rPr>
        <w:t xml:space="preserve"> Mean values (rounded to one decimal point) in the ALPHABET consortium. </w:t>
      </w:r>
      <w:r w:rsidR="003805B0" w:rsidRPr="003160F8">
        <w:rPr>
          <w:vertAlign w:val="superscript"/>
          <w:lang w:val="en-GB" w:eastAsia="fr-FR"/>
        </w:rPr>
        <w:t>2</w:t>
      </w:r>
      <w:r w:rsidR="003805B0" w:rsidRPr="003160F8">
        <w:rPr>
          <w:lang w:val="en-GB" w:eastAsia="fr-FR"/>
        </w:rPr>
        <w:t xml:space="preserve"> Percentage (rounded to one decimal point). </w:t>
      </w:r>
      <w:r w:rsidR="003805B0" w:rsidRPr="003160F8">
        <w:rPr>
          <w:vertAlign w:val="superscript"/>
          <w:lang w:val="en-GB" w:eastAsia="fr-FR"/>
        </w:rPr>
        <w:t>3</w:t>
      </w:r>
      <w:r w:rsidR="003805B0" w:rsidRPr="003160F8">
        <w:rPr>
          <w:lang w:val="en-GB" w:eastAsia="fr-FR"/>
        </w:rPr>
        <w:t xml:space="preserve"> With “whole grains” and “fat-free and low-fat dairy products” included respectively. </w:t>
      </w:r>
      <w:r w:rsidR="003805B0" w:rsidRPr="003160F8">
        <w:rPr>
          <w:vertAlign w:val="superscript"/>
          <w:lang w:val="en-GB" w:eastAsia="fr-FR"/>
        </w:rPr>
        <w:t>4</w:t>
      </w:r>
      <w:r w:rsidR="003805B0" w:rsidRPr="003160F8">
        <w:rPr>
          <w:lang w:val="en-GB" w:eastAsia="fr-FR"/>
        </w:rPr>
        <w:t xml:space="preserve"> By combining items on foods and items on types of milk consumed.</w:t>
      </w:r>
    </w:p>
    <w:p w14:paraId="06CFEBAF" w14:textId="36F7A715" w:rsidR="00387465" w:rsidRPr="003160F8" w:rsidRDefault="00A33971" w:rsidP="00A33971">
      <w:pPr>
        <w:pStyle w:val="MDPI23heading3"/>
        <w:rPr>
          <w:lang w:val="en-GB"/>
        </w:rPr>
      </w:pPr>
      <w:r w:rsidRPr="003160F8">
        <w:rPr>
          <w:lang w:val="en-GB"/>
        </w:rPr>
        <w:t xml:space="preserve">2.3.2. </w:t>
      </w:r>
      <w:r w:rsidR="00387465" w:rsidRPr="003160F8">
        <w:rPr>
          <w:lang w:val="en-GB"/>
        </w:rPr>
        <w:t xml:space="preserve">Scoring </w:t>
      </w:r>
      <w:r w:rsidR="003805B0" w:rsidRPr="003160F8">
        <w:rPr>
          <w:lang w:val="en-GB"/>
        </w:rPr>
        <w:t>Method</w:t>
      </w:r>
    </w:p>
    <w:p w14:paraId="719142E8" w14:textId="09FABD0C" w:rsidR="00387465" w:rsidRPr="003160F8" w:rsidRDefault="00387465" w:rsidP="00A33971">
      <w:pPr>
        <w:pStyle w:val="MDPI31text"/>
        <w:rPr>
          <w:lang w:val="en-GB"/>
        </w:rPr>
      </w:pPr>
      <w:r w:rsidRPr="003160F8">
        <w:rPr>
          <w:lang w:val="en-GB"/>
        </w:rPr>
        <w:t>For each food component, consumption frequency was divided into quintiles within each cohort</w:t>
      </w:r>
      <w:r w:rsidR="00D8011B">
        <w:rPr>
          <w:lang w:val="en-GB"/>
        </w:rPr>
        <w:t>,</w:t>
      </w:r>
      <w:r w:rsidRPr="003160F8">
        <w:rPr>
          <w:lang w:val="en-GB"/>
        </w:rPr>
        <w:t xml:space="preserve"> and participants were then classified according to their intake ranking. Consumption of food components with a high recommended </w:t>
      </w:r>
      <w:r w:rsidR="001D5A70" w:rsidRPr="003160F8">
        <w:rPr>
          <w:lang w:val="en-GB"/>
        </w:rPr>
        <w:t xml:space="preserve">intake </w:t>
      </w:r>
      <w:r w:rsidRPr="003160F8">
        <w:rPr>
          <w:lang w:val="en-GB"/>
        </w:rPr>
        <w:t xml:space="preserve">was rated on a scale from 1 to 5 using their quintile number such that participants in Quintile 1 (lowest consumption) received a score of 1, and those in Quintile 5 (highest consumption) received a score of 5. Conversely, dietary components with a low </w:t>
      </w:r>
      <w:r w:rsidR="001D5A70" w:rsidRPr="003160F8">
        <w:rPr>
          <w:lang w:val="en-GB"/>
        </w:rPr>
        <w:t xml:space="preserve">recommended </w:t>
      </w:r>
      <w:r w:rsidRPr="003160F8">
        <w:rPr>
          <w:lang w:val="en-GB"/>
        </w:rPr>
        <w:t>intake were scored on a reverse scale with lower consumption receiving a higher score. Finally, component scores were summed up and an overall DASH score for each participant was calculated. A higher score characterizes a higher dietary quality.</w:t>
      </w:r>
    </w:p>
    <w:p w14:paraId="6CC0B02B" w14:textId="643DB298" w:rsidR="000E0ACB" w:rsidRPr="003160F8" w:rsidRDefault="00A33971" w:rsidP="00A33971">
      <w:pPr>
        <w:pStyle w:val="MDPI22heading2"/>
        <w:rPr>
          <w:noProof w:val="0"/>
          <w:lang w:val="en-GB"/>
        </w:rPr>
      </w:pPr>
      <w:r w:rsidRPr="003160F8">
        <w:rPr>
          <w:noProof w:val="0"/>
          <w:lang w:val="en-GB"/>
        </w:rPr>
        <w:t xml:space="preserve">2.4. </w:t>
      </w:r>
      <w:r w:rsidR="000E0ACB" w:rsidRPr="003160F8">
        <w:rPr>
          <w:noProof w:val="0"/>
          <w:lang w:val="en-GB"/>
        </w:rPr>
        <w:t>S</w:t>
      </w:r>
      <w:r w:rsidR="00E16E20" w:rsidRPr="003160F8">
        <w:rPr>
          <w:noProof w:val="0"/>
          <w:lang w:val="en-GB"/>
        </w:rPr>
        <w:t>tatistical A</w:t>
      </w:r>
      <w:r w:rsidR="000E0ACB" w:rsidRPr="003160F8">
        <w:rPr>
          <w:noProof w:val="0"/>
          <w:lang w:val="en-GB"/>
        </w:rPr>
        <w:t>nalyses</w:t>
      </w:r>
    </w:p>
    <w:p w14:paraId="3733656C" w14:textId="77777777" w:rsidR="006A7224" w:rsidRPr="003160F8" w:rsidRDefault="00E16E20" w:rsidP="00A33971">
      <w:pPr>
        <w:pStyle w:val="MDPI31text"/>
        <w:rPr>
          <w:lang w:val="en-GB"/>
        </w:rPr>
      </w:pPr>
      <w:r w:rsidRPr="003160F8">
        <w:rPr>
          <w:lang w:val="en-GB"/>
        </w:rPr>
        <w:t>The different DASH food component consumption (in frequencies and/or amounts) were described for each cohort and time period (pre-pregnancy, early pregnancy and late pregnancy) using the median (interquartile range, IQR) and compared graphically using the quintiles of the distributions. Spearman’s correlations were calculated for both DASH scores based on frequencies with those based on amounts (for cohorts with data available for both units). All analyses were carried out with SAS software v9.4 (SAS Institute Inc, Cary, North Carolina, USA) and RStudio was used to generate the figures.</w:t>
      </w:r>
    </w:p>
    <w:p w14:paraId="49C6A731" w14:textId="458FFD1E" w:rsidR="002549C8" w:rsidRPr="003160F8" w:rsidRDefault="00A33971" w:rsidP="00A33971">
      <w:pPr>
        <w:pStyle w:val="MDPI21heading1"/>
        <w:rPr>
          <w:lang w:val="en-GB"/>
        </w:rPr>
      </w:pPr>
      <w:r w:rsidRPr="003160F8">
        <w:rPr>
          <w:lang w:val="en-GB"/>
        </w:rPr>
        <w:t xml:space="preserve">3. </w:t>
      </w:r>
      <w:r w:rsidR="002549C8" w:rsidRPr="003160F8">
        <w:rPr>
          <w:lang w:val="en-GB"/>
        </w:rPr>
        <w:t>Results</w:t>
      </w:r>
    </w:p>
    <w:p w14:paraId="6508DD2A" w14:textId="2614FF3C" w:rsidR="002549C8" w:rsidRPr="003160F8" w:rsidRDefault="00A33971" w:rsidP="00A33971">
      <w:pPr>
        <w:pStyle w:val="MDPI22heading2"/>
        <w:rPr>
          <w:noProof w:val="0"/>
          <w:lang w:val="en-GB"/>
        </w:rPr>
      </w:pPr>
      <w:r w:rsidRPr="003160F8">
        <w:rPr>
          <w:noProof w:val="0"/>
          <w:lang w:val="en-GB"/>
        </w:rPr>
        <w:t xml:space="preserve">3.1. </w:t>
      </w:r>
      <w:r w:rsidR="00AB5811" w:rsidRPr="003160F8">
        <w:rPr>
          <w:noProof w:val="0"/>
          <w:lang w:val="en-GB"/>
        </w:rPr>
        <w:t xml:space="preserve">DASH </w:t>
      </w:r>
      <w:r w:rsidR="003805B0" w:rsidRPr="003160F8">
        <w:rPr>
          <w:noProof w:val="0"/>
          <w:lang w:val="en-GB"/>
        </w:rPr>
        <w:t>Creation Choices</w:t>
      </w:r>
      <w:r w:rsidR="00D8011B">
        <w:rPr>
          <w:noProof w:val="0"/>
          <w:lang w:val="en-GB"/>
        </w:rPr>
        <w:t>—</w:t>
      </w:r>
      <w:r w:rsidR="00AB5811" w:rsidRPr="003160F8">
        <w:rPr>
          <w:noProof w:val="0"/>
          <w:lang w:val="en-GB"/>
        </w:rPr>
        <w:t xml:space="preserve">Food </w:t>
      </w:r>
      <w:r w:rsidR="003805B0" w:rsidRPr="003160F8">
        <w:rPr>
          <w:noProof w:val="0"/>
          <w:lang w:val="en-GB"/>
        </w:rPr>
        <w:t xml:space="preserve">Components </w:t>
      </w:r>
      <w:r w:rsidR="00AB5811" w:rsidRPr="003160F8">
        <w:rPr>
          <w:noProof w:val="0"/>
          <w:lang w:val="en-GB"/>
        </w:rPr>
        <w:t xml:space="preserve">and </w:t>
      </w:r>
      <w:r w:rsidR="003805B0" w:rsidRPr="003160F8">
        <w:rPr>
          <w:noProof w:val="0"/>
          <w:lang w:val="en-GB"/>
        </w:rPr>
        <w:t>Items Retained</w:t>
      </w:r>
    </w:p>
    <w:p w14:paraId="20197059" w14:textId="1E7B46B5" w:rsidR="00AB5811" w:rsidRPr="003160F8" w:rsidRDefault="00AB5811" w:rsidP="00A33971">
      <w:pPr>
        <w:pStyle w:val="MDPI31text"/>
        <w:rPr>
          <w:lang w:val="en-GB"/>
        </w:rPr>
      </w:pPr>
      <w:r w:rsidRPr="003160F8">
        <w:rPr>
          <w:lang w:val="en-GB"/>
        </w:rPr>
        <w:t>Two food components</w:t>
      </w:r>
      <w:r w:rsidR="00D8011B">
        <w:rPr>
          <w:lang w:val="en-GB"/>
        </w:rPr>
        <w:t>,</w:t>
      </w:r>
      <w:r w:rsidRPr="003160F8">
        <w:rPr>
          <w:lang w:val="en-GB"/>
        </w:rPr>
        <w:t xml:space="preserve"> i.e.</w:t>
      </w:r>
      <w:r w:rsidR="00D8011B">
        <w:rPr>
          <w:lang w:val="en-GB"/>
        </w:rPr>
        <w:t>,</w:t>
      </w:r>
      <w:r w:rsidRPr="003160F8">
        <w:rPr>
          <w:lang w:val="en-GB"/>
        </w:rPr>
        <w:t xml:space="preserve"> whole grain and low-fat dairy products consist of a low number of food items, a low number of response categories and a high number of non-consumers. For illustration purposes, Figure</w:t>
      </w:r>
      <w:r w:rsidR="003805B0" w:rsidRPr="003160F8">
        <w:rPr>
          <w:lang w:val="en-GB"/>
        </w:rPr>
        <w:t xml:space="preserve"> </w:t>
      </w:r>
      <w:r w:rsidRPr="003160F8">
        <w:rPr>
          <w:lang w:val="en-GB"/>
        </w:rPr>
        <w:t>1</w:t>
      </w:r>
      <w:r w:rsidR="00A24516" w:rsidRPr="003160F8">
        <w:rPr>
          <w:lang w:val="en-GB"/>
        </w:rPr>
        <w:t>A</w:t>
      </w:r>
      <w:r w:rsidRPr="003160F8">
        <w:rPr>
          <w:lang w:val="en-GB"/>
        </w:rPr>
        <w:t xml:space="preserve"> displays the distributions of whole grains and total grains in the EDEN cohort, and Figure</w:t>
      </w:r>
      <w:r w:rsidR="003805B0" w:rsidRPr="003160F8">
        <w:rPr>
          <w:lang w:val="en-GB"/>
        </w:rPr>
        <w:t xml:space="preserve"> </w:t>
      </w:r>
      <w:r w:rsidRPr="003160F8">
        <w:rPr>
          <w:lang w:val="en-GB"/>
        </w:rPr>
        <w:t>1</w:t>
      </w:r>
      <w:r w:rsidR="00A24516" w:rsidRPr="003160F8">
        <w:rPr>
          <w:lang w:val="en-GB"/>
        </w:rPr>
        <w:t>B</w:t>
      </w:r>
      <w:r w:rsidRPr="003160F8">
        <w:rPr>
          <w:lang w:val="en-GB"/>
        </w:rPr>
        <w:t xml:space="preserve"> displays the distributions of low-fat and non-full-fat dairy product components in the SWS cohort. Quintiles cannot be derived from such distributions and would not permit generation of a continuous score. Consequently, we reconsidered the whole grains and low-fat dairy products food component from the Fung’s DASH score into total grains and non-full-fat dairy products. Finally, the DASH score we developed within the seven cohorts of the ALPHABET consortium was composed of eight food components (seven food groups and one nutrient) (Table</w:t>
      </w:r>
      <w:r w:rsidR="003805B0" w:rsidRPr="003160F8">
        <w:rPr>
          <w:lang w:val="en-GB"/>
        </w:rPr>
        <w:t xml:space="preserve"> </w:t>
      </w:r>
      <w:r w:rsidRPr="003160F8">
        <w:rPr>
          <w:lang w:val="en-GB"/>
        </w:rPr>
        <w:t>3). For more details, Table</w:t>
      </w:r>
      <w:r w:rsidR="003805B0" w:rsidRPr="003160F8">
        <w:rPr>
          <w:lang w:val="en-GB"/>
        </w:rPr>
        <w:t xml:space="preserve"> </w:t>
      </w:r>
      <w:r w:rsidRPr="003160F8">
        <w:rPr>
          <w:lang w:val="en-GB"/>
        </w:rPr>
        <w:t>S2 summarizes the included and excluded foods for each food component composing the DASH score and the corresponding score criteria. A high score corresponds to high intakes of total grains, vegetables (excluding potatoes and condiments), fruits, non-full-fat dairy products, and nuts/seeds/legumes, and low intakes of red and processed meats, sugar-sweetened beverages/sweets/added sugars, and sodium. Adapted to ALPHABET’s specificities, this DASH score was a composite score ranking from 8 to 40 points. As displayed in Table</w:t>
      </w:r>
      <w:r w:rsidR="003805B0" w:rsidRPr="003160F8">
        <w:rPr>
          <w:lang w:val="en-GB"/>
        </w:rPr>
        <w:t xml:space="preserve"> </w:t>
      </w:r>
      <w:r w:rsidRPr="003160F8">
        <w:rPr>
          <w:lang w:val="en-GB"/>
        </w:rPr>
        <w:t>2, we used 48.1% (Generation R) to 79.1% (ALSPAC) of the total FFQ food items (excluding alcohol) for creating the DASH score (ALPHABET consortium mea</w:t>
      </w:r>
      <w:r w:rsidR="00A33971" w:rsidRPr="003160F8">
        <w:rPr>
          <w:lang w:val="en-GB"/>
        </w:rPr>
        <w:t>n</w:t>
      </w:r>
      <w:r w:rsidR="00A24516" w:rsidRPr="003160F8">
        <w:rPr>
          <w:lang w:val="en-GB"/>
        </w:rPr>
        <w:t xml:space="preserve"> </w:t>
      </w:r>
      <w:r w:rsidRPr="003160F8">
        <w:rPr>
          <w:lang w:val="en-GB"/>
        </w:rPr>
        <w:t>=</w:t>
      </w:r>
      <w:r w:rsidR="00A24516" w:rsidRPr="003160F8">
        <w:rPr>
          <w:lang w:val="en-GB"/>
        </w:rPr>
        <w:t xml:space="preserve"> </w:t>
      </w:r>
      <w:r w:rsidRPr="003160F8">
        <w:rPr>
          <w:lang w:val="en-GB"/>
        </w:rPr>
        <w:t>57.8%).</w:t>
      </w:r>
    </w:p>
    <w:tbl>
      <w:tblPr>
        <w:tblW w:w="0" w:type="auto"/>
        <w:tblLook w:val="04A0" w:firstRow="1" w:lastRow="0" w:firstColumn="1" w:lastColumn="0" w:noHBand="0" w:noVBand="1"/>
      </w:tblPr>
      <w:tblGrid>
        <w:gridCol w:w="4814"/>
        <w:gridCol w:w="4030"/>
      </w:tblGrid>
      <w:tr w:rsidR="00101347" w:rsidRPr="003160F8" w14:paraId="032E9D53" w14:textId="77777777" w:rsidTr="00101347">
        <w:tc>
          <w:tcPr>
            <w:tcW w:w="4422" w:type="dxa"/>
          </w:tcPr>
          <w:p w14:paraId="223C502C" w14:textId="2F9E6EE4" w:rsidR="00490778" w:rsidRPr="003160F8" w:rsidRDefault="00490778" w:rsidP="00A24516">
            <w:pPr>
              <w:pStyle w:val="MDPI51figurecaption"/>
              <w:jc w:val="center"/>
              <w:rPr>
                <w:color w:val="auto"/>
                <w:sz w:val="20"/>
                <w:lang w:val="en-GB"/>
              </w:rPr>
            </w:pPr>
            <w:r w:rsidRPr="003160F8">
              <w:rPr>
                <w:b/>
                <w:noProof/>
                <w:lang w:val="en-GB" w:eastAsia="en-GB" w:bidi="ar-SA"/>
              </w:rPr>
              <w:drawing>
                <wp:inline distT="0" distB="0" distL="0" distR="0" wp14:anchorId="36A4CB38" wp14:editId="6B14E4D4">
                  <wp:extent cx="2621204" cy="2431719"/>
                  <wp:effectExtent l="0" t="0" r="8255"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1A - submission.jpeg"/>
                          <pic:cNvPicPr/>
                        </pic:nvPicPr>
                        <pic:blipFill>
                          <a:blip r:embed="rId30">
                            <a:extLst>
                              <a:ext uri="{28A0092B-C50C-407E-A947-70E740481C1C}">
                                <a14:useLocalDpi xmlns:a14="http://schemas.microsoft.com/office/drawing/2010/main" val="0"/>
                              </a:ext>
                            </a:extLst>
                          </a:blip>
                          <a:stretch>
                            <a:fillRect/>
                          </a:stretch>
                        </pic:blipFill>
                        <pic:spPr>
                          <a:xfrm>
                            <a:off x="0" y="0"/>
                            <a:ext cx="2641779" cy="2450807"/>
                          </a:xfrm>
                          <a:prstGeom prst="rect">
                            <a:avLst/>
                          </a:prstGeom>
                        </pic:spPr>
                      </pic:pic>
                    </a:graphicData>
                  </a:graphic>
                </wp:inline>
              </w:drawing>
            </w:r>
            <w:r w:rsidRPr="003160F8">
              <w:rPr>
                <w:color w:val="auto"/>
                <w:sz w:val="20"/>
                <w:lang w:val="en-GB"/>
              </w:rPr>
              <w:t>(</w:t>
            </w:r>
            <w:r w:rsidR="00A24516" w:rsidRPr="003160F8">
              <w:rPr>
                <w:b/>
                <w:color w:val="auto"/>
                <w:sz w:val="20"/>
                <w:lang w:val="en-GB"/>
              </w:rPr>
              <w:t>A</w:t>
            </w:r>
            <w:r w:rsidRPr="003160F8">
              <w:rPr>
                <w:color w:val="auto"/>
                <w:sz w:val="20"/>
                <w:lang w:val="en-GB"/>
              </w:rPr>
              <w:t>)</w:t>
            </w:r>
          </w:p>
        </w:tc>
        <w:tc>
          <w:tcPr>
            <w:tcW w:w="4422" w:type="dxa"/>
          </w:tcPr>
          <w:p w14:paraId="7EDC7D2D" w14:textId="77777777" w:rsidR="00490778" w:rsidRPr="003160F8" w:rsidRDefault="00490778" w:rsidP="00101347">
            <w:pPr>
              <w:pStyle w:val="MDPI52figure"/>
              <w:rPr>
                <w:lang w:val="en-GB"/>
              </w:rPr>
            </w:pPr>
            <w:r w:rsidRPr="003160F8">
              <w:rPr>
                <w:noProof/>
                <w:snapToGrid/>
                <w:lang w:val="en-GB" w:eastAsia="en-GB" w:bidi="ar-SA"/>
              </w:rPr>
              <w:drawing>
                <wp:inline distT="0" distB="0" distL="0" distR="0" wp14:anchorId="1B9B9B3E" wp14:editId="3B9F67AD">
                  <wp:extent cx="2620800" cy="2431346"/>
                  <wp:effectExtent l="0" t="0" r="8255" b="762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1B - submission.jpeg"/>
                          <pic:cNvPicPr/>
                        </pic:nvPicPr>
                        <pic:blipFill>
                          <a:blip r:embed="rId31">
                            <a:extLst>
                              <a:ext uri="{28A0092B-C50C-407E-A947-70E740481C1C}">
                                <a14:useLocalDpi xmlns:a14="http://schemas.microsoft.com/office/drawing/2010/main" val="0"/>
                              </a:ext>
                            </a:extLst>
                          </a:blip>
                          <a:stretch>
                            <a:fillRect/>
                          </a:stretch>
                        </pic:blipFill>
                        <pic:spPr>
                          <a:xfrm>
                            <a:off x="0" y="0"/>
                            <a:ext cx="2620800" cy="2431346"/>
                          </a:xfrm>
                          <a:prstGeom prst="rect">
                            <a:avLst/>
                          </a:prstGeom>
                        </pic:spPr>
                      </pic:pic>
                    </a:graphicData>
                  </a:graphic>
                </wp:inline>
              </w:drawing>
            </w:r>
          </w:p>
          <w:p w14:paraId="6BBB1557" w14:textId="6050DC1B" w:rsidR="00490778" w:rsidRPr="003160F8" w:rsidRDefault="00490778" w:rsidP="006655C6">
            <w:pPr>
              <w:pStyle w:val="MDPI52figure"/>
              <w:adjustRightInd w:val="0"/>
              <w:snapToGrid w:val="0"/>
              <w:rPr>
                <w:color w:val="auto"/>
                <w:sz w:val="20"/>
                <w:lang w:val="en-GB"/>
              </w:rPr>
            </w:pPr>
            <w:r w:rsidRPr="003160F8">
              <w:rPr>
                <w:color w:val="auto"/>
                <w:sz w:val="20"/>
                <w:lang w:val="en-GB"/>
              </w:rPr>
              <w:t>(</w:t>
            </w:r>
            <w:r w:rsidR="00A24516" w:rsidRPr="003160F8">
              <w:rPr>
                <w:b/>
                <w:color w:val="auto"/>
                <w:sz w:val="20"/>
                <w:lang w:val="en-GB"/>
              </w:rPr>
              <w:t>B</w:t>
            </w:r>
            <w:r w:rsidRPr="003160F8">
              <w:rPr>
                <w:color w:val="auto"/>
                <w:sz w:val="20"/>
                <w:lang w:val="en-GB"/>
              </w:rPr>
              <w:t>)</w:t>
            </w:r>
          </w:p>
        </w:tc>
      </w:tr>
    </w:tbl>
    <w:p w14:paraId="2E56303A" w14:textId="366DCD73" w:rsidR="00E925B8" w:rsidRPr="003160F8" w:rsidRDefault="00A24516" w:rsidP="00A24516">
      <w:pPr>
        <w:pStyle w:val="MDPI51figurecaption"/>
        <w:rPr>
          <w:lang w:val="en-GB"/>
        </w:rPr>
      </w:pPr>
      <w:r w:rsidRPr="003160F8">
        <w:rPr>
          <w:b/>
          <w:lang w:val="en-GB"/>
        </w:rPr>
        <w:t>Figure 1.</w:t>
      </w:r>
      <w:r w:rsidR="00E925B8" w:rsidRPr="003160F8">
        <w:rPr>
          <w:b/>
          <w:lang w:val="en-GB"/>
        </w:rPr>
        <w:t xml:space="preserve"> </w:t>
      </w:r>
      <w:r w:rsidR="00E925B8" w:rsidRPr="003160F8">
        <w:rPr>
          <w:lang w:val="en-GB"/>
        </w:rPr>
        <w:t>Distributions of servings/day (at pre-pregnancy period) between (</w:t>
      </w:r>
      <w:r w:rsidRPr="003160F8">
        <w:rPr>
          <w:b/>
          <w:lang w:val="en-GB"/>
        </w:rPr>
        <w:t>A</w:t>
      </w:r>
      <w:r w:rsidR="00E925B8" w:rsidRPr="003160F8">
        <w:rPr>
          <w:lang w:val="en-GB"/>
        </w:rPr>
        <w:t>) whole grains and total grains in EDEN; and (</w:t>
      </w:r>
      <w:r w:rsidRPr="003160F8">
        <w:rPr>
          <w:b/>
          <w:lang w:val="en-GB"/>
        </w:rPr>
        <w:t>B</w:t>
      </w:r>
      <w:r w:rsidR="00E925B8" w:rsidRPr="003160F8">
        <w:rPr>
          <w:lang w:val="en-GB"/>
        </w:rPr>
        <w:t>) low-fat and non-full-fat dairy products in SWS.</w:t>
      </w:r>
    </w:p>
    <w:p w14:paraId="3B84E7F5" w14:textId="77777777" w:rsidR="00717814" w:rsidRPr="003160F8" w:rsidRDefault="00717814" w:rsidP="00282691">
      <w:pPr>
        <w:pStyle w:val="MDPI41tablecaption"/>
        <w:jc w:val="center"/>
        <w:rPr>
          <w:b/>
          <w:color w:val="auto"/>
          <w:lang w:val="en-GB"/>
        </w:rPr>
        <w:sectPr w:rsidR="00717814" w:rsidRPr="003160F8" w:rsidSect="003805B0">
          <w:pgSz w:w="11906" w:h="16838" w:code="9"/>
          <w:pgMar w:top="1417" w:right="1531" w:bottom="1077" w:left="1531" w:header="1020" w:footer="850" w:gutter="0"/>
          <w:cols w:space="425"/>
          <w:docGrid w:type="lines" w:linePitch="326"/>
        </w:sectPr>
      </w:pPr>
    </w:p>
    <w:p w14:paraId="74C36609" w14:textId="552BAD59" w:rsidR="00282691" w:rsidRPr="003160F8" w:rsidRDefault="00A24516" w:rsidP="00A24516">
      <w:pPr>
        <w:pStyle w:val="MDPI41tablecaption"/>
        <w:jc w:val="center"/>
        <w:rPr>
          <w:lang w:val="en-GB"/>
        </w:rPr>
      </w:pPr>
      <w:r w:rsidRPr="003160F8">
        <w:rPr>
          <w:b/>
          <w:lang w:val="en-GB"/>
        </w:rPr>
        <w:t>Table 3.</w:t>
      </w:r>
      <w:r w:rsidR="00282691" w:rsidRPr="003160F8">
        <w:rPr>
          <w:b/>
          <w:lang w:val="en-GB"/>
        </w:rPr>
        <w:t xml:space="preserve"> </w:t>
      </w:r>
      <w:r w:rsidR="00282691" w:rsidRPr="003160F8">
        <w:rPr>
          <w:lang w:val="en-GB"/>
        </w:rPr>
        <w:t>Final food component choices.</w:t>
      </w:r>
    </w:p>
    <w:tbl>
      <w:tblPr>
        <w:tblStyle w:val="TableGrid"/>
        <w:tblW w:w="5000" w:type="pct"/>
        <w:jc w:val="center"/>
        <w:tblBorders>
          <w:top w:val="single" w:sz="8" w:space="0" w:color="auto"/>
          <w:left w:val="none" w:sz="0" w:space="0" w:color="auto"/>
          <w:bottom w:val="single" w:sz="8" w:space="0" w:color="auto"/>
          <w:right w:val="none" w:sz="0" w:space="0" w:color="auto"/>
          <w:insideV w:val="none" w:sz="0" w:space="0" w:color="auto"/>
        </w:tblBorders>
        <w:tblLook w:val="04A0" w:firstRow="1" w:lastRow="0" w:firstColumn="1" w:lastColumn="0" w:noHBand="0" w:noVBand="1"/>
      </w:tblPr>
      <w:tblGrid>
        <w:gridCol w:w="1713"/>
        <w:gridCol w:w="3896"/>
        <w:gridCol w:w="2338"/>
        <w:gridCol w:w="6397"/>
      </w:tblGrid>
      <w:tr w:rsidR="00101347" w:rsidRPr="009B104D" w14:paraId="41267E67" w14:textId="77777777" w:rsidTr="00B0160C">
        <w:trPr>
          <w:jc w:val="center"/>
        </w:trPr>
        <w:tc>
          <w:tcPr>
            <w:tcW w:w="597" w:type="pct"/>
            <w:tcBorders>
              <w:top w:val="single" w:sz="8" w:space="0" w:color="auto"/>
              <w:bottom w:val="single" w:sz="4" w:space="0" w:color="auto"/>
            </w:tcBorders>
            <w:shd w:val="clear" w:color="auto" w:fill="auto"/>
            <w:vAlign w:val="center"/>
          </w:tcPr>
          <w:p w14:paraId="072E64C7" w14:textId="0E905DF1" w:rsidR="00197475" w:rsidRPr="009B104D" w:rsidRDefault="00197475" w:rsidP="00A24516">
            <w:pPr>
              <w:pStyle w:val="MDPI42tablebody"/>
              <w:autoSpaceDE w:val="0"/>
              <w:autoSpaceDN w:val="0"/>
              <w:spacing w:line="240" w:lineRule="auto"/>
              <w:rPr>
                <w:b/>
                <w:color w:val="auto"/>
                <w:sz w:val="18"/>
                <w:szCs w:val="18"/>
                <w:lang w:val="en-GB"/>
              </w:rPr>
            </w:pPr>
            <w:r w:rsidRPr="009B104D">
              <w:rPr>
                <w:b/>
                <w:color w:val="auto"/>
                <w:sz w:val="18"/>
                <w:szCs w:val="18"/>
                <w:lang w:val="en-GB"/>
              </w:rPr>
              <w:t xml:space="preserve">Fung’s DASH </w:t>
            </w:r>
            <w:r w:rsidR="00FA2F9A" w:rsidRPr="009B104D">
              <w:rPr>
                <w:b/>
                <w:color w:val="auto"/>
                <w:sz w:val="18"/>
                <w:szCs w:val="18"/>
                <w:lang w:val="en-GB"/>
              </w:rPr>
              <w:t>C</w:t>
            </w:r>
            <w:r w:rsidRPr="009B104D">
              <w:rPr>
                <w:b/>
                <w:color w:val="auto"/>
                <w:sz w:val="18"/>
                <w:szCs w:val="18"/>
                <w:lang w:val="en-GB"/>
              </w:rPr>
              <w:t>omponents</w:t>
            </w:r>
          </w:p>
        </w:tc>
        <w:tc>
          <w:tcPr>
            <w:tcW w:w="1358" w:type="pct"/>
            <w:tcBorders>
              <w:top w:val="single" w:sz="8" w:space="0" w:color="auto"/>
              <w:bottom w:val="single" w:sz="4" w:space="0" w:color="auto"/>
            </w:tcBorders>
            <w:shd w:val="clear" w:color="auto" w:fill="auto"/>
            <w:vAlign w:val="center"/>
          </w:tcPr>
          <w:p w14:paraId="19DCE35D" w14:textId="5370A26B" w:rsidR="00197475" w:rsidRPr="009B104D" w:rsidRDefault="00197475" w:rsidP="00A24516">
            <w:pPr>
              <w:pStyle w:val="MDPI42tablebody"/>
              <w:autoSpaceDE w:val="0"/>
              <w:autoSpaceDN w:val="0"/>
              <w:spacing w:line="240" w:lineRule="auto"/>
              <w:rPr>
                <w:b/>
                <w:color w:val="auto"/>
                <w:sz w:val="18"/>
                <w:szCs w:val="18"/>
                <w:lang w:val="en-GB"/>
              </w:rPr>
            </w:pPr>
            <w:r w:rsidRPr="009B104D">
              <w:rPr>
                <w:b/>
                <w:color w:val="auto"/>
                <w:sz w:val="18"/>
                <w:szCs w:val="18"/>
                <w:lang w:val="en-GB"/>
              </w:rPr>
              <w:t xml:space="preserve">Original DASH </w:t>
            </w:r>
            <w:r w:rsidR="00D8011B" w:rsidRPr="009B104D">
              <w:rPr>
                <w:b/>
                <w:color w:val="auto"/>
                <w:sz w:val="18"/>
                <w:szCs w:val="18"/>
                <w:lang w:val="en-GB"/>
              </w:rPr>
              <w:t>C</w:t>
            </w:r>
            <w:r w:rsidRPr="009B104D">
              <w:rPr>
                <w:b/>
                <w:color w:val="auto"/>
                <w:sz w:val="18"/>
                <w:szCs w:val="18"/>
                <w:lang w:val="en-GB"/>
              </w:rPr>
              <w:t>omponents</w:t>
            </w:r>
          </w:p>
        </w:tc>
        <w:tc>
          <w:tcPr>
            <w:tcW w:w="815" w:type="pct"/>
            <w:tcBorders>
              <w:top w:val="single" w:sz="8" w:space="0" w:color="auto"/>
              <w:bottom w:val="single" w:sz="4" w:space="0" w:color="auto"/>
            </w:tcBorders>
            <w:shd w:val="clear" w:color="auto" w:fill="auto"/>
            <w:vAlign w:val="center"/>
          </w:tcPr>
          <w:p w14:paraId="4A0B1BAF" w14:textId="47FBFB20" w:rsidR="00197475" w:rsidRPr="009B104D" w:rsidRDefault="00197475" w:rsidP="00A24516">
            <w:pPr>
              <w:pStyle w:val="MDPI42tablebody"/>
              <w:autoSpaceDE w:val="0"/>
              <w:autoSpaceDN w:val="0"/>
              <w:spacing w:line="240" w:lineRule="auto"/>
              <w:rPr>
                <w:b/>
                <w:color w:val="auto"/>
                <w:sz w:val="18"/>
                <w:szCs w:val="18"/>
                <w:lang w:val="en-GB"/>
              </w:rPr>
            </w:pPr>
            <w:r w:rsidRPr="009B104D">
              <w:rPr>
                <w:b/>
                <w:color w:val="auto"/>
                <w:sz w:val="18"/>
                <w:szCs w:val="18"/>
                <w:lang w:val="en-GB"/>
              </w:rPr>
              <w:t xml:space="preserve">Food </w:t>
            </w:r>
            <w:r w:rsidR="00D8011B" w:rsidRPr="009B104D">
              <w:rPr>
                <w:b/>
                <w:color w:val="auto"/>
                <w:sz w:val="18"/>
                <w:szCs w:val="18"/>
                <w:lang w:val="en-GB"/>
              </w:rPr>
              <w:t>C</w:t>
            </w:r>
            <w:r w:rsidRPr="009B104D">
              <w:rPr>
                <w:b/>
                <w:color w:val="auto"/>
                <w:sz w:val="18"/>
                <w:szCs w:val="18"/>
                <w:lang w:val="en-GB"/>
              </w:rPr>
              <w:t xml:space="preserve">omponents </w:t>
            </w:r>
            <w:r w:rsidR="00D8011B" w:rsidRPr="009B104D">
              <w:rPr>
                <w:b/>
                <w:color w:val="auto"/>
                <w:sz w:val="18"/>
                <w:szCs w:val="18"/>
                <w:lang w:val="en-GB"/>
              </w:rPr>
              <w:t>S</w:t>
            </w:r>
            <w:r w:rsidRPr="009B104D">
              <w:rPr>
                <w:b/>
                <w:color w:val="auto"/>
                <w:sz w:val="18"/>
                <w:szCs w:val="18"/>
                <w:lang w:val="en-GB"/>
              </w:rPr>
              <w:t>elected in ALPHABET</w:t>
            </w:r>
          </w:p>
        </w:tc>
        <w:tc>
          <w:tcPr>
            <w:tcW w:w="2230" w:type="pct"/>
            <w:tcBorders>
              <w:top w:val="single" w:sz="8" w:space="0" w:color="auto"/>
              <w:bottom w:val="single" w:sz="4" w:space="0" w:color="auto"/>
            </w:tcBorders>
            <w:shd w:val="clear" w:color="auto" w:fill="auto"/>
            <w:vAlign w:val="center"/>
          </w:tcPr>
          <w:p w14:paraId="2731EB8E" w14:textId="77777777" w:rsidR="00197475" w:rsidRPr="009B104D" w:rsidRDefault="00197475" w:rsidP="00A24516">
            <w:pPr>
              <w:pStyle w:val="MDPI42tablebody"/>
              <w:autoSpaceDE w:val="0"/>
              <w:autoSpaceDN w:val="0"/>
              <w:spacing w:line="240" w:lineRule="auto"/>
              <w:rPr>
                <w:b/>
                <w:color w:val="auto"/>
                <w:sz w:val="18"/>
                <w:szCs w:val="18"/>
                <w:lang w:val="en-GB"/>
              </w:rPr>
            </w:pPr>
            <w:r w:rsidRPr="009B104D">
              <w:rPr>
                <w:b/>
                <w:color w:val="auto"/>
                <w:sz w:val="18"/>
                <w:szCs w:val="18"/>
                <w:lang w:val="en-GB"/>
              </w:rPr>
              <w:t>Rationale</w:t>
            </w:r>
          </w:p>
        </w:tc>
      </w:tr>
      <w:tr w:rsidR="00101347" w:rsidRPr="009B104D" w14:paraId="61D4CB29" w14:textId="77777777" w:rsidTr="00B0160C">
        <w:trPr>
          <w:jc w:val="center"/>
        </w:trPr>
        <w:tc>
          <w:tcPr>
            <w:tcW w:w="597" w:type="pct"/>
            <w:tcBorders>
              <w:top w:val="single" w:sz="4" w:space="0" w:color="auto"/>
            </w:tcBorders>
            <w:shd w:val="clear" w:color="auto" w:fill="auto"/>
            <w:vAlign w:val="center"/>
          </w:tcPr>
          <w:p w14:paraId="7CCC0AC2"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Whole grains</w:t>
            </w:r>
          </w:p>
        </w:tc>
        <w:tc>
          <w:tcPr>
            <w:tcW w:w="1358" w:type="pct"/>
            <w:tcBorders>
              <w:top w:val="single" w:sz="4" w:space="0" w:color="auto"/>
            </w:tcBorders>
            <w:shd w:val="clear" w:color="auto" w:fill="auto"/>
            <w:vAlign w:val="center"/>
          </w:tcPr>
          <w:p w14:paraId="3AC5B069"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 xml:space="preserve">Total grains (Additional note: </w:t>
            </w:r>
            <w:r w:rsidRPr="009B104D">
              <w:rPr>
                <w:i/>
                <w:color w:val="auto"/>
                <w:sz w:val="18"/>
                <w:szCs w:val="18"/>
                <w:lang w:val="en-GB"/>
              </w:rPr>
              <w:t>“whole grains are recommended for most grain servings as a good source of fiber and nutrients”</w:t>
            </w:r>
            <w:r w:rsidRPr="009B104D">
              <w:rPr>
                <w:color w:val="auto"/>
                <w:sz w:val="18"/>
                <w:szCs w:val="18"/>
                <w:lang w:val="en-GB"/>
              </w:rPr>
              <w:t>)</w:t>
            </w:r>
          </w:p>
        </w:tc>
        <w:tc>
          <w:tcPr>
            <w:tcW w:w="815" w:type="pct"/>
            <w:tcBorders>
              <w:top w:val="single" w:sz="4" w:space="0" w:color="auto"/>
            </w:tcBorders>
            <w:shd w:val="clear" w:color="auto" w:fill="auto"/>
            <w:vAlign w:val="center"/>
          </w:tcPr>
          <w:p w14:paraId="4D0D7067"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Total grains</w:t>
            </w:r>
          </w:p>
        </w:tc>
        <w:tc>
          <w:tcPr>
            <w:tcW w:w="2230" w:type="pct"/>
            <w:tcBorders>
              <w:top w:val="single" w:sz="4" w:space="0" w:color="auto"/>
            </w:tcBorders>
            <w:shd w:val="clear" w:color="auto" w:fill="auto"/>
            <w:vAlign w:val="center"/>
          </w:tcPr>
          <w:p w14:paraId="179E0B78" w14:textId="053F9132" w:rsidR="00197475" w:rsidRPr="009B104D" w:rsidRDefault="00197475" w:rsidP="00A24516">
            <w:pPr>
              <w:pStyle w:val="MDPI42tablebody"/>
              <w:numPr>
                <w:ilvl w:val="0"/>
                <w:numId w:val="8"/>
              </w:numPr>
              <w:autoSpaceDE w:val="0"/>
              <w:autoSpaceDN w:val="0"/>
              <w:spacing w:line="240" w:lineRule="auto"/>
              <w:ind w:left="0" w:firstLine="0"/>
              <w:rPr>
                <w:color w:val="auto"/>
                <w:sz w:val="18"/>
                <w:szCs w:val="18"/>
                <w:lang w:val="en-GB"/>
              </w:rPr>
            </w:pPr>
            <w:r w:rsidRPr="009B104D">
              <w:rPr>
                <w:color w:val="auto"/>
                <w:sz w:val="18"/>
                <w:szCs w:val="18"/>
                <w:lang w:val="en-GB"/>
              </w:rPr>
              <w:t>Consumption of grains is not explicitly limited by some public health organizations (e.g. PNNS</w:t>
            </w:r>
            <w:r w:rsidR="00A24516" w:rsidRPr="009B104D">
              <w:rPr>
                <w:color w:val="auto"/>
                <w:sz w:val="18"/>
                <w:szCs w:val="18"/>
                <w:lang w:val="en-GB"/>
              </w:rPr>
              <w:t xml:space="preserve"> </w:t>
            </w:r>
            <w:r w:rsidR="009C4944" w:rsidRPr="009B104D">
              <w:rPr>
                <w:color w:val="auto"/>
                <w:sz w:val="18"/>
                <w:szCs w:val="18"/>
                <w:vertAlign w:val="superscript"/>
                <w:lang w:val="en-GB"/>
              </w:rPr>
              <w:t>1</w:t>
            </w:r>
            <w:r w:rsidRPr="009B104D">
              <w:rPr>
                <w:color w:val="auto"/>
                <w:sz w:val="18"/>
                <w:szCs w:val="18"/>
                <w:lang w:val="en-GB"/>
              </w:rPr>
              <w:t xml:space="preserve"> in France </w:t>
            </w:r>
            <w:r w:rsidRPr="009B104D">
              <w:rPr>
                <w:color w:val="auto"/>
                <w:sz w:val="18"/>
                <w:szCs w:val="18"/>
                <w:lang w:val="en-GB"/>
              </w:rPr>
              <w:fldChar w:fldCharType="begin"/>
            </w:r>
            <w:r w:rsidR="003C4A7C" w:rsidRPr="009B104D">
              <w:rPr>
                <w:color w:val="auto"/>
                <w:sz w:val="18"/>
                <w:szCs w:val="18"/>
                <w:lang w:val="en-GB"/>
              </w:rPr>
              <w:instrText xml:space="preserve"> ADDIN ZOTERO_ITEM CSL_CITATION {"citationID":"h8vaD0kP","properties":{"formattedCitation":"(43,44)","plainCitation":"(43,44)","noteIndex":0},"citationItems":[{"id":53,"uris":["http://zotero.org/users/4872814/items/WCV7B629"],"uri":["http://zotero.org/users/4872814/items/WCV7B629"],"itemData":{"id":53,"type":"report","title":"La santé vient en mangeant. Le guide alimentaire pour tous.","page":"130","URL":"http://www.mangerbouger.fr/PNNS/","author":[{"literal":"Programme National Nutrition Santé"}],"issued":{"date-parts":[["2002"]]},"accessed":{"date-parts":[["2018",1,7]]}}},{"id":51,"uris":["http://zotero.org/users/4872814/items/E5Q45MAM"],"uri":["http://zotero.org/users/4872814/items/E5Q45MAM"],"itemData":{"id":51,"type":"report","title":"La santé vient en mangeant et en bougeant. Le guide nutrition de la grossesse","page":"40","URL":"http://www.mangerbouger.fr/PNNS/","author":[{"literal":"Programme National Nutrition Santé"}],"issued":{"date-parts":[["2007"]],"season":"Revised 2015"},"accessed":{"date-parts":[["2018",1,7]]}}}],"schema":"https://github.com/citation-style-language/schema/raw/master/csl-citation.json"} </w:instrText>
            </w:r>
            <w:r w:rsidRPr="009B104D">
              <w:rPr>
                <w:color w:val="auto"/>
                <w:sz w:val="18"/>
                <w:szCs w:val="18"/>
                <w:lang w:val="en-GB"/>
              </w:rPr>
              <w:fldChar w:fldCharType="separate"/>
            </w:r>
            <w:r w:rsidR="00854BE0" w:rsidRPr="009B104D">
              <w:rPr>
                <w:color w:val="auto"/>
                <w:sz w:val="18"/>
                <w:szCs w:val="18"/>
                <w:lang w:val="en-GB"/>
              </w:rPr>
              <w:t>[</w:t>
            </w:r>
            <w:r w:rsidR="00534555" w:rsidRPr="009B104D">
              <w:rPr>
                <w:color w:val="auto"/>
                <w:sz w:val="18"/>
                <w:szCs w:val="18"/>
                <w:lang w:val="en-GB"/>
              </w:rPr>
              <w:t>43,44</w:t>
            </w:r>
            <w:r w:rsidR="00854BE0" w:rsidRPr="009B104D">
              <w:rPr>
                <w:color w:val="auto"/>
                <w:sz w:val="18"/>
                <w:szCs w:val="18"/>
                <w:lang w:val="en-GB"/>
              </w:rPr>
              <w:t>]</w:t>
            </w:r>
            <w:r w:rsidRPr="009B104D">
              <w:rPr>
                <w:color w:val="auto"/>
                <w:sz w:val="18"/>
                <w:szCs w:val="18"/>
                <w:lang w:val="en-GB"/>
              </w:rPr>
              <w:fldChar w:fldCharType="end"/>
            </w:r>
            <w:r w:rsidRPr="009B104D">
              <w:rPr>
                <w:color w:val="auto"/>
                <w:sz w:val="18"/>
                <w:szCs w:val="18"/>
                <w:lang w:val="en-GB"/>
              </w:rPr>
              <w:t>) and some diet score are considering total grains (e.g.</w:t>
            </w:r>
            <w:r w:rsidR="00D8011B" w:rsidRPr="009B104D">
              <w:rPr>
                <w:color w:val="auto"/>
                <w:sz w:val="18"/>
                <w:szCs w:val="18"/>
                <w:lang w:val="en-GB"/>
              </w:rPr>
              <w:t>,</w:t>
            </w:r>
            <w:r w:rsidRPr="009B104D">
              <w:rPr>
                <w:color w:val="auto"/>
                <w:sz w:val="18"/>
                <w:szCs w:val="18"/>
                <w:lang w:val="en-GB"/>
              </w:rPr>
              <w:t xml:space="preserve"> several Mediterranean diet </w:t>
            </w:r>
            <w:r w:rsidR="00534555" w:rsidRPr="009B104D">
              <w:rPr>
                <w:color w:val="auto"/>
                <w:sz w:val="18"/>
                <w:szCs w:val="18"/>
                <w:lang w:val="en-GB"/>
              </w:rPr>
              <w:fldChar w:fldCharType="begin"/>
            </w:r>
            <w:r w:rsidR="00534555" w:rsidRPr="009B104D">
              <w:rPr>
                <w:color w:val="auto"/>
                <w:sz w:val="18"/>
                <w:szCs w:val="18"/>
                <w:lang w:val="en-GB"/>
              </w:rPr>
              <w:instrText xml:space="preserve"> ADDIN ZOTERO_ITEM CSL_CITATION {"citationID":"OaLls06H","properties":{"formattedCitation":"(45)","plainCitation":"(45)","noteIndex":0},"citationItems":[{"id":280,"uris":["http://zotero.org/users/4872814/items/Q4L334ZA"],"uri":["http://zotero.org/users/4872814/items/Q4L334ZA"],"itemData":{"id":280,"type":"article-journal","title":"Mediterranean diet and health status: an updated meta-analysis and a proposal for a literature-based adherence score","container-title":"Public Health Nutrition","page":"2769-2782","volume":"17","issue":"12","source":"PubMed","abstract":"OBJECTIVE: To update previous meta-analyses of cohort studies that investigated the association between the Mediterranean diet and health status and to utilize data coming from all of the cohort studies for proposing a literature-based adherence score to the Mediterranean diet.\nDESIGN: We conducted a comprehensive literature search through all electronic databases up to June 2013.\nSETTING: Cohort prospective studies investigating adherence to the Mediterranean diet and health outcomes. Cut-off values of food groups used to compute the adherence score were obtained.\nSUBJECTS: The updated search was performed in an overall population of 4 172 412 subjects, with eighteen recent studies that were not present in the previous meta-analyses.\nRESULTS: A 2-point increase in adherence score to the Mediterranean diet was reported to determine an 8 % reduction of overall mortality (relative risk = 0·92; 95 % CI 0·91, 0·93), a 10 % reduced risk of CVD (relative risk = 0·90; 95 % CI 0·87, 0·92) and a 4 % reduction of neoplastic disease (relative risk = 0·96; 95 % CI 0·95, 0·97). We utilized data coming from all cohort studies available in the literature for proposing a literature-based adherence score. Such a score ranges from 0 (minimal adherence) to 18 (maximal adherence) points and includes three different categories of consumption for each food group composing the Mediterranean diet.\nCONCLUSIONS: The Mediterranean diet was found to be a healthy dietary pattern in terms of morbidity and mortality. By using data from the cohort studies we proposed a literature-based adherence score that can represent an easy tool for the estimation of adherence to the Mediterranean diet also at the individual level.","DOI":"10.1017/S1368980013003169","ISSN":"1475-2727","note":"PMID: 24476641","title-short":"Mediterranean diet and health status","journalAbbreviation":"Public Health Nutr","language":"eng","author":[{"family":"Sofi","given":"Francesco"},{"family":"Macchi","given":"Claudio"},{"family":"Abbate","given":"Rosanna"},{"family":"Gensini","given":"Gian Franco"},{"family":"Casini","given":"Alessandro"}],"issued":{"date-parts":[["2014",12]]}}}],"schema":"https://github.com/citation-style-language/schema/raw/master/csl-citation.json"} </w:instrText>
            </w:r>
            <w:r w:rsidR="00534555" w:rsidRPr="009B104D">
              <w:rPr>
                <w:color w:val="auto"/>
                <w:sz w:val="18"/>
                <w:szCs w:val="18"/>
                <w:lang w:val="en-GB"/>
              </w:rPr>
              <w:fldChar w:fldCharType="separate"/>
            </w:r>
            <w:r w:rsidR="00854BE0" w:rsidRPr="009B104D">
              <w:rPr>
                <w:color w:val="auto"/>
                <w:sz w:val="18"/>
                <w:szCs w:val="18"/>
                <w:lang w:val="en-GB"/>
              </w:rPr>
              <w:t>[</w:t>
            </w:r>
            <w:r w:rsidR="00534555" w:rsidRPr="009B104D">
              <w:rPr>
                <w:color w:val="auto"/>
                <w:sz w:val="18"/>
                <w:szCs w:val="18"/>
                <w:lang w:val="en-GB"/>
              </w:rPr>
              <w:t>45</w:t>
            </w:r>
            <w:r w:rsidR="00854BE0" w:rsidRPr="009B104D">
              <w:rPr>
                <w:color w:val="auto"/>
                <w:sz w:val="18"/>
                <w:szCs w:val="18"/>
                <w:lang w:val="en-GB"/>
              </w:rPr>
              <w:t>]</w:t>
            </w:r>
            <w:r w:rsidR="00534555" w:rsidRPr="009B104D">
              <w:rPr>
                <w:color w:val="auto"/>
                <w:sz w:val="18"/>
                <w:szCs w:val="18"/>
                <w:lang w:val="en-GB"/>
              </w:rPr>
              <w:fldChar w:fldCharType="end"/>
            </w:r>
            <w:r w:rsidRPr="009B104D">
              <w:rPr>
                <w:color w:val="auto"/>
                <w:sz w:val="18"/>
                <w:szCs w:val="18"/>
                <w:lang w:val="en-GB"/>
              </w:rPr>
              <w:t>).</w:t>
            </w:r>
          </w:p>
          <w:p w14:paraId="252AAB39" w14:textId="77777777" w:rsidR="00197475" w:rsidRPr="009B104D" w:rsidRDefault="00197475" w:rsidP="00A24516">
            <w:pPr>
              <w:pStyle w:val="MDPI42tablebody"/>
              <w:numPr>
                <w:ilvl w:val="0"/>
                <w:numId w:val="8"/>
              </w:numPr>
              <w:autoSpaceDE w:val="0"/>
              <w:autoSpaceDN w:val="0"/>
              <w:spacing w:line="240" w:lineRule="auto"/>
              <w:ind w:left="0" w:firstLine="0"/>
              <w:rPr>
                <w:color w:val="auto"/>
                <w:sz w:val="18"/>
                <w:szCs w:val="18"/>
                <w:lang w:val="en-GB"/>
              </w:rPr>
            </w:pPr>
            <w:r w:rsidRPr="009B104D">
              <w:rPr>
                <w:color w:val="auto"/>
                <w:sz w:val="18"/>
                <w:szCs w:val="18"/>
                <w:lang w:val="en-GB"/>
              </w:rPr>
              <w:t xml:space="preserve">The original DASH considers grains as a food component (foster whole grains are recommended as additional note only) </w:t>
            </w:r>
            <w:r w:rsidR="00534555" w:rsidRPr="009B104D">
              <w:rPr>
                <w:color w:val="auto"/>
                <w:sz w:val="18"/>
                <w:szCs w:val="18"/>
                <w:lang w:val="en-GB"/>
              </w:rPr>
              <w:fldChar w:fldCharType="begin"/>
            </w:r>
            <w:r w:rsidR="00534555" w:rsidRPr="009B104D">
              <w:rPr>
                <w:color w:val="auto"/>
                <w:sz w:val="18"/>
                <w:szCs w:val="18"/>
                <w:lang w:val="en-GB"/>
              </w:rPr>
              <w:instrText xml:space="preserve"> ADDIN ZOTERO_ITEM CSL_CITATION {"citationID":"O1Mr0fDH","properties":{"formattedCitation":"(41)","plainCitation":"(41)","noteIndex":0},"citationItems":[{"id":52,"uris":["http://zotero.org/users/4872814/items/CZ9TF2P9"],"uri":["http://zotero.org/users/4872814/items/CZ9TF2P9"],"itemData":{"id":52,"type":"report","title":"Your guide to lowering your blood pressure with DASH.","page":"64","URL":"https://www.nhlbi.nih.gov/files/docs/public/heart/new_dash.pdf","number":"NIH Publication No. 06-4082","author":[{"literal":"U.S. Department of health and human services."}],"issued":{"date-parts":[["1998"]],"season":"Revised 2006"},"accessed":{"date-parts":[["2018",6,15]]}}}],"schema":"https://github.com/citation-style-language/schema/raw/master/csl-citation.json"} </w:instrText>
            </w:r>
            <w:r w:rsidR="00534555" w:rsidRPr="009B104D">
              <w:rPr>
                <w:color w:val="auto"/>
                <w:sz w:val="18"/>
                <w:szCs w:val="18"/>
                <w:lang w:val="en-GB"/>
              </w:rPr>
              <w:fldChar w:fldCharType="separate"/>
            </w:r>
            <w:r w:rsidR="00854BE0" w:rsidRPr="009B104D">
              <w:rPr>
                <w:color w:val="auto"/>
                <w:sz w:val="18"/>
                <w:szCs w:val="18"/>
                <w:lang w:val="en-GB"/>
              </w:rPr>
              <w:t>[</w:t>
            </w:r>
            <w:r w:rsidR="00534555" w:rsidRPr="009B104D">
              <w:rPr>
                <w:color w:val="auto"/>
                <w:sz w:val="18"/>
                <w:szCs w:val="18"/>
                <w:lang w:val="en-GB"/>
              </w:rPr>
              <w:t>41</w:t>
            </w:r>
            <w:r w:rsidR="00854BE0" w:rsidRPr="009B104D">
              <w:rPr>
                <w:color w:val="auto"/>
                <w:sz w:val="18"/>
                <w:szCs w:val="18"/>
                <w:lang w:val="en-GB"/>
              </w:rPr>
              <w:t>]</w:t>
            </w:r>
            <w:r w:rsidR="00534555" w:rsidRPr="009B104D">
              <w:rPr>
                <w:color w:val="auto"/>
                <w:sz w:val="18"/>
                <w:szCs w:val="18"/>
                <w:lang w:val="en-GB"/>
              </w:rPr>
              <w:fldChar w:fldCharType="end"/>
            </w:r>
            <w:r w:rsidRPr="009B104D">
              <w:rPr>
                <w:color w:val="auto"/>
                <w:sz w:val="18"/>
                <w:szCs w:val="18"/>
                <w:lang w:val="en-GB"/>
              </w:rPr>
              <w:t>.</w:t>
            </w:r>
          </w:p>
          <w:p w14:paraId="70F77F1F" w14:textId="7428AD5B" w:rsidR="00197475" w:rsidRPr="009B104D" w:rsidRDefault="00197475" w:rsidP="00642B9B">
            <w:pPr>
              <w:pStyle w:val="MDPI42tablebody"/>
              <w:numPr>
                <w:ilvl w:val="0"/>
                <w:numId w:val="8"/>
              </w:numPr>
              <w:autoSpaceDE w:val="0"/>
              <w:autoSpaceDN w:val="0"/>
              <w:spacing w:line="240" w:lineRule="auto"/>
              <w:ind w:left="0" w:firstLine="0"/>
              <w:rPr>
                <w:color w:val="auto"/>
                <w:sz w:val="18"/>
                <w:szCs w:val="18"/>
                <w:lang w:val="en-GB"/>
              </w:rPr>
            </w:pPr>
            <w:r w:rsidRPr="009B104D">
              <w:rPr>
                <w:color w:val="auto"/>
                <w:sz w:val="18"/>
                <w:szCs w:val="18"/>
                <w:lang w:val="en-GB"/>
              </w:rPr>
              <w:t>Lack of information on whole grains in several ALPHABET cohorts (depending on FFQ length and detail) (e.g.</w:t>
            </w:r>
            <w:r w:rsidR="00D8011B" w:rsidRPr="009B104D">
              <w:rPr>
                <w:color w:val="auto"/>
                <w:sz w:val="18"/>
                <w:szCs w:val="18"/>
                <w:lang w:val="en-GB"/>
              </w:rPr>
              <w:t>,</w:t>
            </w:r>
            <w:r w:rsidRPr="009B104D">
              <w:rPr>
                <w:color w:val="auto"/>
                <w:sz w:val="18"/>
                <w:szCs w:val="18"/>
                <w:lang w:val="en-GB"/>
              </w:rPr>
              <w:t xml:space="preserve"> EDEN has 7 items for total grains but a single item for whole grains).</w:t>
            </w:r>
          </w:p>
        </w:tc>
      </w:tr>
      <w:tr w:rsidR="00101347" w:rsidRPr="009B104D" w14:paraId="2D9F9469" w14:textId="77777777" w:rsidTr="00B0160C">
        <w:trPr>
          <w:jc w:val="center"/>
        </w:trPr>
        <w:tc>
          <w:tcPr>
            <w:tcW w:w="597" w:type="pct"/>
            <w:shd w:val="clear" w:color="auto" w:fill="auto"/>
            <w:vAlign w:val="center"/>
          </w:tcPr>
          <w:p w14:paraId="3B82CA52"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Vegetables without potatoes</w:t>
            </w:r>
          </w:p>
        </w:tc>
        <w:tc>
          <w:tcPr>
            <w:tcW w:w="1358" w:type="pct"/>
            <w:shd w:val="clear" w:color="auto" w:fill="auto"/>
            <w:vAlign w:val="center"/>
          </w:tcPr>
          <w:p w14:paraId="2398913E"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Vegetables</w:t>
            </w:r>
          </w:p>
        </w:tc>
        <w:tc>
          <w:tcPr>
            <w:tcW w:w="815" w:type="pct"/>
            <w:shd w:val="clear" w:color="auto" w:fill="auto"/>
            <w:vAlign w:val="center"/>
          </w:tcPr>
          <w:p w14:paraId="2F08CF1E"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Vegetables (excluding potatoes and condiments)</w:t>
            </w:r>
          </w:p>
        </w:tc>
        <w:tc>
          <w:tcPr>
            <w:tcW w:w="2230" w:type="pct"/>
            <w:shd w:val="clear" w:color="auto" w:fill="auto"/>
            <w:vAlign w:val="center"/>
          </w:tcPr>
          <w:p w14:paraId="7FFE7255" w14:textId="4143E37D" w:rsidR="00197475" w:rsidRPr="009B104D" w:rsidRDefault="00197475" w:rsidP="00A24516">
            <w:pPr>
              <w:pStyle w:val="MDPI42tablebody"/>
              <w:numPr>
                <w:ilvl w:val="0"/>
                <w:numId w:val="9"/>
              </w:numPr>
              <w:autoSpaceDE w:val="0"/>
              <w:autoSpaceDN w:val="0"/>
              <w:spacing w:line="240" w:lineRule="auto"/>
              <w:ind w:left="0" w:firstLine="0"/>
              <w:rPr>
                <w:color w:val="auto"/>
                <w:sz w:val="18"/>
                <w:szCs w:val="18"/>
                <w:lang w:val="en-GB"/>
              </w:rPr>
            </w:pPr>
            <w:r w:rsidRPr="009B104D">
              <w:rPr>
                <w:color w:val="auto"/>
                <w:sz w:val="18"/>
                <w:szCs w:val="18"/>
                <w:lang w:val="en-GB"/>
              </w:rPr>
              <w:t>Potatoes are not considered as vegetables according to Eurocode</w:t>
            </w:r>
            <w:r w:rsidR="00A24516" w:rsidRPr="009B104D">
              <w:rPr>
                <w:color w:val="auto"/>
                <w:sz w:val="18"/>
                <w:szCs w:val="18"/>
                <w:lang w:val="en-GB"/>
              </w:rPr>
              <w:t xml:space="preserve"> </w:t>
            </w:r>
            <w:r w:rsidRPr="009B104D">
              <w:rPr>
                <w:color w:val="auto"/>
                <w:sz w:val="18"/>
                <w:szCs w:val="18"/>
                <w:lang w:val="en-GB"/>
              </w:rPr>
              <w:t xml:space="preserve">2 </w:t>
            </w:r>
            <w:r w:rsidR="00534555" w:rsidRPr="009B104D">
              <w:rPr>
                <w:color w:val="auto"/>
                <w:sz w:val="18"/>
                <w:szCs w:val="18"/>
                <w:lang w:val="en-GB"/>
              </w:rPr>
              <w:fldChar w:fldCharType="begin"/>
            </w:r>
            <w:r w:rsidR="00534555" w:rsidRPr="009B104D">
              <w:rPr>
                <w:color w:val="auto"/>
                <w:sz w:val="18"/>
                <w:szCs w:val="18"/>
                <w:lang w:val="en-GB"/>
              </w:rPr>
              <w:instrText xml:space="preserve"> ADDIN ZOTERO_ITEM CSL_CITATION {"citationID":"Qh5hC7ry","properties":{"formattedCitation":"(42)","plainCitation":"(42)","noteIndex":0},"citationItems":[{"id":279,"uris":["http://zotero.org/users/4872814/items/72R678JM"],"uri":["http://zotero.org/users/4872814/items/72R678JM"],"itemData":{"id":279,"type":"webpage","title":"Eurocode 2 Food Coding System","URL":"http://www.ianunwin.demon.co.uk/eurocode/index.htm","author":[{"family":"Eurocode 2","given":""}],"accessed":{"date-parts":[["2019",2,19]]}}}],"schema":"https://github.com/citation-style-language/schema/raw/master/csl-citation.json"} </w:instrText>
            </w:r>
            <w:r w:rsidR="00534555" w:rsidRPr="009B104D">
              <w:rPr>
                <w:color w:val="auto"/>
                <w:sz w:val="18"/>
                <w:szCs w:val="18"/>
                <w:lang w:val="en-GB"/>
              </w:rPr>
              <w:fldChar w:fldCharType="separate"/>
            </w:r>
            <w:r w:rsidR="00854BE0" w:rsidRPr="009B104D">
              <w:rPr>
                <w:color w:val="auto"/>
                <w:sz w:val="18"/>
                <w:szCs w:val="18"/>
                <w:lang w:val="en-GB"/>
              </w:rPr>
              <w:t>[</w:t>
            </w:r>
            <w:r w:rsidR="00534555" w:rsidRPr="009B104D">
              <w:rPr>
                <w:color w:val="auto"/>
                <w:sz w:val="18"/>
                <w:szCs w:val="18"/>
                <w:lang w:val="en-GB"/>
              </w:rPr>
              <w:t>42</w:t>
            </w:r>
            <w:r w:rsidR="00854BE0" w:rsidRPr="009B104D">
              <w:rPr>
                <w:color w:val="auto"/>
                <w:sz w:val="18"/>
                <w:szCs w:val="18"/>
                <w:lang w:val="en-GB"/>
              </w:rPr>
              <w:t>]</w:t>
            </w:r>
            <w:r w:rsidR="00534555" w:rsidRPr="009B104D">
              <w:rPr>
                <w:color w:val="auto"/>
                <w:sz w:val="18"/>
                <w:szCs w:val="18"/>
                <w:lang w:val="en-GB"/>
              </w:rPr>
              <w:fldChar w:fldCharType="end"/>
            </w:r>
            <w:r w:rsidRPr="009B104D">
              <w:rPr>
                <w:color w:val="auto"/>
                <w:sz w:val="18"/>
                <w:szCs w:val="18"/>
                <w:lang w:val="en-GB"/>
              </w:rPr>
              <w:t>.</w:t>
            </w:r>
          </w:p>
          <w:p w14:paraId="5F752F2C" w14:textId="77777777" w:rsidR="00197475" w:rsidRPr="009B104D" w:rsidRDefault="00197475" w:rsidP="00A24516">
            <w:pPr>
              <w:pStyle w:val="MDPI42tablebody"/>
              <w:numPr>
                <w:ilvl w:val="0"/>
                <w:numId w:val="9"/>
              </w:numPr>
              <w:autoSpaceDE w:val="0"/>
              <w:autoSpaceDN w:val="0"/>
              <w:spacing w:line="240" w:lineRule="auto"/>
              <w:ind w:left="0" w:firstLine="0"/>
              <w:rPr>
                <w:color w:val="auto"/>
                <w:sz w:val="18"/>
                <w:szCs w:val="18"/>
                <w:lang w:val="en-GB"/>
              </w:rPr>
            </w:pPr>
            <w:r w:rsidRPr="009B104D">
              <w:rPr>
                <w:color w:val="auto"/>
                <w:sz w:val="18"/>
                <w:szCs w:val="18"/>
                <w:lang w:val="en-GB"/>
              </w:rPr>
              <w:t>By using servings/day, including condiments would generate an overestimation of the consumption.</w:t>
            </w:r>
          </w:p>
        </w:tc>
      </w:tr>
      <w:tr w:rsidR="00101347" w:rsidRPr="009B104D" w14:paraId="6D153CE2" w14:textId="77777777" w:rsidTr="00B0160C">
        <w:trPr>
          <w:jc w:val="center"/>
        </w:trPr>
        <w:tc>
          <w:tcPr>
            <w:tcW w:w="597" w:type="pct"/>
            <w:shd w:val="clear" w:color="auto" w:fill="auto"/>
            <w:vAlign w:val="center"/>
          </w:tcPr>
          <w:p w14:paraId="5E0D496C"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 xml:space="preserve">Fruits </w:t>
            </w:r>
          </w:p>
        </w:tc>
        <w:tc>
          <w:tcPr>
            <w:tcW w:w="1358" w:type="pct"/>
            <w:shd w:val="clear" w:color="auto" w:fill="auto"/>
            <w:vAlign w:val="center"/>
          </w:tcPr>
          <w:p w14:paraId="3EC6A6CD"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Fruits</w:t>
            </w:r>
          </w:p>
        </w:tc>
        <w:tc>
          <w:tcPr>
            <w:tcW w:w="815" w:type="pct"/>
            <w:shd w:val="clear" w:color="auto" w:fill="auto"/>
            <w:vAlign w:val="center"/>
          </w:tcPr>
          <w:p w14:paraId="65F9D5E5"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Fruits</w:t>
            </w:r>
          </w:p>
        </w:tc>
        <w:tc>
          <w:tcPr>
            <w:tcW w:w="2230" w:type="pct"/>
            <w:shd w:val="clear" w:color="auto" w:fill="auto"/>
            <w:vAlign w:val="center"/>
          </w:tcPr>
          <w:p w14:paraId="3C8FA0B6"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Not applicable</w:t>
            </w:r>
          </w:p>
        </w:tc>
      </w:tr>
      <w:tr w:rsidR="00101347" w:rsidRPr="009B104D" w14:paraId="143F9500" w14:textId="77777777" w:rsidTr="00B0160C">
        <w:trPr>
          <w:jc w:val="center"/>
        </w:trPr>
        <w:tc>
          <w:tcPr>
            <w:tcW w:w="597" w:type="pct"/>
            <w:shd w:val="clear" w:color="auto" w:fill="auto"/>
            <w:vAlign w:val="center"/>
          </w:tcPr>
          <w:p w14:paraId="62CD90FA"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Low-fat dairy products</w:t>
            </w:r>
          </w:p>
        </w:tc>
        <w:tc>
          <w:tcPr>
            <w:tcW w:w="1358" w:type="pct"/>
            <w:shd w:val="clear" w:color="auto" w:fill="auto"/>
            <w:vAlign w:val="center"/>
          </w:tcPr>
          <w:p w14:paraId="033FAFCD"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Low-fat milks &amp; milk products</w:t>
            </w:r>
          </w:p>
        </w:tc>
        <w:tc>
          <w:tcPr>
            <w:tcW w:w="815" w:type="pct"/>
            <w:shd w:val="clear" w:color="auto" w:fill="auto"/>
            <w:vAlign w:val="center"/>
          </w:tcPr>
          <w:p w14:paraId="3D47EAF1"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Non-full-fat dairy products</w:t>
            </w:r>
          </w:p>
        </w:tc>
        <w:tc>
          <w:tcPr>
            <w:tcW w:w="2230" w:type="pct"/>
            <w:shd w:val="clear" w:color="auto" w:fill="auto"/>
            <w:vAlign w:val="center"/>
          </w:tcPr>
          <w:p w14:paraId="0B0D047C" w14:textId="77777777" w:rsidR="00270D1A" w:rsidRPr="009B104D" w:rsidRDefault="00197475" w:rsidP="00A24516">
            <w:pPr>
              <w:pStyle w:val="MDPI42tablebody"/>
              <w:numPr>
                <w:ilvl w:val="0"/>
                <w:numId w:val="10"/>
              </w:numPr>
              <w:autoSpaceDE w:val="0"/>
              <w:autoSpaceDN w:val="0"/>
              <w:spacing w:line="240" w:lineRule="auto"/>
              <w:ind w:left="0" w:firstLine="0"/>
              <w:rPr>
                <w:color w:val="auto"/>
                <w:sz w:val="18"/>
                <w:szCs w:val="18"/>
                <w:lang w:val="en-GB"/>
              </w:rPr>
            </w:pPr>
            <w:r w:rsidRPr="009B104D">
              <w:rPr>
                <w:color w:val="auto"/>
                <w:sz w:val="18"/>
                <w:szCs w:val="18"/>
                <w:lang w:val="en-GB"/>
              </w:rPr>
              <w:t xml:space="preserve">Some diet scores do consider total dairy products </w:t>
            </w:r>
            <w:r w:rsidR="00534555" w:rsidRPr="009B104D">
              <w:rPr>
                <w:color w:val="auto"/>
                <w:sz w:val="18"/>
                <w:szCs w:val="18"/>
                <w:lang w:val="en-GB"/>
              </w:rPr>
              <w:fldChar w:fldCharType="begin"/>
            </w:r>
            <w:r w:rsidR="00534555" w:rsidRPr="009B104D">
              <w:rPr>
                <w:color w:val="auto"/>
                <w:sz w:val="18"/>
                <w:szCs w:val="18"/>
                <w:lang w:val="en-GB"/>
              </w:rPr>
              <w:instrText xml:space="preserve"> ADDIN ZOTERO_ITEM CSL_CITATION {"citationID":"WRRnzwzP","properties":{"formattedCitation":"(40)","plainCitation":"(40)","noteIndex":0},"citationItems":[{"id":294,"uris":["http://zotero.org/users/4872814/items/MH77SEGX"],"uri":["http://zotero.org/users/4872814/items/MH77SEGX"],"itemData":{"id":294,"type":"article-journal","title":"Adherence to the USDA Food Guide, DASH Eating Plan, and Mediterranean dietary pattern reduces risk of colorectal adenoma","container-title":"The Journal of Nutrition","page":"2443-2450","volume":"137","issue":"11","source":"PubMed","abstract":"The 2005 Dietary Guidelines for Americans include quantitative recommendations for 2 eating patterns, the USDA Food Guide and the Dietary Approaches to Stop Hypertension (DASH) Eating Plan, to promote optimal health and reduce disease risk. A Mediterranean dietary pattern has also been promoted for health benefits. Our objective was to determine whether adherence to the USDA Food Guide recommendations, the DASH Eating Plan, or a Mediterranean dietary pattern is associated with reduced risk of distal colorectal adenoma. In the Prostate, Lung, Colorectal, and Ovarian Cancer Screening Trial, men and women aged 55-74 y were screened for colorectal cancer by sigmoidoscopy at 10 centers in the U.S. After adjusting for potential confounders, men who most complied with the USDA Food Guide recommendations had a 26% reduced risk of colorectal adenoma compared with men who least complied with the recommendations (OR USDA score &gt;or= 5 vs. &lt;or=2 = 0.74, 95% CI = 0.64-0.85; P-trend &lt; 0.001). Comparable results were found for men who had intakes most similar to the DASH Eating Plan or a Mediterranean dietary pattern. Women who most complied with the USDA Food Guide recommendations had an 18% reduced risk for colorectal adenoma, but subgroup analyses revealed protective associations only for current smokers (OR USDA score &gt;or= 5 vs. &lt;or=2 = 0.52, 95% CI = 0.31-0.89; P-trend &lt; 0.01) or normal-weight women (OR USDA score &gt;or= 5 vs. &lt;or=2 = 0.74, 95% CI = 0.55-0.99; P-trend = 0.08). Following the current U.S. dietary recommendations or a Mediterranean dietary pattern is associated with reduced risk of colorectal adenoma, especially in men.","DOI":"10.1093/jn/137.11.2443","ISSN":"0022-3166","note":"PMID: 17951483","journalAbbreviation":"J. Nutr.","language":"eng","author":[{"family":"Dixon","given":"L. Beth"},{"family":"Subar","given":"Amy F."},{"family":"Peters","given":"Ulrike"},{"family":"Weissfeld","given":"Joel L."},{"family":"Bresalier","given":"Robert S."},{"family":"Risch","given":"Adam"},{"family":"Schatzkin","given":"Arthur"},{"family":"Hayes","given":"Richard B."}],"issued":{"date-parts":[["2007",11]]}}}],"schema":"https://github.com/citation-style-language/schema/raw/master/csl-citation.json"} </w:instrText>
            </w:r>
            <w:r w:rsidR="00534555" w:rsidRPr="009B104D">
              <w:rPr>
                <w:color w:val="auto"/>
                <w:sz w:val="18"/>
                <w:szCs w:val="18"/>
                <w:lang w:val="en-GB"/>
              </w:rPr>
              <w:fldChar w:fldCharType="separate"/>
            </w:r>
            <w:r w:rsidR="00854BE0" w:rsidRPr="009B104D">
              <w:rPr>
                <w:color w:val="auto"/>
                <w:sz w:val="18"/>
                <w:szCs w:val="18"/>
                <w:lang w:val="en-GB"/>
              </w:rPr>
              <w:t>[</w:t>
            </w:r>
            <w:r w:rsidR="00534555" w:rsidRPr="009B104D">
              <w:rPr>
                <w:color w:val="auto"/>
                <w:sz w:val="18"/>
                <w:szCs w:val="18"/>
                <w:lang w:val="en-GB"/>
              </w:rPr>
              <w:t>40</w:t>
            </w:r>
            <w:r w:rsidR="00854BE0" w:rsidRPr="009B104D">
              <w:rPr>
                <w:color w:val="auto"/>
                <w:sz w:val="18"/>
                <w:szCs w:val="18"/>
                <w:lang w:val="en-GB"/>
              </w:rPr>
              <w:t>]</w:t>
            </w:r>
            <w:r w:rsidR="00534555" w:rsidRPr="009B104D">
              <w:rPr>
                <w:color w:val="auto"/>
                <w:sz w:val="18"/>
                <w:szCs w:val="18"/>
                <w:lang w:val="en-GB"/>
              </w:rPr>
              <w:fldChar w:fldCharType="end"/>
            </w:r>
            <w:r w:rsidRPr="009B104D">
              <w:rPr>
                <w:color w:val="auto"/>
                <w:sz w:val="18"/>
                <w:szCs w:val="18"/>
                <w:lang w:val="en-GB"/>
              </w:rPr>
              <w:t>.</w:t>
            </w:r>
          </w:p>
          <w:p w14:paraId="0D71C6DE" w14:textId="77777777" w:rsidR="00270D1A" w:rsidRPr="009B104D" w:rsidRDefault="00197475" w:rsidP="00A24516">
            <w:pPr>
              <w:pStyle w:val="MDPI42tablebody"/>
              <w:numPr>
                <w:ilvl w:val="0"/>
                <w:numId w:val="10"/>
              </w:numPr>
              <w:autoSpaceDE w:val="0"/>
              <w:autoSpaceDN w:val="0"/>
              <w:spacing w:line="240" w:lineRule="auto"/>
              <w:ind w:left="0" w:firstLine="0"/>
              <w:rPr>
                <w:color w:val="auto"/>
                <w:sz w:val="18"/>
                <w:szCs w:val="18"/>
                <w:lang w:val="en-GB"/>
              </w:rPr>
            </w:pPr>
            <w:r w:rsidRPr="009B104D">
              <w:rPr>
                <w:color w:val="auto"/>
                <w:sz w:val="18"/>
                <w:szCs w:val="18"/>
                <w:lang w:val="en-GB"/>
              </w:rPr>
              <w:t xml:space="preserve">Equivocal scientific justification: </w:t>
            </w:r>
            <w:r w:rsidRPr="009B104D">
              <w:rPr>
                <w:i/>
                <w:color w:val="auto"/>
                <w:sz w:val="18"/>
                <w:szCs w:val="18"/>
                <w:lang w:val="en-GB"/>
              </w:rPr>
              <w:t>“the recommendation to focus on low-fat in place of regular- and high-fat dairy is currently not evidence-based”</w:t>
            </w:r>
            <w:r w:rsidRPr="009B104D">
              <w:rPr>
                <w:color w:val="auto"/>
                <w:sz w:val="18"/>
                <w:szCs w:val="18"/>
                <w:lang w:val="en-GB"/>
              </w:rPr>
              <w:t xml:space="preserve"> </w:t>
            </w:r>
            <w:r w:rsidR="00534555" w:rsidRPr="009B104D">
              <w:rPr>
                <w:color w:val="auto"/>
                <w:sz w:val="18"/>
                <w:szCs w:val="18"/>
                <w:lang w:val="en-GB"/>
              </w:rPr>
              <w:fldChar w:fldCharType="begin"/>
            </w:r>
            <w:r w:rsidR="00534555" w:rsidRPr="009B104D">
              <w:rPr>
                <w:color w:val="auto"/>
                <w:sz w:val="18"/>
                <w:szCs w:val="18"/>
                <w:lang w:val="en-GB"/>
              </w:rPr>
              <w:instrText xml:space="preserve"> ADDIN ZOTERO_ITEM CSL_CITATION {"citationID":"DKtgsMdd","properties":{"formattedCitation":"(46)","plainCitation":"(46)","noteIndex":0},"citationItems":[{"id":276,"uris":["http://zotero.org/users/4872814/items/JPHEFVWU"],"uri":["http://zotero.org/users/4872814/items/JPHEFVWU"],"itemData":{"id":276,"type":"article-journal","title":"Systematic Review of the Association between Dairy Product Consumption and Risk of Cardiovascular-Related Clinical Outcomes","container-title":"Advances in Nutrition (Bethesda, Md.)","page":"1026-1040","volume":"7","issue":"6","source":"PubMed","abstract":"The objective of this systematic review was to determine if dairy product consumption is detrimental, neutral, or beneficial to cardiovascular health and if the recommendation to consume reduced-fat as opposed to regular-fat dairy is evidence-based. A systematic review of meta-analyses of prospective population studies associating dairy consumption with cardiovascular disease (CVD), coronary artery disease (CAD), stroke, hypertension, metabolic syndrome (MetS), and type 2 diabetes (T2D) was conducted on the basis of the PRISMA (Preferred Reporting Items for Systematic Reviews and Meta-Analyses) statement. Quality of evidence was rated by using the Grading of Recommendations Assessment, Development, and Evaluation scale. High-quality evidence supports favorable associations between total dairy intake and hypertension risk and between low-fat dairy and yogurt intake and the risk of T2D. Moderate-quality evidence suggests favorable associations between intakes of total dairy, low-fat dairy, cheese, and fermented dairy and the risk of stroke; intakes of low-fat dairy and milk and the risk of hypertension; total dairy and milk consumption and the risk of MetS; and total dairy and cheese and the risk of T2D. High- to moderate-quality evidence supports neutral associations between the consumption of total dairy, cheese, and yogurt and CVD risk; the consumption of any form of dairy, except for fermented, and CAD risk; the consumption of regular- and high-fat dairy, milk, and yogurt and stroke risk; the consumption of regular- and high-fat dairy, cheese, yogurt, and fermented dairy and hypertension risk; and the consumption of regular- and high-fat dairy, milk, and fermented dairy and T2D risk. Data from this systematic review indicate that the consumption of various forms of dairy products shows either favorable or neutral associations with cardiovascular-related clinical outcomes. The review also emphasizes that further research is urgently needed to compare the impact of low-fat with regular- and high-fat dairy on cardiovascular-related clinical outcomes in light of current recommendations to consume low-fat dairy.","DOI":"10.3945/an.115.011403","ISSN":"2156-5376","note":"PMID: 28140321\nPMCID: PMC5105032","journalAbbreviation":"Adv Nutr","language":"eng","author":[{"family":"Drouin-Chartier","given":"Jean-Philippe"},{"family":"Brassard","given":"Didier"},{"family":"Tessier-Grenier","given":"Maude"},{"family":"Côté","given":"Julie Anne"},{"family":"Labonté","given":"Marie-Ève"},{"family":"Desroches","given":"Sophie"},{"family":"Couture","given":"Patrick"},{"family":"Lamarche","given":"Benoît"}],"issued":{"date-parts":[["2016"]]}}}],"schema":"https://github.com/citation-style-language/schema/raw/master/csl-citation.json"} </w:instrText>
            </w:r>
            <w:r w:rsidR="00534555" w:rsidRPr="009B104D">
              <w:rPr>
                <w:color w:val="auto"/>
                <w:sz w:val="18"/>
                <w:szCs w:val="18"/>
                <w:lang w:val="en-GB"/>
              </w:rPr>
              <w:fldChar w:fldCharType="separate"/>
            </w:r>
            <w:r w:rsidR="00854BE0" w:rsidRPr="009B104D">
              <w:rPr>
                <w:color w:val="auto"/>
                <w:sz w:val="18"/>
                <w:szCs w:val="18"/>
                <w:lang w:val="en-GB"/>
              </w:rPr>
              <w:t>[</w:t>
            </w:r>
            <w:r w:rsidR="00534555" w:rsidRPr="009B104D">
              <w:rPr>
                <w:color w:val="auto"/>
                <w:sz w:val="18"/>
                <w:szCs w:val="18"/>
                <w:lang w:val="en-GB"/>
              </w:rPr>
              <w:t>46</w:t>
            </w:r>
            <w:r w:rsidR="00854BE0" w:rsidRPr="009B104D">
              <w:rPr>
                <w:color w:val="auto"/>
                <w:sz w:val="18"/>
                <w:szCs w:val="18"/>
                <w:lang w:val="en-GB"/>
              </w:rPr>
              <w:t>]</w:t>
            </w:r>
            <w:r w:rsidR="00534555" w:rsidRPr="009B104D">
              <w:rPr>
                <w:color w:val="auto"/>
                <w:sz w:val="18"/>
                <w:szCs w:val="18"/>
                <w:lang w:val="en-GB"/>
              </w:rPr>
              <w:fldChar w:fldCharType="end"/>
            </w:r>
            <w:r w:rsidRPr="009B104D">
              <w:rPr>
                <w:color w:val="auto"/>
                <w:sz w:val="18"/>
                <w:szCs w:val="18"/>
                <w:lang w:val="en-GB"/>
              </w:rPr>
              <w:t>.</w:t>
            </w:r>
          </w:p>
          <w:p w14:paraId="60E6E081" w14:textId="77777777" w:rsidR="00197475" w:rsidRPr="009B104D" w:rsidRDefault="00197475" w:rsidP="00A24516">
            <w:pPr>
              <w:pStyle w:val="MDPI42tablebody"/>
              <w:numPr>
                <w:ilvl w:val="0"/>
                <w:numId w:val="10"/>
              </w:numPr>
              <w:autoSpaceDE w:val="0"/>
              <w:autoSpaceDN w:val="0"/>
              <w:spacing w:line="240" w:lineRule="auto"/>
              <w:ind w:left="0" w:firstLine="0"/>
              <w:rPr>
                <w:color w:val="auto"/>
                <w:sz w:val="18"/>
                <w:szCs w:val="18"/>
                <w:lang w:val="en-GB"/>
              </w:rPr>
            </w:pPr>
            <w:r w:rsidRPr="009B104D">
              <w:rPr>
                <w:color w:val="auto"/>
                <w:sz w:val="18"/>
                <w:szCs w:val="18"/>
                <w:lang w:val="en-GB"/>
              </w:rPr>
              <w:t>Lack of information on low-fat dairy products in several ALPHABET cohorts (e.g. REPRO_PL does not have variables for low-fat dairy products).</w:t>
            </w:r>
          </w:p>
        </w:tc>
      </w:tr>
      <w:tr w:rsidR="00101347" w:rsidRPr="009B104D" w14:paraId="3CE535C9" w14:textId="77777777" w:rsidTr="00B0160C">
        <w:trPr>
          <w:jc w:val="center"/>
        </w:trPr>
        <w:tc>
          <w:tcPr>
            <w:tcW w:w="597" w:type="pct"/>
            <w:shd w:val="clear" w:color="auto" w:fill="auto"/>
            <w:vAlign w:val="center"/>
          </w:tcPr>
          <w:p w14:paraId="6643D632"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 xml:space="preserve">Nuts, seeds, legumes </w:t>
            </w:r>
          </w:p>
        </w:tc>
        <w:tc>
          <w:tcPr>
            <w:tcW w:w="1358" w:type="pct"/>
            <w:shd w:val="clear" w:color="auto" w:fill="auto"/>
            <w:vAlign w:val="center"/>
          </w:tcPr>
          <w:p w14:paraId="537D3B04"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 xml:space="preserve">Nuts, seeds, legumes </w:t>
            </w:r>
          </w:p>
        </w:tc>
        <w:tc>
          <w:tcPr>
            <w:tcW w:w="815" w:type="pct"/>
            <w:shd w:val="clear" w:color="auto" w:fill="auto"/>
            <w:vAlign w:val="center"/>
          </w:tcPr>
          <w:p w14:paraId="064DF627"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 xml:space="preserve">Nuts, seeds, legumes </w:t>
            </w:r>
          </w:p>
        </w:tc>
        <w:tc>
          <w:tcPr>
            <w:tcW w:w="2230" w:type="pct"/>
            <w:shd w:val="clear" w:color="auto" w:fill="auto"/>
            <w:vAlign w:val="center"/>
          </w:tcPr>
          <w:p w14:paraId="77E8E6A5"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Not applicable</w:t>
            </w:r>
          </w:p>
        </w:tc>
      </w:tr>
      <w:tr w:rsidR="00101347" w:rsidRPr="009B104D" w14:paraId="502771CA" w14:textId="77777777" w:rsidTr="00B0160C">
        <w:trPr>
          <w:jc w:val="center"/>
        </w:trPr>
        <w:tc>
          <w:tcPr>
            <w:tcW w:w="597" w:type="pct"/>
            <w:vMerge w:val="restart"/>
            <w:shd w:val="clear" w:color="auto" w:fill="auto"/>
            <w:vAlign w:val="center"/>
          </w:tcPr>
          <w:p w14:paraId="404D44F3"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Red and processed meats</w:t>
            </w:r>
          </w:p>
        </w:tc>
        <w:tc>
          <w:tcPr>
            <w:tcW w:w="1358" w:type="pct"/>
            <w:shd w:val="clear" w:color="auto" w:fill="auto"/>
            <w:vAlign w:val="center"/>
          </w:tcPr>
          <w:p w14:paraId="6F5AEB73"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Lean meat, poultry, fish</w:t>
            </w:r>
          </w:p>
        </w:tc>
        <w:tc>
          <w:tcPr>
            <w:tcW w:w="815" w:type="pct"/>
            <w:vMerge w:val="restart"/>
            <w:shd w:val="clear" w:color="auto" w:fill="auto"/>
            <w:vAlign w:val="center"/>
          </w:tcPr>
          <w:p w14:paraId="0E079E6E"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Red and processed meats</w:t>
            </w:r>
          </w:p>
        </w:tc>
        <w:tc>
          <w:tcPr>
            <w:tcW w:w="2230" w:type="pct"/>
            <w:vMerge w:val="restart"/>
            <w:shd w:val="clear" w:color="auto" w:fill="auto"/>
            <w:vAlign w:val="center"/>
          </w:tcPr>
          <w:p w14:paraId="55559AFB"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Not applicable</w:t>
            </w:r>
          </w:p>
        </w:tc>
      </w:tr>
      <w:tr w:rsidR="00101347" w:rsidRPr="009B104D" w14:paraId="01C92B9E" w14:textId="77777777" w:rsidTr="00B0160C">
        <w:trPr>
          <w:jc w:val="center"/>
        </w:trPr>
        <w:tc>
          <w:tcPr>
            <w:tcW w:w="597" w:type="pct"/>
            <w:vMerge/>
            <w:shd w:val="clear" w:color="auto" w:fill="auto"/>
            <w:vAlign w:val="center"/>
          </w:tcPr>
          <w:p w14:paraId="14452DB9" w14:textId="77777777" w:rsidR="00197475" w:rsidRPr="009B104D" w:rsidRDefault="00197475" w:rsidP="00A24516">
            <w:pPr>
              <w:pStyle w:val="MDPI42tablebody"/>
              <w:autoSpaceDE w:val="0"/>
              <w:autoSpaceDN w:val="0"/>
              <w:spacing w:line="240" w:lineRule="auto"/>
              <w:rPr>
                <w:color w:val="auto"/>
                <w:sz w:val="18"/>
                <w:szCs w:val="18"/>
                <w:lang w:val="en-GB"/>
              </w:rPr>
            </w:pPr>
          </w:p>
        </w:tc>
        <w:tc>
          <w:tcPr>
            <w:tcW w:w="1358" w:type="pct"/>
            <w:shd w:val="clear" w:color="auto" w:fill="auto"/>
            <w:vAlign w:val="center"/>
          </w:tcPr>
          <w:p w14:paraId="3CF7D5CB"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Fats and oils</w:t>
            </w:r>
          </w:p>
        </w:tc>
        <w:tc>
          <w:tcPr>
            <w:tcW w:w="815" w:type="pct"/>
            <w:vMerge/>
            <w:shd w:val="clear" w:color="auto" w:fill="auto"/>
            <w:vAlign w:val="center"/>
          </w:tcPr>
          <w:p w14:paraId="0AD1A072" w14:textId="77777777" w:rsidR="00197475" w:rsidRPr="009B104D" w:rsidRDefault="00197475" w:rsidP="00A24516">
            <w:pPr>
              <w:pStyle w:val="MDPI42tablebody"/>
              <w:autoSpaceDE w:val="0"/>
              <w:autoSpaceDN w:val="0"/>
              <w:spacing w:line="240" w:lineRule="auto"/>
              <w:rPr>
                <w:color w:val="auto"/>
                <w:sz w:val="18"/>
                <w:szCs w:val="18"/>
                <w:lang w:val="en-GB"/>
              </w:rPr>
            </w:pPr>
          </w:p>
        </w:tc>
        <w:tc>
          <w:tcPr>
            <w:tcW w:w="2230" w:type="pct"/>
            <w:vMerge/>
            <w:shd w:val="clear" w:color="auto" w:fill="auto"/>
            <w:vAlign w:val="center"/>
          </w:tcPr>
          <w:p w14:paraId="2704E4C5" w14:textId="77777777" w:rsidR="00197475" w:rsidRPr="009B104D" w:rsidRDefault="00197475" w:rsidP="00A24516">
            <w:pPr>
              <w:pStyle w:val="MDPI42tablebody"/>
              <w:autoSpaceDE w:val="0"/>
              <w:autoSpaceDN w:val="0"/>
              <w:spacing w:line="240" w:lineRule="auto"/>
              <w:rPr>
                <w:color w:val="auto"/>
                <w:sz w:val="18"/>
                <w:szCs w:val="18"/>
                <w:lang w:val="en-GB"/>
              </w:rPr>
            </w:pPr>
          </w:p>
        </w:tc>
      </w:tr>
      <w:tr w:rsidR="00101347" w:rsidRPr="009B104D" w14:paraId="73F6BA99" w14:textId="77777777" w:rsidTr="00B0160C">
        <w:trPr>
          <w:jc w:val="center"/>
        </w:trPr>
        <w:tc>
          <w:tcPr>
            <w:tcW w:w="597" w:type="pct"/>
            <w:shd w:val="clear" w:color="auto" w:fill="auto"/>
            <w:vAlign w:val="center"/>
          </w:tcPr>
          <w:p w14:paraId="1D9AFBE8"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Sugar-sweetened beverages</w:t>
            </w:r>
          </w:p>
        </w:tc>
        <w:tc>
          <w:tcPr>
            <w:tcW w:w="1358" w:type="pct"/>
            <w:shd w:val="clear" w:color="auto" w:fill="auto"/>
            <w:vAlign w:val="center"/>
          </w:tcPr>
          <w:p w14:paraId="5DBEACE7"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Sweets and added sugars</w:t>
            </w:r>
          </w:p>
        </w:tc>
        <w:tc>
          <w:tcPr>
            <w:tcW w:w="815" w:type="pct"/>
            <w:shd w:val="clear" w:color="auto" w:fill="auto"/>
            <w:vAlign w:val="center"/>
          </w:tcPr>
          <w:p w14:paraId="76FBFE8B" w14:textId="74118F80"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Sugar-sweetened beverages, sweets</w:t>
            </w:r>
            <w:r w:rsidR="00D8011B" w:rsidRPr="009B104D">
              <w:rPr>
                <w:color w:val="auto"/>
                <w:sz w:val="18"/>
                <w:szCs w:val="18"/>
                <w:lang w:val="en-GB"/>
              </w:rPr>
              <w:t>,</w:t>
            </w:r>
            <w:r w:rsidRPr="009B104D">
              <w:rPr>
                <w:color w:val="auto"/>
                <w:sz w:val="18"/>
                <w:szCs w:val="18"/>
                <w:lang w:val="en-GB"/>
              </w:rPr>
              <w:t xml:space="preserve"> and added sugars</w:t>
            </w:r>
          </w:p>
        </w:tc>
        <w:tc>
          <w:tcPr>
            <w:tcW w:w="2230" w:type="pct"/>
            <w:shd w:val="clear" w:color="auto" w:fill="auto"/>
            <w:vAlign w:val="center"/>
          </w:tcPr>
          <w:p w14:paraId="3C611887" w14:textId="77777777" w:rsidR="00197475" w:rsidRPr="009B104D" w:rsidRDefault="00197475" w:rsidP="00A24516">
            <w:pPr>
              <w:pStyle w:val="MDPI42tablebody"/>
              <w:numPr>
                <w:ilvl w:val="0"/>
                <w:numId w:val="11"/>
              </w:numPr>
              <w:autoSpaceDE w:val="0"/>
              <w:autoSpaceDN w:val="0"/>
              <w:spacing w:line="240" w:lineRule="auto"/>
              <w:ind w:left="0" w:firstLine="0"/>
              <w:rPr>
                <w:color w:val="auto"/>
                <w:sz w:val="18"/>
                <w:szCs w:val="18"/>
                <w:lang w:val="en-GB"/>
              </w:rPr>
            </w:pPr>
            <w:r w:rsidRPr="009B104D">
              <w:rPr>
                <w:color w:val="auto"/>
                <w:sz w:val="18"/>
                <w:szCs w:val="18"/>
                <w:lang w:val="en-GB"/>
              </w:rPr>
              <w:t>Take into account a wider diversity of sugar sources</w:t>
            </w:r>
            <w:r w:rsidR="008B46E7" w:rsidRPr="009B104D">
              <w:rPr>
                <w:color w:val="auto"/>
                <w:sz w:val="18"/>
                <w:szCs w:val="18"/>
                <w:lang w:val="en-GB"/>
              </w:rPr>
              <w:t>.</w:t>
            </w:r>
          </w:p>
        </w:tc>
      </w:tr>
      <w:tr w:rsidR="00101347" w:rsidRPr="009B104D" w14:paraId="200A7578" w14:textId="77777777" w:rsidTr="00B0160C">
        <w:trPr>
          <w:jc w:val="center"/>
        </w:trPr>
        <w:tc>
          <w:tcPr>
            <w:tcW w:w="597" w:type="pct"/>
            <w:shd w:val="clear" w:color="auto" w:fill="auto"/>
            <w:vAlign w:val="center"/>
          </w:tcPr>
          <w:p w14:paraId="5B616B54"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Sodium</w:t>
            </w:r>
          </w:p>
        </w:tc>
        <w:tc>
          <w:tcPr>
            <w:tcW w:w="1358" w:type="pct"/>
            <w:shd w:val="clear" w:color="auto" w:fill="auto"/>
            <w:vAlign w:val="center"/>
          </w:tcPr>
          <w:p w14:paraId="435F5726"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Additional note for reducing salt</w:t>
            </w:r>
          </w:p>
        </w:tc>
        <w:tc>
          <w:tcPr>
            <w:tcW w:w="815" w:type="pct"/>
            <w:shd w:val="clear" w:color="auto" w:fill="auto"/>
            <w:vAlign w:val="center"/>
          </w:tcPr>
          <w:p w14:paraId="3B9F1A48"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Sodium</w:t>
            </w:r>
          </w:p>
        </w:tc>
        <w:tc>
          <w:tcPr>
            <w:tcW w:w="2230" w:type="pct"/>
            <w:shd w:val="clear" w:color="auto" w:fill="auto"/>
            <w:vAlign w:val="center"/>
          </w:tcPr>
          <w:p w14:paraId="61C00EF3" w14:textId="77777777" w:rsidR="00197475" w:rsidRPr="009B104D" w:rsidRDefault="00197475" w:rsidP="00A24516">
            <w:pPr>
              <w:pStyle w:val="MDPI42tablebody"/>
              <w:autoSpaceDE w:val="0"/>
              <w:autoSpaceDN w:val="0"/>
              <w:spacing w:line="240" w:lineRule="auto"/>
              <w:rPr>
                <w:color w:val="auto"/>
                <w:sz w:val="18"/>
                <w:szCs w:val="18"/>
                <w:lang w:val="en-GB"/>
              </w:rPr>
            </w:pPr>
            <w:r w:rsidRPr="009B104D">
              <w:rPr>
                <w:color w:val="auto"/>
                <w:sz w:val="18"/>
                <w:szCs w:val="18"/>
                <w:lang w:val="en-GB"/>
              </w:rPr>
              <w:t>Not applicable</w:t>
            </w:r>
          </w:p>
        </w:tc>
      </w:tr>
    </w:tbl>
    <w:p w14:paraId="091D04E1" w14:textId="32ECDFE0" w:rsidR="00717814" w:rsidRPr="003160F8" w:rsidRDefault="00A24516" w:rsidP="00A24516">
      <w:pPr>
        <w:pStyle w:val="MDPI43tablefooter"/>
        <w:ind w:left="425" w:right="425"/>
        <w:rPr>
          <w:vertAlign w:val="superscript"/>
          <w:lang w:val="en-GB"/>
        </w:rPr>
        <w:sectPr w:rsidR="00717814" w:rsidRPr="003160F8" w:rsidSect="00A24516">
          <w:pgSz w:w="16838" w:h="11906" w:orient="landscape" w:code="9"/>
          <w:pgMar w:top="1531" w:right="1417" w:bottom="1531" w:left="1077" w:header="1020" w:footer="850" w:gutter="0"/>
          <w:cols w:space="425"/>
          <w:docGrid w:type="lines" w:linePitch="326"/>
        </w:sectPr>
      </w:pPr>
      <w:r w:rsidRPr="003160F8">
        <w:rPr>
          <w:lang w:val="en-GB"/>
        </w:rPr>
        <w:t xml:space="preserve">FFQ: Food Frequency Questionnaire. </w:t>
      </w:r>
      <w:r w:rsidRPr="003160F8">
        <w:rPr>
          <w:vertAlign w:val="superscript"/>
          <w:lang w:val="en-GB"/>
        </w:rPr>
        <w:t>1</w:t>
      </w:r>
      <w:r w:rsidRPr="003160F8">
        <w:rPr>
          <w:lang w:val="en-GB"/>
        </w:rPr>
        <w:t xml:space="preserve"> PNNS: Programme National Nutrition Santé (French National Nutrition and Health Program).</w:t>
      </w:r>
    </w:p>
    <w:p w14:paraId="3950CFA1" w14:textId="4EE9DCBA" w:rsidR="00AB5811" w:rsidRPr="003160F8" w:rsidRDefault="00A33971" w:rsidP="00A33971">
      <w:pPr>
        <w:pStyle w:val="MDPI22heading2"/>
        <w:rPr>
          <w:noProof w:val="0"/>
          <w:lang w:val="en-GB"/>
        </w:rPr>
      </w:pPr>
      <w:r w:rsidRPr="003160F8">
        <w:rPr>
          <w:noProof w:val="0"/>
          <w:lang w:val="en-GB"/>
        </w:rPr>
        <w:t xml:space="preserve">3.2. </w:t>
      </w:r>
      <w:r w:rsidR="00AB5811" w:rsidRPr="003160F8">
        <w:rPr>
          <w:noProof w:val="0"/>
          <w:lang w:val="en-GB"/>
        </w:rPr>
        <w:t xml:space="preserve">DASH </w:t>
      </w:r>
      <w:r w:rsidR="00A24516" w:rsidRPr="003160F8">
        <w:rPr>
          <w:noProof w:val="0"/>
          <w:lang w:val="en-GB"/>
        </w:rPr>
        <w:t xml:space="preserve">Scores </w:t>
      </w:r>
      <w:r w:rsidR="00AB5811" w:rsidRPr="003160F8">
        <w:rPr>
          <w:noProof w:val="0"/>
          <w:lang w:val="en-GB"/>
        </w:rPr>
        <w:t xml:space="preserve">and </w:t>
      </w:r>
      <w:r w:rsidR="00A24516" w:rsidRPr="003160F8">
        <w:rPr>
          <w:noProof w:val="0"/>
          <w:lang w:val="en-GB"/>
        </w:rPr>
        <w:t xml:space="preserve">Intakes </w:t>
      </w:r>
      <w:r w:rsidR="00AB5811" w:rsidRPr="003160F8">
        <w:rPr>
          <w:noProof w:val="0"/>
          <w:lang w:val="en-GB"/>
        </w:rPr>
        <w:t xml:space="preserve">of DASH </w:t>
      </w:r>
      <w:r w:rsidR="00A24516" w:rsidRPr="003160F8">
        <w:rPr>
          <w:noProof w:val="0"/>
          <w:lang w:val="en-GB"/>
        </w:rPr>
        <w:t>Food Groups</w:t>
      </w:r>
    </w:p>
    <w:p w14:paraId="6C3A2D8D" w14:textId="79866608" w:rsidR="0073171F" w:rsidRPr="003160F8" w:rsidRDefault="0073171F" w:rsidP="00A33971">
      <w:pPr>
        <w:pStyle w:val="MDPI31text"/>
        <w:rPr>
          <w:lang w:val="en-GB"/>
        </w:rPr>
      </w:pPr>
      <w:r w:rsidRPr="003160F8">
        <w:rPr>
          <w:lang w:val="en-GB"/>
        </w:rPr>
        <w:t>By construct, mean (SD) DASH scores centred around 24 (median value between 8 and 40): from 23.7 (4.6) points (Lifeways’ score at early pregnancy from frequencies) to 24.1 (4.3) points (SWS’ score at early pregnancy from frequencies). Spearman’s correlation coefficients (rho (95% CI)) between DASH scores from frequencies and amounts were consistently very high: from 0.88 (0.86, 0.89) for ROLO to 0.92 (0.91, 0.93) for Lifeways, both at early pregnancy (Table</w:t>
      </w:r>
      <w:r w:rsidR="00A24516" w:rsidRPr="003160F8">
        <w:rPr>
          <w:lang w:val="en-GB"/>
        </w:rPr>
        <w:t xml:space="preserve"> </w:t>
      </w:r>
      <w:r w:rsidRPr="003160F8">
        <w:rPr>
          <w:lang w:val="en-GB"/>
        </w:rPr>
        <w:t>S3).</w:t>
      </w:r>
    </w:p>
    <w:p w14:paraId="0EF260CE" w14:textId="480A27A5" w:rsidR="0073171F" w:rsidRPr="003160F8" w:rsidRDefault="0073171F" w:rsidP="00A33971">
      <w:pPr>
        <w:pStyle w:val="MDPI31text"/>
        <w:rPr>
          <w:lang w:val="en-GB"/>
        </w:rPr>
      </w:pPr>
      <w:r w:rsidRPr="003160F8">
        <w:rPr>
          <w:lang w:val="en-GB"/>
        </w:rPr>
        <w:t>Table</w:t>
      </w:r>
      <w:r w:rsidR="00A24516" w:rsidRPr="003160F8">
        <w:rPr>
          <w:lang w:val="en-GB"/>
        </w:rPr>
        <w:t xml:space="preserve"> </w:t>
      </w:r>
      <w:r w:rsidRPr="003160F8">
        <w:rPr>
          <w:lang w:val="en-GB"/>
        </w:rPr>
        <w:t>4 presents median intakes of selected food components of the DASH score cohort and period. Consumption of nuts/seeds/legumes was relatively similar between cohorts: median values were between 0.1 and 0.3 servings/day. Other food component consumption displayed more between-cohort variability: total grains ranged from 1.6 to 3.5 servings/day, vegetables (excluding potatoes and condiments) from 1.5 to 3.6 servings/day, fruits from 1.1 to 3.1 servings/day, non-full-fat dairy products from 0.1 to 2.2 servings/day (or 18 to 417 grams/day in cohorts with data available in amounts), red and processed meats from 0.4 to 1.0 servings/day, sugar-sweetened beverages/sweets/added sugars from 0.3 to 1.7 servings/day, and lastly sodium ranged from 2.2 to 3.3 grams/day.</w:t>
      </w:r>
    </w:p>
    <w:p w14:paraId="03786594" w14:textId="752234DD" w:rsidR="00AB5811" w:rsidRPr="003160F8" w:rsidRDefault="0073171F" w:rsidP="00A33971">
      <w:pPr>
        <w:pStyle w:val="MDPI31text"/>
        <w:rPr>
          <w:lang w:val="en-GB"/>
        </w:rPr>
      </w:pPr>
      <w:r w:rsidRPr="003160F8">
        <w:rPr>
          <w:lang w:val="en-GB"/>
        </w:rPr>
        <w:t>The daily food component intake frequencies corresponding to the quintiles of the distributions for every DASH component (except sodium consumption which are presented as grams/day) are displayed in Figure</w:t>
      </w:r>
      <w:r w:rsidR="00A24516" w:rsidRPr="003160F8">
        <w:rPr>
          <w:lang w:val="en-GB"/>
        </w:rPr>
        <w:t xml:space="preserve"> </w:t>
      </w:r>
      <w:r w:rsidRPr="003160F8">
        <w:rPr>
          <w:lang w:val="en-GB"/>
        </w:rPr>
        <w:t>2. Some differences in quintile distributions were observed between cohorts. For instance, for vegetables (excluding potatoes and condiments) intake, frequency consumption of quintiles 2</w:t>
      </w:r>
      <w:r w:rsidR="00A24516" w:rsidRPr="003160F8">
        <w:rPr>
          <w:lang w:val="en-GB"/>
        </w:rPr>
        <w:t>–</w:t>
      </w:r>
      <w:r w:rsidRPr="003160F8">
        <w:rPr>
          <w:lang w:val="en-GB"/>
        </w:rPr>
        <w:t>4 (20</w:t>
      </w:r>
      <w:r w:rsidRPr="00B31CA8">
        <w:rPr>
          <w:lang w:val="en-GB"/>
        </w:rPr>
        <w:t>th</w:t>
      </w:r>
      <w:r w:rsidRPr="003160F8">
        <w:rPr>
          <w:lang w:val="en-GB"/>
        </w:rPr>
        <w:t xml:space="preserve"> to 80</w:t>
      </w:r>
      <w:r w:rsidRPr="00B31CA8">
        <w:rPr>
          <w:lang w:val="en-GB"/>
        </w:rPr>
        <w:t>th</w:t>
      </w:r>
      <w:r w:rsidRPr="003160F8">
        <w:rPr>
          <w:lang w:val="en-GB"/>
        </w:rPr>
        <w:t xml:space="preserve"> percentile) ranged from 0.7 to 2.7 servings/day in EDEN and 0.9 to 2.0 servings/day in ALSPAC, which are noticeably lower than those observed in other cohorts e.g. 2.2</w:t>
      </w:r>
      <w:r w:rsidR="00A24516" w:rsidRPr="003160F8">
        <w:rPr>
          <w:lang w:val="en-GB"/>
        </w:rPr>
        <w:t>–</w:t>
      </w:r>
      <w:r w:rsidRPr="003160F8">
        <w:rPr>
          <w:lang w:val="en-GB"/>
        </w:rPr>
        <w:t>5.5 servings/day in ROLO. Another example is non-full-fat dairy products, for which frequency consumption of quintiles 2</w:t>
      </w:r>
      <w:r w:rsidR="00A24516" w:rsidRPr="003160F8">
        <w:rPr>
          <w:lang w:val="en-GB"/>
        </w:rPr>
        <w:t>–</w:t>
      </w:r>
      <w:r w:rsidRPr="003160F8">
        <w:rPr>
          <w:lang w:val="en-GB"/>
        </w:rPr>
        <w:t>4 (20</w:t>
      </w:r>
      <w:r w:rsidRPr="00B31CA8">
        <w:rPr>
          <w:lang w:val="en-GB"/>
        </w:rPr>
        <w:t>th</w:t>
      </w:r>
      <w:r w:rsidRPr="003160F8">
        <w:rPr>
          <w:lang w:val="en-GB"/>
        </w:rPr>
        <w:t xml:space="preserve"> to 80</w:t>
      </w:r>
      <w:r w:rsidRPr="00B31CA8">
        <w:rPr>
          <w:lang w:val="en-GB"/>
        </w:rPr>
        <w:t>th</w:t>
      </w:r>
      <w:r w:rsidRPr="003160F8">
        <w:rPr>
          <w:lang w:val="en-GB"/>
        </w:rPr>
        <w:t xml:space="preserve"> percentile) ranged from 0.1 to 1.1, 1.0 to 1.4</w:t>
      </w:r>
      <w:r w:rsidR="00FA2F9A">
        <w:rPr>
          <w:lang w:val="en-GB"/>
        </w:rPr>
        <w:t>,</w:t>
      </w:r>
      <w:r w:rsidRPr="003160F8">
        <w:rPr>
          <w:lang w:val="en-GB"/>
        </w:rPr>
        <w:t xml:space="preserve"> and 1.2 to 3.4 servings/day in Lifeways, ALSPAC and EDEN (during late pregnancy), respectively. Conversely, other food components (e.g. fruits, red and processed meats, sodium) varied less among cohorts.</w:t>
      </w:r>
    </w:p>
    <w:p w14:paraId="3CDD8EB8" w14:textId="77777777" w:rsidR="00283D6E" w:rsidRPr="003160F8" w:rsidRDefault="00283D6E" w:rsidP="00282691">
      <w:pPr>
        <w:pStyle w:val="MDPI41tablecaption"/>
        <w:jc w:val="center"/>
        <w:rPr>
          <w:b/>
          <w:color w:val="auto"/>
          <w:lang w:val="en-GB"/>
        </w:rPr>
        <w:sectPr w:rsidR="00283D6E" w:rsidRPr="003160F8" w:rsidSect="00A24516">
          <w:pgSz w:w="11906" w:h="16838" w:code="9"/>
          <w:pgMar w:top="1417" w:right="1531" w:bottom="1077" w:left="1531" w:header="1020" w:footer="850" w:gutter="0"/>
          <w:cols w:space="425"/>
          <w:docGrid w:type="lines" w:linePitch="326"/>
        </w:sectPr>
      </w:pPr>
    </w:p>
    <w:p w14:paraId="1AB90C47" w14:textId="448A5B2D" w:rsidR="0015059B" w:rsidRPr="003160F8" w:rsidRDefault="00A24516" w:rsidP="00A24516">
      <w:pPr>
        <w:pStyle w:val="MDPI41tablecaption"/>
        <w:jc w:val="center"/>
        <w:rPr>
          <w:lang w:val="en-GB"/>
        </w:rPr>
      </w:pPr>
      <w:r w:rsidRPr="003160F8">
        <w:rPr>
          <w:b/>
          <w:lang w:val="en-GB"/>
        </w:rPr>
        <w:t>Table 4.</w:t>
      </w:r>
      <w:r w:rsidR="00282691" w:rsidRPr="003160F8">
        <w:rPr>
          <w:b/>
          <w:lang w:val="en-GB"/>
        </w:rPr>
        <w:t xml:space="preserve"> </w:t>
      </w:r>
      <w:r w:rsidR="00282691" w:rsidRPr="003160F8">
        <w:rPr>
          <w:lang w:val="en-GB"/>
        </w:rPr>
        <w:t>Median intakes of DASH food components by cohort and period in the ALPHABET consortium.</w:t>
      </w:r>
    </w:p>
    <w:tbl>
      <w:tblPr>
        <w:tblW w:w="5000" w:type="pct"/>
        <w:jc w:val="center"/>
        <w:tblCellMar>
          <w:left w:w="57" w:type="dxa"/>
          <w:right w:w="57" w:type="dxa"/>
        </w:tblCellMar>
        <w:tblLook w:val="04A0" w:firstRow="1" w:lastRow="0" w:firstColumn="1" w:lastColumn="0" w:noHBand="0" w:noVBand="1"/>
      </w:tblPr>
      <w:tblGrid>
        <w:gridCol w:w="140"/>
        <w:gridCol w:w="17"/>
        <w:gridCol w:w="604"/>
        <w:gridCol w:w="653"/>
        <w:gridCol w:w="697"/>
        <w:gridCol w:w="600"/>
        <w:gridCol w:w="754"/>
        <w:gridCol w:w="600"/>
        <w:gridCol w:w="754"/>
        <w:gridCol w:w="623"/>
        <w:gridCol w:w="786"/>
        <w:gridCol w:w="600"/>
        <w:gridCol w:w="754"/>
        <w:gridCol w:w="654"/>
        <w:gridCol w:w="697"/>
        <w:gridCol w:w="600"/>
        <w:gridCol w:w="754"/>
        <w:gridCol w:w="600"/>
        <w:gridCol w:w="754"/>
        <w:gridCol w:w="600"/>
        <w:gridCol w:w="754"/>
        <w:gridCol w:w="600"/>
        <w:gridCol w:w="749"/>
      </w:tblGrid>
      <w:tr w:rsidR="00C73C94" w:rsidRPr="003160F8" w14:paraId="3E56DF1E" w14:textId="77777777" w:rsidTr="00B0160C">
        <w:trPr>
          <w:jc w:val="center"/>
        </w:trPr>
        <w:tc>
          <w:tcPr>
            <w:tcW w:w="55" w:type="pct"/>
            <w:gridSpan w:val="2"/>
            <w:tcBorders>
              <w:top w:val="single" w:sz="8" w:space="0" w:color="auto"/>
            </w:tcBorders>
            <w:shd w:val="clear" w:color="auto" w:fill="auto"/>
            <w:noWrap/>
            <w:vAlign w:val="center"/>
          </w:tcPr>
          <w:p w14:paraId="357960A7" w14:textId="77777777" w:rsidR="00C73C94" w:rsidRPr="003160F8" w:rsidRDefault="00C73C94" w:rsidP="00C73C94">
            <w:pPr>
              <w:pStyle w:val="MDPI42tablebody"/>
              <w:autoSpaceDE w:val="0"/>
              <w:autoSpaceDN w:val="0"/>
              <w:spacing w:line="240" w:lineRule="auto"/>
              <w:rPr>
                <w:b/>
                <w:color w:val="auto"/>
                <w:lang w:val="en-GB" w:eastAsia="en-GB"/>
              </w:rPr>
            </w:pPr>
          </w:p>
        </w:tc>
        <w:tc>
          <w:tcPr>
            <w:tcW w:w="211" w:type="pct"/>
            <w:tcBorders>
              <w:top w:val="single" w:sz="8" w:space="0" w:color="auto"/>
            </w:tcBorders>
            <w:shd w:val="clear" w:color="auto" w:fill="auto"/>
            <w:noWrap/>
            <w:vAlign w:val="center"/>
          </w:tcPr>
          <w:p w14:paraId="0C7DC561" w14:textId="77777777" w:rsidR="00C73C94" w:rsidRPr="003160F8" w:rsidRDefault="00C73C94" w:rsidP="00C73C94">
            <w:pPr>
              <w:pStyle w:val="MDPI42tablebody"/>
              <w:autoSpaceDE w:val="0"/>
              <w:autoSpaceDN w:val="0"/>
              <w:spacing w:line="240" w:lineRule="auto"/>
              <w:rPr>
                <w:b/>
                <w:color w:val="auto"/>
                <w:lang w:val="en-GB" w:eastAsia="en-GB"/>
              </w:rPr>
            </w:pPr>
          </w:p>
        </w:tc>
        <w:tc>
          <w:tcPr>
            <w:tcW w:w="471" w:type="pct"/>
            <w:gridSpan w:val="2"/>
            <w:tcBorders>
              <w:top w:val="single" w:sz="8" w:space="0" w:color="auto"/>
            </w:tcBorders>
            <w:shd w:val="clear" w:color="auto" w:fill="auto"/>
            <w:vAlign w:val="center"/>
          </w:tcPr>
          <w:p w14:paraId="5009E47E" w14:textId="77777777" w:rsidR="00C73C94" w:rsidRPr="003160F8" w:rsidRDefault="00C73C94" w:rsidP="00C73C94">
            <w:pPr>
              <w:pStyle w:val="MDPI42tablebody"/>
              <w:autoSpaceDE w:val="0"/>
              <w:autoSpaceDN w:val="0"/>
              <w:spacing w:line="240" w:lineRule="auto"/>
              <w:rPr>
                <w:b/>
                <w:color w:val="auto"/>
                <w:lang w:val="en-GB" w:eastAsia="en-GB"/>
              </w:rPr>
            </w:pPr>
            <w:r w:rsidRPr="003160F8">
              <w:rPr>
                <w:b/>
                <w:color w:val="auto"/>
                <w:lang w:val="en-GB" w:eastAsia="en-GB"/>
              </w:rPr>
              <w:t>ALSPAC</w:t>
            </w:r>
          </w:p>
        </w:tc>
        <w:tc>
          <w:tcPr>
            <w:tcW w:w="944" w:type="pct"/>
            <w:gridSpan w:val="4"/>
            <w:tcBorders>
              <w:top w:val="single" w:sz="8" w:space="0" w:color="auto"/>
            </w:tcBorders>
            <w:shd w:val="clear" w:color="auto" w:fill="auto"/>
            <w:noWrap/>
            <w:vAlign w:val="center"/>
          </w:tcPr>
          <w:p w14:paraId="268F8FD7" w14:textId="77777777" w:rsidR="00C73C94" w:rsidRPr="003160F8" w:rsidRDefault="00C73C94" w:rsidP="00C73C94">
            <w:pPr>
              <w:pStyle w:val="MDPI42tablebody"/>
              <w:autoSpaceDE w:val="0"/>
              <w:autoSpaceDN w:val="0"/>
              <w:spacing w:line="240" w:lineRule="auto"/>
              <w:rPr>
                <w:b/>
                <w:color w:val="auto"/>
                <w:lang w:val="en-GB" w:eastAsia="en-GB"/>
              </w:rPr>
            </w:pPr>
            <w:r w:rsidRPr="003160F8">
              <w:rPr>
                <w:b/>
                <w:color w:val="auto"/>
                <w:lang w:val="en-GB" w:eastAsia="en-GB"/>
              </w:rPr>
              <w:t>EDEN</w:t>
            </w:r>
          </w:p>
        </w:tc>
        <w:tc>
          <w:tcPr>
            <w:tcW w:w="491" w:type="pct"/>
            <w:gridSpan w:val="2"/>
            <w:tcBorders>
              <w:top w:val="single" w:sz="8" w:space="0" w:color="auto"/>
            </w:tcBorders>
            <w:shd w:val="clear" w:color="auto" w:fill="auto"/>
            <w:vAlign w:val="center"/>
          </w:tcPr>
          <w:p w14:paraId="6C8DEB51" w14:textId="77777777" w:rsidR="00C73C94" w:rsidRPr="003160F8" w:rsidRDefault="00C73C94" w:rsidP="00C73C94">
            <w:pPr>
              <w:pStyle w:val="MDPI42tablebody"/>
              <w:autoSpaceDE w:val="0"/>
              <w:autoSpaceDN w:val="0"/>
              <w:spacing w:line="240" w:lineRule="auto"/>
              <w:rPr>
                <w:b/>
                <w:color w:val="auto"/>
                <w:lang w:val="en-GB" w:eastAsia="en-GB"/>
              </w:rPr>
            </w:pPr>
            <w:r w:rsidRPr="003160F8">
              <w:rPr>
                <w:b/>
                <w:color w:val="auto"/>
                <w:lang w:val="en-GB" w:eastAsia="en-GB"/>
              </w:rPr>
              <w:t>Generation R</w:t>
            </w:r>
          </w:p>
        </w:tc>
        <w:tc>
          <w:tcPr>
            <w:tcW w:w="472" w:type="pct"/>
            <w:gridSpan w:val="2"/>
            <w:tcBorders>
              <w:top w:val="single" w:sz="8" w:space="0" w:color="auto"/>
            </w:tcBorders>
            <w:shd w:val="clear" w:color="auto" w:fill="auto"/>
            <w:noWrap/>
            <w:vAlign w:val="center"/>
          </w:tcPr>
          <w:p w14:paraId="1B8975D1" w14:textId="77777777" w:rsidR="00C73C94" w:rsidRPr="003160F8" w:rsidRDefault="00C73C94" w:rsidP="00C73C94">
            <w:pPr>
              <w:pStyle w:val="MDPI42tablebody"/>
              <w:autoSpaceDE w:val="0"/>
              <w:autoSpaceDN w:val="0"/>
              <w:spacing w:line="240" w:lineRule="auto"/>
              <w:rPr>
                <w:b/>
                <w:color w:val="auto"/>
                <w:lang w:val="en-GB" w:eastAsia="en-GB"/>
              </w:rPr>
            </w:pPr>
            <w:r w:rsidRPr="003160F8">
              <w:rPr>
                <w:b/>
                <w:color w:val="auto"/>
                <w:lang w:val="en-GB" w:eastAsia="en-GB"/>
              </w:rPr>
              <w:t>Lifeways</w:t>
            </w:r>
          </w:p>
        </w:tc>
        <w:tc>
          <w:tcPr>
            <w:tcW w:w="471" w:type="pct"/>
            <w:gridSpan w:val="2"/>
            <w:tcBorders>
              <w:top w:val="single" w:sz="8" w:space="0" w:color="auto"/>
            </w:tcBorders>
            <w:shd w:val="clear" w:color="auto" w:fill="auto"/>
            <w:noWrap/>
            <w:vAlign w:val="center"/>
          </w:tcPr>
          <w:p w14:paraId="0379A247" w14:textId="77777777" w:rsidR="00C73C94" w:rsidRPr="003160F8" w:rsidRDefault="00C73C94" w:rsidP="00C73C94">
            <w:pPr>
              <w:pStyle w:val="MDPI42tablebody"/>
              <w:autoSpaceDE w:val="0"/>
              <w:autoSpaceDN w:val="0"/>
              <w:spacing w:line="240" w:lineRule="auto"/>
              <w:rPr>
                <w:b/>
                <w:color w:val="auto"/>
                <w:lang w:val="en-GB" w:eastAsia="en-GB"/>
              </w:rPr>
            </w:pPr>
            <w:r w:rsidRPr="003160F8">
              <w:rPr>
                <w:b/>
                <w:color w:val="auto"/>
                <w:lang w:val="en-GB" w:eastAsia="en-GB"/>
              </w:rPr>
              <w:t>REPRO_PL</w:t>
            </w:r>
          </w:p>
        </w:tc>
        <w:tc>
          <w:tcPr>
            <w:tcW w:w="472" w:type="pct"/>
            <w:gridSpan w:val="2"/>
            <w:tcBorders>
              <w:top w:val="single" w:sz="8" w:space="0" w:color="auto"/>
            </w:tcBorders>
            <w:shd w:val="clear" w:color="auto" w:fill="auto"/>
            <w:vAlign w:val="center"/>
          </w:tcPr>
          <w:p w14:paraId="6C533EFA" w14:textId="77777777" w:rsidR="00C73C94" w:rsidRPr="003160F8" w:rsidRDefault="00C73C94" w:rsidP="00C73C94">
            <w:pPr>
              <w:pStyle w:val="MDPI42tablebody"/>
              <w:autoSpaceDE w:val="0"/>
              <w:autoSpaceDN w:val="0"/>
              <w:spacing w:line="240" w:lineRule="auto"/>
              <w:rPr>
                <w:b/>
                <w:color w:val="auto"/>
                <w:lang w:val="en-GB" w:eastAsia="en-GB"/>
              </w:rPr>
            </w:pPr>
            <w:r w:rsidRPr="003160F8">
              <w:rPr>
                <w:b/>
                <w:color w:val="auto"/>
                <w:lang w:val="en-GB" w:eastAsia="en-GB"/>
              </w:rPr>
              <w:t>ROLO</w:t>
            </w:r>
          </w:p>
        </w:tc>
        <w:tc>
          <w:tcPr>
            <w:tcW w:w="1415" w:type="pct"/>
            <w:gridSpan w:val="6"/>
            <w:tcBorders>
              <w:top w:val="single" w:sz="8" w:space="0" w:color="auto"/>
            </w:tcBorders>
            <w:shd w:val="clear" w:color="auto" w:fill="auto"/>
            <w:vAlign w:val="center"/>
          </w:tcPr>
          <w:p w14:paraId="50A3FE12" w14:textId="77777777" w:rsidR="00C73C94" w:rsidRPr="003160F8" w:rsidRDefault="00C73C94" w:rsidP="00C73C94">
            <w:pPr>
              <w:pStyle w:val="MDPI42tablebody"/>
              <w:autoSpaceDE w:val="0"/>
              <w:autoSpaceDN w:val="0"/>
              <w:spacing w:line="240" w:lineRule="auto"/>
              <w:rPr>
                <w:b/>
                <w:color w:val="auto"/>
                <w:lang w:val="en-GB" w:eastAsia="en-GB"/>
              </w:rPr>
            </w:pPr>
            <w:r w:rsidRPr="003160F8">
              <w:rPr>
                <w:b/>
                <w:color w:val="auto"/>
                <w:lang w:val="en-GB" w:eastAsia="en-GB"/>
              </w:rPr>
              <w:t>SWS</w:t>
            </w:r>
          </w:p>
        </w:tc>
      </w:tr>
      <w:tr w:rsidR="00C73C94" w:rsidRPr="00DD5FF8" w14:paraId="6BC91A95" w14:textId="77777777" w:rsidTr="00B0160C">
        <w:trPr>
          <w:jc w:val="center"/>
        </w:trPr>
        <w:tc>
          <w:tcPr>
            <w:tcW w:w="55" w:type="pct"/>
            <w:gridSpan w:val="2"/>
            <w:shd w:val="clear" w:color="auto" w:fill="auto"/>
            <w:noWrap/>
            <w:vAlign w:val="center"/>
            <w:hideMark/>
          </w:tcPr>
          <w:p w14:paraId="25BA4EED" w14:textId="77777777" w:rsidR="00C73C94" w:rsidRPr="003160F8" w:rsidRDefault="00C73C94" w:rsidP="00C73C94">
            <w:pPr>
              <w:pStyle w:val="MDPI42tablebody"/>
              <w:autoSpaceDE w:val="0"/>
              <w:autoSpaceDN w:val="0"/>
              <w:spacing w:line="240" w:lineRule="auto"/>
              <w:rPr>
                <w:b/>
                <w:color w:val="auto"/>
                <w:lang w:val="en-GB" w:eastAsia="en-GB"/>
              </w:rPr>
            </w:pPr>
          </w:p>
        </w:tc>
        <w:tc>
          <w:tcPr>
            <w:tcW w:w="211" w:type="pct"/>
            <w:shd w:val="clear" w:color="auto" w:fill="auto"/>
            <w:noWrap/>
            <w:vAlign w:val="center"/>
            <w:hideMark/>
          </w:tcPr>
          <w:p w14:paraId="7772A972" w14:textId="77777777" w:rsidR="00C73C94" w:rsidRPr="003160F8" w:rsidRDefault="00C73C94" w:rsidP="00C73C94">
            <w:pPr>
              <w:pStyle w:val="MDPI42tablebody"/>
              <w:autoSpaceDE w:val="0"/>
              <w:autoSpaceDN w:val="0"/>
              <w:spacing w:line="240" w:lineRule="auto"/>
              <w:rPr>
                <w:color w:val="auto"/>
                <w:lang w:val="en-GB" w:eastAsia="en-GB"/>
              </w:rPr>
            </w:pPr>
          </w:p>
        </w:tc>
        <w:tc>
          <w:tcPr>
            <w:tcW w:w="471" w:type="pct"/>
            <w:gridSpan w:val="2"/>
            <w:shd w:val="clear" w:color="auto" w:fill="auto"/>
            <w:vAlign w:val="center"/>
          </w:tcPr>
          <w:p w14:paraId="04DB61F8" w14:textId="77777777" w:rsidR="00C73C94" w:rsidRPr="00DD5FF8" w:rsidRDefault="00C73C94" w:rsidP="00C73C94">
            <w:pPr>
              <w:pStyle w:val="MDPI42tablebody"/>
              <w:autoSpaceDE w:val="0"/>
              <w:autoSpaceDN w:val="0"/>
              <w:spacing w:line="240" w:lineRule="auto"/>
              <w:rPr>
                <w:b/>
                <w:bCs/>
                <w:color w:val="auto"/>
                <w:szCs w:val="18"/>
                <w:vertAlign w:val="superscript"/>
                <w:lang w:val="en-GB" w:eastAsia="en-GB"/>
              </w:rPr>
            </w:pPr>
            <w:r w:rsidRPr="00DD5FF8">
              <w:rPr>
                <w:b/>
                <w:bCs/>
                <w:color w:val="auto"/>
                <w:szCs w:val="18"/>
                <w:lang w:val="en-GB" w:eastAsia="en-GB"/>
              </w:rPr>
              <w:t>LP</w:t>
            </w:r>
          </w:p>
        </w:tc>
        <w:tc>
          <w:tcPr>
            <w:tcW w:w="472" w:type="pct"/>
            <w:gridSpan w:val="2"/>
            <w:shd w:val="clear" w:color="auto" w:fill="auto"/>
            <w:noWrap/>
            <w:vAlign w:val="center"/>
            <w:hideMark/>
          </w:tcPr>
          <w:p w14:paraId="6F4A1BC4"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PP</w:t>
            </w:r>
          </w:p>
        </w:tc>
        <w:tc>
          <w:tcPr>
            <w:tcW w:w="472" w:type="pct"/>
            <w:gridSpan w:val="2"/>
            <w:shd w:val="clear" w:color="auto" w:fill="auto"/>
            <w:noWrap/>
            <w:vAlign w:val="center"/>
            <w:hideMark/>
          </w:tcPr>
          <w:p w14:paraId="091822A5"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LP</w:t>
            </w:r>
          </w:p>
        </w:tc>
        <w:tc>
          <w:tcPr>
            <w:tcW w:w="491" w:type="pct"/>
            <w:gridSpan w:val="2"/>
            <w:shd w:val="clear" w:color="auto" w:fill="auto"/>
            <w:vAlign w:val="center"/>
          </w:tcPr>
          <w:p w14:paraId="7DF5D1E7"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EP</w:t>
            </w:r>
          </w:p>
        </w:tc>
        <w:tc>
          <w:tcPr>
            <w:tcW w:w="472" w:type="pct"/>
            <w:gridSpan w:val="2"/>
            <w:shd w:val="clear" w:color="auto" w:fill="auto"/>
            <w:noWrap/>
            <w:vAlign w:val="center"/>
            <w:hideMark/>
          </w:tcPr>
          <w:p w14:paraId="5A829370"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EP</w:t>
            </w:r>
          </w:p>
        </w:tc>
        <w:tc>
          <w:tcPr>
            <w:tcW w:w="471" w:type="pct"/>
            <w:gridSpan w:val="2"/>
            <w:shd w:val="clear" w:color="auto" w:fill="auto"/>
            <w:noWrap/>
            <w:vAlign w:val="center"/>
            <w:hideMark/>
          </w:tcPr>
          <w:p w14:paraId="5E5F07BA"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EP</w:t>
            </w:r>
          </w:p>
        </w:tc>
        <w:tc>
          <w:tcPr>
            <w:tcW w:w="472" w:type="pct"/>
            <w:gridSpan w:val="2"/>
            <w:shd w:val="clear" w:color="auto" w:fill="auto"/>
            <w:vAlign w:val="center"/>
          </w:tcPr>
          <w:p w14:paraId="7EB854D1"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EP</w:t>
            </w:r>
          </w:p>
        </w:tc>
        <w:tc>
          <w:tcPr>
            <w:tcW w:w="472" w:type="pct"/>
            <w:gridSpan w:val="2"/>
            <w:shd w:val="clear" w:color="auto" w:fill="auto"/>
            <w:vAlign w:val="center"/>
          </w:tcPr>
          <w:p w14:paraId="009AC580"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PP</w:t>
            </w:r>
          </w:p>
        </w:tc>
        <w:tc>
          <w:tcPr>
            <w:tcW w:w="472" w:type="pct"/>
            <w:gridSpan w:val="2"/>
            <w:shd w:val="clear" w:color="auto" w:fill="auto"/>
            <w:vAlign w:val="center"/>
          </w:tcPr>
          <w:p w14:paraId="4C975E72"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EP</w:t>
            </w:r>
          </w:p>
        </w:tc>
        <w:tc>
          <w:tcPr>
            <w:tcW w:w="472" w:type="pct"/>
            <w:gridSpan w:val="2"/>
            <w:shd w:val="clear" w:color="auto" w:fill="auto"/>
            <w:vAlign w:val="center"/>
          </w:tcPr>
          <w:p w14:paraId="660F15ED"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LP</w:t>
            </w:r>
          </w:p>
        </w:tc>
      </w:tr>
      <w:tr w:rsidR="00C73C94" w:rsidRPr="00DD5FF8" w14:paraId="75D785FB" w14:textId="77777777" w:rsidTr="00B0160C">
        <w:trPr>
          <w:jc w:val="center"/>
        </w:trPr>
        <w:tc>
          <w:tcPr>
            <w:tcW w:w="55" w:type="pct"/>
            <w:gridSpan w:val="2"/>
            <w:tcBorders>
              <w:bottom w:val="single" w:sz="4" w:space="0" w:color="auto"/>
            </w:tcBorders>
            <w:shd w:val="clear" w:color="auto" w:fill="auto"/>
            <w:noWrap/>
            <w:vAlign w:val="center"/>
            <w:hideMark/>
          </w:tcPr>
          <w:p w14:paraId="1D0DBF24" w14:textId="77777777" w:rsidR="00C73C94" w:rsidRPr="003160F8" w:rsidRDefault="00C73C94" w:rsidP="00C73C94">
            <w:pPr>
              <w:pStyle w:val="MDPI42tablebody"/>
              <w:autoSpaceDE w:val="0"/>
              <w:autoSpaceDN w:val="0"/>
              <w:spacing w:line="240" w:lineRule="auto"/>
              <w:rPr>
                <w:b/>
                <w:color w:val="auto"/>
                <w:szCs w:val="18"/>
                <w:lang w:val="en-GB" w:eastAsia="en-GB"/>
              </w:rPr>
            </w:pPr>
          </w:p>
        </w:tc>
        <w:tc>
          <w:tcPr>
            <w:tcW w:w="211" w:type="pct"/>
            <w:tcBorders>
              <w:bottom w:val="single" w:sz="4" w:space="0" w:color="auto"/>
            </w:tcBorders>
            <w:shd w:val="clear" w:color="auto" w:fill="auto"/>
            <w:noWrap/>
            <w:vAlign w:val="center"/>
            <w:hideMark/>
          </w:tcPr>
          <w:p w14:paraId="336A890B" w14:textId="77777777" w:rsidR="00C73C94" w:rsidRPr="003160F8" w:rsidRDefault="00C73C94" w:rsidP="00C73C94">
            <w:pPr>
              <w:pStyle w:val="MDPI42tablebody"/>
              <w:autoSpaceDE w:val="0"/>
              <w:autoSpaceDN w:val="0"/>
              <w:spacing w:line="240" w:lineRule="auto"/>
              <w:rPr>
                <w:color w:val="auto"/>
                <w:lang w:val="en-GB" w:eastAsia="en-GB"/>
              </w:rPr>
            </w:pPr>
          </w:p>
        </w:tc>
        <w:tc>
          <w:tcPr>
            <w:tcW w:w="471" w:type="pct"/>
            <w:gridSpan w:val="2"/>
            <w:tcBorders>
              <w:bottom w:val="single" w:sz="4" w:space="0" w:color="auto"/>
            </w:tcBorders>
            <w:shd w:val="clear" w:color="auto" w:fill="auto"/>
            <w:vAlign w:val="center"/>
          </w:tcPr>
          <w:p w14:paraId="191830FB"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Median[IQR]</w:t>
            </w:r>
          </w:p>
        </w:tc>
        <w:tc>
          <w:tcPr>
            <w:tcW w:w="472" w:type="pct"/>
            <w:gridSpan w:val="2"/>
            <w:tcBorders>
              <w:bottom w:val="single" w:sz="4" w:space="0" w:color="auto"/>
            </w:tcBorders>
            <w:shd w:val="clear" w:color="auto" w:fill="auto"/>
            <w:noWrap/>
            <w:vAlign w:val="center"/>
            <w:hideMark/>
          </w:tcPr>
          <w:p w14:paraId="501BD9AF"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Median[IQR]</w:t>
            </w:r>
          </w:p>
        </w:tc>
        <w:tc>
          <w:tcPr>
            <w:tcW w:w="472" w:type="pct"/>
            <w:gridSpan w:val="2"/>
            <w:tcBorders>
              <w:bottom w:val="single" w:sz="4" w:space="0" w:color="auto"/>
            </w:tcBorders>
            <w:shd w:val="clear" w:color="auto" w:fill="auto"/>
            <w:noWrap/>
            <w:vAlign w:val="center"/>
            <w:hideMark/>
          </w:tcPr>
          <w:p w14:paraId="577AF9DF"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Median[IQR]</w:t>
            </w:r>
          </w:p>
        </w:tc>
        <w:tc>
          <w:tcPr>
            <w:tcW w:w="491" w:type="pct"/>
            <w:gridSpan w:val="2"/>
            <w:tcBorders>
              <w:bottom w:val="single" w:sz="4" w:space="0" w:color="auto"/>
            </w:tcBorders>
            <w:shd w:val="clear" w:color="auto" w:fill="auto"/>
            <w:vAlign w:val="center"/>
          </w:tcPr>
          <w:p w14:paraId="23D0BE0C"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Median[IQR]</w:t>
            </w:r>
          </w:p>
        </w:tc>
        <w:tc>
          <w:tcPr>
            <w:tcW w:w="472" w:type="pct"/>
            <w:gridSpan w:val="2"/>
            <w:tcBorders>
              <w:bottom w:val="single" w:sz="4" w:space="0" w:color="auto"/>
            </w:tcBorders>
            <w:shd w:val="clear" w:color="auto" w:fill="auto"/>
            <w:noWrap/>
            <w:vAlign w:val="center"/>
            <w:hideMark/>
          </w:tcPr>
          <w:p w14:paraId="1A17AAA1"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Median[IQR]</w:t>
            </w:r>
          </w:p>
        </w:tc>
        <w:tc>
          <w:tcPr>
            <w:tcW w:w="471" w:type="pct"/>
            <w:gridSpan w:val="2"/>
            <w:tcBorders>
              <w:bottom w:val="single" w:sz="4" w:space="0" w:color="auto"/>
            </w:tcBorders>
            <w:shd w:val="clear" w:color="auto" w:fill="auto"/>
            <w:noWrap/>
            <w:vAlign w:val="center"/>
            <w:hideMark/>
          </w:tcPr>
          <w:p w14:paraId="18F994EB"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Median[IQR]</w:t>
            </w:r>
          </w:p>
        </w:tc>
        <w:tc>
          <w:tcPr>
            <w:tcW w:w="472" w:type="pct"/>
            <w:gridSpan w:val="2"/>
            <w:tcBorders>
              <w:bottom w:val="single" w:sz="4" w:space="0" w:color="auto"/>
            </w:tcBorders>
            <w:shd w:val="clear" w:color="auto" w:fill="auto"/>
            <w:vAlign w:val="center"/>
          </w:tcPr>
          <w:p w14:paraId="39D2B837"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Median[IQR]</w:t>
            </w:r>
          </w:p>
        </w:tc>
        <w:tc>
          <w:tcPr>
            <w:tcW w:w="472" w:type="pct"/>
            <w:gridSpan w:val="2"/>
            <w:tcBorders>
              <w:bottom w:val="single" w:sz="4" w:space="0" w:color="auto"/>
            </w:tcBorders>
            <w:shd w:val="clear" w:color="auto" w:fill="auto"/>
            <w:vAlign w:val="center"/>
          </w:tcPr>
          <w:p w14:paraId="63F1DC56"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Median[IQR]</w:t>
            </w:r>
          </w:p>
        </w:tc>
        <w:tc>
          <w:tcPr>
            <w:tcW w:w="472" w:type="pct"/>
            <w:gridSpan w:val="2"/>
            <w:tcBorders>
              <w:bottom w:val="single" w:sz="4" w:space="0" w:color="auto"/>
            </w:tcBorders>
            <w:shd w:val="clear" w:color="auto" w:fill="auto"/>
            <w:vAlign w:val="center"/>
          </w:tcPr>
          <w:p w14:paraId="509EBE96"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Median[IQR]</w:t>
            </w:r>
          </w:p>
        </w:tc>
        <w:tc>
          <w:tcPr>
            <w:tcW w:w="472" w:type="pct"/>
            <w:gridSpan w:val="2"/>
            <w:tcBorders>
              <w:bottom w:val="single" w:sz="4" w:space="0" w:color="auto"/>
            </w:tcBorders>
            <w:shd w:val="clear" w:color="auto" w:fill="auto"/>
            <w:vAlign w:val="center"/>
          </w:tcPr>
          <w:p w14:paraId="7502572E" w14:textId="77777777" w:rsidR="00C73C94" w:rsidRPr="00DD5FF8" w:rsidRDefault="00C73C94" w:rsidP="00C73C94">
            <w:pPr>
              <w:pStyle w:val="MDPI42tablebody"/>
              <w:autoSpaceDE w:val="0"/>
              <w:autoSpaceDN w:val="0"/>
              <w:spacing w:line="240" w:lineRule="auto"/>
              <w:rPr>
                <w:b/>
                <w:bCs/>
                <w:color w:val="auto"/>
                <w:szCs w:val="18"/>
                <w:lang w:val="en-GB" w:eastAsia="en-GB"/>
              </w:rPr>
            </w:pPr>
            <w:r w:rsidRPr="00DD5FF8">
              <w:rPr>
                <w:b/>
                <w:bCs/>
                <w:color w:val="auto"/>
                <w:szCs w:val="18"/>
                <w:lang w:val="en-GB" w:eastAsia="en-GB"/>
              </w:rPr>
              <w:t>Median[IQR]</w:t>
            </w:r>
          </w:p>
        </w:tc>
      </w:tr>
      <w:tr w:rsidR="00C73C94" w:rsidRPr="003160F8" w14:paraId="5B553ED1" w14:textId="77777777" w:rsidTr="00B0160C">
        <w:trPr>
          <w:jc w:val="center"/>
        </w:trPr>
        <w:tc>
          <w:tcPr>
            <w:tcW w:w="5000" w:type="pct"/>
            <w:gridSpan w:val="23"/>
            <w:tcBorders>
              <w:top w:val="single" w:sz="4" w:space="0" w:color="auto"/>
            </w:tcBorders>
            <w:shd w:val="clear" w:color="auto" w:fill="auto"/>
            <w:vAlign w:val="center"/>
          </w:tcPr>
          <w:p w14:paraId="683BDB34" w14:textId="77777777" w:rsidR="00C73C94" w:rsidRPr="003160F8" w:rsidRDefault="00C73C94" w:rsidP="00C73C94">
            <w:pPr>
              <w:pStyle w:val="MDPI42tablebody"/>
              <w:autoSpaceDE w:val="0"/>
              <w:autoSpaceDN w:val="0"/>
              <w:spacing w:line="240" w:lineRule="auto"/>
              <w:rPr>
                <w:b/>
                <w:color w:val="auto"/>
                <w:szCs w:val="18"/>
                <w:lang w:val="en-GB" w:eastAsia="en-GB"/>
              </w:rPr>
            </w:pPr>
            <w:r w:rsidRPr="003160F8">
              <w:rPr>
                <w:b/>
                <w:color w:val="auto"/>
                <w:szCs w:val="18"/>
                <w:lang w:val="en-GB" w:eastAsia="en-GB"/>
              </w:rPr>
              <w:t>Total grains</w:t>
            </w:r>
          </w:p>
        </w:tc>
      </w:tr>
      <w:tr w:rsidR="00B0160C" w:rsidRPr="003160F8" w14:paraId="5EB17DFA" w14:textId="77777777" w:rsidTr="00B0160C">
        <w:trPr>
          <w:jc w:val="center"/>
        </w:trPr>
        <w:tc>
          <w:tcPr>
            <w:tcW w:w="49" w:type="pct"/>
            <w:shd w:val="clear" w:color="auto" w:fill="auto"/>
            <w:noWrap/>
            <w:vAlign w:val="center"/>
          </w:tcPr>
          <w:p w14:paraId="7057CB76" w14:textId="77777777" w:rsidR="00C73C94" w:rsidRPr="003160F8" w:rsidRDefault="00C73C94" w:rsidP="00C73C94">
            <w:pPr>
              <w:pStyle w:val="MDPI42tablebody"/>
              <w:autoSpaceDE w:val="0"/>
              <w:autoSpaceDN w:val="0"/>
              <w:spacing w:line="240" w:lineRule="auto"/>
              <w:rPr>
                <w:color w:val="auto"/>
                <w:szCs w:val="18"/>
                <w:lang w:val="en-GB" w:eastAsia="en-GB"/>
              </w:rPr>
            </w:pPr>
          </w:p>
        </w:tc>
        <w:tc>
          <w:tcPr>
            <w:tcW w:w="216" w:type="pct"/>
            <w:gridSpan w:val="2"/>
            <w:shd w:val="clear" w:color="auto" w:fill="auto"/>
            <w:noWrap/>
            <w:vAlign w:val="center"/>
            <w:hideMark/>
          </w:tcPr>
          <w:p w14:paraId="73257183" w14:textId="626489A3" w:rsidR="00C73C94" w:rsidRPr="003160F8" w:rsidRDefault="00C73C94" w:rsidP="00C73C94">
            <w:pPr>
              <w:pStyle w:val="MDPI42tablebody"/>
              <w:autoSpaceDE w:val="0"/>
              <w:autoSpaceDN w:val="0"/>
              <w:spacing w:line="240" w:lineRule="auto"/>
              <w:rPr>
                <w:color w:val="auto"/>
                <w:szCs w:val="18"/>
                <w:vertAlign w:val="superscript"/>
                <w:lang w:val="en-GB" w:eastAsia="en-GB"/>
              </w:rPr>
            </w:pPr>
            <w:r w:rsidRPr="003160F8">
              <w:rPr>
                <w:color w:val="auto"/>
                <w:szCs w:val="18"/>
                <w:lang w:val="en-GB" w:eastAsia="en-GB"/>
              </w:rPr>
              <w:t xml:space="preserve">f/d </w:t>
            </w:r>
            <w:r w:rsidRPr="003160F8">
              <w:rPr>
                <w:color w:val="auto"/>
                <w:szCs w:val="18"/>
                <w:vertAlign w:val="superscript"/>
                <w:lang w:val="en-GB" w:eastAsia="en-GB"/>
              </w:rPr>
              <w:t>1</w:t>
            </w:r>
          </w:p>
        </w:tc>
        <w:tc>
          <w:tcPr>
            <w:tcW w:w="228" w:type="pct"/>
            <w:shd w:val="clear" w:color="auto" w:fill="auto"/>
            <w:vAlign w:val="center"/>
          </w:tcPr>
          <w:p w14:paraId="7E80B455"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3.4</w:t>
            </w:r>
          </w:p>
        </w:tc>
        <w:tc>
          <w:tcPr>
            <w:tcW w:w="243" w:type="pct"/>
            <w:shd w:val="clear" w:color="auto" w:fill="auto"/>
            <w:vAlign w:val="center"/>
          </w:tcPr>
          <w:p w14:paraId="2A9329E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[1.4]</w:t>
            </w:r>
          </w:p>
        </w:tc>
        <w:tc>
          <w:tcPr>
            <w:tcW w:w="209" w:type="pct"/>
            <w:shd w:val="clear" w:color="auto" w:fill="auto"/>
            <w:noWrap/>
            <w:vAlign w:val="center"/>
            <w:hideMark/>
          </w:tcPr>
          <w:p w14:paraId="6ABC251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2.3</w:t>
            </w:r>
          </w:p>
        </w:tc>
        <w:tc>
          <w:tcPr>
            <w:tcW w:w="263" w:type="pct"/>
            <w:shd w:val="clear" w:color="auto" w:fill="auto"/>
            <w:noWrap/>
            <w:vAlign w:val="center"/>
            <w:hideMark/>
          </w:tcPr>
          <w:p w14:paraId="4EE8B655"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[1.5]</w:t>
            </w:r>
          </w:p>
        </w:tc>
        <w:tc>
          <w:tcPr>
            <w:tcW w:w="209" w:type="pct"/>
            <w:shd w:val="clear" w:color="auto" w:fill="auto"/>
            <w:noWrap/>
            <w:vAlign w:val="center"/>
            <w:hideMark/>
          </w:tcPr>
          <w:p w14:paraId="50A7AAD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2.5</w:t>
            </w:r>
          </w:p>
        </w:tc>
        <w:tc>
          <w:tcPr>
            <w:tcW w:w="263" w:type="pct"/>
            <w:shd w:val="clear" w:color="auto" w:fill="auto"/>
            <w:noWrap/>
            <w:vAlign w:val="center"/>
            <w:hideMark/>
          </w:tcPr>
          <w:p w14:paraId="4B51599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[1.7]</w:t>
            </w:r>
          </w:p>
        </w:tc>
        <w:tc>
          <w:tcPr>
            <w:tcW w:w="217" w:type="pct"/>
            <w:shd w:val="clear" w:color="auto" w:fill="auto"/>
            <w:vAlign w:val="center"/>
          </w:tcPr>
          <w:p w14:paraId="0AE6AFC7"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73" w:type="pct"/>
            <w:shd w:val="clear" w:color="auto" w:fill="auto"/>
            <w:vAlign w:val="center"/>
          </w:tcPr>
          <w:p w14:paraId="4EF2286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noWrap/>
            <w:vAlign w:val="center"/>
            <w:hideMark/>
          </w:tcPr>
          <w:p w14:paraId="3B05D43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3.2</w:t>
            </w:r>
          </w:p>
        </w:tc>
        <w:tc>
          <w:tcPr>
            <w:tcW w:w="263" w:type="pct"/>
            <w:shd w:val="clear" w:color="auto" w:fill="auto"/>
            <w:noWrap/>
            <w:vAlign w:val="center"/>
            <w:hideMark/>
          </w:tcPr>
          <w:p w14:paraId="69AAE3B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[2.7]</w:t>
            </w:r>
          </w:p>
        </w:tc>
        <w:tc>
          <w:tcPr>
            <w:tcW w:w="228" w:type="pct"/>
            <w:shd w:val="clear" w:color="auto" w:fill="auto"/>
            <w:noWrap/>
            <w:vAlign w:val="center"/>
            <w:hideMark/>
          </w:tcPr>
          <w:p w14:paraId="5BEE19D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1.6</w:t>
            </w:r>
          </w:p>
        </w:tc>
        <w:tc>
          <w:tcPr>
            <w:tcW w:w="243" w:type="pct"/>
            <w:shd w:val="clear" w:color="auto" w:fill="auto"/>
            <w:noWrap/>
            <w:vAlign w:val="center"/>
            <w:hideMark/>
          </w:tcPr>
          <w:p w14:paraId="58619EA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[0.7]</w:t>
            </w:r>
          </w:p>
        </w:tc>
        <w:tc>
          <w:tcPr>
            <w:tcW w:w="209" w:type="pct"/>
            <w:shd w:val="clear" w:color="auto" w:fill="auto"/>
            <w:vAlign w:val="center"/>
          </w:tcPr>
          <w:p w14:paraId="34102ED5"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2.8</w:t>
            </w:r>
          </w:p>
        </w:tc>
        <w:tc>
          <w:tcPr>
            <w:tcW w:w="263" w:type="pct"/>
            <w:shd w:val="clear" w:color="auto" w:fill="auto"/>
            <w:vAlign w:val="center"/>
          </w:tcPr>
          <w:p w14:paraId="6BE163C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[2.3]</w:t>
            </w:r>
          </w:p>
        </w:tc>
        <w:tc>
          <w:tcPr>
            <w:tcW w:w="209" w:type="pct"/>
            <w:shd w:val="clear" w:color="auto" w:fill="auto"/>
            <w:vAlign w:val="center"/>
          </w:tcPr>
          <w:p w14:paraId="40BD2D7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3.4</w:t>
            </w:r>
          </w:p>
        </w:tc>
        <w:tc>
          <w:tcPr>
            <w:tcW w:w="263" w:type="pct"/>
            <w:shd w:val="clear" w:color="auto" w:fill="auto"/>
            <w:vAlign w:val="center"/>
          </w:tcPr>
          <w:p w14:paraId="34872C2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[1.9]</w:t>
            </w:r>
          </w:p>
        </w:tc>
        <w:tc>
          <w:tcPr>
            <w:tcW w:w="209" w:type="pct"/>
            <w:shd w:val="clear" w:color="auto" w:fill="auto"/>
            <w:vAlign w:val="center"/>
          </w:tcPr>
          <w:p w14:paraId="40B5341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3.5</w:t>
            </w:r>
          </w:p>
        </w:tc>
        <w:tc>
          <w:tcPr>
            <w:tcW w:w="263" w:type="pct"/>
            <w:shd w:val="clear" w:color="auto" w:fill="auto"/>
            <w:vAlign w:val="center"/>
          </w:tcPr>
          <w:p w14:paraId="029C86D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[2.0]</w:t>
            </w:r>
          </w:p>
        </w:tc>
        <w:tc>
          <w:tcPr>
            <w:tcW w:w="209" w:type="pct"/>
            <w:shd w:val="clear" w:color="auto" w:fill="auto"/>
            <w:vAlign w:val="center"/>
          </w:tcPr>
          <w:p w14:paraId="49ECAA5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3.5</w:t>
            </w:r>
          </w:p>
        </w:tc>
        <w:tc>
          <w:tcPr>
            <w:tcW w:w="263" w:type="pct"/>
            <w:shd w:val="clear" w:color="auto" w:fill="auto"/>
            <w:vAlign w:val="center"/>
          </w:tcPr>
          <w:p w14:paraId="174F77B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[1.7]</w:t>
            </w:r>
          </w:p>
        </w:tc>
      </w:tr>
      <w:tr w:rsidR="00B0160C" w:rsidRPr="003160F8" w14:paraId="332AFF03" w14:textId="77777777" w:rsidTr="00B0160C">
        <w:trPr>
          <w:jc w:val="center"/>
        </w:trPr>
        <w:tc>
          <w:tcPr>
            <w:tcW w:w="49" w:type="pct"/>
            <w:shd w:val="clear" w:color="auto" w:fill="auto"/>
            <w:noWrap/>
            <w:vAlign w:val="center"/>
            <w:hideMark/>
          </w:tcPr>
          <w:p w14:paraId="5A3AC45F" w14:textId="77777777" w:rsidR="00C73C94" w:rsidRPr="003160F8" w:rsidRDefault="00C73C94" w:rsidP="00C73C94">
            <w:pPr>
              <w:pStyle w:val="MDPI42tablebody"/>
              <w:autoSpaceDE w:val="0"/>
              <w:autoSpaceDN w:val="0"/>
              <w:spacing w:line="240" w:lineRule="auto"/>
              <w:rPr>
                <w:color w:val="auto"/>
                <w:szCs w:val="18"/>
                <w:lang w:val="en-GB" w:eastAsia="en-GB"/>
              </w:rPr>
            </w:pPr>
          </w:p>
        </w:tc>
        <w:tc>
          <w:tcPr>
            <w:tcW w:w="216" w:type="pct"/>
            <w:gridSpan w:val="2"/>
            <w:shd w:val="clear" w:color="auto" w:fill="auto"/>
            <w:noWrap/>
            <w:vAlign w:val="center"/>
            <w:hideMark/>
          </w:tcPr>
          <w:p w14:paraId="1B8C6793" w14:textId="460121EF" w:rsidR="00C73C94" w:rsidRPr="003160F8" w:rsidRDefault="00C73C94" w:rsidP="00C73C94">
            <w:pPr>
              <w:pStyle w:val="MDPI42tablebody"/>
              <w:autoSpaceDE w:val="0"/>
              <w:autoSpaceDN w:val="0"/>
              <w:spacing w:line="240" w:lineRule="auto"/>
              <w:rPr>
                <w:color w:val="auto"/>
                <w:szCs w:val="18"/>
                <w:vertAlign w:val="superscript"/>
                <w:lang w:val="en-GB" w:eastAsia="en-GB"/>
              </w:rPr>
            </w:pPr>
            <w:r w:rsidRPr="003160F8">
              <w:rPr>
                <w:color w:val="auto"/>
                <w:szCs w:val="18"/>
                <w:lang w:val="en-GB" w:eastAsia="en-GB"/>
              </w:rPr>
              <w:t xml:space="preserve">g/d </w:t>
            </w:r>
            <w:r w:rsidRPr="003160F8">
              <w:rPr>
                <w:color w:val="auto"/>
                <w:szCs w:val="18"/>
                <w:vertAlign w:val="superscript"/>
                <w:lang w:val="en-GB" w:eastAsia="en-GB"/>
              </w:rPr>
              <w:t>2</w:t>
            </w:r>
          </w:p>
        </w:tc>
        <w:tc>
          <w:tcPr>
            <w:tcW w:w="228" w:type="pct"/>
            <w:shd w:val="clear" w:color="auto" w:fill="auto"/>
            <w:vAlign w:val="center"/>
          </w:tcPr>
          <w:p w14:paraId="746E3DE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43" w:type="pct"/>
            <w:shd w:val="clear" w:color="auto" w:fill="auto"/>
            <w:vAlign w:val="center"/>
          </w:tcPr>
          <w:p w14:paraId="444AB0E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noWrap/>
            <w:vAlign w:val="center"/>
            <w:hideMark/>
          </w:tcPr>
          <w:p w14:paraId="00712E8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142</w:t>
            </w:r>
          </w:p>
        </w:tc>
        <w:tc>
          <w:tcPr>
            <w:tcW w:w="263" w:type="pct"/>
            <w:shd w:val="clear" w:color="auto" w:fill="auto"/>
            <w:noWrap/>
            <w:vAlign w:val="center"/>
            <w:hideMark/>
          </w:tcPr>
          <w:p w14:paraId="111231F5"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[89]</w:t>
            </w:r>
          </w:p>
        </w:tc>
        <w:tc>
          <w:tcPr>
            <w:tcW w:w="209" w:type="pct"/>
            <w:shd w:val="clear" w:color="auto" w:fill="auto"/>
            <w:noWrap/>
            <w:vAlign w:val="center"/>
            <w:hideMark/>
          </w:tcPr>
          <w:p w14:paraId="021339BC"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149</w:t>
            </w:r>
          </w:p>
        </w:tc>
        <w:tc>
          <w:tcPr>
            <w:tcW w:w="263" w:type="pct"/>
            <w:shd w:val="clear" w:color="auto" w:fill="auto"/>
            <w:noWrap/>
            <w:vAlign w:val="center"/>
            <w:hideMark/>
          </w:tcPr>
          <w:p w14:paraId="369A82F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[91]</w:t>
            </w:r>
          </w:p>
        </w:tc>
        <w:tc>
          <w:tcPr>
            <w:tcW w:w="217" w:type="pct"/>
            <w:shd w:val="clear" w:color="auto" w:fill="auto"/>
            <w:vAlign w:val="center"/>
          </w:tcPr>
          <w:p w14:paraId="609F905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162</w:t>
            </w:r>
          </w:p>
        </w:tc>
        <w:tc>
          <w:tcPr>
            <w:tcW w:w="273" w:type="pct"/>
            <w:shd w:val="clear" w:color="auto" w:fill="auto"/>
            <w:vAlign w:val="center"/>
          </w:tcPr>
          <w:p w14:paraId="6470644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[104]</w:t>
            </w:r>
          </w:p>
        </w:tc>
        <w:tc>
          <w:tcPr>
            <w:tcW w:w="209" w:type="pct"/>
            <w:shd w:val="clear" w:color="auto" w:fill="auto"/>
            <w:noWrap/>
            <w:vAlign w:val="center"/>
            <w:hideMark/>
          </w:tcPr>
          <w:p w14:paraId="46C373AC"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162</w:t>
            </w:r>
          </w:p>
        </w:tc>
        <w:tc>
          <w:tcPr>
            <w:tcW w:w="263" w:type="pct"/>
            <w:shd w:val="clear" w:color="auto" w:fill="auto"/>
            <w:noWrap/>
            <w:vAlign w:val="center"/>
            <w:hideMark/>
          </w:tcPr>
          <w:p w14:paraId="533967B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[138]</w:t>
            </w:r>
          </w:p>
        </w:tc>
        <w:tc>
          <w:tcPr>
            <w:tcW w:w="228" w:type="pct"/>
            <w:shd w:val="clear" w:color="auto" w:fill="auto"/>
            <w:noWrap/>
            <w:vAlign w:val="center"/>
          </w:tcPr>
          <w:p w14:paraId="5C4C0C2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43" w:type="pct"/>
            <w:shd w:val="clear" w:color="auto" w:fill="auto"/>
            <w:noWrap/>
            <w:vAlign w:val="center"/>
          </w:tcPr>
          <w:p w14:paraId="6C7C057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6CEBA93C"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183</w:t>
            </w:r>
          </w:p>
        </w:tc>
        <w:tc>
          <w:tcPr>
            <w:tcW w:w="263" w:type="pct"/>
            <w:shd w:val="clear" w:color="auto" w:fill="auto"/>
            <w:vAlign w:val="center"/>
          </w:tcPr>
          <w:p w14:paraId="27C8436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[136]</w:t>
            </w:r>
          </w:p>
        </w:tc>
        <w:tc>
          <w:tcPr>
            <w:tcW w:w="209" w:type="pct"/>
            <w:shd w:val="clear" w:color="auto" w:fill="auto"/>
            <w:vAlign w:val="center"/>
          </w:tcPr>
          <w:p w14:paraId="48CDBF5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183199E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41E95EEC"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30EB6C3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52A228DB"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320634F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r>
      <w:tr w:rsidR="00C73C94" w:rsidRPr="003160F8" w14:paraId="12C880DA" w14:textId="77777777" w:rsidTr="00B0160C">
        <w:trPr>
          <w:jc w:val="center"/>
        </w:trPr>
        <w:tc>
          <w:tcPr>
            <w:tcW w:w="5000" w:type="pct"/>
            <w:gridSpan w:val="23"/>
            <w:shd w:val="clear" w:color="auto" w:fill="auto"/>
            <w:vAlign w:val="center"/>
          </w:tcPr>
          <w:p w14:paraId="1385E5AB" w14:textId="77777777" w:rsidR="00C73C94" w:rsidRPr="003160F8" w:rsidRDefault="00C73C94" w:rsidP="00C73C94">
            <w:pPr>
              <w:pStyle w:val="MDPI42tablebody"/>
              <w:autoSpaceDE w:val="0"/>
              <w:autoSpaceDN w:val="0"/>
              <w:spacing w:line="240" w:lineRule="auto"/>
              <w:rPr>
                <w:b/>
                <w:color w:val="auto"/>
                <w:szCs w:val="18"/>
                <w:lang w:val="en-GB" w:eastAsia="en-GB"/>
              </w:rPr>
            </w:pPr>
            <w:r w:rsidRPr="003160F8">
              <w:rPr>
                <w:b/>
                <w:color w:val="auto"/>
                <w:szCs w:val="18"/>
                <w:lang w:val="en-GB" w:eastAsia="en-GB"/>
              </w:rPr>
              <w:t>Vegetables (excluding potatoes and condiments)</w:t>
            </w:r>
          </w:p>
        </w:tc>
      </w:tr>
      <w:tr w:rsidR="00B0160C" w:rsidRPr="003160F8" w14:paraId="5A6C6781" w14:textId="77777777" w:rsidTr="00B0160C">
        <w:trPr>
          <w:jc w:val="center"/>
        </w:trPr>
        <w:tc>
          <w:tcPr>
            <w:tcW w:w="49" w:type="pct"/>
            <w:shd w:val="clear" w:color="auto" w:fill="auto"/>
            <w:noWrap/>
            <w:vAlign w:val="center"/>
          </w:tcPr>
          <w:p w14:paraId="3103F9B9" w14:textId="77777777" w:rsidR="00C73C94" w:rsidRPr="003160F8" w:rsidRDefault="00C73C94" w:rsidP="00C73C94">
            <w:pPr>
              <w:pStyle w:val="MDPI42tablebody"/>
              <w:autoSpaceDE w:val="0"/>
              <w:autoSpaceDN w:val="0"/>
              <w:spacing w:line="240" w:lineRule="auto"/>
              <w:rPr>
                <w:color w:val="auto"/>
                <w:szCs w:val="18"/>
                <w:lang w:val="en-GB" w:eastAsia="en-GB"/>
              </w:rPr>
            </w:pPr>
          </w:p>
        </w:tc>
        <w:tc>
          <w:tcPr>
            <w:tcW w:w="216" w:type="pct"/>
            <w:gridSpan w:val="2"/>
            <w:shd w:val="clear" w:color="auto" w:fill="auto"/>
            <w:noWrap/>
            <w:vAlign w:val="center"/>
            <w:hideMark/>
          </w:tcPr>
          <w:p w14:paraId="008FEF7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f/d</w:t>
            </w:r>
          </w:p>
        </w:tc>
        <w:tc>
          <w:tcPr>
            <w:tcW w:w="228" w:type="pct"/>
            <w:shd w:val="clear" w:color="auto" w:fill="auto"/>
            <w:vAlign w:val="center"/>
          </w:tcPr>
          <w:p w14:paraId="2CE2B07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1.5</w:t>
            </w:r>
          </w:p>
        </w:tc>
        <w:tc>
          <w:tcPr>
            <w:tcW w:w="243" w:type="pct"/>
            <w:shd w:val="clear" w:color="auto" w:fill="auto"/>
            <w:vAlign w:val="center"/>
          </w:tcPr>
          <w:p w14:paraId="0F980E2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[0.9]</w:t>
            </w:r>
          </w:p>
        </w:tc>
        <w:tc>
          <w:tcPr>
            <w:tcW w:w="209" w:type="pct"/>
            <w:shd w:val="clear" w:color="auto" w:fill="auto"/>
            <w:noWrap/>
            <w:vAlign w:val="center"/>
            <w:hideMark/>
          </w:tcPr>
          <w:p w14:paraId="57640CD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1.6</w:t>
            </w:r>
          </w:p>
        </w:tc>
        <w:tc>
          <w:tcPr>
            <w:tcW w:w="263" w:type="pct"/>
            <w:shd w:val="clear" w:color="auto" w:fill="auto"/>
            <w:noWrap/>
            <w:vAlign w:val="center"/>
            <w:hideMark/>
          </w:tcPr>
          <w:p w14:paraId="344CFF9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[1.6]</w:t>
            </w:r>
          </w:p>
        </w:tc>
        <w:tc>
          <w:tcPr>
            <w:tcW w:w="209" w:type="pct"/>
            <w:shd w:val="clear" w:color="auto" w:fill="auto"/>
            <w:noWrap/>
            <w:vAlign w:val="center"/>
            <w:hideMark/>
          </w:tcPr>
          <w:p w14:paraId="08F6FD0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1.5</w:t>
            </w:r>
          </w:p>
        </w:tc>
        <w:tc>
          <w:tcPr>
            <w:tcW w:w="263" w:type="pct"/>
            <w:shd w:val="clear" w:color="auto" w:fill="auto"/>
            <w:noWrap/>
            <w:vAlign w:val="center"/>
            <w:hideMark/>
          </w:tcPr>
          <w:p w14:paraId="0656E5D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[1.4]</w:t>
            </w:r>
          </w:p>
        </w:tc>
        <w:tc>
          <w:tcPr>
            <w:tcW w:w="217" w:type="pct"/>
            <w:shd w:val="clear" w:color="auto" w:fill="auto"/>
            <w:vAlign w:val="center"/>
          </w:tcPr>
          <w:p w14:paraId="4EBB53B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73" w:type="pct"/>
            <w:shd w:val="clear" w:color="auto" w:fill="auto"/>
            <w:vAlign w:val="center"/>
          </w:tcPr>
          <w:p w14:paraId="0386CC87"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noWrap/>
            <w:vAlign w:val="center"/>
            <w:hideMark/>
          </w:tcPr>
          <w:p w14:paraId="656109F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3.0</w:t>
            </w:r>
          </w:p>
        </w:tc>
        <w:tc>
          <w:tcPr>
            <w:tcW w:w="263" w:type="pct"/>
            <w:shd w:val="clear" w:color="auto" w:fill="auto"/>
            <w:noWrap/>
            <w:vAlign w:val="center"/>
            <w:hideMark/>
          </w:tcPr>
          <w:p w14:paraId="56C942E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[2.5]</w:t>
            </w:r>
          </w:p>
        </w:tc>
        <w:tc>
          <w:tcPr>
            <w:tcW w:w="228" w:type="pct"/>
            <w:shd w:val="clear" w:color="auto" w:fill="auto"/>
            <w:noWrap/>
            <w:vAlign w:val="center"/>
            <w:hideMark/>
          </w:tcPr>
          <w:p w14:paraId="02181B1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2.5</w:t>
            </w:r>
          </w:p>
        </w:tc>
        <w:tc>
          <w:tcPr>
            <w:tcW w:w="243" w:type="pct"/>
            <w:shd w:val="clear" w:color="auto" w:fill="auto"/>
            <w:noWrap/>
            <w:vAlign w:val="center"/>
            <w:hideMark/>
          </w:tcPr>
          <w:p w14:paraId="71D326C7"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[1.8]</w:t>
            </w:r>
          </w:p>
        </w:tc>
        <w:tc>
          <w:tcPr>
            <w:tcW w:w="209" w:type="pct"/>
            <w:shd w:val="clear" w:color="auto" w:fill="auto"/>
            <w:vAlign w:val="center"/>
          </w:tcPr>
          <w:p w14:paraId="4C8384B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3.6</w:t>
            </w:r>
          </w:p>
        </w:tc>
        <w:tc>
          <w:tcPr>
            <w:tcW w:w="263" w:type="pct"/>
            <w:shd w:val="clear" w:color="auto" w:fill="auto"/>
            <w:vAlign w:val="center"/>
          </w:tcPr>
          <w:p w14:paraId="6C86A0D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[2.4]</w:t>
            </w:r>
          </w:p>
        </w:tc>
        <w:tc>
          <w:tcPr>
            <w:tcW w:w="209" w:type="pct"/>
            <w:shd w:val="clear" w:color="auto" w:fill="auto"/>
            <w:vAlign w:val="center"/>
          </w:tcPr>
          <w:p w14:paraId="03D6365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2.9</w:t>
            </w:r>
          </w:p>
        </w:tc>
        <w:tc>
          <w:tcPr>
            <w:tcW w:w="263" w:type="pct"/>
            <w:shd w:val="clear" w:color="auto" w:fill="auto"/>
            <w:vAlign w:val="center"/>
          </w:tcPr>
          <w:p w14:paraId="4BEEC15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[1.9]</w:t>
            </w:r>
          </w:p>
        </w:tc>
        <w:tc>
          <w:tcPr>
            <w:tcW w:w="209" w:type="pct"/>
            <w:shd w:val="clear" w:color="auto" w:fill="auto"/>
            <w:vAlign w:val="center"/>
          </w:tcPr>
          <w:p w14:paraId="217B8FA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2.6</w:t>
            </w:r>
          </w:p>
        </w:tc>
        <w:tc>
          <w:tcPr>
            <w:tcW w:w="263" w:type="pct"/>
            <w:shd w:val="clear" w:color="auto" w:fill="auto"/>
            <w:vAlign w:val="center"/>
          </w:tcPr>
          <w:p w14:paraId="1C43C9B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[1.8]</w:t>
            </w:r>
          </w:p>
        </w:tc>
        <w:tc>
          <w:tcPr>
            <w:tcW w:w="209" w:type="pct"/>
            <w:shd w:val="clear" w:color="auto" w:fill="auto"/>
            <w:vAlign w:val="center"/>
          </w:tcPr>
          <w:p w14:paraId="6F9E8AE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2.6</w:t>
            </w:r>
          </w:p>
        </w:tc>
        <w:tc>
          <w:tcPr>
            <w:tcW w:w="263" w:type="pct"/>
            <w:shd w:val="clear" w:color="auto" w:fill="auto"/>
            <w:vAlign w:val="center"/>
          </w:tcPr>
          <w:p w14:paraId="3044CCA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[1.7]</w:t>
            </w:r>
          </w:p>
        </w:tc>
      </w:tr>
      <w:tr w:rsidR="00B0160C" w:rsidRPr="003160F8" w14:paraId="38667C52" w14:textId="77777777" w:rsidTr="00B0160C">
        <w:trPr>
          <w:jc w:val="center"/>
        </w:trPr>
        <w:tc>
          <w:tcPr>
            <w:tcW w:w="49" w:type="pct"/>
            <w:shd w:val="clear" w:color="auto" w:fill="auto"/>
            <w:noWrap/>
            <w:vAlign w:val="center"/>
          </w:tcPr>
          <w:p w14:paraId="0BCBA039" w14:textId="77777777" w:rsidR="00C73C94" w:rsidRPr="003160F8" w:rsidRDefault="00C73C94" w:rsidP="00C73C94">
            <w:pPr>
              <w:pStyle w:val="MDPI42tablebody"/>
              <w:autoSpaceDE w:val="0"/>
              <w:autoSpaceDN w:val="0"/>
              <w:spacing w:line="240" w:lineRule="auto"/>
              <w:rPr>
                <w:color w:val="auto"/>
                <w:szCs w:val="18"/>
                <w:lang w:val="en-GB" w:eastAsia="en-GB"/>
              </w:rPr>
            </w:pPr>
          </w:p>
        </w:tc>
        <w:tc>
          <w:tcPr>
            <w:tcW w:w="216" w:type="pct"/>
            <w:gridSpan w:val="2"/>
            <w:shd w:val="clear" w:color="auto" w:fill="auto"/>
            <w:noWrap/>
            <w:vAlign w:val="center"/>
            <w:hideMark/>
          </w:tcPr>
          <w:p w14:paraId="1DCE74D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g/d</w:t>
            </w:r>
          </w:p>
        </w:tc>
        <w:tc>
          <w:tcPr>
            <w:tcW w:w="228" w:type="pct"/>
            <w:shd w:val="clear" w:color="auto" w:fill="auto"/>
            <w:vAlign w:val="center"/>
          </w:tcPr>
          <w:p w14:paraId="14641BB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43" w:type="pct"/>
            <w:shd w:val="clear" w:color="auto" w:fill="auto"/>
            <w:vAlign w:val="center"/>
          </w:tcPr>
          <w:p w14:paraId="5F871DC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noWrap/>
            <w:vAlign w:val="center"/>
            <w:hideMark/>
          </w:tcPr>
          <w:p w14:paraId="5D8D67C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176</w:t>
            </w:r>
          </w:p>
        </w:tc>
        <w:tc>
          <w:tcPr>
            <w:tcW w:w="263" w:type="pct"/>
            <w:shd w:val="clear" w:color="auto" w:fill="auto"/>
            <w:noWrap/>
            <w:vAlign w:val="center"/>
            <w:hideMark/>
          </w:tcPr>
          <w:p w14:paraId="14D22D8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[201]</w:t>
            </w:r>
          </w:p>
        </w:tc>
        <w:tc>
          <w:tcPr>
            <w:tcW w:w="209" w:type="pct"/>
            <w:shd w:val="clear" w:color="auto" w:fill="auto"/>
            <w:noWrap/>
            <w:vAlign w:val="center"/>
            <w:hideMark/>
          </w:tcPr>
          <w:p w14:paraId="5E28984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154</w:t>
            </w:r>
          </w:p>
        </w:tc>
        <w:tc>
          <w:tcPr>
            <w:tcW w:w="263" w:type="pct"/>
            <w:shd w:val="clear" w:color="auto" w:fill="auto"/>
            <w:noWrap/>
            <w:vAlign w:val="center"/>
            <w:hideMark/>
          </w:tcPr>
          <w:p w14:paraId="5666197B"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[167]</w:t>
            </w:r>
          </w:p>
        </w:tc>
        <w:tc>
          <w:tcPr>
            <w:tcW w:w="217" w:type="pct"/>
            <w:shd w:val="clear" w:color="auto" w:fill="auto"/>
            <w:vAlign w:val="center"/>
          </w:tcPr>
          <w:p w14:paraId="25EC670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147</w:t>
            </w:r>
          </w:p>
        </w:tc>
        <w:tc>
          <w:tcPr>
            <w:tcW w:w="273" w:type="pct"/>
            <w:shd w:val="clear" w:color="auto" w:fill="auto"/>
            <w:vAlign w:val="center"/>
          </w:tcPr>
          <w:p w14:paraId="7939BEE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[89]</w:t>
            </w:r>
          </w:p>
        </w:tc>
        <w:tc>
          <w:tcPr>
            <w:tcW w:w="209" w:type="pct"/>
            <w:shd w:val="clear" w:color="auto" w:fill="auto"/>
            <w:noWrap/>
            <w:vAlign w:val="center"/>
            <w:hideMark/>
          </w:tcPr>
          <w:p w14:paraId="375E713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269</w:t>
            </w:r>
          </w:p>
        </w:tc>
        <w:tc>
          <w:tcPr>
            <w:tcW w:w="263" w:type="pct"/>
            <w:shd w:val="clear" w:color="auto" w:fill="auto"/>
            <w:noWrap/>
            <w:vAlign w:val="center"/>
            <w:hideMark/>
          </w:tcPr>
          <w:p w14:paraId="3D2988F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[222]</w:t>
            </w:r>
          </w:p>
        </w:tc>
        <w:tc>
          <w:tcPr>
            <w:tcW w:w="228" w:type="pct"/>
            <w:shd w:val="clear" w:color="auto" w:fill="auto"/>
            <w:noWrap/>
            <w:vAlign w:val="center"/>
          </w:tcPr>
          <w:p w14:paraId="7D786AF5"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43" w:type="pct"/>
            <w:shd w:val="clear" w:color="auto" w:fill="auto"/>
            <w:noWrap/>
            <w:vAlign w:val="center"/>
          </w:tcPr>
          <w:p w14:paraId="0FAC232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59CE5E05"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332</w:t>
            </w:r>
          </w:p>
        </w:tc>
        <w:tc>
          <w:tcPr>
            <w:tcW w:w="263" w:type="pct"/>
            <w:shd w:val="clear" w:color="auto" w:fill="auto"/>
            <w:vAlign w:val="center"/>
          </w:tcPr>
          <w:p w14:paraId="5CF9DC8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[224]</w:t>
            </w:r>
          </w:p>
        </w:tc>
        <w:tc>
          <w:tcPr>
            <w:tcW w:w="209" w:type="pct"/>
            <w:shd w:val="clear" w:color="auto" w:fill="auto"/>
            <w:vAlign w:val="center"/>
          </w:tcPr>
          <w:p w14:paraId="788D0FE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56A84FA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1205D81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054003A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03D9364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3F04DB8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r>
      <w:tr w:rsidR="00C73C94" w:rsidRPr="003160F8" w14:paraId="23CCAD0D" w14:textId="77777777" w:rsidTr="00B0160C">
        <w:trPr>
          <w:jc w:val="center"/>
        </w:trPr>
        <w:tc>
          <w:tcPr>
            <w:tcW w:w="5000" w:type="pct"/>
            <w:gridSpan w:val="23"/>
            <w:shd w:val="clear" w:color="auto" w:fill="auto"/>
            <w:vAlign w:val="center"/>
          </w:tcPr>
          <w:p w14:paraId="4EBC2B0F" w14:textId="77777777" w:rsidR="00C73C94" w:rsidRPr="003160F8" w:rsidRDefault="00C73C94" w:rsidP="00C73C94">
            <w:pPr>
              <w:pStyle w:val="MDPI42tablebody"/>
              <w:autoSpaceDE w:val="0"/>
              <w:autoSpaceDN w:val="0"/>
              <w:spacing w:line="240" w:lineRule="auto"/>
              <w:rPr>
                <w:b/>
                <w:color w:val="auto"/>
                <w:szCs w:val="18"/>
                <w:lang w:val="en-GB" w:eastAsia="en-GB"/>
              </w:rPr>
            </w:pPr>
            <w:r w:rsidRPr="003160F8">
              <w:rPr>
                <w:b/>
                <w:color w:val="auto"/>
                <w:szCs w:val="18"/>
                <w:lang w:val="en-GB" w:eastAsia="en-GB"/>
              </w:rPr>
              <w:t>Fruits</w:t>
            </w:r>
          </w:p>
        </w:tc>
      </w:tr>
      <w:tr w:rsidR="00B0160C" w:rsidRPr="003160F8" w14:paraId="59D4E8E0" w14:textId="77777777" w:rsidTr="00B0160C">
        <w:trPr>
          <w:jc w:val="center"/>
        </w:trPr>
        <w:tc>
          <w:tcPr>
            <w:tcW w:w="49" w:type="pct"/>
            <w:shd w:val="clear" w:color="auto" w:fill="auto"/>
            <w:noWrap/>
            <w:vAlign w:val="center"/>
            <w:hideMark/>
          </w:tcPr>
          <w:p w14:paraId="7E1793F3" w14:textId="77777777" w:rsidR="00C73C94" w:rsidRPr="003160F8" w:rsidRDefault="00C73C94" w:rsidP="00C73C94">
            <w:pPr>
              <w:pStyle w:val="MDPI42tablebody"/>
              <w:autoSpaceDE w:val="0"/>
              <w:autoSpaceDN w:val="0"/>
              <w:spacing w:line="240" w:lineRule="auto"/>
              <w:rPr>
                <w:color w:val="auto"/>
                <w:szCs w:val="18"/>
                <w:lang w:val="en-GB" w:eastAsia="en-GB"/>
              </w:rPr>
            </w:pPr>
          </w:p>
        </w:tc>
        <w:tc>
          <w:tcPr>
            <w:tcW w:w="216" w:type="pct"/>
            <w:gridSpan w:val="2"/>
            <w:shd w:val="clear" w:color="auto" w:fill="auto"/>
            <w:noWrap/>
            <w:vAlign w:val="center"/>
            <w:hideMark/>
          </w:tcPr>
          <w:p w14:paraId="6993D56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f/d</w:t>
            </w:r>
          </w:p>
        </w:tc>
        <w:tc>
          <w:tcPr>
            <w:tcW w:w="228" w:type="pct"/>
            <w:shd w:val="clear" w:color="auto" w:fill="auto"/>
            <w:vAlign w:val="center"/>
          </w:tcPr>
          <w:p w14:paraId="676DA6B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1.1</w:t>
            </w:r>
          </w:p>
        </w:tc>
        <w:tc>
          <w:tcPr>
            <w:tcW w:w="243" w:type="pct"/>
            <w:shd w:val="clear" w:color="auto" w:fill="auto"/>
            <w:vAlign w:val="center"/>
          </w:tcPr>
          <w:p w14:paraId="74A137A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[1.1]</w:t>
            </w:r>
          </w:p>
        </w:tc>
        <w:tc>
          <w:tcPr>
            <w:tcW w:w="209" w:type="pct"/>
            <w:shd w:val="clear" w:color="auto" w:fill="auto"/>
            <w:noWrap/>
            <w:vAlign w:val="center"/>
            <w:hideMark/>
          </w:tcPr>
          <w:p w14:paraId="67E01F6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1.7</w:t>
            </w:r>
          </w:p>
        </w:tc>
        <w:tc>
          <w:tcPr>
            <w:tcW w:w="263" w:type="pct"/>
            <w:shd w:val="clear" w:color="auto" w:fill="auto"/>
            <w:noWrap/>
            <w:vAlign w:val="center"/>
            <w:hideMark/>
          </w:tcPr>
          <w:p w14:paraId="1C22E095"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[2.0]</w:t>
            </w:r>
          </w:p>
        </w:tc>
        <w:tc>
          <w:tcPr>
            <w:tcW w:w="209" w:type="pct"/>
            <w:shd w:val="clear" w:color="auto" w:fill="auto"/>
            <w:noWrap/>
            <w:vAlign w:val="center"/>
            <w:hideMark/>
          </w:tcPr>
          <w:p w14:paraId="010E864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1.7</w:t>
            </w:r>
          </w:p>
        </w:tc>
        <w:tc>
          <w:tcPr>
            <w:tcW w:w="263" w:type="pct"/>
            <w:shd w:val="clear" w:color="auto" w:fill="auto"/>
            <w:noWrap/>
            <w:vAlign w:val="center"/>
            <w:hideMark/>
          </w:tcPr>
          <w:p w14:paraId="25412217"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[2.1]</w:t>
            </w:r>
          </w:p>
        </w:tc>
        <w:tc>
          <w:tcPr>
            <w:tcW w:w="217" w:type="pct"/>
            <w:shd w:val="clear" w:color="auto" w:fill="auto"/>
            <w:vAlign w:val="center"/>
          </w:tcPr>
          <w:p w14:paraId="4EC581DB"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73" w:type="pct"/>
            <w:shd w:val="clear" w:color="auto" w:fill="auto"/>
            <w:vAlign w:val="center"/>
          </w:tcPr>
          <w:p w14:paraId="0A13881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noWrap/>
            <w:vAlign w:val="center"/>
            <w:hideMark/>
          </w:tcPr>
          <w:p w14:paraId="2A57935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2.8</w:t>
            </w:r>
          </w:p>
        </w:tc>
        <w:tc>
          <w:tcPr>
            <w:tcW w:w="263" w:type="pct"/>
            <w:shd w:val="clear" w:color="auto" w:fill="auto"/>
            <w:noWrap/>
            <w:vAlign w:val="center"/>
            <w:hideMark/>
          </w:tcPr>
          <w:p w14:paraId="7CBC866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[2.7]</w:t>
            </w:r>
          </w:p>
        </w:tc>
        <w:tc>
          <w:tcPr>
            <w:tcW w:w="228" w:type="pct"/>
            <w:shd w:val="clear" w:color="auto" w:fill="auto"/>
            <w:noWrap/>
            <w:vAlign w:val="center"/>
            <w:hideMark/>
          </w:tcPr>
          <w:p w14:paraId="677C61A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2.2</w:t>
            </w:r>
          </w:p>
        </w:tc>
        <w:tc>
          <w:tcPr>
            <w:tcW w:w="243" w:type="pct"/>
            <w:shd w:val="clear" w:color="auto" w:fill="auto"/>
            <w:noWrap/>
            <w:vAlign w:val="center"/>
            <w:hideMark/>
          </w:tcPr>
          <w:p w14:paraId="29BA131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[1.4]</w:t>
            </w:r>
          </w:p>
        </w:tc>
        <w:tc>
          <w:tcPr>
            <w:tcW w:w="209" w:type="pct"/>
            <w:shd w:val="clear" w:color="auto" w:fill="auto"/>
            <w:vAlign w:val="center"/>
          </w:tcPr>
          <w:p w14:paraId="627A21C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3.1</w:t>
            </w:r>
          </w:p>
        </w:tc>
        <w:tc>
          <w:tcPr>
            <w:tcW w:w="263" w:type="pct"/>
            <w:shd w:val="clear" w:color="auto" w:fill="auto"/>
            <w:vAlign w:val="center"/>
          </w:tcPr>
          <w:p w14:paraId="026ECEC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[2.5]</w:t>
            </w:r>
          </w:p>
        </w:tc>
        <w:tc>
          <w:tcPr>
            <w:tcW w:w="209" w:type="pct"/>
            <w:shd w:val="clear" w:color="auto" w:fill="auto"/>
            <w:vAlign w:val="center"/>
          </w:tcPr>
          <w:p w14:paraId="6FFE4E1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2.1</w:t>
            </w:r>
          </w:p>
        </w:tc>
        <w:tc>
          <w:tcPr>
            <w:tcW w:w="263" w:type="pct"/>
            <w:shd w:val="clear" w:color="auto" w:fill="auto"/>
            <w:vAlign w:val="center"/>
          </w:tcPr>
          <w:p w14:paraId="0A0717B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[2.0]</w:t>
            </w:r>
          </w:p>
        </w:tc>
        <w:tc>
          <w:tcPr>
            <w:tcW w:w="209" w:type="pct"/>
            <w:shd w:val="clear" w:color="auto" w:fill="auto"/>
            <w:vAlign w:val="center"/>
          </w:tcPr>
          <w:p w14:paraId="4D24760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2.5</w:t>
            </w:r>
          </w:p>
        </w:tc>
        <w:tc>
          <w:tcPr>
            <w:tcW w:w="263" w:type="pct"/>
            <w:shd w:val="clear" w:color="auto" w:fill="auto"/>
            <w:vAlign w:val="center"/>
          </w:tcPr>
          <w:p w14:paraId="0AD1DCF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[2.2]</w:t>
            </w:r>
          </w:p>
        </w:tc>
        <w:tc>
          <w:tcPr>
            <w:tcW w:w="209" w:type="pct"/>
            <w:shd w:val="clear" w:color="auto" w:fill="auto"/>
            <w:vAlign w:val="center"/>
          </w:tcPr>
          <w:p w14:paraId="3017B0F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2.7</w:t>
            </w:r>
          </w:p>
        </w:tc>
        <w:tc>
          <w:tcPr>
            <w:tcW w:w="263" w:type="pct"/>
            <w:shd w:val="clear" w:color="auto" w:fill="auto"/>
            <w:vAlign w:val="center"/>
          </w:tcPr>
          <w:p w14:paraId="17EC285B"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[2.5]</w:t>
            </w:r>
          </w:p>
        </w:tc>
      </w:tr>
      <w:tr w:rsidR="00B0160C" w:rsidRPr="003160F8" w14:paraId="43A021D3" w14:textId="77777777" w:rsidTr="00B0160C">
        <w:trPr>
          <w:jc w:val="center"/>
        </w:trPr>
        <w:tc>
          <w:tcPr>
            <w:tcW w:w="49" w:type="pct"/>
            <w:shd w:val="clear" w:color="auto" w:fill="auto"/>
            <w:noWrap/>
            <w:vAlign w:val="center"/>
            <w:hideMark/>
          </w:tcPr>
          <w:p w14:paraId="57F6AD98" w14:textId="77777777" w:rsidR="00C73C94" w:rsidRPr="003160F8" w:rsidRDefault="00C73C94" w:rsidP="00C73C94">
            <w:pPr>
              <w:pStyle w:val="MDPI42tablebody"/>
              <w:autoSpaceDE w:val="0"/>
              <w:autoSpaceDN w:val="0"/>
              <w:spacing w:line="240" w:lineRule="auto"/>
              <w:rPr>
                <w:color w:val="auto"/>
                <w:szCs w:val="18"/>
                <w:lang w:val="en-GB" w:eastAsia="en-GB"/>
              </w:rPr>
            </w:pPr>
          </w:p>
        </w:tc>
        <w:tc>
          <w:tcPr>
            <w:tcW w:w="216" w:type="pct"/>
            <w:gridSpan w:val="2"/>
            <w:shd w:val="clear" w:color="auto" w:fill="auto"/>
            <w:noWrap/>
            <w:vAlign w:val="center"/>
            <w:hideMark/>
          </w:tcPr>
          <w:p w14:paraId="2D6E805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g/d</w:t>
            </w:r>
          </w:p>
        </w:tc>
        <w:tc>
          <w:tcPr>
            <w:tcW w:w="228" w:type="pct"/>
            <w:shd w:val="clear" w:color="auto" w:fill="auto"/>
            <w:vAlign w:val="center"/>
          </w:tcPr>
          <w:p w14:paraId="033ED84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43" w:type="pct"/>
            <w:shd w:val="clear" w:color="auto" w:fill="auto"/>
            <w:vAlign w:val="center"/>
          </w:tcPr>
          <w:p w14:paraId="1CFB347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noWrap/>
            <w:vAlign w:val="center"/>
            <w:hideMark/>
          </w:tcPr>
          <w:p w14:paraId="6C18A6E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311</w:t>
            </w:r>
          </w:p>
        </w:tc>
        <w:tc>
          <w:tcPr>
            <w:tcW w:w="263" w:type="pct"/>
            <w:shd w:val="clear" w:color="auto" w:fill="auto"/>
            <w:noWrap/>
            <w:vAlign w:val="center"/>
            <w:hideMark/>
          </w:tcPr>
          <w:p w14:paraId="08C8BFF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[353]</w:t>
            </w:r>
          </w:p>
        </w:tc>
        <w:tc>
          <w:tcPr>
            <w:tcW w:w="209" w:type="pct"/>
            <w:shd w:val="clear" w:color="auto" w:fill="auto"/>
            <w:noWrap/>
            <w:vAlign w:val="center"/>
            <w:hideMark/>
          </w:tcPr>
          <w:p w14:paraId="1878657B"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293</w:t>
            </w:r>
          </w:p>
        </w:tc>
        <w:tc>
          <w:tcPr>
            <w:tcW w:w="263" w:type="pct"/>
            <w:shd w:val="clear" w:color="auto" w:fill="auto"/>
            <w:noWrap/>
            <w:vAlign w:val="center"/>
            <w:hideMark/>
          </w:tcPr>
          <w:p w14:paraId="5DD9ECDC"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[385]</w:t>
            </w:r>
          </w:p>
        </w:tc>
        <w:tc>
          <w:tcPr>
            <w:tcW w:w="217" w:type="pct"/>
            <w:shd w:val="clear" w:color="auto" w:fill="auto"/>
            <w:vAlign w:val="center"/>
          </w:tcPr>
          <w:p w14:paraId="0C60913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285</w:t>
            </w:r>
          </w:p>
        </w:tc>
        <w:tc>
          <w:tcPr>
            <w:tcW w:w="273" w:type="pct"/>
            <w:shd w:val="clear" w:color="auto" w:fill="auto"/>
            <w:vAlign w:val="center"/>
          </w:tcPr>
          <w:p w14:paraId="6FAF7D8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[264]</w:t>
            </w:r>
          </w:p>
        </w:tc>
        <w:tc>
          <w:tcPr>
            <w:tcW w:w="209" w:type="pct"/>
            <w:shd w:val="clear" w:color="auto" w:fill="auto"/>
            <w:noWrap/>
            <w:vAlign w:val="center"/>
            <w:hideMark/>
          </w:tcPr>
          <w:p w14:paraId="3A70D8F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340</w:t>
            </w:r>
          </w:p>
        </w:tc>
        <w:tc>
          <w:tcPr>
            <w:tcW w:w="263" w:type="pct"/>
            <w:shd w:val="clear" w:color="auto" w:fill="auto"/>
            <w:noWrap/>
            <w:vAlign w:val="center"/>
            <w:hideMark/>
          </w:tcPr>
          <w:p w14:paraId="163FC1D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[327]</w:t>
            </w:r>
          </w:p>
        </w:tc>
        <w:tc>
          <w:tcPr>
            <w:tcW w:w="228" w:type="pct"/>
            <w:shd w:val="clear" w:color="auto" w:fill="auto"/>
            <w:noWrap/>
            <w:vAlign w:val="center"/>
          </w:tcPr>
          <w:p w14:paraId="26FB12B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43" w:type="pct"/>
            <w:shd w:val="clear" w:color="auto" w:fill="auto"/>
            <w:noWrap/>
            <w:vAlign w:val="center"/>
          </w:tcPr>
          <w:p w14:paraId="090AD61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7FC5279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360</w:t>
            </w:r>
          </w:p>
        </w:tc>
        <w:tc>
          <w:tcPr>
            <w:tcW w:w="263" w:type="pct"/>
            <w:shd w:val="clear" w:color="auto" w:fill="auto"/>
            <w:vAlign w:val="center"/>
          </w:tcPr>
          <w:p w14:paraId="498CE53C"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[291]</w:t>
            </w:r>
          </w:p>
        </w:tc>
        <w:tc>
          <w:tcPr>
            <w:tcW w:w="209" w:type="pct"/>
            <w:shd w:val="clear" w:color="auto" w:fill="auto"/>
            <w:vAlign w:val="center"/>
          </w:tcPr>
          <w:p w14:paraId="3D4301B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4EA6B2C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6C259DE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7A27EC2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689A8AD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0BCC9C9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r>
      <w:tr w:rsidR="00C73C94" w:rsidRPr="003160F8" w14:paraId="041175BE" w14:textId="77777777" w:rsidTr="00B0160C">
        <w:trPr>
          <w:jc w:val="center"/>
        </w:trPr>
        <w:tc>
          <w:tcPr>
            <w:tcW w:w="5000" w:type="pct"/>
            <w:gridSpan w:val="23"/>
            <w:shd w:val="clear" w:color="auto" w:fill="auto"/>
            <w:vAlign w:val="center"/>
          </w:tcPr>
          <w:p w14:paraId="713E74BD" w14:textId="77777777" w:rsidR="00C73C94" w:rsidRPr="003160F8" w:rsidRDefault="00C73C94" w:rsidP="00C73C94">
            <w:pPr>
              <w:pStyle w:val="MDPI42tablebody"/>
              <w:autoSpaceDE w:val="0"/>
              <w:autoSpaceDN w:val="0"/>
              <w:spacing w:line="240" w:lineRule="auto"/>
              <w:rPr>
                <w:b/>
                <w:color w:val="auto"/>
                <w:szCs w:val="18"/>
                <w:lang w:val="en-GB" w:eastAsia="en-GB"/>
              </w:rPr>
            </w:pPr>
            <w:r w:rsidRPr="003160F8">
              <w:rPr>
                <w:b/>
                <w:color w:val="auto"/>
                <w:szCs w:val="18"/>
                <w:lang w:val="en-GB" w:eastAsia="en-GB"/>
              </w:rPr>
              <w:t>Non-full-fat dairy products</w:t>
            </w:r>
          </w:p>
        </w:tc>
      </w:tr>
      <w:tr w:rsidR="00B0160C" w:rsidRPr="003160F8" w14:paraId="74BED6A9" w14:textId="77777777" w:rsidTr="00B0160C">
        <w:trPr>
          <w:jc w:val="center"/>
        </w:trPr>
        <w:tc>
          <w:tcPr>
            <w:tcW w:w="49" w:type="pct"/>
            <w:shd w:val="clear" w:color="auto" w:fill="auto"/>
            <w:noWrap/>
            <w:vAlign w:val="center"/>
            <w:hideMark/>
          </w:tcPr>
          <w:p w14:paraId="2CDEAFE6" w14:textId="77777777" w:rsidR="00C73C94" w:rsidRPr="003160F8" w:rsidRDefault="00C73C94" w:rsidP="00C73C94">
            <w:pPr>
              <w:pStyle w:val="MDPI42tablebody"/>
              <w:autoSpaceDE w:val="0"/>
              <w:autoSpaceDN w:val="0"/>
              <w:spacing w:line="240" w:lineRule="auto"/>
              <w:rPr>
                <w:color w:val="auto"/>
                <w:szCs w:val="18"/>
                <w:lang w:val="en-GB" w:eastAsia="en-GB"/>
              </w:rPr>
            </w:pPr>
          </w:p>
        </w:tc>
        <w:tc>
          <w:tcPr>
            <w:tcW w:w="216" w:type="pct"/>
            <w:gridSpan w:val="2"/>
            <w:shd w:val="clear" w:color="auto" w:fill="auto"/>
            <w:noWrap/>
            <w:vAlign w:val="center"/>
            <w:hideMark/>
          </w:tcPr>
          <w:p w14:paraId="760ED50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f/d</w:t>
            </w:r>
          </w:p>
        </w:tc>
        <w:tc>
          <w:tcPr>
            <w:tcW w:w="228" w:type="pct"/>
            <w:shd w:val="clear" w:color="auto" w:fill="auto"/>
            <w:vAlign w:val="center"/>
          </w:tcPr>
          <w:p w14:paraId="320F82E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1.3</w:t>
            </w:r>
          </w:p>
        </w:tc>
        <w:tc>
          <w:tcPr>
            <w:tcW w:w="243" w:type="pct"/>
            <w:shd w:val="clear" w:color="auto" w:fill="auto"/>
            <w:vAlign w:val="center"/>
          </w:tcPr>
          <w:p w14:paraId="181CA5AB"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[0.3]</w:t>
            </w:r>
          </w:p>
        </w:tc>
        <w:tc>
          <w:tcPr>
            <w:tcW w:w="209" w:type="pct"/>
            <w:shd w:val="clear" w:color="auto" w:fill="auto"/>
            <w:noWrap/>
            <w:vAlign w:val="center"/>
            <w:hideMark/>
          </w:tcPr>
          <w:p w14:paraId="1E0C3FE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1.6</w:t>
            </w:r>
          </w:p>
        </w:tc>
        <w:tc>
          <w:tcPr>
            <w:tcW w:w="263" w:type="pct"/>
            <w:shd w:val="clear" w:color="auto" w:fill="auto"/>
            <w:noWrap/>
            <w:vAlign w:val="center"/>
            <w:hideMark/>
          </w:tcPr>
          <w:p w14:paraId="56FB5B6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[1.5]</w:t>
            </w:r>
          </w:p>
        </w:tc>
        <w:tc>
          <w:tcPr>
            <w:tcW w:w="209" w:type="pct"/>
            <w:shd w:val="clear" w:color="auto" w:fill="auto"/>
            <w:noWrap/>
            <w:vAlign w:val="center"/>
            <w:hideMark/>
          </w:tcPr>
          <w:p w14:paraId="03EE4EE5"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2.2</w:t>
            </w:r>
          </w:p>
        </w:tc>
        <w:tc>
          <w:tcPr>
            <w:tcW w:w="263" w:type="pct"/>
            <w:shd w:val="clear" w:color="auto" w:fill="auto"/>
            <w:noWrap/>
            <w:vAlign w:val="center"/>
            <w:hideMark/>
          </w:tcPr>
          <w:p w14:paraId="68555DD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[1.8]</w:t>
            </w:r>
          </w:p>
        </w:tc>
        <w:tc>
          <w:tcPr>
            <w:tcW w:w="217" w:type="pct"/>
            <w:shd w:val="clear" w:color="auto" w:fill="auto"/>
            <w:vAlign w:val="center"/>
          </w:tcPr>
          <w:p w14:paraId="2DFCDE5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73" w:type="pct"/>
            <w:shd w:val="clear" w:color="auto" w:fill="auto"/>
            <w:vAlign w:val="center"/>
          </w:tcPr>
          <w:p w14:paraId="58EB5B8B"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noWrap/>
            <w:vAlign w:val="center"/>
            <w:hideMark/>
          </w:tcPr>
          <w:p w14:paraId="5823C17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0.1</w:t>
            </w:r>
          </w:p>
        </w:tc>
        <w:tc>
          <w:tcPr>
            <w:tcW w:w="263" w:type="pct"/>
            <w:shd w:val="clear" w:color="auto" w:fill="auto"/>
            <w:noWrap/>
            <w:vAlign w:val="center"/>
            <w:hideMark/>
          </w:tcPr>
          <w:p w14:paraId="6EC176CC"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[1.0]</w:t>
            </w:r>
          </w:p>
        </w:tc>
        <w:tc>
          <w:tcPr>
            <w:tcW w:w="228" w:type="pct"/>
            <w:shd w:val="clear" w:color="auto" w:fill="auto"/>
            <w:noWrap/>
            <w:vAlign w:val="center"/>
            <w:hideMark/>
          </w:tcPr>
          <w:p w14:paraId="0EF7736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1.0</w:t>
            </w:r>
          </w:p>
        </w:tc>
        <w:tc>
          <w:tcPr>
            <w:tcW w:w="243" w:type="pct"/>
            <w:shd w:val="clear" w:color="auto" w:fill="auto"/>
            <w:noWrap/>
            <w:vAlign w:val="center"/>
            <w:hideMark/>
          </w:tcPr>
          <w:p w14:paraId="4612596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[0.7]</w:t>
            </w:r>
          </w:p>
        </w:tc>
        <w:tc>
          <w:tcPr>
            <w:tcW w:w="209" w:type="pct"/>
            <w:shd w:val="clear" w:color="auto" w:fill="auto"/>
            <w:vAlign w:val="center"/>
          </w:tcPr>
          <w:p w14:paraId="48FDC13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1.0</w:t>
            </w:r>
          </w:p>
        </w:tc>
        <w:tc>
          <w:tcPr>
            <w:tcW w:w="263" w:type="pct"/>
            <w:shd w:val="clear" w:color="auto" w:fill="auto"/>
            <w:vAlign w:val="center"/>
          </w:tcPr>
          <w:p w14:paraId="49E9C57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[1.4]</w:t>
            </w:r>
          </w:p>
        </w:tc>
        <w:tc>
          <w:tcPr>
            <w:tcW w:w="209" w:type="pct"/>
            <w:shd w:val="clear" w:color="auto" w:fill="auto"/>
            <w:vAlign w:val="center"/>
          </w:tcPr>
          <w:p w14:paraId="2849AE2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0.8</w:t>
            </w:r>
          </w:p>
        </w:tc>
        <w:tc>
          <w:tcPr>
            <w:tcW w:w="263" w:type="pct"/>
            <w:shd w:val="clear" w:color="auto" w:fill="auto"/>
            <w:vAlign w:val="center"/>
          </w:tcPr>
          <w:p w14:paraId="2DAA663C"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[0.7]</w:t>
            </w:r>
          </w:p>
        </w:tc>
        <w:tc>
          <w:tcPr>
            <w:tcW w:w="209" w:type="pct"/>
            <w:shd w:val="clear" w:color="auto" w:fill="auto"/>
            <w:vAlign w:val="center"/>
          </w:tcPr>
          <w:p w14:paraId="7D20C66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0.8</w:t>
            </w:r>
          </w:p>
        </w:tc>
        <w:tc>
          <w:tcPr>
            <w:tcW w:w="263" w:type="pct"/>
            <w:shd w:val="clear" w:color="auto" w:fill="auto"/>
            <w:vAlign w:val="center"/>
          </w:tcPr>
          <w:p w14:paraId="6D67C5D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[0.8]</w:t>
            </w:r>
          </w:p>
        </w:tc>
        <w:tc>
          <w:tcPr>
            <w:tcW w:w="209" w:type="pct"/>
            <w:shd w:val="clear" w:color="auto" w:fill="auto"/>
            <w:vAlign w:val="center"/>
          </w:tcPr>
          <w:p w14:paraId="411CB48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1.0</w:t>
            </w:r>
          </w:p>
        </w:tc>
        <w:tc>
          <w:tcPr>
            <w:tcW w:w="263" w:type="pct"/>
            <w:shd w:val="clear" w:color="auto" w:fill="auto"/>
            <w:vAlign w:val="center"/>
          </w:tcPr>
          <w:p w14:paraId="05464B2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[1.0]</w:t>
            </w:r>
          </w:p>
        </w:tc>
      </w:tr>
      <w:tr w:rsidR="00B0160C" w:rsidRPr="003160F8" w14:paraId="3E3AF3B6" w14:textId="77777777" w:rsidTr="00B0160C">
        <w:trPr>
          <w:jc w:val="center"/>
        </w:trPr>
        <w:tc>
          <w:tcPr>
            <w:tcW w:w="49" w:type="pct"/>
            <w:shd w:val="clear" w:color="auto" w:fill="auto"/>
            <w:noWrap/>
            <w:vAlign w:val="center"/>
            <w:hideMark/>
          </w:tcPr>
          <w:p w14:paraId="583DFF03" w14:textId="77777777" w:rsidR="00C73C94" w:rsidRPr="003160F8" w:rsidRDefault="00C73C94" w:rsidP="00C73C94">
            <w:pPr>
              <w:pStyle w:val="MDPI42tablebody"/>
              <w:autoSpaceDE w:val="0"/>
              <w:autoSpaceDN w:val="0"/>
              <w:spacing w:line="240" w:lineRule="auto"/>
              <w:rPr>
                <w:color w:val="auto"/>
                <w:szCs w:val="18"/>
                <w:lang w:val="en-GB" w:eastAsia="en-GB"/>
              </w:rPr>
            </w:pPr>
          </w:p>
        </w:tc>
        <w:tc>
          <w:tcPr>
            <w:tcW w:w="216" w:type="pct"/>
            <w:gridSpan w:val="2"/>
            <w:shd w:val="clear" w:color="auto" w:fill="auto"/>
            <w:noWrap/>
            <w:vAlign w:val="center"/>
            <w:hideMark/>
          </w:tcPr>
          <w:p w14:paraId="5D6D0C6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g/d</w:t>
            </w:r>
          </w:p>
        </w:tc>
        <w:tc>
          <w:tcPr>
            <w:tcW w:w="228" w:type="pct"/>
            <w:shd w:val="clear" w:color="auto" w:fill="auto"/>
            <w:vAlign w:val="center"/>
          </w:tcPr>
          <w:p w14:paraId="3B819DF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43" w:type="pct"/>
            <w:shd w:val="clear" w:color="auto" w:fill="auto"/>
            <w:vAlign w:val="center"/>
          </w:tcPr>
          <w:p w14:paraId="7696D33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noWrap/>
            <w:vAlign w:val="center"/>
            <w:hideMark/>
          </w:tcPr>
          <w:p w14:paraId="1330E84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303</w:t>
            </w:r>
          </w:p>
        </w:tc>
        <w:tc>
          <w:tcPr>
            <w:tcW w:w="263" w:type="pct"/>
            <w:shd w:val="clear" w:color="auto" w:fill="auto"/>
            <w:noWrap/>
            <w:vAlign w:val="center"/>
            <w:hideMark/>
          </w:tcPr>
          <w:p w14:paraId="564CA23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[357]</w:t>
            </w:r>
          </w:p>
        </w:tc>
        <w:tc>
          <w:tcPr>
            <w:tcW w:w="209" w:type="pct"/>
            <w:shd w:val="clear" w:color="auto" w:fill="auto"/>
            <w:noWrap/>
            <w:vAlign w:val="center"/>
            <w:hideMark/>
          </w:tcPr>
          <w:p w14:paraId="54F82CC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417</w:t>
            </w:r>
          </w:p>
        </w:tc>
        <w:tc>
          <w:tcPr>
            <w:tcW w:w="263" w:type="pct"/>
            <w:shd w:val="clear" w:color="auto" w:fill="auto"/>
            <w:noWrap/>
            <w:vAlign w:val="center"/>
            <w:hideMark/>
          </w:tcPr>
          <w:p w14:paraId="4FDB112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[403]</w:t>
            </w:r>
          </w:p>
        </w:tc>
        <w:tc>
          <w:tcPr>
            <w:tcW w:w="217" w:type="pct"/>
            <w:shd w:val="clear" w:color="auto" w:fill="auto"/>
            <w:vAlign w:val="center"/>
          </w:tcPr>
          <w:p w14:paraId="222EFCB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224</w:t>
            </w:r>
          </w:p>
        </w:tc>
        <w:tc>
          <w:tcPr>
            <w:tcW w:w="273" w:type="pct"/>
            <w:shd w:val="clear" w:color="auto" w:fill="auto"/>
            <w:vAlign w:val="center"/>
          </w:tcPr>
          <w:p w14:paraId="7FA1944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[308]</w:t>
            </w:r>
          </w:p>
        </w:tc>
        <w:tc>
          <w:tcPr>
            <w:tcW w:w="209" w:type="pct"/>
            <w:shd w:val="clear" w:color="auto" w:fill="auto"/>
            <w:noWrap/>
            <w:vAlign w:val="center"/>
            <w:hideMark/>
          </w:tcPr>
          <w:p w14:paraId="74C2508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18</w:t>
            </w:r>
          </w:p>
        </w:tc>
        <w:tc>
          <w:tcPr>
            <w:tcW w:w="263" w:type="pct"/>
            <w:shd w:val="clear" w:color="auto" w:fill="auto"/>
            <w:noWrap/>
            <w:vAlign w:val="center"/>
            <w:hideMark/>
          </w:tcPr>
          <w:p w14:paraId="5D98BBF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[198]</w:t>
            </w:r>
          </w:p>
        </w:tc>
        <w:tc>
          <w:tcPr>
            <w:tcW w:w="228" w:type="pct"/>
            <w:shd w:val="clear" w:color="auto" w:fill="auto"/>
            <w:noWrap/>
            <w:vAlign w:val="center"/>
          </w:tcPr>
          <w:p w14:paraId="476EBF2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43" w:type="pct"/>
            <w:shd w:val="clear" w:color="auto" w:fill="auto"/>
            <w:noWrap/>
            <w:vAlign w:val="center"/>
          </w:tcPr>
          <w:p w14:paraId="7EA71FC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6C7A86A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250</w:t>
            </w:r>
          </w:p>
        </w:tc>
        <w:tc>
          <w:tcPr>
            <w:tcW w:w="263" w:type="pct"/>
            <w:shd w:val="clear" w:color="auto" w:fill="auto"/>
            <w:vAlign w:val="center"/>
          </w:tcPr>
          <w:p w14:paraId="338DB16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[298]</w:t>
            </w:r>
          </w:p>
        </w:tc>
        <w:tc>
          <w:tcPr>
            <w:tcW w:w="209" w:type="pct"/>
            <w:shd w:val="clear" w:color="auto" w:fill="auto"/>
            <w:vAlign w:val="center"/>
          </w:tcPr>
          <w:p w14:paraId="5DDAACE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2929065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25E6312C"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0AF9237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12D2C58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3AF0AD7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r>
      <w:tr w:rsidR="00C73C94" w:rsidRPr="003160F8" w14:paraId="1CDAAD7F" w14:textId="77777777" w:rsidTr="00B0160C">
        <w:trPr>
          <w:jc w:val="center"/>
        </w:trPr>
        <w:tc>
          <w:tcPr>
            <w:tcW w:w="5000" w:type="pct"/>
            <w:gridSpan w:val="23"/>
            <w:shd w:val="clear" w:color="auto" w:fill="auto"/>
            <w:vAlign w:val="center"/>
          </w:tcPr>
          <w:p w14:paraId="76A46C46" w14:textId="77777777" w:rsidR="00C73C94" w:rsidRPr="003160F8" w:rsidRDefault="00C73C94" w:rsidP="00C73C94">
            <w:pPr>
              <w:pStyle w:val="MDPI42tablebody"/>
              <w:autoSpaceDE w:val="0"/>
              <w:autoSpaceDN w:val="0"/>
              <w:spacing w:line="240" w:lineRule="auto"/>
              <w:rPr>
                <w:b/>
                <w:color w:val="auto"/>
                <w:szCs w:val="18"/>
                <w:lang w:val="en-GB" w:eastAsia="en-GB"/>
              </w:rPr>
            </w:pPr>
            <w:r w:rsidRPr="003160F8">
              <w:rPr>
                <w:b/>
                <w:color w:val="auto"/>
                <w:szCs w:val="18"/>
                <w:lang w:val="en-GB" w:eastAsia="en-GB"/>
              </w:rPr>
              <w:t>Nuts, seeds, legumes</w:t>
            </w:r>
          </w:p>
        </w:tc>
      </w:tr>
      <w:tr w:rsidR="00B0160C" w:rsidRPr="003160F8" w14:paraId="749EE068" w14:textId="77777777" w:rsidTr="00B0160C">
        <w:trPr>
          <w:jc w:val="center"/>
        </w:trPr>
        <w:tc>
          <w:tcPr>
            <w:tcW w:w="49" w:type="pct"/>
            <w:shd w:val="clear" w:color="auto" w:fill="auto"/>
            <w:noWrap/>
            <w:vAlign w:val="center"/>
            <w:hideMark/>
          </w:tcPr>
          <w:p w14:paraId="0C3EA28D" w14:textId="77777777" w:rsidR="00C73C94" w:rsidRPr="003160F8" w:rsidRDefault="00C73C94" w:rsidP="00C73C94">
            <w:pPr>
              <w:pStyle w:val="MDPI42tablebody"/>
              <w:autoSpaceDE w:val="0"/>
              <w:autoSpaceDN w:val="0"/>
              <w:spacing w:line="240" w:lineRule="auto"/>
              <w:rPr>
                <w:color w:val="auto"/>
                <w:szCs w:val="18"/>
                <w:lang w:val="en-GB" w:eastAsia="en-GB"/>
              </w:rPr>
            </w:pPr>
          </w:p>
        </w:tc>
        <w:tc>
          <w:tcPr>
            <w:tcW w:w="216" w:type="pct"/>
            <w:gridSpan w:val="2"/>
            <w:shd w:val="clear" w:color="auto" w:fill="auto"/>
            <w:noWrap/>
            <w:vAlign w:val="center"/>
            <w:hideMark/>
          </w:tcPr>
          <w:p w14:paraId="59EEC4A7"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f/d</w:t>
            </w:r>
          </w:p>
        </w:tc>
        <w:tc>
          <w:tcPr>
            <w:tcW w:w="228" w:type="pct"/>
            <w:shd w:val="clear" w:color="auto" w:fill="auto"/>
            <w:vAlign w:val="center"/>
          </w:tcPr>
          <w:p w14:paraId="37FB14C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0.3</w:t>
            </w:r>
          </w:p>
        </w:tc>
        <w:tc>
          <w:tcPr>
            <w:tcW w:w="243" w:type="pct"/>
            <w:shd w:val="clear" w:color="auto" w:fill="auto"/>
            <w:vAlign w:val="center"/>
          </w:tcPr>
          <w:p w14:paraId="365A106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[0.3]</w:t>
            </w:r>
          </w:p>
        </w:tc>
        <w:tc>
          <w:tcPr>
            <w:tcW w:w="209" w:type="pct"/>
            <w:shd w:val="clear" w:color="auto" w:fill="auto"/>
            <w:noWrap/>
            <w:vAlign w:val="center"/>
            <w:hideMark/>
          </w:tcPr>
          <w:p w14:paraId="3833488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0.1</w:t>
            </w:r>
          </w:p>
        </w:tc>
        <w:tc>
          <w:tcPr>
            <w:tcW w:w="263" w:type="pct"/>
            <w:shd w:val="clear" w:color="auto" w:fill="auto"/>
            <w:noWrap/>
            <w:vAlign w:val="center"/>
            <w:hideMark/>
          </w:tcPr>
          <w:p w14:paraId="227172F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[0.1]</w:t>
            </w:r>
          </w:p>
        </w:tc>
        <w:tc>
          <w:tcPr>
            <w:tcW w:w="209" w:type="pct"/>
            <w:shd w:val="clear" w:color="auto" w:fill="auto"/>
            <w:noWrap/>
            <w:vAlign w:val="center"/>
            <w:hideMark/>
          </w:tcPr>
          <w:p w14:paraId="7553B84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0.1</w:t>
            </w:r>
          </w:p>
        </w:tc>
        <w:tc>
          <w:tcPr>
            <w:tcW w:w="263" w:type="pct"/>
            <w:shd w:val="clear" w:color="auto" w:fill="auto"/>
            <w:noWrap/>
            <w:vAlign w:val="center"/>
            <w:hideMark/>
          </w:tcPr>
          <w:p w14:paraId="27D274FC"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[0.1]</w:t>
            </w:r>
          </w:p>
        </w:tc>
        <w:tc>
          <w:tcPr>
            <w:tcW w:w="217" w:type="pct"/>
            <w:shd w:val="clear" w:color="auto" w:fill="auto"/>
            <w:vAlign w:val="center"/>
          </w:tcPr>
          <w:p w14:paraId="4FDEA9B5"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73" w:type="pct"/>
            <w:shd w:val="clear" w:color="auto" w:fill="auto"/>
            <w:vAlign w:val="center"/>
          </w:tcPr>
          <w:p w14:paraId="2C216D8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noWrap/>
            <w:vAlign w:val="center"/>
            <w:hideMark/>
          </w:tcPr>
          <w:p w14:paraId="1972C52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0.2</w:t>
            </w:r>
          </w:p>
        </w:tc>
        <w:tc>
          <w:tcPr>
            <w:tcW w:w="263" w:type="pct"/>
            <w:shd w:val="clear" w:color="auto" w:fill="auto"/>
            <w:noWrap/>
            <w:vAlign w:val="center"/>
            <w:hideMark/>
          </w:tcPr>
          <w:p w14:paraId="63025A75"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[0.3]</w:t>
            </w:r>
          </w:p>
        </w:tc>
        <w:tc>
          <w:tcPr>
            <w:tcW w:w="228" w:type="pct"/>
            <w:shd w:val="clear" w:color="auto" w:fill="auto"/>
            <w:noWrap/>
            <w:vAlign w:val="center"/>
            <w:hideMark/>
          </w:tcPr>
          <w:p w14:paraId="6C552CEB"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0.1</w:t>
            </w:r>
          </w:p>
        </w:tc>
        <w:tc>
          <w:tcPr>
            <w:tcW w:w="243" w:type="pct"/>
            <w:shd w:val="clear" w:color="auto" w:fill="auto"/>
            <w:noWrap/>
            <w:vAlign w:val="center"/>
            <w:hideMark/>
          </w:tcPr>
          <w:p w14:paraId="1AA91B3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[0.3]</w:t>
            </w:r>
          </w:p>
        </w:tc>
        <w:tc>
          <w:tcPr>
            <w:tcW w:w="209" w:type="pct"/>
            <w:shd w:val="clear" w:color="auto" w:fill="auto"/>
            <w:vAlign w:val="center"/>
          </w:tcPr>
          <w:p w14:paraId="64862A4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0.2</w:t>
            </w:r>
          </w:p>
        </w:tc>
        <w:tc>
          <w:tcPr>
            <w:tcW w:w="263" w:type="pct"/>
            <w:shd w:val="clear" w:color="auto" w:fill="auto"/>
            <w:vAlign w:val="center"/>
          </w:tcPr>
          <w:p w14:paraId="0A0FE39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[0.4]</w:t>
            </w:r>
          </w:p>
        </w:tc>
        <w:tc>
          <w:tcPr>
            <w:tcW w:w="209" w:type="pct"/>
            <w:shd w:val="clear" w:color="auto" w:fill="auto"/>
            <w:vAlign w:val="center"/>
          </w:tcPr>
          <w:p w14:paraId="1E9A175B"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0.2</w:t>
            </w:r>
          </w:p>
        </w:tc>
        <w:tc>
          <w:tcPr>
            <w:tcW w:w="263" w:type="pct"/>
            <w:shd w:val="clear" w:color="auto" w:fill="auto"/>
            <w:vAlign w:val="center"/>
          </w:tcPr>
          <w:p w14:paraId="187EC43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[0.2]</w:t>
            </w:r>
          </w:p>
        </w:tc>
        <w:tc>
          <w:tcPr>
            <w:tcW w:w="209" w:type="pct"/>
            <w:shd w:val="clear" w:color="auto" w:fill="auto"/>
            <w:vAlign w:val="center"/>
          </w:tcPr>
          <w:p w14:paraId="5239663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0.2</w:t>
            </w:r>
          </w:p>
        </w:tc>
        <w:tc>
          <w:tcPr>
            <w:tcW w:w="263" w:type="pct"/>
            <w:shd w:val="clear" w:color="auto" w:fill="auto"/>
            <w:vAlign w:val="center"/>
          </w:tcPr>
          <w:p w14:paraId="7F14153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[0.2]</w:t>
            </w:r>
          </w:p>
        </w:tc>
        <w:tc>
          <w:tcPr>
            <w:tcW w:w="209" w:type="pct"/>
            <w:shd w:val="clear" w:color="auto" w:fill="auto"/>
            <w:vAlign w:val="center"/>
          </w:tcPr>
          <w:p w14:paraId="407EBDC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0.2</w:t>
            </w:r>
          </w:p>
        </w:tc>
        <w:tc>
          <w:tcPr>
            <w:tcW w:w="263" w:type="pct"/>
            <w:shd w:val="clear" w:color="auto" w:fill="auto"/>
            <w:vAlign w:val="center"/>
          </w:tcPr>
          <w:p w14:paraId="5942D98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[0.2]</w:t>
            </w:r>
          </w:p>
        </w:tc>
      </w:tr>
      <w:tr w:rsidR="00B0160C" w:rsidRPr="003160F8" w14:paraId="53B377FF" w14:textId="77777777" w:rsidTr="00B0160C">
        <w:trPr>
          <w:jc w:val="center"/>
        </w:trPr>
        <w:tc>
          <w:tcPr>
            <w:tcW w:w="49" w:type="pct"/>
            <w:shd w:val="clear" w:color="auto" w:fill="auto"/>
            <w:noWrap/>
            <w:vAlign w:val="center"/>
            <w:hideMark/>
          </w:tcPr>
          <w:p w14:paraId="0E13FEFA" w14:textId="77777777" w:rsidR="00C73C94" w:rsidRPr="003160F8" w:rsidRDefault="00C73C94" w:rsidP="00C73C94">
            <w:pPr>
              <w:pStyle w:val="MDPI42tablebody"/>
              <w:autoSpaceDE w:val="0"/>
              <w:autoSpaceDN w:val="0"/>
              <w:spacing w:line="240" w:lineRule="auto"/>
              <w:rPr>
                <w:color w:val="auto"/>
                <w:szCs w:val="18"/>
                <w:lang w:val="en-GB" w:eastAsia="en-GB"/>
              </w:rPr>
            </w:pPr>
          </w:p>
        </w:tc>
        <w:tc>
          <w:tcPr>
            <w:tcW w:w="216" w:type="pct"/>
            <w:gridSpan w:val="2"/>
            <w:shd w:val="clear" w:color="auto" w:fill="auto"/>
            <w:noWrap/>
            <w:vAlign w:val="center"/>
            <w:hideMark/>
          </w:tcPr>
          <w:p w14:paraId="302986C7"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g/d</w:t>
            </w:r>
          </w:p>
        </w:tc>
        <w:tc>
          <w:tcPr>
            <w:tcW w:w="228" w:type="pct"/>
            <w:shd w:val="clear" w:color="auto" w:fill="auto"/>
            <w:vAlign w:val="center"/>
          </w:tcPr>
          <w:p w14:paraId="44243E7C"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43" w:type="pct"/>
            <w:shd w:val="clear" w:color="auto" w:fill="auto"/>
            <w:vAlign w:val="center"/>
          </w:tcPr>
          <w:p w14:paraId="3D7DEBB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noWrap/>
            <w:vAlign w:val="center"/>
            <w:hideMark/>
          </w:tcPr>
          <w:p w14:paraId="22C9C9EB"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13</w:t>
            </w:r>
          </w:p>
        </w:tc>
        <w:tc>
          <w:tcPr>
            <w:tcW w:w="263" w:type="pct"/>
            <w:shd w:val="clear" w:color="auto" w:fill="auto"/>
            <w:noWrap/>
            <w:vAlign w:val="center"/>
            <w:hideMark/>
          </w:tcPr>
          <w:p w14:paraId="3253F37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[16]</w:t>
            </w:r>
          </w:p>
        </w:tc>
        <w:tc>
          <w:tcPr>
            <w:tcW w:w="209" w:type="pct"/>
            <w:shd w:val="clear" w:color="auto" w:fill="auto"/>
            <w:noWrap/>
            <w:vAlign w:val="center"/>
            <w:hideMark/>
          </w:tcPr>
          <w:p w14:paraId="59AF234C"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10</w:t>
            </w:r>
          </w:p>
        </w:tc>
        <w:tc>
          <w:tcPr>
            <w:tcW w:w="263" w:type="pct"/>
            <w:shd w:val="clear" w:color="auto" w:fill="auto"/>
            <w:noWrap/>
            <w:vAlign w:val="center"/>
            <w:hideMark/>
          </w:tcPr>
          <w:p w14:paraId="2EE9EE0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[17]</w:t>
            </w:r>
          </w:p>
        </w:tc>
        <w:tc>
          <w:tcPr>
            <w:tcW w:w="217" w:type="pct"/>
            <w:shd w:val="clear" w:color="auto" w:fill="auto"/>
            <w:vAlign w:val="center"/>
          </w:tcPr>
          <w:p w14:paraId="5F5C7C9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13</w:t>
            </w:r>
          </w:p>
        </w:tc>
        <w:tc>
          <w:tcPr>
            <w:tcW w:w="273" w:type="pct"/>
            <w:shd w:val="clear" w:color="auto" w:fill="auto"/>
            <w:vAlign w:val="center"/>
          </w:tcPr>
          <w:p w14:paraId="7A23CF9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[19]</w:t>
            </w:r>
          </w:p>
        </w:tc>
        <w:tc>
          <w:tcPr>
            <w:tcW w:w="209" w:type="pct"/>
            <w:shd w:val="clear" w:color="auto" w:fill="auto"/>
            <w:noWrap/>
            <w:vAlign w:val="center"/>
            <w:hideMark/>
          </w:tcPr>
          <w:p w14:paraId="4ADEE86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19</w:t>
            </w:r>
          </w:p>
        </w:tc>
        <w:tc>
          <w:tcPr>
            <w:tcW w:w="263" w:type="pct"/>
            <w:shd w:val="clear" w:color="auto" w:fill="auto"/>
            <w:noWrap/>
            <w:vAlign w:val="center"/>
            <w:hideMark/>
          </w:tcPr>
          <w:p w14:paraId="6486CC0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[49]</w:t>
            </w:r>
          </w:p>
        </w:tc>
        <w:tc>
          <w:tcPr>
            <w:tcW w:w="228" w:type="pct"/>
            <w:shd w:val="clear" w:color="auto" w:fill="auto"/>
            <w:noWrap/>
            <w:vAlign w:val="center"/>
          </w:tcPr>
          <w:p w14:paraId="224CFD4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43" w:type="pct"/>
            <w:shd w:val="clear" w:color="auto" w:fill="auto"/>
            <w:noWrap/>
            <w:vAlign w:val="center"/>
          </w:tcPr>
          <w:p w14:paraId="7E9C9DF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596540DB"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19</w:t>
            </w:r>
          </w:p>
        </w:tc>
        <w:tc>
          <w:tcPr>
            <w:tcW w:w="263" w:type="pct"/>
            <w:shd w:val="clear" w:color="auto" w:fill="auto"/>
            <w:vAlign w:val="center"/>
          </w:tcPr>
          <w:p w14:paraId="1C7604E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[21]</w:t>
            </w:r>
          </w:p>
        </w:tc>
        <w:tc>
          <w:tcPr>
            <w:tcW w:w="209" w:type="pct"/>
            <w:shd w:val="clear" w:color="auto" w:fill="auto"/>
            <w:vAlign w:val="center"/>
          </w:tcPr>
          <w:p w14:paraId="76A5CDC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51D350C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32CF099C"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4BB0704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4AD1108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517369E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r>
      <w:tr w:rsidR="00C73C94" w:rsidRPr="003160F8" w14:paraId="12592747" w14:textId="77777777" w:rsidTr="00B0160C">
        <w:trPr>
          <w:jc w:val="center"/>
        </w:trPr>
        <w:tc>
          <w:tcPr>
            <w:tcW w:w="5000" w:type="pct"/>
            <w:gridSpan w:val="23"/>
            <w:shd w:val="clear" w:color="auto" w:fill="auto"/>
            <w:vAlign w:val="center"/>
          </w:tcPr>
          <w:p w14:paraId="270F55BE" w14:textId="77777777" w:rsidR="00C73C94" w:rsidRPr="003160F8" w:rsidRDefault="00C73C94" w:rsidP="00C73C94">
            <w:pPr>
              <w:pStyle w:val="MDPI42tablebody"/>
              <w:autoSpaceDE w:val="0"/>
              <w:autoSpaceDN w:val="0"/>
              <w:spacing w:line="240" w:lineRule="auto"/>
              <w:rPr>
                <w:b/>
                <w:color w:val="auto"/>
                <w:szCs w:val="18"/>
                <w:lang w:val="en-GB" w:eastAsia="en-GB"/>
              </w:rPr>
            </w:pPr>
            <w:r w:rsidRPr="003160F8">
              <w:rPr>
                <w:b/>
                <w:color w:val="auto"/>
                <w:szCs w:val="18"/>
                <w:lang w:val="en-GB" w:eastAsia="en-GB"/>
              </w:rPr>
              <w:t>Red and processed meats</w:t>
            </w:r>
          </w:p>
        </w:tc>
      </w:tr>
      <w:tr w:rsidR="00B0160C" w:rsidRPr="003160F8" w14:paraId="22DA12F9" w14:textId="77777777" w:rsidTr="00B0160C">
        <w:trPr>
          <w:jc w:val="center"/>
        </w:trPr>
        <w:tc>
          <w:tcPr>
            <w:tcW w:w="49" w:type="pct"/>
            <w:shd w:val="clear" w:color="auto" w:fill="auto"/>
            <w:noWrap/>
            <w:vAlign w:val="center"/>
            <w:hideMark/>
          </w:tcPr>
          <w:p w14:paraId="01448CB0" w14:textId="77777777" w:rsidR="00C73C94" w:rsidRPr="003160F8" w:rsidRDefault="00C73C94" w:rsidP="00C73C94">
            <w:pPr>
              <w:pStyle w:val="MDPI42tablebody"/>
              <w:autoSpaceDE w:val="0"/>
              <w:autoSpaceDN w:val="0"/>
              <w:spacing w:line="240" w:lineRule="auto"/>
              <w:rPr>
                <w:color w:val="auto"/>
                <w:szCs w:val="18"/>
                <w:lang w:val="en-GB" w:eastAsia="en-GB"/>
              </w:rPr>
            </w:pPr>
          </w:p>
        </w:tc>
        <w:tc>
          <w:tcPr>
            <w:tcW w:w="216" w:type="pct"/>
            <w:gridSpan w:val="2"/>
            <w:shd w:val="clear" w:color="auto" w:fill="auto"/>
            <w:noWrap/>
            <w:vAlign w:val="center"/>
            <w:hideMark/>
          </w:tcPr>
          <w:p w14:paraId="3DD5F0C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f/d</w:t>
            </w:r>
          </w:p>
        </w:tc>
        <w:tc>
          <w:tcPr>
            <w:tcW w:w="228" w:type="pct"/>
            <w:shd w:val="clear" w:color="auto" w:fill="auto"/>
            <w:vAlign w:val="center"/>
          </w:tcPr>
          <w:p w14:paraId="538244D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0.4</w:t>
            </w:r>
          </w:p>
        </w:tc>
        <w:tc>
          <w:tcPr>
            <w:tcW w:w="243" w:type="pct"/>
            <w:shd w:val="clear" w:color="auto" w:fill="auto"/>
            <w:vAlign w:val="center"/>
          </w:tcPr>
          <w:p w14:paraId="4798469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[0.3]</w:t>
            </w:r>
          </w:p>
        </w:tc>
        <w:tc>
          <w:tcPr>
            <w:tcW w:w="209" w:type="pct"/>
            <w:shd w:val="clear" w:color="auto" w:fill="auto"/>
            <w:noWrap/>
            <w:vAlign w:val="center"/>
            <w:hideMark/>
          </w:tcPr>
          <w:p w14:paraId="37D9288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0.7</w:t>
            </w:r>
          </w:p>
        </w:tc>
        <w:tc>
          <w:tcPr>
            <w:tcW w:w="263" w:type="pct"/>
            <w:shd w:val="clear" w:color="auto" w:fill="auto"/>
            <w:noWrap/>
            <w:vAlign w:val="center"/>
            <w:hideMark/>
          </w:tcPr>
          <w:p w14:paraId="20F4D827"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[0.6]</w:t>
            </w:r>
          </w:p>
        </w:tc>
        <w:tc>
          <w:tcPr>
            <w:tcW w:w="209" w:type="pct"/>
            <w:shd w:val="clear" w:color="auto" w:fill="auto"/>
            <w:noWrap/>
            <w:vAlign w:val="center"/>
            <w:hideMark/>
          </w:tcPr>
          <w:p w14:paraId="6C15157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0.7</w:t>
            </w:r>
          </w:p>
        </w:tc>
        <w:tc>
          <w:tcPr>
            <w:tcW w:w="263" w:type="pct"/>
            <w:shd w:val="clear" w:color="auto" w:fill="auto"/>
            <w:noWrap/>
            <w:vAlign w:val="center"/>
            <w:hideMark/>
          </w:tcPr>
          <w:p w14:paraId="7FE5C3D5"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[0.5]</w:t>
            </w:r>
          </w:p>
        </w:tc>
        <w:tc>
          <w:tcPr>
            <w:tcW w:w="217" w:type="pct"/>
            <w:shd w:val="clear" w:color="auto" w:fill="auto"/>
            <w:vAlign w:val="center"/>
          </w:tcPr>
          <w:p w14:paraId="2C96AC67"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73" w:type="pct"/>
            <w:shd w:val="clear" w:color="auto" w:fill="auto"/>
            <w:vAlign w:val="center"/>
          </w:tcPr>
          <w:p w14:paraId="2B60C62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noWrap/>
            <w:vAlign w:val="center"/>
            <w:hideMark/>
          </w:tcPr>
          <w:p w14:paraId="3A9EC51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0.9</w:t>
            </w:r>
          </w:p>
        </w:tc>
        <w:tc>
          <w:tcPr>
            <w:tcW w:w="263" w:type="pct"/>
            <w:shd w:val="clear" w:color="auto" w:fill="auto"/>
            <w:noWrap/>
            <w:vAlign w:val="center"/>
            <w:hideMark/>
          </w:tcPr>
          <w:p w14:paraId="77FC1E6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[0.8]</w:t>
            </w:r>
          </w:p>
        </w:tc>
        <w:tc>
          <w:tcPr>
            <w:tcW w:w="228" w:type="pct"/>
            <w:shd w:val="clear" w:color="auto" w:fill="auto"/>
            <w:noWrap/>
            <w:vAlign w:val="center"/>
            <w:hideMark/>
          </w:tcPr>
          <w:p w14:paraId="1E26685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1.0</w:t>
            </w:r>
          </w:p>
        </w:tc>
        <w:tc>
          <w:tcPr>
            <w:tcW w:w="243" w:type="pct"/>
            <w:shd w:val="clear" w:color="auto" w:fill="auto"/>
            <w:noWrap/>
            <w:vAlign w:val="center"/>
            <w:hideMark/>
          </w:tcPr>
          <w:p w14:paraId="427D000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[0.7]</w:t>
            </w:r>
          </w:p>
        </w:tc>
        <w:tc>
          <w:tcPr>
            <w:tcW w:w="209" w:type="pct"/>
            <w:shd w:val="clear" w:color="auto" w:fill="auto"/>
            <w:vAlign w:val="center"/>
          </w:tcPr>
          <w:p w14:paraId="50762DFC"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0.9</w:t>
            </w:r>
          </w:p>
        </w:tc>
        <w:tc>
          <w:tcPr>
            <w:tcW w:w="263" w:type="pct"/>
            <w:shd w:val="clear" w:color="auto" w:fill="auto"/>
            <w:vAlign w:val="center"/>
          </w:tcPr>
          <w:p w14:paraId="60CEED8B"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[0.8]</w:t>
            </w:r>
          </w:p>
        </w:tc>
        <w:tc>
          <w:tcPr>
            <w:tcW w:w="209" w:type="pct"/>
            <w:shd w:val="clear" w:color="auto" w:fill="auto"/>
            <w:vAlign w:val="center"/>
          </w:tcPr>
          <w:p w14:paraId="7D7BD4E5"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0.7</w:t>
            </w:r>
          </w:p>
        </w:tc>
        <w:tc>
          <w:tcPr>
            <w:tcW w:w="263" w:type="pct"/>
            <w:shd w:val="clear" w:color="auto" w:fill="auto"/>
            <w:vAlign w:val="center"/>
          </w:tcPr>
          <w:p w14:paraId="12A3488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[0.7]</w:t>
            </w:r>
          </w:p>
        </w:tc>
        <w:tc>
          <w:tcPr>
            <w:tcW w:w="209" w:type="pct"/>
            <w:shd w:val="clear" w:color="auto" w:fill="auto"/>
            <w:vAlign w:val="center"/>
          </w:tcPr>
          <w:p w14:paraId="1D216BA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0.7</w:t>
            </w:r>
          </w:p>
        </w:tc>
        <w:tc>
          <w:tcPr>
            <w:tcW w:w="263" w:type="pct"/>
            <w:shd w:val="clear" w:color="auto" w:fill="auto"/>
            <w:vAlign w:val="center"/>
          </w:tcPr>
          <w:p w14:paraId="262CE4D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[0.6]</w:t>
            </w:r>
          </w:p>
        </w:tc>
        <w:tc>
          <w:tcPr>
            <w:tcW w:w="209" w:type="pct"/>
            <w:shd w:val="clear" w:color="auto" w:fill="auto"/>
            <w:vAlign w:val="center"/>
          </w:tcPr>
          <w:p w14:paraId="23545597"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0.7</w:t>
            </w:r>
          </w:p>
        </w:tc>
        <w:tc>
          <w:tcPr>
            <w:tcW w:w="263" w:type="pct"/>
            <w:shd w:val="clear" w:color="auto" w:fill="auto"/>
            <w:vAlign w:val="center"/>
          </w:tcPr>
          <w:p w14:paraId="756445E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[0.7]</w:t>
            </w:r>
          </w:p>
        </w:tc>
      </w:tr>
      <w:tr w:rsidR="00B0160C" w:rsidRPr="003160F8" w14:paraId="2C2CBFB0" w14:textId="77777777" w:rsidTr="00B0160C">
        <w:trPr>
          <w:jc w:val="center"/>
        </w:trPr>
        <w:tc>
          <w:tcPr>
            <w:tcW w:w="49" w:type="pct"/>
            <w:shd w:val="clear" w:color="auto" w:fill="auto"/>
            <w:noWrap/>
            <w:vAlign w:val="center"/>
            <w:hideMark/>
          </w:tcPr>
          <w:p w14:paraId="23169787" w14:textId="77777777" w:rsidR="00C73C94" w:rsidRPr="003160F8" w:rsidRDefault="00C73C94" w:rsidP="00C73C94">
            <w:pPr>
              <w:pStyle w:val="MDPI42tablebody"/>
              <w:autoSpaceDE w:val="0"/>
              <w:autoSpaceDN w:val="0"/>
              <w:spacing w:line="240" w:lineRule="auto"/>
              <w:rPr>
                <w:color w:val="auto"/>
                <w:szCs w:val="18"/>
                <w:lang w:val="en-GB" w:eastAsia="en-GB"/>
              </w:rPr>
            </w:pPr>
          </w:p>
        </w:tc>
        <w:tc>
          <w:tcPr>
            <w:tcW w:w="216" w:type="pct"/>
            <w:gridSpan w:val="2"/>
            <w:shd w:val="clear" w:color="auto" w:fill="auto"/>
            <w:noWrap/>
            <w:vAlign w:val="center"/>
            <w:hideMark/>
          </w:tcPr>
          <w:p w14:paraId="34BFCAF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g/d</w:t>
            </w:r>
          </w:p>
        </w:tc>
        <w:tc>
          <w:tcPr>
            <w:tcW w:w="228" w:type="pct"/>
            <w:shd w:val="clear" w:color="auto" w:fill="auto"/>
            <w:vAlign w:val="center"/>
          </w:tcPr>
          <w:p w14:paraId="3CD9628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43" w:type="pct"/>
            <w:shd w:val="clear" w:color="auto" w:fill="auto"/>
            <w:vAlign w:val="center"/>
          </w:tcPr>
          <w:p w14:paraId="7AA5D33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noWrap/>
            <w:vAlign w:val="center"/>
            <w:hideMark/>
          </w:tcPr>
          <w:p w14:paraId="46A5070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61</w:t>
            </w:r>
          </w:p>
        </w:tc>
        <w:tc>
          <w:tcPr>
            <w:tcW w:w="263" w:type="pct"/>
            <w:shd w:val="clear" w:color="auto" w:fill="auto"/>
            <w:noWrap/>
            <w:vAlign w:val="center"/>
            <w:hideMark/>
          </w:tcPr>
          <w:p w14:paraId="440C535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[57]</w:t>
            </w:r>
          </w:p>
        </w:tc>
        <w:tc>
          <w:tcPr>
            <w:tcW w:w="209" w:type="pct"/>
            <w:shd w:val="clear" w:color="auto" w:fill="auto"/>
            <w:noWrap/>
            <w:vAlign w:val="center"/>
            <w:hideMark/>
          </w:tcPr>
          <w:p w14:paraId="27E7083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60</w:t>
            </w:r>
          </w:p>
        </w:tc>
        <w:tc>
          <w:tcPr>
            <w:tcW w:w="263" w:type="pct"/>
            <w:shd w:val="clear" w:color="auto" w:fill="auto"/>
            <w:noWrap/>
            <w:vAlign w:val="center"/>
            <w:hideMark/>
          </w:tcPr>
          <w:p w14:paraId="6533730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[55]</w:t>
            </w:r>
          </w:p>
        </w:tc>
        <w:tc>
          <w:tcPr>
            <w:tcW w:w="217" w:type="pct"/>
            <w:shd w:val="clear" w:color="auto" w:fill="auto"/>
            <w:vAlign w:val="center"/>
          </w:tcPr>
          <w:p w14:paraId="01D1E61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51</w:t>
            </w:r>
          </w:p>
        </w:tc>
        <w:tc>
          <w:tcPr>
            <w:tcW w:w="273" w:type="pct"/>
            <w:shd w:val="clear" w:color="auto" w:fill="auto"/>
            <w:vAlign w:val="center"/>
          </w:tcPr>
          <w:p w14:paraId="6C739E9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[44]</w:t>
            </w:r>
          </w:p>
        </w:tc>
        <w:tc>
          <w:tcPr>
            <w:tcW w:w="209" w:type="pct"/>
            <w:shd w:val="clear" w:color="auto" w:fill="auto"/>
            <w:noWrap/>
            <w:vAlign w:val="center"/>
            <w:hideMark/>
          </w:tcPr>
          <w:p w14:paraId="2A98228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87</w:t>
            </w:r>
          </w:p>
        </w:tc>
        <w:tc>
          <w:tcPr>
            <w:tcW w:w="263" w:type="pct"/>
            <w:shd w:val="clear" w:color="auto" w:fill="auto"/>
            <w:noWrap/>
            <w:vAlign w:val="center"/>
            <w:hideMark/>
          </w:tcPr>
          <w:p w14:paraId="2972A3B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[66]</w:t>
            </w:r>
          </w:p>
        </w:tc>
        <w:tc>
          <w:tcPr>
            <w:tcW w:w="228" w:type="pct"/>
            <w:shd w:val="clear" w:color="auto" w:fill="auto"/>
            <w:noWrap/>
            <w:vAlign w:val="center"/>
          </w:tcPr>
          <w:p w14:paraId="2E0050B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43" w:type="pct"/>
            <w:shd w:val="clear" w:color="auto" w:fill="auto"/>
            <w:noWrap/>
            <w:vAlign w:val="center"/>
          </w:tcPr>
          <w:p w14:paraId="5D2477A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5B0E59D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87</w:t>
            </w:r>
          </w:p>
        </w:tc>
        <w:tc>
          <w:tcPr>
            <w:tcW w:w="263" w:type="pct"/>
            <w:shd w:val="clear" w:color="auto" w:fill="auto"/>
            <w:vAlign w:val="center"/>
          </w:tcPr>
          <w:p w14:paraId="50988A35"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[67]</w:t>
            </w:r>
          </w:p>
        </w:tc>
        <w:tc>
          <w:tcPr>
            <w:tcW w:w="209" w:type="pct"/>
            <w:shd w:val="clear" w:color="auto" w:fill="auto"/>
            <w:vAlign w:val="center"/>
          </w:tcPr>
          <w:p w14:paraId="06FAE095"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618678FC"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7EDC58F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664E4B3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64A808B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1D644EB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r>
      <w:tr w:rsidR="00C73C94" w:rsidRPr="003160F8" w14:paraId="01450FA7" w14:textId="77777777" w:rsidTr="00B0160C">
        <w:trPr>
          <w:jc w:val="center"/>
        </w:trPr>
        <w:tc>
          <w:tcPr>
            <w:tcW w:w="5000" w:type="pct"/>
            <w:gridSpan w:val="23"/>
            <w:shd w:val="clear" w:color="auto" w:fill="auto"/>
            <w:vAlign w:val="center"/>
          </w:tcPr>
          <w:p w14:paraId="4BC28A6B" w14:textId="3C530077" w:rsidR="00C73C94" w:rsidRPr="003160F8" w:rsidRDefault="00C73C94" w:rsidP="00C73C94">
            <w:pPr>
              <w:pStyle w:val="MDPI42tablebody"/>
              <w:autoSpaceDE w:val="0"/>
              <w:autoSpaceDN w:val="0"/>
              <w:spacing w:line="240" w:lineRule="auto"/>
              <w:rPr>
                <w:b/>
                <w:color w:val="auto"/>
                <w:szCs w:val="18"/>
                <w:lang w:val="en-GB" w:eastAsia="en-GB"/>
              </w:rPr>
            </w:pPr>
            <w:r w:rsidRPr="003160F8">
              <w:rPr>
                <w:b/>
                <w:color w:val="auto"/>
                <w:szCs w:val="18"/>
                <w:lang w:val="en-GB" w:eastAsia="en-GB"/>
              </w:rPr>
              <w:t>Sugar-sweetened beverages, sweets</w:t>
            </w:r>
            <w:r w:rsidR="00FA2F9A">
              <w:rPr>
                <w:b/>
                <w:color w:val="auto"/>
                <w:szCs w:val="18"/>
                <w:lang w:val="en-GB" w:eastAsia="en-GB"/>
              </w:rPr>
              <w:t>,</w:t>
            </w:r>
            <w:r w:rsidRPr="003160F8">
              <w:rPr>
                <w:b/>
                <w:color w:val="auto"/>
                <w:szCs w:val="18"/>
                <w:lang w:val="en-GB" w:eastAsia="en-GB"/>
              </w:rPr>
              <w:t xml:space="preserve"> and added sugars</w:t>
            </w:r>
          </w:p>
        </w:tc>
      </w:tr>
      <w:tr w:rsidR="00B0160C" w:rsidRPr="003160F8" w14:paraId="010009DB" w14:textId="77777777" w:rsidTr="00B0160C">
        <w:trPr>
          <w:jc w:val="center"/>
        </w:trPr>
        <w:tc>
          <w:tcPr>
            <w:tcW w:w="49" w:type="pct"/>
            <w:shd w:val="clear" w:color="auto" w:fill="auto"/>
            <w:noWrap/>
            <w:vAlign w:val="center"/>
            <w:hideMark/>
          </w:tcPr>
          <w:p w14:paraId="517638E8" w14:textId="77777777" w:rsidR="00C73C94" w:rsidRPr="003160F8" w:rsidRDefault="00C73C94" w:rsidP="00C73C94">
            <w:pPr>
              <w:pStyle w:val="MDPI42tablebody"/>
              <w:autoSpaceDE w:val="0"/>
              <w:autoSpaceDN w:val="0"/>
              <w:spacing w:line="240" w:lineRule="auto"/>
              <w:rPr>
                <w:color w:val="auto"/>
                <w:szCs w:val="18"/>
                <w:lang w:val="en-GB" w:eastAsia="en-GB"/>
              </w:rPr>
            </w:pPr>
          </w:p>
        </w:tc>
        <w:tc>
          <w:tcPr>
            <w:tcW w:w="216" w:type="pct"/>
            <w:gridSpan w:val="2"/>
            <w:shd w:val="clear" w:color="auto" w:fill="auto"/>
            <w:noWrap/>
            <w:vAlign w:val="center"/>
            <w:hideMark/>
          </w:tcPr>
          <w:p w14:paraId="3F7201D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f/d</w:t>
            </w:r>
          </w:p>
        </w:tc>
        <w:tc>
          <w:tcPr>
            <w:tcW w:w="228" w:type="pct"/>
            <w:shd w:val="clear" w:color="auto" w:fill="auto"/>
            <w:vAlign w:val="center"/>
          </w:tcPr>
          <w:p w14:paraId="13BC4C3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0.4</w:t>
            </w:r>
          </w:p>
        </w:tc>
        <w:tc>
          <w:tcPr>
            <w:tcW w:w="243" w:type="pct"/>
            <w:shd w:val="clear" w:color="auto" w:fill="auto"/>
            <w:vAlign w:val="center"/>
          </w:tcPr>
          <w:p w14:paraId="39C5015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[0.8]</w:t>
            </w:r>
          </w:p>
        </w:tc>
        <w:tc>
          <w:tcPr>
            <w:tcW w:w="209" w:type="pct"/>
            <w:shd w:val="clear" w:color="auto" w:fill="auto"/>
            <w:noWrap/>
            <w:vAlign w:val="center"/>
            <w:hideMark/>
          </w:tcPr>
          <w:p w14:paraId="55D26B1C"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1.2</w:t>
            </w:r>
          </w:p>
        </w:tc>
        <w:tc>
          <w:tcPr>
            <w:tcW w:w="263" w:type="pct"/>
            <w:shd w:val="clear" w:color="auto" w:fill="auto"/>
            <w:noWrap/>
            <w:vAlign w:val="center"/>
            <w:hideMark/>
          </w:tcPr>
          <w:p w14:paraId="0463E39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[1.9]</w:t>
            </w:r>
          </w:p>
        </w:tc>
        <w:tc>
          <w:tcPr>
            <w:tcW w:w="209" w:type="pct"/>
            <w:shd w:val="clear" w:color="auto" w:fill="auto"/>
            <w:noWrap/>
            <w:vAlign w:val="center"/>
            <w:hideMark/>
          </w:tcPr>
          <w:p w14:paraId="071F109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1.3</w:t>
            </w:r>
          </w:p>
        </w:tc>
        <w:tc>
          <w:tcPr>
            <w:tcW w:w="263" w:type="pct"/>
            <w:shd w:val="clear" w:color="auto" w:fill="auto"/>
            <w:noWrap/>
            <w:vAlign w:val="center"/>
            <w:hideMark/>
          </w:tcPr>
          <w:p w14:paraId="4DCB560E"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[2.3]</w:t>
            </w:r>
          </w:p>
        </w:tc>
        <w:tc>
          <w:tcPr>
            <w:tcW w:w="217" w:type="pct"/>
            <w:shd w:val="clear" w:color="auto" w:fill="auto"/>
            <w:vAlign w:val="center"/>
          </w:tcPr>
          <w:p w14:paraId="0CB12697"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73" w:type="pct"/>
            <w:shd w:val="clear" w:color="auto" w:fill="auto"/>
            <w:vAlign w:val="center"/>
          </w:tcPr>
          <w:p w14:paraId="0322179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noWrap/>
            <w:vAlign w:val="center"/>
            <w:hideMark/>
          </w:tcPr>
          <w:p w14:paraId="4DF0DB0B"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1.1</w:t>
            </w:r>
          </w:p>
        </w:tc>
        <w:tc>
          <w:tcPr>
            <w:tcW w:w="263" w:type="pct"/>
            <w:shd w:val="clear" w:color="auto" w:fill="auto"/>
            <w:noWrap/>
            <w:vAlign w:val="center"/>
            <w:hideMark/>
          </w:tcPr>
          <w:p w14:paraId="2C101C4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[1.9]</w:t>
            </w:r>
          </w:p>
        </w:tc>
        <w:tc>
          <w:tcPr>
            <w:tcW w:w="228" w:type="pct"/>
            <w:shd w:val="clear" w:color="auto" w:fill="auto"/>
            <w:noWrap/>
            <w:vAlign w:val="center"/>
            <w:hideMark/>
          </w:tcPr>
          <w:p w14:paraId="0118994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0.3</w:t>
            </w:r>
          </w:p>
        </w:tc>
        <w:tc>
          <w:tcPr>
            <w:tcW w:w="243" w:type="pct"/>
            <w:shd w:val="clear" w:color="auto" w:fill="auto"/>
            <w:noWrap/>
            <w:vAlign w:val="center"/>
            <w:hideMark/>
          </w:tcPr>
          <w:p w14:paraId="27BCB3A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[0.2]</w:t>
            </w:r>
          </w:p>
        </w:tc>
        <w:tc>
          <w:tcPr>
            <w:tcW w:w="209" w:type="pct"/>
            <w:shd w:val="clear" w:color="auto" w:fill="auto"/>
            <w:vAlign w:val="center"/>
          </w:tcPr>
          <w:p w14:paraId="0D43C68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0.9</w:t>
            </w:r>
          </w:p>
        </w:tc>
        <w:tc>
          <w:tcPr>
            <w:tcW w:w="263" w:type="pct"/>
            <w:shd w:val="clear" w:color="auto" w:fill="auto"/>
            <w:vAlign w:val="center"/>
          </w:tcPr>
          <w:p w14:paraId="7C235635"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[1.4]</w:t>
            </w:r>
          </w:p>
        </w:tc>
        <w:tc>
          <w:tcPr>
            <w:tcW w:w="209" w:type="pct"/>
            <w:shd w:val="clear" w:color="auto" w:fill="auto"/>
            <w:vAlign w:val="center"/>
          </w:tcPr>
          <w:p w14:paraId="72AF23C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1.2</w:t>
            </w:r>
          </w:p>
        </w:tc>
        <w:tc>
          <w:tcPr>
            <w:tcW w:w="263" w:type="pct"/>
            <w:shd w:val="clear" w:color="auto" w:fill="auto"/>
            <w:vAlign w:val="center"/>
          </w:tcPr>
          <w:p w14:paraId="43FD715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[3.8]</w:t>
            </w:r>
          </w:p>
        </w:tc>
        <w:tc>
          <w:tcPr>
            <w:tcW w:w="209" w:type="pct"/>
            <w:shd w:val="clear" w:color="auto" w:fill="auto"/>
            <w:vAlign w:val="center"/>
          </w:tcPr>
          <w:p w14:paraId="6CF14EB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1.2</w:t>
            </w:r>
          </w:p>
        </w:tc>
        <w:tc>
          <w:tcPr>
            <w:tcW w:w="263" w:type="pct"/>
            <w:shd w:val="clear" w:color="auto" w:fill="auto"/>
            <w:vAlign w:val="center"/>
          </w:tcPr>
          <w:p w14:paraId="0066EE2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[3.1]</w:t>
            </w:r>
          </w:p>
        </w:tc>
        <w:tc>
          <w:tcPr>
            <w:tcW w:w="209" w:type="pct"/>
            <w:shd w:val="clear" w:color="auto" w:fill="auto"/>
            <w:vAlign w:val="center"/>
          </w:tcPr>
          <w:p w14:paraId="07CBE05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1.7</w:t>
            </w:r>
          </w:p>
        </w:tc>
        <w:tc>
          <w:tcPr>
            <w:tcW w:w="263" w:type="pct"/>
            <w:shd w:val="clear" w:color="auto" w:fill="auto"/>
            <w:vAlign w:val="center"/>
          </w:tcPr>
          <w:p w14:paraId="3369E84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[3.8]</w:t>
            </w:r>
          </w:p>
        </w:tc>
      </w:tr>
      <w:tr w:rsidR="00B0160C" w:rsidRPr="003160F8" w14:paraId="79E1A871" w14:textId="77777777" w:rsidTr="00B0160C">
        <w:trPr>
          <w:jc w:val="center"/>
        </w:trPr>
        <w:tc>
          <w:tcPr>
            <w:tcW w:w="49" w:type="pct"/>
            <w:shd w:val="clear" w:color="auto" w:fill="auto"/>
            <w:noWrap/>
            <w:vAlign w:val="center"/>
            <w:hideMark/>
          </w:tcPr>
          <w:p w14:paraId="7986D1A3" w14:textId="77777777" w:rsidR="00C73C94" w:rsidRPr="003160F8" w:rsidRDefault="00C73C94" w:rsidP="00C73C94">
            <w:pPr>
              <w:pStyle w:val="MDPI42tablebody"/>
              <w:autoSpaceDE w:val="0"/>
              <w:autoSpaceDN w:val="0"/>
              <w:spacing w:line="240" w:lineRule="auto"/>
              <w:rPr>
                <w:color w:val="auto"/>
                <w:szCs w:val="18"/>
                <w:lang w:val="en-GB" w:eastAsia="en-GB"/>
              </w:rPr>
            </w:pPr>
          </w:p>
        </w:tc>
        <w:tc>
          <w:tcPr>
            <w:tcW w:w="216" w:type="pct"/>
            <w:gridSpan w:val="2"/>
            <w:shd w:val="clear" w:color="auto" w:fill="auto"/>
            <w:noWrap/>
            <w:vAlign w:val="center"/>
            <w:hideMark/>
          </w:tcPr>
          <w:p w14:paraId="44254FD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g/d</w:t>
            </w:r>
          </w:p>
        </w:tc>
        <w:tc>
          <w:tcPr>
            <w:tcW w:w="228" w:type="pct"/>
            <w:shd w:val="clear" w:color="auto" w:fill="auto"/>
            <w:vAlign w:val="center"/>
          </w:tcPr>
          <w:p w14:paraId="6673DA6B"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43" w:type="pct"/>
            <w:shd w:val="clear" w:color="auto" w:fill="auto"/>
            <w:vAlign w:val="center"/>
          </w:tcPr>
          <w:p w14:paraId="058F1E61"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noWrap/>
            <w:vAlign w:val="center"/>
            <w:hideMark/>
          </w:tcPr>
          <w:p w14:paraId="5E8D2B1B"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49</w:t>
            </w:r>
          </w:p>
        </w:tc>
        <w:tc>
          <w:tcPr>
            <w:tcW w:w="263" w:type="pct"/>
            <w:shd w:val="clear" w:color="auto" w:fill="auto"/>
            <w:noWrap/>
            <w:vAlign w:val="center"/>
            <w:hideMark/>
          </w:tcPr>
          <w:p w14:paraId="68BB89A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[153]</w:t>
            </w:r>
          </w:p>
        </w:tc>
        <w:tc>
          <w:tcPr>
            <w:tcW w:w="209" w:type="pct"/>
            <w:shd w:val="clear" w:color="auto" w:fill="auto"/>
            <w:noWrap/>
            <w:vAlign w:val="center"/>
            <w:hideMark/>
          </w:tcPr>
          <w:p w14:paraId="7D9D3D4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55</w:t>
            </w:r>
          </w:p>
        </w:tc>
        <w:tc>
          <w:tcPr>
            <w:tcW w:w="263" w:type="pct"/>
            <w:shd w:val="clear" w:color="auto" w:fill="auto"/>
            <w:noWrap/>
            <w:vAlign w:val="center"/>
            <w:hideMark/>
          </w:tcPr>
          <w:p w14:paraId="1445F7E3"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[187]</w:t>
            </w:r>
          </w:p>
        </w:tc>
        <w:tc>
          <w:tcPr>
            <w:tcW w:w="217" w:type="pct"/>
            <w:shd w:val="clear" w:color="auto" w:fill="auto"/>
            <w:vAlign w:val="center"/>
          </w:tcPr>
          <w:p w14:paraId="5B43806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67</w:t>
            </w:r>
          </w:p>
        </w:tc>
        <w:tc>
          <w:tcPr>
            <w:tcW w:w="273" w:type="pct"/>
            <w:shd w:val="clear" w:color="auto" w:fill="auto"/>
            <w:vAlign w:val="center"/>
          </w:tcPr>
          <w:p w14:paraId="47A2C1F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[110]</w:t>
            </w:r>
          </w:p>
        </w:tc>
        <w:tc>
          <w:tcPr>
            <w:tcW w:w="209" w:type="pct"/>
            <w:shd w:val="clear" w:color="auto" w:fill="auto"/>
            <w:noWrap/>
            <w:vAlign w:val="center"/>
            <w:hideMark/>
          </w:tcPr>
          <w:p w14:paraId="49F72D6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46</w:t>
            </w:r>
          </w:p>
        </w:tc>
        <w:tc>
          <w:tcPr>
            <w:tcW w:w="263" w:type="pct"/>
            <w:shd w:val="clear" w:color="auto" w:fill="auto"/>
            <w:noWrap/>
            <w:vAlign w:val="center"/>
            <w:hideMark/>
          </w:tcPr>
          <w:p w14:paraId="2A9626C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[101]</w:t>
            </w:r>
          </w:p>
        </w:tc>
        <w:tc>
          <w:tcPr>
            <w:tcW w:w="228" w:type="pct"/>
            <w:shd w:val="clear" w:color="auto" w:fill="auto"/>
            <w:noWrap/>
            <w:vAlign w:val="center"/>
          </w:tcPr>
          <w:p w14:paraId="5D5B8AD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43" w:type="pct"/>
            <w:shd w:val="clear" w:color="auto" w:fill="auto"/>
            <w:noWrap/>
            <w:vAlign w:val="center"/>
          </w:tcPr>
          <w:p w14:paraId="1BEB654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30992D9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28</w:t>
            </w:r>
          </w:p>
        </w:tc>
        <w:tc>
          <w:tcPr>
            <w:tcW w:w="263" w:type="pct"/>
            <w:shd w:val="clear" w:color="auto" w:fill="auto"/>
            <w:vAlign w:val="center"/>
          </w:tcPr>
          <w:p w14:paraId="7F769055"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[66]</w:t>
            </w:r>
          </w:p>
        </w:tc>
        <w:tc>
          <w:tcPr>
            <w:tcW w:w="209" w:type="pct"/>
            <w:shd w:val="clear" w:color="auto" w:fill="auto"/>
            <w:vAlign w:val="center"/>
          </w:tcPr>
          <w:p w14:paraId="028BF99B"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4EF3520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679DA7A9"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2635F13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09" w:type="pct"/>
            <w:shd w:val="clear" w:color="auto" w:fill="auto"/>
            <w:vAlign w:val="center"/>
          </w:tcPr>
          <w:p w14:paraId="7E727C6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c>
          <w:tcPr>
            <w:tcW w:w="263" w:type="pct"/>
            <w:shd w:val="clear" w:color="auto" w:fill="auto"/>
            <w:vAlign w:val="center"/>
          </w:tcPr>
          <w:p w14:paraId="091B5D9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w:t>
            </w:r>
          </w:p>
        </w:tc>
      </w:tr>
      <w:tr w:rsidR="00C73C94" w:rsidRPr="003160F8" w14:paraId="065B1055" w14:textId="77777777" w:rsidTr="00B0160C">
        <w:trPr>
          <w:jc w:val="center"/>
        </w:trPr>
        <w:tc>
          <w:tcPr>
            <w:tcW w:w="5000" w:type="pct"/>
            <w:gridSpan w:val="23"/>
            <w:shd w:val="clear" w:color="auto" w:fill="auto"/>
            <w:vAlign w:val="center"/>
          </w:tcPr>
          <w:p w14:paraId="6107E14C" w14:textId="77777777" w:rsidR="00C73C94" w:rsidRPr="003160F8" w:rsidRDefault="00C73C94" w:rsidP="00C73C94">
            <w:pPr>
              <w:pStyle w:val="MDPI42tablebody"/>
              <w:autoSpaceDE w:val="0"/>
              <w:autoSpaceDN w:val="0"/>
              <w:spacing w:line="240" w:lineRule="auto"/>
              <w:rPr>
                <w:b/>
                <w:color w:val="auto"/>
                <w:szCs w:val="18"/>
                <w:lang w:val="en-GB" w:eastAsia="en-GB"/>
              </w:rPr>
            </w:pPr>
            <w:r w:rsidRPr="003160F8">
              <w:rPr>
                <w:b/>
                <w:color w:val="auto"/>
                <w:szCs w:val="18"/>
                <w:lang w:val="en-GB" w:eastAsia="en-GB"/>
              </w:rPr>
              <w:t>Sodium</w:t>
            </w:r>
          </w:p>
        </w:tc>
      </w:tr>
      <w:tr w:rsidR="00B0160C" w:rsidRPr="003160F8" w14:paraId="0C3A6EFC" w14:textId="77777777" w:rsidTr="00B0160C">
        <w:trPr>
          <w:jc w:val="center"/>
        </w:trPr>
        <w:tc>
          <w:tcPr>
            <w:tcW w:w="49" w:type="pct"/>
            <w:tcBorders>
              <w:bottom w:val="single" w:sz="4" w:space="0" w:color="auto"/>
            </w:tcBorders>
            <w:shd w:val="clear" w:color="auto" w:fill="auto"/>
            <w:noWrap/>
            <w:vAlign w:val="center"/>
            <w:hideMark/>
          </w:tcPr>
          <w:p w14:paraId="6E8E39AF" w14:textId="77777777" w:rsidR="00C73C94" w:rsidRPr="003160F8" w:rsidRDefault="00C73C94" w:rsidP="00C73C94">
            <w:pPr>
              <w:pStyle w:val="MDPI42tablebody"/>
              <w:autoSpaceDE w:val="0"/>
              <w:autoSpaceDN w:val="0"/>
              <w:spacing w:line="240" w:lineRule="auto"/>
              <w:rPr>
                <w:color w:val="auto"/>
                <w:szCs w:val="18"/>
                <w:lang w:val="en-GB" w:eastAsia="en-GB"/>
              </w:rPr>
            </w:pPr>
          </w:p>
        </w:tc>
        <w:tc>
          <w:tcPr>
            <w:tcW w:w="216" w:type="pct"/>
            <w:gridSpan w:val="2"/>
            <w:tcBorders>
              <w:bottom w:val="single" w:sz="4" w:space="0" w:color="auto"/>
            </w:tcBorders>
            <w:shd w:val="clear" w:color="auto" w:fill="auto"/>
            <w:noWrap/>
            <w:vAlign w:val="center"/>
            <w:hideMark/>
          </w:tcPr>
          <w:p w14:paraId="6147E03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mg/d</w:t>
            </w:r>
          </w:p>
        </w:tc>
        <w:tc>
          <w:tcPr>
            <w:tcW w:w="228" w:type="pct"/>
            <w:tcBorders>
              <w:bottom w:val="single" w:sz="4" w:space="0" w:color="auto"/>
            </w:tcBorders>
            <w:shd w:val="clear" w:color="auto" w:fill="auto"/>
            <w:vAlign w:val="center"/>
          </w:tcPr>
          <w:p w14:paraId="1D72732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2161</w:t>
            </w:r>
          </w:p>
        </w:tc>
        <w:tc>
          <w:tcPr>
            <w:tcW w:w="243" w:type="pct"/>
            <w:tcBorders>
              <w:bottom w:val="single" w:sz="4" w:space="0" w:color="auto"/>
            </w:tcBorders>
            <w:shd w:val="clear" w:color="auto" w:fill="auto"/>
            <w:vAlign w:val="center"/>
          </w:tcPr>
          <w:p w14:paraId="4AB7933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[854]</w:t>
            </w:r>
          </w:p>
        </w:tc>
        <w:tc>
          <w:tcPr>
            <w:tcW w:w="209" w:type="pct"/>
            <w:tcBorders>
              <w:bottom w:val="single" w:sz="4" w:space="0" w:color="auto"/>
            </w:tcBorders>
            <w:shd w:val="clear" w:color="auto" w:fill="auto"/>
            <w:noWrap/>
            <w:vAlign w:val="center"/>
            <w:hideMark/>
          </w:tcPr>
          <w:p w14:paraId="7F97000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2871</w:t>
            </w:r>
          </w:p>
        </w:tc>
        <w:tc>
          <w:tcPr>
            <w:tcW w:w="263" w:type="pct"/>
            <w:tcBorders>
              <w:bottom w:val="single" w:sz="4" w:space="0" w:color="auto"/>
            </w:tcBorders>
            <w:shd w:val="clear" w:color="auto" w:fill="auto"/>
            <w:noWrap/>
            <w:vAlign w:val="center"/>
            <w:hideMark/>
          </w:tcPr>
          <w:p w14:paraId="5EE96AC7"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[1636]</w:t>
            </w:r>
          </w:p>
        </w:tc>
        <w:tc>
          <w:tcPr>
            <w:tcW w:w="209" w:type="pct"/>
            <w:tcBorders>
              <w:bottom w:val="single" w:sz="4" w:space="0" w:color="auto"/>
            </w:tcBorders>
            <w:shd w:val="clear" w:color="auto" w:fill="auto"/>
            <w:noWrap/>
            <w:vAlign w:val="center"/>
            <w:hideMark/>
          </w:tcPr>
          <w:p w14:paraId="3BB24AE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2831</w:t>
            </w:r>
          </w:p>
        </w:tc>
        <w:tc>
          <w:tcPr>
            <w:tcW w:w="263" w:type="pct"/>
            <w:tcBorders>
              <w:bottom w:val="single" w:sz="4" w:space="0" w:color="auto"/>
            </w:tcBorders>
            <w:shd w:val="clear" w:color="auto" w:fill="auto"/>
            <w:noWrap/>
            <w:vAlign w:val="center"/>
            <w:hideMark/>
          </w:tcPr>
          <w:p w14:paraId="41F06E5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[1461]</w:t>
            </w:r>
          </w:p>
        </w:tc>
        <w:tc>
          <w:tcPr>
            <w:tcW w:w="217" w:type="pct"/>
            <w:tcBorders>
              <w:bottom w:val="single" w:sz="4" w:space="0" w:color="auto"/>
            </w:tcBorders>
            <w:shd w:val="clear" w:color="auto" w:fill="auto"/>
            <w:vAlign w:val="center"/>
          </w:tcPr>
          <w:p w14:paraId="3FC6B596"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3324</w:t>
            </w:r>
          </w:p>
        </w:tc>
        <w:tc>
          <w:tcPr>
            <w:tcW w:w="273" w:type="pct"/>
            <w:tcBorders>
              <w:bottom w:val="single" w:sz="4" w:space="0" w:color="auto"/>
            </w:tcBorders>
            <w:shd w:val="clear" w:color="auto" w:fill="auto"/>
            <w:vAlign w:val="center"/>
          </w:tcPr>
          <w:p w14:paraId="4531002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[1298]</w:t>
            </w:r>
          </w:p>
        </w:tc>
        <w:tc>
          <w:tcPr>
            <w:tcW w:w="209" w:type="pct"/>
            <w:tcBorders>
              <w:bottom w:val="single" w:sz="4" w:space="0" w:color="auto"/>
            </w:tcBorders>
            <w:shd w:val="clear" w:color="auto" w:fill="auto"/>
            <w:noWrap/>
            <w:vAlign w:val="center"/>
            <w:hideMark/>
          </w:tcPr>
          <w:p w14:paraId="03DEB427"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3001</w:t>
            </w:r>
          </w:p>
        </w:tc>
        <w:tc>
          <w:tcPr>
            <w:tcW w:w="263" w:type="pct"/>
            <w:tcBorders>
              <w:bottom w:val="single" w:sz="4" w:space="0" w:color="auto"/>
            </w:tcBorders>
            <w:shd w:val="clear" w:color="auto" w:fill="auto"/>
            <w:noWrap/>
            <w:vAlign w:val="center"/>
            <w:hideMark/>
          </w:tcPr>
          <w:p w14:paraId="11B1FE8F"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[1512]</w:t>
            </w:r>
          </w:p>
        </w:tc>
        <w:tc>
          <w:tcPr>
            <w:tcW w:w="228" w:type="pct"/>
            <w:tcBorders>
              <w:bottom w:val="single" w:sz="4" w:space="0" w:color="auto"/>
            </w:tcBorders>
            <w:shd w:val="clear" w:color="auto" w:fill="auto"/>
            <w:noWrap/>
            <w:vAlign w:val="center"/>
            <w:hideMark/>
          </w:tcPr>
          <w:p w14:paraId="747F64E0"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2163</w:t>
            </w:r>
          </w:p>
        </w:tc>
        <w:tc>
          <w:tcPr>
            <w:tcW w:w="243" w:type="pct"/>
            <w:tcBorders>
              <w:bottom w:val="single" w:sz="4" w:space="0" w:color="auto"/>
            </w:tcBorders>
            <w:shd w:val="clear" w:color="auto" w:fill="auto"/>
            <w:noWrap/>
            <w:vAlign w:val="center"/>
            <w:hideMark/>
          </w:tcPr>
          <w:p w14:paraId="564DD6A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[704]</w:t>
            </w:r>
          </w:p>
        </w:tc>
        <w:tc>
          <w:tcPr>
            <w:tcW w:w="209" w:type="pct"/>
            <w:tcBorders>
              <w:bottom w:val="single" w:sz="4" w:space="0" w:color="auto"/>
            </w:tcBorders>
            <w:shd w:val="clear" w:color="auto" w:fill="auto"/>
            <w:vAlign w:val="center"/>
          </w:tcPr>
          <w:p w14:paraId="03312A2D"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2883</w:t>
            </w:r>
          </w:p>
        </w:tc>
        <w:tc>
          <w:tcPr>
            <w:tcW w:w="263" w:type="pct"/>
            <w:tcBorders>
              <w:bottom w:val="single" w:sz="4" w:space="0" w:color="auto"/>
            </w:tcBorders>
            <w:shd w:val="clear" w:color="auto" w:fill="auto"/>
            <w:vAlign w:val="center"/>
          </w:tcPr>
          <w:p w14:paraId="102BC1D7"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[1381]</w:t>
            </w:r>
          </w:p>
        </w:tc>
        <w:tc>
          <w:tcPr>
            <w:tcW w:w="209" w:type="pct"/>
            <w:tcBorders>
              <w:bottom w:val="single" w:sz="4" w:space="0" w:color="auto"/>
            </w:tcBorders>
            <w:shd w:val="clear" w:color="auto" w:fill="auto"/>
            <w:vAlign w:val="center"/>
          </w:tcPr>
          <w:p w14:paraId="79B7FF24"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3142</w:t>
            </w:r>
          </w:p>
        </w:tc>
        <w:tc>
          <w:tcPr>
            <w:tcW w:w="263" w:type="pct"/>
            <w:tcBorders>
              <w:bottom w:val="single" w:sz="4" w:space="0" w:color="auto"/>
            </w:tcBorders>
            <w:shd w:val="clear" w:color="auto" w:fill="auto"/>
            <w:vAlign w:val="center"/>
          </w:tcPr>
          <w:p w14:paraId="22C3F51A"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[1188]</w:t>
            </w:r>
          </w:p>
        </w:tc>
        <w:tc>
          <w:tcPr>
            <w:tcW w:w="209" w:type="pct"/>
            <w:tcBorders>
              <w:bottom w:val="single" w:sz="4" w:space="0" w:color="auto"/>
            </w:tcBorders>
            <w:shd w:val="clear" w:color="auto" w:fill="auto"/>
            <w:vAlign w:val="center"/>
          </w:tcPr>
          <w:p w14:paraId="529EA502"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3246</w:t>
            </w:r>
          </w:p>
        </w:tc>
        <w:tc>
          <w:tcPr>
            <w:tcW w:w="263" w:type="pct"/>
            <w:tcBorders>
              <w:bottom w:val="single" w:sz="4" w:space="0" w:color="auto"/>
            </w:tcBorders>
            <w:shd w:val="clear" w:color="auto" w:fill="auto"/>
            <w:vAlign w:val="center"/>
          </w:tcPr>
          <w:p w14:paraId="2B2D3145"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[1211]</w:t>
            </w:r>
          </w:p>
        </w:tc>
        <w:tc>
          <w:tcPr>
            <w:tcW w:w="209" w:type="pct"/>
            <w:tcBorders>
              <w:bottom w:val="single" w:sz="4" w:space="0" w:color="auto"/>
            </w:tcBorders>
            <w:shd w:val="clear" w:color="auto" w:fill="auto"/>
            <w:vAlign w:val="center"/>
          </w:tcPr>
          <w:p w14:paraId="7FC7DAFC"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3294</w:t>
            </w:r>
          </w:p>
        </w:tc>
        <w:tc>
          <w:tcPr>
            <w:tcW w:w="263" w:type="pct"/>
            <w:tcBorders>
              <w:bottom w:val="single" w:sz="4" w:space="0" w:color="auto"/>
            </w:tcBorders>
            <w:shd w:val="clear" w:color="auto" w:fill="auto"/>
            <w:vAlign w:val="center"/>
          </w:tcPr>
          <w:p w14:paraId="3128FB38" w14:textId="77777777" w:rsidR="00C73C94" w:rsidRPr="003160F8" w:rsidRDefault="00C73C94" w:rsidP="00C73C94">
            <w:pPr>
              <w:pStyle w:val="MDPI42tablebody"/>
              <w:autoSpaceDE w:val="0"/>
              <w:autoSpaceDN w:val="0"/>
              <w:spacing w:line="240" w:lineRule="auto"/>
              <w:rPr>
                <w:color w:val="auto"/>
                <w:szCs w:val="18"/>
                <w:lang w:val="en-GB" w:eastAsia="en-GB"/>
              </w:rPr>
            </w:pPr>
            <w:r w:rsidRPr="003160F8">
              <w:rPr>
                <w:color w:val="auto"/>
                <w:szCs w:val="18"/>
                <w:lang w:val="en-GB" w:eastAsia="en-GB"/>
              </w:rPr>
              <w:t>[1157]</w:t>
            </w:r>
          </w:p>
        </w:tc>
      </w:tr>
    </w:tbl>
    <w:p w14:paraId="3E2BA16D" w14:textId="17534F24" w:rsidR="00C73C94" w:rsidRPr="003160F8" w:rsidRDefault="00C73C94" w:rsidP="00C73C94">
      <w:pPr>
        <w:pStyle w:val="MDPI43tablefooter"/>
        <w:ind w:left="425" w:right="425"/>
        <w:rPr>
          <w:szCs w:val="18"/>
          <w:lang w:val="en-GB" w:eastAsia="fr-FR"/>
        </w:rPr>
        <w:sectPr w:rsidR="00C73C94" w:rsidRPr="003160F8" w:rsidSect="00A24516">
          <w:pgSz w:w="16838" w:h="11906" w:orient="landscape" w:code="9"/>
          <w:pgMar w:top="1531" w:right="1417" w:bottom="1531" w:left="1077" w:header="1020" w:footer="850" w:gutter="0"/>
          <w:cols w:space="425"/>
          <w:docGrid w:type="lines" w:linePitch="326"/>
        </w:sectPr>
      </w:pPr>
      <w:r w:rsidRPr="003160F8">
        <w:rPr>
          <w:lang w:val="en-GB" w:eastAsia="fr-FR"/>
        </w:rPr>
        <w:t xml:space="preserve">PP: pre-pregnancy, EP: early pregnancy, LP: late pregnancy. IQR: Interquartile range. -: not available. </w:t>
      </w:r>
      <w:r w:rsidRPr="003160F8">
        <w:rPr>
          <w:vertAlign w:val="superscript"/>
          <w:lang w:val="en-GB" w:eastAsia="fr-FR"/>
        </w:rPr>
        <w:t>1</w:t>
      </w:r>
      <w:r w:rsidRPr="003160F8">
        <w:rPr>
          <w:lang w:val="en-GB" w:eastAsia="fr-FR"/>
        </w:rPr>
        <w:t xml:space="preserve"> f/d: daily frequency in servings per day (rounded to one decimal place). </w:t>
      </w:r>
      <w:r w:rsidRPr="003160F8">
        <w:rPr>
          <w:vertAlign w:val="superscript"/>
          <w:lang w:val="en-GB" w:eastAsia="fr-FR"/>
        </w:rPr>
        <w:t>2</w:t>
      </w:r>
      <w:r w:rsidRPr="003160F8">
        <w:rPr>
          <w:lang w:val="en-GB" w:eastAsia="fr-FR"/>
        </w:rPr>
        <w:t xml:space="preserve"> </w:t>
      </w:r>
      <w:r w:rsidRPr="003160F8">
        <w:rPr>
          <w:szCs w:val="18"/>
          <w:lang w:val="en-GB" w:eastAsia="fr-FR"/>
        </w:rPr>
        <w:t>g/d: daily amount in grams and/or millilitres per day (rounded to the nearest whole number). mg/d: daily amount in milligrams per day (rounded to the nearest whole number).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
        <w:gridCol w:w="681"/>
        <w:gridCol w:w="680"/>
        <w:gridCol w:w="680"/>
        <w:gridCol w:w="1360"/>
        <w:gridCol w:w="335"/>
        <w:gridCol w:w="345"/>
        <w:gridCol w:w="1360"/>
        <w:gridCol w:w="680"/>
        <w:gridCol w:w="713"/>
        <w:gridCol w:w="646"/>
        <w:gridCol w:w="680"/>
        <w:gridCol w:w="1360"/>
        <w:gridCol w:w="433"/>
        <w:gridCol w:w="247"/>
        <w:gridCol w:w="1360"/>
        <w:gridCol w:w="680"/>
        <w:gridCol w:w="680"/>
        <w:gridCol w:w="86"/>
        <w:gridCol w:w="150"/>
      </w:tblGrid>
      <w:tr w:rsidR="00101347" w:rsidRPr="003160F8" w14:paraId="5C77AD96" w14:textId="77777777" w:rsidTr="00C73C94">
        <w:trPr>
          <w:gridAfter w:val="1"/>
          <w:wAfter w:w="150" w:type="dxa"/>
          <w:trHeight w:val="397"/>
          <w:jc w:val="center"/>
        </w:trPr>
        <w:tc>
          <w:tcPr>
            <w:tcW w:w="1360" w:type="dxa"/>
            <w:gridSpan w:val="2"/>
            <w:vAlign w:val="center"/>
          </w:tcPr>
          <w:p w14:paraId="4DDDF215" w14:textId="77777777" w:rsidR="00275F25" w:rsidRPr="003160F8" w:rsidRDefault="00275F25" w:rsidP="00106784">
            <w:pPr>
              <w:pStyle w:val="MDPI42tablebody"/>
              <w:spacing w:line="240" w:lineRule="auto"/>
              <w:rPr>
                <w:color w:val="auto"/>
                <w:sz w:val="18"/>
                <w:szCs w:val="18"/>
                <w:lang w:val="en-GB"/>
              </w:rPr>
            </w:pPr>
          </w:p>
        </w:tc>
        <w:tc>
          <w:tcPr>
            <w:tcW w:w="3055" w:type="dxa"/>
            <w:gridSpan w:val="4"/>
            <w:vAlign w:val="center"/>
          </w:tcPr>
          <w:p w14:paraId="569CE5DF" w14:textId="77777777" w:rsidR="00275F25" w:rsidRPr="003160F8" w:rsidRDefault="00275F25" w:rsidP="00106784">
            <w:pPr>
              <w:pStyle w:val="MDPI42tablebody"/>
              <w:spacing w:line="240" w:lineRule="auto"/>
              <w:rPr>
                <w:b/>
                <w:color w:val="auto"/>
                <w:sz w:val="18"/>
                <w:szCs w:val="18"/>
                <w:lang w:val="en-GB"/>
              </w:rPr>
            </w:pPr>
            <w:r w:rsidRPr="003160F8">
              <w:rPr>
                <w:b/>
                <w:color w:val="auto"/>
                <w:sz w:val="18"/>
                <w:szCs w:val="18"/>
                <w:lang w:val="en-GB"/>
              </w:rPr>
              <w:t>Total grains</w:t>
            </w:r>
          </w:p>
        </w:tc>
        <w:tc>
          <w:tcPr>
            <w:tcW w:w="3098" w:type="dxa"/>
            <w:gridSpan w:val="4"/>
            <w:vAlign w:val="center"/>
          </w:tcPr>
          <w:p w14:paraId="5C2B7879" w14:textId="77777777" w:rsidR="00275F25" w:rsidRPr="003160F8" w:rsidRDefault="00275F25" w:rsidP="00106784">
            <w:pPr>
              <w:pStyle w:val="MDPI42tablebody"/>
              <w:spacing w:line="240" w:lineRule="auto"/>
              <w:rPr>
                <w:b/>
                <w:color w:val="auto"/>
                <w:sz w:val="18"/>
                <w:szCs w:val="18"/>
                <w:lang w:val="en-GB"/>
              </w:rPr>
            </w:pPr>
            <w:r w:rsidRPr="003160F8">
              <w:rPr>
                <w:b/>
                <w:color w:val="auto"/>
                <w:sz w:val="18"/>
                <w:szCs w:val="18"/>
                <w:lang w:val="en-GB"/>
              </w:rPr>
              <w:t>Vegetables (excluding potatoes</w:t>
            </w:r>
          </w:p>
          <w:p w14:paraId="0AB99958" w14:textId="77777777" w:rsidR="00275F25" w:rsidRPr="003160F8" w:rsidRDefault="00275F25" w:rsidP="00106784">
            <w:pPr>
              <w:pStyle w:val="MDPI42tablebody"/>
              <w:spacing w:line="240" w:lineRule="auto"/>
              <w:rPr>
                <w:b/>
                <w:color w:val="auto"/>
                <w:sz w:val="18"/>
                <w:szCs w:val="18"/>
                <w:lang w:val="en-GB"/>
              </w:rPr>
            </w:pPr>
            <w:r w:rsidRPr="003160F8">
              <w:rPr>
                <w:b/>
                <w:color w:val="auto"/>
                <w:sz w:val="18"/>
                <w:szCs w:val="18"/>
                <w:lang w:val="en-GB"/>
              </w:rPr>
              <w:t xml:space="preserve"> and condiments)</w:t>
            </w:r>
          </w:p>
        </w:tc>
        <w:tc>
          <w:tcPr>
            <w:tcW w:w="3119" w:type="dxa"/>
            <w:gridSpan w:val="4"/>
            <w:vAlign w:val="center"/>
          </w:tcPr>
          <w:p w14:paraId="0D3C8137" w14:textId="77777777" w:rsidR="00275F25" w:rsidRPr="003160F8" w:rsidRDefault="00275F25" w:rsidP="00106784">
            <w:pPr>
              <w:pStyle w:val="MDPI42tablebody"/>
              <w:spacing w:line="240" w:lineRule="auto"/>
              <w:rPr>
                <w:b/>
                <w:color w:val="auto"/>
                <w:sz w:val="18"/>
                <w:szCs w:val="18"/>
                <w:lang w:val="en-GB"/>
              </w:rPr>
            </w:pPr>
            <w:r w:rsidRPr="003160F8">
              <w:rPr>
                <w:b/>
                <w:color w:val="auto"/>
                <w:sz w:val="18"/>
                <w:szCs w:val="18"/>
                <w:lang w:val="en-GB"/>
              </w:rPr>
              <w:t>Fruits</w:t>
            </w:r>
          </w:p>
        </w:tc>
        <w:tc>
          <w:tcPr>
            <w:tcW w:w="3053" w:type="dxa"/>
            <w:gridSpan w:val="5"/>
            <w:vAlign w:val="center"/>
          </w:tcPr>
          <w:p w14:paraId="6535CFF4" w14:textId="77777777" w:rsidR="00275F25" w:rsidRPr="003160F8" w:rsidRDefault="00275F25" w:rsidP="00106784">
            <w:pPr>
              <w:pStyle w:val="MDPI42tablebody"/>
              <w:spacing w:line="240" w:lineRule="auto"/>
              <w:rPr>
                <w:b/>
                <w:color w:val="auto"/>
                <w:sz w:val="18"/>
                <w:szCs w:val="18"/>
                <w:lang w:val="en-GB"/>
              </w:rPr>
            </w:pPr>
            <w:r w:rsidRPr="003160F8">
              <w:rPr>
                <w:b/>
                <w:color w:val="auto"/>
                <w:sz w:val="18"/>
                <w:szCs w:val="18"/>
                <w:lang w:val="en-GB"/>
              </w:rPr>
              <w:t>Non-full-fat dairy products</w:t>
            </w:r>
          </w:p>
        </w:tc>
      </w:tr>
      <w:tr w:rsidR="00101347" w:rsidRPr="003160F8" w14:paraId="16CF7A36" w14:textId="77777777" w:rsidTr="00E81D25">
        <w:trPr>
          <w:gridAfter w:val="1"/>
          <w:wAfter w:w="150" w:type="dxa"/>
          <w:trHeight w:val="283"/>
          <w:jc w:val="center"/>
        </w:trPr>
        <w:tc>
          <w:tcPr>
            <w:tcW w:w="1360" w:type="dxa"/>
            <w:gridSpan w:val="2"/>
            <w:vAlign w:val="center"/>
          </w:tcPr>
          <w:p w14:paraId="764B4D8C" w14:textId="77777777" w:rsidR="00275F25" w:rsidRPr="003160F8" w:rsidRDefault="00275F25" w:rsidP="00CE4363">
            <w:pPr>
              <w:pStyle w:val="MDPI42tablebody"/>
              <w:spacing w:line="240" w:lineRule="auto"/>
              <w:rPr>
                <w:color w:val="auto"/>
                <w:sz w:val="16"/>
                <w:szCs w:val="16"/>
                <w:vertAlign w:val="superscript"/>
                <w:lang w:val="en-GB"/>
              </w:rPr>
            </w:pPr>
            <w:r w:rsidRPr="003160F8">
              <w:rPr>
                <w:color w:val="auto"/>
                <w:sz w:val="16"/>
                <w:szCs w:val="16"/>
                <w:lang w:val="en-GB"/>
              </w:rPr>
              <w:t>ALSPAC-LP</w:t>
            </w:r>
          </w:p>
        </w:tc>
        <w:tc>
          <w:tcPr>
            <w:tcW w:w="3055" w:type="dxa"/>
            <w:gridSpan w:val="4"/>
            <w:vMerge w:val="restart"/>
          </w:tcPr>
          <w:p w14:paraId="41EAEFF1" w14:textId="77777777" w:rsidR="00275F25" w:rsidRPr="003160F8" w:rsidRDefault="00275F25" w:rsidP="00E9430B">
            <w:pPr>
              <w:pStyle w:val="MDPI42tablebody"/>
              <w:spacing w:line="240" w:lineRule="auto"/>
              <w:rPr>
                <w:color w:val="auto"/>
                <w:sz w:val="16"/>
                <w:szCs w:val="16"/>
                <w:lang w:val="en-GB"/>
              </w:rPr>
            </w:pPr>
            <w:r w:rsidRPr="003160F8">
              <w:rPr>
                <w:noProof/>
                <w:color w:val="auto"/>
                <w:sz w:val="16"/>
                <w:szCs w:val="16"/>
                <w:lang w:val="en-GB" w:eastAsia="en-GB" w:bidi="ar-SA"/>
              </w:rPr>
              <w:drawing>
                <wp:anchor distT="0" distB="0" distL="114300" distR="114300" simplePos="0" relativeHeight="251658240" behindDoc="0" locked="0" layoutInCell="1" allowOverlap="1" wp14:anchorId="6D591CA1" wp14:editId="0EAC42F4">
                  <wp:simplePos x="1438275" y="1390650"/>
                  <wp:positionH relativeFrom="margin">
                    <wp:align>center</wp:align>
                  </wp:positionH>
                  <wp:positionV relativeFrom="margin">
                    <wp:align>top</wp:align>
                  </wp:positionV>
                  <wp:extent cx="1800000" cy="1800000"/>
                  <wp:effectExtent l="0" t="0" r="0" b="0"/>
                  <wp:wrapSquare wrapText="bothSides"/>
                  <wp:docPr id="32" name="Graphique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V relativeFrom="margin">
                    <wp14:pctHeight>0</wp14:pctHeight>
                  </wp14:sizeRelV>
                </wp:anchor>
              </w:drawing>
            </w:r>
            <w:r w:rsidR="00E9430B" w:rsidRPr="003160F8">
              <w:rPr>
                <w:color w:val="auto"/>
                <w:sz w:val="16"/>
                <w:szCs w:val="16"/>
                <w:lang w:val="en-GB"/>
              </w:rPr>
              <w:t>servings/day</w:t>
            </w:r>
          </w:p>
        </w:tc>
        <w:tc>
          <w:tcPr>
            <w:tcW w:w="3098" w:type="dxa"/>
            <w:gridSpan w:val="4"/>
            <w:vMerge w:val="restart"/>
          </w:tcPr>
          <w:p w14:paraId="6D03C298" w14:textId="77777777" w:rsidR="00275F25" w:rsidRPr="003160F8" w:rsidRDefault="00E9430B" w:rsidP="00E9430B">
            <w:pPr>
              <w:pStyle w:val="MDPI42tablebody"/>
              <w:spacing w:line="240" w:lineRule="auto"/>
              <w:rPr>
                <w:color w:val="auto"/>
                <w:sz w:val="16"/>
                <w:szCs w:val="16"/>
                <w:lang w:val="en-GB"/>
              </w:rPr>
            </w:pPr>
            <w:r w:rsidRPr="003160F8">
              <w:rPr>
                <w:color w:val="auto"/>
                <w:sz w:val="16"/>
                <w:szCs w:val="16"/>
                <w:lang w:val="en-GB"/>
              </w:rPr>
              <w:t>servings/day</w:t>
            </w:r>
            <w:r w:rsidR="00275F25" w:rsidRPr="003160F8">
              <w:rPr>
                <w:noProof/>
                <w:color w:val="auto"/>
                <w:sz w:val="16"/>
                <w:szCs w:val="16"/>
                <w:lang w:val="en-GB" w:eastAsia="en-GB" w:bidi="ar-SA"/>
              </w:rPr>
              <w:drawing>
                <wp:anchor distT="0" distB="0" distL="114300" distR="114300" simplePos="0" relativeHeight="251659264" behindDoc="0" locked="0" layoutInCell="1" allowOverlap="1" wp14:anchorId="019144DD" wp14:editId="3D0B8AEE">
                  <wp:simplePos x="3486150" y="1409700"/>
                  <wp:positionH relativeFrom="margin">
                    <wp:align>center</wp:align>
                  </wp:positionH>
                  <wp:positionV relativeFrom="margin">
                    <wp:align>top</wp:align>
                  </wp:positionV>
                  <wp:extent cx="1800000" cy="1800000"/>
                  <wp:effectExtent l="0" t="0" r="0" b="0"/>
                  <wp:wrapSquare wrapText="bothSides"/>
                  <wp:docPr id="35" name="Graphique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V relativeFrom="margin">
                    <wp14:pctHeight>0</wp14:pctHeight>
                  </wp14:sizeRelV>
                </wp:anchor>
              </w:drawing>
            </w:r>
          </w:p>
        </w:tc>
        <w:tc>
          <w:tcPr>
            <w:tcW w:w="3119" w:type="dxa"/>
            <w:gridSpan w:val="4"/>
            <w:vMerge w:val="restart"/>
          </w:tcPr>
          <w:p w14:paraId="444D3D73" w14:textId="77777777" w:rsidR="00275F25" w:rsidRPr="003160F8" w:rsidRDefault="00E9430B" w:rsidP="00E9430B">
            <w:pPr>
              <w:pStyle w:val="MDPI42tablebody"/>
              <w:spacing w:line="240" w:lineRule="auto"/>
              <w:rPr>
                <w:color w:val="auto"/>
                <w:sz w:val="16"/>
                <w:szCs w:val="16"/>
                <w:lang w:val="en-GB"/>
              </w:rPr>
            </w:pPr>
            <w:r w:rsidRPr="003160F8">
              <w:rPr>
                <w:color w:val="auto"/>
                <w:sz w:val="16"/>
                <w:szCs w:val="16"/>
                <w:lang w:val="en-GB"/>
              </w:rPr>
              <w:t>servings/day</w:t>
            </w:r>
            <w:r w:rsidRPr="003160F8">
              <w:rPr>
                <w:color w:val="auto"/>
                <w:sz w:val="16"/>
                <w:szCs w:val="16"/>
                <w:lang w:val="en-GB" w:eastAsia="en-GB"/>
              </w:rPr>
              <w:t xml:space="preserve"> </w:t>
            </w:r>
            <w:r w:rsidR="00275F25" w:rsidRPr="003160F8">
              <w:rPr>
                <w:noProof/>
                <w:color w:val="auto"/>
                <w:sz w:val="16"/>
                <w:szCs w:val="16"/>
                <w:lang w:val="en-GB" w:eastAsia="en-GB" w:bidi="ar-SA"/>
              </w:rPr>
              <w:drawing>
                <wp:anchor distT="0" distB="0" distL="114300" distR="114300" simplePos="0" relativeHeight="251660288" behindDoc="0" locked="0" layoutInCell="1" allowOverlap="1" wp14:anchorId="7EDDB296" wp14:editId="1A191FE7">
                  <wp:simplePos x="5534025" y="1409700"/>
                  <wp:positionH relativeFrom="margin">
                    <wp:align>center</wp:align>
                  </wp:positionH>
                  <wp:positionV relativeFrom="margin">
                    <wp:align>top</wp:align>
                  </wp:positionV>
                  <wp:extent cx="1800000" cy="1800000"/>
                  <wp:effectExtent l="0" t="0" r="0" b="0"/>
                  <wp:wrapSquare wrapText="bothSides"/>
                  <wp:docPr id="37" name="Graphique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V relativeFrom="margin">
                    <wp14:pctHeight>0</wp14:pctHeight>
                  </wp14:sizeRelV>
                </wp:anchor>
              </w:drawing>
            </w:r>
          </w:p>
        </w:tc>
        <w:tc>
          <w:tcPr>
            <w:tcW w:w="3053" w:type="dxa"/>
            <w:gridSpan w:val="5"/>
            <w:vMerge w:val="restart"/>
          </w:tcPr>
          <w:p w14:paraId="623B44E9" w14:textId="77777777" w:rsidR="00275F25" w:rsidRPr="003160F8" w:rsidRDefault="00E9430B" w:rsidP="00E9430B">
            <w:pPr>
              <w:pStyle w:val="MDPI42tablebody"/>
              <w:spacing w:line="240" w:lineRule="auto"/>
              <w:rPr>
                <w:color w:val="auto"/>
                <w:sz w:val="16"/>
                <w:szCs w:val="16"/>
                <w:lang w:val="en-GB"/>
              </w:rPr>
            </w:pPr>
            <w:r w:rsidRPr="003160F8">
              <w:rPr>
                <w:color w:val="auto"/>
                <w:sz w:val="16"/>
                <w:szCs w:val="16"/>
                <w:lang w:val="en-GB"/>
              </w:rPr>
              <w:t>servings/day</w:t>
            </w:r>
            <w:r w:rsidRPr="003160F8">
              <w:rPr>
                <w:color w:val="auto"/>
                <w:sz w:val="16"/>
                <w:szCs w:val="16"/>
                <w:lang w:val="en-GB" w:eastAsia="en-GB"/>
              </w:rPr>
              <w:t xml:space="preserve"> </w:t>
            </w:r>
            <w:r w:rsidR="00275F25" w:rsidRPr="003160F8">
              <w:rPr>
                <w:noProof/>
                <w:color w:val="auto"/>
                <w:sz w:val="16"/>
                <w:szCs w:val="16"/>
                <w:lang w:val="en-GB" w:eastAsia="en-GB" w:bidi="ar-SA"/>
              </w:rPr>
              <w:drawing>
                <wp:anchor distT="0" distB="0" distL="114300" distR="114300" simplePos="0" relativeHeight="251661312" behindDoc="0" locked="0" layoutInCell="1" allowOverlap="1" wp14:anchorId="50E99AB0" wp14:editId="2CE02D80">
                  <wp:simplePos x="7591425" y="1409700"/>
                  <wp:positionH relativeFrom="margin">
                    <wp:align>center</wp:align>
                  </wp:positionH>
                  <wp:positionV relativeFrom="margin">
                    <wp:align>top</wp:align>
                  </wp:positionV>
                  <wp:extent cx="1800000" cy="1800000"/>
                  <wp:effectExtent l="0" t="0" r="0" b="0"/>
                  <wp:wrapSquare wrapText="bothSides"/>
                  <wp:docPr id="41" name="Graphique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V relativeFrom="margin">
                    <wp14:pctHeight>0</wp14:pctHeight>
                  </wp14:sizeRelV>
                </wp:anchor>
              </w:drawing>
            </w:r>
          </w:p>
        </w:tc>
      </w:tr>
      <w:tr w:rsidR="00101347" w:rsidRPr="003160F8" w14:paraId="6F43CFE8" w14:textId="77777777" w:rsidTr="00E81D25">
        <w:trPr>
          <w:gridAfter w:val="1"/>
          <w:wAfter w:w="150" w:type="dxa"/>
          <w:trHeight w:val="278"/>
          <w:jc w:val="center"/>
        </w:trPr>
        <w:tc>
          <w:tcPr>
            <w:tcW w:w="1360" w:type="dxa"/>
            <w:gridSpan w:val="2"/>
            <w:vAlign w:val="center"/>
          </w:tcPr>
          <w:p w14:paraId="30901BBF" w14:textId="77777777" w:rsidR="00275F25" w:rsidRPr="003160F8" w:rsidRDefault="00275F25" w:rsidP="00CE4363">
            <w:pPr>
              <w:pStyle w:val="MDPI42tablebody"/>
              <w:spacing w:line="240" w:lineRule="auto"/>
              <w:rPr>
                <w:color w:val="auto"/>
                <w:sz w:val="16"/>
                <w:szCs w:val="16"/>
                <w:lang w:val="en-GB"/>
              </w:rPr>
            </w:pPr>
            <w:r w:rsidRPr="003160F8">
              <w:rPr>
                <w:color w:val="auto"/>
                <w:sz w:val="16"/>
                <w:szCs w:val="16"/>
                <w:lang w:val="en-GB"/>
              </w:rPr>
              <w:t>EDEN-PP</w:t>
            </w:r>
          </w:p>
        </w:tc>
        <w:tc>
          <w:tcPr>
            <w:tcW w:w="3055" w:type="dxa"/>
            <w:gridSpan w:val="4"/>
            <w:vMerge/>
            <w:vAlign w:val="center"/>
          </w:tcPr>
          <w:p w14:paraId="238535B8" w14:textId="77777777" w:rsidR="00275F25" w:rsidRPr="003160F8" w:rsidRDefault="00275F25" w:rsidP="00DA7EF2">
            <w:pPr>
              <w:spacing w:line="276" w:lineRule="auto"/>
              <w:jc w:val="left"/>
              <w:rPr>
                <w:rFonts w:ascii="Palatino Linotype" w:hAnsi="Palatino Linotype"/>
                <w:color w:val="auto"/>
                <w:lang w:val="en-GB"/>
              </w:rPr>
            </w:pPr>
          </w:p>
        </w:tc>
        <w:tc>
          <w:tcPr>
            <w:tcW w:w="3098" w:type="dxa"/>
            <w:gridSpan w:val="4"/>
            <w:vMerge/>
            <w:vAlign w:val="center"/>
          </w:tcPr>
          <w:p w14:paraId="486AAAAF" w14:textId="77777777" w:rsidR="00275F25" w:rsidRPr="003160F8" w:rsidRDefault="00275F25" w:rsidP="00DA7EF2">
            <w:pPr>
              <w:spacing w:line="276" w:lineRule="auto"/>
              <w:jc w:val="left"/>
              <w:rPr>
                <w:rFonts w:ascii="Palatino Linotype" w:hAnsi="Palatino Linotype"/>
                <w:color w:val="auto"/>
                <w:lang w:val="en-GB"/>
              </w:rPr>
            </w:pPr>
          </w:p>
        </w:tc>
        <w:tc>
          <w:tcPr>
            <w:tcW w:w="3119" w:type="dxa"/>
            <w:gridSpan w:val="4"/>
            <w:vMerge/>
            <w:vAlign w:val="center"/>
          </w:tcPr>
          <w:p w14:paraId="3F22E96B" w14:textId="77777777" w:rsidR="00275F25" w:rsidRPr="003160F8" w:rsidRDefault="00275F25" w:rsidP="00DA7EF2">
            <w:pPr>
              <w:spacing w:line="276" w:lineRule="auto"/>
              <w:jc w:val="left"/>
              <w:rPr>
                <w:rFonts w:ascii="Palatino Linotype" w:hAnsi="Palatino Linotype"/>
                <w:color w:val="auto"/>
                <w:lang w:val="en-GB"/>
              </w:rPr>
            </w:pPr>
          </w:p>
        </w:tc>
        <w:tc>
          <w:tcPr>
            <w:tcW w:w="3053" w:type="dxa"/>
            <w:gridSpan w:val="5"/>
            <w:vMerge/>
            <w:vAlign w:val="center"/>
          </w:tcPr>
          <w:p w14:paraId="396192A6" w14:textId="77777777" w:rsidR="00275F25" w:rsidRPr="003160F8" w:rsidRDefault="00275F25" w:rsidP="00DA7EF2">
            <w:pPr>
              <w:spacing w:line="276" w:lineRule="auto"/>
              <w:jc w:val="left"/>
              <w:rPr>
                <w:rFonts w:ascii="Palatino Linotype" w:hAnsi="Palatino Linotype"/>
                <w:color w:val="auto"/>
                <w:lang w:val="en-GB"/>
              </w:rPr>
            </w:pPr>
          </w:p>
        </w:tc>
      </w:tr>
      <w:tr w:rsidR="00101347" w:rsidRPr="003160F8" w14:paraId="5AEFC342" w14:textId="77777777" w:rsidTr="00E81D25">
        <w:trPr>
          <w:gridAfter w:val="1"/>
          <w:wAfter w:w="150" w:type="dxa"/>
          <w:trHeight w:val="283"/>
          <w:jc w:val="center"/>
        </w:trPr>
        <w:tc>
          <w:tcPr>
            <w:tcW w:w="1360" w:type="dxa"/>
            <w:gridSpan w:val="2"/>
            <w:vAlign w:val="center"/>
          </w:tcPr>
          <w:p w14:paraId="178BDCD0" w14:textId="77777777" w:rsidR="00275F25" w:rsidRPr="003160F8" w:rsidRDefault="00275F25" w:rsidP="00CE4363">
            <w:pPr>
              <w:pStyle w:val="MDPI42tablebody"/>
              <w:spacing w:line="240" w:lineRule="auto"/>
              <w:rPr>
                <w:color w:val="auto"/>
                <w:sz w:val="16"/>
                <w:szCs w:val="16"/>
                <w:lang w:val="en-GB"/>
              </w:rPr>
            </w:pPr>
            <w:r w:rsidRPr="003160F8">
              <w:rPr>
                <w:color w:val="auto"/>
                <w:sz w:val="16"/>
                <w:szCs w:val="16"/>
                <w:lang w:val="en-GB"/>
              </w:rPr>
              <w:t>EDEN-LP</w:t>
            </w:r>
          </w:p>
        </w:tc>
        <w:tc>
          <w:tcPr>
            <w:tcW w:w="3055" w:type="dxa"/>
            <w:gridSpan w:val="4"/>
            <w:vMerge/>
            <w:vAlign w:val="center"/>
          </w:tcPr>
          <w:p w14:paraId="6BA2CFD5" w14:textId="77777777" w:rsidR="00275F25" w:rsidRPr="003160F8" w:rsidRDefault="00275F25" w:rsidP="00DA7EF2">
            <w:pPr>
              <w:spacing w:line="276" w:lineRule="auto"/>
              <w:jc w:val="left"/>
              <w:rPr>
                <w:rFonts w:ascii="Palatino Linotype" w:hAnsi="Palatino Linotype"/>
                <w:color w:val="auto"/>
                <w:lang w:val="en-GB"/>
              </w:rPr>
            </w:pPr>
          </w:p>
        </w:tc>
        <w:tc>
          <w:tcPr>
            <w:tcW w:w="3098" w:type="dxa"/>
            <w:gridSpan w:val="4"/>
            <w:vMerge/>
            <w:vAlign w:val="center"/>
          </w:tcPr>
          <w:p w14:paraId="600C0807" w14:textId="77777777" w:rsidR="00275F25" w:rsidRPr="003160F8" w:rsidRDefault="00275F25" w:rsidP="00DA7EF2">
            <w:pPr>
              <w:spacing w:line="276" w:lineRule="auto"/>
              <w:jc w:val="left"/>
              <w:rPr>
                <w:rFonts w:ascii="Palatino Linotype" w:hAnsi="Palatino Linotype"/>
                <w:color w:val="auto"/>
                <w:lang w:val="en-GB"/>
              </w:rPr>
            </w:pPr>
          </w:p>
        </w:tc>
        <w:tc>
          <w:tcPr>
            <w:tcW w:w="3119" w:type="dxa"/>
            <w:gridSpan w:val="4"/>
            <w:vMerge/>
            <w:vAlign w:val="center"/>
          </w:tcPr>
          <w:p w14:paraId="489CD2E1" w14:textId="77777777" w:rsidR="00275F25" w:rsidRPr="003160F8" w:rsidRDefault="00275F25" w:rsidP="00DA7EF2">
            <w:pPr>
              <w:spacing w:line="276" w:lineRule="auto"/>
              <w:jc w:val="left"/>
              <w:rPr>
                <w:rFonts w:ascii="Palatino Linotype" w:hAnsi="Palatino Linotype"/>
                <w:color w:val="auto"/>
                <w:lang w:val="en-GB"/>
              </w:rPr>
            </w:pPr>
          </w:p>
        </w:tc>
        <w:tc>
          <w:tcPr>
            <w:tcW w:w="3053" w:type="dxa"/>
            <w:gridSpan w:val="5"/>
            <w:vMerge/>
            <w:vAlign w:val="center"/>
          </w:tcPr>
          <w:p w14:paraId="4352CF84" w14:textId="77777777" w:rsidR="00275F25" w:rsidRPr="003160F8" w:rsidRDefault="00275F25" w:rsidP="00DA7EF2">
            <w:pPr>
              <w:spacing w:line="276" w:lineRule="auto"/>
              <w:jc w:val="left"/>
              <w:rPr>
                <w:rFonts w:ascii="Palatino Linotype" w:hAnsi="Palatino Linotype"/>
                <w:color w:val="auto"/>
                <w:lang w:val="en-GB"/>
              </w:rPr>
            </w:pPr>
          </w:p>
        </w:tc>
      </w:tr>
      <w:tr w:rsidR="00101347" w:rsidRPr="003160F8" w14:paraId="3AA31BED" w14:textId="77777777" w:rsidTr="00E81D25">
        <w:trPr>
          <w:gridAfter w:val="1"/>
          <w:wAfter w:w="150" w:type="dxa"/>
          <w:trHeight w:val="295"/>
          <w:jc w:val="center"/>
        </w:trPr>
        <w:tc>
          <w:tcPr>
            <w:tcW w:w="1360" w:type="dxa"/>
            <w:gridSpan w:val="2"/>
            <w:vAlign w:val="center"/>
          </w:tcPr>
          <w:p w14:paraId="3B229FAE" w14:textId="77777777" w:rsidR="00275F25" w:rsidRPr="003160F8" w:rsidRDefault="00275F25" w:rsidP="00CE4363">
            <w:pPr>
              <w:pStyle w:val="MDPI42tablebody"/>
              <w:spacing w:line="240" w:lineRule="auto"/>
              <w:rPr>
                <w:color w:val="auto"/>
                <w:sz w:val="16"/>
                <w:szCs w:val="16"/>
                <w:lang w:val="en-GB"/>
              </w:rPr>
            </w:pPr>
            <w:r w:rsidRPr="003160F8">
              <w:rPr>
                <w:color w:val="auto"/>
                <w:sz w:val="16"/>
                <w:szCs w:val="16"/>
                <w:lang w:val="en-GB"/>
              </w:rPr>
              <w:t>Lifeways-EP</w:t>
            </w:r>
          </w:p>
        </w:tc>
        <w:tc>
          <w:tcPr>
            <w:tcW w:w="3055" w:type="dxa"/>
            <w:gridSpan w:val="4"/>
            <w:vMerge/>
            <w:vAlign w:val="center"/>
          </w:tcPr>
          <w:p w14:paraId="3A54B4D9" w14:textId="77777777" w:rsidR="00275F25" w:rsidRPr="003160F8" w:rsidRDefault="00275F25" w:rsidP="00DA7EF2">
            <w:pPr>
              <w:spacing w:line="276" w:lineRule="auto"/>
              <w:jc w:val="left"/>
              <w:rPr>
                <w:rFonts w:ascii="Palatino Linotype" w:hAnsi="Palatino Linotype"/>
                <w:color w:val="auto"/>
                <w:lang w:val="en-GB"/>
              </w:rPr>
            </w:pPr>
          </w:p>
        </w:tc>
        <w:tc>
          <w:tcPr>
            <w:tcW w:w="3098" w:type="dxa"/>
            <w:gridSpan w:val="4"/>
            <w:vMerge/>
            <w:vAlign w:val="center"/>
          </w:tcPr>
          <w:p w14:paraId="5EAAAC1E" w14:textId="77777777" w:rsidR="00275F25" w:rsidRPr="003160F8" w:rsidRDefault="00275F25" w:rsidP="00DA7EF2">
            <w:pPr>
              <w:spacing w:line="276" w:lineRule="auto"/>
              <w:jc w:val="left"/>
              <w:rPr>
                <w:rFonts w:ascii="Palatino Linotype" w:hAnsi="Palatino Linotype"/>
                <w:color w:val="auto"/>
                <w:lang w:val="en-GB"/>
              </w:rPr>
            </w:pPr>
          </w:p>
        </w:tc>
        <w:tc>
          <w:tcPr>
            <w:tcW w:w="3119" w:type="dxa"/>
            <w:gridSpan w:val="4"/>
            <w:vMerge/>
            <w:vAlign w:val="center"/>
          </w:tcPr>
          <w:p w14:paraId="5499D915" w14:textId="77777777" w:rsidR="00275F25" w:rsidRPr="003160F8" w:rsidRDefault="00275F25" w:rsidP="00DA7EF2">
            <w:pPr>
              <w:spacing w:line="276" w:lineRule="auto"/>
              <w:jc w:val="left"/>
              <w:rPr>
                <w:rFonts w:ascii="Palatino Linotype" w:hAnsi="Palatino Linotype"/>
                <w:color w:val="auto"/>
                <w:lang w:val="en-GB"/>
              </w:rPr>
            </w:pPr>
          </w:p>
        </w:tc>
        <w:tc>
          <w:tcPr>
            <w:tcW w:w="3053" w:type="dxa"/>
            <w:gridSpan w:val="5"/>
            <w:vMerge/>
            <w:vAlign w:val="center"/>
          </w:tcPr>
          <w:p w14:paraId="2D29E0D5" w14:textId="77777777" w:rsidR="00275F25" w:rsidRPr="003160F8" w:rsidRDefault="00275F25" w:rsidP="00DA7EF2">
            <w:pPr>
              <w:spacing w:line="276" w:lineRule="auto"/>
              <w:jc w:val="left"/>
              <w:rPr>
                <w:rFonts w:ascii="Palatino Linotype" w:hAnsi="Palatino Linotype"/>
                <w:color w:val="auto"/>
                <w:lang w:val="en-GB"/>
              </w:rPr>
            </w:pPr>
          </w:p>
        </w:tc>
      </w:tr>
      <w:tr w:rsidR="00101347" w:rsidRPr="003160F8" w14:paraId="4C0A17B6" w14:textId="77777777" w:rsidTr="00E81D25">
        <w:trPr>
          <w:gridAfter w:val="1"/>
          <w:wAfter w:w="150" w:type="dxa"/>
          <w:trHeight w:val="295"/>
          <w:jc w:val="center"/>
        </w:trPr>
        <w:tc>
          <w:tcPr>
            <w:tcW w:w="1360" w:type="dxa"/>
            <w:gridSpan w:val="2"/>
            <w:vAlign w:val="center"/>
          </w:tcPr>
          <w:p w14:paraId="1E73370E" w14:textId="77777777" w:rsidR="00275F25" w:rsidRPr="003160F8" w:rsidRDefault="00275F25" w:rsidP="00CE4363">
            <w:pPr>
              <w:pStyle w:val="MDPI42tablebody"/>
              <w:spacing w:line="240" w:lineRule="auto"/>
              <w:rPr>
                <w:color w:val="auto"/>
                <w:sz w:val="16"/>
                <w:szCs w:val="16"/>
                <w:lang w:val="en-GB"/>
              </w:rPr>
            </w:pPr>
            <w:r w:rsidRPr="003160F8">
              <w:rPr>
                <w:color w:val="auto"/>
                <w:sz w:val="16"/>
                <w:szCs w:val="16"/>
                <w:lang w:val="en-GB"/>
              </w:rPr>
              <w:t>REPRO_PL-EP</w:t>
            </w:r>
          </w:p>
        </w:tc>
        <w:tc>
          <w:tcPr>
            <w:tcW w:w="3055" w:type="dxa"/>
            <w:gridSpan w:val="4"/>
            <w:vMerge/>
            <w:vAlign w:val="center"/>
          </w:tcPr>
          <w:p w14:paraId="4513D366" w14:textId="77777777" w:rsidR="00275F25" w:rsidRPr="003160F8" w:rsidRDefault="00275F25" w:rsidP="00DA7EF2">
            <w:pPr>
              <w:spacing w:line="276" w:lineRule="auto"/>
              <w:jc w:val="left"/>
              <w:rPr>
                <w:rFonts w:ascii="Palatino Linotype" w:hAnsi="Palatino Linotype"/>
                <w:color w:val="auto"/>
                <w:lang w:val="en-GB"/>
              </w:rPr>
            </w:pPr>
          </w:p>
        </w:tc>
        <w:tc>
          <w:tcPr>
            <w:tcW w:w="3098" w:type="dxa"/>
            <w:gridSpan w:val="4"/>
            <w:vMerge/>
            <w:vAlign w:val="center"/>
          </w:tcPr>
          <w:p w14:paraId="24A1DC8E" w14:textId="77777777" w:rsidR="00275F25" w:rsidRPr="003160F8" w:rsidRDefault="00275F25" w:rsidP="00DA7EF2">
            <w:pPr>
              <w:spacing w:line="276" w:lineRule="auto"/>
              <w:jc w:val="left"/>
              <w:rPr>
                <w:rFonts w:ascii="Palatino Linotype" w:hAnsi="Palatino Linotype"/>
                <w:color w:val="auto"/>
                <w:lang w:val="en-GB"/>
              </w:rPr>
            </w:pPr>
          </w:p>
        </w:tc>
        <w:tc>
          <w:tcPr>
            <w:tcW w:w="3119" w:type="dxa"/>
            <w:gridSpan w:val="4"/>
            <w:vMerge/>
            <w:vAlign w:val="center"/>
          </w:tcPr>
          <w:p w14:paraId="7096E7A9" w14:textId="77777777" w:rsidR="00275F25" w:rsidRPr="003160F8" w:rsidRDefault="00275F25" w:rsidP="00DA7EF2">
            <w:pPr>
              <w:spacing w:line="276" w:lineRule="auto"/>
              <w:jc w:val="left"/>
              <w:rPr>
                <w:rFonts w:ascii="Palatino Linotype" w:hAnsi="Palatino Linotype"/>
                <w:color w:val="auto"/>
                <w:lang w:val="en-GB"/>
              </w:rPr>
            </w:pPr>
          </w:p>
        </w:tc>
        <w:tc>
          <w:tcPr>
            <w:tcW w:w="3053" w:type="dxa"/>
            <w:gridSpan w:val="5"/>
            <w:vMerge/>
            <w:vAlign w:val="center"/>
          </w:tcPr>
          <w:p w14:paraId="68422173" w14:textId="77777777" w:rsidR="00275F25" w:rsidRPr="003160F8" w:rsidRDefault="00275F25" w:rsidP="00DA7EF2">
            <w:pPr>
              <w:spacing w:line="276" w:lineRule="auto"/>
              <w:jc w:val="left"/>
              <w:rPr>
                <w:rFonts w:ascii="Palatino Linotype" w:hAnsi="Palatino Linotype"/>
                <w:color w:val="auto"/>
                <w:lang w:val="en-GB"/>
              </w:rPr>
            </w:pPr>
          </w:p>
        </w:tc>
      </w:tr>
      <w:tr w:rsidR="00101347" w:rsidRPr="003160F8" w14:paraId="0D884455" w14:textId="77777777" w:rsidTr="00E81D25">
        <w:trPr>
          <w:gridAfter w:val="1"/>
          <w:wAfter w:w="150" w:type="dxa"/>
          <w:trHeight w:val="283"/>
          <w:jc w:val="center"/>
        </w:trPr>
        <w:tc>
          <w:tcPr>
            <w:tcW w:w="1360" w:type="dxa"/>
            <w:gridSpan w:val="2"/>
            <w:vAlign w:val="center"/>
          </w:tcPr>
          <w:p w14:paraId="3A3C8047" w14:textId="77777777" w:rsidR="00275F25" w:rsidRPr="003160F8" w:rsidRDefault="00275F25" w:rsidP="00CE4363">
            <w:pPr>
              <w:pStyle w:val="MDPI42tablebody"/>
              <w:spacing w:line="240" w:lineRule="auto"/>
              <w:rPr>
                <w:color w:val="auto"/>
                <w:sz w:val="16"/>
                <w:szCs w:val="16"/>
                <w:lang w:val="en-GB"/>
              </w:rPr>
            </w:pPr>
            <w:r w:rsidRPr="003160F8">
              <w:rPr>
                <w:color w:val="auto"/>
                <w:sz w:val="16"/>
                <w:szCs w:val="16"/>
                <w:lang w:val="en-GB"/>
              </w:rPr>
              <w:t>ROLO-EP</w:t>
            </w:r>
          </w:p>
        </w:tc>
        <w:tc>
          <w:tcPr>
            <w:tcW w:w="3055" w:type="dxa"/>
            <w:gridSpan w:val="4"/>
            <w:vMerge/>
            <w:vAlign w:val="center"/>
          </w:tcPr>
          <w:p w14:paraId="3E11F17E" w14:textId="77777777" w:rsidR="00275F25" w:rsidRPr="003160F8" w:rsidRDefault="00275F25" w:rsidP="00DA7EF2">
            <w:pPr>
              <w:spacing w:line="276" w:lineRule="auto"/>
              <w:jc w:val="left"/>
              <w:rPr>
                <w:rFonts w:ascii="Palatino Linotype" w:hAnsi="Palatino Linotype"/>
                <w:color w:val="auto"/>
                <w:lang w:val="en-GB"/>
              </w:rPr>
            </w:pPr>
          </w:p>
        </w:tc>
        <w:tc>
          <w:tcPr>
            <w:tcW w:w="3098" w:type="dxa"/>
            <w:gridSpan w:val="4"/>
            <w:vMerge/>
            <w:vAlign w:val="center"/>
          </w:tcPr>
          <w:p w14:paraId="516A5679" w14:textId="77777777" w:rsidR="00275F25" w:rsidRPr="003160F8" w:rsidRDefault="00275F25" w:rsidP="00DA7EF2">
            <w:pPr>
              <w:spacing w:line="276" w:lineRule="auto"/>
              <w:jc w:val="left"/>
              <w:rPr>
                <w:rFonts w:ascii="Palatino Linotype" w:hAnsi="Palatino Linotype"/>
                <w:color w:val="auto"/>
                <w:lang w:val="en-GB"/>
              </w:rPr>
            </w:pPr>
          </w:p>
        </w:tc>
        <w:tc>
          <w:tcPr>
            <w:tcW w:w="3119" w:type="dxa"/>
            <w:gridSpan w:val="4"/>
            <w:vMerge/>
            <w:vAlign w:val="center"/>
          </w:tcPr>
          <w:p w14:paraId="778448C7" w14:textId="77777777" w:rsidR="00275F25" w:rsidRPr="003160F8" w:rsidRDefault="00275F25" w:rsidP="00DA7EF2">
            <w:pPr>
              <w:spacing w:line="276" w:lineRule="auto"/>
              <w:jc w:val="left"/>
              <w:rPr>
                <w:rFonts w:ascii="Palatino Linotype" w:hAnsi="Palatino Linotype"/>
                <w:color w:val="auto"/>
                <w:lang w:val="en-GB"/>
              </w:rPr>
            </w:pPr>
          </w:p>
        </w:tc>
        <w:tc>
          <w:tcPr>
            <w:tcW w:w="3053" w:type="dxa"/>
            <w:gridSpan w:val="5"/>
            <w:vMerge/>
            <w:vAlign w:val="center"/>
          </w:tcPr>
          <w:p w14:paraId="28E8FEEB" w14:textId="77777777" w:rsidR="00275F25" w:rsidRPr="003160F8" w:rsidRDefault="00275F25" w:rsidP="00DA7EF2">
            <w:pPr>
              <w:spacing w:line="276" w:lineRule="auto"/>
              <w:jc w:val="left"/>
              <w:rPr>
                <w:rFonts w:ascii="Palatino Linotype" w:hAnsi="Palatino Linotype"/>
                <w:color w:val="auto"/>
                <w:lang w:val="en-GB"/>
              </w:rPr>
            </w:pPr>
          </w:p>
        </w:tc>
      </w:tr>
      <w:tr w:rsidR="00101347" w:rsidRPr="003160F8" w14:paraId="73A04598" w14:textId="77777777" w:rsidTr="00E81D25">
        <w:trPr>
          <w:gridAfter w:val="1"/>
          <w:wAfter w:w="150" w:type="dxa"/>
          <w:trHeight w:val="283"/>
          <w:jc w:val="center"/>
        </w:trPr>
        <w:tc>
          <w:tcPr>
            <w:tcW w:w="1360" w:type="dxa"/>
            <w:gridSpan w:val="2"/>
            <w:vAlign w:val="center"/>
          </w:tcPr>
          <w:p w14:paraId="3FB224E1" w14:textId="77777777" w:rsidR="00275F25" w:rsidRPr="003160F8" w:rsidRDefault="00275F25" w:rsidP="00CE4363">
            <w:pPr>
              <w:pStyle w:val="MDPI42tablebody"/>
              <w:spacing w:line="240" w:lineRule="auto"/>
              <w:rPr>
                <w:color w:val="auto"/>
                <w:sz w:val="16"/>
                <w:szCs w:val="16"/>
                <w:lang w:val="en-GB"/>
              </w:rPr>
            </w:pPr>
            <w:r w:rsidRPr="003160F8">
              <w:rPr>
                <w:color w:val="auto"/>
                <w:sz w:val="16"/>
                <w:szCs w:val="16"/>
                <w:lang w:val="en-GB"/>
              </w:rPr>
              <w:t>SWS-PP</w:t>
            </w:r>
          </w:p>
        </w:tc>
        <w:tc>
          <w:tcPr>
            <w:tcW w:w="3055" w:type="dxa"/>
            <w:gridSpan w:val="4"/>
            <w:vMerge/>
            <w:vAlign w:val="center"/>
          </w:tcPr>
          <w:p w14:paraId="303DA7D4" w14:textId="77777777" w:rsidR="00275F25" w:rsidRPr="003160F8" w:rsidRDefault="00275F25" w:rsidP="00DA7EF2">
            <w:pPr>
              <w:spacing w:line="276" w:lineRule="auto"/>
              <w:jc w:val="left"/>
              <w:rPr>
                <w:rFonts w:ascii="Palatino Linotype" w:hAnsi="Palatino Linotype"/>
                <w:color w:val="auto"/>
                <w:lang w:val="en-GB"/>
              </w:rPr>
            </w:pPr>
          </w:p>
        </w:tc>
        <w:tc>
          <w:tcPr>
            <w:tcW w:w="3098" w:type="dxa"/>
            <w:gridSpan w:val="4"/>
            <w:vMerge/>
            <w:vAlign w:val="center"/>
          </w:tcPr>
          <w:p w14:paraId="485C2C8F" w14:textId="77777777" w:rsidR="00275F25" w:rsidRPr="003160F8" w:rsidRDefault="00275F25" w:rsidP="00DA7EF2">
            <w:pPr>
              <w:spacing w:line="276" w:lineRule="auto"/>
              <w:jc w:val="left"/>
              <w:rPr>
                <w:rFonts w:ascii="Palatino Linotype" w:hAnsi="Palatino Linotype"/>
                <w:color w:val="auto"/>
                <w:lang w:val="en-GB"/>
              </w:rPr>
            </w:pPr>
          </w:p>
        </w:tc>
        <w:tc>
          <w:tcPr>
            <w:tcW w:w="3119" w:type="dxa"/>
            <w:gridSpan w:val="4"/>
            <w:vMerge/>
            <w:vAlign w:val="center"/>
          </w:tcPr>
          <w:p w14:paraId="13263ACD" w14:textId="77777777" w:rsidR="00275F25" w:rsidRPr="003160F8" w:rsidRDefault="00275F25" w:rsidP="00DA7EF2">
            <w:pPr>
              <w:spacing w:line="276" w:lineRule="auto"/>
              <w:jc w:val="left"/>
              <w:rPr>
                <w:rFonts w:ascii="Palatino Linotype" w:hAnsi="Palatino Linotype"/>
                <w:color w:val="auto"/>
                <w:lang w:val="en-GB"/>
              </w:rPr>
            </w:pPr>
          </w:p>
        </w:tc>
        <w:tc>
          <w:tcPr>
            <w:tcW w:w="3053" w:type="dxa"/>
            <w:gridSpan w:val="5"/>
            <w:vMerge/>
            <w:vAlign w:val="center"/>
          </w:tcPr>
          <w:p w14:paraId="3CAA7D93" w14:textId="77777777" w:rsidR="00275F25" w:rsidRPr="003160F8" w:rsidRDefault="00275F25" w:rsidP="00DA7EF2">
            <w:pPr>
              <w:spacing w:line="276" w:lineRule="auto"/>
              <w:jc w:val="left"/>
              <w:rPr>
                <w:rFonts w:ascii="Palatino Linotype" w:hAnsi="Palatino Linotype"/>
                <w:color w:val="auto"/>
                <w:lang w:val="en-GB"/>
              </w:rPr>
            </w:pPr>
          </w:p>
        </w:tc>
      </w:tr>
      <w:tr w:rsidR="00101347" w:rsidRPr="003160F8" w14:paraId="5DFC1EB9" w14:textId="77777777" w:rsidTr="00E81D25">
        <w:trPr>
          <w:gridAfter w:val="1"/>
          <w:wAfter w:w="150" w:type="dxa"/>
          <w:trHeight w:val="306"/>
          <w:jc w:val="center"/>
        </w:trPr>
        <w:tc>
          <w:tcPr>
            <w:tcW w:w="1360" w:type="dxa"/>
            <w:gridSpan w:val="2"/>
            <w:vAlign w:val="center"/>
          </w:tcPr>
          <w:p w14:paraId="669AC636" w14:textId="77777777" w:rsidR="00275F25" w:rsidRPr="003160F8" w:rsidRDefault="00275F25" w:rsidP="00CE4363">
            <w:pPr>
              <w:pStyle w:val="MDPI42tablebody"/>
              <w:spacing w:line="240" w:lineRule="auto"/>
              <w:rPr>
                <w:color w:val="auto"/>
                <w:sz w:val="16"/>
                <w:szCs w:val="16"/>
                <w:lang w:val="en-GB"/>
              </w:rPr>
            </w:pPr>
            <w:r w:rsidRPr="003160F8">
              <w:rPr>
                <w:color w:val="auto"/>
                <w:sz w:val="16"/>
                <w:szCs w:val="16"/>
                <w:lang w:val="en-GB"/>
              </w:rPr>
              <w:t>SWS-EP</w:t>
            </w:r>
          </w:p>
        </w:tc>
        <w:tc>
          <w:tcPr>
            <w:tcW w:w="3055" w:type="dxa"/>
            <w:gridSpan w:val="4"/>
            <w:vMerge/>
            <w:vAlign w:val="center"/>
          </w:tcPr>
          <w:p w14:paraId="5AB2F855" w14:textId="77777777" w:rsidR="00275F25" w:rsidRPr="003160F8" w:rsidRDefault="00275F25" w:rsidP="00DA7EF2">
            <w:pPr>
              <w:spacing w:line="276" w:lineRule="auto"/>
              <w:jc w:val="left"/>
              <w:rPr>
                <w:rFonts w:ascii="Palatino Linotype" w:hAnsi="Palatino Linotype"/>
                <w:color w:val="auto"/>
                <w:lang w:val="en-GB"/>
              </w:rPr>
            </w:pPr>
          </w:p>
        </w:tc>
        <w:tc>
          <w:tcPr>
            <w:tcW w:w="3098" w:type="dxa"/>
            <w:gridSpan w:val="4"/>
            <w:vMerge/>
            <w:vAlign w:val="center"/>
          </w:tcPr>
          <w:p w14:paraId="1EEDB23E" w14:textId="77777777" w:rsidR="00275F25" w:rsidRPr="003160F8" w:rsidRDefault="00275F25" w:rsidP="00DA7EF2">
            <w:pPr>
              <w:spacing w:line="276" w:lineRule="auto"/>
              <w:jc w:val="left"/>
              <w:rPr>
                <w:rFonts w:ascii="Palatino Linotype" w:hAnsi="Palatino Linotype"/>
                <w:color w:val="auto"/>
                <w:lang w:val="en-GB"/>
              </w:rPr>
            </w:pPr>
          </w:p>
        </w:tc>
        <w:tc>
          <w:tcPr>
            <w:tcW w:w="3119" w:type="dxa"/>
            <w:gridSpan w:val="4"/>
            <w:vMerge/>
            <w:vAlign w:val="center"/>
          </w:tcPr>
          <w:p w14:paraId="1FDBB471" w14:textId="77777777" w:rsidR="00275F25" w:rsidRPr="003160F8" w:rsidRDefault="00275F25" w:rsidP="00DA7EF2">
            <w:pPr>
              <w:spacing w:line="276" w:lineRule="auto"/>
              <w:jc w:val="left"/>
              <w:rPr>
                <w:rFonts w:ascii="Palatino Linotype" w:hAnsi="Palatino Linotype"/>
                <w:color w:val="auto"/>
                <w:lang w:val="en-GB"/>
              </w:rPr>
            </w:pPr>
          </w:p>
        </w:tc>
        <w:tc>
          <w:tcPr>
            <w:tcW w:w="3053" w:type="dxa"/>
            <w:gridSpan w:val="5"/>
            <w:vMerge/>
            <w:vAlign w:val="center"/>
          </w:tcPr>
          <w:p w14:paraId="4AA60434" w14:textId="77777777" w:rsidR="00275F25" w:rsidRPr="003160F8" w:rsidRDefault="00275F25" w:rsidP="00DA7EF2">
            <w:pPr>
              <w:spacing w:line="276" w:lineRule="auto"/>
              <w:jc w:val="left"/>
              <w:rPr>
                <w:rFonts w:ascii="Palatino Linotype" w:hAnsi="Palatino Linotype"/>
                <w:color w:val="auto"/>
                <w:lang w:val="en-GB"/>
              </w:rPr>
            </w:pPr>
          </w:p>
        </w:tc>
      </w:tr>
      <w:tr w:rsidR="00101347" w:rsidRPr="003160F8" w14:paraId="012C6EDE" w14:textId="77777777" w:rsidTr="00E81D25">
        <w:trPr>
          <w:gridAfter w:val="1"/>
          <w:wAfter w:w="150" w:type="dxa"/>
          <w:trHeight w:val="737"/>
          <w:jc w:val="center"/>
        </w:trPr>
        <w:tc>
          <w:tcPr>
            <w:tcW w:w="1360" w:type="dxa"/>
            <w:gridSpan w:val="2"/>
          </w:tcPr>
          <w:p w14:paraId="2C338543" w14:textId="77777777" w:rsidR="00275F25" w:rsidRPr="003160F8" w:rsidRDefault="00275F25" w:rsidP="006300BE">
            <w:pPr>
              <w:pStyle w:val="MDPI42tablebody"/>
              <w:spacing w:line="240" w:lineRule="auto"/>
              <w:rPr>
                <w:color w:val="auto"/>
                <w:sz w:val="16"/>
                <w:szCs w:val="16"/>
                <w:lang w:val="en-GB"/>
              </w:rPr>
            </w:pPr>
            <w:r w:rsidRPr="003160F8">
              <w:rPr>
                <w:color w:val="auto"/>
                <w:sz w:val="16"/>
                <w:szCs w:val="16"/>
                <w:lang w:val="en-GB"/>
              </w:rPr>
              <w:t>SWS-LP</w:t>
            </w:r>
          </w:p>
        </w:tc>
        <w:tc>
          <w:tcPr>
            <w:tcW w:w="3055" w:type="dxa"/>
            <w:gridSpan w:val="4"/>
            <w:vMerge/>
            <w:vAlign w:val="center"/>
          </w:tcPr>
          <w:p w14:paraId="4F8C1DF3" w14:textId="77777777" w:rsidR="00275F25" w:rsidRPr="003160F8" w:rsidRDefault="00275F25" w:rsidP="00DA7EF2">
            <w:pPr>
              <w:spacing w:line="276" w:lineRule="auto"/>
              <w:jc w:val="left"/>
              <w:rPr>
                <w:rFonts w:ascii="Palatino Linotype" w:hAnsi="Palatino Linotype"/>
                <w:color w:val="auto"/>
                <w:lang w:val="en-GB"/>
              </w:rPr>
            </w:pPr>
          </w:p>
        </w:tc>
        <w:tc>
          <w:tcPr>
            <w:tcW w:w="3098" w:type="dxa"/>
            <w:gridSpan w:val="4"/>
            <w:vMerge/>
            <w:vAlign w:val="center"/>
          </w:tcPr>
          <w:p w14:paraId="4D65DF79" w14:textId="77777777" w:rsidR="00275F25" w:rsidRPr="003160F8" w:rsidRDefault="00275F25" w:rsidP="00DA7EF2">
            <w:pPr>
              <w:spacing w:line="276" w:lineRule="auto"/>
              <w:jc w:val="left"/>
              <w:rPr>
                <w:rFonts w:ascii="Palatino Linotype" w:hAnsi="Palatino Linotype"/>
                <w:color w:val="auto"/>
                <w:lang w:val="en-GB"/>
              </w:rPr>
            </w:pPr>
          </w:p>
        </w:tc>
        <w:tc>
          <w:tcPr>
            <w:tcW w:w="3119" w:type="dxa"/>
            <w:gridSpan w:val="4"/>
            <w:vMerge/>
            <w:vAlign w:val="center"/>
          </w:tcPr>
          <w:p w14:paraId="583B09E2" w14:textId="77777777" w:rsidR="00275F25" w:rsidRPr="003160F8" w:rsidRDefault="00275F25" w:rsidP="00DA7EF2">
            <w:pPr>
              <w:spacing w:line="276" w:lineRule="auto"/>
              <w:jc w:val="left"/>
              <w:rPr>
                <w:rFonts w:ascii="Palatino Linotype" w:hAnsi="Palatino Linotype"/>
                <w:color w:val="auto"/>
                <w:lang w:val="en-GB"/>
              </w:rPr>
            </w:pPr>
          </w:p>
        </w:tc>
        <w:tc>
          <w:tcPr>
            <w:tcW w:w="3053" w:type="dxa"/>
            <w:gridSpan w:val="5"/>
            <w:vMerge/>
            <w:vAlign w:val="center"/>
          </w:tcPr>
          <w:p w14:paraId="6BF716A3" w14:textId="77777777" w:rsidR="00275F25" w:rsidRPr="003160F8" w:rsidRDefault="00275F25" w:rsidP="00DA7EF2">
            <w:pPr>
              <w:spacing w:line="276" w:lineRule="auto"/>
              <w:jc w:val="left"/>
              <w:rPr>
                <w:rFonts w:ascii="Palatino Linotype" w:hAnsi="Palatino Linotype"/>
                <w:color w:val="auto"/>
                <w:lang w:val="en-GB"/>
              </w:rPr>
            </w:pPr>
          </w:p>
        </w:tc>
      </w:tr>
      <w:tr w:rsidR="00101347" w:rsidRPr="003160F8" w14:paraId="136A56DF" w14:textId="77777777" w:rsidTr="00E81D25">
        <w:trPr>
          <w:gridAfter w:val="1"/>
          <w:wAfter w:w="150" w:type="dxa"/>
          <w:trHeight w:val="397"/>
          <w:jc w:val="center"/>
        </w:trPr>
        <w:tc>
          <w:tcPr>
            <w:tcW w:w="1360" w:type="dxa"/>
            <w:gridSpan w:val="2"/>
            <w:vAlign w:val="center"/>
          </w:tcPr>
          <w:p w14:paraId="20A5F3AC" w14:textId="77777777" w:rsidR="00275F25" w:rsidRPr="003160F8" w:rsidRDefault="00275F25" w:rsidP="00275F25">
            <w:pPr>
              <w:pStyle w:val="MDPI42tablebody"/>
              <w:spacing w:line="240" w:lineRule="auto"/>
              <w:rPr>
                <w:color w:val="auto"/>
                <w:sz w:val="18"/>
                <w:szCs w:val="18"/>
                <w:lang w:val="en-GB"/>
              </w:rPr>
            </w:pPr>
          </w:p>
        </w:tc>
        <w:tc>
          <w:tcPr>
            <w:tcW w:w="3055" w:type="dxa"/>
            <w:gridSpan w:val="4"/>
            <w:vAlign w:val="center"/>
          </w:tcPr>
          <w:p w14:paraId="1981C9BB" w14:textId="7236F701" w:rsidR="00275F25" w:rsidRPr="003160F8" w:rsidRDefault="00275F25" w:rsidP="00275F25">
            <w:pPr>
              <w:pStyle w:val="MDPI42tablebody"/>
              <w:spacing w:line="240" w:lineRule="auto"/>
              <w:rPr>
                <w:b/>
                <w:color w:val="auto"/>
                <w:sz w:val="18"/>
                <w:szCs w:val="18"/>
                <w:lang w:val="en-GB"/>
              </w:rPr>
            </w:pPr>
            <w:r w:rsidRPr="003160F8">
              <w:rPr>
                <w:b/>
                <w:color w:val="auto"/>
                <w:sz w:val="18"/>
                <w:szCs w:val="18"/>
                <w:lang w:val="en-GB"/>
              </w:rPr>
              <w:t xml:space="preserve">Nuts, seeds </w:t>
            </w:r>
            <w:r w:rsidR="00FA2F9A">
              <w:rPr>
                <w:b/>
                <w:color w:val="auto"/>
                <w:sz w:val="18"/>
                <w:szCs w:val="18"/>
                <w:lang w:val="en-GB"/>
              </w:rPr>
              <w:t>and</w:t>
            </w:r>
            <w:r w:rsidRPr="003160F8">
              <w:rPr>
                <w:b/>
                <w:color w:val="auto"/>
                <w:sz w:val="18"/>
                <w:szCs w:val="18"/>
                <w:lang w:val="en-GB"/>
              </w:rPr>
              <w:t xml:space="preserve"> legumes</w:t>
            </w:r>
          </w:p>
        </w:tc>
        <w:tc>
          <w:tcPr>
            <w:tcW w:w="3098" w:type="dxa"/>
            <w:gridSpan w:val="4"/>
            <w:vAlign w:val="center"/>
          </w:tcPr>
          <w:p w14:paraId="2324CB69" w14:textId="77777777" w:rsidR="00275F25" w:rsidRPr="003160F8" w:rsidRDefault="00275F25" w:rsidP="00275F25">
            <w:pPr>
              <w:pStyle w:val="MDPI42tablebody"/>
              <w:spacing w:line="240" w:lineRule="auto"/>
              <w:rPr>
                <w:b/>
                <w:color w:val="auto"/>
                <w:sz w:val="18"/>
                <w:szCs w:val="18"/>
                <w:lang w:val="en-GB"/>
              </w:rPr>
            </w:pPr>
            <w:r w:rsidRPr="003160F8">
              <w:rPr>
                <w:b/>
                <w:color w:val="auto"/>
                <w:sz w:val="18"/>
                <w:szCs w:val="18"/>
                <w:lang w:val="en-GB"/>
              </w:rPr>
              <w:t>Red and processed meats</w:t>
            </w:r>
          </w:p>
        </w:tc>
        <w:tc>
          <w:tcPr>
            <w:tcW w:w="3119" w:type="dxa"/>
            <w:gridSpan w:val="4"/>
            <w:vAlign w:val="center"/>
          </w:tcPr>
          <w:p w14:paraId="559C4D61" w14:textId="41AED43B" w:rsidR="00275F25" w:rsidRPr="003160F8" w:rsidRDefault="00275F25" w:rsidP="00275F25">
            <w:pPr>
              <w:pStyle w:val="MDPI42tablebody"/>
              <w:spacing w:line="240" w:lineRule="auto"/>
              <w:rPr>
                <w:b/>
                <w:color w:val="auto"/>
                <w:sz w:val="18"/>
                <w:szCs w:val="18"/>
                <w:lang w:val="en-GB"/>
              </w:rPr>
            </w:pPr>
            <w:r w:rsidRPr="003160F8">
              <w:rPr>
                <w:b/>
                <w:color w:val="auto"/>
                <w:sz w:val="18"/>
                <w:szCs w:val="18"/>
                <w:lang w:val="en-GB"/>
              </w:rPr>
              <w:t xml:space="preserve">Sugar-sweetened beverages, sweets </w:t>
            </w:r>
            <w:r w:rsidR="00FA2F9A">
              <w:rPr>
                <w:b/>
                <w:color w:val="auto"/>
                <w:sz w:val="18"/>
                <w:szCs w:val="18"/>
                <w:lang w:val="en-GB"/>
              </w:rPr>
              <w:t>and</w:t>
            </w:r>
            <w:r w:rsidRPr="003160F8">
              <w:rPr>
                <w:b/>
                <w:color w:val="auto"/>
                <w:sz w:val="18"/>
                <w:szCs w:val="18"/>
                <w:lang w:val="en-GB"/>
              </w:rPr>
              <w:t xml:space="preserve"> added sugars</w:t>
            </w:r>
          </w:p>
        </w:tc>
        <w:tc>
          <w:tcPr>
            <w:tcW w:w="3053" w:type="dxa"/>
            <w:gridSpan w:val="5"/>
            <w:vAlign w:val="center"/>
          </w:tcPr>
          <w:p w14:paraId="68515658" w14:textId="77777777" w:rsidR="00275F25" w:rsidRPr="003160F8" w:rsidRDefault="00275F25" w:rsidP="00275F25">
            <w:pPr>
              <w:pStyle w:val="MDPI42tablebody"/>
              <w:spacing w:line="240" w:lineRule="auto"/>
              <w:rPr>
                <w:b/>
                <w:color w:val="auto"/>
                <w:sz w:val="18"/>
                <w:szCs w:val="18"/>
                <w:lang w:val="en-GB"/>
              </w:rPr>
            </w:pPr>
            <w:r w:rsidRPr="003160F8">
              <w:rPr>
                <w:b/>
                <w:color w:val="auto"/>
                <w:sz w:val="18"/>
                <w:szCs w:val="18"/>
                <w:lang w:val="en-GB"/>
              </w:rPr>
              <w:t>Sodium</w:t>
            </w:r>
          </w:p>
        </w:tc>
      </w:tr>
      <w:tr w:rsidR="00101347" w:rsidRPr="003160F8" w14:paraId="57FABAE9" w14:textId="77777777" w:rsidTr="00E81D25">
        <w:trPr>
          <w:gridAfter w:val="1"/>
          <w:wAfter w:w="150" w:type="dxa"/>
          <w:trHeight w:val="283"/>
          <w:jc w:val="center"/>
        </w:trPr>
        <w:tc>
          <w:tcPr>
            <w:tcW w:w="1360" w:type="dxa"/>
            <w:gridSpan w:val="2"/>
            <w:vAlign w:val="center"/>
          </w:tcPr>
          <w:p w14:paraId="719367E0" w14:textId="77777777" w:rsidR="00275F25" w:rsidRPr="003160F8" w:rsidRDefault="00275F25" w:rsidP="00CE4363">
            <w:pPr>
              <w:pStyle w:val="MDPI42tablebody"/>
              <w:spacing w:line="240" w:lineRule="auto"/>
              <w:rPr>
                <w:color w:val="auto"/>
                <w:sz w:val="16"/>
                <w:szCs w:val="16"/>
                <w:lang w:val="en-GB"/>
              </w:rPr>
            </w:pPr>
            <w:r w:rsidRPr="003160F8">
              <w:rPr>
                <w:color w:val="auto"/>
                <w:sz w:val="16"/>
                <w:szCs w:val="16"/>
                <w:lang w:val="en-GB"/>
              </w:rPr>
              <w:t>ALSPAC-LP</w:t>
            </w:r>
          </w:p>
        </w:tc>
        <w:tc>
          <w:tcPr>
            <w:tcW w:w="3055" w:type="dxa"/>
            <w:gridSpan w:val="4"/>
            <w:vMerge w:val="restart"/>
          </w:tcPr>
          <w:p w14:paraId="3F04E56D" w14:textId="77777777" w:rsidR="00275F25" w:rsidRPr="003160F8" w:rsidRDefault="001020FB" w:rsidP="001020FB">
            <w:pPr>
              <w:pStyle w:val="MDPI42tablebody"/>
              <w:spacing w:line="240" w:lineRule="auto"/>
              <w:rPr>
                <w:color w:val="auto"/>
                <w:lang w:val="en-GB"/>
              </w:rPr>
            </w:pPr>
            <w:r w:rsidRPr="003160F8">
              <w:rPr>
                <w:color w:val="auto"/>
                <w:sz w:val="16"/>
                <w:szCs w:val="16"/>
                <w:lang w:val="en-GB"/>
              </w:rPr>
              <w:t>servings/day</w:t>
            </w:r>
            <w:r w:rsidR="00275F25" w:rsidRPr="003160F8">
              <w:rPr>
                <w:noProof/>
                <w:color w:val="auto"/>
                <w:lang w:val="en-GB" w:eastAsia="en-GB" w:bidi="ar-SA"/>
              </w:rPr>
              <w:drawing>
                <wp:anchor distT="0" distB="0" distL="114300" distR="114300" simplePos="0" relativeHeight="251663360" behindDoc="0" locked="0" layoutInCell="1" allowOverlap="1" wp14:anchorId="2F3E5FFE" wp14:editId="06F55A9C">
                  <wp:simplePos x="1438275" y="3743325"/>
                  <wp:positionH relativeFrom="margin">
                    <wp:align>center</wp:align>
                  </wp:positionH>
                  <wp:positionV relativeFrom="margin">
                    <wp:align>top</wp:align>
                  </wp:positionV>
                  <wp:extent cx="1800000" cy="1800000"/>
                  <wp:effectExtent l="0" t="0" r="0" b="0"/>
                  <wp:wrapSquare wrapText="bothSides"/>
                  <wp:docPr id="45" name="Graphique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V relativeFrom="margin">
                    <wp14:pctHeight>0</wp14:pctHeight>
                  </wp14:sizeRelV>
                </wp:anchor>
              </w:drawing>
            </w:r>
          </w:p>
        </w:tc>
        <w:tc>
          <w:tcPr>
            <w:tcW w:w="3098" w:type="dxa"/>
            <w:gridSpan w:val="4"/>
            <w:vMerge w:val="restart"/>
          </w:tcPr>
          <w:p w14:paraId="39E2538D" w14:textId="77777777" w:rsidR="00275F25" w:rsidRPr="003160F8" w:rsidRDefault="001020FB" w:rsidP="001020FB">
            <w:pPr>
              <w:pStyle w:val="MDPI42tablebody"/>
              <w:spacing w:line="240" w:lineRule="auto"/>
              <w:rPr>
                <w:color w:val="auto"/>
                <w:lang w:val="en-GB"/>
              </w:rPr>
            </w:pPr>
            <w:r w:rsidRPr="003160F8">
              <w:rPr>
                <w:color w:val="auto"/>
                <w:sz w:val="16"/>
                <w:szCs w:val="16"/>
                <w:lang w:val="en-GB"/>
              </w:rPr>
              <w:t>servings/day</w:t>
            </w:r>
            <w:r w:rsidR="00275F25" w:rsidRPr="003160F8">
              <w:rPr>
                <w:noProof/>
                <w:color w:val="auto"/>
                <w:lang w:val="en-GB" w:eastAsia="en-GB" w:bidi="ar-SA"/>
              </w:rPr>
              <w:drawing>
                <wp:anchor distT="0" distB="0" distL="114300" distR="114300" simplePos="0" relativeHeight="251662336" behindDoc="0" locked="0" layoutInCell="1" allowOverlap="1" wp14:anchorId="0DA1C327" wp14:editId="11C876A7">
                  <wp:simplePos x="3486150" y="3724275"/>
                  <wp:positionH relativeFrom="margin">
                    <wp:align>center</wp:align>
                  </wp:positionH>
                  <wp:positionV relativeFrom="margin">
                    <wp:align>top</wp:align>
                  </wp:positionV>
                  <wp:extent cx="1800000" cy="1800000"/>
                  <wp:effectExtent l="0" t="0" r="0" b="0"/>
                  <wp:wrapSquare wrapText="bothSides"/>
                  <wp:docPr id="47" name="Graphique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V relativeFrom="margin">
                    <wp14:pctHeight>0</wp14:pctHeight>
                  </wp14:sizeRelV>
                </wp:anchor>
              </w:drawing>
            </w:r>
          </w:p>
        </w:tc>
        <w:tc>
          <w:tcPr>
            <w:tcW w:w="3119" w:type="dxa"/>
            <w:gridSpan w:val="4"/>
            <w:vMerge w:val="restart"/>
          </w:tcPr>
          <w:p w14:paraId="3AAC109B" w14:textId="77777777" w:rsidR="00275F25" w:rsidRPr="003160F8" w:rsidRDefault="001020FB" w:rsidP="001020FB">
            <w:pPr>
              <w:pStyle w:val="MDPI42tablebody"/>
              <w:spacing w:line="240" w:lineRule="auto"/>
              <w:rPr>
                <w:color w:val="auto"/>
                <w:lang w:val="en-GB"/>
              </w:rPr>
            </w:pPr>
            <w:r w:rsidRPr="003160F8">
              <w:rPr>
                <w:color w:val="auto"/>
                <w:sz w:val="16"/>
                <w:szCs w:val="16"/>
                <w:lang w:val="en-GB"/>
              </w:rPr>
              <w:t>servings/day</w:t>
            </w:r>
            <w:r w:rsidR="00275F25" w:rsidRPr="003160F8">
              <w:rPr>
                <w:noProof/>
                <w:color w:val="auto"/>
                <w:lang w:val="en-GB" w:eastAsia="en-GB" w:bidi="ar-SA"/>
              </w:rPr>
              <w:drawing>
                <wp:anchor distT="0" distB="0" distL="114300" distR="114300" simplePos="0" relativeHeight="251664384" behindDoc="0" locked="0" layoutInCell="1" allowOverlap="1" wp14:anchorId="527CA315" wp14:editId="1289423C">
                  <wp:simplePos x="5534025" y="3743325"/>
                  <wp:positionH relativeFrom="margin">
                    <wp:align>center</wp:align>
                  </wp:positionH>
                  <wp:positionV relativeFrom="margin">
                    <wp:align>top</wp:align>
                  </wp:positionV>
                  <wp:extent cx="1800000" cy="1800000"/>
                  <wp:effectExtent l="0" t="0" r="0" b="0"/>
                  <wp:wrapSquare wrapText="bothSides"/>
                  <wp:docPr id="49" name="Graphique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V relativeFrom="margin">
                    <wp14:pctHeight>0</wp14:pctHeight>
                  </wp14:sizeRelV>
                </wp:anchor>
              </w:drawing>
            </w:r>
          </w:p>
        </w:tc>
        <w:tc>
          <w:tcPr>
            <w:tcW w:w="3053" w:type="dxa"/>
            <w:gridSpan w:val="5"/>
            <w:vMerge w:val="restart"/>
          </w:tcPr>
          <w:p w14:paraId="7605CF9D" w14:textId="77777777" w:rsidR="00275F25" w:rsidRPr="003160F8" w:rsidRDefault="001020FB" w:rsidP="001020FB">
            <w:pPr>
              <w:pStyle w:val="MDPI42tablebody"/>
              <w:spacing w:line="240" w:lineRule="auto"/>
              <w:rPr>
                <w:color w:val="auto"/>
                <w:lang w:val="en-GB"/>
              </w:rPr>
            </w:pPr>
            <w:r w:rsidRPr="003160F8">
              <w:rPr>
                <w:color w:val="auto"/>
                <w:sz w:val="16"/>
                <w:szCs w:val="16"/>
                <w:lang w:val="en-GB"/>
              </w:rPr>
              <w:t>servings/day</w:t>
            </w:r>
            <w:r w:rsidR="00275F25" w:rsidRPr="003160F8">
              <w:rPr>
                <w:noProof/>
                <w:color w:val="auto"/>
                <w:lang w:val="en-GB" w:eastAsia="en-GB" w:bidi="ar-SA"/>
              </w:rPr>
              <w:drawing>
                <wp:anchor distT="0" distB="0" distL="114300" distR="114300" simplePos="0" relativeHeight="251665408" behindDoc="0" locked="0" layoutInCell="1" allowOverlap="1" wp14:anchorId="36BEB6F6" wp14:editId="4D7DD9ED">
                  <wp:simplePos x="7591425" y="3743325"/>
                  <wp:positionH relativeFrom="margin">
                    <wp:align>center</wp:align>
                  </wp:positionH>
                  <wp:positionV relativeFrom="margin">
                    <wp:align>top</wp:align>
                  </wp:positionV>
                  <wp:extent cx="1800000" cy="1800000"/>
                  <wp:effectExtent l="0" t="0" r="0" b="0"/>
                  <wp:wrapSquare wrapText="bothSides"/>
                  <wp:docPr id="51" name="Graphique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V relativeFrom="margin">
                    <wp14:pctHeight>0</wp14:pctHeight>
                  </wp14:sizeRelV>
                </wp:anchor>
              </w:drawing>
            </w:r>
          </w:p>
        </w:tc>
      </w:tr>
      <w:tr w:rsidR="00101347" w:rsidRPr="003160F8" w14:paraId="2C0C8998" w14:textId="77777777" w:rsidTr="00E81D25">
        <w:trPr>
          <w:gridAfter w:val="1"/>
          <w:wAfter w:w="150" w:type="dxa"/>
          <w:trHeight w:val="278"/>
          <w:jc w:val="center"/>
        </w:trPr>
        <w:tc>
          <w:tcPr>
            <w:tcW w:w="1360" w:type="dxa"/>
            <w:gridSpan w:val="2"/>
            <w:vAlign w:val="center"/>
          </w:tcPr>
          <w:p w14:paraId="48E166AB" w14:textId="77777777" w:rsidR="00275F25" w:rsidRPr="003160F8" w:rsidRDefault="00275F25" w:rsidP="00CE4363">
            <w:pPr>
              <w:pStyle w:val="MDPI42tablebody"/>
              <w:spacing w:line="240" w:lineRule="auto"/>
              <w:rPr>
                <w:color w:val="auto"/>
                <w:sz w:val="16"/>
                <w:szCs w:val="16"/>
                <w:lang w:val="en-GB"/>
              </w:rPr>
            </w:pPr>
            <w:r w:rsidRPr="003160F8">
              <w:rPr>
                <w:color w:val="auto"/>
                <w:sz w:val="16"/>
                <w:szCs w:val="16"/>
                <w:lang w:val="en-GB"/>
              </w:rPr>
              <w:t>EDEN-PP</w:t>
            </w:r>
          </w:p>
        </w:tc>
        <w:tc>
          <w:tcPr>
            <w:tcW w:w="3055" w:type="dxa"/>
            <w:gridSpan w:val="4"/>
            <w:vMerge/>
            <w:vAlign w:val="center"/>
          </w:tcPr>
          <w:p w14:paraId="0A2C88CA" w14:textId="77777777" w:rsidR="00275F25" w:rsidRPr="003160F8" w:rsidRDefault="00275F25" w:rsidP="00DA7EF2">
            <w:pPr>
              <w:spacing w:line="276" w:lineRule="auto"/>
              <w:jc w:val="left"/>
              <w:rPr>
                <w:rFonts w:ascii="Palatino Linotype" w:hAnsi="Palatino Linotype"/>
                <w:color w:val="auto"/>
                <w:lang w:val="en-GB"/>
              </w:rPr>
            </w:pPr>
          </w:p>
        </w:tc>
        <w:tc>
          <w:tcPr>
            <w:tcW w:w="3098" w:type="dxa"/>
            <w:gridSpan w:val="4"/>
            <w:vMerge/>
            <w:vAlign w:val="center"/>
          </w:tcPr>
          <w:p w14:paraId="6988589D" w14:textId="77777777" w:rsidR="00275F25" w:rsidRPr="003160F8" w:rsidRDefault="00275F25" w:rsidP="00DA7EF2">
            <w:pPr>
              <w:spacing w:line="276" w:lineRule="auto"/>
              <w:jc w:val="left"/>
              <w:rPr>
                <w:rFonts w:ascii="Palatino Linotype" w:hAnsi="Palatino Linotype"/>
                <w:color w:val="auto"/>
                <w:lang w:val="en-GB"/>
              </w:rPr>
            </w:pPr>
          </w:p>
        </w:tc>
        <w:tc>
          <w:tcPr>
            <w:tcW w:w="3119" w:type="dxa"/>
            <w:gridSpan w:val="4"/>
            <w:vMerge/>
            <w:vAlign w:val="center"/>
          </w:tcPr>
          <w:p w14:paraId="2EBC77D2" w14:textId="77777777" w:rsidR="00275F25" w:rsidRPr="003160F8" w:rsidRDefault="00275F25" w:rsidP="00DA7EF2">
            <w:pPr>
              <w:spacing w:line="276" w:lineRule="auto"/>
              <w:jc w:val="left"/>
              <w:rPr>
                <w:rFonts w:ascii="Palatino Linotype" w:hAnsi="Palatino Linotype"/>
                <w:color w:val="auto"/>
                <w:lang w:val="en-GB"/>
              </w:rPr>
            </w:pPr>
          </w:p>
        </w:tc>
        <w:tc>
          <w:tcPr>
            <w:tcW w:w="3053" w:type="dxa"/>
            <w:gridSpan w:val="5"/>
            <w:vMerge/>
            <w:vAlign w:val="center"/>
          </w:tcPr>
          <w:p w14:paraId="0F4D85A3" w14:textId="77777777" w:rsidR="00275F25" w:rsidRPr="003160F8" w:rsidRDefault="00275F25" w:rsidP="00DA7EF2">
            <w:pPr>
              <w:spacing w:line="276" w:lineRule="auto"/>
              <w:jc w:val="left"/>
              <w:rPr>
                <w:rFonts w:ascii="Palatino Linotype" w:hAnsi="Palatino Linotype"/>
                <w:color w:val="auto"/>
                <w:lang w:val="en-GB"/>
              </w:rPr>
            </w:pPr>
          </w:p>
        </w:tc>
      </w:tr>
      <w:tr w:rsidR="00101347" w:rsidRPr="003160F8" w14:paraId="113A63CF" w14:textId="77777777" w:rsidTr="00E81D25">
        <w:trPr>
          <w:gridAfter w:val="1"/>
          <w:wAfter w:w="150" w:type="dxa"/>
          <w:trHeight w:val="283"/>
          <w:jc w:val="center"/>
        </w:trPr>
        <w:tc>
          <w:tcPr>
            <w:tcW w:w="1360" w:type="dxa"/>
            <w:gridSpan w:val="2"/>
            <w:vAlign w:val="center"/>
          </w:tcPr>
          <w:p w14:paraId="78075BB7" w14:textId="77777777" w:rsidR="00275F25" w:rsidRPr="003160F8" w:rsidRDefault="00275F25" w:rsidP="00CE4363">
            <w:pPr>
              <w:pStyle w:val="MDPI42tablebody"/>
              <w:spacing w:line="240" w:lineRule="auto"/>
              <w:rPr>
                <w:color w:val="auto"/>
                <w:sz w:val="16"/>
                <w:szCs w:val="16"/>
                <w:lang w:val="en-GB"/>
              </w:rPr>
            </w:pPr>
            <w:r w:rsidRPr="003160F8">
              <w:rPr>
                <w:color w:val="auto"/>
                <w:sz w:val="16"/>
                <w:szCs w:val="16"/>
                <w:lang w:val="en-GB"/>
              </w:rPr>
              <w:t>EDEN-LP</w:t>
            </w:r>
          </w:p>
        </w:tc>
        <w:tc>
          <w:tcPr>
            <w:tcW w:w="3055" w:type="dxa"/>
            <w:gridSpan w:val="4"/>
            <w:vMerge/>
            <w:vAlign w:val="center"/>
          </w:tcPr>
          <w:p w14:paraId="4D5670F8" w14:textId="77777777" w:rsidR="00275F25" w:rsidRPr="003160F8" w:rsidRDefault="00275F25" w:rsidP="00DA7EF2">
            <w:pPr>
              <w:spacing w:line="276" w:lineRule="auto"/>
              <w:jc w:val="left"/>
              <w:rPr>
                <w:rFonts w:ascii="Palatino Linotype" w:hAnsi="Palatino Linotype"/>
                <w:color w:val="auto"/>
                <w:lang w:val="en-GB"/>
              </w:rPr>
            </w:pPr>
          </w:p>
        </w:tc>
        <w:tc>
          <w:tcPr>
            <w:tcW w:w="3098" w:type="dxa"/>
            <w:gridSpan w:val="4"/>
            <w:vMerge/>
            <w:vAlign w:val="center"/>
          </w:tcPr>
          <w:p w14:paraId="0838ACBE" w14:textId="77777777" w:rsidR="00275F25" w:rsidRPr="003160F8" w:rsidRDefault="00275F25" w:rsidP="00DA7EF2">
            <w:pPr>
              <w:spacing w:line="276" w:lineRule="auto"/>
              <w:jc w:val="left"/>
              <w:rPr>
                <w:rFonts w:ascii="Palatino Linotype" w:hAnsi="Palatino Linotype"/>
                <w:color w:val="auto"/>
                <w:lang w:val="en-GB"/>
              </w:rPr>
            </w:pPr>
          </w:p>
        </w:tc>
        <w:tc>
          <w:tcPr>
            <w:tcW w:w="3119" w:type="dxa"/>
            <w:gridSpan w:val="4"/>
            <w:vMerge/>
            <w:vAlign w:val="center"/>
          </w:tcPr>
          <w:p w14:paraId="0147B5EA" w14:textId="77777777" w:rsidR="00275F25" w:rsidRPr="003160F8" w:rsidRDefault="00275F25" w:rsidP="00DA7EF2">
            <w:pPr>
              <w:spacing w:line="276" w:lineRule="auto"/>
              <w:jc w:val="left"/>
              <w:rPr>
                <w:rFonts w:ascii="Palatino Linotype" w:hAnsi="Palatino Linotype"/>
                <w:color w:val="auto"/>
                <w:lang w:val="en-GB"/>
              </w:rPr>
            </w:pPr>
          </w:p>
        </w:tc>
        <w:tc>
          <w:tcPr>
            <w:tcW w:w="3053" w:type="dxa"/>
            <w:gridSpan w:val="5"/>
            <w:vMerge/>
            <w:vAlign w:val="center"/>
          </w:tcPr>
          <w:p w14:paraId="371A9106" w14:textId="77777777" w:rsidR="00275F25" w:rsidRPr="003160F8" w:rsidRDefault="00275F25" w:rsidP="00DA7EF2">
            <w:pPr>
              <w:spacing w:line="276" w:lineRule="auto"/>
              <w:jc w:val="left"/>
              <w:rPr>
                <w:rFonts w:ascii="Palatino Linotype" w:hAnsi="Palatino Linotype"/>
                <w:color w:val="auto"/>
                <w:lang w:val="en-GB"/>
              </w:rPr>
            </w:pPr>
          </w:p>
        </w:tc>
      </w:tr>
      <w:tr w:rsidR="00101347" w:rsidRPr="003160F8" w14:paraId="71673B33" w14:textId="77777777" w:rsidTr="00E81D25">
        <w:trPr>
          <w:gridAfter w:val="1"/>
          <w:wAfter w:w="150" w:type="dxa"/>
          <w:trHeight w:val="295"/>
          <w:jc w:val="center"/>
        </w:trPr>
        <w:tc>
          <w:tcPr>
            <w:tcW w:w="1360" w:type="dxa"/>
            <w:gridSpan w:val="2"/>
            <w:vAlign w:val="center"/>
          </w:tcPr>
          <w:p w14:paraId="0813A5DD" w14:textId="77777777" w:rsidR="00275F25" w:rsidRPr="003160F8" w:rsidRDefault="00275F25" w:rsidP="00CE4363">
            <w:pPr>
              <w:pStyle w:val="MDPI42tablebody"/>
              <w:spacing w:line="240" w:lineRule="auto"/>
              <w:rPr>
                <w:color w:val="auto"/>
                <w:sz w:val="16"/>
                <w:szCs w:val="16"/>
                <w:lang w:val="en-GB"/>
              </w:rPr>
            </w:pPr>
            <w:r w:rsidRPr="003160F8">
              <w:rPr>
                <w:color w:val="auto"/>
                <w:sz w:val="16"/>
                <w:szCs w:val="16"/>
                <w:lang w:val="en-GB"/>
              </w:rPr>
              <w:t>Lifeways-EP</w:t>
            </w:r>
          </w:p>
        </w:tc>
        <w:tc>
          <w:tcPr>
            <w:tcW w:w="3055" w:type="dxa"/>
            <w:gridSpan w:val="4"/>
            <w:vMerge/>
            <w:vAlign w:val="center"/>
          </w:tcPr>
          <w:p w14:paraId="74CEC275" w14:textId="77777777" w:rsidR="00275F25" w:rsidRPr="003160F8" w:rsidRDefault="00275F25" w:rsidP="00DA7EF2">
            <w:pPr>
              <w:spacing w:line="276" w:lineRule="auto"/>
              <w:jc w:val="left"/>
              <w:rPr>
                <w:rFonts w:ascii="Palatino Linotype" w:hAnsi="Palatino Linotype"/>
                <w:color w:val="auto"/>
                <w:lang w:val="en-GB"/>
              </w:rPr>
            </w:pPr>
          </w:p>
        </w:tc>
        <w:tc>
          <w:tcPr>
            <w:tcW w:w="3098" w:type="dxa"/>
            <w:gridSpan w:val="4"/>
            <w:vMerge/>
            <w:vAlign w:val="center"/>
          </w:tcPr>
          <w:p w14:paraId="3B070508" w14:textId="77777777" w:rsidR="00275F25" w:rsidRPr="003160F8" w:rsidRDefault="00275F25" w:rsidP="00DA7EF2">
            <w:pPr>
              <w:spacing w:line="276" w:lineRule="auto"/>
              <w:jc w:val="left"/>
              <w:rPr>
                <w:rFonts w:ascii="Palatino Linotype" w:hAnsi="Palatino Linotype"/>
                <w:color w:val="auto"/>
                <w:lang w:val="en-GB"/>
              </w:rPr>
            </w:pPr>
          </w:p>
        </w:tc>
        <w:tc>
          <w:tcPr>
            <w:tcW w:w="3119" w:type="dxa"/>
            <w:gridSpan w:val="4"/>
            <w:vMerge/>
            <w:vAlign w:val="center"/>
          </w:tcPr>
          <w:p w14:paraId="1758C792" w14:textId="77777777" w:rsidR="00275F25" w:rsidRPr="003160F8" w:rsidRDefault="00275F25" w:rsidP="00DA7EF2">
            <w:pPr>
              <w:spacing w:line="276" w:lineRule="auto"/>
              <w:jc w:val="left"/>
              <w:rPr>
                <w:rFonts w:ascii="Palatino Linotype" w:hAnsi="Palatino Linotype"/>
                <w:color w:val="auto"/>
                <w:lang w:val="en-GB"/>
              </w:rPr>
            </w:pPr>
          </w:p>
        </w:tc>
        <w:tc>
          <w:tcPr>
            <w:tcW w:w="3053" w:type="dxa"/>
            <w:gridSpan w:val="5"/>
            <w:vMerge/>
            <w:vAlign w:val="center"/>
          </w:tcPr>
          <w:p w14:paraId="43ECE057" w14:textId="77777777" w:rsidR="00275F25" w:rsidRPr="003160F8" w:rsidRDefault="00275F25" w:rsidP="00DA7EF2">
            <w:pPr>
              <w:spacing w:line="276" w:lineRule="auto"/>
              <w:jc w:val="left"/>
              <w:rPr>
                <w:rFonts w:ascii="Palatino Linotype" w:hAnsi="Palatino Linotype"/>
                <w:color w:val="auto"/>
                <w:lang w:val="en-GB"/>
              </w:rPr>
            </w:pPr>
          </w:p>
        </w:tc>
      </w:tr>
      <w:tr w:rsidR="00101347" w:rsidRPr="003160F8" w14:paraId="2504AD64" w14:textId="77777777" w:rsidTr="00E81D25">
        <w:trPr>
          <w:gridAfter w:val="1"/>
          <w:wAfter w:w="150" w:type="dxa"/>
          <w:trHeight w:val="295"/>
          <w:jc w:val="center"/>
        </w:trPr>
        <w:tc>
          <w:tcPr>
            <w:tcW w:w="1360" w:type="dxa"/>
            <w:gridSpan w:val="2"/>
            <w:vAlign w:val="center"/>
          </w:tcPr>
          <w:p w14:paraId="20570C50" w14:textId="77777777" w:rsidR="00275F25" w:rsidRPr="003160F8" w:rsidRDefault="00275F25" w:rsidP="00CE4363">
            <w:pPr>
              <w:pStyle w:val="MDPI42tablebody"/>
              <w:spacing w:line="240" w:lineRule="auto"/>
              <w:rPr>
                <w:color w:val="auto"/>
                <w:sz w:val="16"/>
                <w:szCs w:val="16"/>
                <w:lang w:val="en-GB"/>
              </w:rPr>
            </w:pPr>
            <w:r w:rsidRPr="003160F8">
              <w:rPr>
                <w:color w:val="auto"/>
                <w:sz w:val="16"/>
                <w:szCs w:val="16"/>
                <w:lang w:val="en-GB"/>
              </w:rPr>
              <w:t>REPRO_PL-EP</w:t>
            </w:r>
          </w:p>
        </w:tc>
        <w:tc>
          <w:tcPr>
            <w:tcW w:w="3055" w:type="dxa"/>
            <w:gridSpan w:val="4"/>
            <w:vMerge/>
            <w:vAlign w:val="center"/>
          </w:tcPr>
          <w:p w14:paraId="46802B69" w14:textId="77777777" w:rsidR="00275F25" w:rsidRPr="003160F8" w:rsidRDefault="00275F25" w:rsidP="00DA7EF2">
            <w:pPr>
              <w:spacing w:line="276" w:lineRule="auto"/>
              <w:jc w:val="left"/>
              <w:rPr>
                <w:rFonts w:ascii="Palatino Linotype" w:hAnsi="Palatino Linotype"/>
                <w:color w:val="auto"/>
                <w:lang w:val="en-GB"/>
              </w:rPr>
            </w:pPr>
          </w:p>
        </w:tc>
        <w:tc>
          <w:tcPr>
            <w:tcW w:w="3098" w:type="dxa"/>
            <w:gridSpan w:val="4"/>
            <w:vMerge/>
            <w:vAlign w:val="center"/>
          </w:tcPr>
          <w:p w14:paraId="3E0E2686" w14:textId="77777777" w:rsidR="00275F25" w:rsidRPr="003160F8" w:rsidRDefault="00275F25" w:rsidP="00DA7EF2">
            <w:pPr>
              <w:spacing w:line="276" w:lineRule="auto"/>
              <w:jc w:val="left"/>
              <w:rPr>
                <w:rFonts w:ascii="Palatino Linotype" w:hAnsi="Palatino Linotype"/>
                <w:color w:val="auto"/>
                <w:lang w:val="en-GB"/>
              </w:rPr>
            </w:pPr>
          </w:p>
        </w:tc>
        <w:tc>
          <w:tcPr>
            <w:tcW w:w="3119" w:type="dxa"/>
            <w:gridSpan w:val="4"/>
            <w:vMerge/>
            <w:vAlign w:val="center"/>
          </w:tcPr>
          <w:p w14:paraId="3FE8B22E" w14:textId="77777777" w:rsidR="00275F25" w:rsidRPr="003160F8" w:rsidRDefault="00275F25" w:rsidP="00DA7EF2">
            <w:pPr>
              <w:spacing w:line="276" w:lineRule="auto"/>
              <w:jc w:val="left"/>
              <w:rPr>
                <w:rFonts w:ascii="Palatino Linotype" w:hAnsi="Palatino Linotype"/>
                <w:color w:val="auto"/>
                <w:lang w:val="en-GB"/>
              </w:rPr>
            </w:pPr>
          </w:p>
        </w:tc>
        <w:tc>
          <w:tcPr>
            <w:tcW w:w="3053" w:type="dxa"/>
            <w:gridSpan w:val="5"/>
            <w:vMerge/>
            <w:vAlign w:val="center"/>
          </w:tcPr>
          <w:p w14:paraId="5D085DD5" w14:textId="77777777" w:rsidR="00275F25" w:rsidRPr="003160F8" w:rsidRDefault="00275F25" w:rsidP="00DA7EF2">
            <w:pPr>
              <w:spacing w:line="276" w:lineRule="auto"/>
              <w:jc w:val="left"/>
              <w:rPr>
                <w:rFonts w:ascii="Palatino Linotype" w:hAnsi="Palatino Linotype"/>
                <w:color w:val="auto"/>
                <w:lang w:val="en-GB"/>
              </w:rPr>
            </w:pPr>
          </w:p>
        </w:tc>
      </w:tr>
      <w:tr w:rsidR="00101347" w:rsidRPr="003160F8" w14:paraId="01A2ABF9" w14:textId="77777777" w:rsidTr="00E81D25">
        <w:trPr>
          <w:gridAfter w:val="1"/>
          <w:wAfter w:w="150" w:type="dxa"/>
          <w:trHeight w:val="283"/>
          <w:jc w:val="center"/>
        </w:trPr>
        <w:tc>
          <w:tcPr>
            <w:tcW w:w="1360" w:type="dxa"/>
            <w:gridSpan w:val="2"/>
            <w:vAlign w:val="center"/>
          </w:tcPr>
          <w:p w14:paraId="3F7C9637" w14:textId="77777777" w:rsidR="00275F25" w:rsidRPr="003160F8" w:rsidRDefault="00275F25" w:rsidP="00CE4363">
            <w:pPr>
              <w:pStyle w:val="MDPI42tablebody"/>
              <w:spacing w:line="240" w:lineRule="auto"/>
              <w:rPr>
                <w:color w:val="auto"/>
                <w:sz w:val="16"/>
                <w:szCs w:val="16"/>
                <w:lang w:val="en-GB"/>
              </w:rPr>
            </w:pPr>
            <w:r w:rsidRPr="003160F8">
              <w:rPr>
                <w:color w:val="auto"/>
                <w:sz w:val="16"/>
                <w:szCs w:val="16"/>
                <w:lang w:val="en-GB"/>
              </w:rPr>
              <w:t>ROLO-EP</w:t>
            </w:r>
          </w:p>
        </w:tc>
        <w:tc>
          <w:tcPr>
            <w:tcW w:w="3055" w:type="dxa"/>
            <w:gridSpan w:val="4"/>
            <w:vMerge/>
            <w:vAlign w:val="center"/>
          </w:tcPr>
          <w:p w14:paraId="299BA15C" w14:textId="77777777" w:rsidR="00275F25" w:rsidRPr="003160F8" w:rsidRDefault="00275F25" w:rsidP="00DA7EF2">
            <w:pPr>
              <w:spacing w:line="276" w:lineRule="auto"/>
              <w:jc w:val="left"/>
              <w:rPr>
                <w:rFonts w:ascii="Palatino Linotype" w:hAnsi="Palatino Linotype"/>
                <w:color w:val="auto"/>
                <w:lang w:val="en-GB"/>
              </w:rPr>
            </w:pPr>
          </w:p>
        </w:tc>
        <w:tc>
          <w:tcPr>
            <w:tcW w:w="3098" w:type="dxa"/>
            <w:gridSpan w:val="4"/>
            <w:vMerge/>
            <w:vAlign w:val="center"/>
          </w:tcPr>
          <w:p w14:paraId="528A170B" w14:textId="77777777" w:rsidR="00275F25" w:rsidRPr="003160F8" w:rsidRDefault="00275F25" w:rsidP="00DA7EF2">
            <w:pPr>
              <w:spacing w:line="276" w:lineRule="auto"/>
              <w:jc w:val="left"/>
              <w:rPr>
                <w:rFonts w:ascii="Palatino Linotype" w:hAnsi="Palatino Linotype"/>
                <w:color w:val="auto"/>
                <w:lang w:val="en-GB"/>
              </w:rPr>
            </w:pPr>
          </w:p>
        </w:tc>
        <w:tc>
          <w:tcPr>
            <w:tcW w:w="3119" w:type="dxa"/>
            <w:gridSpan w:val="4"/>
            <w:vMerge/>
            <w:vAlign w:val="center"/>
          </w:tcPr>
          <w:p w14:paraId="16A2EBEC" w14:textId="77777777" w:rsidR="00275F25" w:rsidRPr="003160F8" w:rsidRDefault="00275F25" w:rsidP="00DA7EF2">
            <w:pPr>
              <w:spacing w:line="276" w:lineRule="auto"/>
              <w:jc w:val="left"/>
              <w:rPr>
                <w:rFonts w:ascii="Palatino Linotype" w:hAnsi="Palatino Linotype"/>
                <w:color w:val="auto"/>
                <w:lang w:val="en-GB"/>
              </w:rPr>
            </w:pPr>
          </w:p>
        </w:tc>
        <w:tc>
          <w:tcPr>
            <w:tcW w:w="3053" w:type="dxa"/>
            <w:gridSpan w:val="5"/>
            <w:vMerge/>
            <w:vAlign w:val="center"/>
          </w:tcPr>
          <w:p w14:paraId="034177EF" w14:textId="77777777" w:rsidR="00275F25" w:rsidRPr="003160F8" w:rsidRDefault="00275F25" w:rsidP="00DA7EF2">
            <w:pPr>
              <w:spacing w:line="276" w:lineRule="auto"/>
              <w:jc w:val="left"/>
              <w:rPr>
                <w:rFonts w:ascii="Palatino Linotype" w:hAnsi="Palatino Linotype"/>
                <w:color w:val="auto"/>
                <w:lang w:val="en-GB"/>
              </w:rPr>
            </w:pPr>
          </w:p>
        </w:tc>
      </w:tr>
      <w:tr w:rsidR="00101347" w:rsidRPr="003160F8" w14:paraId="557E798B" w14:textId="77777777" w:rsidTr="00E81D25">
        <w:trPr>
          <w:gridAfter w:val="1"/>
          <w:wAfter w:w="150" w:type="dxa"/>
          <w:trHeight w:val="283"/>
          <w:jc w:val="center"/>
        </w:trPr>
        <w:tc>
          <w:tcPr>
            <w:tcW w:w="1360" w:type="dxa"/>
            <w:gridSpan w:val="2"/>
            <w:vAlign w:val="center"/>
          </w:tcPr>
          <w:p w14:paraId="58AC2003" w14:textId="77777777" w:rsidR="00275F25" w:rsidRPr="003160F8" w:rsidRDefault="00275F25" w:rsidP="00CE4363">
            <w:pPr>
              <w:pStyle w:val="MDPI42tablebody"/>
              <w:spacing w:line="240" w:lineRule="auto"/>
              <w:rPr>
                <w:color w:val="auto"/>
                <w:sz w:val="16"/>
                <w:szCs w:val="16"/>
                <w:lang w:val="en-GB"/>
              </w:rPr>
            </w:pPr>
            <w:r w:rsidRPr="003160F8">
              <w:rPr>
                <w:color w:val="auto"/>
                <w:sz w:val="16"/>
                <w:szCs w:val="16"/>
                <w:lang w:val="en-GB"/>
              </w:rPr>
              <w:t>SWS-PP</w:t>
            </w:r>
          </w:p>
        </w:tc>
        <w:tc>
          <w:tcPr>
            <w:tcW w:w="3055" w:type="dxa"/>
            <w:gridSpan w:val="4"/>
            <w:vMerge/>
            <w:vAlign w:val="center"/>
          </w:tcPr>
          <w:p w14:paraId="5E54F889" w14:textId="77777777" w:rsidR="00275F25" w:rsidRPr="003160F8" w:rsidRDefault="00275F25" w:rsidP="00DA7EF2">
            <w:pPr>
              <w:spacing w:line="276" w:lineRule="auto"/>
              <w:jc w:val="left"/>
              <w:rPr>
                <w:rFonts w:ascii="Palatino Linotype" w:hAnsi="Palatino Linotype"/>
                <w:color w:val="auto"/>
                <w:lang w:val="en-GB"/>
              </w:rPr>
            </w:pPr>
          </w:p>
        </w:tc>
        <w:tc>
          <w:tcPr>
            <w:tcW w:w="3098" w:type="dxa"/>
            <w:gridSpan w:val="4"/>
            <w:vMerge/>
            <w:vAlign w:val="center"/>
          </w:tcPr>
          <w:p w14:paraId="7CCF8A9D" w14:textId="77777777" w:rsidR="00275F25" w:rsidRPr="003160F8" w:rsidRDefault="00275F25" w:rsidP="00DA7EF2">
            <w:pPr>
              <w:spacing w:line="276" w:lineRule="auto"/>
              <w:jc w:val="left"/>
              <w:rPr>
                <w:rFonts w:ascii="Palatino Linotype" w:hAnsi="Palatino Linotype"/>
                <w:color w:val="auto"/>
                <w:lang w:val="en-GB"/>
              </w:rPr>
            </w:pPr>
          </w:p>
        </w:tc>
        <w:tc>
          <w:tcPr>
            <w:tcW w:w="3119" w:type="dxa"/>
            <w:gridSpan w:val="4"/>
            <w:vMerge/>
            <w:vAlign w:val="center"/>
          </w:tcPr>
          <w:p w14:paraId="4105A9FD" w14:textId="77777777" w:rsidR="00275F25" w:rsidRPr="003160F8" w:rsidRDefault="00275F25" w:rsidP="00DA7EF2">
            <w:pPr>
              <w:spacing w:line="276" w:lineRule="auto"/>
              <w:jc w:val="left"/>
              <w:rPr>
                <w:rFonts w:ascii="Palatino Linotype" w:hAnsi="Palatino Linotype"/>
                <w:color w:val="auto"/>
                <w:lang w:val="en-GB"/>
              </w:rPr>
            </w:pPr>
          </w:p>
        </w:tc>
        <w:tc>
          <w:tcPr>
            <w:tcW w:w="3053" w:type="dxa"/>
            <w:gridSpan w:val="5"/>
            <w:vMerge/>
            <w:vAlign w:val="center"/>
          </w:tcPr>
          <w:p w14:paraId="1157199E" w14:textId="77777777" w:rsidR="00275F25" w:rsidRPr="003160F8" w:rsidRDefault="00275F25" w:rsidP="00DA7EF2">
            <w:pPr>
              <w:spacing w:line="276" w:lineRule="auto"/>
              <w:jc w:val="left"/>
              <w:rPr>
                <w:rFonts w:ascii="Palatino Linotype" w:hAnsi="Palatino Linotype"/>
                <w:color w:val="auto"/>
                <w:lang w:val="en-GB"/>
              </w:rPr>
            </w:pPr>
          </w:p>
        </w:tc>
      </w:tr>
      <w:tr w:rsidR="00101347" w:rsidRPr="003160F8" w14:paraId="17E3F319" w14:textId="77777777" w:rsidTr="00E81D25">
        <w:trPr>
          <w:gridAfter w:val="1"/>
          <w:wAfter w:w="150" w:type="dxa"/>
          <w:trHeight w:val="329"/>
          <w:jc w:val="center"/>
        </w:trPr>
        <w:tc>
          <w:tcPr>
            <w:tcW w:w="1360" w:type="dxa"/>
            <w:gridSpan w:val="2"/>
            <w:vAlign w:val="center"/>
          </w:tcPr>
          <w:p w14:paraId="7009BDB5" w14:textId="77777777" w:rsidR="00275F25" w:rsidRPr="003160F8" w:rsidRDefault="00275F25" w:rsidP="00CE4363">
            <w:pPr>
              <w:pStyle w:val="MDPI42tablebody"/>
              <w:spacing w:line="240" w:lineRule="auto"/>
              <w:rPr>
                <w:color w:val="auto"/>
                <w:sz w:val="16"/>
                <w:szCs w:val="16"/>
                <w:lang w:val="en-GB"/>
              </w:rPr>
            </w:pPr>
            <w:r w:rsidRPr="003160F8">
              <w:rPr>
                <w:color w:val="auto"/>
                <w:sz w:val="16"/>
                <w:szCs w:val="16"/>
                <w:lang w:val="en-GB"/>
              </w:rPr>
              <w:t>SWS-EP</w:t>
            </w:r>
          </w:p>
        </w:tc>
        <w:tc>
          <w:tcPr>
            <w:tcW w:w="3055" w:type="dxa"/>
            <w:gridSpan w:val="4"/>
            <w:vMerge/>
            <w:vAlign w:val="center"/>
          </w:tcPr>
          <w:p w14:paraId="40BFBE64" w14:textId="77777777" w:rsidR="00275F25" w:rsidRPr="003160F8" w:rsidRDefault="00275F25" w:rsidP="00DA7EF2">
            <w:pPr>
              <w:spacing w:line="276" w:lineRule="auto"/>
              <w:jc w:val="left"/>
              <w:rPr>
                <w:rFonts w:ascii="Palatino Linotype" w:hAnsi="Palatino Linotype"/>
                <w:color w:val="auto"/>
                <w:lang w:val="en-GB"/>
              </w:rPr>
            </w:pPr>
          </w:p>
        </w:tc>
        <w:tc>
          <w:tcPr>
            <w:tcW w:w="3098" w:type="dxa"/>
            <w:gridSpan w:val="4"/>
            <w:vMerge/>
            <w:vAlign w:val="center"/>
          </w:tcPr>
          <w:p w14:paraId="16F7E310" w14:textId="77777777" w:rsidR="00275F25" w:rsidRPr="003160F8" w:rsidRDefault="00275F25" w:rsidP="00DA7EF2">
            <w:pPr>
              <w:spacing w:line="276" w:lineRule="auto"/>
              <w:jc w:val="left"/>
              <w:rPr>
                <w:rFonts w:ascii="Palatino Linotype" w:hAnsi="Palatino Linotype"/>
                <w:color w:val="auto"/>
                <w:lang w:val="en-GB"/>
              </w:rPr>
            </w:pPr>
          </w:p>
        </w:tc>
        <w:tc>
          <w:tcPr>
            <w:tcW w:w="3119" w:type="dxa"/>
            <w:gridSpan w:val="4"/>
            <w:vMerge/>
            <w:vAlign w:val="center"/>
          </w:tcPr>
          <w:p w14:paraId="3ECEA365" w14:textId="77777777" w:rsidR="00275F25" w:rsidRPr="003160F8" w:rsidRDefault="00275F25" w:rsidP="00DA7EF2">
            <w:pPr>
              <w:spacing w:line="276" w:lineRule="auto"/>
              <w:jc w:val="left"/>
              <w:rPr>
                <w:rFonts w:ascii="Palatino Linotype" w:hAnsi="Palatino Linotype"/>
                <w:color w:val="auto"/>
                <w:lang w:val="en-GB"/>
              </w:rPr>
            </w:pPr>
          </w:p>
        </w:tc>
        <w:tc>
          <w:tcPr>
            <w:tcW w:w="3053" w:type="dxa"/>
            <w:gridSpan w:val="5"/>
            <w:vMerge/>
            <w:vAlign w:val="center"/>
          </w:tcPr>
          <w:p w14:paraId="185F3794" w14:textId="77777777" w:rsidR="00275F25" w:rsidRPr="003160F8" w:rsidRDefault="00275F25" w:rsidP="00DA7EF2">
            <w:pPr>
              <w:spacing w:line="276" w:lineRule="auto"/>
              <w:jc w:val="left"/>
              <w:rPr>
                <w:rFonts w:ascii="Palatino Linotype" w:hAnsi="Palatino Linotype"/>
                <w:color w:val="auto"/>
                <w:lang w:val="en-GB"/>
              </w:rPr>
            </w:pPr>
          </w:p>
        </w:tc>
      </w:tr>
      <w:tr w:rsidR="00101347" w:rsidRPr="003160F8" w14:paraId="1BF4D96A" w14:textId="77777777" w:rsidTr="00E81D25">
        <w:trPr>
          <w:gridAfter w:val="1"/>
          <w:wAfter w:w="150" w:type="dxa"/>
          <w:trHeight w:val="794"/>
          <w:jc w:val="center"/>
        </w:trPr>
        <w:tc>
          <w:tcPr>
            <w:tcW w:w="1360" w:type="dxa"/>
            <w:gridSpan w:val="2"/>
          </w:tcPr>
          <w:p w14:paraId="1EF1C0C1" w14:textId="77777777" w:rsidR="00275F25" w:rsidRPr="003160F8" w:rsidRDefault="00275F25" w:rsidP="00CE4363">
            <w:pPr>
              <w:pStyle w:val="MDPI42tablebody"/>
              <w:spacing w:line="240" w:lineRule="auto"/>
              <w:rPr>
                <w:color w:val="auto"/>
                <w:sz w:val="16"/>
                <w:szCs w:val="16"/>
                <w:lang w:val="en-GB"/>
              </w:rPr>
            </w:pPr>
            <w:r w:rsidRPr="003160F8">
              <w:rPr>
                <w:color w:val="auto"/>
                <w:sz w:val="16"/>
                <w:szCs w:val="16"/>
                <w:lang w:val="en-GB"/>
              </w:rPr>
              <w:t>SWS-LP</w:t>
            </w:r>
          </w:p>
        </w:tc>
        <w:tc>
          <w:tcPr>
            <w:tcW w:w="3055" w:type="dxa"/>
            <w:gridSpan w:val="4"/>
            <w:vMerge/>
            <w:vAlign w:val="center"/>
          </w:tcPr>
          <w:p w14:paraId="3B7C6835" w14:textId="77777777" w:rsidR="00275F25" w:rsidRPr="003160F8" w:rsidRDefault="00275F25" w:rsidP="00DA7EF2">
            <w:pPr>
              <w:spacing w:line="276" w:lineRule="auto"/>
              <w:jc w:val="left"/>
              <w:rPr>
                <w:rFonts w:ascii="Palatino Linotype" w:hAnsi="Palatino Linotype"/>
                <w:color w:val="auto"/>
                <w:lang w:val="en-GB"/>
              </w:rPr>
            </w:pPr>
          </w:p>
        </w:tc>
        <w:tc>
          <w:tcPr>
            <w:tcW w:w="3098" w:type="dxa"/>
            <w:gridSpan w:val="4"/>
            <w:vMerge/>
            <w:vAlign w:val="center"/>
          </w:tcPr>
          <w:p w14:paraId="2EB686A8" w14:textId="77777777" w:rsidR="00275F25" w:rsidRPr="003160F8" w:rsidRDefault="00275F25" w:rsidP="00DA7EF2">
            <w:pPr>
              <w:spacing w:line="276" w:lineRule="auto"/>
              <w:jc w:val="left"/>
              <w:rPr>
                <w:rFonts w:ascii="Palatino Linotype" w:hAnsi="Palatino Linotype"/>
                <w:color w:val="auto"/>
                <w:lang w:val="en-GB"/>
              </w:rPr>
            </w:pPr>
          </w:p>
        </w:tc>
        <w:tc>
          <w:tcPr>
            <w:tcW w:w="3119" w:type="dxa"/>
            <w:gridSpan w:val="4"/>
            <w:vMerge/>
            <w:vAlign w:val="center"/>
          </w:tcPr>
          <w:p w14:paraId="2B58A6DC" w14:textId="77777777" w:rsidR="00275F25" w:rsidRPr="003160F8" w:rsidRDefault="00275F25" w:rsidP="00DA7EF2">
            <w:pPr>
              <w:spacing w:line="276" w:lineRule="auto"/>
              <w:jc w:val="left"/>
              <w:rPr>
                <w:rFonts w:ascii="Palatino Linotype" w:hAnsi="Palatino Linotype"/>
                <w:color w:val="auto"/>
                <w:lang w:val="en-GB"/>
              </w:rPr>
            </w:pPr>
          </w:p>
        </w:tc>
        <w:tc>
          <w:tcPr>
            <w:tcW w:w="3053" w:type="dxa"/>
            <w:gridSpan w:val="5"/>
            <w:vMerge/>
            <w:vAlign w:val="center"/>
          </w:tcPr>
          <w:p w14:paraId="030618DF" w14:textId="77777777" w:rsidR="00275F25" w:rsidRPr="003160F8" w:rsidRDefault="00275F25" w:rsidP="00DA7EF2">
            <w:pPr>
              <w:spacing w:line="276" w:lineRule="auto"/>
              <w:jc w:val="left"/>
              <w:rPr>
                <w:rFonts w:ascii="Palatino Linotype" w:hAnsi="Palatino Linotype"/>
                <w:color w:val="auto"/>
                <w:lang w:val="en-GB"/>
              </w:rPr>
            </w:pPr>
          </w:p>
        </w:tc>
      </w:tr>
      <w:tr w:rsidR="00101347" w:rsidRPr="003160F8" w14:paraId="6C9717DB" w14:textId="77777777" w:rsidTr="00172FCF">
        <w:trPr>
          <w:trHeight w:val="181"/>
          <w:jc w:val="center"/>
        </w:trPr>
        <w:tc>
          <w:tcPr>
            <w:tcW w:w="679" w:type="dxa"/>
            <w:vAlign w:val="center"/>
          </w:tcPr>
          <w:p w14:paraId="1B45660B" w14:textId="77777777" w:rsidR="00275F25" w:rsidRPr="003160F8" w:rsidRDefault="00275F25" w:rsidP="00C87D45">
            <w:pPr>
              <w:pStyle w:val="MDPI42tablebody"/>
              <w:spacing w:line="240" w:lineRule="auto"/>
              <w:rPr>
                <w:color w:val="auto"/>
                <w:sz w:val="16"/>
                <w:szCs w:val="16"/>
                <w:lang w:val="en-GB" w:eastAsia="en-GB"/>
              </w:rPr>
            </w:pPr>
          </w:p>
        </w:tc>
        <w:tc>
          <w:tcPr>
            <w:tcW w:w="681" w:type="dxa"/>
            <w:vAlign w:val="center"/>
          </w:tcPr>
          <w:p w14:paraId="506876C2" w14:textId="77777777" w:rsidR="00275F25" w:rsidRPr="003160F8" w:rsidRDefault="00275F25" w:rsidP="00C87D45">
            <w:pPr>
              <w:pStyle w:val="MDPI42tablebody"/>
              <w:spacing w:line="240" w:lineRule="auto"/>
              <w:rPr>
                <w:color w:val="auto"/>
                <w:sz w:val="16"/>
                <w:szCs w:val="16"/>
                <w:lang w:val="en-GB" w:eastAsia="en-GB"/>
              </w:rPr>
            </w:pPr>
          </w:p>
        </w:tc>
        <w:tc>
          <w:tcPr>
            <w:tcW w:w="680" w:type="dxa"/>
            <w:vAlign w:val="center"/>
          </w:tcPr>
          <w:p w14:paraId="52A0C43F" w14:textId="77777777" w:rsidR="00275F25" w:rsidRPr="003160F8" w:rsidRDefault="00275F25" w:rsidP="00C87D45">
            <w:pPr>
              <w:pStyle w:val="MDPI42tablebody"/>
              <w:spacing w:line="240" w:lineRule="auto"/>
              <w:rPr>
                <w:color w:val="auto"/>
                <w:sz w:val="16"/>
                <w:szCs w:val="16"/>
                <w:lang w:val="en-GB" w:eastAsia="en-GB"/>
              </w:rPr>
            </w:pPr>
          </w:p>
        </w:tc>
        <w:tc>
          <w:tcPr>
            <w:tcW w:w="680" w:type="dxa"/>
            <w:vAlign w:val="center"/>
          </w:tcPr>
          <w:p w14:paraId="7C958192" w14:textId="77777777" w:rsidR="00275F25" w:rsidRPr="003160F8" w:rsidRDefault="00275F25" w:rsidP="00C87D45">
            <w:pPr>
              <w:pStyle w:val="MDPI42tablebody"/>
              <w:spacing w:line="240" w:lineRule="auto"/>
              <w:rPr>
                <w:color w:val="auto"/>
                <w:sz w:val="16"/>
                <w:szCs w:val="16"/>
                <w:lang w:val="en-GB" w:eastAsia="en-GB"/>
              </w:rPr>
            </w:pPr>
          </w:p>
        </w:tc>
        <w:tc>
          <w:tcPr>
            <w:tcW w:w="1360" w:type="dxa"/>
            <w:tcBorders>
              <w:right w:val="single" w:sz="4" w:space="0" w:color="auto"/>
            </w:tcBorders>
            <w:vAlign w:val="center"/>
          </w:tcPr>
          <w:p w14:paraId="0E98B255" w14:textId="77777777" w:rsidR="00275F25" w:rsidRPr="003160F8" w:rsidRDefault="00275F25" w:rsidP="00C87D45">
            <w:pPr>
              <w:pStyle w:val="MDPI42tablebody"/>
              <w:spacing w:line="240" w:lineRule="auto"/>
              <w:rPr>
                <w:color w:val="auto"/>
                <w:sz w:val="16"/>
                <w:szCs w:val="16"/>
                <w:lang w:val="en-GB" w:eastAsia="en-GB"/>
              </w:rPr>
            </w:pPr>
            <w:r w:rsidRPr="003160F8">
              <w:rPr>
                <w:color w:val="auto"/>
                <w:sz w:val="16"/>
                <w:szCs w:val="16"/>
                <w:lang w:val="en-GB"/>
              </w:rPr>
              <w:t xml:space="preserve">          </w:t>
            </w:r>
          </w:p>
        </w:tc>
        <w:tc>
          <w:tcPr>
            <w:tcW w:w="6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E16C3" w14:textId="77777777" w:rsidR="00275F25" w:rsidRPr="003160F8" w:rsidRDefault="00275F25" w:rsidP="00C87D45">
            <w:pPr>
              <w:pStyle w:val="MDPI42tablebody"/>
              <w:spacing w:line="240" w:lineRule="auto"/>
              <w:rPr>
                <w:color w:val="auto"/>
                <w:sz w:val="16"/>
                <w:szCs w:val="16"/>
                <w:lang w:val="en-GB" w:eastAsia="en-GB"/>
              </w:rPr>
            </w:pPr>
          </w:p>
        </w:tc>
        <w:tc>
          <w:tcPr>
            <w:tcW w:w="1360" w:type="dxa"/>
            <w:tcBorders>
              <w:left w:val="single" w:sz="4" w:space="0" w:color="auto"/>
              <w:right w:val="single" w:sz="4" w:space="0" w:color="auto"/>
            </w:tcBorders>
            <w:vAlign w:val="center"/>
          </w:tcPr>
          <w:p w14:paraId="38BBECF0" w14:textId="77777777" w:rsidR="00275F25" w:rsidRPr="003160F8" w:rsidRDefault="00275F25" w:rsidP="00172FCF">
            <w:pPr>
              <w:pStyle w:val="MDPI42tablebody"/>
              <w:spacing w:line="240" w:lineRule="auto"/>
              <w:jc w:val="left"/>
              <w:rPr>
                <w:color w:val="auto"/>
                <w:sz w:val="16"/>
                <w:szCs w:val="16"/>
                <w:lang w:val="en-GB" w:eastAsia="en-GB"/>
              </w:rPr>
            </w:pPr>
            <w:r w:rsidRPr="003160F8">
              <w:rPr>
                <w:color w:val="auto"/>
                <w:sz w:val="16"/>
                <w:szCs w:val="16"/>
                <w:lang w:val="en-GB"/>
              </w:rPr>
              <w:t xml:space="preserve">Quintile 2    &lt;           </w:t>
            </w:r>
          </w:p>
        </w:tc>
        <w:tc>
          <w:tcPr>
            <w:tcW w:w="6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C7D9293" w14:textId="77777777" w:rsidR="00275F25" w:rsidRPr="003160F8" w:rsidRDefault="00275F25" w:rsidP="00C87D45">
            <w:pPr>
              <w:pStyle w:val="MDPI42tablebody"/>
              <w:spacing w:line="240" w:lineRule="auto"/>
              <w:rPr>
                <w:color w:val="auto"/>
                <w:sz w:val="16"/>
                <w:szCs w:val="16"/>
                <w:lang w:val="en-GB" w:eastAsia="en-GB"/>
              </w:rPr>
            </w:pPr>
          </w:p>
        </w:tc>
        <w:tc>
          <w:tcPr>
            <w:tcW w:w="1359" w:type="dxa"/>
            <w:gridSpan w:val="2"/>
            <w:tcBorders>
              <w:left w:val="single" w:sz="4" w:space="0" w:color="auto"/>
              <w:right w:val="single" w:sz="4" w:space="0" w:color="auto"/>
            </w:tcBorders>
            <w:vAlign w:val="center"/>
          </w:tcPr>
          <w:p w14:paraId="186CCDA6" w14:textId="77777777" w:rsidR="00275F25" w:rsidRPr="003160F8" w:rsidRDefault="00275F25" w:rsidP="00172FCF">
            <w:pPr>
              <w:pStyle w:val="MDPI42tablebody"/>
              <w:spacing w:line="240" w:lineRule="auto"/>
              <w:jc w:val="left"/>
              <w:rPr>
                <w:color w:val="auto"/>
                <w:sz w:val="16"/>
                <w:szCs w:val="16"/>
                <w:lang w:val="en-GB" w:eastAsia="en-GB"/>
              </w:rPr>
            </w:pPr>
            <w:r w:rsidRPr="003160F8">
              <w:rPr>
                <w:color w:val="auto"/>
                <w:sz w:val="16"/>
                <w:szCs w:val="16"/>
                <w:lang w:val="en-GB"/>
              </w:rPr>
              <w:t xml:space="preserve">Quintile 3    &lt;           </w:t>
            </w:r>
          </w:p>
        </w:tc>
        <w:tc>
          <w:tcPr>
            <w:tcW w:w="68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11A0E48" w14:textId="77777777" w:rsidR="00275F25" w:rsidRPr="003160F8" w:rsidRDefault="00275F25" w:rsidP="00C87D45">
            <w:pPr>
              <w:pStyle w:val="MDPI42tablebody"/>
              <w:spacing w:line="240" w:lineRule="auto"/>
              <w:rPr>
                <w:color w:val="auto"/>
                <w:sz w:val="16"/>
                <w:szCs w:val="16"/>
                <w:lang w:val="en-GB" w:eastAsia="en-GB"/>
              </w:rPr>
            </w:pPr>
          </w:p>
        </w:tc>
        <w:tc>
          <w:tcPr>
            <w:tcW w:w="1360" w:type="dxa"/>
            <w:tcBorders>
              <w:left w:val="single" w:sz="4" w:space="0" w:color="auto"/>
            </w:tcBorders>
            <w:vAlign w:val="center"/>
          </w:tcPr>
          <w:p w14:paraId="7FA2A3BD" w14:textId="43674091" w:rsidR="00275F25" w:rsidRPr="003160F8" w:rsidRDefault="00275F25" w:rsidP="00172FCF">
            <w:pPr>
              <w:pStyle w:val="MDPI42tablebody"/>
              <w:spacing w:line="240" w:lineRule="auto"/>
              <w:jc w:val="left"/>
              <w:rPr>
                <w:color w:val="auto"/>
                <w:sz w:val="16"/>
                <w:szCs w:val="16"/>
                <w:vertAlign w:val="superscript"/>
                <w:lang w:val="en-GB" w:eastAsia="en-GB"/>
              </w:rPr>
            </w:pPr>
            <w:r w:rsidRPr="003160F8">
              <w:rPr>
                <w:color w:val="auto"/>
                <w:sz w:val="16"/>
                <w:szCs w:val="16"/>
                <w:lang w:val="en-GB"/>
              </w:rPr>
              <w:t>Quintile 4</w:t>
            </w:r>
            <w:r w:rsidR="00C73C94" w:rsidRPr="003160F8">
              <w:rPr>
                <w:color w:val="auto"/>
                <w:sz w:val="16"/>
                <w:szCs w:val="16"/>
                <w:lang w:val="en-GB"/>
              </w:rPr>
              <w:t xml:space="preserve"> </w:t>
            </w:r>
            <w:r w:rsidR="003F0A90" w:rsidRPr="003160F8">
              <w:rPr>
                <w:color w:val="auto"/>
                <w:sz w:val="16"/>
                <w:szCs w:val="16"/>
                <w:vertAlign w:val="superscript"/>
                <w:lang w:val="en-GB"/>
              </w:rPr>
              <w:t>1</w:t>
            </w:r>
          </w:p>
        </w:tc>
        <w:tc>
          <w:tcPr>
            <w:tcW w:w="680" w:type="dxa"/>
            <w:gridSpan w:val="2"/>
            <w:vAlign w:val="center"/>
          </w:tcPr>
          <w:p w14:paraId="1D7083B9" w14:textId="77777777" w:rsidR="00275F25" w:rsidRPr="003160F8" w:rsidRDefault="00275F25" w:rsidP="00C87D45">
            <w:pPr>
              <w:pStyle w:val="MDPI42tablebody"/>
              <w:spacing w:line="240" w:lineRule="auto"/>
              <w:rPr>
                <w:color w:val="auto"/>
                <w:sz w:val="16"/>
                <w:szCs w:val="16"/>
                <w:lang w:val="en-GB" w:eastAsia="en-GB"/>
              </w:rPr>
            </w:pPr>
          </w:p>
        </w:tc>
        <w:tc>
          <w:tcPr>
            <w:tcW w:w="1360" w:type="dxa"/>
            <w:vAlign w:val="center"/>
          </w:tcPr>
          <w:p w14:paraId="0079FFA4" w14:textId="77777777" w:rsidR="00275F25" w:rsidRPr="003160F8" w:rsidRDefault="00275F25" w:rsidP="00C87D45">
            <w:pPr>
              <w:pStyle w:val="MDPI42tablebody"/>
              <w:spacing w:line="240" w:lineRule="auto"/>
              <w:rPr>
                <w:color w:val="auto"/>
                <w:sz w:val="16"/>
                <w:szCs w:val="16"/>
                <w:lang w:val="en-GB" w:eastAsia="en-GB"/>
              </w:rPr>
            </w:pPr>
          </w:p>
        </w:tc>
        <w:tc>
          <w:tcPr>
            <w:tcW w:w="680" w:type="dxa"/>
            <w:vAlign w:val="center"/>
          </w:tcPr>
          <w:p w14:paraId="6350E93A" w14:textId="77777777" w:rsidR="00275F25" w:rsidRPr="003160F8" w:rsidRDefault="00275F25" w:rsidP="00C87D45">
            <w:pPr>
              <w:pStyle w:val="MDPI42tablebody"/>
              <w:spacing w:line="240" w:lineRule="auto"/>
              <w:rPr>
                <w:color w:val="auto"/>
                <w:sz w:val="16"/>
                <w:szCs w:val="16"/>
                <w:lang w:val="en-GB" w:eastAsia="en-GB"/>
              </w:rPr>
            </w:pPr>
          </w:p>
        </w:tc>
        <w:tc>
          <w:tcPr>
            <w:tcW w:w="680" w:type="dxa"/>
            <w:vAlign w:val="center"/>
          </w:tcPr>
          <w:p w14:paraId="32104E2F" w14:textId="77777777" w:rsidR="00275F25" w:rsidRPr="003160F8" w:rsidRDefault="00275F25" w:rsidP="00C87D45">
            <w:pPr>
              <w:pStyle w:val="MDPI42tablebody"/>
              <w:spacing w:line="240" w:lineRule="auto"/>
              <w:rPr>
                <w:color w:val="auto"/>
                <w:sz w:val="16"/>
                <w:szCs w:val="16"/>
                <w:lang w:val="en-GB" w:eastAsia="en-GB"/>
              </w:rPr>
            </w:pPr>
          </w:p>
        </w:tc>
        <w:tc>
          <w:tcPr>
            <w:tcW w:w="236" w:type="dxa"/>
            <w:gridSpan w:val="2"/>
            <w:vAlign w:val="center"/>
          </w:tcPr>
          <w:p w14:paraId="36942689" w14:textId="77777777" w:rsidR="00275F25" w:rsidRPr="003160F8" w:rsidRDefault="00275F25" w:rsidP="00C87D45">
            <w:pPr>
              <w:pStyle w:val="MDPI42tablebody"/>
              <w:spacing w:line="240" w:lineRule="auto"/>
              <w:rPr>
                <w:color w:val="auto"/>
                <w:sz w:val="16"/>
                <w:szCs w:val="16"/>
                <w:lang w:val="en-GB" w:eastAsia="en-GB"/>
              </w:rPr>
            </w:pPr>
          </w:p>
        </w:tc>
      </w:tr>
      <w:tr w:rsidR="00101347" w:rsidRPr="003160F8" w14:paraId="3AE1FB18" w14:textId="77777777" w:rsidTr="00C73C94">
        <w:trPr>
          <w:gridAfter w:val="1"/>
          <w:wAfter w:w="150" w:type="dxa"/>
          <w:jc w:val="center"/>
        </w:trPr>
        <w:tc>
          <w:tcPr>
            <w:tcW w:w="13685" w:type="dxa"/>
            <w:gridSpan w:val="19"/>
            <w:vAlign w:val="center"/>
          </w:tcPr>
          <w:p w14:paraId="7B7B0E56" w14:textId="77777777" w:rsidR="00275F25" w:rsidRPr="003160F8" w:rsidRDefault="00275F25" w:rsidP="00C87D45">
            <w:pPr>
              <w:pStyle w:val="MDPI42tablebody"/>
              <w:spacing w:line="240" w:lineRule="auto"/>
              <w:rPr>
                <w:color w:val="auto"/>
                <w:sz w:val="8"/>
                <w:szCs w:val="8"/>
                <w:lang w:val="en-GB" w:eastAsia="en-GB"/>
              </w:rPr>
            </w:pPr>
          </w:p>
        </w:tc>
      </w:tr>
    </w:tbl>
    <w:p w14:paraId="4A8CA517" w14:textId="188A913C" w:rsidR="00E925B8" w:rsidRPr="003160F8" w:rsidRDefault="00C73C94" w:rsidP="00C73C94">
      <w:pPr>
        <w:pStyle w:val="MDPI51figurecaption"/>
        <w:rPr>
          <w:sz w:val="16"/>
          <w:szCs w:val="16"/>
          <w:lang w:val="en-GB"/>
        </w:rPr>
      </w:pPr>
      <w:r w:rsidRPr="003160F8">
        <w:rPr>
          <w:b/>
          <w:lang w:val="en-GB"/>
        </w:rPr>
        <w:t>Figure 2.</w:t>
      </w:r>
      <w:r w:rsidR="00E925B8" w:rsidRPr="003160F8">
        <w:rPr>
          <w:b/>
          <w:lang w:val="en-GB"/>
        </w:rPr>
        <w:t xml:space="preserve"> </w:t>
      </w:r>
      <w:r w:rsidR="00E925B8" w:rsidRPr="003160F8">
        <w:rPr>
          <w:lang w:val="en-GB"/>
        </w:rPr>
        <w:t>Maternal daily frequency consumption (in quintile) of the eight DASH food components by time point and cohort</w:t>
      </w:r>
      <w:r w:rsidR="00CD1B07" w:rsidRPr="003160F8">
        <w:rPr>
          <w:vertAlign w:val="superscript"/>
          <w:lang w:val="en-GB"/>
        </w:rPr>
        <w:t>1</w:t>
      </w:r>
      <w:r w:rsidR="00E925B8" w:rsidRPr="003160F8">
        <w:rPr>
          <w:lang w:val="en-GB"/>
        </w:rPr>
        <w:t xml:space="preserve"> in ALPHABET.</w:t>
      </w:r>
      <w:r w:rsidRPr="003160F8">
        <w:rPr>
          <w:lang w:val="en-GB"/>
        </w:rPr>
        <w:t xml:space="preserve"> </w:t>
      </w:r>
      <w:r w:rsidRPr="003160F8">
        <w:rPr>
          <w:sz w:val="16"/>
          <w:szCs w:val="16"/>
          <w:lang w:val="en-GB" w:eastAsia="fr-FR"/>
        </w:rPr>
        <w:t xml:space="preserve">PP: pre-pregnancy, EP: early pregnancy, LP: late pregnancy. </w:t>
      </w:r>
      <w:r w:rsidRPr="003160F8">
        <w:rPr>
          <w:sz w:val="16"/>
          <w:szCs w:val="16"/>
          <w:lang w:val="en-GB"/>
        </w:rPr>
        <w:t xml:space="preserve">Generation R data are only available in amount and thus not presented. </w:t>
      </w:r>
      <w:r w:rsidRPr="003160F8">
        <w:rPr>
          <w:color w:val="auto"/>
          <w:sz w:val="16"/>
          <w:szCs w:val="16"/>
          <w:vertAlign w:val="superscript"/>
          <w:lang w:val="en-GB"/>
        </w:rPr>
        <w:t>1</w:t>
      </w:r>
      <w:r w:rsidRPr="003160F8">
        <w:rPr>
          <w:color w:val="auto"/>
          <w:sz w:val="16"/>
          <w:szCs w:val="16"/>
          <w:lang w:val="en-GB"/>
        </w:rPr>
        <w:t xml:space="preserve"> The quintile</w:t>
      </w:r>
      <w:r w:rsidR="00FA2F9A">
        <w:rPr>
          <w:color w:val="auto"/>
          <w:sz w:val="16"/>
          <w:szCs w:val="16"/>
          <w:lang w:val="en-GB"/>
        </w:rPr>
        <w:t>s</w:t>
      </w:r>
      <w:r w:rsidRPr="003160F8">
        <w:rPr>
          <w:color w:val="auto"/>
          <w:sz w:val="16"/>
          <w:szCs w:val="16"/>
          <w:lang w:val="en-GB"/>
        </w:rPr>
        <w:t xml:space="preserve"> 1 and 5 spread from the minimum to the quintile 2 limit and from the quintile 4 limit to the maximum, respectively. Maximum observed </w:t>
      </w:r>
      <w:r w:rsidR="00FA2F9A">
        <w:rPr>
          <w:color w:val="auto"/>
          <w:sz w:val="16"/>
          <w:szCs w:val="16"/>
          <w:lang w:val="en-GB"/>
        </w:rPr>
        <w:t>is</w:t>
      </w:r>
      <w:r w:rsidR="00FA2F9A" w:rsidRPr="003160F8">
        <w:rPr>
          <w:color w:val="auto"/>
          <w:sz w:val="16"/>
          <w:szCs w:val="16"/>
          <w:lang w:val="en-GB"/>
        </w:rPr>
        <w:t xml:space="preserve"> </w:t>
      </w:r>
      <w:r w:rsidRPr="003160F8">
        <w:rPr>
          <w:color w:val="auto"/>
          <w:sz w:val="16"/>
          <w:szCs w:val="16"/>
          <w:lang w:val="en-GB"/>
        </w:rPr>
        <w:t xml:space="preserve">likely to exceed x-abscissa and </w:t>
      </w:r>
      <w:r w:rsidR="00FA2F9A">
        <w:rPr>
          <w:color w:val="auto"/>
          <w:sz w:val="16"/>
          <w:szCs w:val="16"/>
          <w:lang w:val="en-GB"/>
        </w:rPr>
        <w:t>is</w:t>
      </w:r>
      <w:r w:rsidR="00FA2F9A" w:rsidRPr="003160F8">
        <w:rPr>
          <w:color w:val="auto"/>
          <w:sz w:val="16"/>
          <w:szCs w:val="16"/>
          <w:lang w:val="en-GB"/>
        </w:rPr>
        <w:t xml:space="preserve"> </w:t>
      </w:r>
      <w:r w:rsidRPr="003160F8">
        <w:rPr>
          <w:color w:val="auto"/>
          <w:sz w:val="16"/>
          <w:szCs w:val="16"/>
          <w:lang w:val="en-GB"/>
        </w:rPr>
        <w:t>not necessary the maximum presented in abscissa axis.</w:t>
      </w:r>
    </w:p>
    <w:p w14:paraId="10A632DC" w14:textId="77777777" w:rsidR="00743772" w:rsidRPr="003160F8" w:rsidRDefault="00743772" w:rsidP="00A372E8">
      <w:pPr>
        <w:pStyle w:val="MDPI51figurecaption"/>
        <w:rPr>
          <w:color w:val="auto"/>
          <w:lang w:val="en-GB"/>
        </w:rPr>
        <w:sectPr w:rsidR="00743772" w:rsidRPr="003160F8" w:rsidSect="00A24516">
          <w:pgSz w:w="16838" w:h="11906" w:orient="landscape" w:code="9"/>
          <w:pgMar w:top="1531" w:right="1417" w:bottom="1531" w:left="1077" w:header="1020" w:footer="850" w:gutter="0"/>
          <w:cols w:space="425"/>
          <w:docGrid w:type="lines" w:linePitch="326"/>
        </w:sectPr>
      </w:pPr>
    </w:p>
    <w:p w14:paraId="52F9CAAF" w14:textId="2ACA465F" w:rsidR="002549C8" w:rsidRPr="003160F8" w:rsidRDefault="00A33971" w:rsidP="00A33971">
      <w:pPr>
        <w:pStyle w:val="MDPI21heading1"/>
        <w:rPr>
          <w:lang w:val="en-GB"/>
        </w:rPr>
      </w:pPr>
      <w:r w:rsidRPr="003160F8">
        <w:rPr>
          <w:lang w:val="en-GB"/>
        </w:rPr>
        <w:t xml:space="preserve">4. </w:t>
      </w:r>
      <w:r w:rsidR="002549C8" w:rsidRPr="003160F8">
        <w:rPr>
          <w:lang w:val="en-GB"/>
        </w:rPr>
        <w:t>Discussion</w:t>
      </w:r>
    </w:p>
    <w:p w14:paraId="53E16E38" w14:textId="77777777" w:rsidR="0049147C" w:rsidRPr="003160F8" w:rsidRDefault="0049147C" w:rsidP="00A33971">
      <w:pPr>
        <w:pStyle w:val="MDPI31text"/>
        <w:rPr>
          <w:lang w:val="en-GB"/>
        </w:rPr>
      </w:pPr>
      <w:r w:rsidRPr="003160F8">
        <w:rPr>
          <w:lang w:val="en-GB"/>
        </w:rPr>
        <w:t>We derived DASH scores for pregnant women from seven European birth cohorts after harmonising data from FFQs of various lengths and degrees of detail. We encountered scientific and methodological issues that led us to adapt previously published DASH scores to specificities of the cohorts included in the ALPHABET consortium. The DASH score that we developed relied on eight food components and ranged from 8 to 40 points. A higher score characterizes a higher dietary quality.</w:t>
      </w:r>
    </w:p>
    <w:p w14:paraId="0A4E4199" w14:textId="60BFB53B" w:rsidR="00444938" w:rsidRPr="003160F8" w:rsidRDefault="00A33971" w:rsidP="00A33971">
      <w:pPr>
        <w:pStyle w:val="MDPI22heading2"/>
        <w:rPr>
          <w:noProof w:val="0"/>
          <w:lang w:val="en-GB"/>
        </w:rPr>
      </w:pPr>
      <w:r w:rsidRPr="003160F8">
        <w:rPr>
          <w:noProof w:val="0"/>
          <w:lang w:val="en-GB"/>
        </w:rPr>
        <w:t xml:space="preserve">4.1. </w:t>
      </w:r>
      <w:r w:rsidR="00444938" w:rsidRPr="003160F8">
        <w:rPr>
          <w:noProof w:val="0"/>
          <w:lang w:val="en-GB"/>
        </w:rPr>
        <w:t xml:space="preserve">Harmonisation </w:t>
      </w:r>
      <w:r w:rsidR="00C73C94" w:rsidRPr="003160F8">
        <w:rPr>
          <w:noProof w:val="0"/>
          <w:lang w:val="en-GB"/>
        </w:rPr>
        <w:t>Process Choices</w:t>
      </w:r>
    </w:p>
    <w:p w14:paraId="77374998" w14:textId="77777777" w:rsidR="00444938" w:rsidRPr="003160F8" w:rsidRDefault="00444938" w:rsidP="00A33971">
      <w:pPr>
        <w:pStyle w:val="MDPI31text"/>
        <w:rPr>
          <w:lang w:val="en-GB"/>
        </w:rPr>
      </w:pPr>
      <w:r w:rsidRPr="003160F8">
        <w:rPr>
          <w:lang w:val="en-GB"/>
        </w:rPr>
        <w:t xml:space="preserve">Several studies have previously successfully harmonised dietary data from diverse sources and cohorts </w:t>
      </w:r>
      <w:r w:rsidRPr="003160F8">
        <w:rPr>
          <w:lang w:val="en-GB"/>
        </w:rPr>
        <w:fldChar w:fldCharType="begin"/>
      </w:r>
      <w:r w:rsidR="00534555" w:rsidRPr="003160F8">
        <w:rPr>
          <w:lang w:val="en-GB"/>
        </w:rPr>
        <w:instrText xml:space="preserve"> ADDIN ZOTERO_ITEM CSL_CITATION {"citationID":"VR0VsIvv","properties":{"formattedCitation":"(20,21,47\\uc0\\u8211{}50)","plainCitation":"(20,21,47–50)","noteIndex":0},"citationItems":[{"id":230,"uris":["http://zotero.org/users/4872814/items/7RJPIZBJ"],"uri":["http://zotero.org/users/4872814/items/7RJPIZBJ"],"itemData":{"id":230,"type":"article-journal","title":"A comparative analysis of dietary intakes during pregnancy in Europe: a planned pooled analysis of birth cohort studies","container-title":"The American Journal of Clinical Nutrition","page":"1993S-1999S","volume":"94","issue":"6 Suppl","source":"PubMed","abstract":"BACKGROUND: There is growing evidence that despite the absence of marked deficiencies, diet during pregnancy has important implications for maternal and child health in industrialized countries. At present, relatively little is known about prevailing patterns of intake across groups with diverse sociodemographic and lifestyle patterns in these settings.\nOBJECTIVES: The aims of this study were to develop methods for the standardization of food group intake data and to describe the process of applying these methods to existing pregnancy cohort studies, which included &gt;200,000 women across Europe.\nDESIGN: The study developed a detailed standardization protocol to harmonize intakes of selected food groups, which included fruit, vegetables, meats, seafood, and dairy products. Standardization is necessary to facilitate valid comparisons of intake patterns and disparities across countries and will lead to the development of harmonized databases for possible future pooled analyses.\nRESULTS: On the basis of comparisons with previously coordinated multicountry studies, preliminary data suggest that the standardization process yielded sufficiently comparable intake data, which indicate differences in food cultures across the countries that participated.\nCONCLUSIONS: This project provides lessons on the feasibility of harmonizing dietary intake data from existing studies, which can be applied in future post hoc standardization efforts. The data yielded in this analysis will also provide useful information for the development of food and nutrition policies for pregnant women in Europe, including the identification of population subgroups in which dietary inadequacies during pregnancy may be widespread.","DOI":"10.3945/ajcn.110.001164","ISSN":"1938-3207","note":"PMID: 21974890\nPMCID: PMC3742009","title-short":"A comparative analysis of dietary intakes during pregnancy in Europe","journalAbbreviation":"Am. J. Clin. Nutr.","language":"eng","author":[{"family":"Mendez","given":"Michelle A."},{"family":"Kogevinas","given":"Manolis"}],"issued":{"date-parts":[["2011",12]]}}},{"id":231,"uris":["http://zotero.org/users/4872814/items/QNC4UMYJ"],"uri":["http://zotero.org/users/4872814/items/QNC4UMYJ"],"itemData":{"id":231,"type":"article-journal","title":"Possibilities and considerations when merging dietary data from the world's two largest pregnancy cohorts: the Danish National Birth Cohort and the Norwegian Mother and Child Cohort Study","container-title":"Acta Obstetricia Et Gynecologica Scandinavica","page":"1131-1140","volume":"93","issue":"11","source":"PubMed","abstract":"OBJECTIVES: To elucidate the research possibilities when merging data on maternal diet from the Danish National Birth Cohort (DNBC) and the Norwegian Mother and Child Cohort Study (MoBa), through comparison of (i) the methodology used for dietary assessment and (ii) the estimated intake of selected food groups in the two cohorts.\nDESIGN: Qualitative and quantitative comparison of the two dietary databases.\nSETTING: Two national prospective pregnancy cohorts.\nPOPULATION: Denmark, Norway.\nMETHODS: Comparison of food intake using food frequency questionnaires (FFQs).\nRESULTS: The FFQs had overlapping time windows and a majority of the questions in the two FFQs were comparable. Calculation principles shared similar features, including the software used and use of global questions to calibrate intakes of different food groups. A total of 63 food groups were defined that could be compared across the two cohorts; these were further aggregated down to 31 broader groups. A comparison of food intakes (grams/d) showed 39, 74 and 141% lower daily intakes of fish, potatoes and rice, respectively, in DNBC vs. MoBa and 39, 54 and 65% higher daily intakes of milk, butter and potatoes in DNBC vs. MoBa. For most other food groups, differences in consumption data were below 20%.\nCONCLUSIONS: The two FFQs are to a large extent compatible and substantial differences in dietary habits were observed between the two cohorts. This may strengthen studies using pooled analysis to examine diet-disease relations. This is a conclusion of great importance given the colossal and costly task involved to establish each of these two cohorts.","DOI":"10.1111/aogs.12513","ISSN":"1600-0412","note":"PMID: 25250851","title-short":"Possibilities and considerations when merging dietary data from the world's two largest pregnancy cohorts","journalAbbreviation":"Acta Obstet Gynecol Scand","language":"eng","author":[{"family":"Olsen","given":"Sjurdur F."},{"family":"Birgisdottir","given":"Bryndis Eva"},{"family":"Halldorsson","given":"Thorhallur I."},{"family":"Brantsaeter","given":"Anne Lise"},{"family":"Haugen","given":"Margaretha"},{"family":"Torjusen","given":"Hanne"},{"family":"Petersen","given":"Sesilje B."},{"family":"Strøm","given":"Marin"},{"family":"Meltzer","given":"Helle Margrete"}],"issued":{"date-parts":[["2014",11]]}}},{"id":228,"uris":["http://zotero.org/users/4872814/items/K4PBGH6K"],"uri":["http://zotero.org/users/4872814/items/K4PBGH6K"],"itemData":{"id":228,"type":"article-journal","title":"Dietary patterns in six european populations: results from EURALIM, a collaborative European data harmonization and information campaign","container-title":"European Journal of Clinical Nutrition","page":"253-262","volume":"54","issue":"3","source":"PubMed","abstract":"OBJECTIVE: To determine and describe the extent to which European dietary data collected in disparate surveys can be meaningfully compared.\nDESIGN: Seven independent population-based surveys from six European countries were initially included. Differences in study designs and methodological approaches were examined. Risk factor data for 31,289 adults aged 40-59 y were harmonized and pooled in a common, centralized database.\nRESULTS: Direct comparisons of dietary measures across studies were not deemed appropriate due to methodological heterogeneity. Nonetheless, comparisons of intra-population contrasts by gender across sites were considered valid. Women consumed fruit and vegetables more often than men. Age-standardized gender differences in the prevalence of low fruit and vegetable consumption ranged from 7 to 18% and 5 to 15%, respectively. Data on energy intake showed good agreement across study populations. The proportion of total energy from macronutrients was similar for women and men. Gender differences for relative intakes of saturated fatty acids (percentage energy) were small and only in France were they significant. Dietary fibre density was significantly higher in women than in men. Overall, the participating Southern European populations from Italy and Spain exhibited more healthful food composition patterns.\nCONCLUSIONS: Contrasts in dietary patterns by gender across populations may provide the basis for health promotion campaigns. The most favourable patterns observed may serve as attainable goals for other populations. An international risk factor surveillance programme based upon locally run, good quality studies has the potential to provide the needed data.\nSPONSORSHIP: European Community (DG V), project 96CVVF3-446-0; Swiss Federal Office for Education and Science, OFES 96.0089.","ISSN":"0954-3007","note":"PMID: 10713749","title-short":"Dietary patterns in six european populations","journalAbbreviation":"Eur J Clin Nutr","language":"eng","author":[{"family":"Beer-Borst","given":"S."},{"family":"Hercberg","given":"S."},{"family":"Morabia","given":"A."},{"family":"Bernstein","given":"M. S."},{"family":"Galan","given":"P."},{"family":"Galasso","given":"R."},{"family":"Giampaoli","given":"S."},{"family":"McCrum","given":"E."},{"family":"Panico","given":"S."},{"family":"Preziosi","given":"P."},{"family":"Ribas","given":"L."},{"family":"Serra-Majem","given":"L."},{"family":"Vescio","given":"M. F."},{"family":"Vitek","given":"O."},{"family":"Yarnell","given":"J."},{"family":"Northridge","given":"M. E."}],"issued":{"date-parts":[["2000",3]]}}},{"id":227,"uris":["http://zotero.org/users/4872814/items/XRJUA7X4"],"uri":["http://zotero.org/users/4872814/items/XRJUA7X4"],"itemData":{"id":227,"type":"article-journal","title":"A systematic review of socio-economic differences in food habits in Europe: consumption of fruit and vegetables","container-title":"European Journal of Clinical Nutrition","page":"706-714","volume":"54","issue":"9","source":"PubMed","abstract":"OBJECTIVE: To evaluate the differences in the consumption of fruit and vegetables between groups with different socio-economic status (SES) in the adult population of European countries.\nDESIGN: A systematic review of published and unpublished surveys of food habits conducted between 1985 and 1999 in 15 European countries. Educational level and occupational status were used as indicators of SES. A pooled estimate of the mean difference between the highest and the lowest level of education and occupation was calculated separately for men and women, using DerSimonian and Laird's random effects model.\nSETTING: The inclusion criteria of studies were: use of a validated method for assessing intake at the individual level; selection of a nationwide sample or a representative sample of a region; and providing the mean and standard deviation of overall fruit and vegetable consumption for each level of education or occupation, and separately for men and women.\nSUBJECTS: Participants in the individual surveys had to be adults (18-85 y).\nRESULTS: Eleven studies from seven countries met the criteria for being included in the meta-analysis. A higher SES was associated with a greater consumption of both fruit and vegetables. The pooled estimate of the difference in the intake of fruit was 24.3 g/person/day (95% confidence interval (CI) 14.0-34.7) between men in the highest level of education and those in the lowest level of education. Similarly, this difference was 33.6 g/person/day for women (95% CI 22.5-44.8). The differences regarding vegetables were 17.0 g/person/day (95% CI 8.6-25.5) for men and 13.4 g/person/day (95% CI 7.1-19.7) for women. The results were in the same direction when occupation instead of education was used as an indicator of SES.\nCONCLUSIONS: Although we cannot exclude over-reporting of intake by those with highest SES, it is unlikely that this potential bias could fully explain the differences we have found. Our results suggest that an unhealthier nutrition pattern may exist among adults belonging to lower socio-economic levels in Europe.\nSPONSORSHIP: The present study was supported by the European Union's FAIR programme (FAIR-97-3096).","ISSN":"0954-3007","note":"PMID: 11002383","title-short":"A systematic review of socio-economic differences in food habits in Europe","journalAbbreviation":"Eur J Clin Nutr","language":"eng","author":[{"family":"Irala-Estévez","given":"J. D."},{"family":"Groth","given":"M."},{"family":"Johansson","given":"L."},{"family":"Oltersdorf","given":"U."},{"family":"Prättälä","given":"R."},{"family":"Martínez-González","given":"M. A."}],"issued":{"date-parts":[["2000",9]]}}},{"id":229,"uris":["http://zotero.org/users/4872814/items/J8PFTRIH"],"uri":["http://zotero.org/users/4872814/items/J8PFTRIH"],"itemData":{"id":229,"type":"article-journal","title":"Improvement of comparability of dietary intake assessment using currently available individual food consumption surveys","container-title":"European Journal of Clinical Nutrition","page":"S18-24","volume":"56 Suppl 2","source":"PubMed","abstract":"BACKGROUND: Food consumption data are used for monitoring dietary indicators of health. In this context, there is a need for comparable (individual) data at the European level. The preference is to perform a pan-European survey able to generate data collected on the same basis. Until this can be realized, the existing data have to be made as comparable as possible.\nOBJECTIVE: To identify solutions; to make existing food consumption data from nationally representative databases more comparable.\nMETHODS: General guidelines for the comparison of food intake data using currently available data were discussed and agreed upon in the EFCOSUM project team.\nRESULTS AND CONCLUSIONS: Criteria were assessed with regard to the population involved, age of the survey, method of data collection, duration of the survey, the food classification system and the food composition tbl Based on these criteria, a maximum of 15 countries could provide food consumption data that can be made comparable at the individual level for the adult population. It is recommended to make data comparable at the food level, starting with vegetables (excluding potatoes), fruits (excluding fruit juices), fish (including shellfish) and bread. Comparability of foods is only possible at the 'raw edible' ingredient level. To achieve this, a large amount of work has to be undertaken. The approach of the EFG (Euro Food Groups) system is considered to be the best compromise between the different classification systems. Comparability at the nutrient level has to wait for the availability of a European Nutrient Database, like the one that is being developed within the EPIC context.","DOI":"10.1038/sj.ejcn.1601425","ISSN":"0954-3007","note":"PMID: 12082514","journalAbbreviation":"Eur J Clin Nutr","language":"eng","author":[{"family":"Verger","given":"Ph"},{"family":"Ireland","given":"J."},{"family":"Møller","given":"A."},{"family":"Abravicius","given":"J. A."},{"family":"De Henauw","given":"S."},{"family":"Naska","given":"A."},{"literal":"EFCOSUM Group"}],"issued":{"date-parts":[["2002",5]]}}},{"id":245,"uris":["http://zotero.org/users/4872814/items/QQF3FIIW"],"uri":["http://zotero.org/users/4872814/items/QQF3FIIW"],"itemData":{"id":245,"type":"article-journal","title":"Harmonization of Food-Frequency Questionnaires and Dietary Pattern Analysis in 4 Ethnically Diverse Birth Cohorts","container-title":"The Journal of Nutrition","page":"2343-2350","volume":"146","issue":"11","source":"PubMed","abstract":"BACKGROUND: Canada is an ethnically diverse nation, which introduces challenges for health care providers tasked with providing evidence-based dietary advice.\nOBJECTIVES: We aimed to harmonize food-frequency questionnaires (FFQs) across 4 birth cohorts of ethnically diverse pregnant women to derive robust dietary patterns to investigate maternal and newborn outcomes.\nMETHODS: The NutriGen Alliance comprises 4 prospective birth cohorts and includes 4880 Canadian mother-infant pairs of predominantly white European [CHILD (Canadian Healthy Infant Longitudinal Development) and FAMILY (Family Atherosclerosis Monitoring In earLY life)], South Asian [START (SouTh Asian birth cohoRT)-Canada], or Aboriginal [ABC (Aboriginal Birth Cohort)] origins. CHILD used a multiethnic FFQ based on a previously validated instrument designed by the Fred Hutchinson Cancer Research Center, whereas FAMILY, START, and ABC used questionnaires specifically designed for use in white European, South Asian, and Aboriginal people, respectively. The serving sizes and consumption frequencies of individual food items within the 4 FFQs were harmonized and aggregated into 36 common food groups. Principal components analysis was used to identify dietary patterns that were internally validated against self-reported vegetarian status and externally validated against a modified Alternative Healthy Eating Index (mAHEI).\nRESULTS: Three maternal dietary patterns were identified-\"plant-based,\" \"Western,\" and \"health-conscious\"-which collectively explained 29% of the total variability in eating habits observed in the NutriGen Alliance. These patterns were strongly associated with self-reported vegetarian status (OR: 3.85; 95% CI: 3.47, 4.29; r2 = 0.30, P &lt; 0.001; for a plant-based diet), and average adherence to the plant-based diet was higher in participants in the fourth quartile of the mAHEI than in the first quartile (mean difference: 46.1%; r2 = 0.81, P &lt; 0.001).\nCONCLUSION: Dietary data collected by using FFQs from ethnically diverse pregnant women can be harmonized to identify common dietary patterns to investigate associations between maternal dietary intake and health outcomes.","DOI":"10.3945/jn.116.236729","ISSN":"1541-6100","note":"PMID: 27708121","journalAbbreviation":"J. Nutr.","language":"eng","author":[{"family":"Souza","given":"Russell J.","non-dropping-particle":"de"},{"family":"Zulyniak","given":"Michael A."},{"family":"Desai","given":"Dipika"},{"family":"Shaikh","given":"Mateen R."},{"family":"Campbell","given":"Natalie C."},{"family":"Lefebvre","given":"Diana L."},{"family":"Gupta","given":"Milan"},{"family":"Wilson","given":"Julie"},{"family":"Wahi","given":"Gita"},{"family":"Atkinson","given":"Stephanie A."},{"family":"Teo","given":"Koon K."},{"family":"Subbarao","given":"Padmaja"},{"family":"Becker","given":"Allan B."},{"family":"Mandhane","given":"Piushkumar J."},{"family":"Turvey","given":"Stuart E."},{"family":"Sears","given":"Malcolm R."},{"family":"Anand","given":"Sonia S."},{"literal":"NutriGen Alliance Investigators"}],"issued":{"date-parts":[["2016",11]]}}}],"schema":"https://github.com/citation-style-language/schema/raw/master/csl-citation.json"} </w:instrText>
      </w:r>
      <w:r w:rsidRPr="003160F8">
        <w:rPr>
          <w:lang w:val="en-GB"/>
        </w:rPr>
        <w:fldChar w:fldCharType="separate"/>
      </w:r>
      <w:r w:rsidR="001122B9" w:rsidRPr="003160F8">
        <w:rPr>
          <w:szCs w:val="24"/>
          <w:lang w:val="en-GB"/>
        </w:rPr>
        <w:t>[</w:t>
      </w:r>
      <w:r w:rsidR="00534555" w:rsidRPr="003160F8">
        <w:rPr>
          <w:szCs w:val="24"/>
          <w:lang w:val="en-GB"/>
        </w:rPr>
        <w:t>20,21,47–50</w:t>
      </w:r>
      <w:r w:rsidR="001122B9" w:rsidRPr="003160F8">
        <w:rPr>
          <w:szCs w:val="24"/>
          <w:lang w:val="en-GB"/>
        </w:rPr>
        <w:t>]</w:t>
      </w:r>
      <w:r w:rsidRPr="003160F8">
        <w:rPr>
          <w:lang w:val="en-GB"/>
        </w:rPr>
        <w:fldChar w:fldCharType="end"/>
      </w:r>
      <w:r w:rsidRPr="003160F8">
        <w:rPr>
          <w:lang w:val="en-GB"/>
        </w:rPr>
        <w:t>, demonstrating that retrospective harmonisation is possible. To the best of our knowledge, our study was the first to derive a DASH score from FFQs of different lengths and details across multiple distinct cohorts. Harmonising data was, however, not without challenges.</w:t>
      </w:r>
    </w:p>
    <w:p w14:paraId="1F0F4335" w14:textId="6B007622" w:rsidR="00444938" w:rsidRPr="003160F8" w:rsidRDefault="00444938" w:rsidP="00A33971">
      <w:pPr>
        <w:pStyle w:val="MDPI31text"/>
        <w:rPr>
          <w:lang w:val="en-GB"/>
        </w:rPr>
      </w:pPr>
      <w:r w:rsidRPr="003160F8">
        <w:rPr>
          <w:lang w:val="en-GB"/>
        </w:rPr>
        <w:t xml:space="preserve">First, several versions of the DASH score have been used in the literature with large differences in food components included and in scoring criteria </w:t>
      </w:r>
      <w:r w:rsidRPr="003160F8">
        <w:rPr>
          <w:lang w:val="en-GB"/>
        </w:rPr>
        <w:fldChar w:fldCharType="begin"/>
      </w:r>
      <w:r w:rsidRPr="003160F8">
        <w:rPr>
          <w:lang w:val="en-GB"/>
        </w:rPr>
        <w:instrText xml:space="preserve"> ADDIN ZOTERO_ITEM CSL_CITATION {"citationID":"aCtODaFR","properties":{"formattedCitation":"(38,39)","plainCitation":"(38,39)","noteIndex":0},"citationItems":[{"id":50,"uris":["http://zotero.org/users/4872814/items/W7WBG34X"],"uri":["http://zotero.org/users/4872814/items/W7WBG34X"],"itemData":{"id":50,"type":"article-journal","title":"Compliance with the Dietary Approaches to Stop Hypertension (DASH) Diet: A Systematic Review","container-title":"PLoS ONE","volume":"8","issue":"10","source":"PubMed Central","abstract":"Background\nThe Dietary Approaches to Stop Hypertension (DASH) diet has been recognized as effective to lower blood pressure in feeding trials, but compliance with the diet must be persistent to maximize health benefits in clinical practice. This paper reports a systematic review of the latest evidence on the method to assess DASH compliance and the corresponding patients' compliance in interventional settings.\n\nMethods\nThe databases including MEDLINE, EBM Reviews, EMBASE, and CINAHL Plus were searched for original research studies published in the period of January 1992- December 2012 that evaluated compliance with DASH diet. Studies written in English language, with DASH intervention, with complete documentation of the degree of DASH compliance and the assessment method used were included in this review. The search terms included: dietary approaches to stop hypertension, DASH, compliance, adherence, consistency, and concordance.\n\nResults\nNine studies were included. Different types of interventions were identified, ranging from feeding trial to dietary counseling. These studies differed in the assessment methods used to evaluate DASH compliance, which included objective approaches like measurement of urinary excretion, and subjective approaches like dietary intake assessment for DASH target comparison and construction of DASH scoring systems. Compliance levels were lower in educational interventions than that of the original DASH feeding trial.\n\nConclusions\nTo conclude, although no consensus existed regarding the best approach to assess DASH compliance, its suboptimal compliance warrants attention. This study implied a need to investigate effective approaches to sustain the DASH dietary pattern beyond counselling alone.","URL":"https://www.ncbi.nlm.nih.gov/pmc/articles/PMC3813594/","DOI":"10.1371/journal.pone.0078412","ISSN":"1932-6203","note":"PMID: 24205227\nPMCID: PMC3813594","title-short":"Compliance with the Dietary Approaches to Stop Hypertension (DASH) Diet","journalAbbreviation":"PLoS One","author":[{"family":"Kwan","given":"Mandy Wing-Man"},{"family":"Wong","given":"Martin Chi-Sang"},{"family":"Wang","given":"Harry Hao-Xiang"},{"family":"Liu","given":"Kirin Qi-Lin"},{"family":"Lee","given":"Catherine Lok-Sze"},{"family":"Yan","given":"Bryan Ping-Yen"},{"family":"Yu","given":"Cheuk-Man"},{"family":"Griffiths","given":"Sian Meryl"}],"issued":{"date-parts":[["2013",10,30]]}}},{"id":54,"uris":["http://zotero.org/users/4872814/items/3U884ZR5"],"uri":["http://zotero.org/users/4872814/items/3U884ZR5"],"itemData":{"id":54,"type":"article-journal","title":"Comparison of 4 established DASH diet indexes: examining associations of index scores and colorectal cancer","container-title":"The American Journal of Clinical Nutrition","page":"794-803","volume":"98","issue":"3","source":"PubMed","abstract":"BACKGROUND: Multiple diet indexes have been developed to capture the Dietary Approaches to Stop Hypertension (DASH) dietary pattern and examine relations with health outcomes but have not been compared within the same study population to our knowledge.\nOBJECTIVE: We compared 4 established DASH indexes and examined associations with colorectal cancer.\nDESIGN: Scores were generated from a food-frequency questionnaire in the NIH-AARP Diet and Health Study (n = 491,841). Separate indexes defined by Dixon (7 food groups, saturated fat, and alcohol), Mellen (9 nutrients), Fung (7 food groups and sodium), and Günther (8 food groups) were used. HRs and 95% CIs for colorectal cancer were generated by using Cox proportional hazard models.\nRESULTS: From 1995 through 2006, 6752 incident colorectal cancer cases were ascertained. In men, higher scores were associated with reduced colorectal cancer incidence by comparing highest to lowest quintiles for all indexes as follows: Dixon (HR: 0.77; 95% CI: 0.69, 0.87), Mellen (HR: 0.78; 95% CI: 0.71, 0.86), Fung (HR: 0.75; 95% CI: 0.68, 0.83), and Günther (HR: 0.81; 95% CI: 0.74, 0.90). Higher scores in women were inversely associated with colorectal cancer incidence by using methods defined by Mellen (HR: 0.79; 95% CI: 0.68, 0.91), Fung (HR: 0.84; 95% CI: 0.73, 0.96), and Günther (HR: 0.84; 95% CI: 0.73.0.97) but not Dixon (HR: 1.01; 95% CI: 0.80, 1.28).\nCONCLUSION: The consistency in findings, particularly in men, suggests that all indexes capture an underlying construct inherent in the DASH dietary pattern, although the specific index used can affect results.","DOI":"10.3945/ajcn.113.063602","ISSN":"1938-3207","note":"PMID: 23864539\nPMCID: PMC3743737","title-short":"Comparison of 4 established DASH diet indexes","journalAbbreviation":"Am. J. Clin. Nutr.","language":"eng","author":[{"family":"Miller","given":"Paige E."},{"family":"Cross","given":"Amanda J."},{"family":"Subar","given":"Amy F."},{"family":"Krebs-Smith","given":"Susan M."},{"family":"Park","given":"Yikyung"},{"family":"Powell-Wiley","given":"Tiffany"},{"family":"Hollenbeck","given":"Albert"},{"family":"Reedy","given":"Jill"}],"issued":{"date-parts":[["2013",9]]}}}],"schema":"https://github.com/citation-style-language/schema/raw/master/csl-citation.json"} </w:instrText>
      </w:r>
      <w:r w:rsidRPr="003160F8">
        <w:rPr>
          <w:lang w:val="en-GB"/>
        </w:rPr>
        <w:fldChar w:fldCharType="separate"/>
      </w:r>
      <w:r w:rsidR="001122B9" w:rsidRPr="003160F8">
        <w:rPr>
          <w:lang w:val="en-GB"/>
        </w:rPr>
        <w:t>[</w:t>
      </w:r>
      <w:r w:rsidR="00534555" w:rsidRPr="003160F8">
        <w:rPr>
          <w:lang w:val="en-GB"/>
        </w:rPr>
        <w:t>38,39</w:t>
      </w:r>
      <w:r w:rsidR="001122B9" w:rsidRPr="003160F8">
        <w:rPr>
          <w:lang w:val="en-GB"/>
        </w:rPr>
        <w:t>]</w:t>
      </w:r>
      <w:r w:rsidRPr="003160F8">
        <w:rPr>
          <w:lang w:val="en-GB"/>
        </w:rPr>
        <w:fldChar w:fldCharType="end"/>
      </w:r>
      <w:r w:rsidRPr="003160F8">
        <w:rPr>
          <w:lang w:val="en-GB"/>
        </w:rPr>
        <w:t xml:space="preserve">. Indeed, some published indices were nutrient-based </w:t>
      </w:r>
      <w:r w:rsidRPr="003160F8">
        <w:rPr>
          <w:lang w:val="en-GB"/>
        </w:rPr>
        <w:fldChar w:fldCharType="begin"/>
      </w:r>
      <w:r w:rsidR="00534555" w:rsidRPr="003160F8">
        <w:rPr>
          <w:lang w:val="en-GB"/>
        </w:rPr>
        <w:instrText xml:space="preserve"> ADDIN ZOTERO_ITEM CSL_CITATION {"citationID":"9WPDu3re","properties":{"formattedCitation":"(51)","plainCitation":"(51)","noteIndex":0},"citationItems":[{"id":66,"uris":["http://zotero.org/users/4872814/items/QSNBIK97"],"uri":["http://zotero.org/users/4872814/items/QSNBIK97"],"itemData":{"id":66,"type":"article-journal","title":"Deteriorating dietary habits among adults with hypertension: DASH dietary accordance, NHANES 1988-1994 and 1999-2004","container-title":"Archives of Internal Medicine","page":"308-314","volume":"168","issue":"3","source":"PubMed","abstract":"BACKGROUND: Although the DASH (Dietary Approaches to Stop Hypertension trial) diet is among the therapeutic lifestyle changes recommended for individuals with hypertension (HTN), accordance with the DASH diet is not known.\nMETHODS: Using data from the National Health and Nutrition Examination Survey (NHANES) from the 1988-1994 and 1999-2004 periods, DASH accordance among individuals with self-reported HTN was estimated based on 9 nutrient targets (fat, saturated fat, protein, cholesterol, fiber, magnesium, calcium, sodium, and potassium) (score range, 0-9). Using data from 1999-2004, we compared the DASH score among demographic groups in age- and energy-adjusted models and modeled the odds of a DASH-accordant dietary pattern (&gt;or=4.5) using multivariable logistic regression. The DASH score, DASH accordance, and percentage of participants achieving individual targets were compared with estimates from NHANES 1988-1994 data.\nRESULTS: Based on 4386 participants with known HTN in the recent survey period (1999-2004), the mean (SE) DASH score, after adjustment for age and energy intake, was 2.92 (0.05), with 19.4% (1.2%) classified as DASH accordant. In multivariable logistic regression models, DASH accordance was associated with older age, nonblack ethnicity, higher education, and known diabetes mellitus. Accordance with DASH was 7.3% lower in the recent survey period compared with NHANES 1988-1994 (26.7% [1.1%]) (P &lt; .001), reflecting fewer patients with HTN meeting nutrient targets for total fat, fiber, and magnesium.\nCONCLUSION: The dietary profile of adults with HTN in the United States has a low accordance with the DASH dietary pattern, and the dietary quality of adults with HTN has deteriorated since the introduction of the DASH diet, suggesting that secular trends have minimized the impact of the DASH message.","DOI":"10.1001/archinternmed.2007.119","ISSN":"0003-9926","note":"PMID: 18268173","title-short":"Deteriorating dietary habits among adults with hypertension","journalAbbreviation":"Arch. Intern. Med.","language":"eng","author":[{"family":"Mellen","given":"Philip B."},{"family":"Gao","given":"Sue K."},{"family":"Vitolins","given":"Mara Z."},{"family":"Goff","given":"David C."}],"issued":{"date-parts":[["2008",2,11]]}}}],"schema":"https://github.com/citation-style-language/schema/raw/master/csl-citation.json"} </w:instrText>
      </w:r>
      <w:r w:rsidRPr="003160F8">
        <w:rPr>
          <w:lang w:val="en-GB"/>
        </w:rPr>
        <w:fldChar w:fldCharType="separate"/>
      </w:r>
      <w:r w:rsidR="001122B9" w:rsidRPr="003160F8">
        <w:rPr>
          <w:lang w:val="en-GB"/>
        </w:rPr>
        <w:t>[</w:t>
      </w:r>
      <w:r w:rsidR="00534555" w:rsidRPr="003160F8">
        <w:rPr>
          <w:lang w:val="en-GB"/>
        </w:rPr>
        <w:t>51</w:t>
      </w:r>
      <w:r w:rsidR="001122B9" w:rsidRPr="003160F8">
        <w:rPr>
          <w:lang w:val="en-GB"/>
        </w:rPr>
        <w:t>]</w:t>
      </w:r>
      <w:r w:rsidRPr="003160F8">
        <w:rPr>
          <w:lang w:val="en-GB"/>
        </w:rPr>
        <w:fldChar w:fldCharType="end"/>
      </w:r>
      <w:r w:rsidRPr="003160F8">
        <w:rPr>
          <w:lang w:val="en-GB"/>
        </w:rPr>
        <w:t xml:space="preserve"> while others had a food group-based approach that considered eight </w:t>
      </w:r>
      <w:r w:rsidRPr="003160F8">
        <w:rPr>
          <w:lang w:val="en-GB"/>
        </w:rPr>
        <w:fldChar w:fldCharType="begin"/>
      </w:r>
      <w:r w:rsidRPr="003160F8">
        <w:rPr>
          <w:lang w:val="en-GB"/>
        </w:rPr>
        <w:instrText xml:space="preserve"> ADDIN ZOTERO_ITEM CSL_CITATION {"citationID":"KHVGOKgO","properties":{"formattedCitation":"(10)","plainCitation":"(10)","noteIndex":0},"citationItems":[{"id":293,"uris":["http://zotero.org/users/4872814/items/ACQ92NBP"],"uri":["http://zotero.org/users/4872814/items/ACQ92NBP"],"itemData":{"id":293,"type":"article-journal","title":"Adherence to a DASH-style diet and risk of coronary heart disease and stroke in women","container-title":"Archives of Internal Medicine","page":"713-720","volume":"168","issue":"7","source":"PubMed","abstract":"BACKGROUND: The Dietary Approaches to Stop Hypertension (DASH) diet has been shown to lower blood pressure, but little is known about its long-term effect on cardiovascular end points. Our objective was to assess the association between a DASH-style diet adherence score and risk of coronary heart disease (CHD) and stroke in women.\nMETHODS: In this prospective cohort study, diet was assessed 7 times during 24 years of follow-up (1980-2004) with validated food frequency questionnaires. A DASH score based on 8 food and nutrient components (fruits, vegetables, whole grains, nuts and legumes, low-fat dairy, red and processed meats, sweetened beverages, and sodium) was calculated. Lifestyle and medical information was collected biennially with a questionnaire. The Cox proportional hazard model was used to adjust for potential confounders. The study population comprised 88,517 female nurses aged 34 to 59 years without a history of cardiovascular disease or diabetes in 1980. The main outcome measures were the numbers of confirmed incident cases of nonfatal myocardial infarction, CHD death, and stroke.\nRESULTS: We documented 2129 cases of incident nonfatal myocardial infarction, 976 CHD deaths, and 2317 [corrected] cases of stroke. After adjustment for age, smoking, and other cardiovascular risk factors, the relative risks of CHD across quintiles of the DASH score were 1.0, 0.99, 0.86, 0.87, and 0.76 (95% confidence interval, 0.67-0.85) (P&lt;.001 for trend). The magnitude of risk difference was similar for nonfatal myocardial infarction and fatal CHD. The DASH score was also significantly associated with lower risk of stroke (multivariate relative risks across quintiles of the DASH score were 1.0, 0.92, 0.91, 0.89, and 0.82) (P=.002 for trend). Cross-sectional analysis in a subgroup of women with blood samples showed that the DASH score was significantly associated with lower plasma levels of C-reactive protein (P=.008 for trend) and interleukin 6 (P=.04 for trend).\nCONCLUSION: Adherence to the DASH-style diet is associated with a lower risk of CHD and stroke among middle-aged women during 24 years of follow-up.","DOI":"10.1001/archinte.168.7.713","ISSN":"0003-9926","note":"PMID: 18413553","journalAbbreviation":"Arch. Intern. Med.","language":"eng","author":[{"family":"Fung","given":"Teresa T."},{"family":"Chiuve","given":"Stephanie E."},{"family":"McCullough","given":"Marjorie L."},{"family":"Rexrode","given":"Kathryn M."},{"family":"Logroscino","given":"Giancarlo"},{"family":"Hu","given":"Frank B."}],"issued":{"date-parts":[["2008",4,14]]}}}],"schema":"https://github.com/citation-style-language/schema/raw/master/csl-citation.json"} </w:instrText>
      </w:r>
      <w:r w:rsidRPr="003160F8">
        <w:rPr>
          <w:lang w:val="en-GB"/>
        </w:rPr>
        <w:fldChar w:fldCharType="separate"/>
      </w:r>
      <w:r w:rsidR="001122B9" w:rsidRPr="003160F8">
        <w:rPr>
          <w:lang w:val="en-GB"/>
        </w:rPr>
        <w:t>[</w:t>
      </w:r>
      <w:r w:rsidR="00534555" w:rsidRPr="003160F8">
        <w:rPr>
          <w:lang w:val="en-GB"/>
        </w:rPr>
        <w:t>10</w:t>
      </w:r>
      <w:r w:rsidR="001122B9" w:rsidRPr="003160F8">
        <w:rPr>
          <w:lang w:val="en-GB"/>
        </w:rPr>
        <w:t>]</w:t>
      </w:r>
      <w:r w:rsidRPr="003160F8">
        <w:rPr>
          <w:lang w:val="en-GB"/>
        </w:rPr>
        <w:fldChar w:fldCharType="end"/>
      </w:r>
      <w:r w:rsidRPr="003160F8">
        <w:rPr>
          <w:lang w:val="en-GB"/>
        </w:rPr>
        <w:t xml:space="preserve">, nine </w:t>
      </w:r>
      <w:r w:rsidRPr="003160F8">
        <w:rPr>
          <w:lang w:val="en-GB"/>
        </w:rPr>
        <w:fldChar w:fldCharType="begin"/>
      </w:r>
      <w:r w:rsidR="00534555" w:rsidRPr="003160F8">
        <w:rPr>
          <w:lang w:val="en-GB"/>
        </w:rPr>
        <w:instrText xml:space="preserve"> ADDIN ZOTERO_ITEM CSL_CITATION {"citationID":"WmIcbVT2","properties":{"formattedCitation":"(52)","plainCitation":"(52)","noteIndex":0},"citationItems":[{"id":296,"uris":["http://zotero.org/users/4872814/items/3WK7ABNH"],"uri":["http://zotero.org/users/4872814/items/3WK7ABNH"],"itemData":{"id":296,"type":"article-journal","title":"Sociodemographic, health and lifestyle predictors of poor diets","container-title":"Public Health Nutrition","page":"2166-2175","volume":"14","issue":"12","source":"PubMed","abstract":"OBJECTIVE: Poor-quality diet, regarded as an important contributor to health inequalities, is linked to adverse health outcomes. We investigated sociodemographic and lifestyle predictors of poor-quality diet in a population sample.\nDESIGN: A cross-sectional analysis of the Survey of Lifestyle, Attitudes and Nutrition (SLÁN). Diet was assessed using an FFQ (n 9223, response rate = 89%), from which a dietary score (the DASH (Dietary Approaches to Stop Hypertension) score) was constructed.\nSETTING: General population of the Republic of Ireland.\nSUBJECTS: The SLÁN survey is a two-stage clustered sample of 10,364 individuals aged 18 years.\nRESULTS: Adjusting for age and gender, a number of sociodemographic, lifestyle and health-related variables were associated with poor-quality diet: social class, education, marital status, social support, food poverty (FP), smoking status, alcohol consumption, underweight and self-perceived general health. These associations persisted when adjusted for age, gender and social class. They were not significantly altered in the multivariate analysis, although the association with social support was attenuated and that with FP was borderline significant (OR = 1·2, 95% CI 1·03, 1·45). A classical U-shaped relationship between alcohol consumption and dietary quality was observed. Dietary quality was associated with social class, educational attainment, FP and related core determinants of health.\nCONCLUSIONS: The extent to which social inequalities in health can be explained by socially determined differences in dietary intake is probably underestimated. The use of composite dietary quality scores such as the DASH score to address the issue of confounding by diet in the relationship between alcohol consumption and health merits further study.","DOI":"10.1017/S136898001100098X","ISSN":"1475-2727","note":"PMID: 21729473","journalAbbreviation":"Public Health Nutr","language":"eng","author":[{"family":"Harrington","given":"Janas"},{"family":"Fitzgerald","given":"Anthony P."},{"family":"Layte","given":"Richard"},{"family":"Lutomski","given":"Jennifer"},{"family":"Molcho","given":"Michal"},{"family":"Perry","given":"Ivan J."}],"issued":{"date-parts":[["2011",12]]}}}],"schema":"https://github.com/citation-style-language/schema/raw/master/csl-citation.json"} </w:instrText>
      </w:r>
      <w:r w:rsidRPr="003160F8">
        <w:rPr>
          <w:lang w:val="en-GB"/>
        </w:rPr>
        <w:fldChar w:fldCharType="separate"/>
      </w:r>
      <w:r w:rsidR="001122B9" w:rsidRPr="003160F8">
        <w:rPr>
          <w:lang w:val="en-GB"/>
        </w:rPr>
        <w:t>[</w:t>
      </w:r>
      <w:r w:rsidR="00534555" w:rsidRPr="003160F8">
        <w:rPr>
          <w:lang w:val="en-GB"/>
        </w:rPr>
        <w:t>52</w:t>
      </w:r>
      <w:r w:rsidR="001122B9" w:rsidRPr="003160F8">
        <w:rPr>
          <w:lang w:val="en-GB"/>
        </w:rPr>
        <w:t>]</w:t>
      </w:r>
      <w:r w:rsidRPr="003160F8">
        <w:rPr>
          <w:lang w:val="en-GB"/>
        </w:rPr>
        <w:fldChar w:fldCharType="end"/>
      </w:r>
      <w:r w:rsidRPr="003160F8">
        <w:rPr>
          <w:lang w:val="en-GB"/>
        </w:rPr>
        <w:t xml:space="preserve">, ten </w:t>
      </w:r>
      <w:r w:rsidRPr="003160F8">
        <w:rPr>
          <w:lang w:val="en-GB"/>
        </w:rPr>
        <w:fldChar w:fldCharType="begin"/>
      </w:r>
      <w:r w:rsidR="00534555" w:rsidRPr="003160F8">
        <w:rPr>
          <w:lang w:val="en-GB"/>
        </w:rPr>
        <w:instrText xml:space="preserve"> ADDIN ZOTERO_ITEM CSL_CITATION {"citationID":"veTtxvCL","properties":{"formattedCitation":"(53)","plainCitation":"(53)","noteIndex":0},"citationItems":[{"id":69,"uris":["http://zotero.org/users/4872814/items/3DK5K273"],"uri":["http://zotero.org/users/4872814/items/3DK5K273"],"itemData":{"id":69,"type":"article-journal","title":"Determinants and Consequences of Adherence to the DASH Diet in African American and White Adults with High Blood Pressure: Results from the ENCORE Trial","container-title":"Journal of the Academy of Nutrition and Dietetics","page":"1763-1773","volume":"112","issue":"11","source":"PubMed Central","abstract":"Background\nAlthough the DASH (Dietary Approaches to Stop Hypertension) diet is an accepted non-pharmacologic treatment for hypertension, little is known about what patient characteristics affect dietary adherence and what level of adherence is needed to reduce blood pressure (BP).\n\nObjective\nTo determine what factors predict dietary adherence and the extent to which dietary adherence is necessary to produce clinically meaningful BP reductions.\n\nDesign\nAncillary study of the ENCORE trial-- a 16-week randomized clinical trial of diet and exercise.\n\nParticipants/setting\nParticipants included 144 sedentary, overweight or obese adults (BMI’s 25-39.9 kg/m2) with high BP (systolic BP 130-159 and/or diastolic BP 85-99 mm Hg).\n\nIntervention\nPatients were randomized to one of 3 groups: DASH diet alone (DASH-A), DASH diet plus weight management (DASH+WM), and Usual diet controls (UC).\n\nMain outcome measures\nOur primary outcomes were a composite index of adherence to the DASH diet and clinic BP.\n\nStatistical analyses performed\nGeneral linear models were used to compare treatment groups on post-treatment adherence to the DASH diet. Linear regression was used to examine potential predictors of post-treatment DASH adherence. Analysis of covariance (ANCOVA) was used to examine the relation of adherence to the DASH diet and BP.\n\nResults\nParticipants in the DASH+WM (16.1 SBP [95% CI = 13.0, 19.2], 9.9 DBP [95% CI = 8.1, 11.6] mm Hg) and DASH+A (11.2 SBP [95% CI = 8.1, 14.3], 7.5 DBP [95% CI = 5.8, 9.3] mm Hg) groups showed significant reductions in BP in comparison with UC participants (3.4 SBP [95% CI = 0.4, 6.4], DBP 3.8 [95% CI = 2.2, 5.5] mm Hg). Greater post-treatment consumption of DASH foods was noted in both the DASH-A (M=6.20 [95% CI = 5.83, 6.57]) and DASH+WM groups (M=6.23 [95% CI = 5.88, 6.59]) compared to UC (M=3.66 [95% CI = 3.30, 4.01]) (p&lt;.0001), and greater adherence to the DASH diet was associated with larger reductions in clinic SBP and DBP (p ≤.01). Only ethnicity predicted dietary adherence, with African Americans less adherent to the DASH diet compared to whites (4.68 [95% CI = 4.34, 5.03] v 5.83 [95% CI = 5.50, 6.11], p&lt; .001).\n\nConclusions\nGreater adherence to the DASH diet was associated with larger BP reductions independent of weight loss. African Americans were less likely to be adherent to the DASH dietary eating plan compared to whites, suggesting that culturally sensitive dietary strategies may be needed to improve adherence to the DASH diet.","DOI":"10.1016/j.jand.2012.07.007","ISSN":"2212-2672","note":"PMID: 23000025\nPMCID: PMC3483427","title-short":"Determinants and Consequences of Adherence to the DASH Diet in African American and White Adults with High Blood Pressure","journalAbbreviation":"J Acad Nutr Diet","author":[{"family":"Epstein","given":"Dawn E."},{"family":"Sherwood","given":"Andrew"},{"family":"Smith","given":"Patrick J."},{"family":"Craighead","given":"Linda"},{"family":"Caccia","given":"Carla"},{"family":"Lin","given":"Pao-Hwa"},{"family":"Babyak","given":"Michael A."},{"family":"Johnson","given":"Julie J."},{"family":"Hinderliter","given":"Alan"},{"family":"Blumenthal","given":"James A."}],"issued":{"date-parts":[["2012",11]]}}}],"schema":"https://github.com/citation-style-language/schema/raw/master/csl-citation.json"} </w:instrText>
      </w:r>
      <w:r w:rsidRPr="003160F8">
        <w:rPr>
          <w:lang w:val="en-GB"/>
        </w:rPr>
        <w:fldChar w:fldCharType="separate"/>
      </w:r>
      <w:r w:rsidR="001122B9" w:rsidRPr="003160F8">
        <w:rPr>
          <w:lang w:val="en-GB"/>
        </w:rPr>
        <w:t>[</w:t>
      </w:r>
      <w:r w:rsidR="00534555" w:rsidRPr="003160F8">
        <w:rPr>
          <w:lang w:val="en-GB"/>
        </w:rPr>
        <w:t>53</w:t>
      </w:r>
      <w:r w:rsidR="001122B9" w:rsidRPr="003160F8">
        <w:rPr>
          <w:lang w:val="en-GB"/>
        </w:rPr>
        <w:t>]</w:t>
      </w:r>
      <w:r w:rsidRPr="003160F8">
        <w:rPr>
          <w:lang w:val="en-GB"/>
        </w:rPr>
        <w:fldChar w:fldCharType="end"/>
      </w:r>
      <w:r w:rsidRPr="003160F8">
        <w:rPr>
          <w:lang w:val="en-GB"/>
        </w:rPr>
        <w:t xml:space="preserve"> or eleven </w:t>
      </w:r>
      <w:r w:rsidRPr="003160F8">
        <w:rPr>
          <w:lang w:val="en-GB"/>
        </w:rPr>
        <w:fldChar w:fldCharType="begin"/>
      </w:r>
      <w:r w:rsidR="00534555" w:rsidRPr="003160F8">
        <w:rPr>
          <w:lang w:val="en-GB"/>
        </w:rPr>
        <w:instrText xml:space="preserve"> ADDIN ZOTERO_ITEM CSL_CITATION {"citationID":"1zCBbpuH","properties":{"formattedCitation":"(54)","plainCitation":"(54)","noteIndex":0},"citationItems":[{"id":295,"uris":["http://zotero.org/users/4872814/items/5G67EX6X"],"uri":["http://zotero.org/users/4872814/items/5G67EX6X"],"itemData":{"id":295,"type":"article-journal","title":"Degree of concordance with DASH diet guidelines and incidence of hypertension and fatal cardiovascular disease","container-title":"American Journal of Hypertension","page":"225-232","volume":"20","issue":"3","source":"PubMed","abstract":"BACKGROUND: Guidelines to prevent and treat hypertension advocate the Dietary Approaches to Stop Hypertension (DASH) diet.\nMETHODS: We studied whether a greater concordance with the DASH diet is associated with reduced incidence of hypertension (self-reported) and mortality from cardiovascular disease in 20,993 women initially aged 55 to 69 years. We created a DASH diet concordance score using food frequency data in 1986 and followed the women for events through 2002.\nRESULTS: No woman had perfect concordance with the DASH diet. Adjusted for age and energy intake, incidence of hypertension was inversely associated with the degree of concordance with the DASH diet, with hazard ratios across quintiles of 1.0, 0.91, 0.95, 0.99, and 0.87 (P trend = .02). There also were inverse, but not monotonic, associations between better DASH diet concordance and mortality from coronary heart disease, stroke, and all cardiovascular disease (CVD). However, after adjustment for other risk factors, there was little evidence that any end point was associated with the DASH diet score.\nCONCLUSIONS: Our results suggest that greater concordance with DASH guidelines did not have an independent long-term association with hypertension or cardiovascular mortality in this cohort. This implies that very high concordance, as achieved in the DASH trials, may be necessary to achieve any benefits of the DASH diet.","DOI":"10.1016/j.amjhyper.2006.09.003","ISSN":"0895-7061","note":"PMID: 17324731\nPMCID: PMC2020811","journalAbbreviation":"Am. J. Hypertens.","language":"eng","author":[{"family":"Folsom","given":"Aaron R."},{"family":"Parker","given":"Emily D."},{"family":"Harnack","given":"Lisa J."}],"issued":{"date-parts":[["2007",3]]}}}],"schema":"https://github.com/citation-style-language/schema/raw/master/csl-citation.json"} </w:instrText>
      </w:r>
      <w:r w:rsidRPr="003160F8">
        <w:rPr>
          <w:lang w:val="en-GB"/>
        </w:rPr>
        <w:fldChar w:fldCharType="separate"/>
      </w:r>
      <w:r w:rsidR="001122B9" w:rsidRPr="003160F8">
        <w:rPr>
          <w:lang w:val="en-GB"/>
        </w:rPr>
        <w:t>[</w:t>
      </w:r>
      <w:r w:rsidR="00534555" w:rsidRPr="003160F8">
        <w:rPr>
          <w:lang w:val="en-GB"/>
        </w:rPr>
        <w:t>54</w:t>
      </w:r>
      <w:r w:rsidR="001122B9" w:rsidRPr="003160F8">
        <w:rPr>
          <w:lang w:val="en-GB"/>
        </w:rPr>
        <w:t>]</w:t>
      </w:r>
      <w:r w:rsidRPr="003160F8">
        <w:rPr>
          <w:lang w:val="en-GB"/>
        </w:rPr>
        <w:fldChar w:fldCharType="end"/>
      </w:r>
      <w:r w:rsidRPr="003160F8">
        <w:rPr>
          <w:lang w:val="en-GB"/>
        </w:rPr>
        <w:t xml:space="preserve"> distinct food groups. Furthermore differences exist in the way scores were calculated, by comparing food group consumption to dietary guidelines (minimum or maximum intakes) </w:t>
      </w:r>
      <w:r w:rsidRPr="003160F8">
        <w:rPr>
          <w:lang w:val="en-GB"/>
        </w:rPr>
        <w:fldChar w:fldCharType="begin"/>
      </w:r>
      <w:r w:rsidRPr="003160F8">
        <w:rPr>
          <w:lang w:val="en-GB"/>
        </w:rPr>
        <w:instrText xml:space="preserve"> ADDIN ZOTERO_ITEM CSL_CITATION {"citationID":"slwdxcN4","properties":{"formattedCitation":"(40)","plainCitation":"(40)","noteIndex":0},"citationItems":[{"id":294,"uris":["http://zotero.org/users/4872814/items/MH77SEGX"],"uri":["http://zotero.org/users/4872814/items/MH77SEGX"],"itemData":{"id":294,"type":"article-journal","title":"Adherence to the USDA Food Guide, DASH Eating Plan, and Mediterranean dietary pattern reduces risk of colorectal adenoma","container-title":"The Journal of Nutrition","page":"2443-2450","volume":"137","issue":"11","source":"PubMed","abstract":"The 2005 Dietary Guidelines for Americans include quantitative recommendations for 2 eating patterns, the USDA Food Guide and the Dietary Approaches to Stop Hypertension (DASH) Eating Plan, to promote optimal health and reduce disease risk. A Mediterranean dietary pattern has also been promoted for health benefits. Our objective was to determine whether adherence to the USDA Food Guide recommendations, the DASH Eating Plan, or a Mediterranean dietary pattern is associated with reduced risk of distal colorectal adenoma. In the Prostate, Lung, Colorectal, and Ovarian Cancer Screening Trial, men and women aged 55-74 y were screened for colorectal cancer by sigmoidoscopy at 10 centers in the U.S. After adjusting for potential confounders, men who most complied with the USDA Food Guide recommendations had a 26% reduced risk of colorectal adenoma compared with men who least complied with the recommendations (OR USDA score &gt;or= 5 vs. &lt;or=2 = 0.74, 95% CI = 0.64-0.85; P-trend &lt; 0.001). Comparable results were found for men who had intakes most similar to the DASH Eating Plan or a Mediterranean dietary pattern. Women who most complied with the USDA Food Guide recommendations had an 18% reduced risk for colorectal adenoma, but subgroup analyses revealed protective associations only for current smokers (OR USDA score &gt;or= 5 vs. &lt;or=2 = 0.52, 95% CI = 0.31-0.89; P-trend &lt; 0.01) or normal-weight women (OR USDA score &gt;or= 5 vs. &lt;or=2 = 0.74, 95% CI = 0.55-0.99; P-trend = 0.08). Following the current U.S. dietary recommendations or a Mediterranean dietary pattern is associated with reduced risk of colorectal adenoma, especially in men.","DOI":"10.1093/jn/137.11.2443","ISSN":"0022-3166","note":"PMID: 17951483","journalAbbreviation":"J. Nutr.","language":"eng","author":[{"family":"Dixon","given":"L. Beth"},{"family":"Subar","given":"Amy F."},{"family":"Peters","given":"Ulrike"},{"family":"Weissfeld","given":"Joel L."},{"family":"Bresalier","given":"Robert S."},{"family":"Risch","given":"Adam"},{"family":"Schatzkin","given":"Arthur"},{"family":"Hayes","given":"Richard B."}],"issued":{"date-parts":[["2007",11]]}}}],"schema":"https://github.com/citation-style-language/schema/raw/master/csl-citation.json"} </w:instrText>
      </w:r>
      <w:r w:rsidRPr="003160F8">
        <w:rPr>
          <w:lang w:val="en-GB"/>
        </w:rPr>
        <w:fldChar w:fldCharType="separate"/>
      </w:r>
      <w:r w:rsidR="001122B9" w:rsidRPr="003160F8">
        <w:rPr>
          <w:lang w:val="en-GB"/>
        </w:rPr>
        <w:t>[</w:t>
      </w:r>
      <w:r w:rsidR="00534555" w:rsidRPr="003160F8">
        <w:rPr>
          <w:lang w:val="en-GB"/>
        </w:rPr>
        <w:t>40</w:t>
      </w:r>
      <w:r w:rsidR="001122B9" w:rsidRPr="003160F8">
        <w:rPr>
          <w:lang w:val="en-GB"/>
        </w:rPr>
        <w:t>]</w:t>
      </w:r>
      <w:r w:rsidRPr="003160F8">
        <w:rPr>
          <w:lang w:val="en-GB"/>
        </w:rPr>
        <w:fldChar w:fldCharType="end"/>
      </w:r>
      <w:r w:rsidRPr="003160F8">
        <w:rPr>
          <w:lang w:val="en-GB"/>
        </w:rPr>
        <w:t xml:space="preserve"> vs</w:t>
      </w:r>
      <w:r w:rsidR="00FA2F9A">
        <w:rPr>
          <w:lang w:val="en-GB"/>
        </w:rPr>
        <w:t>.</w:t>
      </w:r>
      <w:r w:rsidRPr="003160F8">
        <w:rPr>
          <w:lang w:val="en-GB"/>
        </w:rPr>
        <w:t xml:space="preserve"> within-study population distribution ranked into quintiles </w:t>
      </w:r>
      <w:r w:rsidRPr="003160F8">
        <w:rPr>
          <w:lang w:val="en-GB"/>
        </w:rPr>
        <w:fldChar w:fldCharType="begin"/>
      </w:r>
      <w:r w:rsidRPr="003160F8">
        <w:rPr>
          <w:lang w:val="en-GB"/>
        </w:rPr>
        <w:instrText xml:space="preserve"> ADDIN ZOTERO_ITEM CSL_CITATION {"citationID":"Ub45TpmW","properties":{"formattedCitation":"(10)","plainCitation":"(10)","noteIndex":0},"citationItems":[{"id":293,"uris":["http://zotero.org/users/4872814/items/ACQ92NBP"],"uri":["http://zotero.org/users/4872814/items/ACQ92NBP"],"itemData":{"id":293,"type":"article-journal","title":"Adherence to a DASH-style diet and risk of coronary heart disease and stroke in women","container-title":"Archives of Internal Medicine","page":"713-720","volume":"168","issue":"7","source":"PubMed","abstract":"BACKGROUND: The Dietary Approaches to Stop Hypertension (DASH) diet has been shown to lower blood pressure, but little is known about its long-term effect on cardiovascular end points. Our objective was to assess the association between a DASH-style diet adherence score and risk of coronary heart disease (CHD) and stroke in women.\nMETHODS: In this prospective cohort study, diet was assessed 7 times during 24 years of follow-up (1980-2004) with validated food frequency questionnaires. A DASH score based on 8 food and nutrient components (fruits, vegetables, whole grains, nuts and legumes, low-fat dairy, red and processed meats, sweetened beverages, and sodium) was calculated. Lifestyle and medical information was collected biennially with a questionnaire. The Cox proportional hazard model was used to adjust for potential confounders. The study population comprised 88,517 female nurses aged 34 to 59 years without a history of cardiovascular disease or diabetes in 1980. The main outcome measures were the numbers of confirmed incident cases of nonfatal myocardial infarction, CHD death, and stroke.\nRESULTS: We documented 2129 cases of incident nonfatal myocardial infarction, 976 CHD deaths, and 2317 [corrected] cases of stroke. After adjustment for age, smoking, and other cardiovascular risk factors, the relative risks of CHD across quintiles of the DASH score were 1.0, 0.99, 0.86, 0.87, and 0.76 (95% confidence interval, 0.67-0.85) (P&lt;.001 for trend). The magnitude of risk difference was similar for nonfatal myocardial infarction and fatal CHD. The DASH score was also significantly associated with lower risk of stroke (multivariate relative risks across quintiles of the DASH score were 1.0, 0.92, 0.91, 0.89, and 0.82) (P=.002 for trend). Cross-sectional analysis in a subgroup of women with blood samples showed that the DASH score was significantly associated with lower plasma levels of C-reactive protein (P=.008 for trend) and interleukin 6 (P=.04 for trend).\nCONCLUSION: Adherence to the DASH-style diet is associated with a lower risk of CHD and stroke among middle-aged women during 24 years of follow-up.","DOI":"10.1001/archinte.168.7.713","ISSN":"0003-9926","note":"PMID: 18413553","journalAbbreviation":"Arch. Intern. Med.","language":"eng","author":[{"family":"Fung","given":"Teresa T."},{"family":"Chiuve","given":"Stephanie E."},{"family":"McCullough","given":"Marjorie L."},{"family":"Rexrode","given":"Kathryn M."},{"family":"Logroscino","given":"Giancarlo"},{"family":"Hu","given":"Frank B."}],"issued":{"date-parts":[["2008",4,14]]}}}],"schema":"https://github.com/citation-style-language/schema/raw/master/csl-citation.json"} </w:instrText>
      </w:r>
      <w:r w:rsidRPr="003160F8">
        <w:rPr>
          <w:lang w:val="en-GB"/>
        </w:rPr>
        <w:fldChar w:fldCharType="separate"/>
      </w:r>
      <w:r w:rsidR="001122B9" w:rsidRPr="003160F8">
        <w:rPr>
          <w:lang w:val="en-GB"/>
        </w:rPr>
        <w:t>[</w:t>
      </w:r>
      <w:r w:rsidR="00534555" w:rsidRPr="003160F8">
        <w:rPr>
          <w:lang w:val="en-GB"/>
        </w:rPr>
        <w:t>10</w:t>
      </w:r>
      <w:r w:rsidR="001122B9" w:rsidRPr="003160F8">
        <w:rPr>
          <w:lang w:val="en-GB"/>
        </w:rPr>
        <w:t>]</w:t>
      </w:r>
      <w:r w:rsidRPr="003160F8">
        <w:rPr>
          <w:lang w:val="en-GB"/>
        </w:rPr>
        <w:fldChar w:fldCharType="end"/>
      </w:r>
      <w:r w:rsidRPr="003160F8">
        <w:rPr>
          <w:lang w:val="en-GB"/>
        </w:rPr>
        <w:t xml:space="preserve">. These methodological discrepancies might be explained by the fact that the DASH score was originally developed in the U.S. as a diet plan for intervention studies or preventive strategies </w:t>
      </w:r>
      <w:r w:rsidRPr="003160F8">
        <w:rPr>
          <w:lang w:val="en-GB"/>
        </w:rPr>
        <w:fldChar w:fldCharType="begin"/>
      </w:r>
      <w:r w:rsidR="00534555" w:rsidRPr="003160F8">
        <w:rPr>
          <w:lang w:val="en-GB"/>
        </w:rPr>
        <w:instrText xml:space="preserve"> ADDIN ZOTERO_ITEM CSL_CITATION {"citationID":"AwXY8wda","properties":{"formattedCitation":"(41,55,56)","plainCitation":"(41,55,56)","noteIndex":0},"citationItems":[{"id":52,"uris":["http://zotero.org/users/4872814/items/CZ9TF2P9"],"uri":["http://zotero.org/users/4872814/items/CZ9TF2P9"],"itemData":{"id":52,"type":"report","title":"Your guide to lowering your blood pressure with DASH.","page":"64","URL":"https://www.nhlbi.nih.gov/files/docs/public/heart/new_dash.pdf","number":"NIH Publication No. 06-4082","author":[{"literal":"U.S. Department of health and human services."}],"issued":{"date-parts":[["1998"]],"season":"Revised 2006"},"accessed":{"date-parts":[["2018",6,15]]}}},{"id":241,"uris":["http://zotero.org/users/4872814/items/7QIPQXVW"],"uri":["http://zotero.org/users/4872814/items/7QIPQXVW"],"itemData":{"id":241,"type":"article-journal","title":"A clinical trial of the effects of dietary patterns on blood pressure. DASH Collaborative Research Group","container-title":"The New England Journal of Medicine","page":"1117-1124","volume":"336","issue":"16","source":"PubMed","abstract":"BACKGROUND: It is known that obesity, sodium intake, and alcohol consumption factors influence blood pressure. In this clinical trial, Dietary Approaches to Stop Hypertension, we assessed the effects of dietary patterns on blood pressure.\nMETHODS: We enrolled 459 adults with systolic blood pressures of less than 160 mm Hg and diastolic blood pressures of 80 to 95 mm Hg. For three weeks, the subjects were fed a control diet that was low in fruits, vegetables, and dairy products, with a fat content typical of the average diet in the United States. They were then randomly assigned to receive for eight weeks the control diet, a diet rich in fruits and vegetables, or a \"combination\" diet rich in fruits, vegetables, and low-fat dairy products and with reduced saturated and total fat. Sodium intake and body weight were maintained at constant levels.\nRESULTS: At base line, the mean (+/-SD) systolic and diastolic blood pressures were 131.3+/-10.8 mm Hg and 84.7+/-4.7 mm Hg, respectively. The combination diet reduced systolic and diastolic blood pressure by 5.5 and 3.0 mm Hg more, respectively, than the control diet (P&lt;0.001 for each); the fruits-and-vegetables diet reduced systolic blood pressure by 2.8 mm Hg more (P&lt;0.001) and diastolic blood pressure by 1.1 mm Hg more than the control diet (P=0.07). Among the 133 subjects with hypertension (systolic pressure, &gt; or =140 mm Hg; diastolic pressure, &gt; or =90 mm Hg; or both), the combination diet reduced systolic and diastolic blood pressure by 11.4 and 5.5 mm Hg more, respectively, than the control diet (P&lt;0.001 for each); among the 326 subjects without hypertension, the corresponding reductions were 3.5 mm Hg (P&lt;0.001) and 2.1 mm Hg (P=0.003).\nCONCLUSIONS: A diet rich in fruits, vegetables, and low-fat dairy foods and with reduced saturated and total fat can substantially lower blood pressure. This diet offers an additional nutritional approach to preventing and treating hypertension.","DOI":"10.1056/NEJM199704173361601","ISSN":"0028-4793","note":"PMID: 9099655","journalAbbreviation":"N. Engl. J. Med.","language":"eng","author":[{"family":"Appel","given":"L. J."},{"family":"Moore","given":"T. J."},{"family":"Obarzanek","given":"E."},{"family":"Vollmer","given":"W. M."},{"family":"Svetkey","given":"L. P."},{"family":"Sacks","given":"F. M."},{"family":"Bray","given":"G. A."},{"family":"Vogt","given":"T. M."},{"family":"Cutler","given":"J. A."},{"family":"Windhauser","given":"M. M."},{"family":"Lin","given":"P. H."},{"family":"Karanja","given":"N."}],"issued":{"date-parts":[["1997",4,17]]}}},{"id":240,"uris":["http://zotero.org/users/4872814/items/7TSEFJ4M"],"uri":["http://zotero.org/users/4872814/items/7TSEFJ4M"],"itemData":{"id":240,"type":"article-journal","title":"Effects on blood pressure of reduced dietary sodium and the Dietary Approaches to Stop Hypertension (DASH) diet. DASH-Sodium Collaborative Research Group","container-title":"The New England Journal of Medicine","page":"3-10","volume":"344","issue":"1","source":"PubMed","abstract":"BACKGROUND: The effect of dietary composition on blood pressure is a subject of public health importance. We studied the effect of different levels of dietary sodium, in conjunction with the Dietary Approaches to Stop Hypertension (DASH) diet, which is rich in vegetables, fruits, and low-fat dairy products, in persons with and in those without hypertension.\nMETHODS: A total of 412 participants were randomly assigned to eat either a control diet typical of intake in the United States or the DASH diet. Within the assigned diet, participants ate foods with high, intermediate, and low levels of sodium for 30 consecutive days each, in random order.\nRESULTS: Reducing the sodium intake from the high to the intermediate level reduced the systolic blood pressure by 2.1 mm Hg (P&lt;0.001) during the control diet and by 1.3 mm Hg (P=0.03) during the DASH diet. Reducing the sodium intake from the intermediate to the low level caused additional reductions of 4.6 mm Hg during the control diet (P&lt;0.001) and 1.7 mm Hg during the DASH diet (P&lt;0.01). The effects of sodium were observed in participants with and in those without hypertension, blacks and those of other races, and women and men. The DASH diet was associated with a significantly lower systolic blood pressure at each sodium level; and the difference was greater with high sodium levels than with low ones. As compared with the control diet with a high sodium level, the DASH diet with a low sodium level led to a mean systolic blood pressure that was 7.1 mm Hg lower in participants without hypertension, and 11.5 mm Hg lower in participants with hypertension.\nCONCLUSIONS: The reduction of sodium intake to levels below the current recommendation of 100 mmol per day and the DASH diet both lower blood pressure substantially, with greater effects in combination than singly. Long-term health benefits will depend on the ability of people to make long-lasting dietary changes and the increased availability of lower-sodium foods.","DOI":"10.1056/NEJM200101043440101","ISSN":"0028-4793","note":"PMID: 11136953","journalAbbreviation":"N. Engl. J. Med.","language":"eng","author":[{"family":"Sacks","given":"F. M."},{"family":"Svetkey","given":"L. P."},{"family":"Vollmer","given":"W. M."},{"family":"Appel","given":"L. J."},{"family":"Bray","given":"G. A."},{"family":"Harsha","given":"D."},{"family":"Obarzanek","given":"E."},{"family":"Conlin","given":"P. R."},{"family":"Miller","given":"E. R."},{"family":"Simons-Morton","given":"D. G."},{"family":"Karanja","given":"N."},{"family":"Lin","given":"P. H."},{"literal":"DASH-Sodium Collaborative Research Group"}],"issued":{"date-parts":[["2001",1,4]]}}}],"schema":"https://github.com/citation-style-language/schema/raw/master/csl-citation.json"} </w:instrText>
      </w:r>
      <w:r w:rsidRPr="003160F8">
        <w:rPr>
          <w:lang w:val="en-GB"/>
        </w:rPr>
        <w:fldChar w:fldCharType="separate"/>
      </w:r>
      <w:r w:rsidR="001122B9" w:rsidRPr="003160F8">
        <w:rPr>
          <w:lang w:val="en-GB"/>
        </w:rPr>
        <w:t>[</w:t>
      </w:r>
      <w:r w:rsidR="00534555" w:rsidRPr="003160F8">
        <w:rPr>
          <w:lang w:val="en-GB"/>
        </w:rPr>
        <w:t>41,55,56</w:t>
      </w:r>
      <w:r w:rsidR="001122B9" w:rsidRPr="003160F8">
        <w:rPr>
          <w:lang w:val="en-GB"/>
        </w:rPr>
        <w:t>]</w:t>
      </w:r>
      <w:r w:rsidRPr="003160F8">
        <w:rPr>
          <w:lang w:val="en-GB"/>
        </w:rPr>
        <w:fldChar w:fldCharType="end"/>
      </w:r>
      <w:r w:rsidRPr="003160F8">
        <w:rPr>
          <w:lang w:val="en-GB"/>
        </w:rPr>
        <w:t xml:space="preserve"> and was not specifically designed to describe dietary habits in other countries nor for epidemiological observational studies where diet is assessed using FFQs. </w:t>
      </w:r>
    </w:p>
    <w:p w14:paraId="27920CD1" w14:textId="35351CA7" w:rsidR="00444938" w:rsidRPr="003160F8" w:rsidRDefault="00444938" w:rsidP="00A33971">
      <w:pPr>
        <w:pStyle w:val="MDPI31text"/>
        <w:rPr>
          <w:lang w:val="en-GB"/>
        </w:rPr>
      </w:pPr>
      <w:r w:rsidRPr="003160F8">
        <w:rPr>
          <w:lang w:val="en-GB"/>
        </w:rPr>
        <w:t xml:space="preserve">Second, the number of available food items and frequency scale categories of some food components resulted in a lack of data variability in some of our cohorts, complicating the derivation of balanced quintiles for whole grains and low-fat dairy products. To overcome this, we redefined whole grains as total grains and low-fat dairy products as non-full-fat dairy products. Although this resulted in slight deviations from the original DASH guidelines, we argue that it is supported by a sound rationale (Table 3). Both diverse public health recommendations and diet scores do not have the same restrictions concerning grains and dairy products </w:t>
      </w:r>
      <w:r w:rsidRPr="003160F8">
        <w:rPr>
          <w:lang w:val="en-GB"/>
        </w:rPr>
        <w:fldChar w:fldCharType="begin"/>
      </w:r>
      <w:r w:rsidR="00534555" w:rsidRPr="003160F8">
        <w:rPr>
          <w:lang w:val="en-GB"/>
        </w:rPr>
        <w:instrText xml:space="preserve"> ADDIN ZOTERO_ITEM CSL_CITATION {"citationID":"hEMFp4RA","properties":{"unsorted":true,"formattedCitation":"(35,53\\uc0\\u8211{}56)","plainCitation":"(35,53–56)","noteIndex":0},"citationItems":[{"id":239,"uris":["http://zotero.org/users/4872814/items/Y39D6PW8"],"uri":["http://zotero.org/users/4872814/items/Y39D6PW8"],"itemData":{"id":239,"type":"article-journal","title":"Well-being in pregnancy: an examination of the effect of socioeconomic, dietary and lifestyle factors including impact of a low glycaemic index dietary intervention","container-title":"European Journal of Clinical Nutrition","page":"19-24","volume":"68","issue":"1","source":"PubMed","abstract":"BACKGROUND/OBJECTIVE: Well-being has been linked to the quality of diet and lifestyle in adults; however, there is a paucity of data in pregnancy. The aim of this study was to examine the relationship between well-being and socioeconomic status, diet and lifestyle during pregnancy and to consider the effect of intervention with low glycaemic index (GI) diet on well-being.\nSUBJECTS/METHODS: This was a cohort analysis of 619 participants of the ROLO study (Randomised cOntrol trial of LOw GI diet versus no dietary intervention to prevent recurrence of fetal macrosomia). The following data were collected: educational attainment, dietary intakes (food frequency questionnaire), physical activity (self-reported) and well-being (WHO-5-Item Wellbeing Index--expressed as a percentage).\nRESULTS: Well-being was positively associated with education and physical activity. Third-level education was associated with a 3.07-point higher well-being percentage score, and each day that an individual achieved &gt;30 min walking per week was associated with a 1.10-point increase in percentage well-being score, Radj(2) 2.4% (F=7.260, P=0.001). The intervention low GI group had a significantly lower percentage well-being score than the usual diet group (56.3% vs 59.9%, P=0.015). No correlation was noted between well-being and GI status calculated from food diaries (P=0.469). Well-being was not associated with micronutrient intake.\nCONCLUSIONS: Well-being in pregnancy was independently and positively associated with education and physical activity and negatively associated with low GI dietary intervention. These findings have significance not only for women at risk of low mood but also for healthcare professionals when counselling women about the importance of healthy lifestyle in pregnancy.","DOI":"10.1038/ejcn.2013.212","ISSN":"1476-5640","note":"PMID: 24169456","title-short":"Well-being in pregnancy","journalAbbreviation":"Eur J Clin Nutr","language":"eng","author":[{"family":"Horan","given":"M. K."},{"family":"McGowan","given":"C. A."},{"family":"Doyle","given":"O."},{"family":"McAuliffe","given":"F. M."}],"issued":{"date-parts":[["2014",1]]}}},{"id":69,"uris":["http://zotero.org/users/4872814/items/3DK5K273"],"uri":["http://zotero.org/users/4872814/items/3DK5K273"],"itemData":{"id":69,"type":"article-journal","title":"Determinants and Consequences of Adherence to the DASH Diet in African American and White Adults with High Blood Pressure: Results from the ENCORE Trial","container-title":"Journal of the Academy of Nutrition and Dietetics","page":"1763-1773","volume":"112","issue":"11","source":"PubMed Central","abstract":"Background\nAlthough the DASH (Dietary Approaches to Stop Hypertension) diet is an accepted non-pharmacologic treatment for hypertension, little is known about what patient characteristics affect dietary adherence and what level of adherence is needed to reduce blood pressure (BP).\n\nObjective\nTo determine what factors predict dietary adherence and the extent to which dietary adherence is necessary to produce clinically meaningful BP reductions.\n\nDesign\nAncillary study of the ENCORE trial-- a 16-week randomized clinical trial of diet and exercise.\n\nParticipants/setting\nParticipants included 144 sedentary, overweight or obese adults (BMI’s 25-39.9 kg/m2) with high BP (systolic BP 130-159 and/or diastolic BP 85-99 mm Hg).\n\nIntervention\nPatients were randomized to one of 3 groups: DASH diet alone (DASH-A), DASH diet plus weight management (DASH+WM), and Usual diet controls (UC).\n\nMain outcome measures\nOur primary outcomes were a composite index of adherence to the DASH diet and clinic BP.\n\nStatistical analyses performed\nGeneral linear models were used to compare treatment groups on post-treatment adherence to the DASH diet. Linear regression was used to examine potential predictors of post-treatment DASH adherence. Analysis of covariance (ANCOVA) was used to examine the relation of adherence to the DASH diet and BP.\n\nResults\nParticipants in the DASH+WM (16.1 SBP [95% CI = 13.0, 19.2], 9.9 DBP [95% CI = 8.1, 11.6] mm Hg) and DASH+A (11.2 SBP [95% CI = 8.1, 14.3], 7.5 DBP [95% CI = 5.8, 9.3] mm Hg) groups showed significant reductions in BP in comparison with UC participants (3.4 SBP [95% CI = 0.4, 6.4], DBP 3.8 [95% CI = 2.2, 5.5] mm Hg). Greater post-treatment consumption of DASH foods was noted in both the DASH-A (M=6.20 [95% CI = 5.83, 6.57]) and DASH+WM groups (M=6.23 [95% CI = 5.88, 6.59]) compared to UC (M=3.66 [95% CI = 3.30, 4.01]) (p&lt;.0001), and greater adherence to the DASH diet was associated with larger reductions in clinic SBP and DBP (p ≤.01). Only ethnicity predicted dietary adherence, with African Americans less adherent to the DASH diet compared to whites (4.68 [95% CI = 4.34, 5.03] v 5.83 [95% CI = 5.50, 6.11], p&lt; .001).\n\nConclusions\nGreater adherence to the DASH diet was associated with larger BP reductions independent of weight loss. African Americans were less likely to be adherent to the DASH dietary eating plan compared to whites, suggesting that culturally sensitive dietary strategies may be needed to improve adherence to the DASH diet.","DOI":"10.1016/j.jand.2012.07.007","ISSN":"2212-2672","note":"PMID: 23000025\nPMCID: PMC3483427","title-short":"Determinants and Consequences of Adherence to the DASH Diet in African American and White Adults with High Blood Pressure","journalAbbreviation":"J Acad Nutr Diet","author":[{"family":"Epstein","given":"Dawn E."},{"family":"Sherwood","given":"Andrew"},{"family":"Smith","given":"Patrick J."},{"family":"Craighead","given":"Linda"},{"family":"Caccia","given":"Carla"},{"family":"Lin","given":"Pao-Hwa"},{"family":"Babyak","given":"Michael A."},{"family":"Johnson","given":"Julie J."},{"family":"Hinderliter","given":"Alan"},{"family":"Blumenthal","given":"James A."}],"issued":{"date-parts":[["2012",11]]}}},{"id":295,"uris":["http://zotero.org/users/4872814/items/5G67EX6X"],"uri":["http://zotero.org/users/4872814/items/5G67EX6X"],"itemData":{"id":295,"type":"article-journal","title":"Degree of concordance with DASH diet guidelines and incidence of hypertension and fatal cardiovascular disease","container-title":"American Journal of Hypertension","page":"225-232","volume":"20","issue":"3","source":"PubMed","abstract":"BACKGROUND: Guidelines to prevent and treat hypertension advocate the Dietary Approaches to Stop Hypertension (DASH) diet.\nMETHODS: We studied whether a greater concordance with the DASH diet is associated with reduced incidence of hypertension (self-reported) and mortality from cardiovascular disease in 20,993 women initially aged 55 to 69 years. We created a DASH diet concordance score using food frequency data in 1986 and followed the women for events through 2002.\nRESULTS: No woman had perfect concordance with the DASH diet. Adjusted for age and energy intake, incidence of hypertension was inversely associated with the degree of concordance with the DASH diet, with hazard ratios across quintiles of 1.0, 0.91, 0.95, 0.99, and 0.87 (P trend = .02). There also were inverse, but not monotonic, associations between better DASH diet concordance and mortality from coronary heart disease, stroke, and all cardiovascular disease (CVD). However, after adjustment for other risk factors, there was little evidence that any end point was associated with the DASH diet score.\nCONCLUSIONS: Our results suggest that greater concordance with DASH guidelines did not have an independent long-term association with hypertension or cardiovascular mortality in this cohort. This implies that very high concordance, as achieved in the DASH trials, may be necessary to achieve any benefits of the DASH diet.","DOI":"10.1016/j.amjhyper.2006.09.003","ISSN":"0895-7061","note":"PMID: 17324731\nPMCID: PMC2020811","journalAbbreviation":"Am. J. Hypertens.","language":"eng","author":[{"family":"Folsom","given":"Aaron R."},{"family":"Parker","given":"Emily D."},{"family":"Harnack","given":"Lisa J."}],"issued":{"date-parts":[["2007",3]]}}},{"id":241,"uris":["http://zotero.org/users/4872814/items/7QIPQXVW"],"uri":["http://zotero.org/users/4872814/items/7QIPQXVW"],"itemData":{"id":241,"type":"article-journal","title":"A clinical trial of the effects of dietary patterns on blood pressure. DASH Collaborative Research Group","container-title":"The New England Journal of Medicine","page":"1117-1124","volume":"336","issue":"16","source":"PubMed","abstract":"BACKGROUND: It is known that obesity, sodium intake, and alcohol consumption factors influence blood pressure. In this clinical trial, Dietary Approaches to Stop Hypertension, we assessed the effects of dietary patterns on blood pressure.\nMETHODS: We enrolled 459 adults with systolic blood pressures of less than 160 mm Hg and diastolic blood pressures of 80 to 95 mm Hg. For three weeks, the subjects were fed a control diet that was low in fruits, vegetables, and dairy products, with a fat content typical of the average diet in the United States. They were then randomly assigned to receive for eight weeks the control diet, a diet rich in fruits and vegetables, or a \"combination\" diet rich in fruits, vegetables, and low-fat dairy products and with reduced saturated and total fat. Sodium intake and body weight were maintained at constant levels.\nRESULTS: At base line, the mean (+/-SD) systolic and diastolic blood pressures were 131.3+/-10.8 mm Hg and 84.7+/-4.7 mm Hg, respectively. The combination diet reduced systolic and diastolic blood pressure by 5.5 and 3.0 mm Hg more, respectively, than the control diet (P&lt;0.001 for each); the fruits-and-vegetables diet reduced systolic blood pressure by 2.8 mm Hg more (P&lt;0.001) and diastolic blood pressure by 1.1 mm Hg more than the control diet (P=0.07). Among the 133 subjects with hypertension (systolic pressure, &gt; or =140 mm Hg; diastolic pressure, &gt; or =90 mm Hg; or both), the combination diet reduced systolic and diastolic blood pressure by 11.4 and 5.5 mm Hg more, respectively, than the control diet (P&lt;0.001 for each); among the 326 subjects without hypertension, the corresponding reductions were 3.5 mm Hg (P&lt;0.001) and 2.1 mm Hg (P=0.003).\nCONCLUSIONS: A diet rich in fruits, vegetables, and low-fat dairy foods and with reduced saturated and total fat can substantially lower blood pressure. This diet offers an additional nutritional approach to preventing and treating hypertension.","DOI":"10.1056/NEJM199704173361601","ISSN":"0028-4793","note":"PMID: 9099655","journalAbbreviation":"N. Engl. J. Med.","language":"eng","author":[{"family":"Appel","given":"L. J."},{"family":"Moore","given":"T. J."},{"family":"Obarzanek","given":"E."},{"family":"Vollmer","given":"W. M."},{"family":"Svetkey","given":"L. P."},{"family":"Sacks","given":"F. M."},{"family":"Bray","given":"G. A."},{"family":"Vogt","given":"T. M."},{"family":"Cutler","given":"J. A."},{"family":"Windhauser","given":"M. M."},{"family":"Lin","given":"P. H."},{"family":"Karanja","given":"N."}],"issued":{"date-parts":[["1997",4,17]]}}},{"id":240,"uris":["http://zotero.org/users/4872814/items/7TSEFJ4M"],"uri":["http://zotero.org/users/4872814/items/7TSEFJ4M"],"itemData":{"id":240,"type":"article-journal","title":"Effects on blood pressure of reduced dietary sodium and the Dietary Approaches to Stop Hypertension (DASH) diet. DASH-Sodium Collaborative Research Group","container-title":"The New England Journal of Medicine","page":"3-10","volume":"344","issue":"1","source":"PubMed","abstract":"BACKGROUND: The effect of dietary composition on blood pressure is a subject of public health importance. We studied the effect of different levels of dietary sodium, in conjunction with the Dietary Approaches to Stop Hypertension (DASH) diet, which is rich in vegetables, fruits, and low-fat dairy products, in persons with and in those without hypertension.\nMETHODS: A total of 412 participants were randomly assigned to eat either a control diet typical of intake in the United States or the DASH diet. Within the assigned diet, participants ate foods with high, intermediate, and low levels of sodium for 30 consecutive days each, in random order.\nRESULTS: Reducing the sodium intake from the high to the intermediate level reduced the systolic blood pressure by 2.1 mm Hg (P&lt;0.001) during the control diet and by 1.3 mm Hg (P=0.03) during the DASH diet. Reducing the sodium intake from the intermediate to the low level caused additional reductions of 4.6 mm Hg during the control diet (P&lt;0.001) and 1.7 mm Hg during the DASH diet (P&lt;0.01). The effects of sodium were observed in participants with and in those without hypertension, blacks and those of other races, and women and men. The DASH diet was associated with a significantly lower systolic blood pressure at each sodium level; and the difference was greater with high sodium levels than with low ones. As compared with the control diet with a high sodium level, the DASH diet with a low sodium level led to a mean systolic blood pressure that was 7.1 mm Hg lower in participants without hypertension, and 11.5 mm Hg lower in participants with hypertension.\nCONCLUSIONS: The reduction of sodium intake to levels below the current recommendation of 100 mmol per day and the DASH diet both lower blood pressure substantially, with greater effects in combination than singly. Long-term health benefits will depend on the ability of people to make long-lasting dietary changes and the increased availability of lower-sodium foods.","DOI":"10.1056/NEJM200101043440101","ISSN":"0028-4793","note":"PMID: 11136953","journalAbbreviation":"N. Engl. J. Med.","language":"eng","author":[{"family":"Sacks","given":"F. M."},{"family":"Svetkey","given":"L. P."},{"family":"Vollmer","given":"W. M."},{"family":"Appel","given":"L. J."},{"family":"Bray","given":"G. A."},{"family":"Harsha","given":"D."},{"family":"Obarzanek","given":"E."},{"family":"Conlin","given":"P. R."},{"family":"Miller","given":"E. R."},{"family":"Simons-Morton","given":"D. G."},{"family":"Karanja","given":"N."},{"family":"Lin","given":"P. H."},{"literal":"DASH-Sodium Collaborative Research Group"}],"issued":{"date-parts":[["2001",1,4]]}}}],"schema":"https://github.com/citation-style-language/schema/raw/master/csl-citation.json"} </w:instrText>
      </w:r>
      <w:r w:rsidRPr="003160F8">
        <w:rPr>
          <w:lang w:val="en-GB"/>
        </w:rPr>
        <w:fldChar w:fldCharType="separate"/>
      </w:r>
      <w:r w:rsidR="001122B9" w:rsidRPr="003160F8">
        <w:rPr>
          <w:szCs w:val="24"/>
          <w:lang w:val="en-GB"/>
        </w:rPr>
        <w:t>[</w:t>
      </w:r>
      <w:r w:rsidR="00534555" w:rsidRPr="003160F8">
        <w:rPr>
          <w:szCs w:val="24"/>
          <w:lang w:val="en-GB"/>
        </w:rPr>
        <w:t>35,53–56</w:t>
      </w:r>
      <w:r w:rsidR="001122B9" w:rsidRPr="003160F8">
        <w:rPr>
          <w:szCs w:val="24"/>
          <w:lang w:val="en-GB"/>
        </w:rPr>
        <w:t>]</w:t>
      </w:r>
      <w:r w:rsidRPr="003160F8">
        <w:rPr>
          <w:lang w:val="en-GB"/>
        </w:rPr>
        <w:fldChar w:fldCharType="end"/>
      </w:r>
      <w:r w:rsidRPr="003160F8">
        <w:rPr>
          <w:lang w:val="en-GB"/>
        </w:rPr>
        <w:t xml:space="preserve">. Moreover, consumption of whole grains and low-fat dairy products, and thus detail of FFQs, may depend on both the cultural </w:t>
      </w:r>
      <w:r w:rsidRPr="003160F8">
        <w:rPr>
          <w:lang w:val="en-GB"/>
        </w:rPr>
        <w:fldChar w:fldCharType="begin"/>
      </w:r>
      <w:r w:rsidR="00534555" w:rsidRPr="003160F8">
        <w:rPr>
          <w:lang w:val="en-GB"/>
        </w:rPr>
        <w:instrText xml:space="preserve"> ADDIN ZOTERO_ITEM CSL_CITATION {"citationID":"lLK7KZGx","properties":{"formattedCitation":"(57,58)","plainCitation":"(57,58)","noteIndex":0},"citationItems":[{"id":259,"uris":["http://zotero.org/users/4872814/items/TYYTAUHH"],"uri":["http://zotero.org/users/4872814/items/TYYTAUHH"],"itemData":{"id":259,"type":"article-journal","title":"Disparities in food habits across Europe","container-title":"The Proceedings of the Nutrition Society","page":"553-558","volume":"61","issue":"4","source":"PubMed","abstract":"Socially-and culturally-patterned differences in food habits exist both between and within European populations. Daily individual food availability data, collected through the national household budget surveys (HBS) and harmonized in the context of the Data Food Networking (DAFNE) project, were used to assess disparities in food habits of seven European populations and to evaluate dietary changes within a 10-year interval. The availability of selected food items was further estimated according to the educational level of the household head and, based only on the Greek HBS data, according to quintiles of the household's food purchasing capacity. Results for overall food availability support the north-south differentiation in food habits. Generally, the availability of most food items, including foods such as vegetable fats, animal lipids and sugar products, has decreased over the 10 years. Households in which the head was in the higher education categories reported lower availability for most food items, with the exception of low-fat milk, fresh fruit, animal lipids and soft drinks; the latter showing a sharp increase even within southern European households. The household's food purchasing capacity can be used as an indicator of socio-economic status, with higher values being associated with lower status. Greek households of lower social class follow a healthier diet in terms of greater availability of vegetable oils, fresh vegetables, legumes, fish and seafood. Data from the DAFNE databank may serve as a tool for identifying and quantifying variation in food habits in Europe, as well as for providing information on the socio-economic determinants of food preferences.","ISSN":"0029-6651","note":"PMID: 12691185","journalAbbreviation":"Proc Nutr Soc","language":"eng","author":[{"family":"Trichopoulou","given":"Antonia"},{"family":"Naska","given":"Androniki"},{"family":"Costacou","given":"Tina"},{"literal":"DAFNE III Group"}],"issued":{"date-parts":[["2002",11]]}}},{"id":275,"uris":["http://zotero.org/users/4872814/items/6THA8FQA"],"uri":["http://zotero.org/users/4872814/items/6THA8FQA"],"itemData":{"id":275,"type":"article-journal","title":"Global, regional and national consumption of major food groups in 1990 and 2010: a systematic analysis including 266 country-specific nutrition surveys worldwide","container-title":"BMJ Open","volume":"5","issue":"9","source":"PubMed Central","abstract":"Objective\nTo quantify global intakes of key foods related to non-communicable diseases in adults by region (n=21), country (n=187), age and sex, in 1990 and 2010.\n\nDesign\nWe searched and obtained individual-level intake data in 16 age/sex groups worldwide from 266 surveys across 113 countries. We combined these data with food balance sheets available in all nations and years. A hierarchical Bayesian model estimated mean food intake and associated uncertainty for each age-sex-country-year stratum, accounting for differences in intakes versus availability, survey methods and representativeness, and sampling and modelling uncertainty.\n\nSetting/population\nGlobal adult population, by age, sex, country and time.\n\nResults\nIn 2010, global fruit intake was 81.3 g/day (95% uncertainty interval 78.9–83.7), with country-specific intakes ranging from 19.2–325.1 g/day; in only 2 countries (representing 0.4% of the world's population), mean intakes met recommended targets of ≥300 g/day. Country-specific vegetable intake ranged from 34.6–493.1 g/day (global mean=208.8 g/day); corresponding values for nuts/seeds were 0.2–152.7 g/day (8.9 g/day); for whole grains, 1.3–334.3 g/day (38.4 g/day); for seafood, 6.0–87.6 g/day (27.9 g/day); for red meats, 3.0–124.2 g/day (41.8 g/day); and for processed meats, 2.5–66.1 g/day (13.7 g/day). Mean national intakes met recommended targets in countries representing 0.4% of the global population for vegetables (≥400 g/day); 9.6% for nuts/seeds (≥4 (28.35 g) servings/week); 7.6% for whole grains (≥2.5 (50 g) servings/day); 4.4% for seafood (≥3.5 (100 g) servings/week); 20.3% for red meats (≤1 (100 g) serving/week); and 38.5% for processed meats (≤1 (50 g) serving/week). Intakes of healthful foods were generally higher and of less healthful foods generally lower at older ages. Intakes were generally similar by sex. Vegetable, seafood and processed meat intakes were stable over time; fruits, nuts/seeds and red meat, increased; and whole grains, decreased.\n\nConclusions\nThese global dietary data by nation, age and sex identify key challenges and opportunities for optimising diets, informing policies and priorities for improving global health.","URL":"https://www.ncbi.nlm.nih.gov/pmc/articles/PMC4593162/","DOI":"10.1136/bmjopen-2015-008705","ISSN":"2044-6055","note":"PMID: 26408285\nPMCID: PMC4593162","title-short":"Global, regional and national consumption of major food groups in 1990 and 2010","journalAbbreviation":"BMJ Open","author":[{"family":"Micha","given":"Renata"},{"family":"Khatibzadeh","given":"Shahab"},{"family":"Shi","given":"Peilin"},{"family":"Andrews","given":"Kathryn G"},{"family":"Engell","given":"Rebecca E"},{"family":"Mozaffarian","given":"Dariush"}],"issued":{"date-parts":[["2015",9,24]]},"accessed":{"date-parts":[["2019",2,19]]}}}],"schema":"https://github.com/citation-style-language/schema/raw/master/csl-citation.json"} </w:instrText>
      </w:r>
      <w:r w:rsidRPr="003160F8">
        <w:rPr>
          <w:lang w:val="en-GB"/>
        </w:rPr>
        <w:fldChar w:fldCharType="separate"/>
      </w:r>
      <w:r w:rsidR="001122B9" w:rsidRPr="003160F8">
        <w:rPr>
          <w:lang w:val="en-GB"/>
        </w:rPr>
        <w:t>[</w:t>
      </w:r>
      <w:r w:rsidR="00534555" w:rsidRPr="003160F8">
        <w:rPr>
          <w:lang w:val="en-GB"/>
        </w:rPr>
        <w:t>57,58</w:t>
      </w:r>
      <w:r w:rsidR="001122B9" w:rsidRPr="003160F8">
        <w:rPr>
          <w:lang w:val="en-GB"/>
        </w:rPr>
        <w:t>]</w:t>
      </w:r>
      <w:r w:rsidRPr="003160F8">
        <w:rPr>
          <w:lang w:val="en-GB"/>
        </w:rPr>
        <w:fldChar w:fldCharType="end"/>
      </w:r>
      <w:r w:rsidRPr="003160F8">
        <w:rPr>
          <w:lang w:val="en-GB"/>
        </w:rPr>
        <w:t xml:space="preserve"> and generational </w:t>
      </w:r>
      <w:r w:rsidRPr="003160F8">
        <w:rPr>
          <w:lang w:val="en-GB"/>
        </w:rPr>
        <w:fldChar w:fldCharType="begin"/>
      </w:r>
      <w:r w:rsidR="00534555" w:rsidRPr="003160F8">
        <w:rPr>
          <w:lang w:val="en-GB"/>
        </w:rPr>
        <w:instrText xml:space="preserve"> ADDIN ZOTERO_ITEM CSL_CITATION {"citationID":"aGgY0HfA","properties":{"formattedCitation":"(57,59,60)","plainCitation":"(57,59,60)","noteIndex":0},"citationItems":[{"id":259,"uris":["http://zotero.org/users/4872814/items/TYYTAUHH"],"uri":["http://zotero.org/users/4872814/items/TYYTAUHH"],"itemData":{"id":259,"type":"article-journal","title":"Disparities in food habits across Europe","container-title":"The Proceedings of the Nutrition Society","page":"553-558","volume":"61","issue":"4","source":"PubMed","abstract":"Socially-and culturally-patterned differences in food habits exist both between and within European populations. Daily individual food availability data, collected through the national household budget surveys (HBS) and harmonized in the context of the Data Food Networking (DAFNE) project, were used to assess disparities in food habits of seven European populations and to evaluate dietary changes within a 10-year interval. The availability of selected food items was further estimated according to the educational level of the household head and, based only on the Greek HBS data, according to quintiles of the household's food purchasing capacity. Results for overall food availability support the north-south differentiation in food habits. Generally, the availability of most food items, including foods such as vegetable fats, animal lipids and sugar products, has decreased over the 10 years. Households in which the head was in the higher education categories reported lower availability for most food items, with the exception of low-fat milk, fresh fruit, animal lipids and soft drinks; the latter showing a sharp increase even within southern European households. The household's food purchasing capacity can be used as an indicator of socio-economic status, with higher values being associated with lower status. Greek households of lower social class follow a healthier diet in terms of greater availability of vegetable oils, fresh vegetables, legumes, fish and seafood. Data from the DAFNE databank may serve as a tool for identifying and quantifying variation in food habits in Europe, as well as for providing information on the socio-economic determinants of food preferences.","ISSN":"0029-6651","note":"PMID: 12691185","journalAbbreviation":"Proc Nutr Soc","language":"eng","author":[{"family":"Trichopoulou","given":"Antonia"},{"family":"Naska","given":"Androniki"},{"family":"Costacou","given":"Tina"},{"literal":"DAFNE III Group"}],"issued":{"date-parts":[["2002",11]]}}},{"id":278,"uris":["http://zotero.org/users/4872814/items/FCE43HD6"],"uri":["http://zotero.org/users/4872814/items/FCE43HD6"],"itemData":{"id":278,"type":"report","title":"Scientific Report of the 2015 Dietary Guidelines Advisory Committee: Advisory Report of the Secretary of Health and Human Services and the Secretary of Agriculture.","publisher":"U.S. Department of Agriculture, Agricultural Research Service","publisher-place":"Washington, DC.","event-place":"Washington, DC.","author":[{"family":"Dietary Guidelines Advisory Committee","given":""}],"issued":{"date-parts":[["2015"]]}}},{"id":277,"uris":["http://zotero.org/users/4872814/items/VY8XS6MG"],"uri":["http://zotero.org/users/4872814/items/VY8XS6MG"],"itemData":{"id":277,"type":"report","title":"The Eatwell Guide","URL":"https://assets.publishing.service.gov.uk/government/uploads/system/uploads/attachment_data/file/742750/Eatwell_Guide_booklet_2018v4.pdf","author":[{"family":"Public Health England","given":""}],"issued":{"date-parts":[["2018"]]}}}],"schema":"https://github.com/citation-style-language/schema/raw/master/csl-citation.json"} </w:instrText>
      </w:r>
      <w:r w:rsidRPr="003160F8">
        <w:rPr>
          <w:lang w:val="en-GB"/>
        </w:rPr>
        <w:fldChar w:fldCharType="separate"/>
      </w:r>
      <w:r w:rsidR="001122B9" w:rsidRPr="003160F8">
        <w:rPr>
          <w:lang w:val="en-GB"/>
        </w:rPr>
        <w:t>[</w:t>
      </w:r>
      <w:r w:rsidR="00534555" w:rsidRPr="003160F8">
        <w:rPr>
          <w:lang w:val="en-GB"/>
        </w:rPr>
        <w:t>57,59,60</w:t>
      </w:r>
      <w:r w:rsidR="001122B9" w:rsidRPr="003160F8">
        <w:rPr>
          <w:lang w:val="en-GB"/>
        </w:rPr>
        <w:t>]</w:t>
      </w:r>
      <w:r w:rsidRPr="003160F8">
        <w:rPr>
          <w:lang w:val="en-GB"/>
        </w:rPr>
        <w:fldChar w:fldCharType="end"/>
      </w:r>
      <w:r w:rsidRPr="003160F8">
        <w:rPr>
          <w:lang w:val="en-GB"/>
        </w:rPr>
        <w:t xml:space="preserve"> habits. Lastly, a statistical requirement was needed to discriminate consumption. Indeed, had we adhered to Fung’s classification of food components proposed previously </w:t>
      </w:r>
      <w:r w:rsidRPr="003160F8">
        <w:rPr>
          <w:lang w:val="en-GB"/>
        </w:rPr>
        <w:fldChar w:fldCharType="begin"/>
      </w:r>
      <w:r w:rsidRPr="003160F8">
        <w:rPr>
          <w:lang w:val="en-GB"/>
        </w:rPr>
        <w:instrText xml:space="preserve"> ADDIN ZOTERO_ITEM CSL_CITATION {"citationID":"oYbSaLHR","properties":{"formattedCitation":"(10)","plainCitation":"(10)","noteIndex":0},"citationItems":[{"id":293,"uris":["http://zotero.org/users/4872814/items/ACQ92NBP"],"uri":["http://zotero.org/users/4872814/items/ACQ92NBP"],"itemData":{"id":293,"type":"article-journal","title":"Adherence to a DASH-style diet and risk of coronary heart disease and stroke in women","container-title":"Archives of Internal Medicine","page":"713-720","volume":"168","issue":"7","source":"PubMed","abstract":"BACKGROUND: The Dietary Approaches to Stop Hypertension (DASH) diet has been shown to lower blood pressure, but little is known about its long-term effect on cardiovascular end points. Our objective was to assess the association between a DASH-style diet adherence score and risk of coronary heart disease (CHD) and stroke in women.\nMETHODS: In this prospective cohort study, diet was assessed 7 times during 24 years of follow-up (1980-2004) with validated food frequency questionnaires. A DASH score based on 8 food and nutrient components (fruits, vegetables, whole grains, nuts and legumes, low-fat dairy, red and processed meats, sweetened beverages, and sodium) was calculated. Lifestyle and medical information was collected biennially with a questionnaire. The Cox proportional hazard model was used to adjust for potential confounders. The study population comprised 88,517 female nurses aged 34 to 59 years without a history of cardiovascular disease or diabetes in 1980. The main outcome measures were the numbers of confirmed incident cases of nonfatal myocardial infarction, CHD death, and stroke.\nRESULTS: We documented 2129 cases of incident nonfatal myocardial infarction, 976 CHD deaths, and 2317 [corrected] cases of stroke. After adjustment for age, smoking, and other cardiovascular risk factors, the relative risks of CHD across quintiles of the DASH score were 1.0, 0.99, 0.86, 0.87, and 0.76 (95% confidence interval, 0.67-0.85) (P&lt;.001 for trend). The magnitude of risk difference was similar for nonfatal myocardial infarction and fatal CHD. The DASH score was also significantly associated with lower risk of stroke (multivariate relative risks across quintiles of the DASH score were 1.0, 0.92, 0.91, 0.89, and 0.82) (P=.002 for trend). Cross-sectional analysis in a subgroup of women with blood samples showed that the DASH score was significantly associated with lower plasma levels of C-reactive protein (P=.008 for trend) and interleukin 6 (P=.04 for trend).\nCONCLUSION: Adherence to the DASH-style diet is associated with a lower risk of CHD and stroke among middle-aged women during 24 years of follow-up.","DOI":"10.1001/archinte.168.7.713","ISSN":"0003-9926","note":"PMID: 18413553","journalAbbreviation":"Arch. Intern. Med.","language":"eng","author":[{"family":"Fung","given":"Teresa T."},{"family":"Chiuve","given":"Stephanie E."},{"family":"McCullough","given":"Marjorie L."},{"family":"Rexrode","given":"Kathryn M."},{"family":"Logroscino","given":"Giancarlo"},{"family":"Hu","given":"Frank B."}],"issued":{"date-parts":[["2008",4,14]]}}}],"schema":"https://github.com/citation-style-language/schema/raw/master/csl-citation.json"} </w:instrText>
      </w:r>
      <w:r w:rsidRPr="003160F8">
        <w:rPr>
          <w:lang w:val="en-GB"/>
        </w:rPr>
        <w:fldChar w:fldCharType="separate"/>
      </w:r>
      <w:r w:rsidR="001122B9" w:rsidRPr="003160F8">
        <w:rPr>
          <w:lang w:val="en-GB"/>
        </w:rPr>
        <w:t>[</w:t>
      </w:r>
      <w:r w:rsidR="00534555" w:rsidRPr="003160F8">
        <w:rPr>
          <w:lang w:val="en-GB"/>
        </w:rPr>
        <w:t>10</w:t>
      </w:r>
      <w:r w:rsidR="001122B9" w:rsidRPr="003160F8">
        <w:rPr>
          <w:lang w:val="en-GB"/>
        </w:rPr>
        <w:t>]</w:t>
      </w:r>
      <w:r w:rsidRPr="003160F8">
        <w:rPr>
          <w:lang w:val="en-GB"/>
        </w:rPr>
        <w:fldChar w:fldCharType="end"/>
      </w:r>
      <w:r w:rsidR="00FA2F9A">
        <w:rPr>
          <w:lang w:val="en-GB"/>
        </w:rPr>
        <w:t>,</w:t>
      </w:r>
      <w:r w:rsidRPr="003160F8">
        <w:rPr>
          <w:lang w:val="en-GB"/>
        </w:rPr>
        <w:t xml:space="preserve"> the low number of food items included in some food components, the number of response categories</w:t>
      </w:r>
      <w:r w:rsidR="00FA2F9A">
        <w:rPr>
          <w:lang w:val="en-GB"/>
        </w:rPr>
        <w:t>,</w:t>
      </w:r>
      <w:r w:rsidRPr="003160F8">
        <w:rPr>
          <w:lang w:val="en-GB"/>
        </w:rPr>
        <w:t xml:space="preserve"> and the high number of non-consumers would have resulted in non-discriminating consumption frequencies for several cohorts.</w:t>
      </w:r>
    </w:p>
    <w:p w14:paraId="2902691F" w14:textId="53C7294F" w:rsidR="009B401F" w:rsidRPr="003160F8" w:rsidRDefault="00A33971" w:rsidP="00A33971">
      <w:pPr>
        <w:pStyle w:val="MDPI22heading2"/>
        <w:rPr>
          <w:noProof w:val="0"/>
          <w:lang w:val="en-GB"/>
        </w:rPr>
      </w:pPr>
      <w:r w:rsidRPr="003160F8">
        <w:rPr>
          <w:noProof w:val="0"/>
          <w:lang w:val="en-GB"/>
        </w:rPr>
        <w:t xml:space="preserve">4.2. </w:t>
      </w:r>
      <w:r w:rsidR="009B401F" w:rsidRPr="003160F8">
        <w:rPr>
          <w:noProof w:val="0"/>
          <w:lang w:val="en-GB"/>
        </w:rPr>
        <w:t xml:space="preserve">Daily </w:t>
      </w:r>
      <w:r w:rsidR="00C73C94" w:rsidRPr="003160F8">
        <w:rPr>
          <w:noProof w:val="0"/>
          <w:lang w:val="en-GB"/>
        </w:rPr>
        <w:t>Frequency Consumption</w:t>
      </w:r>
    </w:p>
    <w:p w14:paraId="5C8790C5" w14:textId="6A6F593E" w:rsidR="009B401F" w:rsidRPr="003160F8" w:rsidRDefault="009B401F" w:rsidP="00A33971">
      <w:pPr>
        <w:pStyle w:val="MDPI31text"/>
        <w:rPr>
          <w:lang w:val="en-GB"/>
        </w:rPr>
      </w:pPr>
      <w:r w:rsidRPr="003160F8">
        <w:rPr>
          <w:lang w:val="en-GB"/>
        </w:rPr>
        <w:t>Besides some differences between cohorts, consumption of each food component seems to be comparable with those reported in previous literature. The European Prospective Investigation into Cancer and Nutrition (EPIC) reported overall similar consumption of most food groups in France, Netherlands</w:t>
      </w:r>
      <w:r w:rsidR="00C35699">
        <w:rPr>
          <w:lang w:val="en-GB"/>
        </w:rPr>
        <w:t>,</w:t>
      </w:r>
      <w:r w:rsidRPr="003160F8">
        <w:rPr>
          <w:lang w:val="en-GB"/>
        </w:rPr>
        <w:t xml:space="preserve"> and United Kingdom as we observed in the ALPHABET consortium cohort studies. For example, in EPIC the recorded mean consumption of vegetables, fruits, and red and processed meats was 128</w:t>
      </w:r>
      <w:r w:rsidR="00C73C94" w:rsidRPr="003160F8">
        <w:rPr>
          <w:lang w:val="en-GB"/>
        </w:rPr>
        <w:t>–</w:t>
      </w:r>
      <w:r w:rsidRPr="003160F8">
        <w:rPr>
          <w:lang w:val="en-GB"/>
        </w:rPr>
        <w:t>261, 170</w:t>
      </w:r>
      <w:r w:rsidR="00C73C94" w:rsidRPr="003160F8">
        <w:rPr>
          <w:lang w:val="en-GB"/>
        </w:rPr>
        <w:t>–</w:t>
      </w:r>
      <w:r w:rsidRPr="003160F8">
        <w:rPr>
          <w:lang w:val="en-GB"/>
        </w:rPr>
        <w:t>274</w:t>
      </w:r>
      <w:r w:rsidR="00C35699">
        <w:rPr>
          <w:lang w:val="en-GB"/>
        </w:rPr>
        <w:t>,</w:t>
      </w:r>
      <w:r w:rsidRPr="003160F8">
        <w:rPr>
          <w:lang w:val="en-GB"/>
        </w:rPr>
        <w:t xml:space="preserve"> and 50</w:t>
      </w:r>
      <w:r w:rsidR="00C73C94" w:rsidRPr="003160F8">
        <w:rPr>
          <w:lang w:val="en-GB"/>
        </w:rPr>
        <w:t>–</w:t>
      </w:r>
      <w:r w:rsidRPr="003160F8">
        <w:rPr>
          <w:lang w:val="en-GB"/>
        </w:rPr>
        <w:t xml:space="preserve">78 g/day respectively </w:t>
      </w:r>
      <w:r w:rsidRPr="003160F8">
        <w:rPr>
          <w:lang w:val="en-GB"/>
        </w:rPr>
        <w:fldChar w:fldCharType="begin"/>
      </w:r>
      <w:r w:rsidR="00534555" w:rsidRPr="003160F8">
        <w:rPr>
          <w:lang w:val="en-GB"/>
        </w:rPr>
        <w:instrText xml:space="preserve"> ADDIN ZOTERO_ITEM CSL_CITATION {"citationID":"bxJ4f23o","properties":{"formattedCitation":"(61,62)","plainCitation":"(61,62)","noteIndex":0},"citationItems":[{"id":238,"uris":["http://zotero.org/users/4872814/items/S4U8ZIBY"],"uri":["http://zotero.org/users/4872814/items/S4U8ZIBY"],"itemData":{"id":238,"type":"article-journal","title":"Consumption of vegetables, fruit and other plant foods in the European Prospective Investigation into Cancer and Nutrition (EPIC) cohorts from 10 European countries","container-title":"Public Health Nutrition","page":"1179-1196","volume":"5","issue":"6B","source":"PubMed","abstract":"OBJECTIVE: To describe and compare the consumption of the main groups and sub-groups of vegetables and fruits (V&amp;F) in men and women from the centres participating in the European Prospective Investigation into Cancer and Nutrition (EPIC).\nDESIGN: Cross-sectional analysis. Dietary intake was assessed by means of a 24-hour dietary recall using computerised interview software and standardised procedures. Crude and adjusted means were computed for the main groups and sub-groups of V&amp;F by centre, separately for men and women. Adjusted means by season, day of the week and age were estimated using weights and covariance analysis.\nSETTING: Twenty-seven centres in 10 European countries participating in the EPIC project.\nSUBJECTS: In total, 35 955 subjects (13 031 men and 22 924 women), aged 35-74 years, randomly selected from each EPIC cohort.\nRESULTS: The centres from southern countries had the highest consumption of V&amp;F, while the lowest intake was seen in The Netherlands and Scandinavia for both genders. These differences were more evident for fruits, particularly citrus. However, slightly different patterns arose for some sub-groups of vegetables, such as root vegetables and cabbage. Adjustment for body mass index, physical activity, smoking habits and education did not substantially modify the mean intakes of vegetables and fruits.\nCONCLUSIONS: Total vegetable and fruit intake follows a south-north gradient in both genders, whereas for several sub-groups of vegetables a different geographic distribution exists. Differences in mean intake of V&amp;F by centre were not explained by lifestyle factors associated with V&amp;F intake.","DOI":"10.1079/PHN2002398","ISSN":"1368-9800","note":"PMID: 12639226","journalAbbreviation":"Public Health Nutr","language":"eng","author":[{"family":"Agudo","given":"A."},{"family":"Slimani","given":"N."},{"family":"Ocké","given":"M. C."},{"family":"Naska","given":"A."},{"family":"Miller","given":"A. B."},{"family":"Kroke","given":"A."},{"family":"Bamia","given":"C."},{"family":"Karalis","given":"D."},{"family":"Vineis","given":"P."},{"family":"Palli","given":"D."},{"family":"Bueno-de-Mesquita","given":"H. B."},{"family":"Peeters","given":"P. H. M."},{"family":"Engeset","given":"D."},{"family":"Hjartåker","given":"A."},{"family":"Navarro","given":"C."},{"family":"Martínez Garcia","given":"C."},{"family":"Wallström","given":"P."},{"family":"Zhang","given":"J. X."},{"family":"Welch","given":"A. A."},{"family":"Spencer","given":"E."},{"family":"Stripp","given":"C."},{"family":"Overvad","given":"K."},{"family":"Clavel-Chapelon","given":"F."},{"family":"Casagrande","given":"C."},{"family":"Riboli","given":"E."}],"issued":{"date-parts":[["2002",12]]}}},{"id":237,"uris":["http://zotero.org/users/4872814/items/7FQEPJEX"],"uri":["http://zotero.org/users/4872814/items/7FQEPJEX"],"itemData":{"id":237,"type":"article-journal","title":"Meat, eggs, dairy products, and risk of breast cancer in the European Prospective Investigation into Cancer and Nutrition (EPIC) cohort","container-title":"The American Journal of Clinical Nutrition","page":"602-612","volume":"90","issue":"3","source":"PubMed","abstract":"BACKGROUND: A Western diet is associated with breast cancer risk.\nOBJECTIVE: We investigated the relation of meat, egg, and dairy product consumption with breast cancer risk by using data from the European Prospective Investigation into Cancer and Nutrition (EPIC).\nDESIGN: Between 1992 and 2003, information on diet was collected from 319,826 women. Disease hazard ratios were estimated with multivariate Cox proportional hazard models.\nRESULTS: Breast cancer cases (n = 7119) were observed during 8.8 y (median) of follow-up. No consistent association was found between breast cancer risk and the consumption of any of the food groups under study, when analyzed by both categorical and continuous exposure variable models. High processed meat consumption was associated with a modest increase in breast cancer risk in the categorical model (hazard ratio: 1.10; 95% CI: 1.00, 1.20; highest compared with lowest quintile: P for trend = 0.07). Subgroup analyses suggested an association with butter consumption, limited to premenopausal women (hazard ratio: 1.28; 95% CI: 1.06, 1.53; highest compared with lowest quintile: P for trend = 0.21). Between-country heterogeneity was found for red meat (Q statistic = 18.03; P = 0.05) and was significantly explained (P = 0.023) by the proportion of meat cooked at high temperature.\nCONCLUSIONS: We have not consistently identified intakes of meat, eggs, or dairy products as risk factors for breast cancer. Future studies should investigate the possible role of high-temperature cooking in the relation of red meat intake with breast cancer risk.","DOI":"10.3945/ajcn.2008.27173","ISSN":"1938-3207","note":"PMID: 19491385","journalAbbreviation":"Am. J. Clin. Nutr.","language":"eng","author":[{"family":"Pala","given":"Valeria"},{"family":"Krogh","given":"Vittorio"},{"family":"Berrino","given":"Franco"},{"family":"Sieri","given":"Sabina"},{"family":"Grioni","given":"Sara"},{"family":"Tjønneland","given":"Anne"},{"family":"Olsen","given":"Anja"},{"family":"Jakobsen","given":"Marianne Uhre"},{"family":"Overvad","given":"Kim"},{"family":"Clavel-Chapelon","given":"Françoise"},{"family":"Boutron-Ruault","given":"Marie-Christine"},{"family":"Romieu","given":"Isabelle"},{"family":"Linseisen","given":"Jakob"},{"family":"Rohrmann","given":"Sabine"},{"family":"Boeing","given":"Heiner"},{"family":"Steffen","given":"Annika"},{"family":"Trichopoulou","given":"Antonia"},{"family":"Benetou","given":"Vassiliki"},{"family":"Naska","given":"Androniki"},{"family":"Vineis","given":"Paolo"},{"family":"Tumino","given":"Rosario"},{"family":"Panico","given":"Salvatore"},{"family":"Masala","given":"Giovanna"},{"family":"Agnoli","given":"Claudia"},{"family":"Engeset","given":"Dagrun"},{"family":"Skeie","given":"Guri"},{"family":"Lund","given":"Eiliv"},{"family":"Ardanaz","given":"Eva"},{"family":"Navarro","given":"Carmen"},{"family":"Sánchez","given":"Maria-José"},{"family":"Amiano","given":"Pilar"},{"family":"Svatetz","given":"Carlos Alberto Gonzalez"},{"family":"Rodriguez","given":"Laudina"},{"family":"Wirfält","given":"Elisabet"},{"family":"Manjer","given":"Jonas"},{"family":"Lenner","given":"Per"},{"family":"Hallmans","given":"Göran"},{"family":"Peeters","given":"Petra H. M."},{"family":"Gils","given":"Carla H.","non-dropping-particle":"van"},{"family":"Bueno-de-Mesquita","given":"H. Bas"},{"family":"Duijnhoven","given":"Fränzel J. B.","non-dropping-particle":"van"},{"family":"Key","given":"Timothy J."},{"family":"Spencer","given":"Elizabeth"},{"family":"Bingham","given":"Sheila"},{"family":"Khaw","given":"Kay-Tee"},{"family":"Ferrari","given":"Pietro"},{"family":"Byrnes","given":"Graham"},{"family":"Rinaldi","given":"Sabina"},{"family":"Norat","given":"Teresa"},{"family":"Michaud","given":"Dominique S."},{"family":"Riboli","given":"Elio"}],"issued":{"date-parts":[["2009",9]]}}}],"schema":"https://github.com/citation-style-language/schema/raw/master/csl-citation.json"} </w:instrText>
      </w:r>
      <w:r w:rsidRPr="003160F8">
        <w:rPr>
          <w:lang w:val="en-GB"/>
        </w:rPr>
        <w:fldChar w:fldCharType="separate"/>
      </w:r>
      <w:r w:rsidR="00EB378A" w:rsidRPr="003160F8">
        <w:rPr>
          <w:lang w:val="en-GB"/>
        </w:rPr>
        <w:t>[</w:t>
      </w:r>
      <w:r w:rsidR="00534555" w:rsidRPr="003160F8">
        <w:rPr>
          <w:lang w:val="en-GB"/>
        </w:rPr>
        <w:t>61,62</w:t>
      </w:r>
      <w:r w:rsidR="00EB378A" w:rsidRPr="003160F8">
        <w:rPr>
          <w:lang w:val="en-GB"/>
        </w:rPr>
        <w:t>]</w:t>
      </w:r>
      <w:r w:rsidRPr="003160F8">
        <w:rPr>
          <w:lang w:val="en-GB"/>
        </w:rPr>
        <w:fldChar w:fldCharType="end"/>
      </w:r>
      <w:r w:rsidRPr="003160F8">
        <w:rPr>
          <w:lang w:val="en-GB"/>
        </w:rPr>
        <w:t>, we observe median consumption of 147</w:t>
      </w:r>
      <w:r w:rsidR="00C73C94" w:rsidRPr="003160F8">
        <w:rPr>
          <w:lang w:val="en-GB"/>
        </w:rPr>
        <w:t>–</w:t>
      </w:r>
      <w:r w:rsidRPr="003160F8">
        <w:rPr>
          <w:lang w:val="en-GB"/>
        </w:rPr>
        <w:t>332, 285</w:t>
      </w:r>
      <w:r w:rsidR="00C73C94" w:rsidRPr="003160F8">
        <w:rPr>
          <w:lang w:val="en-GB"/>
        </w:rPr>
        <w:t>–</w:t>
      </w:r>
      <w:r w:rsidRPr="003160F8">
        <w:rPr>
          <w:lang w:val="en-GB"/>
        </w:rPr>
        <w:t>360</w:t>
      </w:r>
      <w:r w:rsidR="00C35699">
        <w:rPr>
          <w:lang w:val="en-GB"/>
        </w:rPr>
        <w:t>,</w:t>
      </w:r>
      <w:r w:rsidRPr="003160F8">
        <w:rPr>
          <w:lang w:val="en-GB"/>
        </w:rPr>
        <w:t xml:space="preserve"> and 51</w:t>
      </w:r>
      <w:r w:rsidR="00C73C94" w:rsidRPr="003160F8">
        <w:rPr>
          <w:lang w:val="en-GB"/>
        </w:rPr>
        <w:t>–</w:t>
      </w:r>
      <w:r w:rsidRPr="003160F8">
        <w:rPr>
          <w:lang w:val="en-GB"/>
        </w:rPr>
        <w:t>87 g/day for the same food groups in the ALPHABET consortium cohorts. Within the Australian Longitudinal Study on Women’s Health, a country with a Western culture and presumably similar dietary habits, median intake values of breads/cereals, fruits, vegetables and dairy were 2.6, 2.2, 2.1</w:t>
      </w:r>
      <w:r w:rsidR="00C35699">
        <w:rPr>
          <w:lang w:val="en-GB"/>
        </w:rPr>
        <w:t>,</w:t>
      </w:r>
      <w:r w:rsidRPr="003160F8">
        <w:rPr>
          <w:lang w:val="en-GB"/>
        </w:rPr>
        <w:t xml:space="preserve"> and 2.0</w:t>
      </w:r>
      <w:r w:rsidR="00C73C94" w:rsidRPr="003160F8">
        <w:rPr>
          <w:lang w:val="en-GB"/>
        </w:rPr>
        <w:t xml:space="preserve"> </w:t>
      </w:r>
      <w:r w:rsidRPr="003160F8">
        <w:rPr>
          <w:lang w:val="en-GB"/>
        </w:rPr>
        <w:t>servings/day</w:t>
      </w:r>
      <w:r w:rsidR="00C35699">
        <w:rPr>
          <w:lang w:val="en-GB"/>
        </w:rPr>
        <w:t>,</w:t>
      </w:r>
      <w:r w:rsidRPr="003160F8">
        <w:rPr>
          <w:lang w:val="en-GB"/>
        </w:rPr>
        <w:t xml:space="preserve"> respectively </w:t>
      </w:r>
      <w:r w:rsidRPr="003160F8">
        <w:rPr>
          <w:lang w:val="en-GB"/>
        </w:rPr>
        <w:fldChar w:fldCharType="begin"/>
      </w:r>
      <w:r w:rsidR="00534555" w:rsidRPr="003160F8">
        <w:rPr>
          <w:lang w:val="en-GB"/>
        </w:rPr>
        <w:instrText xml:space="preserve"> ADDIN ZOTERO_ITEM CSL_CITATION {"citationID":"ERZ2CXsx","properties":{"formattedCitation":"(63)","plainCitation":"(63)","noteIndex":0},"citationItems":[{"id":236,"uris":["http://zotero.org/users/4872814/items/CBI5ZSKS"],"uri":["http://zotero.org/users/4872814/items/CBI5ZSKS"],"itemData":{"id":236,"type":"article-journal","title":"Disparities exist between National food group recommendations and the dietary intakes of women","container-title":"BMC Women's Health","page":"37","volume":"11","source":"PubMed Central","abstract":"Background\nPreconception and pregnancy dietary intakes can influence the health of future generations. In this study we compared the food intakes of reproductive-aged women by pregnancy status, to current Australian recommendations.\n\nMethods\nData are from the Australian Longitudinal Study on Women's Health, younger cohort aged 25-30 years in 2003, with self-reported status as pregnant (n = 606), trying to conceive (n = 454), given birth in the last 12 months (n = 829) or other (n = 5597). Diet was assessed using a validated 74-item food frequency questionnaire. Food group servings and nutrient intakes were compared to the Australian Guide to Healthy Eating (AGHE) and Australian Nutrient Reference Values (NRVs).\n\nResults\nNo women met all AGHE food group recommendations. Highest adherence rates [mean (95% CI) servings/day] were for meat [85%, 1.9(1.8-1.9)], fruit [44%, 2.1(2.1-2.2)] and dairy [35%, 1.8(1.8-1.9)], with &lt; 14% meeting remaining recommendations. Women who achieved NRVs (folate, iron, calcium, zinc, fibre) for pregnancy, breastfeeding and adult life stages were 1.5%, 3.3% and 13.7%, respectively. Compared to AGHE, women consumed more servings of fruit (4.9 vs 4.0;P = 0.034) and dairy (3.4 vs 2.0;P = 0.006) to achieve pregnancy NRVs; more dairy (2.9 vs 2.0;P = 0.001), less fruit (3.9 vs 5.0;P &lt; .001) and vegetables (3.4 vs 7.0;P &lt; .001) to achieve breastfeeding NRVs; more fruit (3.6 vs 3.0;P &lt; .001), dairy (2.5 vs 2.0;P &lt; .001), meat (1.8 vs 1.5;P = 0.015), less vegetables (3.6 vs 5.0;P &lt; .001) to achieve adult NRVs.\n\nConclusions\nThe AGHE does not align with contemporary diets of Australian women or enable them to meet all NRVs. Current tools to guide food consumption by women during pregnancy require revision.","DOI":"10.1186/1472-6874-11-37","ISSN":"1472-6874","note":"PMID: 21819627\nPMCID: PMC3170266","journalAbbreviation":"BMC Womens Health","author":[{"family":"Blumfield","given":"Michelle L"},{"family":"Hure","given":"Alexis J"},{"family":"MacDonald-Wicks","given":"Lesley K"},{"family":"Patterson","given":"Amanda J"},{"family":"Smith","given":"Roger"},{"family":"Collins","given":"Clare E"}],"issued":{"date-parts":[["2011",8,8]]}}}],"schema":"https://github.com/citation-style-language/schema/raw/master/csl-citation.json"} </w:instrText>
      </w:r>
      <w:r w:rsidRPr="003160F8">
        <w:rPr>
          <w:lang w:val="en-GB"/>
        </w:rPr>
        <w:fldChar w:fldCharType="separate"/>
      </w:r>
      <w:r w:rsidR="00EB378A" w:rsidRPr="003160F8">
        <w:rPr>
          <w:lang w:val="en-GB"/>
        </w:rPr>
        <w:t>[</w:t>
      </w:r>
      <w:r w:rsidR="00534555" w:rsidRPr="003160F8">
        <w:rPr>
          <w:lang w:val="en-GB"/>
        </w:rPr>
        <w:t>63</w:t>
      </w:r>
      <w:r w:rsidR="00EB378A" w:rsidRPr="003160F8">
        <w:rPr>
          <w:lang w:val="en-GB"/>
        </w:rPr>
        <w:t>]</w:t>
      </w:r>
      <w:r w:rsidRPr="003160F8">
        <w:rPr>
          <w:lang w:val="en-GB"/>
        </w:rPr>
        <w:fldChar w:fldCharType="end"/>
      </w:r>
      <w:r w:rsidRPr="003160F8">
        <w:rPr>
          <w:lang w:val="en-GB"/>
        </w:rPr>
        <w:t>. These values are comparable with those in the ALPHABET consortium cohorts: median intakes range from 1.6 to 3.5</w:t>
      </w:r>
      <w:r w:rsidR="00C73C94" w:rsidRPr="003160F8">
        <w:rPr>
          <w:lang w:val="en-GB"/>
        </w:rPr>
        <w:t xml:space="preserve"> </w:t>
      </w:r>
      <w:r w:rsidRPr="003160F8">
        <w:rPr>
          <w:lang w:val="en-GB"/>
        </w:rPr>
        <w:t>servings/day for total grains, from 1.1 to 3.1 servings/day for fruits, from 1.5 to 3.0</w:t>
      </w:r>
      <w:r w:rsidR="00C73C94" w:rsidRPr="003160F8">
        <w:rPr>
          <w:lang w:val="en-GB"/>
        </w:rPr>
        <w:t xml:space="preserve"> </w:t>
      </w:r>
      <w:r w:rsidRPr="003160F8">
        <w:rPr>
          <w:lang w:val="en-GB"/>
        </w:rPr>
        <w:t>servings/day for vegetables (excluding potatoes and condiments), and from 0.8 to 2.2</w:t>
      </w:r>
      <w:r w:rsidR="00C73C94" w:rsidRPr="003160F8">
        <w:rPr>
          <w:lang w:val="en-GB"/>
        </w:rPr>
        <w:t xml:space="preserve"> </w:t>
      </w:r>
      <w:r w:rsidRPr="003160F8">
        <w:rPr>
          <w:lang w:val="en-GB"/>
        </w:rPr>
        <w:t>servings/day (except Lifeways with 0.1</w:t>
      </w:r>
      <w:r w:rsidR="00C73C94" w:rsidRPr="003160F8">
        <w:rPr>
          <w:lang w:val="en-GB"/>
        </w:rPr>
        <w:t xml:space="preserve"> </w:t>
      </w:r>
      <w:r w:rsidRPr="003160F8">
        <w:rPr>
          <w:lang w:val="en-GB"/>
        </w:rPr>
        <w:t>servings/day) for non-full-fat dairy products.</w:t>
      </w:r>
    </w:p>
    <w:p w14:paraId="57C9AC7B" w14:textId="77777777" w:rsidR="009B401F" w:rsidRPr="003160F8" w:rsidRDefault="009B401F" w:rsidP="00A33971">
      <w:pPr>
        <w:pStyle w:val="MDPI31text"/>
        <w:rPr>
          <w:lang w:val="en-GB"/>
        </w:rPr>
      </w:pPr>
      <w:r w:rsidRPr="003160F8">
        <w:rPr>
          <w:lang w:val="en-GB"/>
        </w:rPr>
        <w:t xml:space="preserve">A study comparing four established DASH diet indices (in association with colorectal cancer) suggested that all indices capture an underlying construct inherent in the DASH dietary pattern </w:t>
      </w:r>
      <w:r w:rsidRPr="003160F8">
        <w:rPr>
          <w:lang w:val="en-GB"/>
        </w:rPr>
        <w:fldChar w:fldCharType="begin"/>
      </w:r>
      <w:r w:rsidRPr="003160F8">
        <w:rPr>
          <w:lang w:val="en-GB"/>
        </w:rPr>
        <w:instrText xml:space="preserve"> ADDIN ZOTERO_ITEM CSL_CITATION {"citationID":"8152rMSJ","properties":{"formattedCitation":"(38)","plainCitation":"(38)","noteIndex":0},"citationItems":[{"id":54,"uris":["http://zotero.org/users/4872814/items/3U884ZR5"],"uri":["http://zotero.org/users/4872814/items/3U884ZR5"],"itemData":{"id":54,"type":"article-journal","title":"Comparison of 4 established DASH diet indexes: examining associations of index scores and colorectal cancer","container-title":"The American Journal of Clinical Nutrition","page":"794-803","volume":"98","issue":"3","source":"PubMed","abstract":"BACKGROUND: Multiple diet indexes have been developed to capture the Dietary Approaches to Stop Hypertension (DASH) dietary pattern and examine relations with health outcomes but have not been compared within the same study population to our knowledge.\nOBJECTIVE: We compared 4 established DASH indexes and examined associations with colorectal cancer.\nDESIGN: Scores were generated from a food-frequency questionnaire in the NIH-AARP Diet and Health Study (n = 491,841). Separate indexes defined by Dixon (7 food groups, saturated fat, and alcohol), Mellen (9 nutrients), Fung (7 food groups and sodium), and Günther (8 food groups) were used. HRs and 95% CIs for colorectal cancer were generated by using Cox proportional hazard models.\nRESULTS: From 1995 through 2006, 6752 incident colorectal cancer cases were ascertained. In men, higher scores were associated with reduced colorectal cancer incidence by comparing highest to lowest quintiles for all indexes as follows: Dixon (HR: 0.77; 95% CI: 0.69, 0.87), Mellen (HR: 0.78; 95% CI: 0.71, 0.86), Fung (HR: 0.75; 95% CI: 0.68, 0.83), and Günther (HR: 0.81; 95% CI: 0.74, 0.90). Higher scores in women were inversely associated with colorectal cancer incidence by using methods defined by Mellen (HR: 0.79; 95% CI: 0.68, 0.91), Fung (HR: 0.84; 95% CI: 0.73, 0.96), and Günther (HR: 0.84; 95% CI: 0.73.0.97) but not Dixon (HR: 1.01; 95% CI: 0.80, 1.28).\nCONCLUSION: The consistency in findings, particularly in men, suggests that all indexes capture an underlying construct inherent in the DASH dietary pattern, although the specific index used can affect results.","DOI":"10.3945/ajcn.113.063602","ISSN":"1938-3207","note":"PMID: 23864539\nPMCID: PMC3743737","title-short":"Comparison of 4 established DASH diet indexes","journalAbbreviation":"Am. J. Clin. Nutr.","language":"eng","author":[{"family":"Miller","given":"Paige E."},{"family":"Cross","given":"Amanda J."},{"family":"Subar","given":"Amy F."},{"family":"Krebs-Smith","given":"Susan M."},{"family":"Park","given":"Yikyung"},{"family":"Powell-Wiley","given":"Tiffany"},{"family":"Hollenbeck","given":"Albert"},{"family":"Reedy","given":"Jill"}],"issued":{"date-parts":[["2013",9]]}}}],"schema":"https://github.com/citation-style-language/schema/raw/master/csl-citation.json"} </w:instrText>
      </w:r>
      <w:r w:rsidRPr="003160F8">
        <w:rPr>
          <w:lang w:val="en-GB"/>
        </w:rPr>
        <w:fldChar w:fldCharType="separate"/>
      </w:r>
      <w:r w:rsidR="00EB378A" w:rsidRPr="003160F8">
        <w:rPr>
          <w:lang w:val="en-GB"/>
        </w:rPr>
        <w:t>[</w:t>
      </w:r>
      <w:r w:rsidR="00534555" w:rsidRPr="003160F8">
        <w:rPr>
          <w:lang w:val="en-GB"/>
        </w:rPr>
        <w:t>38</w:t>
      </w:r>
      <w:r w:rsidR="00EB378A" w:rsidRPr="003160F8">
        <w:rPr>
          <w:lang w:val="en-GB"/>
        </w:rPr>
        <w:t>]</w:t>
      </w:r>
      <w:r w:rsidRPr="003160F8">
        <w:rPr>
          <w:lang w:val="en-GB"/>
        </w:rPr>
        <w:fldChar w:fldCharType="end"/>
      </w:r>
      <w:r w:rsidRPr="003160F8">
        <w:rPr>
          <w:lang w:val="en-GB"/>
        </w:rPr>
        <w:t>. A consequence of the quintile-based design used in Fung’s scoring system and our DASH score, (determined by the specific cohort distribution of each food component), is that it discriminates individuals within each cohort but not necessarily between cohorts. Hence, identical scores in different cohorts may reflect similar dietary quality but could also arise from differences in FFQ characteristics (diverse lengths and details) across cohorts. Moreover, methodological choices such as caloric exclusion (e.g. Generation R) might generate cohort variability. However, the main aim in this study is to create a DASH score for all cohorts within our consortium using harmonised dietary data to reduce heterogeneity. To this end, the quintile approach is less prone to measurement error (as FFQs were used in all our cohorts) and the resulting cohort-specific DASH score should be a valid tool for intra-cohort ranking of dietary quality, which can be used for cohort-specific association analysis with health outcomes and subsequent meta-analysis.</w:t>
      </w:r>
    </w:p>
    <w:p w14:paraId="6EEADF7F" w14:textId="2346FE8A" w:rsidR="009B401F" w:rsidRPr="003160F8" w:rsidRDefault="00A33971" w:rsidP="00A33971">
      <w:pPr>
        <w:pStyle w:val="MDPI22heading2"/>
        <w:rPr>
          <w:noProof w:val="0"/>
          <w:lang w:val="en-GB"/>
        </w:rPr>
      </w:pPr>
      <w:r w:rsidRPr="003160F8">
        <w:rPr>
          <w:noProof w:val="0"/>
          <w:lang w:val="en-GB"/>
        </w:rPr>
        <w:t xml:space="preserve">4.3. </w:t>
      </w:r>
      <w:r w:rsidR="009B401F" w:rsidRPr="003160F8">
        <w:rPr>
          <w:noProof w:val="0"/>
          <w:lang w:val="en-GB"/>
        </w:rPr>
        <w:t xml:space="preserve">Dietary </w:t>
      </w:r>
      <w:r w:rsidR="00C73C94" w:rsidRPr="003160F8">
        <w:rPr>
          <w:noProof w:val="0"/>
          <w:lang w:val="en-GB"/>
        </w:rPr>
        <w:t>Data Utilisation</w:t>
      </w:r>
    </w:p>
    <w:p w14:paraId="438CEBCB" w14:textId="0AC4B308" w:rsidR="009B401F" w:rsidRPr="003160F8" w:rsidRDefault="009B401F" w:rsidP="00A33971">
      <w:pPr>
        <w:pStyle w:val="MDPI31text"/>
        <w:rPr>
          <w:lang w:val="en-GB"/>
        </w:rPr>
      </w:pPr>
      <w:r w:rsidRPr="003160F8">
        <w:rPr>
          <w:lang w:val="en-GB"/>
        </w:rPr>
        <w:t xml:space="preserve">Each cohort had its own protocol for measuring food intake. </w:t>
      </w:r>
      <w:r w:rsidR="0022478E" w:rsidRPr="003160F8">
        <w:rPr>
          <w:lang w:val="en-GB"/>
        </w:rPr>
        <w:t xml:space="preserve">Indeed, </w:t>
      </w:r>
      <w:r w:rsidRPr="003160F8">
        <w:rPr>
          <w:lang w:val="en-GB"/>
        </w:rPr>
        <w:t>the FFQs varied in length (from 43 to 293 food items), level of detail (from 5 to 9 response categories)</w:t>
      </w:r>
      <w:r w:rsidR="00C35699">
        <w:rPr>
          <w:lang w:val="en-GB"/>
        </w:rPr>
        <w:t>,</w:t>
      </w:r>
      <w:r w:rsidRPr="003160F8">
        <w:rPr>
          <w:lang w:val="en-GB"/>
        </w:rPr>
        <w:t xml:space="preserve"> and portion sizes used in the semi-quantitative FFQ </w:t>
      </w:r>
      <w:r w:rsidR="0022478E" w:rsidRPr="003160F8">
        <w:rPr>
          <w:lang w:val="en-GB"/>
        </w:rPr>
        <w:t>(co</w:t>
      </w:r>
      <w:r w:rsidRPr="003160F8">
        <w:rPr>
          <w:lang w:val="en-GB"/>
        </w:rPr>
        <w:t>untry- or region-specific</w:t>
      </w:r>
      <w:r w:rsidR="0022478E" w:rsidRPr="003160F8">
        <w:rPr>
          <w:lang w:val="en-GB"/>
        </w:rPr>
        <w:t>)</w:t>
      </w:r>
      <w:r w:rsidRPr="003160F8">
        <w:rPr>
          <w:lang w:val="en-GB"/>
        </w:rPr>
        <w:t>. Such differences likely result in discrepancies in estimated intake. However, DASH scores incorporate a significant part of each FFQ: 48.1 to 79.1% of food items included in the FFQs (without alcohol); and the majority of food components comprise a significant number of food items. Indeed, except for a limited number of groups in ALSPAC and REPRO_PL, all food components relied on at least 5 food items. In addition, correlations between DASH scores calculated from frequencies and amounts (for cohorts with data available in both units) were very high. Thus, the method to derive the DASH score is robust and insensitive to country specific cultural habits which could impact portion sizes. Although FFQs have limitations such as recall or reporting biases, most of the FFQs were validated within each cohort in ALPHABET, and are, as already demonstrated in former studies</w:t>
      </w:r>
      <w:r w:rsidR="00C35699">
        <w:rPr>
          <w:lang w:val="en-GB"/>
        </w:rPr>
        <w:t>,</w:t>
      </w:r>
      <w:r w:rsidRPr="003160F8">
        <w:rPr>
          <w:lang w:val="en-GB"/>
        </w:rPr>
        <w:t xml:space="preserve"> an appropriate tool to rank women based on energy, nutrients</w:t>
      </w:r>
      <w:r w:rsidR="00C35699">
        <w:rPr>
          <w:lang w:val="en-GB"/>
        </w:rPr>
        <w:t>,</w:t>
      </w:r>
      <w:r w:rsidRPr="003160F8">
        <w:rPr>
          <w:lang w:val="en-GB"/>
        </w:rPr>
        <w:t xml:space="preserve"> and food intakes </w:t>
      </w:r>
      <w:r w:rsidRPr="003160F8">
        <w:rPr>
          <w:lang w:val="en-GB"/>
        </w:rPr>
        <w:fldChar w:fldCharType="begin"/>
      </w:r>
      <w:r w:rsidR="00534555" w:rsidRPr="003160F8">
        <w:rPr>
          <w:lang w:val="en-GB"/>
        </w:rPr>
        <w:instrText xml:space="preserve"> ADDIN ZOTERO_ITEM CSL_CITATION {"citationID":"coICE5U4","properties":{"formattedCitation":"(64\\uc0\\u8211{}66)","plainCitation":"(64–66)","noteIndex":0},"citationItems":[{"id":46,"uris":["http://zotero.org/users/4872814/items/P5TIENGM"],"uri":["http://zotero.org/users/4872814/items/P5TIENGM"],"itemData":{"id":46,"type":"article-journal","title":"Relative validity of an FFQ to estimate daily food and nutrient intakes for Chilean adults","container-title":"Public Health Nutrition","page":"1782-1788","volume":"16","issue":"10","source":"PubMed","abstract":"OBJECTIVE: FFQ are commonly used to rank individuals by their food and nutrient intakes in large epidemiological studies. The purpose of the present study was to develop and validate an FFQ to rank individuals participating in an ongoing Prospective Urban and Rural Epidemiological (PURE) study in Chile.\nDESIGN: An FFQ and four 24 h dietary recalls were completed over 1 year. Pearson correlation coefficients, energy-adjusted and de-attenuated correlations and weighted kappa were computed between the dietary recalls and the FFQ. The level of agreement between the two dietary assessment methods was evaluated by Bland-Altman analysis.\nSETTING: Temuco, Chile.\nSUBJECTS: Overall, 166 women and men enrolled in the present study. One hundred men and women participated in FFQ development and sixty-six individuals participated in FFQ validation.\nRESULTS: The FFQ consisted of 109 food items. For nutrients, the crude correlation coefficients between the dietary recalls and FFQ varied from 0.14 (protein) to 0.44 (fat). Energy adjustment and de-attenuation improved correlation coefficients and almost all correlation coefficients exceeded 0.40. Similar correlation coefficients were observed for food groups; the highest de-attenuated energy adjusted correlation coefficient was found for margarine and butter (0.75) and the lowest for potatoes (0.12).\nCONCLUSIONS: The FFQ showed moderate to high agreement for most nutrients and food groups, and can be used to rank individuals based on energy, nutrient and food intakes. The validation study was conducted in a unique setting and indicated that the tool is valid for use by adults in Chile.","DOI":"10.1017/S1368980012004107","ISSN":"1475-2727","note":"PMID: 22995762","journalAbbreviation":"Public Health Nutr","language":"eng","author":[{"family":"Dehghan","given":"Mahshid"},{"family":"Martinez","given":"Solange"},{"family":"Zhang","given":"Xiaohe"},{"family":"Seron","given":"Pamela"},{"family":"Lanas","given":"Fernando"},{"family":"Islam","given":"Shofiqul"},{"family":"Merchant","given":"Anwar T."}],"issued":{"date-parts":[["2013",10]]}}},{"id":47,"uris":["http://zotero.org/users/4872814/items/W4WTZF4M"],"uri":["http://zotero.org/users/4872814/items/W4WTZF4M"],"itemData":{"id":47,"type":"article-journal","title":"Reproducibility and validity of a food frequency questionnaire among pregnant women in a Mediterranean area","container-title":"Nutrition Journal","page":"26","volume":"12","source":"PubMed Central","abstract":"Background\nStudies exploring the role of diet during pregnancy are still scarce, in part due to the complexity of measuring diet and to the lack of valid instruments. The aim of this study was to examine the reproducibility and validity (against biochemical biomarkers) of a semi-quantitative food frequency questionnaire (FFQ) in pregnant women.\n\nMethods\nParticipants were 740 pregnant women from a population-based birth cohort study in Valencia (INMA Study). We compared nutrient and food intakes from FFQs estimated for two periods of pregnancy (reproducibility), and compared energy-adjusted intake of several carotenoids, folate, vitamin B12, vitamin C and α-tocopherol of the FFQ in the first trimester with their concentration in blood specimens (validity).\n\nResults\nSignificant correlations for reproducibility were found for major food groups and nutrients but not for lycopene (r=0.06); the average correlation coefficients for daily intake were 0.51 for food groups and 0.61 for nutrients. For validity, statistically significant correlations were observed for vitamin C (0.18), α-carotene (0.32), β-carotene (0.22), lutein-zeaxantin (0.29) and β-cryptoxantin(0.26); non-significant correlations were observed for retinol, lycopene, α-tocopherol, vitamin B12 and folate (r≤0.12). When dietary supplement use was considered, correlations were substantially improved for folate (0.53) and to a lesser extent for vitamin B12 (0.12) and vitamin C (0.20).\n\nConclusion\nThis study supports that the FFQ has a good reproducibility for nutrient and food intake, and can provide a valid estimate of several important nutrients during pregnancy.","DOI":"10.1186/1475-2891-12-26","ISSN":"1475-2891","note":"PMID: 23421854\nPMCID: PMC3584829","journalAbbreviation":"Nutr J","author":[{"family":"Vioque","given":"Jesús"},{"family":"Navarrete-Muñoz","given":"Eva-María"},{"family":"Gimenez-Monzó","given":"Daniel"},{"family":"García-de-la-Hera","given":"Manuela"},{"family":"Granado","given":"Fernando"},{"family":"Young","given":"Ian S"},{"family":"Ramón","given":"Rosa"},{"family":"Ballester","given":"Ferran"},{"family":"Murcia","given":"Mario"},{"family":"Rebagliato","given":"Marisa"},{"family":"Iñiguez","given":"Carmen"}],"issued":{"date-parts":[["2013",2,19]]}}},{"id":45,"uris":["http://zotero.org/users/4872814/items/XWKJ5Z4C"],"uri":["http://zotero.org/users/4872814/items/XWKJ5Z4C"],"itemData":{"id":45,"type":"article-journal","title":"Validation of Nutrient Intake Estimates Derived Using a Semi-Quantitative FFQ against 3 Day Diet Records in the Baltimore Longitudinal Study of Aging","container-title":"The Journal of Nutrition, Health &amp; Aging","page":"994-1002","volume":"19","issue":"10","source":"PubMed","abstract":"OBJECTIVE: To examine the relative validity of a multicultural FFQ used to derive nutrient intake estimates in a community dwelling cohort of younger and older men and women compared with those derived from 3 day (3d) diet records during the same time-frame.\nDESIGN: Cross-sectional analyses.\nSETTING: The Baltimore Longitudinal Study of Aging (BLSA) conducted in the Baltimore, MD and District of Columbia areas.\nPARTICIPANTS: A subset (n=468, aged 26 to 95 years (y), 47% female, 65% non-Hispanic white) from the BLSA, with complete data for nutrient estimates from a FFQ and 3d diet records.\nMEASUREMENTS: Pearson's correlation coefficients (energy adjusted and de-attenuated) for intakes of energy and 26 nutrients estimated from the FFQ and the mean of 3d diet records were calculated in a cross-sectional analysis. Rankings of individuals based on FFQ for various nutrient intakes were compared to corresponding rankings based on the average of the 3d diet records. Bland Altman plots were examined for a visual representation of agreement between both assessment methods. All analyses were stratified by sex and age (above and below 65 y).\nRESULTS: Median nutrient intake estimates tended to be higher from the FFQ compared to average 3d diet records. Energy adjusted and de-attenuated correlations between FFQ intake estimates and records ranged from 0.23 (sodium intake in men) to 0.81 (alcohol intake in women). The FFQ classified more than 70 percent of participants in either the same or adjacent quartile categories for all nutrients examined. Bland Altman plots demonstrated good agreement between the assessment methods for most nutrients.\nCONCLUSIONS: This FFQ provides reasonably valid estimates of dietary intakes of younger and older participants of the BLSA.","DOI":"10.1007/s12603-015-0518-8","ISSN":"1760-4788","note":"PMID: 26624210","journalAbbreviation":"J Nutr Health Aging","language":"eng","author":[{"family":"Talegawkar","given":"S. A."},{"family":"Tanaka","given":"T."},{"family":"Maras","given":"J. E."},{"family":"Ferrucci","given":"L."},{"family":"Tucker","given":"K. L."}],"issued":{"date-parts":[["2015",12]]}}}],"schema":"https://github.com/citation-style-language/schema/raw/master/csl-citation.json"} </w:instrText>
      </w:r>
      <w:r w:rsidRPr="003160F8">
        <w:rPr>
          <w:lang w:val="en-GB"/>
        </w:rPr>
        <w:fldChar w:fldCharType="separate"/>
      </w:r>
      <w:r w:rsidR="00EB378A" w:rsidRPr="003160F8">
        <w:rPr>
          <w:szCs w:val="24"/>
          <w:lang w:val="en-GB"/>
        </w:rPr>
        <w:t>[</w:t>
      </w:r>
      <w:r w:rsidR="00534555" w:rsidRPr="003160F8">
        <w:rPr>
          <w:szCs w:val="24"/>
          <w:lang w:val="en-GB"/>
        </w:rPr>
        <w:t>64–66</w:t>
      </w:r>
      <w:r w:rsidR="00EB378A" w:rsidRPr="003160F8">
        <w:rPr>
          <w:szCs w:val="24"/>
          <w:lang w:val="en-GB"/>
        </w:rPr>
        <w:t>]</w:t>
      </w:r>
      <w:r w:rsidRPr="003160F8">
        <w:rPr>
          <w:lang w:val="en-GB"/>
        </w:rPr>
        <w:fldChar w:fldCharType="end"/>
      </w:r>
      <w:r w:rsidRPr="003160F8">
        <w:rPr>
          <w:lang w:val="en-GB"/>
        </w:rPr>
        <w:t xml:space="preserve">. </w:t>
      </w:r>
    </w:p>
    <w:p w14:paraId="103EB0E0" w14:textId="126C9CF4" w:rsidR="002549C8" w:rsidRPr="003160F8" w:rsidRDefault="00A33971" w:rsidP="00A33971">
      <w:pPr>
        <w:pStyle w:val="MDPI21heading1"/>
        <w:rPr>
          <w:lang w:val="en-GB"/>
        </w:rPr>
      </w:pPr>
      <w:r w:rsidRPr="003160F8">
        <w:rPr>
          <w:lang w:val="en-GB"/>
        </w:rPr>
        <w:t xml:space="preserve">5. </w:t>
      </w:r>
      <w:r w:rsidR="002549C8" w:rsidRPr="003160F8">
        <w:rPr>
          <w:lang w:val="en-GB"/>
        </w:rPr>
        <w:t>Conclusions</w:t>
      </w:r>
    </w:p>
    <w:p w14:paraId="50144AF4" w14:textId="3714F806" w:rsidR="009B401F" w:rsidRPr="003160F8" w:rsidRDefault="009B401F" w:rsidP="00A33971">
      <w:pPr>
        <w:pStyle w:val="MDPI31text"/>
        <w:rPr>
          <w:lang w:val="en-GB"/>
        </w:rPr>
      </w:pPr>
      <w:bookmarkStart w:id="9" w:name="_Toc534623721"/>
      <w:r w:rsidRPr="003160F8">
        <w:rPr>
          <w:lang w:val="en-GB"/>
        </w:rPr>
        <w:t>In conclusion</w:t>
      </w:r>
      <w:bookmarkEnd w:id="9"/>
      <w:r w:rsidRPr="003160F8">
        <w:rPr>
          <w:lang w:val="en-GB"/>
        </w:rPr>
        <w:t>, we developed a DASH score composed of eight food components and adapted to the ALPHABET consortium’s specificities. This work was essential for conducting future meta-analyses within the ALPHABET consortium and will permit us to explore the interplay between maternal diet quality, epigenetics</w:t>
      </w:r>
      <w:r w:rsidR="00C35699">
        <w:rPr>
          <w:lang w:val="en-GB"/>
        </w:rPr>
        <w:t>,</w:t>
      </w:r>
      <w:r w:rsidRPr="003160F8">
        <w:rPr>
          <w:lang w:val="en-GB"/>
        </w:rPr>
        <w:t xml:space="preserve"> and offspring health. We demonstrated the feasibility of harmonising existing dietary intake data from diverse studies. The explanations of the method used to derive DASH scores and the challenges faced during this process may be useful to guide other researchers in adapting the DASH score to their study’s specificities. </w:t>
      </w:r>
    </w:p>
    <w:p w14:paraId="3DAF5887" w14:textId="1716FCA0" w:rsidR="00435811" w:rsidRPr="003160F8" w:rsidRDefault="00435811" w:rsidP="00101347">
      <w:pPr>
        <w:pStyle w:val="MDPI61Supplementary"/>
        <w:spacing w:before="120"/>
        <w:rPr>
          <w:color w:val="auto"/>
          <w:lang w:val="en-GB"/>
        </w:rPr>
      </w:pPr>
      <w:r w:rsidRPr="003160F8">
        <w:rPr>
          <w:b/>
          <w:color w:val="auto"/>
          <w:lang w:val="en-GB"/>
        </w:rPr>
        <w:t>Supplementary Materials:</w:t>
      </w:r>
      <w:r w:rsidRPr="003160F8">
        <w:rPr>
          <w:color w:val="auto"/>
          <w:lang w:val="en-GB"/>
        </w:rPr>
        <w:t xml:space="preserve"> The following are available online at </w:t>
      </w:r>
      <w:r w:rsidR="0021329E" w:rsidRPr="003160F8">
        <w:rPr>
          <w:color w:val="auto"/>
          <w:lang w:val="en-GB"/>
        </w:rPr>
        <w:t>www.mdpi.com/xxx/s1</w:t>
      </w:r>
      <w:r w:rsidRPr="003160F8">
        <w:rPr>
          <w:color w:val="auto"/>
          <w:lang w:val="en-GB"/>
        </w:rPr>
        <w:t xml:space="preserve">, </w:t>
      </w:r>
      <w:r w:rsidR="0043246F" w:rsidRPr="003160F8">
        <w:rPr>
          <w:color w:val="auto"/>
          <w:lang w:val="en-GB"/>
        </w:rPr>
        <w:t>Table S1: FFQ frequency scales of the ALPHABET consortium</w:t>
      </w:r>
      <w:r w:rsidR="00101347" w:rsidRPr="003160F8">
        <w:rPr>
          <w:color w:val="auto"/>
          <w:lang w:val="en-GB"/>
        </w:rPr>
        <w:t xml:space="preserve">; </w:t>
      </w:r>
      <w:r w:rsidR="0043246F" w:rsidRPr="003160F8">
        <w:rPr>
          <w:color w:val="auto"/>
          <w:lang w:val="en-GB"/>
        </w:rPr>
        <w:t>Table S2: Summary of included and excluded foods for each food components composing the DASH index</w:t>
      </w:r>
      <w:r w:rsidR="00101347" w:rsidRPr="003160F8">
        <w:rPr>
          <w:color w:val="auto"/>
          <w:lang w:val="en-GB"/>
        </w:rPr>
        <w:t xml:space="preserve">; </w:t>
      </w:r>
      <w:r w:rsidR="0043246F" w:rsidRPr="003160F8">
        <w:rPr>
          <w:color w:val="auto"/>
          <w:lang w:val="en-GB"/>
        </w:rPr>
        <w:t>Table S3: Spearman’s correlation coefficients (rho (95% CI)) between DASH scores from frequencies and amounts, by cohort and period in ALPHABET.</w:t>
      </w:r>
    </w:p>
    <w:p w14:paraId="0AE4143B" w14:textId="77777777" w:rsidR="008E2043" w:rsidRPr="003160F8" w:rsidRDefault="008E2043" w:rsidP="00101347">
      <w:pPr>
        <w:pStyle w:val="MDPI61Supplementary"/>
        <w:spacing w:before="120"/>
        <w:rPr>
          <w:color w:val="auto"/>
          <w:lang w:val="en-GB"/>
        </w:rPr>
      </w:pPr>
      <w:r w:rsidRPr="003160F8">
        <w:rPr>
          <w:b/>
          <w:color w:val="auto"/>
          <w:lang w:val="en-GB"/>
        </w:rPr>
        <w:t>Ethical approvals:</w:t>
      </w:r>
      <w:r w:rsidRPr="003160F8">
        <w:rPr>
          <w:color w:val="auto"/>
          <w:lang w:val="en-GB"/>
        </w:rPr>
        <w:t xml:space="preserve"> Specific cohort approvals are as follows: </w:t>
      </w:r>
      <w:r w:rsidRPr="003160F8">
        <w:rPr>
          <w:b/>
          <w:color w:val="auto"/>
          <w:lang w:val="en-GB"/>
        </w:rPr>
        <w:t>ALSPAC:</w:t>
      </w:r>
      <w:r w:rsidRPr="003160F8">
        <w:rPr>
          <w:color w:val="auto"/>
          <w:lang w:val="en-GB"/>
        </w:rPr>
        <w:t xml:space="preserve"> ALSPAC Ethics and Law Committee (IRB00003312) and Local Research Ethics Committees; </w:t>
      </w:r>
      <w:r w:rsidRPr="003160F8">
        <w:rPr>
          <w:b/>
          <w:color w:val="auto"/>
          <w:lang w:val="en-GB"/>
        </w:rPr>
        <w:t>EDEN:</w:t>
      </w:r>
      <w:r w:rsidRPr="003160F8">
        <w:rPr>
          <w:color w:val="auto"/>
          <w:lang w:val="en-GB"/>
        </w:rPr>
        <w:t xml:space="preserve"> Ethics Committee (CCPPRB) and CNIL (Commission Nationale Informatique et Liberté), the French data privacy institution; </w:t>
      </w:r>
      <w:r w:rsidRPr="003160F8">
        <w:rPr>
          <w:b/>
          <w:color w:val="auto"/>
          <w:lang w:val="en-GB"/>
        </w:rPr>
        <w:t>Generation R:</w:t>
      </w:r>
      <w:r w:rsidRPr="003160F8">
        <w:rPr>
          <w:color w:val="auto"/>
          <w:lang w:val="en-GB"/>
        </w:rPr>
        <w:t xml:space="preserve"> Medical Ethical Committee of the Erasmus Medical Center, Rotterdam; </w:t>
      </w:r>
      <w:r w:rsidRPr="003160F8">
        <w:rPr>
          <w:b/>
          <w:color w:val="auto"/>
          <w:lang w:val="en-GB"/>
        </w:rPr>
        <w:t>Lifeways:</w:t>
      </w:r>
      <w:r w:rsidRPr="003160F8">
        <w:rPr>
          <w:color w:val="auto"/>
          <w:lang w:val="en-GB"/>
        </w:rPr>
        <w:t xml:space="preserve"> University College Dublin Research Ethics Committee and St. Vincent’s University Hospital Research Ethics Committee; </w:t>
      </w:r>
      <w:r w:rsidRPr="003160F8">
        <w:rPr>
          <w:b/>
          <w:color w:val="auto"/>
          <w:lang w:val="en-GB"/>
        </w:rPr>
        <w:t>REPRO_PL:</w:t>
      </w:r>
      <w:r w:rsidRPr="003160F8">
        <w:rPr>
          <w:color w:val="auto"/>
          <w:lang w:val="en-GB"/>
        </w:rPr>
        <w:t xml:space="preserve"> Ethical Committee of the Nofer Institute of Occupational Medicine, Łódź, Poland (Decision No. 7/2007); </w:t>
      </w:r>
      <w:r w:rsidRPr="003160F8">
        <w:rPr>
          <w:b/>
          <w:color w:val="auto"/>
          <w:lang w:val="en-GB"/>
        </w:rPr>
        <w:t>ROLO:</w:t>
      </w:r>
      <w:r w:rsidRPr="003160F8">
        <w:rPr>
          <w:color w:val="auto"/>
          <w:lang w:val="en-GB"/>
        </w:rPr>
        <w:t xml:space="preserve"> Ethics Committee of the National Maternity Hospital, Dublin, Ireland;</w:t>
      </w:r>
      <w:r w:rsidRPr="003160F8">
        <w:rPr>
          <w:b/>
          <w:color w:val="auto"/>
          <w:lang w:val="en-GB"/>
        </w:rPr>
        <w:t xml:space="preserve"> SWS:</w:t>
      </w:r>
      <w:r w:rsidRPr="003160F8">
        <w:rPr>
          <w:color w:val="auto"/>
          <w:lang w:val="en-GB"/>
        </w:rPr>
        <w:t xml:space="preserve"> Southampton and South West Hampshire Research Ethics Committee, ALSPAC Law and Ethics Committee, and the Local Research Ethics Committees.</w:t>
      </w:r>
    </w:p>
    <w:p w14:paraId="2B0DAE6F" w14:textId="1B12B341" w:rsidR="00AC7500" w:rsidRPr="003160F8" w:rsidRDefault="00B42244" w:rsidP="00BA7532">
      <w:pPr>
        <w:pStyle w:val="MDPI63AuthorContributions"/>
        <w:rPr>
          <w:rFonts w:eastAsia="Times New Roman"/>
          <w:lang w:val="en-GB"/>
        </w:rPr>
      </w:pPr>
      <w:r w:rsidRPr="003160F8">
        <w:rPr>
          <w:b/>
          <w:lang w:val="en-GB"/>
        </w:rPr>
        <w:t xml:space="preserve">Author Contributions: </w:t>
      </w:r>
      <w:r w:rsidR="00D225DF" w:rsidRPr="003160F8">
        <w:rPr>
          <w:rFonts w:eastAsia="Times New Roman"/>
          <w:lang w:val="en-GB"/>
        </w:rPr>
        <w:t>Conceptualization, A</w:t>
      </w:r>
      <w:r w:rsidR="002616E7" w:rsidRPr="003160F8">
        <w:rPr>
          <w:rFonts w:eastAsia="Times New Roman"/>
          <w:lang w:val="en-GB"/>
        </w:rPr>
        <w:t>.</w:t>
      </w:r>
      <w:r w:rsidR="00D225DF" w:rsidRPr="003160F8">
        <w:rPr>
          <w:rFonts w:eastAsia="Times New Roman"/>
          <w:lang w:val="en-GB"/>
        </w:rPr>
        <w:t>M.A</w:t>
      </w:r>
      <w:r w:rsidR="002616E7" w:rsidRPr="003160F8">
        <w:rPr>
          <w:rFonts w:eastAsia="Times New Roman"/>
          <w:lang w:val="en-GB"/>
        </w:rPr>
        <w:t>.</w:t>
      </w:r>
      <w:r w:rsidR="00D225DF" w:rsidRPr="003160F8">
        <w:rPr>
          <w:rFonts w:eastAsia="Times New Roman"/>
          <w:lang w:val="en-GB"/>
        </w:rPr>
        <w:t>, A</w:t>
      </w:r>
      <w:r w:rsidR="002616E7" w:rsidRPr="003160F8">
        <w:rPr>
          <w:rFonts w:eastAsia="Times New Roman"/>
          <w:lang w:val="en-GB"/>
        </w:rPr>
        <w:t>.</w:t>
      </w:r>
      <w:r w:rsidR="00D225DF" w:rsidRPr="003160F8">
        <w:rPr>
          <w:rFonts w:eastAsia="Times New Roman"/>
          <w:lang w:val="en-GB"/>
        </w:rPr>
        <w:t>F</w:t>
      </w:r>
      <w:r w:rsidR="002616E7" w:rsidRPr="003160F8">
        <w:rPr>
          <w:rFonts w:eastAsia="Times New Roman"/>
          <w:lang w:val="en-GB"/>
        </w:rPr>
        <w:t>.</w:t>
      </w:r>
      <w:r w:rsidR="00D225DF" w:rsidRPr="003160F8">
        <w:rPr>
          <w:rFonts w:eastAsia="Times New Roman"/>
          <w:lang w:val="en-GB"/>
        </w:rPr>
        <w:t>, C</w:t>
      </w:r>
      <w:r w:rsidR="002616E7" w:rsidRPr="003160F8">
        <w:rPr>
          <w:rFonts w:eastAsia="Times New Roman"/>
          <w:lang w:val="en-GB"/>
        </w:rPr>
        <w:t>.</w:t>
      </w:r>
      <w:r w:rsidR="00D225DF" w:rsidRPr="003160F8">
        <w:rPr>
          <w:rFonts w:eastAsia="Times New Roman"/>
          <w:lang w:val="en-GB"/>
        </w:rPr>
        <w:t>M</w:t>
      </w:r>
      <w:r w:rsidR="002616E7" w:rsidRPr="003160F8">
        <w:rPr>
          <w:rFonts w:eastAsia="Times New Roman"/>
          <w:lang w:val="en-GB"/>
        </w:rPr>
        <w:t>.</w:t>
      </w:r>
      <w:r w:rsidR="00D225DF" w:rsidRPr="003160F8">
        <w:rPr>
          <w:rFonts w:eastAsia="Times New Roman"/>
          <w:lang w:val="en-GB"/>
        </w:rPr>
        <w:t>P</w:t>
      </w:r>
      <w:r w:rsidR="002616E7" w:rsidRPr="003160F8">
        <w:rPr>
          <w:rFonts w:eastAsia="Times New Roman"/>
          <w:lang w:val="en-GB"/>
        </w:rPr>
        <w:t>.</w:t>
      </w:r>
      <w:r w:rsidR="00D225DF" w:rsidRPr="003160F8">
        <w:rPr>
          <w:rFonts w:eastAsia="Times New Roman"/>
          <w:lang w:val="en-GB"/>
        </w:rPr>
        <w:t>, B</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E253B5">
        <w:rPr>
          <w:rFonts w:eastAsia="Times New Roman"/>
          <w:lang w:val="en-GB"/>
        </w:rPr>
        <w:t>,</w:t>
      </w:r>
      <w:r w:rsidR="00D225DF" w:rsidRPr="003160F8">
        <w:rPr>
          <w:rFonts w:eastAsia="Times New Roman"/>
          <w:lang w:val="en-GB"/>
        </w:rPr>
        <w:t xml:space="preserve"> and J</w:t>
      </w:r>
      <w:r w:rsidR="002616E7" w:rsidRPr="003160F8">
        <w:rPr>
          <w:rFonts w:eastAsia="Times New Roman"/>
          <w:lang w:val="en-GB"/>
        </w:rPr>
        <w:t>.</w:t>
      </w:r>
      <w:r w:rsidR="00D225DF" w:rsidRPr="003160F8">
        <w:rPr>
          <w:rFonts w:eastAsia="Times New Roman"/>
          <w:lang w:val="en-GB"/>
        </w:rPr>
        <w:t>Y</w:t>
      </w:r>
      <w:r w:rsidR="002616E7" w:rsidRPr="003160F8">
        <w:rPr>
          <w:rFonts w:eastAsia="Times New Roman"/>
          <w:lang w:val="en-GB"/>
        </w:rPr>
        <w:t>.</w:t>
      </w:r>
      <w:r w:rsidR="00D225DF" w:rsidRPr="003160F8">
        <w:rPr>
          <w:rFonts w:eastAsia="Times New Roman"/>
          <w:lang w:val="en-GB"/>
        </w:rPr>
        <w:t>B</w:t>
      </w:r>
      <w:r w:rsidR="002616E7" w:rsidRPr="003160F8">
        <w:rPr>
          <w:rFonts w:eastAsia="Times New Roman"/>
          <w:lang w:val="en-GB"/>
        </w:rPr>
        <w:t>.</w:t>
      </w:r>
      <w:r w:rsidR="00D225DF" w:rsidRPr="003160F8">
        <w:rPr>
          <w:rFonts w:eastAsia="Times New Roman"/>
          <w:lang w:val="en-GB"/>
        </w:rPr>
        <w:t xml:space="preserve">; </w:t>
      </w:r>
      <w:r w:rsidR="00C35699">
        <w:rPr>
          <w:rFonts w:eastAsia="Times New Roman"/>
          <w:lang w:val="en-GB"/>
        </w:rPr>
        <w:t>d</w:t>
      </w:r>
      <w:r w:rsidR="00D225DF" w:rsidRPr="003160F8">
        <w:rPr>
          <w:rFonts w:eastAsia="Times New Roman"/>
          <w:lang w:val="en-GB"/>
        </w:rPr>
        <w:t>ata curation, A</w:t>
      </w:r>
      <w:r w:rsidR="002616E7" w:rsidRPr="003160F8">
        <w:rPr>
          <w:rFonts w:eastAsia="Times New Roman"/>
          <w:lang w:val="en-GB"/>
        </w:rPr>
        <w:t>.</w:t>
      </w:r>
      <w:r w:rsidR="00D225DF" w:rsidRPr="003160F8">
        <w:rPr>
          <w:rFonts w:eastAsia="Times New Roman"/>
          <w:lang w:val="en-GB"/>
        </w:rPr>
        <w:t>M</w:t>
      </w:r>
      <w:r w:rsidR="002616E7" w:rsidRPr="003160F8">
        <w:rPr>
          <w:rFonts w:eastAsia="Times New Roman"/>
          <w:lang w:val="en-GB"/>
        </w:rPr>
        <w:t>.</w:t>
      </w:r>
      <w:r w:rsidR="00D225DF" w:rsidRPr="003160F8">
        <w:rPr>
          <w:rFonts w:eastAsia="Times New Roman"/>
          <w:lang w:val="en-GB"/>
        </w:rPr>
        <w:t>A</w:t>
      </w:r>
      <w:r w:rsidR="002616E7" w:rsidRPr="003160F8">
        <w:rPr>
          <w:rFonts w:eastAsia="Times New Roman"/>
          <w:lang w:val="en-GB"/>
        </w:rPr>
        <w:t>.</w:t>
      </w:r>
      <w:r w:rsidR="00D225DF" w:rsidRPr="003160F8">
        <w:rPr>
          <w:rFonts w:eastAsia="Times New Roman"/>
          <w:lang w:val="en-GB"/>
        </w:rPr>
        <w:t>, A</w:t>
      </w:r>
      <w:r w:rsidR="002616E7" w:rsidRPr="003160F8">
        <w:rPr>
          <w:rFonts w:eastAsia="Times New Roman"/>
          <w:lang w:val="en-GB"/>
        </w:rPr>
        <w:t>.</w:t>
      </w:r>
      <w:r w:rsidR="00D225DF" w:rsidRPr="003160F8">
        <w:rPr>
          <w:rFonts w:eastAsia="Times New Roman"/>
          <w:lang w:val="en-GB"/>
        </w:rPr>
        <w:t>F</w:t>
      </w:r>
      <w:r w:rsidR="002616E7" w:rsidRPr="003160F8">
        <w:rPr>
          <w:rFonts w:eastAsia="Times New Roman"/>
          <w:lang w:val="en-GB"/>
        </w:rPr>
        <w:t>.</w:t>
      </w:r>
      <w:r w:rsidR="00D225DF" w:rsidRPr="003160F8">
        <w:rPr>
          <w:rFonts w:eastAsia="Times New Roman"/>
          <w:lang w:val="en-GB"/>
        </w:rPr>
        <w:t>, B</w:t>
      </w:r>
      <w:r w:rsidR="002616E7" w:rsidRPr="003160F8">
        <w:rPr>
          <w:rFonts w:eastAsia="Times New Roman"/>
          <w:lang w:val="en-GB"/>
        </w:rPr>
        <w:t>.</w:t>
      </w:r>
      <w:r w:rsidR="00D225DF" w:rsidRPr="003160F8">
        <w:rPr>
          <w:rFonts w:eastAsia="Times New Roman"/>
          <w:lang w:val="en-GB"/>
        </w:rPr>
        <w:t>d</w:t>
      </w:r>
      <w:r w:rsidR="002616E7" w:rsidRPr="003160F8">
        <w:rPr>
          <w:rFonts w:eastAsia="Times New Roman"/>
          <w:lang w:val="en-GB"/>
        </w:rPr>
        <w:t>.</w:t>
      </w:r>
      <w:r w:rsidR="00D225DF" w:rsidRPr="003160F8">
        <w:rPr>
          <w:rFonts w:eastAsia="Times New Roman"/>
          <w:lang w:val="en-GB"/>
        </w:rPr>
        <w:t>L</w:t>
      </w:r>
      <w:r w:rsidR="002616E7" w:rsidRPr="003160F8">
        <w:rPr>
          <w:rFonts w:eastAsia="Times New Roman"/>
          <w:lang w:val="en-GB"/>
        </w:rPr>
        <w:t>.</w:t>
      </w:r>
      <w:r w:rsidR="00D225DF" w:rsidRPr="003160F8">
        <w:rPr>
          <w:rFonts w:eastAsia="Times New Roman"/>
          <w:lang w:val="en-GB"/>
        </w:rPr>
        <w:t>-G</w:t>
      </w:r>
      <w:r w:rsidR="002616E7" w:rsidRPr="003160F8">
        <w:rPr>
          <w:rFonts w:eastAsia="Times New Roman"/>
          <w:lang w:val="en-GB"/>
        </w:rPr>
        <w:t>.</w:t>
      </w:r>
      <w:r w:rsidR="00D225DF" w:rsidRPr="003160F8">
        <w:rPr>
          <w:rFonts w:eastAsia="Times New Roman"/>
          <w:lang w:val="en-GB"/>
        </w:rPr>
        <w:t>, K</w:t>
      </w:r>
      <w:r w:rsidR="002616E7" w:rsidRPr="003160F8">
        <w:rPr>
          <w:rFonts w:eastAsia="Times New Roman"/>
          <w:lang w:val="en-GB"/>
        </w:rPr>
        <w:t>.</w:t>
      </w:r>
      <w:r w:rsidR="00D225DF" w:rsidRPr="003160F8">
        <w:rPr>
          <w:rFonts w:eastAsia="Times New Roman"/>
          <w:lang w:val="en-GB"/>
        </w:rPr>
        <w:t>P</w:t>
      </w:r>
      <w:r w:rsidR="002616E7" w:rsidRPr="003160F8">
        <w:rPr>
          <w:rFonts w:eastAsia="Times New Roman"/>
          <w:lang w:val="en-GB"/>
        </w:rPr>
        <w:t>.</w:t>
      </w:r>
      <w:r w:rsidR="00D225DF" w:rsidRPr="003160F8">
        <w:rPr>
          <w:rFonts w:eastAsia="Times New Roman"/>
          <w:lang w:val="en-GB"/>
        </w:rPr>
        <w:t>, W</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D225DF" w:rsidRPr="003160F8">
        <w:rPr>
          <w:rFonts w:eastAsia="Times New Roman"/>
          <w:lang w:val="en-GB"/>
        </w:rPr>
        <w:t>, A</w:t>
      </w:r>
      <w:r w:rsidR="002616E7" w:rsidRPr="003160F8">
        <w:rPr>
          <w:rFonts w:eastAsia="Times New Roman"/>
          <w:lang w:val="en-GB"/>
        </w:rPr>
        <w:t>.</w:t>
      </w:r>
      <w:r w:rsidR="00D225DF" w:rsidRPr="003160F8">
        <w:rPr>
          <w:rFonts w:eastAsia="Times New Roman"/>
          <w:lang w:val="en-GB"/>
        </w:rPr>
        <w:t>J</w:t>
      </w:r>
      <w:r w:rsidR="002616E7" w:rsidRPr="003160F8">
        <w:rPr>
          <w:rFonts w:eastAsia="Times New Roman"/>
          <w:lang w:val="en-GB"/>
        </w:rPr>
        <w:t>.</w:t>
      </w:r>
      <w:r w:rsidR="00E253B5">
        <w:rPr>
          <w:rFonts w:eastAsia="Times New Roman"/>
          <w:lang w:val="en-GB"/>
        </w:rPr>
        <w:t>,</w:t>
      </w:r>
      <w:r w:rsidR="00D225DF" w:rsidRPr="003160F8">
        <w:rPr>
          <w:rFonts w:eastAsia="Times New Roman"/>
          <w:lang w:val="en-GB"/>
        </w:rPr>
        <w:t xml:space="preserve"> and M</w:t>
      </w:r>
      <w:r w:rsidR="002616E7" w:rsidRPr="003160F8">
        <w:rPr>
          <w:rFonts w:eastAsia="Times New Roman"/>
          <w:lang w:val="en-GB"/>
        </w:rPr>
        <w:t>.</w:t>
      </w:r>
      <w:r w:rsidR="00D225DF" w:rsidRPr="003160F8">
        <w:rPr>
          <w:rFonts w:eastAsia="Times New Roman"/>
          <w:lang w:val="en-GB"/>
        </w:rPr>
        <w:t>S</w:t>
      </w:r>
      <w:r w:rsidR="002616E7" w:rsidRPr="003160F8">
        <w:rPr>
          <w:rFonts w:eastAsia="Times New Roman"/>
          <w:lang w:val="en-GB"/>
        </w:rPr>
        <w:t>.</w:t>
      </w:r>
      <w:r w:rsidR="00D225DF" w:rsidRPr="003160F8">
        <w:rPr>
          <w:rFonts w:eastAsia="Times New Roman"/>
          <w:lang w:val="en-GB"/>
        </w:rPr>
        <w:t xml:space="preserve">; </w:t>
      </w:r>
      <w:r w:rsidR="00C35699">
        <w:rPr>
          <w:rFonts w:eastAsia="Times New Roman"/>
          <w:lang w:val="en-GB"/>
        </w:rPr>
        <w:t>f</w:t>
      </w:r>
      <w:r w:rsidR="00D225DF" w:rsidRPr="003160F8">
        <w:rPr>
          <w:rFonts w:eastAsia="Times New Roman"/>
          <w:lang w:val="en-GB"/>
        </w:rPr>
        <w:t>ormal analysis, A</w:t>
      </w:r>
      <w:r w:rsidR="002616E7" w:rsidRPr="003160F8">
        <w:rPr>
          <w:rFonts w:eastAsia="Times New Roman"/>
          <w:lang w:val="en-GB"/>
        </w:rPr>
        <w:t>.</w:t>
      </w:r>
      <w:r w:rsidR="00D225DF" w:rsidRPr="003160F8">
        <w:rPr>
          <w:rFonts w:eastAsia="Times New Roman"/>
          <w:lang w:val="en-GB"/>
        </w:rPr>
        <w:t>M</w:t>
      </w:r>
      <w:r w:rsidR="002616E7" w:rsidRPr="003160F8">
        <w:rPr>
          <w:rFonts w:eastAsia="Times New Roman"/>
          <w:lang w:val="en-GB"/>
        </w:rPr>
        <w:t>.</w:t>
      </w:r>
      <w:r w:rsidR="00D225DF" w:rsidRPr="003160F8">
        <w:rPr>
          <w:rFonts w:eastAsia="Times New Roman"/>
          <w:lang w:val="en-GB"/>
        </w:rPr>
        <w:t>A</w:t>
      </w:r>
      <w:r w:rsidR="002616E7" w:rsidRPr="003160F8">
        <w:rPr>
          <w:rFonts w:eastAsia="Times New Roman"/>
          <w:lang w:val="en-GB"/>
        </w:rPr>
        <w:t xml:space="preserve">. </w:t>
      </w:r>
      <w:r w:rsidR="00D225DF" w:rsidRPr="003160F8">
        <w:rPr>
          <w:rFonts w:eastAsia="Times New Roman"/>
          <w:lang w:val="en-GB"/>
        </w:rPr>
        <w:t>and A</w:t>
      </w:r>
      <w:r w:rsidR="002616E7" w:rsidRPr="003160F8">
        <w:rPr>
          <w:rFonts w:eastAsia="Times New Roman"/>
          <w:lang w:val="en-GB"/>
        </w:rPr>
        <w:t>.</w:t>
      </w:r>
      <w:r w:rsidR="00D225DF" w:rsidRPr="003160F8">
        <w:rPr>
          <w:rFonts w:eastAsia="Times New Roman"/>
          <w:lang w:val="en-GB"/>
        </w:rPr>
        <w:t>F</w:t>
      </w:r>
      <w:r w:rsidR="002616E7" w:rsidRPr="003160F8">
        <w:rPr>
          <w:rFonts w:eastAsia="Times New Roman"/>
          <w:lang w:val="en-GB"/>
        </w:rPr>
        <w:t>.</w:t>
      </w:r>
      <w:r w:rsidR="00D225DF" w:rsidRPr="003160F8">
        <w:rPr>
          <w:rFonts w:eastAsia="Times New Roman"/>
          <w:lang w:val="en-GB"/>
        </w:rPr>
        <w:t xml:space="preserve">; </w:t>
      </w:r>
      <w:r w:rsidR="00C35699">
        <w:rPr>
          <w:rFonts w:eastAsia="Times New Roman"/>
          <w:lang w:val="en-GB"/>
        </w:rPr>
        <w:t>f</w:t>
      </w:r>
      <w:r w:rsidR="00D225DF" w:rsidRPr="003160F8">
        <w:rPr>
          <w:rFonts w:eastAsia="Times New Roman"/>
          <w:lang w:val="en-GB"/>
        </w:rPr>
        <w:t>unding acquisition, K</w:t>
      </w:r>
      <w:r w:rsidR="002616E7" w:rsidRPr="003160F8">
        <w:rPr>
          <w:rFonts w:eastAsia="Times New Roman"/>
          <w:lang w:val="en-GB"/>
        </w:rPr>
        <w:t>.</w:t>
      </w:r>
      <w:r w:rsidR="00D225DF" w:rsidRPr="003160F8">
        <w:rPr>
          <w:rFonts w:eastAsia="Times New Roman"/>
          <w:lang w:val="en-GB"/>
        </w:rPr>
        <w:t>P</w:t>
      </w:r>
      <w:r w:rsidR="002616E7" w:rsidRPr="003160F8">
        <w:rPr>
          <w:rFonts w:eastAsia="Times New Roman"/>
          <w:lang w:val="en-GB"/>
        </w:rPr>
        <w:t>.</w:t>
      </w:r>
      <w:r w:rsidR="00D225DF" w:rsidRPr="003160F8">
        <w:rPr>
          <w:rFonts w:eastAsia="Times New Roman"/>
          <w:lang w:val="en-GB"/>
        </w:rPr>
        <w:t>, W</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D225DF" w:rsidRPr="003160F8">
        <w:rPr>
          <w:rFonts w:eastAsia="Times New Roman"/>
          <w:lang w:val="en-GB"/>
        </w:rPr>
        <w:t>, L</w:t>
      </w:r>
      <w:r w:rsidR="002616E7" w:rsidRPr="003160F8">
        <w:rPr>
          <w:rFonts w:eastAsia="Times New Roman"/>
          <w:lang w:val="en-GB"/>
        </w:rPr>
        <w:t>.</w:t>
      </w:r>
      <w:r w:rsidR="00D225DF" w:rsidRPr="003160F8">
        <w:rPr>
          <w:rFonts w:eastAsia="Times New Roman"/>
          <w:lang w:val="en-GB"/>
        </w:rPr>
        <w:t>D</w:t>
      </w:r>
      <w:r w:rsidR="002616E7" w:rsidRPr="003160F8">
        <w:rPr>
          <w:rFonts w:eastAsia="Times New Roman"/>
          <w:lang w:val="en-GB"/>
        </w:rPr>
        <w:t>.</w:t>
      </w:r>
      <w:r w:rsidR="00D225DF" w:rsidRPr="003160F8">
        <w:rPr>
          <w:rFonts w:eastAsia="Times New Roman"/>
          <w:lang w:val="en-GB"/>
        </w:rPr>
        <w:t>, M</w:t>
      </w:r>
      <w:r w:rsidR="002616E7" w:rsidRPr="003160F8">
        <w:rPr>
          <w:rFonts w:eastAsia="Times New Roman"/>
          <w:lang w:val="en-GB"/>
        </w:rPr>
        <w:t>.</w:t>
      </w:r>
      <w:r w:rsidR="00D225DF" w:rsidRPr="003160F8">
        <w:rPr>
          <w:rFonts w:eastAsia="Times New Roman"/>
          <w:lang w:val="en-GB"/>
        </w:rPr>
        <w:t>S</w:t>
      </w:r>
      <w:r w:rsidR="002616E7" w:rsidRPr="003160F8">
        <w:rPr>
          <w:rFonts w:eastAsia="Times New Roman"/>
          <w:lang w:val="en-GB"/>
        </w:rPr>
        <w:t>.</w:t>
      </w:r>
      <w:r w:rsidR="00D225DF" w:rsidRPr="003160F8">
        <w:rPr>
          <w:rFonts w:eastAsia="Times New Roman"/>
          <w:lang w:val="en-GB"/>
        </w:rPr>
        <w:t>, C</w:t>
      </w:r>
      <w:r w:rsidR="002616E7" w:rsidRPr="003160F8">
        <w:rPr>
          <w:rFonts w:eastAsia="Times New Roman"/>
          <w:lang w:val="en-GB"/>
        </w:rPr>
        <w:t>.</w:t>
      </w:r>
      <w:r w:rsidR="00D225DF" w:rsidRPr="003160F8">
        <w:rPr>
          <w:rFonts w:eastAsia="Times New Roman"/>
          <w:lang w:val="en-GB"/>
        </w:rPr>
        <w:t>L</w:t>
      </w:r>
      <w:r w:rsidR="002616E7" w:rsidRPr="003160F8">
        <w:rPr>
          <w:rFonts w:eastAsia="Times New Roman"/>
          <w:lang w:val="en-GB"/>
        </w:rPr>
        <w:t>.</w:t>
      </w:r>
      <w:r w:rsidR="00D225DF" w:rsidRPr="003160F8">
        <w:rPr>
          <w:rFonts w:eastAsia="Times New Roman"/>
          <w:lang w:val="en-GB"/>
        </w:rPr>
        <w:t>R</w:t>
      </w:r>
      <w:r w:rsidR="002616E7" w:rsidRPr="003160F8">
        <w:rPr>
          <w:rFonts w:eastAsia="Times New Roman"/>
          <w:lang w:val="en-GB"/>
        </w:rPr>
        <w:t>.</w:t>
      </w:r>
      <w:r w:rsidR="00D225DF" w:rsidRPr="003160F8">
        <w:rPr>
          <w:rFonts w:eastAsia="Times New Roman"/>
          <w:lang w:val="en-GB"/>
        </w:rPr>
        <w:t>, N</w:t>
      </w:r>
      <w:r w:rsidR="002616E7" w:rsidRPr="003160F8">
        <w:rPr>
          <w:rFonts w:eastAsia="Times New Roman"/>
          <w:lang w:val="en-GB"/>
        </w:rPr>
        <w:t>.</w:t>
      </w:r>
      <w:r w:rsidR="00D225DF" w:rsidRPr="003160F8">
        <w:rPr>
          <w:rFonts w:eastAsia="Times New Roman"/>
          <w:lang w:val="en-GB"/>
        </w:rPr>
        <w:t>C</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D225DF" w:rsidRPr="003160F8">
        <w:rPr>
          <w:rFonts w:eastAsia="Times New Roman"/>
          <w:lang w:val="en-GB"/>
        </w:rPr>
        <w:t>, C</w:t>
      </w:r>
      <w:r w:rsidR="002616E7" w:rsidRPr="003160F8">
        <w:rPr>
          <w:rFonts w:eastAsia="Times New Roman"/>
          <w:lang w:val="en-GB"/>
        </w:rPr>
        <w:t>.</w:t>
      </w:r>
      <w:r w:rsidR="00D225DF" w:rsidRPr="003160F8">
        <w:rPr>
          <w:rFonts w:eastAsia="Times New Roman"/>
          <w:lang w:val="en-GB"/>
        </w:rPr>
        <w:t>M</w:t>
      </w:r>
      <w:r w:rsidR="002616E7" w:rsidRPr="003160F8">
        <w:rPr>
          <w:rFonts w:eastAsia="Times New Roman"/>
          <w:lang w:val="en-GB"/>
        </w:rPr>
        <w:t>.</w:t>
      </w:r>
      <w:r w:rsidR="00D225DF" w:rsidRPr="003160F8">
        <w:rPr>
          <w:rFonts w:eastAsia="Times New Roman"/>
          <w:lang w:val="en-GB"/>
        </w:rPr>
        <w:t>P</w:t>
      </w:r>
      <w:r w:rsidR="002616E7" w:rsidRPr="003160F8">
        <w:rPr>
          <w:rFonts w:eastAsia="Times New Roman"/>
          <w:lang w:val="en-GB"/>
        </w:rPr>
        <w:t>.</w:t>
      </w:r>
      <w:r w:rsidR="00E253B5">
        <w:rPr>
          <w:rFonts w:eastAsia="Times New Roman"/>
          <w:lang w:val="en-GB"/>
        </w:rPr>
        <w:t>,</w:t>
      </w:r>
      <w:r w:rsidR="00D225DF" w:rsidRPr="003160F8">
        <w:rPr>
          <w:rFonts w:eastAsia="Times New Roman"/>
          <w:lang w:val="en-GB"/>
        </w:rPr>
        <w:t xml:space="preserve"> and B</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D225DF" w:rsidRPr="003160F8">
        <w:rPr>
          <w:rFonts w:eastAsia="Times New Roman"/>
          <w:lang w:val="en-GB"/>
        </w:rPr>
        <w:t xml:space="preserve">; </w:t>
      </w:r>
      <w:r w:rsidR="00C35699">
        <w:rPr>
          <w:rFonts w:eastAsia="Times New Roman"/>
          <w:lang w:val="en-GB"/>
        </w:rPr>
        <w:t>i</w:t>
      </w:r>
      <w:r w:rsidR="00D225DF" w:rsidRPr="003160F8">
        <w:rPr>
          <w:rFonts w:eastAsia="Times New Roman"/>
          <w:lang w:val="en-GB"/>
        </w:rPr>
        <w:t>nvestigation, K</w:t>
      </w:r>
      <w:r w:rsidR="002616E7" w:rsidRPr="003160F8">
        <w:rPr>
          <w:rFonts w:eastAsia="Times New Roman"/>
          <w:lang w:val="en-GB"/>
        </w:rPr>
        <w:t>.</w:t>
      </w:r>
      <w:r w:rsidR="00D225DF" w:rsidRPr="003160F8">
        <w:rPr>
          <w:rFonts w:eastAsia="Times New Roman"/>
          <w:lang w:val="en-GB"/>
        </w:rPr>
        <w:t>P</w:t>
      </w:r>
      <w:r w:rsidR="002616E7" w:rsidRPr="003160F8">
        <w:rPr>
          <w:rFonts w:eastAsia="Times New Roman"/>
          <w:lang w:val="en-GB"/>
        </w:rPr>
        <w:t>.</w:t>
      </w:r>
      <w:r w:rsidR="00D225DF" w:rsidRPr="003160F8">
        <w:rPr>
          <w:rFonts w:eastAsia="Times New Roman"/>
          <w:lang w:val="en-GB"/>
        </w:rPr>
        <w:t>, W</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D225DF" w:rsidRPr="003160F8">
        <w:rPr>
          <w:rFonts w:eastAsia="Times New Roman"/>
          <w:lang w:val="en-GB"/>
        </w:rPr>
        <w:t>, L</w:t>
      </w:r>
      <w:r w:rsidR="002616E7" w:rsidRPr="003160F8">
        <w:rPr>
          <w:rFonts w:eastAsia="Times New Roman"/>
          <w:lang w:val="en-GB"/>
        </w:rPr>
        <w:t>.</w:t>
      </w:r>
      <w:r w:rsidR="00D225DF" w:rsidRPr="003160F8">
        <w:rPr>
          <w:rFonts w:eastAsia="Times New Roman"/>
          <w:lang w:val="en-GB"/>
        </w:rPr>
        <w:t>D</w:t>
      </w:r>
      <w:r w:rsidR="002616E7" w:rsidRPr="003160F8">
        <w:rPr>
          <w:rFonts w:eastAsia="Times New Roman"/>
          <w:lang w:val="en-GB"/>
        </w:rPr>
        <w:t>.</w:t>
      </w:r>
      <w:r w:rsidR="00D225DF" w:rsidRPr="003160F8">
        <w:rPr>
          <w:rFonts w:eastAsia="Times New Roman"/>
          <w:lang w:val="en-GB"/>
        </w:rPr>
        <w:t>, M</w:t>
      </w:r>
      <w:r w:rsidR="002616E7" w:rsidRPr="003160F8">
        <w:rPr>
          <w:rFonts w:eastAsia="Times New Roman"/>
          <w:lang w:val="en-GB"/>
        </w:rPr>
        <w:t>.</w:t>
      </w:r>
      <w:r w:rsidR="00D225DF" w:rsidRPr="003160F8">
        <w:rPr>
          <w:rFonts w:eastAsia="Times New Roman"/>
          <w:lang w:val="en-GB"/>
        </w:rPr>
        <w:t>S</w:t>
      </w:r>
      <w:r w:rsidR="002616E7" w:rsidRPr="003160F8">
        <w:rPr>
          <w:rFonts w:eastAsia="Times New Roman"/>
          <w:lang w:val="en-GB"/>
        </w:rPr>
        <w:t>.</w:t>
      </w:r>
      <w:r w:rsidR="00D225DF" w:rsidRPr="003160F8">
        <w:rPr>
          <w:rFonts w:eastAsia="Times New Roman"/>
          <w:lang w:val="en-GB"/>
        </w:rPr>
        <w:t>, C</w:t>
      </w:r>
      <w:r w:rsidR="002616E7" w:rsidRPr="003160F8">
        <w:rPr>
          <w:rFonts w:eastAsia="Times New Roman"/>
          <w:lang w:val="en-GB"/>
        </w:rPr>
        <w:t>.</w:t>
      </w:r>
      <w:r w:rsidR="00D225DF" w:rsidRPr="003160F8">
        <w:rPr>
          <w:rFonts w:eastAsia="Times New Roman"/>
          <w:lang w:val="en-GB"/>
        </w:rPr>
        <w:t>L</w:t>
      </w:r>
      <w:r w:rsidR="002616E7" w:rsidRPr="003160F8">
        <w:rPr>
          <w:rFonts w:eastAsia="Times New Roman"/>
          <w:lang w:val="en-GB"/>
        </w:rPr>
        <w:t>.</w:t>
      </w:r>
      <w:r w:rsidR="00D225DF" w:rsidRPr="003160F8">
        <w:rPr>
          <w:rFonts w:eastAsia="Times New Roman"/>
          <w:lang w:val="en-GB"/>
        </w:rPr>
        <w:t>R</w:t>
      </w:r>
      <w:r w:rsidR="002616E7" w:rsidRPr="003160F8">
        <w:rPr>
          <w:rFonts w:eastAsia="Times New Roman"/>
          <w:lang w:val="en-GB"/>
        </w:rPr>
        <w:t>.</w:t>
      </w:r>
      <w:r w:rsidR="00D225DF" w:rsidRPr="003160F8">
        <w:rPr>
          <w:rFonts w:eastAsia="Times New Roman"/>
          <w:lang w:val="en-GB"/>
        </w:rPr>
        <w:t>, N</w:t>
      </w:r>
      <w:r w:rsidR="002616E7" w:rsidRPr="003160F8">
        <w:rPr>
          <w:rFonts w:eastAsia="Times New Roman"/>
          <w:lang w:val="en-GB"/>
        </w:rPr>
        <w:t>.</w:t>
      </w:r>
      <w:r w:rsidR="00D225DF" w:rsidRPr="003160F8">
        <w:rPr>
          <w:rFonts w:eastAsia="Times New Roman"/>
          <w:lang w:val="en-GB"/>
        </w:rPr>
        <w:t>C</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D225DF" w:rsidRPr="003160F8">
        <w:rPr>
          <w:rFonts w:eastAsia="Times New Roman"/>
          <w:lang w:val="en-GB"/>
        </w:rPr>
        <w:t>, C</w:t>
      </w:r>
      <w:r w:rsidR="002616E7" w:rsidRPr="003160F8">
        <w:rPr>
          <w:rFonts w:eastAsia="Times New Roman"/>
          <w:lang w:val="en-GB"/>
        </w:rPr>
        <w:t>.</w:t>
      </w:r>
      <w:r w:rsidR="00D225DF" w:rsidRPr="003160F8">
        <w:rPr>
          <w:rFonts w:eastAsia="Times New Roman"/>
          <w:lang w:val="en-GB"/>
        </w:rPr>
        <w:t>M</w:t>
      </w:r>
      <w:r w:rsidR="002616E7" w:rsidRPr="003160F8">
        <w:rPr>
          <w:rFonts w:eastAsia="Times New Roman"/>
          <w:lang w:val="en-GB"/>
        </w:rPr>
        <w:t>.</w:t>
      </w:r>
      <w:r w:rsidR="00D225DF" w:rsidRPr="003160F8">
        <w:rPr>
          <w:rFonts w:eastAsia="Times New Roman"/>
          <w:lang w:val="en-GB"/>
        </w:rPr>
        <w:t>P</w:t>
      </w:r>
      <w:r w:rsidR="002616E7" w:rsidRPr="003160F8">
        <w:rPr>
          <w:rFonts w:eastAsia="Times New Roman"/>
          <w:lang w:val="en-GB"/>
        </w:rPr>
        <w:t>.</w:t>
      </w:r>
      <w:r w:rsidR="00E253B5">
        <w:rPr>
          <w:rFonts w:eastAsia="Times New Roman"/>
          <w:lang w:val="en-GB"/>
        </w:rPr>
        <w:t>,</w:t>
      </w:r>
      <w:r w:rsidR="00D225DF" w:rsidRPr="003160F8">
        <w:rPr>
          <w:rFonts w:eastAsia="Times New Roman"/>
          <w:lang w:val="en-GB"/>
        </w:rPr>
        <w:t xml:space="preserve"> and B</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D225DF" w:rsidRPr="003160F8">
        <w:rPr>
          <w:rFonts w:eastAsia="Times New Roman"/>
          <w:lang w:val="en-GB"/>
        </w:rPr>
        <w:t xml:space="preserve">; </w:t>
      </w:r>
      <w:r w:rsidR="00C35699">
        <w:rPr>
          <w:rFonts w:eastAsia="Times New Roman"/>
          <w:lang w:val="en-GB"/>
        </w:rPr>
        <w:t>m</w:t>
      </w:r>
      <w:r w:rsidR="00D225DF" w:rsidRPr="003160F8">
        <w:rPr>
          <w:rFonts w:eastAsia="Times New Roman"/>
          <w:lang w:val="en-GB"/>
        </w:rPr>
        <w:t>ethodology, A</w:t>
      </w:r>
      <w:r w:rsidR="002616E7" w:rsidRPr="003160F8">
        <w:rPr>
          <w:rFonts w:eastAsia="Times New Roman"/>
          <w:lang w:val="en-GB"/>
        </w:rPr>
        <w:t>.</w:t>
      </w:r>
      <w:r w:rsidR="00D225DF" w:rsidRPr="003160F8">
        <w:rPr>
          <w:rFonts w:eastAsia="Times New Roman"/>
          <w:lang w:val="en-GB"/>
        </w:rPr>
        <w:t>M</w:t>
      </w:r>
      <w:r w:rsidR="002616E7" w:rsidRPr="003160F8">
        <w:rPr>
          <w:rFonts w:eastAsia="Times New Roman"/>
          <w:lang w:val="en-GB"/>
        </w:rPr>
        <w:t>.</w:t>
      </w:r>
      <w:r w:rsidR="00D225DF" w:rsidRPr="003160F8">
        <w:rPr>
          <w:rFonts w:eastAsia="Times New Roman"/>
          <w:lang w:val="en-GB"/>
        </w:rPr>
        <w:t>A</w:t>
      </w:r>
      <w:r w:rsidR="002616E7" w:rsidRPr="003160F8">
        <w:rPr>
          <w:rFonts w:eastAsia="Times New Roman"/>
          <w:lang w:val="en-GB"/>
        </w:rPr>
        <w:t>.</w:t>
      </w:r>
      <w:r w:rsidR="00D225DF" w:rsidRPr="003160F8">
        <w:rPr>
          <w:rFonts w:eastAsia="Times New Roman"/>
          <w:lang w:val="en-GB"/>
        </w:rPr>
        <w:t>, A</w:t>
      </w:r>
      <w:r w:rsidR="002616E7" w:rsidRPr="003160F8">
        <w:rPr>
          <w:rFonts w:eastAsia="Times New Roman"/>
          <w:lang w:val="en-GB"/>
        </w:rPr>
        <w:t>.</w:t>
      </w:r>
      <w:r w:rsidR="00D225DF" w:rsidRPr="003160F8">
        <w:rPr>
          <w:rFonts w:eastAsia="Times New Roman"/>
          <w:lang w:val="en-GB"/>
        </w:rPr>
        <w:t>F</w:t>
      </w:r>
      <w:r w:rsidR="002616E7" w:rsidRPr="003160F8">
        <w:rPr>
          <w:rFonts w:eastAsia="Times New Roman"/>
          <w:lang w:val="en-GB"/>
        </w:rPr>
        <w:t>.</w:t>
      </w:r>
      <w:r w:rsidR="00D225DF" w:rsidRPr="003160F8">
        <w:rPr>
          <w:rFonts w:eastAsia="Times New Roman"/>
          <w:lang w:val="en-GB"/>
        </w:rPr>
        <w:t>, B</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E253B5">
        <w:rPr>
          <w:rFonts w:eastAsia="Times New Roman"/>
          <w:lang w:val="en-GB"/>
        </w:rPr>
        <w:t>,</w:t>
      </w:r>
      <w:r w:rsidR="00D225DF" w:rsidRPr="003160F8">
        <w:rPr>
          <w:rFonts w:eastAsia="Times New Roman"/>
          <w:lang w:val="en-GB"/>
        </w:rPr>
        <w:t xml:space="preserve"> and J</w:t>
      </w:r>
      <w:r w:rsidR="002616E7" w:rsidRPr="003160F8">
        <w:rPr>
          <w:rFonts w:eastAsia="Times New Roman"/>
          <w:lang w:val="en-GB"/>
        </w:rPr>
        <w:t>.</w:t>
      </w:r>
      <w:r w:rsidR="00D225DF" w:rsidRPr="003160F8">
        <w:rPr>
          <w:rFonts w:eastAsia="Times New Roman"/>
          <w:lang w:val="en-GB"/>
        </w:rPr>
        <w:t>Y</w:t>
      </w:r>
      <w:r w:rsidR="002616E7" w:rsidRPr="003160F8">
        <w:rPr>
          <w:rFonts w:eastAsia="Times New Roman"/>
          <w:lang w:val="en-GB"/>
        </w:rPr>
        <w:t>.</w:t>
      </w:r>
      <w:r w:rsidR="00D225DF" w:rsidRPr="003160F8">
        <w:rPr>
          <w:rFonts w:eastAsia="Times New Roman"/>
          <w:lang w:val="en-GB"/>
        </w:rPr>
        <w:t>B</w:t>
      </w:r>
      <w:r w:rsidR="002616E7" w:rsidRPr="003160F8">
        <w:rPr>
          <w:rFonts w:eastAsia="Times New Roman"/>
          <w:lang w:val="en-GB"/>
        </w:rPr>
        <w:t>.</w:t>
      </w:r>
      <w:r w:rsidR="00D225DF" w:rsidRPr="003160F8">
        <w:rPr>
          <w:rFonts w:eastAsia="Times New Roman"/>
          <w:lang w:val="en-GB"/>
        </w:rPr>
        <w:t xml:space="preserve">; </w:t>
      </w:r>
      <w:r w:rsidR="00C35699">
        <w:rPr>
          <w:rFonts w:eastAsia="Times New Roman"/>
          <w:lang w:val="en-GB"/>
        </w:rPr>
        <w:t>p</w:t>
      </w:r>
      <w:r w:rsidR="00D225DF" w:rsidRPr="003160F8">
        <w:rPr>
          <w:rFonts w:eastAsia="Times New Roman"/>
          <w:lang w:val="en-GB"/>
        </w:rPr>
        <w:t>roject administration, C</w:t>
      </w:r>
      <w:r w:rsidR="002616E7" w:rsidRPr="003160F8">
        <w:rPr>
          <w:rFonts w:eastAsia="Times New Roman"/>
          <w:lang w:val="en-GB"/>
        </w:rPr>
        <w:t>.</w:t>
      </w:r>
      <w:r w:rsidR="00D225DF" w:rsidRPr="003160F8">
        <w:rPr>
          <w:rFonts w:eastAsia="Times New Roman"/>
          <w:lang w:val="en-GB"/>
        </w:rPr>
        <w:t>M</w:t>
      </w:r>
      <w:r w:rsidR="002616E7" w:rsidRPr="003160F8">
        <w:rPr>
          <w:rFonts w:eastAsia="Times New Roman"/>
          <w:lang w:val="en-GB"/>
        </w:rPr>
        <w:t>.</w:t>
      </w:r>
      <w:r w:rsidR="00D225DF" w:rsidRPr="003160F8">
        <w:rPr>
          <w:rFonts w:eastAsia="Times New Roman"/>
          <w:lang w:val="en-GB"/>
        </w:rPr>
        <w:t>P</w:t>
      </w:r>
      <w:r w:rsidR="002616E7" w:rsidRPr="003160F8">
        <w:rPr>
          <w:rFonts w:eastAsia="Times New Roman"/>
          <w:lang w:val="en-GB"/>
        </w:rPr>
        <w:t>.</w:t>
      </w:r>
      <w:r w:rsidR="00D225DF" w:rsidRPr="003160F8">
        <w:rPr>
          <w:rFonts w:eastAsia="Times New Roman"/>
          <w:lang w:val="en-GB"/>
        </w:rPr>
        <w:t>, B</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E253B5">
        <w:rPr>
          <w:rFonts w:eastAsia="Times New Roman"/>
          <w:lang w:val="en-GB"/>
        </w:rPr>
        <w:t>,</w:t>
      </w:r>
      <w:r w:rsidR="00D225DF" w:rsidRPr="003160F8">
        <w:rPr>
          <w:rFonts w:eastAsia="Times New Roman"/>
          <w:lang w:val="en-GB"/>
        </w:rPr>
        <w:t xml:space="preserve"> and J</w:t>
      </w:r>
      <w:r w:rsidR="002616E7" w:rsidRPr="003160F8">
        <w:rPr>
          <w:rFonts w:eastAsia="Times New Roman"/>
          <w:lang w:val="en-GB"/>
        </w:rPr>
        <w:t>.</w:t>
      </w:r>
      <w:r w:rsidR="00D225DF" w:rsidRPr="003160F8">
        <w:rPr>
          <w:rFonts w:eastAsia="Times New Roman"/>
          <w:lang w:val="en-GB"/>
        </w:rPr>
        <w:t>Y</w:t>
      </w:r>
      <w:r w:rsidR="002616E7" w:rsidRPr="003160F8">
        <w:rPr>
          <w:rFonts w:eastAsia="Times New Roman"/>
          <w:lang w:val="en-GB"/>
        </w:rPr>
        <w:t>.</w:t>
      </w:r>
      <w:r w:rsidR="00D225DF" w:rsidRPr="003160F8">
        <w:rPr>
          <w:rFonts w:eastAsia="Times New Roman"/>
          <w:lang w:val="en-GB"/>
        </w:rPr>
        <w:t>B</w:t>
      </w:r>
      <w:r w:rsidR="002616E7" w:rsidRPr="003160F8">
        <w:rPr>
          <w:rFonts w:eastAsia="Times New Roman"/>
          <w:lang w:val="en-GB"/>
        </w:rPr>
        <w:t>.</w:t>
      </w:r>
      <w:r w:rsidR="00D225DF" w:rsidRPr="003160F8">
        <w:rPr>
          <w:rFonts w:eastAsia="Times New Roman"/>
          <w:lang w:val="en-GB"/>
        </w:rPr>
        <w:t xml:space="preserve">; </w:t>
      </w:r>
      <w:r w:rsidR="00C35699">
        <w:rPr>
          <w:rFonts w:eastAsia="Times New Roman"/>
          <w:lang w:val="en-GB"/>
        </w:rPr>
        <w:t>r</w:t>
      </w:r>
      <w:r w:rsidR="00D225DF" w:rsidRPr="003160F8">
        <w:rPr>
          <w:rFonts w:eastAsia="Times New Roman"/>
          <w:lang w:val="en-GB"/>
        </w:rPr>
        <w:t>esources, K</w:t>
      </w:r>
      <w:r w:rsidR="002616E7" w:rsidRPr="003160F8">
        <w:rPr>
          <w:rFonts w:eastAsia="Times New Roman"/>
          <w:lang w:val="en-GB"/>
        </w:rPr>
        <w:t>.</w:t>
      </w:r>
      <w:r w:rsidR="00D225DF" w:rsidRPr="003160F8">
        <w:rPr>
          <w:rFonts w:eastAsia="Times New Roman"/>
          <w:lang w:val="en-GB"/>
        </w:rPr>
        <w:t>P</w:t>
      </w:r>
      <w:r w:rsidR="002616E7" w:rsidRPr="003160F8">
        <w:rPr>
          <w:rFonts w:eastAsia="Times New Roman"/>
          <w:lang w:val="en-GB"/>
        </w:rPr>
        <w:t>.</w:t>
      </w:r>
      <w:r w:rsidR="00D225DF" w:rsidRPr="003160F8">
        <w:rPr>
          <w:rFonts w:eastAsia="Times New Roman"/>
          <w:lang w:val="en-GB"/>
        </w:rPr>
        <w:t>, W</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D225DF" w:rsidRPr="003160F8">
        <w:rPr>
          <w:rFonts w:eastAsia="Times New Roman"/>
          <w:lang w:val="en-GB"/>
        </w:rPr>
        <w:t>, L</w:t>
      </w:r>
      <w:r w:rsidR="002616E7" w:rsidRPr="003160F8">
        <w:rPr>
          <w:rFonts w:eastAsia="Times New Roman"/>
          <w:lang w:val="en-GB"/>
        </w:rPr>
        <w:t>.</w:t>
      </w:r>
      <w:r w:rsidR="00D225DF" w:rsidRPr="003160F8">
        <w:rPr>
          <w:rFonts w:eastAsia="Times New Roman"/>
          <w:lang w:val="en-GB"/>
        </w:rPr>
        <w:t>D</w:t>
      </w:r>
      <w:r w:rsidR="002616E7" w:rsidRPr="003160F8">
        <w:rPr>
          <w:rFonts w:eastAsia="Times New Roman"/>
          <w:lang w:val="en-GB"/>
        </w:rPr>
        <w:t>.</w:t>
      </w:r>
      <w:r w:rsidR="00D225DF" w:rsidRPr="003160F8">
        <w:rPr>
          <w:rFonts w:eastAsia="Times New Roman"/>
          <w:lang w:val="en-GB"/>
        </w:rPr>
        <w:t>, M</w:t>
      </w:r>
      <w:r w:rsidR="002616E7" w:rsidRPr="003160F8">
        <w:rPr>
          <w:rFonts w:eastAsia="Times New Roman"/>
          <w:lang w:val="en-GB"/>
        </w:rPr>
        <w:t>.</w:t>
      </w:r>
      <w:r w:rsidR="00D225DF" w:rsidRPr="003160F8">
        <w:rPr>
          <w:rFonts w:eastAsia="Times New Roman"/>
          <w:lang w:val="en-GB"/>
        </w:rPr>
        <w:t>S</w:t>
      </w:r>
      <w:r w:rsidR="002616E7" w:rsidRPr="003160F8">
        <w:rPr>
          <w:rFonts w:eastAsia="Times New Roman"/>
          <w:lang w:val="en-GB"/>
        </w:rPr>
        <w:t>.</w:t>
      </w:r>
      <w:r w:rsidR="00D225DF" w:rsidRPr="003160F8">
        <w:rPr>
          <w:rFonts w:eastAsia="Times New Roman"/>
          <w:lang w:val="en-GB"/>
        </w:rPr>
        <w:t>, C</w:t>
      </w:r>
      <w:r w:rsidR="002616E7" w:rsidRPr="003160F8">
        <w:rPr>
          <w:rFonts w:eastAsia="Times New Roman"/>
          <w:lang w:val="en-GB"/>
        </w:rPr>
        <w:t>.</w:t>
      </w:r>
      <w:r w:rsidR="00D225DF" w:rsidRPr="003160F8">
        <w:rPr>
          <w:rFonts w:eastAsia="Times New Roman"/>
          <w:lang w:val="en-GB"/>
        </w:rPr>
        <w:t>L</w:t>
      </w:r>
      <w:r w:rsidR="002616E7" w:rsidRPr="003160F8">
        <w:rPr>
          <w:rFonts w:eastAsia="Times New Roman"/>
          <w:lang w:val="en-GB"/>
        </w:rPr>
        <w:t>.</w:t>
      </w:r>
      <w:r w:rsidR="00D225DF" w:rsidRPr="003160F8">
        <w:rPr>
          <w:rFonts w:eastAsia="Times New Roman"/>
          <w:lang w:val="en-GB"/>
        </w:rPr>
        <w:t>R</w:t>
      </w:r>
      <w:r w:rsidR="002616E7" w:rsidRPr="003160F8">
        <w:rPr>
          <w:rFonts w:eastAsia="Times New Roman"/>
          <w:lang w:val="en-GB"/>
        </w:rPr>
        <w:t>.</w:t>
      </w:r>
      <w:r w:rsidR="00D225DF" w:rsidRPr="003160F8">
        <w:rPr>
          <w:rFonts w:eastAsia="Times New Roman"/>
          <w:lang w:val="en-GB"/>
        </w:rPr>
        <w:t>, N</w:t>
      </w:r>
      <w:r w:rsidR="002616E7" w:rsidRPr="003160F8">
        <w:rPr>
          <w:rFonts w:eastAsia="Times New Roman"/>
          <w:lang w:val="en-GB"/>
        </w:rPr>
        <w:t>.</w:t>
      </w:r>
      <w:r w:rsidR="00D225DF" w:rsidRPr="003160F8">
        <w:rPr>
          <w:rFonts w:eastAsia="Times New Roman"/>
          <w:lang w:val="en-GB"/>
        </w:rPr>
        <w:t>C</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D225DF" w:rsidRPr="003160F8">
        <w:rPr>
          <w:rFonts w:eastAsia="Times New Roman"/>
          <w:lang w:val="en-GB"/>
        </w:rPr>
        <w:t>, C</w:t>
      </w:r>
      <w:r w:rsidR="002616E7" w:rsidRPr="003160F8">
        <w:rPr>
          <w:rFonts w:eastAsia="Times New Roman"/>
          <w:lang w:val="en-GB"/>
        </w:rPr>
        <w:t>.</w:t>
      </w:r>
      <w:r w:rsidR="00D225DF" w:rsidRPr="003160F8">
        <w:rPr>
          <w:rFonts w:eastAsia="Times New Roman"/>
          <w:lang w:val="en-GB"/>
        </w:rPr>
        <w:t>M</w:t>
      </w:r>
      <w:r w:rsidR="002616E7" w:rsidRPr="003160F8">
        <w:rPr>
          <w:rFonts w:eastAsia="Times New Roman"/>
          <w:lang w:val="en-GB"/>
        </w:rPr>
        <w:t>.</w:t>
      </w:r>
      <w:r w:rsidR="00D225DF" w:rsidRPr="003160F8">
        <w:rPr>
          <w:rFonts w:eastAsia="Times New Roman"/>
          <w:lang w:val="en-GB"/>
        </w:rPr>
        <w:t>P</w:t>
      </w:r>
      <w:r w:rsidR="002616E7" w:rsidRPr="003160F8">
        <w:rPr>
          <w:rFonts w:eastAsia="Times New Roman"/>
          <w:lang w:val="en-GB"/>
        </w:rPr>
        <w:t>.</w:t>
      </w:r>
      <w:r w:rsidR="00E253B5">
        <w:rPr>
          <w:rFonts w:eastAsia="Times New Roman"/>
          <w:lang w:val="en-GB"/>
        </w:rPr>
        <w:t>,</w:t>
      </w:r>
      <w:r w:rsidR="00D225DF" w:rsidRPr="003160F8">
        <w:rPr>
          <w:rFonts w:eastAsia="Times New Roman"/>
          <w:lang w:val="en-GB"/>
        </w:rPr>
        <w:t xml:space="preserve"> and B</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D225DF" w:rsidRPr="003160F8">
        <w:rPr>
          <w:rFonts w:eastAsia="Times New Roman"/>
          <w:lang w:val="en-GB"/>
        </w:rPr>
        <w:t xml:space="preserve">; </w:t>
      </w:r>
      <w:r w:rsidR="00C35699">
        <w:rPr>
          <w:rFonts w:eastAsia="Times New Roman"/>
          <w:lang w:val="en-GB"/>
        </w:rPr>
        <w:t>s</w:t>
      </w:r>
      <w:r w:rsidR="00D225DF" w:rsidRPr="003160F8">
        <w:rPr>
          <w:rFonts w:eastAsia="Times New Roman"/>
          <w:lang w:val="en-GB"/>
        </w:rPr>
        <w:t>oftware, A</w:t>
      </w:r>
      <w:r w:rsidR="002616E7" w:rsidRPr="003160F8">
        <w:rPr>
          <w:rFonts w:eastAsia="Times New Roman"/>
          <w:lang w:val="en-GB"/>
        </w:rPr>
        <w:t>.</w:t>
      </w:r>
      <w:r w:rsidR="00D225DF" w:rsidRPr="003160F8">
        <w:rPr>
          <w:rFonts w:eastAsia="Times New Roman"/>
          <w:lang w:val="en-GB"/>
        </w:rPr>
        <w:t>M</w:t>
      </w:r>
      <w:r w:rsidR="002616E7" w:rsidRPr="003160F8">
        <w:rPr>
          <w:rFonts w:eastAsia="Times New Roman"/>
          <w:lang w:val="en-GB"/>
        </w:rPr>
        <w:t>.</w:t>
      </w:r>
      <w:r w:rsidR="00D225DF" w:rsidRPr="003160F8">
        <w:rPr>
          <w:rFonts w:eastAsia="Times New Roman"/>
          <w:lang w:val="en-GB"/>
        </w:rPr>
        <w:t>A</w:t>
      </w:r>
      <w:r w:rsidR="002616E7" w:rsidRPr="003160F8">
        <w:rPr>
          <w:rFonts w:eastAsia="Times New Roman"/>
          <w:lang w:val="en-GB"/>
        </w:rPr>
        <w:t>.</w:t>
      </w:r>
      <w:r w:rsidR="00D225DF" w:rsidRPr="003160F8">
        <w:rPr>
          <w:rFonts w:eastAsia="Times New Roman"/>
          <w:lang w:val="en-GB"/>
        </w:rPr>
        <w:t>, A</w:t>
      </w:r>
      <w:r w:rsidR="002616E7" w:rsidRPr="003160F8">
        <w:rPr>
          <w:rFonts w:eastAsia="Times New Roman"/>
          <w:lang w:val="en-GB"/>
        </w:rPr>
        <w:t>.</w:t>
      </w:r>
      <w:r w:rsidR="00D225DF" w:rsidRPr="003160F8">
        <w:rPr>
          <w:rFonts w:eastAsia="Times New Roman"/>
          <w:lang w:val="en-GB"/>
        </w:rPr>
        <w:t>F</w:t>
      </w:r>
      <w:r w:rsidR="002616E7" w:rsidRPr="003160F8">
        <w:rPr>
          <w:rFonts w:eastAsia="Times New Roman"/>
          <w:lang w:val="en-GB"/>
        </w:rPr>
        <w:t>.</w:t>
      </w:r>
      <w:r w:rsidR="00E253B5">
        <w:rPr>
          <w:rFonts w:eastAsia="Times New Roman"/>
          <w:lang w:val="en-GB"/>
        </w:rPr>
        <w:t>,</w:t>
      </w:r>
      <w:r w:rsidR="00D225DF" w:rsidRPr="003160F8">
        <w:rPr>
          <w:rFonts w:eastAsia="Times New Roman"/>
          <w:lang w:val="en-GB"/>
        </w:rPr>
        <w:t xml:space="preserve"> and B</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D225DF" w:rsidRPr="003160F8">
        <w:rPr>
          <w:rFonts w:eastAsia="Times New Roman"/>
          <w:lang w:val="en-GB"/>
        </w:rPr>
        <w:t xml:space="preserve">; </w:t>
      </w:r>
      <w:r w:rsidR="00C35699">
        <w:rPr>
          <w:rFonts w:eastAsia="Times New Roman"/>
          <w:lang w:val="en-GB"/>
        </w:rPr>
        <w:t>s</w:t>
      </w:r>
      <w:r w:rsidR="00D225DF" w:rsidRPr="003160F8">
        <w:rPr>
          <w:rFonts w:eastAsia="Times New Roman"/>
          <w:lang w:val="en-GB"/>
        </w:rPr>
        <w:t>upervision, B</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D225DF" w:rsidRPr="003160F8">
        <w:rPr>
          <w:rFonts w:eastAsia="Times New Roman"/>
          <w:lang w:val="en-GB"/>
        </w:rPr>
        <w:t xml:space="preserve"> and J</w:t>
      </w:r>
      <w:r w:rsidR="002616E7" w:rsidRPr="003160F8">
        <w:rPr>
          <w:rFonts w:eastAsia="Times New Roman"/>
          <w:lang w:val="en-GB"/>
        </w:rPr>
        <w:t>.</w:t>
      </w:r>
      <w:r w:rsidR="00D225DF" w:rsidRPr="003160F8">
        <w:rPr>
          <w:rFonts w:eastAsia="Times New Roman"/>
          <w:lang w:val="en-GB"/>
        </w:rPr>
        <w:t>Y.B</w:t>
      </w:r>
      <w:r w:rsidR="002616E7" w:rsidRPr="003160F8">
        <w:rPr>
          <w:rFonts w:eastAsia="Times New Roman"/>
          <w:lang w:val="en-GB"/>
        </w:rPr>
        <w:t>.</w:t>
      </w:r>
      <w:r w:rsidR="00D225DF" w:rsidRPr="003160F8">
        <w:rPr>
          <w:rFonts w:eastAsia="Times New Roman"/>
          <w:lang w:val="en-GB"/>
        </w:rPr>
        <w:t xml:space="preserve">; </w:t>
      </w:r>
      <w:r w:rsidR="00C35699">
        <w:rPr>
          <w:rFonts w:eastAsia="Times New Roman"/>
          <w:lang w:val="en-GB"/>
        </w:rPr>
        <w:t>w</w:t>
      </w:r>
      <w:r w:rsidR="00D225DF" w:rsidRPr="003160F8">
        <w:rPr>
          <w:rFonts w:eastAsia="Times New Roman"/>
          <w:lang w:val="en-GB"/>
        </w:rPr>
        <w:t xml:space="preserve">riting </w:t>
      </w:r>
      <w:r w:rsidR="00C35699">
        <w:rPr>
          <w:rFonts w:eastAsia="Times New Roman"/>
          <w:lang w:val="en-GB"/>
        </w:rPr>
        <w:t>—</w:t>
      </w:r>
      <w:r w:rsidR="00C35699" w:rsidRPr="003160F8">
        <w:rPr>
          <w:rFonts w:eastAsia="Times New Roman"/>
          <w:lang w:val="en-GB"/>
        </w:rPr>
        <w:t xml:space="preserve"> </w:t>
      </w:r>
      <w:r w:rsidR="00D225DF" w:rsidRPr="003160F8">
        <w:rPr>
          <w:rFonts w:eastAsia="Times New Roman"/>
          <w:lang w:val="en-GB"/>
        </w:rPr>
        <w:t>original draft, A</w:t>
      </w:r>
      <w:r w:rsidR="002616E7" w:rsidRPr="003160F8">
        <w:rPr>
          <w:rFonts w:eastAsia="Times New Roman"/>
          <w:lang w:val="en-GB"/>
        </w:rPr>
        <w:t>.</w:t>
      </w:r>
      <w:r w:rsidR="00D225DF" w:rsidRPr="003160F8">
        <w:rPr>
          <w:rFonts w:eastAsia="Times New Roman"/>
          <w:lang w:val="en-GB"/>
        </w:rPr>
        <w:t>M</w:t>
      </w:r>
      <w:r w:rsidR="002616E7" w:rsidRPr="003160F8">
        <w:rPr>
          <w:rFonts w:eastAsia="Times New Roman"/>
          <w:lang w:val="en-GB"/>
        </w:rPr>
        <w:t>.</w:t>
      </w:r>
      <w:r w:rsidR="00D225DF" w:rsidRPr="003160F8">
        <w:rPr>
          <w:rFonts w:eastAsia="Times New Roman"/>
          <w:lang w:val="en-GB"/>
        </w:rPr>
        <w:t>A</w:t>
      </w:r>
      <w:r w:rsidR="002616E7" w:rsidRPr="003160F8">
        <w:rPr>
          <w:rFonts w:eastAsia="Times New Roman"/>
          <w:lang w:val="en-GB"/>
        </w:rPr>
        <w:t>.</w:t>
      </w:r>
      <w:r w:rsidR="00D225DF" w:rsidRPr="003160F8">
        <w:rPr>
          <w:rFonts w:eastAsia="Times New Roman"/>
          <w:lang w:val="en-GB"/>
        </w:rPr>
        <w:t>, B</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E253B5">
        <w:rPr>
          <w:rFonts w:eastAsia="Times New Roman"/>
          <w:lang w:val="en-GB"/>
        </w:rPr>
        <w:t>,</w:t>
      </w:r>
      <w:r w:rsidR="00D225DF" w:rsidRPr="003160F8">
        <w:rPr>
          <w:rFonts w:eastAsia="Times New Roman"/>
          <w:lang w:val="en-GB"/>
        </w:rPr>
        <w:t xml:space="preserve"> and J</w:t>
      </w:r>
      <w:r w:rsidR="002616E7" w:rsidRPr="003160F8">
        <w:rPr>
          <w:rFonts w:eastAsia="Times New Roman"/>
          <w:lang w:val="en-GB"/>
        </w:rPr>
        <w:t>.</w:t>
      </w:r>
      <w:r w:rsidR="00D225DF" w:rsidRPr="003160F8">
        <w:rPr>
          <w:rFonts w:eastAsia="Times New Roman"/>
          <w:lang w:val="en-GB"/>
        </w:rPr>
        <w:t>Y</w:t>
      </w:r>
      <w:r w:rsidR="002616E7" w:rsidRPr="003160F8">
        <w:rPr>
          <w:rFonts w:eastAsia="Times New Roman"/>
          <w:lang w:val="en-GB"/>
        </w:rPr>
        <w:t>.</w:t>
      </w:r>
      <w:r w:rsidR="00D225DF" w:rsidRPr="003160F8">
        <w:rPr>
          <w:rFonts w:eastAsia="Times New Roman"/>
          <w:lang w:val="en-GB"/>
        </w:rPr>
        <w:t>B</w:t>
      </w:r>
      <w:r w:rsidR="002616E7" w:rsidRPr="003160F8">
        <w:rPr>
          <w:rFonts w:eastAsia="Times New Roman"/>
          <w:lang w:val="en-GB"/>
        </w:rPr>
        <w:t>.</w:t>
      </w:r>
      <w:r w:rsidR="00D225DF" w:rsidRPr="003160F8">
        <w:rPr>
          <w:rFonts w:eastAsia="Times New Roman"/>
          <w:lang w:val="en-GB"/>
        </w:rPr>
        <w:t xml:space="preserve">; </w:t>
      </w:r>
      <w:r w:rsidR="00C35699">
        <w:rPr>
          <w:rFonts w:eastAsia="Times New Roman"/>
          <w:lang w:val="en-GB"/>
        </w:rPr>
        <w:t>w</w:t>
      </w:r>
      <w:r w:rsidR="00D225DF" w:rsidRPr="003160F8">
        <w:rPr>
          <w:rFonts w:eastAsia="Times New Roman"/>
          <w:lang w:val="en-GB"/>
        </w:rPr>
        <w:t>riting</w:t>
      </w:r>
      <w:r w:rsidR="00C35699">
        <w:rPr>
          <w:rFonts w:eastAsia="Times New Roman"/>
          <w:lang w:val="en-GB"/>
        </w:rPr>
        <w:t>—</w:t>
      </w:r>
      <w:r w:rsidR="00D225DF" w:rsidRPr="003160F8">
        <w:rPr>
          <w:rFonts w:eastAsia="Times New Roman"/>
          <w:lang w:val="en-GB"/>
        </w:rPr>
        <w:t xml:space="preserve">review </w:t>
      </w:r>
      <w:r w:rsidR="00C35699">
        <w:rPr>
          <w:rFonts w:eastAsia="Times New Roman"/>
          <w:lang w:val="en-GB"/>
        </w:rPr>
        <w:t>and</w:t>
      </w:r>
      <w:r w:rsidR="00C35699" w:rsidRPr="003160F8">
        <w:rPr>
          <w:rFonts w:eastAsia="Times New Roman"/>
          <w:lang w:val="en-GB"/>
        </w:rPr>
        <w:t xml:space="preserve"> </w:t>
      </w:r>
      <w:r w:rsidR="00D225DF" w:rsidRPr="003160F8">
        <w:rPr>
          <w:rFonts w:eastAsia="Times New Roman"/>
          <w:lang w:val="en-GB"/>
        </w:rPr>
        <w:t>editing, A</w:t>
      </w:r>
      <w:r w:rsidR="002616E7" w:rsidRPr="003160F8">
        <w:rPr>
          <w:rFonts w:eastAsia="Times New Roman"/>
          <w:lang w:val="en-GB"/>
        </w:rPr>
        <w:t>.</w:t>
      </w:r>
      <w:r w:rsidR="00D225DF" w:rsidRPr="003160F8">
        <w:rPr>
          <w:rFonts w:eastAsia="Times New Roman"/>
          <w:lang w:val="en-GB"/>
        </w:rPr>
        <w:t>M</w:t>
      </w:r>
      <w:r w:rsidR="002616E7" w:rsidRPr="003160F8">
        <w:rPr>
          <w:rFonts w:eastAsia="Times New Roman"/>
          <w:lang w:val="en-GB"/>
        </w:rPr>
        <w:t>.</w:t>
      </w:r>
      <w:r w:rsidR="00D225DF" w:rsidRPr="003160F8">
        <w:rPr>
          <w:rFonts w:eastAsia="Times New Roman"/>
          <w:lang w:val="en-GB"/>
        </w:rPr>
        <w:t>A</w:t>
      </w:r>
      <w:r w:rsidR="002616E7" w:rsidRPr="003160F8">
        <w:rPr>
          <w:rFonts w:eastAsia="Times New Roman"/>
          <w:lang w:val="en-GB"/>
        </w:rPr>
        <w:t>.</w:t>
      </w:r>
      <w:r w:rsidR="00D225DF" w:rsidRPr="003160F8">
        <w:rPr>
          <w:rFonts w:eastAsia="Times New Roman"/>
          <w:lang w:val="en-GB"/>
        </w:rPr>
        <w:t>, A</w:t>
      </w:r>
      <w:r w:rsidR="002616E7" w:rsidRPr="003160F8">
        <w:rPr>
          <w:rFonts w:eastAsia="Times New Roman"/>
          <w:lang w:val="en-GB"/>
        </w:rPr>
        <w:t>.</w:t>
      </w:r>
      <w:r w:rsidR="00D225DF" w:rsidRPr="003160F8">
        <w:rPr>
          <w:rFonts w:eastAsia="Times New Roman"/>
          <w:lang w:val="en-GB"/>
        </w:rPr>
        <w:t>F</w:t>
      </w:r>
      <w:r w:rsidR="002616E7" w:rsidRPr="003160F8">
        <w:rPr>
          <w:rFonts w:eastAsia="Times New Roman"/>
          <w:lang w:val="en-GB"/>
        </w:rPr>
        <w:t>.</w:t>
      </w:r>
      <w:r w:rsidR="00D225DF" w:rsidRPr="003160F8">
        <w:rPr>
          <w:rFonts w:eastAsia="Times New Roman"/>
          <w:lang w:val="en-GB"/>
        </w:rPr>
        <w:t>, B</w:t>
      </w:r>
      <w:r w:rsidR="002616E7" w:rsidRPr="003160F8">
        <w:rPr>
          <w:rFonts w:eastAsia="Times New Roman"/>
          <w:lang w:val="en-GB"/>
        </w:rPr>
        <w:t>.</w:t>
      </w:r>
      <w:r w:rsidR="00D225DF" w:rsidRPr="003160F8">
        <w:rPr>
          <w:rFonts w:eastAsia="Times New Roman"/>
          <w:lang w:val="en-GB"/>
        </w:rPr>
        <w:t>d</w:t>
      </w:r>
      <w:r w:rsidR="002616E7" w:rsidRPr="003160F8">
        <w:rPr>
          <w:rFonts w:eastAsia="Times New Roman"/>
          <w:lang w:val="en-GB"/>
        </w:rPr>
        <w:t>.</w:t>
      </w:r>
      <w:r w:rsidR="00D225DF" w:rsidRPr="003160F8">
        <w:rPr>
          <w:rFonts w:eastAsia="Times New Roman"/>
          <w:lang w:val="en-GB"/>
        </w:rPr>
        <w:t>L</w:t>
      </w:r>
      <w:r w:rsidR="002616E7" w:rsidRPr="003160F8">
        <w:rPr>
          <w:rFonts w:eastAsia="Times New Roman"/>
          <w:lang w:val="en-GB"/>
        </w:rPr>
        <w:t>.</w:t>
      </w:r>
      <w:r w:rsidR="00D225DF" w:rsidRPr="003160F8">
        <w:rPr>
          <w:rFonts w:eastAsia="Times New Roman"/>
          <w:lang w:val="en-GB"/>
        </w:rPr>
        <w:t>-G</w:t>
      </w:r>
      <w:r w:rsidR="002616E7" w:rsidRPr="003160F8">
        <w:rPr>
          <w:rFonts w:eastAsia="Times New Roman"/>
          <w:lang w:val="en-GB"/>
        </w:rPr>
        <w:t>.</w:t>
      </w:r>
      <w:r w:rsidR="00D225DF" w:rsidRPr="003160F8">
        <w:rPr>
          <w:rFonts w:eastAsia="Times New Roman"/>
          <w:lang w:val="en-GB"/>
        </w:rPr>
        <w:t>, L</w:t>
      </w:r>
      <w:r w:rsidR="002616E7" w:rsidRPr="003160F8">
        <w:rPr>
          <w:rFonts w:eastAsia="Times New Roman"/>
          <w:lang w:val="en-GB"/>
        </w:rPr>
        <w:t>.</w:t>
      </w:r>
      <w:r w:rsidR="00D225DF" w:rsidRPr="003160F8">
        <w:rPr>
          <w:rFonts w:eastAsia="Times New Roman"/>
          <w:lang w:val="en-GB"/>
        </w:rPr>
        <w:t>-W</w:t>
      </w:r>
      <w:r w:rsidR="002616E7" w:rsidRPr="003160F8">
        <w:rPr>
          <w:rFonts w:eastAsia="Times New Roman"/>
          <w:lang w:val="en-GB"/>
        </w:rPr>
        <w:t>.</w:t>
      </w:r>
      <w:r w:rsidR="00D225DF" w:rsidRPr="003160F8">
        <w:rPr>
          <w:rFonts w:eastAsia="Times New Roman"/>
          <w:lang w:val="en-GB"/>
        </w:rPr>
        <w:t>C</w:t>
      </w:r>
      <w:r w:rsidR="002616E7" w:rsidRPr="003160F8">
        <w:rPr>
          <w:rFonts w:eastAsia="Times New Roman"/>
          <w:lang w:val="en-GB"/>
        </w:rPr>
        <w:t>.</w:t>
      </w:r>
      <w:r w:rsidR="00D225DF" w:rsidRPr="003160F8">
        <w:rPr>
          <w:rFonts w:eastAsia="Times New Roman"/>
          <w:lang w:val="en-GB"/>
        </w:rPr>
        <w:t>, K</w:t>
      </w:r>
      <w:r w:rsidR="002616E7" w:rsidRPr="003160F8">
        <w:rPr>
          <w:rFonts w:eastAsia="Times New Roman"/>
          <w:lang w:val="en-GB"/>
        </w:rPr>
        <w:t>.</w:t>
      </w:r>
      <w:r w:rsidR="00D225DF" w:rsidRPr="003160F8">
        <w:rPr>
          <w:rFonts w:eastAsia="Times New Roman"/>
          <w:lang w:val="en-GB"/>
        </w:rPr>
        <w:t>P</w:t>
      </w:r>
      <w:r w:rsidR="002616E7" w:rsidRPr="003160F8">
        <w:rPr>
          <w:rFonts w:eastAsia="Times New Roman"/>
          <w:lang w:val="en-GB"/>
        </w:rPr>
        <w:t>.</w:t>
      </w:r>
      <w:r w:rsidR="00D225DF" w:rsidRPr="003160F8">
        <w:rPr>
          <w:rFonts w:eastAsia="Times New Roman"/>
          <w:lang w:val="en-GB"/>
        </w:rPr>
        <w:t>, W</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D225DF" w:rsidRPr="003160F8">
        <w:rPr>
          <w:rFonts w:eastAsia="Times New Roman"/>
          <w:lang w:val="en-GB"/>
        </w:rPr>
        <w:t>, A</w:t>
      </w:r>
      <w:r w:rsidR="002616E7" w:rsidRPr="003160F8">
        <w:rPr>
          <w:rFonts w:eastAsia="Times New Roman"/>
          <w:lang w:val="en-GB"/>
        </w:rPr>
        <w:t>.</w:t>
      </w:r>
      <w:r w:rsidR="00D225DF" w:rsidRPr="003160F8">
        <w:rPr>
          <w:rFonts w:eastAsia="Times New Roman"/>
          <w:lang w:val="en-GB"/>
        </w:rPr>
        <w:t>J</w:t>
      </w:r>
      <w:r w:rsidR="002616E7" w:rsidRPr="003160F8">
        <w:rPr>
          <w:rFonts w:eastAsia="Times New Roman"/>
          <w:lang w:val="en-GB"/>
        </w:rPr>
        <w:t>.</w:t>
      </w:r>
      <w:r w:rsidR="00D225DF" w:rsidRPr="003160F8">
        <w:rPr>
          <w:rFonts w:eastAsia="Times New Roman"/>
          <w:lang w:val="en-GB"/>
        </w:rPr>
        <w:t>, S</w:t>
      </w:r>
      <w:r w:rsidR="002616E7" w:rsidRPr="003160F8">
        <w:rPr>
          <w:rFonts w:eastAsia="Times New Roman"/>
          <w:lang w:val="en-GB"/>
        </w:rPr>
        <w:t>.</w:t>
      </w:r>
      <w:r w:rsidR="00D225DF" w:rsidRPr="003160F8">
        <w:rPr>
          <w:rFonts w:eastAsia="Times New Roman"/>
          <w:lang w:val="en-GB"/>
        </w:rPr>
        <w:t>M</w:t>
      </w:r>
      <w:r w:rsidR="002616E7" w:rsidRPr="003160F8">
        <w:rPr>
          <w:rFonts w:eastAsia="Times New Roman"/>
          <w:lang w:val="en-GB"/>
        </w:rPr>
        <w:t>.</w:t>
      </w:r>
      <w:r w:rsidR="00D225DF" w:rsidRPr="003160F8">
        <w:rPr>
          <w:rFonts w:eastAsia="Times New Roman"/>
          <w:lang w:val="en-GB"/>
        </w:rPr>
        <w:t>M</w:t>
      </w:r>
      <w:r w:rsidR="002616E7" w:rsidRPr="003160F8">
        <w:rPr>
          <w:rFonts w:eastAsia="Times New Roman"/>
          <w:lang w:val="en-GB"/>
        </w:rPr>
        <w:t>.</w:t>
      </w:r>
      <w:r w:rsidR="00D225DF" w:rsidRPr="003160F8">
        <w:rPr>
          <w:rFonts w:eastAsia="Times New Roman"/>
          <w:lang w:val="en-GB"/>
        </w:rPr>
        <w:t>-B</w:t>
      </w:r>
      <w:r w:rsidR="002616E7" w:rsidRPr="003160F8">
        <w:rPr>
          <w:rFonts w:eastAsia="Times New Roman"/>
          <w:lang w:val="en-GB"/>
        </w:rPr>
        <w:t>.</w:t>
      </w:r>
      <w:r w:rsidR="00D225DF" w:rsidRPr="003160F8">
        <w:rPr>
          <w:rFonts w:eastAsia="Times New Roman"/>
          <w:lang w:val="en-GB"/>
        </w:rPr>
        <w:t>, L</w:t>
      </w:r>
      <w:r w:rsidR="002616E7" w:rsidRPr="003160F8">
        <w:rPr>
          <w:rFonts w:eastAsia="Times New Roman"/>
          <w:lang w:val="en-GB"/>
        </w:rPr>
        <w:t>.</w:t>
      </w:r>
      <w:r w:rsidR="00D225DF" w:rsidRPr="003160F8">
        <w:rPr>
          <w:rFonts w:eastAsia="Times New Roman"/>
          <w:lang w:val="en-GB"/>
        </w:rPr>
        <w:t>D</w:t>
      </w:r>
      <w:r w:rsidR="002616E7" w:rsidRPr="003160F8">
        <w:rPr>
          <w:rFonts w:eastAsia="Times New Roman"/>
          <w:lang w:val="en-GB"/>
        </w:rPr>
        <w:t>.</w:t>
      </w:r>
      <w:r w:rsidR="00D225DF" w:rsidRPr="003160F8">
        <w:rPr>
          <w:rFonts w:eastAsia="Times New Roman"/>
          <w:lang w:val="en-GB"/>
        </w:rPr>
        <w:t>, M</w:t>
      </w:r>
      <w:r w:rsidR="002616E7" w:rsidRPr="003160F8">
        <w:rPr>
          <w:rFonts w:eastAsia="Times New Roman"/>
          <w:lang w:val="en-GB"/>
        </w:rPr>
        <w:t>.</w:t>
      </w:r>
      <w:r w:rsidR="00D225DF" w:rsidRPr="003160F8">
        <w:rPr>
          <w:rFonts w:eastAsia="Times New Roman"/>
          <w:lang w:val="en-GB"/>
        </w:rPr>
        <w:t>S</w:t>
      </w:r>
      <w:r w:rsidR="002616E7" w:rsidRPr="003160F8">
        <w:rPr>
          <w:rFonts w:eastAsia="Times New Roman"/>
          <w:lang w:val="en-GB"/>
        </w:rPr>
        <w:t>.</w:t>
      </w:r>
      <w:r w:rsidR="00D225DF" w:rsidRPr="003160F8">
        <w:rPr>
          <w:rFonts w:eastAsia="Times New Roman"/>
          <w:lang w:val="en-GB"/>
        </w:rPr>
        <w:t>, C</w:t>
      </w:r>
      <w:r w:rsidR="002616E7" w:rsidRPr="003160F8">
        <w:rPr>
          <w:rFonts w:eastAsia="Times New Roman"/>
          <w:lang w:val="en-GB"/>
        </w:rPr>
        <w:t>.</w:t>
      </w:r>
      <w:r w:rsidR="00D225DF" w:rsidRPr="003160F8">
        <w:rPr>
          <w:rFonts w:eastAsia="Times New Roman"/>
          <w:lang w:val="en-GB"/>
        </w:rPr>
        <w:t>L</w:t>
      </w:r>
      <w:r w:rsidR="002616E7" w:rsidRPr="003160F8">
        <w:rPr>
          <w:rFonts w:eastAsia="Times New Roman"/>
          <w:lang w:val="en-GB"/>
        </w:rPr>
        <w:t>.</w:t>
      </w:r>
      <w:r w:rsidR="00D225DF" w:rsidRPr="003160F8">
        <w:rPr>
          <w:rFonts w:eastAsia="Times New Roman"/>
          <w:lang w:val="en-GB"/>
        </w:rPr>
        <w:t>R</w:t>
      </w:r>
      <w:r w:rsidR="002616E7" w:rsidRPr="003160F8">
        <w:rPr>
          <w:rFonts w:eastAsia="Times New Roman"/>
          <w:lang w:val="en-GB"/>
        </w:rPr>
        <w:t>.</w:t>
      </w:r>
      <w:r w:rsidR="00D225DF" w:rsidRPr="003160F8">
        <w:rPr>
          <w:rFonts w:eastAsia="Times New Roman"/>
          <w:lang w:val="en-GB"/>
        </w:rPr>
        <w:t>, S</w:t>
      </w:r>
      <w:r w:rsidR="002616E7" w:rsidRPr="003160F8">
        <w:rPr>
          <w:rFonts w:eastAsia="Times New Roman"/>
          <w:lang w:val="en-GB"/>
        </w:rPr>
        <w:t>.</w:t>
      </w:r>
      <w:r w:rsidR="00D225DF" w:rsidRPr="003160F8">
        <w:rPr>
          <w:rFonts w:eastAsia="Times New Roman"/>
          <w:lang w:val="en-GB"/>
        </w:rPr>
        <w:t>R</w:t>
      </w:r>
      <w:r w:rsidR="002616E7" w:rsidRPr="003160F8">
        <w:rPr>
          <w:rFonts w:eastAsia="Times New Roman"/>
          <w:lang w:val="en-GB"/>
        </w:rPr>
        <w:t>.</w:t>
      </w:r>
      <w:r w:rsidR="00D225DF" w:rsidRPr="003160F8">
        <w:rPr>
          <w:rFonts w:eastAsia="Times New Roman"/>
          <w:lang w:val="en-GB"/>
        </w:rPr>
        <w:t>C</w:t>
      </w:r>
      <w:r w:rsidR="002616E7" w:rsidRPr="003160F8">
        <w:rPr>
          <w:rFonts w:eastAsia="Times New Roman"/>
          <w:lang w:val="en-GB"/>
        </w:rPr>
        <w:t>.</w:t>
      </w:r>
      <w:r w:rsidR="00D225DF" w:rsidRPr="003160F8">
        <w:rPr>
          <w:rFonts w:eastAsia="Times New Roman"/>
          <w:lang w:val="en-GB"/>
        </w:rPr>
        <w:t>, N</w:t>
      </w:r>
      <w:r w:rsidR="002616E7" w:rsidRPr="003160F8">
        <w:rPr>
          <w:rFonts w:eastAsia="Times New Roman"/>
          <w:lang w:val="en-GB"/>
        </w:rPr>
        <w:t>.</w:t>
      </w:r>
      <w:r w:rsidR="00D225DF" w:rsidRPr="003160F8">
        <w:rPr>
          <w:rFonts w:eastAsia="Times New Roman"/>
          <w:lang w:val="en-GB"/>
        </w:rPr>
        <w:t>C</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D225DF" w:rsidRPr="003160F8">
        <w:rPr>
          <w:rFonts w:eastAsia="Times New Roman"/>
          <w:lang w:val="en-GB"/>
        </w:rPr>
        <w:t>, C</w:t>
      </w:r>
      <w:r w:rsidR="002616E7" w:rsidRPr="003160F8">
        <w:rPr>
          <w:rFonts w:eastAsia="Times New Roman"/>
          <w:lang w:val="en-GB"/>
        </w:rPr>
        <w:t>.</w:t>
      </w:r>
      <w:r w:rsidR="00D225DF" w:rsidRPr="003160F8">
        <w:rPr>
          <w:rFonts w:eastAsia="Times New Roman"/>
          <w:lang w:val="en-GB"/>
        </w:rPr>
        <w:t>C</w:t>
      </w:r>
      <w:r w:rsidR="002616E7" w:rsidRPr="003160F8">
        <w:rPr>
          <w:rFonts w:eastAsia="Times New Roman"/>
          <w:lang w:val="en-GB"/>
        </w:rPr>
        <w:t>.</w:t>
      </w:r>
      <w:r w:rsidR="00D225DF" w:rsidRPr="003160F8">
        <w:rPr>
          <w:rFonts w:eastAsia="Times New Roman"/>
          <w:lang w:val="en-GB"/>
        </w:rPr>
        <w:t>, F</w:t>
      </w:r>
      <w:r w:rsidR="002616E7" w:rsidRPr="003160F8">
        <w:rPr>
          <w:rFonts w:eastAsia="Times New Roman"/>
          <w:lang w:val="en-GB"/>
        </w:rPr>
        <w:t>.</w:t>
      </w:r>
      <w:r w:rsidR="00D225DF" w:rsidRPr="003160F8">
        <w:rPr>
          <w:rFonts w:eastAsia="Times New Roman"/>
          <w:lang w:val="en-GB"/>
        </w:rPr>
        <w:t>M</w:t>
      </w:r>
      <w:r w:rsidR="002616E7" w:rsidRPr="003160F8">
        <w:rPr>
          <w:rFonts w:eastAsia="Times New Roman"/>
          <w:lang w:val="en-GB"/>
        </w:rPr>
        <w:t>.</w:t>
      </w:r>
      <w:r w:rsidR="00D225DF" w:rsidRPr="003160F8">
        <w:rPr>
          <w:rFonts w:eastAsia="Times New Roman"/>
          <w:lang w:val="en-GB"/>
        </w:rPr>
        <w:t>M</w:t>
      </w:r>
      <w:r w:rsidR="002616E7" w:rsidRPr="003160F8">
        <w:rPr>
          <w:rFonts w:eastAsia="Times New Roman"/>
          <w:lang w:val="en-GB"/>
        </w:rPr>
        <w:t>.</w:t>
      </w:r>
      <w:r w:rsidR="00D225DF" w:rsidRPr="003160F8">
        <w:rPr>
          <w:rFonts w:eastAsia="Times New Roman"/>
          <w:lang w:val="en-GB"/>
        </w:rPr>
        <w:t>, C</w:t>
      </w:r>
      <w:r w:rsidR="002616E7" w:rsidRPr="003160F8">
        <w:rPr>
          <w:rFonts w:eastAsia="Times New Roman"/>
          <w:lang w:val="en-GB"/>
        </w:rPr>
        <w:t>.</w:t>
      </w:r>
      <w:r w:rsidR="00D225DF" w:rsidRPr="003160F8">
        <w:rPr>
          <w:rFonts w:eastAsia="Times New Roman"/>
          <w:lang w:val="en-GB"/>
        </w:rPr>
        <w:t>C.K</w:t>
      </w:r>
      <w:r w:rsidR="002616E7" w:rsidRPr="003160F8">
        <w:rPr>
          <w:rFonts w:eastAsia="Times New Roman"/>
          <w:lang w:val="en-GB"/>
        </w:rPr>
        <w:t>.</w:t>
      </w:r>
      <w:r w:rsidR="00D225DF" w:rsidRPr="003160F8">
        <w:rPr>
          <w:rFonts w:eastAsia="Times New Roman"/>
          <w:lang w:val="en-GB"/>
        </w:rPr>
        <w:t>, C</w:t>
      </w:r>
      <w:r w:rsidR="002616E7" w:rsidRPr="003160F8">
        <w:rPr>
          <w:rFonts w:eastAsia="Times New Roman"/>
          <w:lang w:val="en-GB"/>
        </w:rPr>
        <w:t>.</w:t>
      </w:r>
      <w:r w:rsidR="00D225DF" w:rsidRPr="003160F8">
        <w:rPr>
          <w:rFonts w:eastAsia="Times New Roman"/>
          <w:lang w:val="en-GB"/>
        </w:rPr>
        <w:t>M</w:t>
      </w:r>
      <w:r w:rsidR="002616E7" w:rsidRPr="003160F8">
        <w:rPr>
          <w:rFonts w:eastAsia="Times New Roman"/>
          <w:lang w:val="en-GB"/>
        </w:rPr>
        <w:t>.</w:t>
      </w:r>
      <w:r w:rsidR="00D225DF" w:rsidRPr="003160F8">
        <w:rPr>
          <w:rFonts w:eastAsia="Times New Roman"/>
          <w:lang w:val="en-GB"/>
        </w:rPr>
        <w:t>P</w:t>
      </w:r>
      <w:r w:rsidR="002616E7" w:rsidRPr="003160F8">
        <w:rPr>
          <w:rFonts w:eastAsia="Times New Roman"/>
          <w:lang w:val="en-GB"/>
        </w:rPr>
        <w:t>.</w:t>
      </w:r>
      <w:r w:rsidR="00D225DF" w:rsidRPr="003160F8">
        <w:rPr>
          <w:rFonts w:eastAsia="Times New Roman"/>
          <w:lang w:val="en-GB"/>
        </w:rPr>
        <w:t>, B</w:t>
      </w:r>
      <w:r w:rsidR="002616E7" w:rsidRPr="003160F8">
        <w:rPr>
          <w:rFonts w:eastAsia="Times New Roman"/>
          <w:lang w:val="en-GB"/>
        </w:rPr>
        <w:t>.</w:t>
      </w:r>
      <w:r w:rsidR="00D225DF" w:rsidRPr="003160F8">
        <w:rPr>
          <w:rFonts w:eastAsia="Times New Roman"/>
          <w:lang w:val="en-GB"/>
        </w:rPr>
        <w:t>H</w:t>
      </w:r>
      <w:r w:rsidR="002616E7" w:rsidRPr="003160F8">
        <w:rPr>
          <w:rFonts w:eastAsia="Times New Roman"/>
          <w:lang w:val="en-GB"/>
        </w:rPr>
        <w:t>.</w:t>
      </w:r>
      <w:r w:rsidR="00E253B5">
        <w:rPr>
          <w:rFonts w:eastAsia="Times New Roman"/>
          <w:lang w:val="en-GB"/>
        </w:rPr>
        <w:t>;</w:t>
      </w:r>
      <w:r w:rsidR="00D225DF" w:rsidRPr="003160F8">
        <w:rPr>
          <w:rFonts w:eastAsia="Times New Roman"/>
          <w:lang w:val="en-GB"/>
        </w:rPr>
        <w:t xml:space="preserve"> and J</w:t>
      </w:r>
      <w:r w:rsidR="002616E7" w:rsidRPr="003160F8">
        <w:rPr>
          <w:rFonts w:eastAsia="Times New Roman"/>
          <w:lang w:val="en-GB"/>
        </w:rPr>
        <w:t>.</w:t>
      </w:r>
      <w:r w:rsidR="00D225DF" w:rsidRPr="003160F8">
        <w:rPr>
          <w:rFonts w:eastAsia="Times New Roman"/>
          <w:lang w:val="en-GB"/>
        </w:rPr>
        <w:t>Y.B.</w:t>
      </w:r>
      <w:r w:rsidR="00101347" w:rsidRPr="003160F8">
        <w:rPr>
          <w:rFonts w:eastAsia="Times New Roman"/>
          <w:lang w:val="en-GB"/>
        </w:rPr>
        <w:t xml:space="preserve"> </w:t>
      </w:r>
      <w:r w:rsidR="00E277C1" w:rsidRPr="003160F8">
        <w:rPr>
          <w:rFonts w:eastAsia="Times New Roman"/>
          <w:lang w:val="en-GB"/>
        </w:rPr>
        <w:t>B</w:t>
      </w:r>
      <w:r w:rsidR="002616E7" w:rsidRPr="003160F8">
        <w:rPr>
          <w:rFonts w:eastAsia="Times New Roman"/>
          <w:lang w:val="en-GB"/>
        </w:rPr>
        <w:t>.</w:t>
      </w:r>
      <w:r w:rsidR="00E277C1" w:rsidRPr="003160F8">
        <w:rPr>
          <w:rFonts w:eastAsia="Times New Roman"/>
          <w:lang w:val="en-GB"/>
        </w:rPr>
        <w:t>H</w:t>
      </w:r>
      <w:r w:rsidR="002616E7" w:rsidRPr="003160F8">
        <w:rPr>
          <w:rFonts w:eastAsia="Times New Roman"/>
          <w:lang w:val="en-GB"/>
        </w:rPr>
        <w:t>.</w:t>
      </w:r>
      <w:r w:rsidR="00E253B5">
        <w:rPr>
          <w:rFonts w:eastAsia="Times New Roman"/>
          <w:lang w:val="en-GB"/>
        </w:rPr>
        <w:t>,</w:t>
      </w:r>
      <w:r w:rsidR="00E277C1" w:rsidRPr="003160F8">
        <w:rPr>
          <w:rFonts w:eastAsia="Times New Roman"/>
          <w:lang w:val="en-GB"/>
        </w:rPr>
        <w:t xml:space="preserve"> and </w:t>
      </w:r>
      <w:r w:rsidR="00AC7500" w:rsidRPr="003160F8">
        <w:rPr>
          <w:rFonts w:eastAsia="Times New Roman"/>
          <w:lang w:val="en-GB"/>
        </w:rPr>
        <w:t>J</w:t>
      </w:r>
      <w:r w:rsidR="002616E7" w:rsidRPr="003160F8">
        <w:rPr>
          <w:rFonts w:eastAsia="Times New Roman"/>
          <w:lang w:val="en-GB"/>
        </w:rPr>
        <w:t>.</w:t>
      </w:r>
      <w:r w:rsidR="00AC7500" w:rsidRPr="003160F8">
        <w:rPr>
          <w:rFonts w:eastAsia="Times New Roman"/>
          <w:lang w:val="en-GB"/>
        </w:rPr>
        <w:t>Y</w:t>
      </w:r>
      <w:r w:rsidR="002616E7" w:rsidRPr="003160F8">
        <w:rPr>
          <w:rFonts w:eastAsia="Times New Roman"/>
          <w:lang w:val="en-GB"/>
        </w:rPr>
        <w:t>.</w:t>
      </w:r>
      <w:r w:rsidR="00AC7500" w:rsidRPr="003160F8">
        <w:rPr>
          <w:rFonts w:eastAsia="Times New Roman"/>
          <w:lang w:val="en-GB"/>
        </w:rPr>
        <w:t>B</w:t>
      </w:r>
      <w:r w:rsidR="002616E7" w:rsidRPr="003160F8">
        <w:rPr>
          <w:rFonts w:eastAsia="Times New Roman"/>
          <w:lang w:val="en-GB"/>
        </w:rPr>
        <w:t>.</w:t>
      </w:r>
      <w:r w:rsidR="00AC7500" w:rsidRPr="003160F8">
        <w:rPr>
          <w:rFonts w:eastAsia="Times New Roman"/>
          <w:lang w:val="en-GB"/>
        </w:rPr>
        <w:t xml:space="preserve"> contributed and supervised equally the work of this article</w:t>
      </w:r>
      <w:r w:rsidR="00AC7500" w:rsidRPr="003160F8">
        <w:rPr>
          <w:shd w:val="clear" w:color="auto" w:fill="F6F6F6"/>
          <w:lang w:val="en-GB"/>
        </w:rPr>
        <w:t>.</w:t>
      </w:r>
    </w:p>
    <w:p w14:paraId="784186D8" w14:textId="5B3ECC1D" w:rsidR="002616E7" w:rsidRPr="007412C5" w:rsidRDefault="00C31AF5" w:rsidP="00101347">
      <w:pPr>
        <w:pStyle w:val="MDPI62Acknowledgments"/>
      </w:pPr>
      <w:r w:rsidRPr="003160F8">
        <w:rPr>
          <w:b/>
          <w:color w:val="auto"/>
          <w:lang w:val="en-GB"/>
        </w:rPr>
        <w:t>Funding</w:t>
      </w:r>
      <w:r w:rsidR="002616E7" w:rsidRPr="003160F8">
        <w:rPr>
          <w:b/>
          <w:color w:val="auto"/>
          <w:lang w:val="en-GB"/>
        </w:rPr>
        <w:t>:</w:t>
      </w:r>
      <w:r w:rsidR="002616E7" w:rsidRPr="003160F8">
        <w:rPr>
          <w:lang w:val="en-GB"/>
        </w:rPr>
        <w:t xml:space="preserve"> </w:t>
      </w:r>
      <w:r w:rsidR="00C45D3F">
        <w:rPr>
          <w:lang w:val="en-GB"/>
        </w:rPr>
        <w:t xml:space="preserve">ALPHABET: </w:t>
      </w:r>
      <w:r w:rsidR="00407241" w:rsidRPr="00642B9B">
        <w:rPr>
          <w:color w:val="auto"/>
          <w:szCs w:val="18"/>
          <w:lang w:val="en-GB"/>
        </w:rPr>
        <w:t xml:space="preserve">This </w:t>
      </w:r>
      <w:r w:rsidR="00407241">
        <w:rPr>
          <w:color w:val="auto"/>
          <w:szCs w:val="18"/>
          <w:lang w:val="en-GB"/>
        </w:rPr>
        <w:t>research</w:t>
      </w:r>
      <w:r w:rsidR="00407241" w:rsidRPr="00642B9B">
        <w:rPr>
          <w:color w:val="auto"/>
          <w:szCs w:val="18"/>
          <w:lang w:val="en-GB"/>
        </w:rPr>
        <w:t xml:space="preserve"> was supported by an award from the European Union’s Horizon 2020 research and innovation programme under the ERA-Net Cofund of the Joint Programming Initiative Healthy Diet for Healthy Life (JPI-HDHL) (</w:t>
      </w:r>
      <w:hyperlink r:id="rId40" w:tgtFrame="_blank" w:history="1">
        <w:r w:rsidR="00407241" w:rsidRPr="00642B9B">
          <w:rPr>
            <w:rStyle w:val="Hyperlink"/>
            <w:color w:val="auto"/>
            <w:szCs w:val="18"/>
            <w:u w:val="none"/>
            <w:lang w:val="en-GB"/>
          </w:rPr>
          <w:t>http://www.healthydietforhealthylife.eu</w:t>
        </w:r>
      </w:hyperlink>
      <w:r w:rsidR="00407241" w:rsidRPr="00642B9B">
        <w:rPr>
          <w:color w:val="auto"/>
          <w:szCs w:val="18"/>
          <w:lang w:val="en-GB"/>
        </w:rPr>
        <w:t>) action number 696295 (Biomarkers for Nutrition and Health). Co-funding was provided by Science Foundation Ireland, Ireland (Grant Number SFI/16/ERA-HDHL/3360), the UK Biotechnology and Biological Sciences Research Council (ERA-HDHL Biomarkers: BBSRC: BB/P028179/1 and BB/P028187/1), the National Centre for Research and Development (ERA-HDHL/01/ALPHABET/1/2017), the ZonMW The Netherlands (no 529051014; 2017)) ALPHABET project (no 696295; 2017), and the French National Agency of Research (reference AnrR16227KK).</w:t>
      </w:r>
      <w:r w:rsidR="002616E7" w:rsidRPr="003160F8">
        <w:rPr>
          <w:lang w:val="en-GB"/>
        </w:rPr>
        <w:t xml:space="preserve">The APC was funded by </w:t>
      </w:r>
      <w:r w:rsidR="00642B9B" w:rsidRPr="007412C5">
        <w:t>the French National Agency of Research (reference AnrR16227KK)</w:t>
      </w:r>
      <w:r w:rsidR="00E04E87" w:rsidRPr="007412C5">
        <w:t>.</w:t>
      </w:r>
      <w:r w:rsidR="00C45D3F" w:rsidRPr="007412C5">
        <w:t xml:space="preserve"> ALSPAC: The UK Medical Research Council and Wellcome (Grant ref: 102215/2/13/2) and the University of Bristol provide core support for ALSPAC. This publication is the work of the authors, and Matthew Suderman will serve as guarantor for the contents of this paper. EDEN: The EDEN study was supported by Foundation for medical research (FRM), National Agency for Research (ANR), National Institute for Research in Public health (IRESP: TGIR cohorte santé 2008 program), French Ministry of Health (DGS), French Ministry of Research, INSERM Bone and Joint Diseases National Research (PRO-A), and Human Nutrition National Research Programs, Paris-Sud University, Nestlé, French National Institute for Population Health Surveillance (InVS), French National Institute for Health Education (INPES), the European Union FP7 programmes (FP7/2007–2013, HELIX, ESCAPE, ENRIECO, Medall projects), Diabetes National Research Program (through a collaboration with the French Association of Diabetic Patients (AFD)), French Agency for Environmental Health Safety (now ANSES), Mutuelle Générale de l’Education Nationale a complementary health insurance (MGEN), French national agency for food security, French-speaking association for the study of diabetes and metabolism (ALFEDIAM). Generation R: The Generation R Study is made possible by financial support from the Erasmus Medical Centre, Rotterdam, the Erasmus University Rotterdam, and The Netherlands Organization for Health Research and Development. Dr Liesbeth Duijts received funding from the European Union's Horizon 2020 co-funded programme ERA-Net on Biomarkers for Nutrition and Health (ERA HDHL) (ALPHABET project (no 696295; 2017), ZonMW The Netherlands (no 529051014; 2017)). The project received funding from the European Union's Horizon 2020 research and innovation programme (LIFECYCLE project, grant agreement no 733206; 2016). The study sponsors had no role in the study design, data analysis, interpretation of data, or writing of this report. The Generation R Study is conducted by the Erasmus Medical Centre in close collaboration with the School of Law and the Faculty of Social Sciences at the Erasmus University, Rotterdam, the Municipal Health Service, Rotterdam area, and the Stichting Trombosedienst and Artsenlaboratorium Rijnmond (Star-MDC), Rotterdam. Lifeways: The Lifeways Cross-Generation Cohort Study is funded by the Irish Health Research Board </w:t>
      </w:r>
      <w:r w:rsidR="00C45D3F" w:rsidRPr="007412C5">
        <w:rPr>
          <w:rFonts w:eastAsiaTheme="minorEastAsia"/>
        </w:rPr>
        <w:t xml:space="preserve">(reference HRC/2007/13) </w:t>
      </w:r>
      <w:r w:rsidR="00C45D3F" w:rsidRPr="007412C5">
        <w:t>and is overseen by an inter-disciplinary steering group. REPRO_PL: The REPRO_PL cohort was mainly supported by the Ministry of Science and Higher Education, Poland (PBZ-MEiN-/8/2/2006; contract no. K140/P01/2007/1.3.1.1); by the grant PNRF-218-AI-1/07 from Norway through the Norwegian Financial Mechanism within the Polish- Norwegian Research Fund and National Science Centre, Poland (DEC-2014/15/B/NZ7/00998). ROLO: ROLO study is supported by Health Research Board Health Research Centre for Diet and Health Research Ireland and The National Maternity Hospital Medical Fund, and The European Union’s Seventh Framework Programme (FP7/2007–2013). SWS: This work was supported by grants from the Medical Research Council, British Heart Foundation, Arthritis Research UK, Food Standards Agency, and the European Union’s Seventh Framework (FP7/2007–2013), projects EarlyNutrition and ODIN under grant agreement numbers 289346 and 613977.</w:t>
      </w:r>
    </w:p>
    <w:p w14:paraId="0C871351" w14:textId="0CFD286C" w:rsidR="003A386B" w:rsidRPr="007412C5" w:rsidRDefault="00C45D3F" w:rsidP="007412C5">
      <w:pPr>
        <w:pStyle w:val="MDPI62Acknowledgments"/>
      </w:pPr>
      <w:r w:rsidRPr="007412C5">
        <w:rPr>
          <w:b/>
        </w:rPr>
        <w:t>Acknowledgements:</w:t>
      </w:r>
      <w:r w:rsidRPr="007412C5">
        <w:t xml:space="preserve"> </w:t>
      </w:r>
      <w:r w:rsidR="003A386B" w:rsidRPr="007412C5">
        <w:t>ALPHABET</w:t>
      </w:r>
      <w:r w:rsidR="002616E7" w:rsidRPr="007412C5">
        <w:t xml:space="preserve">: </w:t>
      </w:r>
      <w:r w:rsidR="003A386B" w:rsidRPr="007412C5">
        <w:t>Authors acknowledge all investigators working on the ERA-HDHL ALPHABET Project and are grateful to all the participating families in England, France, The Netherlands, Poland</w:t>
      </w:r>
      <w:r w:rsidR="00E253B5" w:rsidRPr="007412C5">
        <w:t>,</w:t>
      </w:r>
      <w:r w:rsidR="003A386B" w:rsidRPr="007412C5">
        <w:t xml:space="preserve"> and Republic of Ireland, who take part in this ongoing cohort study.</w:t>
      </w:r>
      <w:r w:rsidRPr="007412C5">
        <w:t xml:space="preserve"> ALSPAC: We are extremely grateful to all the families who took part in this study, the midwives for their help in recruiting them, and the whole ALSPAC team, which includes interviewers, computer and laboratory technicians, clerical workers, research scientists, volunteers, managers, receptionists, and nurses. Please note that the ALSPAC study website contains details of all available data is available through a fully searchable data dictionary and variable search tool (</w:t>
      </w:r>
      <w:hyperlink r:id="rId41" w:history="1">
        <w:r w:rsidRPr="007412C5">
          <w:rPr>
            <w:rStyle w:val="Hyperlink"/>
            <w:color w:val="000000"/>
            <w:u w:val="none"/>
          </w:rPr>
          <w:t>http://www.bristol.ac.uk/alspac/researchers/our-data/</w:t>
        </w:r>
      </w:hyperlink>
      <w:r w:rsidRPr="007412C5">
        <w:t>). EDEN: The authors thank the EDEN mother-child cohort study group, whose members are I. Annesi-Maesano, J.Y. Bernard, J. Botton, M.A. Charles, P. Dargent-Molina, B. de Lauzon-Guillain, P. Ducimetière, M. de Agostini, B. Foliguet, A. Forhan, X. Fritel, A. Germa, V. Goua, R. Hankard, B. Heude, M. Kaminski, B. Larroque†, N. Lelong, J. Lepeule, G. Magnin, L. Marchand, C. Nabet, F Pierre, R. Slama, M.J. Saurel-Cubizolles, M. Schweitzer, and O. Thiebaugeorges. Generation R: We gratefully acknowledge the contribution of children and their parents, general practitioners, hospitals, midwives, and pharmacies in Rotterdam. Lifeways: We would like to thank all members of the Lifeways cohort for their valuable contribution to the study. The participation of families is much appreciated. REPRO_PL: We gratefully acknowledge the contribution of children and their parents, hospitals, physicians, and midwives. ROLO: We are grateful to the participating mothers, children, and to the research and clinical staff who enabled us recruit this pregnancy and birth cohort. SWS: We are grateful to the women of Southampton and their children, who gave their time to take part in this study, and to the research nurses and other staff who collected and processed the data.</w:t>
      </w:r>
      <w:r w:rsidR="003A386B" w:rsidRPr="007412C5">
        <w:t xml:space="preserve"> </w:t>
      </w:r>
    </w:p>
    <w:p w14:paraId="1A9FB22A" w14:textId="2BF42A19" w:rsidR="00C45D3F" w:rsidRPr="003160F8" w:rsidRDefault="00C45D3F" w:rsidP="007412C5">
      <w:pPr>
        <w:pStyle w:val="MDPI64CoI"/>
        <w:rPr>
          <w:lang w:val="en-GB"/>
        </w:rPr>
      </w:pPr>
      <w:r w:rsidRPr="003160F8">
        <w:rPr>
          <w:b/>
          <w:color w:val="auto"/>
          <w:lang w:val="en-GB"/>
        </w:rPr>
        <w:t>Conflicts of Interest:</w:t>
      </w:r>
      <w:r w:rsidRPr="003160F8">
        <w:rPr>
          <w:color w:val="auto"/>
          <w:lang w:val="en-GB"/>
        </w:rPr>
        <w:t xml:space="preserve"> The authors declare no conflict of interest.</w:t>
      </w:r>
    </w:p>
    <w:p w14:paraId="5000CBC6" w14:textId="77777777" w:rsidR="007A329F" w:rsidRPr="00101347" w:rsidRDefault="007A329F" w:rsidP="007A329F">
      <w:pPr>
        <w:pStyle w:val="MDPI21heading1"/>
      </w:pPr>
      <w:r w:rsidRPr="00101347">
        <w:t>References</w:t>
      </w:r>
    </w:p>
    <w:p w14:paraId="499656FA" w14:textId="77777777" w:rsidR="007A329F" w:rsidRPr="00EF7E6A" w:rsidRDefault="007A329F" w:rsidP="007A329F">
      <w:pPr>
        <w:pStyle w:val="MDPI71References"/>
      </w:pPr>
      <w:r>
        <w:t>Godfrey, K.M.; Costello, P.M.; Lillycrop, K.A.</w:t>
      </w:r>
      <w:r w:rsidRPr="00EF7E6A">
        <w:t xml:space="preserve"> The developmental environment, epigenetic biomarkers and long-term health. </w:t>
      </w:r>
      <w:r w:rsidRPr="00EF7E6A">
        <w:rPr>
          <w:i/>
        </w:rPr>
        <w:t>J</w:t>
      </w:r>
      <w:r>
        <w:rPr>
          <w:i/>
        </w:rPr>
        <w:t>.</w:t>
      </w:r>
      <w:r w:rsidRPr="00EF7E6A">
        <w:rPr>
          <w:i/>
        </w:rPr>
        <w:t xml:space="preserve"> Dev</w:t>
      </w:r>
      <w:r>
        <w:rPr>
          <w:i/>
        </w:rPr>
        <w:t>.</w:t>
      </w:r>
      <w:r w:rsidRPr="00EF7E6A">
        <w:rPr>
          <w:i/>
        </w:rPr>
        <w:t xml:space="preserve"> Orig</w:t>
      </w:r>
      <w:r>
        <w:rPr>
          <w:i/>
        </w:rPr>
        <w:t>.</w:t>
      </w:r>
      <w:r w:rsidRPr="00EF7E6A">
        <w:rPr>
          <w:i/>
        </w:rPr>
        <w:t xml:space="preserve"> Health Dis.</w:t>
      </w:r>
      <w:r>
        <w:t xml:space="preserve"> </w:t>
      </w:r>
      <w:r>
        <w:rPr>
          <w:b/>
        </w:rPr>
        <w:t>2015</w:t>
      </w:r>
      <w:r>
        <w:t xml:space="preserve">, </w:t>
      </w:r>
      <w:r>
        <w:rPr>
          <w:i/>
        </w:rPr>
        <w:t>6</w:t>
      </w:r>
      <w:r>
        <w:t>, 399–406.</w:t>
      </w:r>
    </w:p>
    <w:p w14:paraId="27938BD0" w14:textId="77777777" w:rsidR="007A329F" w:rsidRPr="00F82C96" w:rsidRDefault="007A329F" w:rsidP="007A329F">
      <w:pPr>
        <w:pStyle w:val="MDPI71References"/>
      </w:pPr>
      <w:r>
        <w:t>Haugen, A.C.; Schug, T.T.; Collman, G.; Heindel, J.J.</w:t>
      </w:r>
      <w:r w:rsidRPr="00EF7E6A">
        <w:t xml:space="preserve"> Evolution of </w:t>
      </w:r>
      <w:r w:rsidRPr="00F82C96">
        <w:t xml:space="preserve">DOHaD: The impact of environmental health sciences. </w:t>
      </w:r>
      <w:r w:rsidRPr="00F82C96">
        <w:rPr>
          <w:i/>
        </w:rPr>
        <w:t>J. Dev. Orig. Health Dis.</w:t>
      </w:r>
      <w:r w:rsidRPr="00F82C96">
        <w:t xml:space="preserve"> </w:t>
      </w:r>
      <w:r w:rsidRPr="00F82C96">
        <w:rPr>
          <w:b/>
        </w:rPr>
        <w:t>2015</w:t>
      </w:r>
      <w:r w:rsidRPr="00F82C96">
        <w:t xml:space="preserve">, </w:t>
      </w:r>
      <w:r w:rsidRPr="00F82C96">
        <w:rPr>
          <w:i/>
        </w:rPr>
        <w:t>6</w:t>
      </w:r>
      <w:r w:rsidRPr="00F82C96">
        <w:t>, 55–64.</w:t>
      </w:r>
    </w:p>
    <w:p w14:paraId="62677FFB" w14:textId="77777777" w:rsidR="007A329F" w:rsidRPr="00F82C96" w:rsidRDefault="007A329F" w:rsidP="007A329F">
      <w:pPr>
        <w:pStyle w:val="MDPI71References"/>
      </w:pPr>
      <w:r w:rsidRPr="00F82C96">
        <w:t xml:space="preserve">Procter, S.B.; Campbell, C.G. Position of the Academy of Nutrition and Dietetics: Nutrition and lifestyle for a healthy pregnancy outcome. </w:t>
      </w:r>
      <w:r w:rsidRPr="00F82C96">
        <w:rPr>
          <w:i/>
        </w:rPr>
        <w:t>J. Acad. Nutr. Diet.</w:t>
      </w:r>
      <w:r w:rsidRPr="00F82C96">
        <w:t xml:space="preserve"> </w:t>
      </w:r>
      <w:r w:rsidRPr="00F82C96">
        <w:rPr>
          <w:b/>
        </w:rPr>
        <w:t>2014</w:t>
      </w:r>
      <w:r w:rsidRPr="00F82C96">
        <w:t xml:space="preserve">, </w:t>
      </w:r>
      <w:r w:rsidRPr="00F82C96">
        <w:rPr>
          <w:i/>
        </w:rPr>
        <w:t>114</w:t>
      </w:r>
      <w:r w:rsidRPr="00F82C96">
        <w:t>, 1099–1103.</w:t>
      </w:r>
    </w:p>
    <w:p w14:paraId="37A59CB9" w14:textId="77777777" w:rsidR="007A329F" w:rsidRPr="00EF7E6A" w:rsidRDefault="007A329F" w:rsidP="007A329F">
      <w:pPr>
        <w:pStyle w:val="MDPI71References"/>
      </w:pPr>
      <w:r w:rsidRPr="00F82C96">
        <w:t>Devereux, G.; Turner, S.W.; Craig, L.C.; McNeill, G.; Martindale, S.; Harbour, P</w:t>
      </w:r>
      <w:r>
        <w:t>.J.; Helms, P.J.; Seaton, A.</w:t>
      </w:r>
      <w:r w:rsidRPr="00EF7E6A">
        <w:t xml:space="preserve"> Low maternal vitamin E intake during pregnancy is associated with asthma in 5-year-old children. </w:t>
      </w:r>
      <w:r w:rsidRPr="00EF7E6A">
        <w:rPr>
          <w:i/>
        </w:rPr>
        <w:t>Am</w:t>
      </w:r>
      <w:r>
        <w:rPr>
          <w:i/>
        </w:rPr>
        <w:t>.</w:t>
      </w:r>
      <w:r w:rsidRPr="00EF7E6A">
        <w:rPr>
          <w:i/>
        </w:rPr>
        <w:t xml:space="preserve"> J</w:t>
      </w:r>
      <w:r>
        <w:rPr>
          <w:i/>
        </w:rPr>
        <w:t>.</w:t>
      </w:r>
      <w:r w:rsidRPr="00EF7E6A">
        <w:rPr>
          <w:i/>
        </w:rPr>
        <w:t xml:space="preserve"> Respir</w:t>
      </w:r>
      <w:r>
        <w:rPr>
          <w:i/>
        </w:rPr>
        <w:t>.</w:t>
      </w:r>
      <w:r w:rsidRPr="00EF7E6A">
        <w:rPr>
          <w:i/>
        </w:rPr>
        <w:t xml:space="preserve"> Crit</w:t>
      </w:r>
      <w:r>
        <w:rPr>
          <w:i/>
        </w:rPr>
        <w:t>.</w:t>
      </w:r>
      <w:r w:rsidRPr="00EF7E6A">
        <w:rPr>
          <w:i/>
        </w:rPr>
        <w:t xml:space="preserve"> Care Med. </w:t>
      </w:r>
      <w:r>
        <w:rPr>
          <w:b/>
        </w:rPr>
        <w:t>2006</w:t>
      </w:r>
      <w:r>
        <w:t xml:space="preserve">, </w:t>
      </w:r>
      <w:r>
        <w:rPr>
          <w:i/>
        </w:rPr>
        <w:t>174</w:t>
      </w:r>
      <w:r>
        <w:t>, 499–507</w:t>
      </w:r>
      <w:r w:rsidRPr="00EF7E6A">
        <w:t>.</w:t>
      </w:r>
    </w:p>
    <w:p w14:paraId="677A2532" w14:textId="77777777" w:rsidR="007A329F" w:rsidRPr="00EF7E6A" w:rsidRDefault="007A329F" w:rsidP="007A329F">
      <w:pPr>
        <w:pStyle w:val="MDPI71References"/>
      </w:pPr>
      <w:r>
        <w:t>Knudsen, V.K.; Orozova-Bekkevold, I.M.; Mikkelsen, T.B.; Wolff, S.; Olsen, S.F.</w:t>
      </w:r>
      <w:r w:rsidRPr="00EF7E6A">
        <w:t xml:space="preserve"> Major dietary patterns in pregnancy and fetal growth. </w:t>
      </w:r>
      <w:r w:rsidRPr="00EF7E6A">
        <w:rPr>
          <w:i/>
        </w:rPr>
        <w:t>Eur</w:t>
      </w:r>
      <w:r>
        <w:rPr>
          <w:i/>
        </w:rPr>
        <w:t>.</w:t>
      </w:r>
      <w:r w:rsidRPr="00EF7E6A">
        <w:rPr>
          <w:i/>
        </w:rPr>
        <w:t xml:space="preserve"> J</w:t>
      </w:r>
      <w:r>
        <w:rPr>
          <w:i/>
        </w:rPr>
        <w:t>.</w:t>
      </w:r>
      <w:r w:rsidRPr="00EF7E6A">
        <w:rPr>
          <w:i/>
        </w:rPr>
        <w:t xml:space="preserve"> Clin</w:t>
      </w:r>
      <w:r>
        <w:rPr>
          <w:i/>
        </w:rPr>
        <w:t>.</w:t>
      </w:r>
      <w:r w:rsidRPr="00EF7E6A">
        <w:rPr>
          <w:i/>
        </w:rPr>
        <w:t xml:space="preserve"> Nutr.</w:t>
      </w:r>
      <w:r>
        <w:t xml:space="preserve"> </w:t>
      </w:r>
      <w:r>
        <w:rPr>
          <w:b/>
        </w:rPr>
        <w:t>2008</w:t>
      </w:r>
      <w:r>
        <w:t xml:space="preserve">, </w:t>
      </w:r>
      <w:r>
        <w:rPr>
          <w:i/>
        </w:rPr>
        <w:t>62</w:t>
      </w:r>
      <w:r>
        <w:t>, 463–470.</w:t>
      </w:r>
    </w:p>
    <w:p w14:paraId="53F1CDA6" w14:textId="77777777" w:rsidR="007A329F" w:rsidRPr="00EF7E6A" w:rsidRDefault="007A329F" w:rsidP="007A329F">
      <w:pPr>
        <w:pStyle w:val="MDPI71References"/>
      </w:pPr>
      <w:r>
        <w:t>Abu-Saad, K.; Fraser, D.</w:t>
      </w:r>
      <w:r w:rsidRPr="00EF7E6A">
        <w:t xml:space="preserve"> Maternal nutrition and birth outcomes. </w:t>
      </w:r>
      <w:r w:rsidRPr="00EF7E6A">
        <w:rPr>
          <w:i/>
        </w:rPr>
        <w:t>Epidemiol</w:t>
      </w:r>
      <w:r>
        <w:rPr>
          <w:i/>
        </w:rPr>
        <w:t>.</w:t>
      </w:r>
      <w:r w:rsidRPr="00EF7E6A">
        <w:rPr>
          <w:i/>
        </w:rPr>
        <w:t xml:space="preserve"> Rev.</w:t>
      </w:r>
      <w:r w:rsidRPr="00EF7E6A">
        <w:t xml:space="preserve"> </w:t>
      </w:r>
      <w:r>
        <w:rPr>
          <w:b/>
        </w:rPr>
        <w:t>2010</w:t>
      </w:r>
      <w:r>
        <w:t xml:space="preserve">, </w:t>
      </w:r>
      <w:r>
        <w:rPr>
          <w:i/>
        </w:rPr>
        <w:t>32</w:t>
      </w:r>
      <w:r>
        <w:t>, 5–25.</w:t>
      </w:r>
    </w:p>
    <w:p w14:paraId="7E6B3503" w14:textId="77777777" w:rsidR="007A329F" w:rsidRPr="00EF7E6A" w:rsidRDefault="007A329F" w:rsidP="007A329F">
      <w:pPr>
        <w:pStyle w:val="MDPI71References"/>
      </w:pPr>
      <w:r>
        <w:t>Gernand, A.D.; Schulze, K.J.; Stewart, C.P.; West, K.P.; Christian, P.</w:t>
      </w:r>
      <w:r w:rsidRPr="00EF7E6A">
        <w:t xml:space="preserve"> Micronutrient deficiencies in pregnancy </w:t>
      </w:r>
      <w:r w:rsidRPr="00F82C96">
        <w:t>worldwide: Health effects</w:t>
      </w:r>
      <w:r w:rsidRPr="00EF7E6A">
        <w:t xml:space="preserve"> and prevention. </w:t>
      </w:r>
      <w:r w:rsidRPr="00EF7E6A">
        <w:rPr>
          <w:i/>
        </w:rPr>
        <w:t>Nat</w:t>
      </w:r>
      <w:r>
        <w:rPr>
          <w:i/>
        </w:rPr>
        <w:t>.</w:t>
      </w:r>
      <w:r w:rsidRPr="00EF7E6A">
        <w:rPr>
          <w:i/>
        </w:rPr>
        <w:t xml:space="preserve"> Rev</w:t>
      </w:r>
      <w:r>
        <w:rPr>
          <w:i/>
        </w:rPr>
        <w:t>.</w:t>
      </w:r>
      <w:r w:rsidRPr="00EF7E6A">
        <w:rPr>
          <w:i/>
        </w:rPr>
        <w:t xml:space="preserve"> Endocrinol.</w:t>
      </w:r>
      <w:r w:rsidRPr="00EF7E6A">
        <w:t xml:space="preserve"> </w:t>
      </w:r>
      <w:r>
        <w:rPr>
          <w:b/>
        </w:rPr>
        <w:t>2016</w:t>
      </w:r>
      <w:r>
        <w:t xml:space="preserve">, </w:t>
      </w:r>
      <w:r>
        <w:rPr>
          <w:i/>
        </w:rPr>
        <w:t>12</w:t>
      </w:r>
      <w:r>
        <w:t>, 274–289.</w:t>
      </w:r>
    </w:p>
    <w:p w14:paraId="71DDC0E1" w14:textId="77777777" w:rsidR="007A329F" w:rsidRPr="00F82C96" w:rsidRDefault="007A329F" w:rsidP="007A329F">
      <w:pPr>
        <w:pStyle w:val="MDPI71References"/>
      </w:pPr>
      <w:r>
        <w:t>Shapiro, A.L</w:t>
      </w:r>
      <w:r w:rsidRPr="00F82C96">
        <w:t xml:space="preserve">.; Kaar, J.L.; Crume, T.L.; Starling, A.P.; Siega-Riz, A.M.; Ringham, B.M.; Glueck, D.H.; Norris, J.M.; Barbour, L.A.; Friedman, J.E.; et al. Maternal diet quality in pregnancy and neonatal adiposity: The Healthy Start Study. </w:t>
      </w:r>
      <w:r w:rsidRPr="00F82C96">
        <w:rPr>
          <w:i/>
        </w:rPr>
        <w:t>Int. J. Obes.</w:t>
      </w:r>
      <w:r w:rsidRPr="00F82C96">
        <w:t xml:space="preserve"> </w:t>
      </w:r>
      <w:r w:rsidRPr="00F82C96">
        <w:rPr>
          <w:b/>
        </w:rPr>
        <w:t>2016</w:t>
      </w:r>
      <w:r w:rsidRPr="00F82C96">
        <w:t xml:space="preserve">, </w:t>
      </w:r>
      <w:r w:rsidRPr="00F82C96">
        <w:rPr>
          <w:i/>
        </w:rPr>
        <w:t>40</w:t>
      </w:r>
      <w:r w:rsidRPr="00F82C96">
        <w:t>, 1056–1062.</w:t>
      </w:r>
    </w:p>
    <w:p w14:paraId="633D5D44" w14:textId="77777777" w:rsidR="007A329F" w:rsidRPr="00F82C96" w:rsidRDefault="007A329F" w:rsidP="007A329F">
      <w:pPr>
        <w:pStyle w:val="MDPI71References"/>
      </w:pPr>
      <w:r w:rsidRPr="00F82C96">
        <w:t xml:space="preserve">Borge, T.C.; Aase, H.; Brantsæter, A.L.; Biele, G. The importance of maternal diet quality during pregnancy on cognitive and behavioural outcomes in children: A systematic review and meta-analysis. </w:t>
      </w:r>
      <w:r w:rsidRPr="00F82C96">
        <w:rPr>
          <w:i/>
        </w:rPr>
        <w:t>BMJ Open</w:t>
      </w:r>
      <w:r w:rsidRPr="00452F76">
        <w:rPr>
          <w:i/>
          <w:highlight w:val="magenta"/>
        </w:rPr>
        <w:t>.</w:t>
      </w:r>
      <w:r w:rsidRPr="00F82C96">
        <w:t xml:space="preserve"> </w:t>
      </w:r>
      <w:r w:rsidRPr="009F5FE3">
        <w:rPr>
          <w:b/>
        </w:rPr>
        <w:t>2017</w:t>
      </w:r>
      <w:r w:rsidRPr="00F82C96">
        <w:t xml:space="preserve">, </w:t>
      </w:r>
      <w:r w:rsidRPr="009F5FE3">
        <w:rPr>
          <w:i/>
        </w:rPr>
        <w:t>7</w:t>
      </w:r>
      <w:r w:rsidRPr="00F82C96">
        <w:t>, e016777.</w:t>
      </w:r>
    </w:p>
    <w:p w14:paraId="442FD856" w14:textId="77777777" w:rsidR="007A329F" w:rsidRPr="00EF7E6A" w:rsidRDefault="007A329F" w:rsidP="007A329F">
      <w:pPr>
        <w:pStyle w:val="MDPI71References"/>
      </w:pPr>
      <w:r>
        <w:t>Fung, T.T.; Chiuve, S.E.; McCullough, M.L.; Rexrode, K.M.; Logroscino, G.; Hu, F.B.</w:t>
      </w:r>
      <w:r w:rsidRPr="00EF7E6A">
        <w:t xml:space="preserve"> Adherence to a DASH-style diet and risk of coronary heart disease and stroke in women. </w:t>
      </w:r>
      <w:r w:rsidRPr="00EF7E6A">
        <w:rPr>
          <w:i/>
        </w:rPr>
        <w:t>Arch Intern</w:t>
      </w:r>
      <w:r>
        <w:rPr>
          <w:i/>
        </w:rPr>
        <w:t>.</w:t>
      </w:r>
      <w:r w:rsidRPr="00EF7E6A">
        <w:rPr>
          <w:i/>
        </w:rPr>
        <w:t xml:space="preserve"> Med.</w:t>
      </w:r>
      <w:r w:rsidRPr="00EF7E6A">
        <w:t xml:space="preserve"> </w:t>
      </w:r>
      <w:r>
        <w:rPr>
          <w:b/>
        </w:rPr>
        <w:t>2008</w:t>
      </w:r>
      <w:r>
        <w:t xml:space="preserve">, </w:t>
      </w:r>
      <w:r>
        <w:rPr>
          <w:i/>
        </w:rPr>
        <w:t>168</w:t>
      </w:r>
      <w:r>
        <w:t>, 713–720</w:t>
      </w:r>
      <w:r w:rsidRPr="00EF7E6A">
        <w:t>.</w:t>
      </w:r>
    </w:p>
    <w:p w14:paraId="7A8B44E3" w14:textId="77777777" w:rsidR="007A329F" w:rsidRPr="00EF7E6A" w:rsidRDefault="007A329F" w:rsidP="007A329F">
      <w:pPr>
        <w:pStyle w:val="MDPI71References"/>
      </w:pPr>
      <w:r>
        <w:t>Hinderliter, A.L.; Babyak, M.A.; Sherwood, A.; Blumenthal, J.A.</w:t>
      </w:r>
      <w:r w:rsidRPr="00EF7E6A">
        <w:t xml:space="preserve"> The DASH diet and insulin sensitivity. </w:t>
      </w:r>
      <w:r w:rsidRPr="00EF7E6A">
        <w:rPr>
          <w:i/>
        </w:rPr>
        <w:t>Curr</w:t>
      </w:r>
      <w:r>
        <w:rPr>
          <w:i/>
        </w:rPr>
        <w:t>.</w:t>
      </w:r>
      <w:r w:rsidRPr="00EF7E6A">
        <w:rPr>
          <w:i/>
        </w:rPr>
        <w:t xml:space="preserve"> Hypertens</w:t>
      </w:r>
      <w:r>
        <w:rPr>
          <w:i/>
        </w:rPr>
        <w:t>.</w:t>
      </w:r>
      <w:r w:rsidRPr="00EF7E6A">
        <w:rPr>
          <w:i/>
        </w:rPr>
        <w:t xml:space="preserve"> Rep.</w:t>
      </w:r>
      <w:r>
        <w:t xml:space="preserve"> </w:t>
      </w:r>
      <w:r>
        <w:rPr>
          <w:b/>
        </w:rPr>
        <w:t>2011</w:t>
      </w:r>
      <w:r>
        <w:t xml:space="preserve">, </w:t>
      </w:r>
      <w:r>
        <w:rPr>
          <w:i/>
        </w:rPr>
        <w:t>13</w:t>
      </w:r>
      <w:r>
        <w:t>, 67–73.</w:t>
      </w:r>
    </w:p>
    <w:p w14:paraId="4BDEBD03" w14:textId="77777777" w:rsidR="007A329F" w:rsidRPr="00EF7E6A" w:rsidRDefault="007A329F" w:rsidP="007A329F">
      <w:pPr>
        <w:pStyle w:val="MDPI71References"/>
      </w:pPr>
      <w:r>
        <w:t>Harrington, J.M.; Fitzgerald, A.P.; Kearney, P.M.; McCarthy, V.J.; Madden, J.; Browne, G.; Dolan, E.; Perry, I.J.</w:t>
      </w:r>
      <w:r w:rsidRPr="00EF7E6A">
        <w:t xml:space="preserve"> DASH diet score and distribution of blood pressure in middle-aged men and women. </w:t>
      </w:r>
      <w:r w:rsidRPr="00EF7E6A">
        <w:rPr>
          <w:i/>
        </w:rPr>
        <w:t>Am</w:t>
      </w:r>
      <w:r>
        <w:rPr>
          <w:i/>
        </w:rPr>
        <w:t>.</w:t>
      </w:r>
      <w:r w:rsidRPr="00EF7E6A">
        <w:rPr>
          <w:i/>
        </w:rPr>
        <w:t xml:space="preserve"> J</w:t>
      </w:r>
      <w:r>
        <w:rPr>
          <w:i/>
        </w:rPr>
        <w:t>.</w:t>
      </w:r>
      <w:r w:rsidRPr="00EF7E6A">
        <w:rPr>
          <w:i/>
        </w:rPr>
        <w:t xml:space="preserve"> Hypertens.</w:t>
      </w:r>
      <w:r w:rsidRPr="00EF7E6A">
        <w:t xml:space="preserve"> </w:t>
      </w:r>
      <w:r>
        <w:rPr>
          <w:b/>
        </w:rPr>
        <w:t>2013</w:t>
      </w:r>
      <w:r>
        <w:t xml:space="preserve">, </w:t>
      </w:r>
      <w:r>
        <w:rPr>
          <w:i/>
        </w:rPr>
        <w:t>26</w:t>
      </w:r>
      <w:r>
        <w:t>, 1311–1320</w:t>
      </w:r>
      <w:r w:rsidRPr="00EF7E6A">
        <w:t>.</w:t>
      </w:r>
    </w:p>
    <w:p w14:paraId="3B06025E" w14:textId="77777777" w:rsidR="007A329F" w:rsidRPr="00EF7E6A" w:rsidRDefault="007A329F" w:rsidP="007A329F">
      <w:pPr>
        <w:pStyle w:val="MDPI71References"/>
      </w:pPr>
      <w:r>
        <w:t>Jones-McLean, E.; Hu, J.; Greene-Finestone, L.S.; de Groh, M.</w:t>
      </w:r>
      <w:r w:rsidRPr="00EF7E6A">
        <w:t xml:space="preserve"> A DASH dietary pattern and the risk of colorectal cancer in Canadian adults. </w:t>
      </w:r>
      <w:r w:rsidRPr="00EF7E6A">
        <w:rPr>
          <w:i/>
        </w:rPr>
        <w:t>Health Promot</w:t>
      </w:r>
      <w:r>
        <w:rPr>
          <w:i/>
        </w:rPr>
        <w:t>.</w:t>
      </w:r>
      <w:r w:rsidRPr="00EF7E6A">
        <w:rPr>
          <w:i/>
        </w:rPr>
        <w:t xml:space="preserve"> Chronic Dis</w:t>
      </w:r>
      <w:r>
        <w:rPr>
          <w:i/>
        </w:rPr>
        <w:t>.</w:t>
      </w:r>
      <w:r w:rsidRPr="00EF7E6A">
        <w:rPr>
          <w:i/>
        </w:rPr>
        <w:t xml:space="preserve"> Prev</w:t>
      </w:r>
      <w:r>
        <w:rPr>
          <w:i/>
        </w:rPr>
        <w:t>.</w:t>
      </w:r>
      <w:r w:rsidRPr="00EF7E6A">
        <w:rPr>
          <w:i/>
        </w:rPr>
        <w:t xml:space="preserve"> Can. </w:t>
      </w:r>
      <w:r>
        <w:rPr>
          <w:b/>
        </w:rPr>
        <w:t>2015</w:t>
      </w:r>
      <w:r>
        <w:t xml:space="preserve">, </w:t>
      </w:r>
      <w:r>
        <w:rPr>
          <w:i/>
        </w:rPr>
        <w:t>35</w:t>
      </w:r>
      <w:r>
        <w:t>, 12–20.</w:t>
      </w:r>
    </w:p>
    <w:p w14:paraId="7095A7A9" w14:textId="77777777" w:rsidR="007A329F" w:rsidRPr="00EF7E6A" w:rsidRDefault="007A329F" w:rsidP="007A329F">
      <w:pPr>
        <w:pStyle w:val="MDPI71References"/>
      </w:pPr>
      <w:r>
        <w:t>Berz, J.P.B.; Singer, M.R.; Guo, X.; Daniels, S.R.; Moore, L.L.</w:t>
      </w:r>
      <w:r w:rsidRPr="00EF7E6A">
        <w:t xml:space="preserve"> Use of a DASH Food Group Score to Predict Excess Weight Gain in Adolescent Girls in the National Growth and Health Study. </w:t>
      </w:r>
      <w:r w:rsidRPr="00EF7E6A">
        <w:rPr>
          <w:i/>
        </w:rPr>
        <w:t>Arch Pediatr</w:t>
      </w:r>
      <w:r>
        <w:rPr>
          <w:i/>
        </w:rPr>
        <w:t>.</w:t>
      </w:r>
      <w:r w:rsidRPr="00EF7E6A">
        <w:rPr>
          <w:i/>
        </w:rPr>
        <w:t xml:space="preserve"> Adolesc</w:t>
      </w:r>
      <w:r>
        <w:rPr>
          <w:i/>
        </w:rPr>
        <w:t>.</w:t>
      </w:r>
      <w:r w:rsidRPr="00EF7E6A">
        <w:rPr>
          <w:i/>
        </w:rPr>
        <w:t xml:space="preserve"> Med. </w:t>
      </w:r>
      <w:r>
        <w:rPr>
          <w:b/>
        </w:rPr>
        <w:t>2011</w:t>
      </w:r>
      <w:r>
        <w:t xml:space="preserve">, </w:t>
      </w:r>
      <w:r>
        <w:rPr>
          <w:i/>
        </w:rPr>
        <w:t>165</w:t>
      </w:r>
      <w:r>
        <w:t>, 540–546.</w:t>
      </w:r>
    </w:p>
    <w:p w14:paraId="384E0498" w14:textId="77777777" w:rsidR="007A329F" w:rsidRPr="00EF7E6A" w:rsidRDefault="007A329F" w:rsidP="007A329F">
      <w:pPr>
        <w:pStyle w:val="MDPI71References"/>
      </w:pPr>
      <w:r>
        <w:t>Siervo, M.; Lara, J.; Chowdhury, S.; Ashor, A.; Oggioni, C.; Mathers, J.C.</w:t>
      </w:r>
      <w:r w:rsidRPr="00EF7E6A">
        <w:t xml:space="preserve"> Effects of the Dietary Approach to Stop Hypertension (DASH) diet on cardiovascular risk </w:t>
      </w:r>
      <w:r w:rsidRPr="00F82C96">
        <w:t>factors: A systematic</w:t>
      </w:r>
      <w:r w:rsidRPr="00EF7E6A">
        <w:t xml:space="preserve"> review and meta-analysis. </w:t>
      </w:r>
      <w:r w:rsidRPr="00EF7E6A">
        <w:rPr>
          <w:i/>
        </w:rPr>
        <w:t>Br</w:t>
      </w:r>
      <w:r>
        <w:rPr>
          <w:i/>
        </w:rPr>
        <w:t>.</w:t>
      </w:r>
      <w:r w:rsidRPr="00EF7E6A">
        <w:rPr>
          <w:i/>
        </w:rPr>
        <w:t xml:space="preserve"> J</w:t>
      </w:r>
      <w:r>
        <w:rPr>
          <w:i/>
        </w:rPr>
        <w:t>.</w:t>
      </w:r>
      <w:r w:rsidRPr="00EF7E6A">
        <w:rPr>
          <w:i/>
        </w:rPr>
        <w:t xml:space="preserve"> Nutr.</w:t>
      </w:r>
      <w:r>
        <w:t xml:space="preserve"> </w:t>
      </w:r>
      <w:r>
        <w:rPr>
          <w:b/>
        </w:rPr>
        <w:t>2015</w:t>
      </w:r>
      <w:r>
        <w:t xml:space="preserve">, </w:t>
      </w:r>
      <w:r>
        <w:rPr>
          <w:i/>
        </w:rPr>
        <w:t>113</w:t>
      </w:r>
      <w:r>
        <w:t>, 1–15.</w:t>
      </w:r>
    </w:p>
    <w:p w14:paraId="2412FAFC" w14:textId="77777777" w:rsidR="007A329F" w:rsidRPr="00EF7E6A" w:rsidRDefault="007A329F" w:rsidP="007A329F">
      <w:pPr>
        <w:pStyle w:val="MDPI71References"/>
        <w:rPr>
          <w:lang w:val="fr-FR"/>
        </w:rPr>
      </w:pPr>
      <w:r>
        <w:t>Asemi, Z.; Samimi, M.; Tabassi, Z.; Sabihi, S.; Esmaillzadeh, A.</w:t>
      </w:r>
      <w:r w:rsidRPr="00EF7E6A">
        <w:t xml:space="preserve"> A randomized controlled clinical trial investigating the effect of DASH diet on</w:t>
      </w:r>
      <w:r>
        <w:t xml:space="preserve"> </w:t>
      </w:r>
      <w:r w:rsidRPr="00EF7E6A">
        <w:t xml:space="preserve">insulin resistance, inflammation, and oxidative stress in gestational diabetes. </w:t>
      </w:r>
      <w:r w:rsidRPr="00EF7E6A">
        <w:rPr>
          <w:i/>
          <w:lang w:val="fr-FR"/>
        </w:rPr>
        <w:t>Nutrition</w:t>
      </w:r>
      <w:r w:rsidRPr="00EF7E6A">
        <w:rPr>
          <w:lang w:val="fr-FR"/>
        </w:rPr>
        <w:t xml:space="preserve"> </w:t>
      </w:r>
      <w:r>
        <w:rPr>
          <w:b/>
          <w:lang w:val="fr-FR"/>
        </w:rPr>
        <w:t>2013</w:t>
      </w:r>
      <w:r>
        <w:rPr>
          <w:lang w:val="fr-FR"/>
        </w:rPr>
        <w:t xml:space="preserve">, </w:t>
      </w:r>
      <w:r>
        <w:rPr>
          <w:i/>
          <w:lang w:val="fr-FR"/>
        </w:rPr>
        <w:t>29</w:t>
      </w:r>
      <w:r>
        <w:rPr>
          <w:lang w:val="fr-FR"/>
        </w:rPr>
        <w:t>, 619–624</w:t>
      </w:r>
      <w:r w:rsidRPr="00EF7E6A">
        <w:rPr>
          <w:lang w:val="fr-FR"/>
        </w:rPr>
        <w:t>.</w:t>
      </w:r>
    </w:p>
    <w:p w14:paraId="07335F21" w14:textId="77777777" w:rsidR="007A329F" w:rsidRPr="00EF7E6A" w:rsidRDefault="007A329F" w:rsidP="007A329F">
      <w:pPr>
        <w:pStyle w:val="MDPI71References"/>
      </w:pPr>
      <w:r w:rsidRPr="001740F2">
        <w:rPr>
          <w:lang w:val="en-GB"/>
        </w:rPr>
        <w:t xml:space="preserve">Jiang, F.; Li, Y.; Xu, P.; Li, J.; Chen, X.; Yu, H.; Gao, B.; Xu, B.; Li, X.; Chen, W. </w:t>
      </w:r>
      <w:r w:rsidRPr="00EF7E6A">
        <w:t xml:space="preserve">The efficacy of the Dietary Approaches to Stop Hypertension diet with respect to improving pregnancy outcomes in women with hypertensive disorders. </w:t>
      </w:r>
      <w:r w:rsidRPr="00BD3F63">
        <w:rPr>
          <w:i/>
        </w:rPr>
        <w:t>J</w:t>
      </w:r>
      <w:r>
        <w:rPr>
          <w:i/>
        </w:rPr>
        <w:t>.</w:t>
      </w:r>
      <w:r w:rsidRPr="00BD3F63">
        <w:rPr>
          <w:i/>
        </w:rPr>
        <w:t xml:space="preserve"> Hum</w:t>
      </w:r>
      <w:r>
        <w:rPr>
          <w:i/>
        </w:rPr>
        <w:t>.</w:t>
      </w:r>
      <w:r w:rsidRPr="00BD3F63">
        <w:rPr>
          <w:i/>
        </w:rPr>
        <w:t xml:space="preserve"> Nutr</w:t>
      </w:r>
      <w:r>
        <w:rPr>
          <w:i/>
        </w:rPr>
        <w:t>.</w:t>
      </w:r>
      <w:r w:rsidRPr="00BD3F63">
        <w:rPr>
          <w:i/>
        </w:rPr>
        <w:t xml:space="preserve"> Diet.</w:t>
      </w:r>
      <w:r>
        <w:t xml:space="preserve"> </w:t>
      </w:r>
      <w:r w:rsidRPr="00BD3F63">
        <w:rPr>
          <w:b/>
        </w:rPr>
        <w:t>2019</w:t>
      </w:r>
      <w:r>
        <w:t xml:space="preserve">, </w:t>
      </w:r>
      <w:hyperlink r:id="rId42" w:history="1">
        <w:r>
          <w:t>doi:</w:t>
        </w:r>
        <w:r w:rsidRPr="00BD3F63">
          <w:t>10.1111/jhn.12654</w:t>
        </w:r>
      </w:hyperlink>
      <w:r>
        <w:t>.</w:t>
      </w:r>
    </w:p>
    <w:p w14:paraId="58D536B3" w14:textId="77777777" w:rsidR="007A329F" w:rsidRPr="00EF7E6A" w:rsidRDefault="007A329F" w:rsidP="007A329F">
      <w:pPr>
        <w:pStyle w:val="MDPI71References"/>
      </w:pPr>
      <w:r>
        <w:t>Fulay, A.P.; Rifas-Shiman, S.L.; Oken, E.; Perng, W.</w:t>
      </w:r>
      <w:r w:rsidRPr="00EF7E6A">
        <w:t xml:space="preserve"> Associations of the dietary approaches to stop hypertension (DASH) diet with pregnancy complications in Project Viva. </w:t>
      </w:r>
      <w:r w:rsidRPr="00BD3F63">
        <w:rPr>
          <w:i/>
        </w:rPr>
        <w:t>Eur</w:t>
      </w:r>
      <w:r>
        <w:rPr>
          <w:i/>
        </w:rPr>
        <w:t>.</w:t>
      </w:r>
      <w:r w:rsidRPr="00BD3F63">
        <w:rPr>
          <w:i/>
        </w:rPr>
        <w:t xml:space="preserve"> J</w:t>
      </w:r>
      <w:r>
        <w:rPr>
          <w:i/>
        </w:rPr>
        <w:t>.</w:t>
      </w:r>
      <w:r w:rsidRPr="00BD3F63">
        <w:rPr>
          <w:i/>
        </w:rPr>
        <w:t xml:space="preserve"> Clin</w:t>
      </w:r>
      <w:r>
        <w:rPr>
          <w:i/>
        </w:rPr>
        <w:t>.</w:t>
      </w:r>
      <w:r w:rsidRPr="00BD3F63">
        <w:rPr>
          <w:i/>
        </w:rPr>
        <w:t xml:space="preserve"> Nutr.</w:t>
      </w:r>
      <w:r w:rsidRPr="00EF7E6A">
        <w:t xml:space="preserve"> </w:t>
      </w:r>
      <w:r>
        <w:rPr>
          <w:b/>
        </w:rPr>
        <w:t>2018</w:t>
      </w:r>
      <w:r>
        <w:t xml:space="preserve">, </w:t>
      </w:r>
      <w:r>
        <w:rPr>
          <w:i/>
        </w:rPr>
        <w:t>72</w:t>
      </w:r>
      <w:r>
        <w:t>, 1385.</w:t>
      </w:r>
    </w:p>
    <w:p w14:paraId="06A05656" w14:textId="77777777" w:rsidR="007A329F" w:rsidRPr="00EF7E6A" w:rsidRDefault="007A329F" w:rsidP="007A329F">
      <w:pPr>
        <w:pStyle w:val="MDPI71References"/>
      </w:pPr>
      <w:r>
        <w:t xml:space="preserve">Phillips, C.M.; Chen, L.W.; Heude, B.; Bernard, J.Y.; Harvey, N.C.; Duijts, L.; Mensink-Bout, S.M.; Polanska, K.; Mancano, G.; Suderman, M.; </w:t>
      </w:r>
      <w:r w:rsidRPr="00EF7E6A">
        <w:t xml:space="preserve">et al. Dietary Inflammatory Index and Non-Communicable Disease Risk: A Narrative Review. </w:t>
      </w:r>
      <w:r w:rsidRPr="00BD3F63">
        <w:rPr>
          <w:i/>
        </w:rPr>
        <w:t>Nutrients</w:t>
      </w:r>
      <w:r>
        <w:t xml:space="preserve"> </w:t>
      </w:r>
      <w:r>
        <w:rPr>
          <w:b/>
        </w:rPr>
        <w:t>2019</w:t>
      </w:r>
      <w:r>
        <w:t xml:space="preserve">, </w:t>
      </w:r>
      <w:r>
        <w:rPr>
          <w:i/>
        </w:rPr>
        <w:t>11</w:t>
      </w:r>
      <w:r>
        <w:t>, 1873.</w:t>
      </w:r>
    </w:p>
    <w:p w14:paraId="501CC488" w14:textId="77777777" w:rsidR="007A329F" w:rsidRPr="00F82C96" w:rsidRDefault="007A329F" w:rsidP="007A329F">
      <w:pPr>
        <w:pStyle w:val="MDPI71References"/>
      </w:pPr>
      <w:r>
        <w:t>Mendez, M.A.; Kogevinas, M.</w:t>
      </w:r>
      <w:r w:rsidRPr="00EF7E6A">
        <w:t xml:space="preserve"> A comparative analysis of </w:t>
      </w:r>
      <w:r w:rsidRPr="00F82C96">
        <w:t xml:space="preserve">dietary intakes during pregnancy in Europe: A planned pooled analysis of birth cohort studies. </w:t>
      </w:r>
      <w:r w:rsidRPr="00F82C96">
        <w:rPr>
          <w:i/>
        </w:rPr>
        <w:t>Am. J. Clin. Nutr.</w:t>
      </w:r>
      <w:r w:rsidRPr="00F82C96">
        <w:t xml:space="preserve"> </w:t>
      </w:r>
      <w:r w:rsidRPr="00F82C96">
        <w:rPr>
          <w:b/>
        </w:rPr>
        <w:t>2011</w:t>
      </w:r>
      <w:r w:rsidRPr="00F82C96">
        <w:t xml:space="preserve">, </w:t>
      </w:r>
      <w:r w:rsidRPr="00F82C96">
        <w:rPr>
          <w:i/>
        </w:rPr>
        <w:t>94</w:t>
      </w:r>
      <w:r w:rsidRPr="00F82C96">
        <w:t xml:space="preserve"> (Suppl. 6), 1993S</w:t>
      </w:r>
      <w:r>
        <w:t>–</w:t>
      </w:r>
      <w:r w:rsidRPr="00F82C96">
        <w:t>1999S.</w:t>
      </w:r>
    </w:p>
    <w:p w14:paraId="7AAC8472" w14:textId="77777777" w:rsidR="007A329F" w:rsidRPr="00F82C96" w:rsidRDefault="007A329F" w:rsidP="007A329F">
      <w:pPr>
        <w:pStyle w:val="MDPI71References"/>
      </w:pPr>
      <w:r w:rsidRPr="00F82C96">
        <w:t xml:space="preserve">Olsen, S.F.; Eva Birgisdottir, B.; Halldorsson, T.I.; Brantsæter, A.L.; Haugen, M.; Torjusen, H.; Petersen, S.B.; Strøm, M.; Meltzer, H.M. Possibilities and considerations when merging dietary data from the world’s two largest pregnancy cohorts: The Danish National Birth Cohort and the Norwegian Mother and Child Cohort Study. </w:t>
      </w:r>
      <w:r w:rsidRPr="00F82C96">
        <w:rPr>
          <w:i/>
        </w:rPr>
        <w:t>Acta Obstet. Gynecol. Scand.</w:t>
      </w:r>
      <w:r w:rsidRPr="00F82C96">
        <w:t xml:space="preserve"> </w:t>
      </w:r>
      <w:r w:rsidRPr="00F82C96">
        <w:rPr>
          <w:b/>
        </w:rPr>
        <w:t>2014</w:t>
      </w:r>
      <w:r w:rsidRPr="00F82C96">
        <w:t xml:space="preserve">, </w:t>
      </w:r>
      <w:r w:rsidRPr="00F82C96">
        <w:rPr>
          <w:i/>
        </w:rPr>
        <w:t>93</w:t>
      </w:r>
      <w:r w:rsidRPr="00F82C96">
        <w:t>, 1131–1140.</w:t>
      </w:r>
    </w:p>
    <w:p w14:paraId="476210F6" w14:textId="77777777" w:rsidR="007A329F" w:rsidRPr="00EF7E6A" w:rsidRDefault="007A329F" w:rsidP="007A329F">
      <w:pPr>
        <w:pStyle w:val="MDPI71References"/>
      </w:pPr>
      <w:r w:rsidRPr="00F82C96">
        <w:t>Fraser, A.; Macdonald-Wallis, C.; Tilling, K.; Boyd, A.; Golding, J.; Davey Smith, G.; Henderson, J.; Macleod, J.; Molloy, L.; Ness, A.; et al. Cohort Profile: The Avon Longitudinal</w:t>
      </w:r>
      <w:r w:rsidRPr="00EF7E6A">
        <w:t xml:space="preserve"> Study of Parents and Children: ALSPAC mothers cohort. </w:t>
      </w:r>
      <w:r w:rsidRPr="00BD3F63">
        <w:rPr>
          <w:i/>
        </w:rPr>
        <w:t>Int</w:t>
      </w:r>
      <w:r>
        <w:rPr>
          <w:i/>
        </w:rPr>
        <w:t>.</w:t>
      </w:r>
      <w:r w:rsidRPr="00BD3F63">
        <w:rPr>
          <w:i/>
        </w:rPr>
        <w:t xml:space="preserve"> J</w:t>
      </w:r>
      <w:r>
        <w:rPr>
          <w:i/>
        </w:rPr>
        <w:t>.</w:t>
      </w:r>
      <w:r w:rsidRPr="00BD3F63">
        <w:rPr>
          <w:i/>
        </w:rPr>
        <w:t xml:space="preserve"> Epidemiol.</w:t>
      </w:r>
      <w:r w:rsidRPr="00EF7E6A">
        <w:t xml:space="preserve"> </w:t>
      </w:r>
      <w:r>
        <w:rPr>
          <w:b/>
        </w:rPr>
        <w:t>2013</w:t>
      </w:r>
      <w:r>
        <w:t xml:space="preserve">, </w:t>
      </w:r>
      <w:r>
        <w:rPr>
          <w:i/>
        </w:rPr>
        <w:t>42</w:t>
      </w:r>
      <w:r>
        <w:t>, 97–110.</w:t>
      </w:r>
    </w:p>
    <w:p w14:paraId="18317779" w14:textId="77777777" w:rsidR="007A329F" w:rsidRPr="00EF7E6A" w:rsidRDefault="007A329F" w:rsidP="007A329F">
      <w:pPr>
        <w:pStyle w:val="MDPI71References"/>
      </w:pPr>
      <w:r>
        <w:t>Boyd, A.; Golding, J.; Macleod, J.; Lawlor, D.A.; Fraser, A.; Henderson, J.; Molloy, L.; Ness, A.; Ring, S.; Davey Smith, G.</w:t>
      </w:r>
      <w:r w:rsidRPr="00EF7E6A">
        <w:t xml:space="preserve"> Cohort Profile: The ‘Children of the 90s’—The index offspring of the Avon Longitudinal Study of Parents and Children. </w:t>
      </w:r>
      <w:r w:rsidRPr="00BD3F63">
        <w:rPr>
          <w:i/>
        </w:rPr>
        <w:t>Int</w:t>
      </w:r>
      <w:r>
        <w:rPr>
          <w:i/>
        </w:rPr>
        <w:t>.</w:t>
      </w:r>
      <w:r w:rsidRPr="00BD3F63">
        <w:rPr>
          <w:i/>
        </w:rPr>
        <w:t xml:space="preserve"> J</w:t>
      </w:r>
      <w:r>
        <w:rPr>
          <w:i/>
        </w:rPr>
        <w:t>.</w:t>
      </w:r>
      <w:r w:rsidRPr="00BD3F63">
        <w:rPr>
          <w:i/>
        </w:rPr>
        <w:t xml:space="preserve"> Epidemiol.</w:t>
      </w:r>
      <w:r>
        <w:t xml:space="preserve"> </w:t>
      </w:r>
      <w:r>
        <w:rPr>
          <w:b/>
        </w:rPr>
        <w:t>2013</w:t>
      </w:r>
      <w:r>
        <w:t xml:space="preserve">, </w:t>
      </w:r>
      <w:r>
        <w:rPr>
          <w:i/>
        </w:rPr>
        <w:t>42</w:t>
      </w:r>
      <w:r>
        <w:t>, 111–127</w:t>
      </w:r>
      <w:r w:rsidRPr="00EF7E6A">
        <w:t>.</w:t>
      </w:r>
    </w:p>
    <w:p w14:paraId="3CC12916" w14:textId="77777777" w:rsidR="007A329F" w:rsidRPr="00F82C96" w:rsidRDefault="007A329F" w:rsidP="007A329F">
      <w:pPr>
        <w:pStyle w:val="MDPI71References"/>
      </w:pPr>
      <w:r>
        <w:t>Heude, B.; Forhan, A.; Slama, R.; Douhaud, L</w:t>
      </w:r>
      <w:r w:rsidRPr="00F82C96">
        <w:t xml:space="preserve">.; Bedel, S.; Saurel-Cubizolles, M.J.; Hankard, R.; Thiebaugeorges, O.; De Agostini, M.; Annesi-Maesano, I.; et al. Cohort Profile: The EDEN mother-child cohort on the prenatal and early postnatal determinants of child health and development. </w:t>
      </w:r>
      <w:r w:rsidRPr="00F82C96">
        <w:rPr>
          <w:i/>
        </w:rPr>
        <w:t>Int. J. Epidemiol.</w:t>
      </w:r>
      <w:r w:rsidRPr="00F82C96">
        <w:t xml:space="preserve"> </w:t>
      </w:r>
      <w:r w:rsidRPr="00F82C96">
        <w:rPr>
          <w:b/>
        </w:rPr>
        <w:t>2016</w:t>
      </w:r>
      <w:r w:rsidRPr="00F82C96">
        <w:t xml:space="preserve">, </w:t>
      </w:r>
      <w:r w:rsidRPr="00F82C96">
        <w:rPr>
          <w:i/>
        </w:rPr>
        <w:t>45</w:t>
      </w:r>
      <w:r w:rsidRPr="00F82C96">
        <w:t>, 353–363.</w:t>
      </w:r>
    </w:p>
    <w:p w14:paraId="5951F972" w14:textId="77777777" w:rsidR="007A329F" w:rsidRPr="00F82C96" w:rsidRDefault="007A329F" w:rsidP="007A329F">
      <w:pPr>
        <w:pStyle w:val="MDPI71References"/>
      </w:pPr>
      <w:r w:rsidRPr="00F82C96">
        <w:t xml:space="preserve">Kooijman, M.N.; Kruithof, C.J.; van Duijn, C.M.; Duijts, L.; Franco, O.H.; van IJzendoorn, M.H.; de Jongste, J.C.; Klaver, C.C.; van der Lugt, A.; Mackenbach, J.P.; et al. The Generation R Study: Design and cohort update 2017. </w:t>
      </w:r>
      <w:r w:rsidRPr="00F82C96">
        <w:rPr>
          <w:i/>
        </w:rPr>
        <w:t>Eur. J. Epidemiol.</w:t>
      </w:r>
      <w:r w:rsidRPr="00F82C96">
        <w:t xml:space="preserve"> </w:t>
      </w:r>
      <w:r w:rsidRPr="00F82C96">
        <w:rPr>
          <w:b/>
        </w:rPr>
        <w:t>2016</w:t>
      </w:r>
      <w:r w:rsidRPr="00F82C96">
        <w:t xml:space="preserve">, </w:t>
      </w:r>
      <w:r w:rsidRPr="00F82C96">
        <w:rPr>
          <w:i/>
        </w:rPr>
        <w:t>31</w:t>
      </w:r>
      <w:r w:rsidRPr="00F82C96">
        <w:t>, 1243–1264.</w:t>
      </w:r>
    </w:p>
    <w:p w14:paraId="38DB7D0E" w14:textId="77777777" w:rsidR="007A329F" w:rsidRPr="00EF7E6A" w:rsidRDefault="007A329F" w:rsidP="007A329F">
      <w:pPr>
        <w:pStyle w:val="MDPI71References"/>
      </w:pPr>
      <w:r w:rsidRPr="00F82C96">
        <w:t>O’Mahony, D.; Fallon, U.B.; Hannon, F.; Kloeckner, K.; Avalos, G.; Murphy, A.W.; Kelleher, C.C. The Lifeways Cross-Generation Study: Design, recruitment and</w:t>
      </w:r>
      <w:r w:rsidRPr="00EF7E6A">
        <w:t xml:space="preserve"> data management considerations. </w:t>
      </w:r>
      <w:r w:rsidRPr="00BD3F63">
        <w:rPr>
          <w:i/>
        </w:rPr>
        <w:t>Ir. Med. J.</w:t>
      </w:r>
      <w:r>
        <w:t xml:space="preserve"> </w:t>
      </w:r>
      <w:r>
        <w:rPr>
          <w:b/>
        </w:rPr>
        <w:t>2007</w:t>
      </w:r>
      <w:r>
        <w:t xml:space="preserve">, </w:t>
      </w:r>
      <w:r>
        <w:rPr>
          <w:i/>
        </w:rPr>
        <w:t>100</w:t>
      </w:r>
      <w:r>
        <w:t>, 3–6</w:t>
      </w:r>
      <w:r w:rsidRPr="00EF7E6A">
        <w:t>.</w:t>
      </w:r>
    </w:p>
    <w:p w14:paraId="5759587A" w14:textId="77777777" w:rsidR="007A329F" w:rsidRPr="00EF7E6A" w:rsidRDefault="007A329F" w:rsidP="007A329F">
      <w:pPr>
        <w:pStyle w:val="MDPI71References"/>
      </w:pPr>
      <w:r>
        <w:t>Kennelly, M.A.; Ainscough, K.; Lindsay, K.; Gibney, E.; Mc Carthy, M.; McAuliffe, F.M.</w:t>
      </w:r>
      <w:r w:rsidRPr="00EF7E6A">
        <w:t xml:space="preserve"> Pregnancy, exercise and nutrition research study with smart phone app support (Pears): Study protocol of a randomized controlled trial. </w:t>
      </w:r>
      <w:r w:rsidRPr="00BD3F63">
        <w:rPr>
          <w:i/>
        </w:rPr>
        <w:t>Contemp</w:t>
      </w:r>
      <w:r>
        <w:rPr>
          <w:i/>
        </w:rPr>
        <w:t>.</w:t>
      </w:r>
      <w:r w:rsidRPr="00BD3F63">
        <w:rPr>
          <w:i/>
        </w:rPr>
        <w:t xml:space="preserve"> Clin</w:t>
      </w:r>
      <w:r>
        <w:rPr>
          <w:i/>
        </w:rPr>
        <w:t>.</w:t>
      </w:r>
      <w:r w:rsidRPr="00BD3F63">
        <w:rPr>
          <w:i/>
        </w:rPr>
        <w:t xml:space="preserve"> Trials</w:t>
      </w:r>
      <w:r w:rsidRPr="00EF7E6A">
        <w:t xml:space="preserve"> </w:t>
      </w:r>
      <w:r>
        <w:rPr>
          <w:b/>
        </w:rPr>
        <w:t>2016</w:t>
      </w:r>
      <w:r>
        <w:t xml:space="preserve">, </w:t>
      </w:r>
      <w:r>
        <w:rPr>
          <w:i/>
        </w:rPr>
        <w:t>46</w:t>
      </w:r>
      <w:r>
        <w:t>, 92–99</w:t>
      </w:r>
      <w:r w:rsidRPr="00EF7E6A">
        <w:t>.</w:t>
      </w:r>
    </w:p>
    <w:p w14:paraId="19A42AB9" w14:textId="77777777" w:rsidR="007A329F" w:rsidRPr="00EF7E6A" w:rsidRDefault="007A329F" w:rsidP="007A329F">
      <w:pPr>
        <w:pStyle w:val="MDPI71References"/>
      </w:pPr>
      <w:r>
        <w:t>Polanska, K.; Hanke, W.; Gromadzinska, J.; Ligocka, D.; Gulczynska, E.; Sobala, W.; Wasowicz, W.</w:t>
      </w:r>
      <w:r w:rsidRPr="00EF7E6A">
        <w:t xml:space="preserve"> Polis</w:t>
      </w:r>
      <w:r>
        <w:t>h mother and child cohort study—</w:t>
      </w:r>
      <w:r w:rsidRPr="00EF7E6A">
        <w:t xml:space="preserve">Defining the problem, the aim of the study and methodological assumption. </w:t>
      </w:r>
      <w:r w:rsidRPr="00BD3F63">
        <w:rPr>
          <w:i/>
        </w:rPr>
        <w:t>Int</w:t>
      </w:r>
      <w:r>
        <w:rPr>
          <w:i/>
        </w:rPr>
        <w:t>.</w:t>
      </w:r>
      <w:r w:rsidRPr="00BD3F63">
        <w:rPr>
          <w:i/>
        </w:rPr>
        <w:t xml:space="preserve"> J</w:t>
      </w:r>
      <w:r>
        <w:rPr>
          <w:i/>
        </w:rPr>
        <w:t>.</w:t>
      </w:r>
      <w:r w:rsidRPr="00BD3F63">
        <w:rPr>
          <w:i/>
        </w:rPr>
        <w:t xml:space="preserve"> Occup</w:t>
      </w:r>
      <w:r>
        <w:rPr>
          <w:i/>
        </w:rPr>
        <w:t>.</w:t>
      </w:r>
      <w:r w:rsidRPr="00BD3F63">
        <w:rPr>
          <w:i/>
        </w:rPr>
        <w:t xml:space="preserve"> Med</w:t>
      </w:r>
      <w:r>
        <w:rPr>
          <w:i/>
        </w:rPr>
        <w:t>.</w:t>
      </w:r>
      <w:r w:rsidRPr="00BD3F63">
        <w:rPr>
          <w:i/>
        </w:rPr>
        <w:t xml:space="preserve"> Environ</w:t>
      </w:r>
      <w:r>
        <w:rPr>
          <w:i/>
        </w:rPr>
        <w:t>.</w:t>
      </w:r>
      <w:r w:rsidRPr="00BD3F63">
        <w:rPr>
          <w:i/>
        </w:rPr>
        <w:t xml:space="preserve"> Health</w:t>
      </w:r>
      <w:r w:rsidRPr="00EF7E6A">
        <w:t xml:space="preserve"> </w:t>
      </w:r>
      <w:r>
        <w:rPr>
          <w:b/>
        </w:rPr>
        <w:t>2009</w:t>
      </w:r>
      <w:r>
        <w:t xml:space="preserve">, </w:t>
      </w:r>
      <w:r>
        <w:rPr>
          <w:i/>
        </w:rPr>
        <w:t>22</w:t>
      </w:r>
      <w:r>
        <w:t>, 383–391</w:t>
      </w:r>
      <w:r w:rsidRPr="00EF7E6A">
        <w:t>.</w:t>
      </w:r>
    </w:p>
    <w:p w14:paraId="4A07ABFC" w14:textId="77777777" w:rsidR="007A329F" w:rsidRPr="00EF7E6A" w:rsidRDefault="007A329F" w:rsidP="007A329F">
      <w:pPr>
        <w:pStyle w:val="MDPI71References"/>
      </w:pPr>
      <w:r>
        <w:t>Walsh, J.M.; McGowan, C.A.; Mahony, R.; Foley, M.E.; McAuliffe, F.M.</w:t>
      </w:r>
      <w:r w:rsidRPr="00EF7E6A">
        <w:t xml:space="preserve"> Low glycaemic index diet in pregnancy to prevent macrosomia (ROLO </w:t>
      </w:r>
      <w:r w:rsidRPr="00F82C96">
        <w:t>study): Randomised</w:t>
      </w:r>
      <w:r w:rsidRPr="00EF7E6A">
        <w:t xml:space="preserve"> control trial. </w:t>
      </w:r>
      <w:r w:rsidRPr="00392D1C">
        <w:rPr>
          <w:i/>
        </w:rPr>
        <w:t>BMJ</w:t>
      </w:r>
      <w:r>
        <w:t xml:space="preserve"> </w:t>
      </w:r>
      <w:r w:rsidRPr="009F5FE3">
        <w:rPr>
          <w:b/>
        </w:rPr>
        <w:t>2012</w:t>
      </w:r>
      <w:r>
        <w:t xml:space="preserve">, </w:t>
      </w:r>
      <w:r w:rsidRPr="009F5FE3">
        <w:rPr>
          <w:i/>
        </w:rPr>
        <w:t>345</w:t>
      </w:r>
      <w:r>
        <w:t>, e5605.</w:t>
      </w:r>
    </w:p>
    <w:p w14:paraId="235DC5E7" w14:textId="77777777" w:rsidR="007A329F" w:rsidRPr="00EF7E6A" w:rsidRDefault="007A329F" w:rsidP="007A329F">
      <w:pPr>
        <w:pStyle w:val="MDPI71References"/>
      </w:pPr>
      <w:r>
        <w:t>Inskip, H.M.; Godfrey, K.M.; Robinson, S.M.; Law, C.M.; Barker, D.J.; Cooper, C.</w:t>
      </w:r>
      <w:r w:rsidRPr="00EF7E6A">
        <w:t xml:space="preserve"> Cohort Profile: The Southampton Women’s Survey. </w:t>
      </w:r>
      <w:r w:rsidRPr="00392D1C">
        <w:rPr>
          <w:i/>
        </w:rPr>
        <w:t>Int. J. Epidemiol.</w:t>
      </w:r>
      <w:r>
        <w:t xml:space="preserve"> </w:t>
      </w:r>
      <w:r>
        <w:rPr>
          <w:b/>
        </w:rPr>
        <w:t>2006</w:t>
      </w:r>
      <w:r>
        <w:t xml:space="preserve">, </w:t>
      </w:r>
      <w:r>
        <w:rPr>
          <w:i/>
        </w:rPr>
        <w:t>35</w:t>
      </w:r>
      <w:r>
        <w:t>, 42–48</w:t>
      </w:r>
      <w:r w:rsidRPr="00EF7E6A">
        <w:t>.</w:t>
      </w:r>
    </w:p>
    <w:p w14:paraId="5F7E0336" w14:textId="77777777" w:rsidR="007A329F" w:rsidRPr="00EF7E6A" w:rsidRDefault="007A329F" w:rsidP="007A329F">
      <w:pPr>
        <w:pStyle w:val="MDPI71References"/>
      </w:pPr>
      <w:r>
        <w:t>Deschamps, V.; de Lauzon-Guillain, B.; Lafay, L.; Borys, J.-M.; Charles, M.A.; Romon, M.</w:t>
      </w:r>
      <w:r w:rsidRPr="00EF7E6A">
        <w:t xml:space="preserve"> Reproducibility and relative validity of a food-frequency questionnaire among French adults and adolescents. </w:t>
      </w:r>
      <w:r w:rsidRPr="00392D1C">
        <w:rPr>
          <w:i/>
        </w:rPr>
        <w:t xml:space="preserve">Eur. J. Clin. Nutr. </w:t>
      </w:r>
      <w:r>
        <w:rPr>
          <w:b/>
        </w:rPr>
        <w:t>2009</w:t>
      </w:r>
      <w:r>
        <w:t xml:space="preserve">, </w:t>
      </w:r>
      <w:r>
        <w:rPr>
          <w:i/>
        </w:rPr>
        <w:t>63</w:t>
      </w:r>
      <w:r>
        <w:t>, 282–291</w:t>
      </w:r>
      <w:r w:rsidRPr="00EF7E6A">
        <w:t>.</w:t>
      </w:r>
    </w:p>
    <w:p w14:paraId="004E15B9" w14:textId="77777777" w:rsidR="007A329F" w:rsidRPr="00F82C96" w:rsidRDefault="007A329F" w:rsidP="007A329F">
      <w:pPr>
        <w:pStyle w:val="MDPI71References"/>
      </w:pPr>
      <w:r>
        <w:t>Klipstein-Grobusch, K.D.; Den Breeijen, J.H.; Goldbohm, R.A.; Geleijnse, J.M.; Hofman, A.; Grobbee, D.E.; Witteman, J.C.M.</w:t>
      </w:r>
      <w:r w:rsidRPr="00EF7E6A">
        <w:t xml:space="preserve"> Dietary assessment in the </w:t>
      </w:r>
      <w:r w:rsidRPr="00F82C96">
        <w:t xml:space="preserve">elderly: Validation of a semiquantitative food frequency questionnaire. </w:t>
      </w:r>
      <w:r w:rsidRPr="00F82C96">
        <w:rPr>
          <w:i/>
        </w:rPr>
        <w:t>Eur. J. Clin. Nutr.</w:t>
      </w:r>
      <w:r w:rsidRPr="00F82C96">
        <w:t xml:space="preserve"> </w:t>
      </w:r>
      <w:r w:rsidRPr="00F82C96">
        <w:rPr>
          <w:b/>
        </w:rPr>
        <w:t>1998</w:t>
      </w:r>
      <w:r w:rsidRPr="00F82C96">
        <w:t xml:space="preserve">, </w:t>
      </w:r>
      <w:r w:rsidRPr="00F82C96">
        <w:rPr>
          <w:i/>
        </w:rPr>
        <w:t>52</w:t>
      </w:r>
      <w:r w:rsidRPr="00F82C96">
        <w:t>, 588–596.</w:t>
      </w:r>
    </w:p>
    <w:p w14:paraId="4EA40B49" w14:textId="77777777" w:rsidR="007A329F" w:rsidRPr="00F82C96" w:rsidRDefault="007A329F" w:rsidP="007A329F">
      <w:pPr>
        <w:pStyle w:val="MDPI71References"/>
      </w:pPr>
      <w:r w:rsidRPr="00F82C96">
        <w:t xml:space="preserve">Murrin, C.; Shrivastava, A.; Kelleher, C.C. Lifeways Cross-generation Cohort Study Steering Group. Maternal macronutrient intake during pregnancy and 5 years postpartum and associations with child weight status aged five. </w:t>
      </w:r>
      <w:r w:rsidRPr="00F82C96">
        <w:rPr>
          <w:i/>
        </w:rPr>
        <w:t>Eur. J. Clin. Nutr.</w:t>
      </w:r>
      <w:r w:rsidRPr="00F82C96">
        <w:t xml:space="preserve"> </w:t>
      </w:r>
      <w:r w:rsidRPr="00F82C96">
        <w:rPr>
          <w:b/>
        </w:rPr>
        <w:t>2013</w:t>
      </w:r>
      <w:r w:rsidRPr="00F82C96">
        <w:t xml:space="preserve">, </w:t>
      </w:r>
      <w:r w:rsidRPr="00F82C96">
        <w:rPr>
          <w:i/>
        </w:rPr>
        <w:t>67</w:t>
      </w:r>
      <w:r w:rsidRPr="00F82C96">
        <w:t>, 670–679.</w:t>
      </w:r>
    </w:p>
    <w:p w14:paraId="0651C864" w14:textId="77777777" w:rsidR="007A329F" w:rsidRPr="00F82C96" w:rsidRDefault="007A329F" w:rsidP="007A329F">
      <w:pPr>
        <w:pStyle w:val="MDPI71References"/>
      </w:pPr>
      <w:r w:rsidRPr="00F82C96">
        <w:t xml:space="preserve">Harrington, J. Validation of a Food Frequency Questionnaire as a Tool for Assessing Nutrient Intake. Masters’ Thesis, National University of Ireland Galway, </w:t>
      </w:r>
      <w:r w:rsidRPr="00F82C96">
        <w:rPr>
          <w:rStyle w:val="yhemcb"/>
        </w:rPr>
        <w:t>Galway, Ireland,</w:t>
      </w:r>
      <w:r w:rsidRPr="00F82C96">
        <w:t xml:space="preserve"> 1997.</w:t>
      </w:r>
    </w:p>
    <w:p w14:paraId="0A81502A" w14:textId="77777777" w:rsidR="007A329F" w:rsidRPr="00EF7E6A" w:rsidRDefault="007A329F" w:rsidP="007A329F">
      <w:pPr>
        <w:pStyle w:val="MDPI71References"/>
      </w:pPr>
      <w:r w:rsidRPr="00F82C96">
        <w:t>Horan, M.K.; McGowan, C.A.; Doyle, O.; McAuliffe, F.M. Well-being in pregnancy: An examination of the effect of socioeconomic, dietary and lifestyle factors including impact of a low glycaemic</w:t>
      </w:r>
      <w:r w:rsidRPr="00EF7E6A">
        <w:t xml:space="preserve"> index dietary intervention. </w:t>
      </w:r>
      <w:r w:rsidRPr="00392D1C">
        <w:rPr>
          <w:i/>
        </w:rPr>
        <w:t>Eur. J. Clin. Nutr.</w:t>
      </w:r>
      <w:r>
        <w:t xml:space="preserve"> </w:t>
      </w:r>
      <w:r>
        <w:rPr>
          <w:b/>
        </w:rPr>
        <w:t>2014</w:t>
      </w:r>
      <w:r>
        <w:t xml:space="preserve">, </w:t>
      </w:r>
      <w:r>
        <w:rPr>
          <w:i/>
        </w:rPr>
        <w:t>68</w:t>
      </w:r>
      <w:r>
        <w:t>, 19–24</w:t>
      </w:r>
      <w:r w:rsidRPr="00EF7E6A">
        <w:t>.</w:t>
      </w:r>
    </w:p>
    <w:p w14:paraId="1DED18B4" w14:textId="77777777" w:rsidR="007A329F" w:rsidRPr="00EF7E6A" w:rsidRDefault="007A329F" w:rsidP="007A329F">
      <w:pPr>
        <w:pStyle w:val="MDPI71References"/>
      </w:pPr>
      <w:r>
        <w:t>Rogers, I.; Emmett, P.</w:t>
      </w:r>
      <w:r w:rsidRPr="00EF7E6A">
        <w:t xml:space="preserve"> Diet during pregnancy in a population of pregnant women in South West England. ALSPAC Study Team. Avon Longitudinal Study of Pregnancy and Childhood. </w:t>
      </w:r>
      <w:r w:rsidRPr="00392D1C">
        <w:rPr>
          <w:i/>
        </w:rPr>
        <w:t>Eur. J. Clin. Nutr.</w:t>
      </w:r>
      <w:r w:rsidRPr="00EF7E6A">
        <w:t xml:space="preserve"> </w:t>
      </w:r>
      <w:r>
        <w:rPr>
          <w:b/>
        </w:rPr>
        <w:t>1998</w:t>
      </w:r>
      <w:r>
        <w:t xml:space="preserve">, </w:t>
      </w:r>
      <w:r>
        <w:rPr>
          <w:i/>
        </w:rPr>
        <w:t>52</w:t>
      </w:r>
      <w:r>
        <w:t>, 246–250</w:t>
      </w:r>
      <w:r w:rsidRPr="00EF7E6A">
        <w:t>.</w:t>
      </w:r>
    </w:p>
    <w:p w14:paraId="2BD962C5" w14:textId="77777777" w:rsidR="007A329F" w:rsidRPr="00EF7E6A" w:rsidRDefault="007A329F" w:rsidP="007A329F">
      <w:pPr>
        <w:pStyle w:val="MDPI71References"/>
      </w:pPr>
      <w:r>
        <w:t>Robinson, S.; Godfrey, K.; Osmond, C.; Cox, V.; Barker, D.</w:t>
      </w:r>
      <w:r w:rsidRPr="00EF7E6A">
        <w:t xml:space="preserve"> Evaluation of a food frequency questionnaire used to assess nutrient intakes in pregnant women. </w:t>
      </w:r>
      <w:r w:rsidRPr="00392D1C">
        <w:rPr>
          <w:i/>
        </w:rPr>
        <w:t>Eur</w:t>
      </w:r>
      <w:r>
        <w:rPr>
          <w:i/>
        </w:rPr>
        <w:t>.</w:t>
      </w:r>
      <w:r w:rsidRPr="00392D1C">
        <w:rPr>
          <w:i/>
        </w:rPr>
        <w:t xml:space="preserve"> J</w:t>
      </w:r>
      <w:r>
        <w:rPr>
          <w:i/>
        </w:rPr>
        <w:t>.</w:t>
      </w:r>
      <w:r w:rsidRPr="00392D1C">
        <w:rPr>
          <w:i/>
        </w:rPr>
        <w:t xml:space="preserve"> Clin</w:t>
      </w:r>
      <w:r>
        <w:rPr>
          <w:i/>
        </w:rPr>
        <w:t>.</w:t>
      </w:r>
      <w:r w:rsidRPr="00392D1C">
        <w:rPr>
          <w:i/>
        </w:rPr>
        <w:t xml:space="preserve"> Nutr.</w:t>
      </w:r>
      <w:r w:rsidRPr="00EF7E6A">
        <w:t xml:space="preserve"> </w:t>
      </w:r>
      <w:r>
        <w:rPr>
          <w:b/>
        </w:rPr>
        <w:t>1996</w:t>
      </w:r>
      <w:r>
        <w:t xml:space="preserve">, </w:t>
      </w:r>
      <w:r>
        <w:rPr>
          <w:i/>
        </w:rPr>
        <w:t>50</w:t>
      </w:r>
      <w:r>
        <w:t>, 302–308</w:t>
      </w:r>
      <w:r w:rsidRPr="00EF7E6A">
        <w:t>.</w:t>
      </w:r>
    </w:p>
    <w:p w14:paraId="4DAEEDF1" w14:textId="77777777" w:rsidR="007A329F" w:rsidRPr="00F82C96" w:rsidRDefault="007A329F" w:rsidP="007A329F">
      <w:pPr>
        <w:pStyle w:val="MDPI71References"/>
      </w:pPr>
      <w:r>
        <w:t>Miller, P.E.; Cross, A.J.; Subar, A.F.; Krebs-Smith, S.M.; Park, Y.; Powell-Wiley, T.; Hollenbeck, A.; Reedy, J.</w:t>
      </w:r>
      <w:r w:rsidRPr="00EF7E6A">
        <w:t xml:space="preserve"> Comparison of 4 established DASH diet </w:t>
      </w:r>
      <w:r w:rsidRPr="00F82C96">
        <w:t xml:space="preserve">indexes: Examining associations of index scores and colorectal cancer. </w:t>
      </w:r>
      <w:r w:rsidRPr="00F82C96">
        <w:rPr>
          <w:i/>
        </w:rPr>
        <w:t>Am. J. Clin. Nutr.</w:t>
      </w:r>
      <w:r w:rsidRPr="00F82C96">
        <w:t xml:space="preserve"> </w:t>
      </w:r>
      <w:r w:rsidRPr="00F82C96">
        <w:rPr>
          <w:b/>
        </w:rPr>
        <w:t>2013</w:t>
      </w:r>
      <w:r w:rsidRPr="00F82C96">
        <w:t xml:space="preserve">, </w:t>
      </w:r>
      <w:r w:rsidRPr="00F82C96">
        <w:rPr>
          <w:i/>
        </w:rPr>
        <w:t>98</w:t>
      </w:r>
      <w:r w:rsidRPr="00F82C96">
        <w:t>, 794–803.</w:t>
      </w:r>
    </w:p>
    <w:p w14:paraId="4AEB103D" w14:textId="77777777" w:rsidR="007A329F" w:rsidRPr="00EF7E6A" w:rsidRDefault="007A329F" w:rsidP="007A329F">
      <w:pPr>
        <w:pStyle w:val="MDPI71References"/>
      </w:pPr>
      <w:r>
        <w:t>Kwan, M.W.M.; Wong, M.C.S.; Wang, H.H.X.; Liu, K.Q.L.; Lee, C.L.S.; Yan, B.P.Y.; Yu, C.M.; Griffiths, S.M.</w:t>
      </w:r>
      <w:r w:rsidRPr="00EF7E6A">
        <w:t xml:space="preserve"> Compliance with the Dietary Approaches to Stop Hypertension (DASH) Diet: A Systematic Review. </w:t>
      </w:r>
      <w:r w:rsidRPr="00392D1C">
        <w:rPr>
          <w:i/>
        </w:rPr>
        <w:t>PLoS ONE</w:t>
      </w:r>
      <w:r w:rsidRPr="00EF7E6A">
        <w:t xml:space="preserve"> </w:t>
      </w:r>
      <w:r w:rsidRPr="009F5FE3">
        <w:rPr>
          <w:b/>
        </w:rPr>
        <w:t>2013</w:t>
      </w:r>
      <w:r>
        <w:t xml:space="preserve">, </w:t>
      </w:r>
      <w:r w:rsidRPr="009F5FE3">
        <w:rPr>
          <w:i/>
        </w:rPr>
        <w:t>8</w:t>
      </w:r>
      <w:r>
        <w:t>, e78412.</w:t>
      </w:r>
    </w:p>
    <w:p w14:paraId="36DADE42" w14:textId="77777777" w:rsidR="007A329F" w:rsidRPr="00EF7E6A" w:rsidRDefault="007A329F" w:rsidP="007A329F">
      <w:pPr>
        <w:pStyle w:val="MDPI71References"/>
      </w:pPr>
      <w:r>
        <w:t>Dixon, L.B.; Subar, A.F.; Peters, U.; Weissfeld, J.L.; Bresalier, R.S.; Risch, A.; Schatzkin, A.; Hayes, R.B.</w:t>
      </w:r>
      <w:r w:rsidRPr="00EF7E6A">
        <w:t xml:space="preserve"> Adherence to the USDA Food Guide, DASH Eating Plan, and Mediterranean dietary pattern reduces risk of colorectal adenoma. </w:t>
      </w:r>
      <w:r w:rsidRPr="00392D1C">
        <w:rPr>
          <w:i/>
        </w:rPr>
        <w:t>J</w:t>
      </w:r>
      <w:r>
        <w:rPr>
          <w:i/>
        </w:rPr>
        <w:t>.</w:t>
      </w:r>
      <w:r w:rsidRPr="00392D1C">
        <w:rPr>
          <w:i/>
        </w:rPr>
        <w:t xml:space="preserve"> Nutr. </w:t>
      </w:r>
      <w:r>
        <w:rPr>
          <w:b/>
        </w:rPr>
        <w:t>2007</w:t>
      </w:r>
      <w:r>
        <w:t xml:space="preserve">, </w:t>
      </w:r>
      <w:r>
        <w:rPr>
          <w:i/>
        </w:rPr>
        <w:t>137</w:t>
      </w:r>
      <w:r>
        <w:t>, 2443–2450</w:t>
      </w:r>
      <w:r w:rsidRPr="00EF7E6A">
        <w:t>.</w:t>
      </w:r>
    </w:p>
    <w:p w14:paraId="058D6B9D" w14:textId="77777777" w:rsidR="007A329F" w:rsidRPr="00EF7E6A" w:rsidRDefault="007A329F" w:rsidP="007A329F">
      <w:pPr>
        <w:pStyle w:val="MDPI71References"/>
      </w:pPr>
      <w:r w:rsidRPr="00EF7E6A">
        <w:t xml:space="preserve">U.S. </w:t>
      </w:r>
      <w:r w:rsidRPr="00780239">
        <w:t>Department of Health and Human Services. Your Guide to Lowering Your Blood Pressure with DASH. Report No.: NIH Publication No. 06-4082. 1998 Revised 2006. p.</w:t>
      </w:r>
      <w:r w:rsidRPr="00EF7E6A">
        <w:t xml:space="preserve"> 64. Available </w:t>
      </w:r>
      <w:r>
        <w:t>online</w:t>
      </w:r>
      <w:r w:rsidRPr="00EF7E6A">
        <w:t xml:space="preserve">: </w:t>
      </w:r>
      <w:r w:rsidRPr="00392D1C">
        <w:t>https://www.nhlbi.nih.gov/files/docs/public/heart/new_dash.pdf</w:t>
      </w:r>
      <w:r>
        <w:t xml:space="preserve"> (accessed on 15 June 2018).</w:t>
      </w:r>
    </w:p>
    <w:p w14:paraId="1D660D26" w14:textId="77777777" w:rsidR="007A329F" w:rsidRPr="00EF7E6A" w:rsidRDefault="007A329F" w:rsidP="007A329F">
      <w:pPr>
        <w:pStyle w:val="MDPI71References"/>
      </w:pPr>
      <w:r w:rsidRPr="00EF7E6A">
        <w:t xml:space="preserve">Eurocode 2. Eurocode 2 </w:t>
      </w:r>
      <w:r>
        <w:t xml:space="preserve">Food Coding System. </w:t>
      </w:r>
      <w:r w:rsidRPr="00EF7E6A">
        <w:t xml:space="preserve">Available </w:t>
      </w:r>
      <w:r>
        <w:t>online</w:t>
      </w:r>
      <w:r w:rsidRPr="00EF7E6A">
        <w:t xml:space="preserve">: </w:t>
      </w:r>
      <w:r w:rsidRPr="00392D1C">
        <w:t>http://www.ianunwin.demon.co.uk/eurocode/index.htm</w:t>
      </w:r>
      <w:r>
        <w:t xml:space="preserve"> (accessed on 19 February 2019).</w:t>
      </w:r>
    </w:p>
    <w:p w14:paraId="6F133D99" w14:textId="77777777" w:rsidR="007A329F" w:rsidRPr="00EF7E6A" w:rsidRDefault="007A329F" w:rsidP="007A329F">
      <w:pPr>
        <w:pStyle w:val="MDPI71References"/>
        <w:rPr>
          <w:lang w:val="en-GB"/>
        </w:rPr>
      </w:pPr>
      <w:r w:rsidRPr="00EF7E6A">
        <w:rPr>
          <w:lang w:val="fr-FR"/>
        </w:rPr>
        <w:t xml:space="preserve">Programme National Nutrition Santé. La santé vient en mangeant. Le guide alimentaire pour tous. </w:t>
      </w:r>
      <w:r w:rsidRPr="00EF7E6A">
        <w:rPr>
          <w:lang w:val="en-GB"/>
        </w:rPr>
        <w:t>2002</w:t>
      </w:r>
      <w:r>
        <w:rPr>
          <w:lang w:val="en-GB"/>
        </w:rPr>
        <w:t xml:space="preserve">. </w:t>
      </w:r>
      <w:r w:rsidRPr="00EF7E6A">
        <w:rPr>
          <w:lang w:val="en-GB"/>
        </w:rPr>
        <w:t xml:space="preserve">p. 130. Available </w:t>
      </w:r>
      <w:r>
        <w:t>online</w:t>
      </w:r>
      <w:r w:rsidRPr="00EF7E6A">
        <w:rPr>
          <w:lang w:val="en-GB"/>
        </w:rPr>
        <w:t xml:space="preserve">: </w:t>
      </w:r>
      <w:r w:rsidRPr="00C62B6E">
        <w:rPr>
          <w:lang w:val="en-GB"/>
        </w:rPr>
        <w:t>http://www.mangerbouger.fr/PNNS/</w:t>
      </w:r>
      <w:r>
        <w:rPr>
          <w:lang w:val="en-GB"/>
        </w:rPr>
        <w:t xml:space="preserve"> (accessed on 7 January 2018).</w:t>
      </w:r>
    </w:p>
    <w:p w14:paraId="502F0BC5" w14:textId="77777777" w:rsidR="007A329F" w:rsidRPr="00EF7E6A" w:rsidRDefault="007A329F" w:rsidP="007A329F">
      <w:pPr>
        <w:pStyle w:val="MDPI71References"/>
      </w:pPr>
      <w:r w:rsidRPr="00EF7E6A">
        <w:rPr>
          <w:lang w:val="fr-FR"/>
        </w:rPr>
        <w:t xml:space="preserve">Programme National Nutrition Santé. La santé vient en mangeant et en bougeant. Le </w:t>
      </w:r>
      <w:r>
        <w:rPr>
          <w:lang w:val="fr-FR"/>
        </w:rPr>
        <w:t xml:space="preserve">guide nutrition de la grossesse. </w:t>
      </w:r>
      <w:r w:rsidRPr="00EF7E6A">
        <w:rPr>
          <w:lang w:val="fr-FR"/>
        </w:rPr>
        <w:t>2007</w:t>
      </w:r>
      <w:r>
        <w:rPr>
          <w:lang w:val="fr-FR"/>
        </w:rPr>
        <w:t xml:space="preserve"> Revised 2015. </w:t>
      </w:r>
      <w:r w:rsidRPr="00EF7E6A">
        <w:rPr>
          <w:lang w:val="fr-FR"/>
        </w:rPr>
        <w:t xml:space="preserve">p. 40. </w:t>
      </w:r>
      <w:r w:rsidRPr="00EF7E6A">
        <w:t xml:space="preserve">Available </w:t>
      </w:r>
      <w:r>
        <w:t>online</w:t>
      </w:r>
      <w:r w:rsidRPr="00EF7E6A">
        <w:t xml:space="preserve">: </w:t>
      </w:r>
      <w:r w:rsidRPr="00C62B6E">
        <w:t>http://www.mangerbouger.fr/PNNS/</w:t>
      </w:r>
      <w:r>
        <w:t xml:space="preserve"> (accessed on 7 January 2018).</w:t>
      </w:r>
    </w:p>
    <w:p w14:paraId="37E361B4" w14:textId="77777777" w:rsidR="007A329F" w:rsidRPr="00F82C96" w:rsidRDefault="007A329F" w:rsidP="007A329F">
      <w:pPr>
        <w:pStyle w:val="MDPI71References"/>
        <w:rPr>
          <w:lang w:val="fr-FR"/>
        </w:rPr>
      </w:pPr>
      <w:r>
        <w:t>Sofi, F.; Macchi, C.; Abbate, R.; Gensini, G.F.; Casini, A.</w:t>
      </w:r>
      <w:r w:rsidRPr="00EF7E6A">
        <w:t xml:space="preserve"> </w:t>
      </w:r>
      <w:r w:rsidRPr="00F82C96">
        <w:t xml:space="preserve">Mediterranean diet and health status: An updated meta-analysis and a proposal for a literature-based adherence score. </w:t>
      </w:r>
      <w:r w:rsidRPr="00F82C96">
        <w:rPr>
          <w:i/>
          <w:lang w:val="fr-FR"/>
        </w:rPr>
        <w:t>Public Health Nutr.</w:t>
      </w:r>
      <w:r w:rsidRPr="00F82C96">
        <w:rPr>
          <w:lang w:val="fr-FR"/>
        </w:rPr>
        <w:t xml:space="preserve"> </w:t>
      </w:r>
      <w:r w:rsidRPr="00F82C96">
        <w:rPr>
          <w:b/>
          <w:lang w:val="fr-FR"/>
        </w:rPr>
        <w:t>2014</w:t>
      </w:r>
      <w:r w:rsidRPr="00F82C96">
        <w:rPr>
          <w:lang w:val="fr-FR"/>
        </w:rPr>
        <w:t xml:space="preserve">, </w:t>
      </w:r>
      <w:r w:rsidRPr="00F82C96">
        <w:rPr>
          <w:i/>
          <w:lang w:val="fr-FR"/>
        </w:rPr>
        <w:t>17</w:t>
      </w:r>
      <w:r w:rsidRPr="00F82C96">
        <w:rPr>
          <w:lang w:val="fr-FR"/>
        </w:rPr>
        <w:t>, 2769–2782.</w:t>
      </w:r>
    </w:p>
    <w:p w14:paraId="292807C4" w14:textId="77777777" w:rsidR="007A329F" w:rsidRPr="00EF7E6A" w:rsidRDefault="007A329F" w:rsidP="007A329F">
      <w:pPr>
        <w:pStyle w:val="MDPI71References"/>
      </w:pPr>
      <w:r w:rsidRPr="001740F2">
        <w:rPr>
          <w:lang w:val="en-GB"/>
        </w:rPr>
        <w:t xml:space="preserve">Drouin-Chartier, J.P.; Brassard, D.; Tessier-Grenier, M.; Côté, J.A.; Labonté, M.È.; Desroches, S.; Couture, P.; Lamarche, B. </w:t>
      </w:r>
      <w:r w:rsidRPr="00EF7E6A">
        <w:t xml:space="preserve">Systematic Review of the Association between Dairy Product Consumption and Risk of Cardiovascular-Related Clinical Outcomes. </w:t>
      </w:r>
      <w:r w:rsidRPr="00C62B6E">
        <w:rPr>
          <w:i/>
        </w:rPr>
        <w:t xml:space="preserve">Adv Nutr. </w:t>
      </w:r>
      <w:r>
        <w:rPr>
          <w:b/>
        </w:rPr>
        <w:t>2016</w:t>
      </w:r>
      <w:r>
        <w:t xml:space="preserve">, </w:t>
      </w:r>
      <w:r>
        <w:rPr>
          <w:i/>
        </w:rPr>
        <w:t>7</w:t>
      </w:r>
      <w:r>
        <w:t>, 1026–1040</w:t>
      </w:r>
      <w:r w:rsidRPr="00EF7E6A">
        <w:t>.</w:t>
      </w:r>
    </w:p>
    <w:p w14:paraId="7FBEA7B7" w14:textId="77777777" w:rsidR="007A329F" w:rsidRPr="00F82C96" w:rsidRDefault="007A329F" w:rsidP="007A329F">
      <w:pPr>
        <w:pStyle w:val="MDPI71References"/>
      </w:pPr>
      <w:r>
        <w:t>Beer-Borst, S.; Hercberg, S.; Morabia, A.; Bernstein, M.S.; Galan, P.; Galasso, R.; Giampaoli, S.; McCrum, E.; Panico, S.; Preziosi, P</w:t>
      </w:r>
      <w:r w:rsidRPr="00F82C96">
        <w:t xml:space="preserve">.; et al. Dietary patterns in six european populations: Results from EURALIM, a collaborative European data harmonization and information campaign. </w:t>
      </w:r>
      <w:r w:rsidRPr="00F82C96">
        <w:rPr>
          <w:i/>
        </w:rPr>
        <w:t>Eur. J. Clin. Nutr.</w:t>
      </w:r>
      <w:r w:rsidRPr="00F82C96">
        <w:t xml:space="preserve"> </w:t>
      </w:r>
      <w:r w:rsidRPr="00F82C96">
        <w:rPr>
          <w:b/>
        </w:rPr>
        <w:t>2000</w:t>
      </w:r>
      <w:r w:rsidRPr="00F82C96">
        <w:t xml:space="preserve">, </w:t>
      </w:r>
      <w:r w:rsidRPr="00F82C96">
        <w:rPr>
          <w:i/>
        </w:rPr>
        <w:t>54</w:t>
      </w:r>
      <w:r w:rsidRPr="00F82C96">
        <w:t>, 253–262.</w:t>
      </w:r>
    </w:p>
    <w:p w14:paraId="50351C8D" w14:textId="77777777" w:rsidR="007A329F" w:rsidRPr="00F82C96" w:rsidRDefault="007A329F" w:rsidP="007A329F">
      <w:pPr>
        <w:pStyle w:val="MDPI71References"/>
        <w:rPr>
          <w:lang w:val="fr-FR"/>
        </w:rPr>
      </w:pPr>
      <w:r w:rsidRPr="00F82C96">
        <w:t xml:space="preserve">Irala-Estévez, J.D.; Groth, M.; Johansson, L.; Oltersdorf, U.; Prättälä, R.; Martínez-González, M.A. A systematic review of socio-economic differences in food habits in Europe: Consumption of fruit and vegetables. </w:t>
      </w:r>
      <w:r w:rsidRPr="00F82C96">
        <w:rPr>
          <w:i/>
          <w:lang w:val="fr-FR"/>
        </w:rPr>
        <w:t>Eur. J. Clin. Nutr.</w:t>
      </w:r>
      <w:r w:rsidRPr="00F82C96">
        <w:rPr>
          <w:lang w:val="fr-FR"/>
        </w:rPr>
        <w:t xml:space="preserve"> </w:t>
      </w:r>
      <w:r w:rsidRPr="00F82C96">
        <w:rPr>
          <w:b/>
          <w:lang w:val="fr-FR"/>
        </w:rPr>
        <w:t>2000</w:t>
      </w:r>
      <w:r w:rsidRPr="00F82C96">
        <w:rPr>
          <w:lang w:val="fr-FR"/>
        </w:rPr>
        <w:t xml:space="preserve">, </w:t>
      </w:r>
      <w:r w:rsidRPr="00F82C96">
        <w:rPr>
          <w:i/>
          <w:lang w:val="fr-FR"/>
        </w:rPr>
        <w:t>54</w:t>
      </w:r>
      <w:r w:rsidRPr="00F82C96">
        <w:rPr>
          <w:lang w:val="fr-FR"/>
        </w:rPr>
        <w:t>, 706–714.</w:t>
      </w:r>
    </w:p>
    <w:p w14:paraId="20953DD8" w14:textId="77777777" w:rsidR="007A329F" w:rsidRPr="00EF7E6A" w:rsidRDefault="007A329F" w:rsidP="007A329F">
      <w:pPr>
        <w:pStyle w:val="MDPI71References"/>
      </w:pPr>
      <w:r>
        <w:rPr>
          <w:lang w:val="en-GB"/>
        </w:rPr>
        <w:t xml:space="preserve">Verger, P.; Ireland, J.; Møller, A.; Abravicius, J.A.; De Henauw, S.; Naska, A. </w:t>
      </w:r>
      <w:r w:rsidRPr="00EF7E6A">
        <w:t xml:space="preserve">Improvement of comparability of dietary intake assessment using currently available individual food consumption surveys. </w:t>
      </w:r>
      <w:r w:rsidRPr="00C62B6E">
        <w:rPr>
          <w:i/>
        </w:rPr>
        <w:t xml:space="preserve">Eur. J. Clin. Nutr. </w:t>
      </w:r>
      <w:r w:rsidRPr="009F5FE3">
        <w:rPr>
          <w:b/>
        </w:rPr>
        <w:t>2002</w:t>
      </w:r>
      <w:r>
        <w:t xml:space="preserve">, </w:t>
      </w:r>
      <w:r w:rsidRPr="009F5FE3">
        <w:rPr>
          <w:i/>
        </w:rPr>
        <w:t>56</w:t>
      </w:r>
      <w:r w:rsidRPr="00EF7E6A">
        <w:t xml:space="preserve"> </w:t>
      </w:r>
      <w:r>
        <w:t>(</w:t>
      </w:r>
      <w:r w:rsidRPr="00EF7E6A">
        <w:t>Suppl</w:t>
      </w:r>
      <w:r>
        <w:t>.</w:t>
      </w:r>
      <w:r w:rsidRPr="00EF7E6A">
        <w:t xml:space="preserve"> 2</w:t>
      </w:r>
      <w:r>
        <w:t xml:space="preserve">), </w:t>
      </w:r>
      <w:r w:rsidRPr="00EF7E6A">
        <w:t>S18</w:t>
      </w:r>
      <w:r>
        <w:t>–S</w:t>
      </w:r>
      <w:r w:rsidRPr="00EF7E6A">
        <w:t>24.</w:t>
      </w:r>
    </w:p>
    <w:p w14:paraId="18723B2C" w14:textId="77777777" w:rsidR="007A329F" w:rsidRPr="00EF7E6A" w:rsidRDefault="007A329F" w:rsidP="007A329F">
      <w:pPr>
        <w:pStyle w:val="MDPI71References"/>
      </w:pPr>
      <w:r w:rsidRPr="001740F2">
        <w:rPr>
          <w:lang w:val="en-GB"/>
        </w:rPr>
        <w:t xml:space="preserve">NutriGen Alliance Investigators. de Souza, R.J.; Zulyniak, M.A.; Desai, D.; Shaikh, M.R.; Campbell, N.C.; Lefebvre, D.L.; Gupta, M.; Wilson, J.; Wahi, G.; Atkinson, S.A. </w:t>
      </w:r>
      <w:r w:rsidRPr="00EF7E6A">
        <w:t xml:space="preserve">Harmonization of Food-Frequency Questionnaires and Dietary Pattern Analysis in 4 Ethnically Diverse Birth Cohorts. </w:t>
      </w:r>
      <w:r w:rsidRPr="00C62B6E">
        <w:rPr>
          <w:i/>
        </w:rPr>
        <w:t>J. Nutr.</w:t>
      </w:r>
      <w:r>
        <w:t xml:space="preserve"> </w:t>
      </w:r>
      <w:r>
        <w:rPr>
          <w:b/>
        </w:rPr>
        <w:t>2016</w:t>
      </w:r>
      <w:r>
        <w:t xml:space="preserve">, </w:t>
      </w:r>
      <w:r>
        <w:rPr>
          <w:i/>
        </w:rPr>
        <w:t>146</w:t>
      </w:r>
      <w:r>
        <w:t>, 2343–2350</w:t>
      </w:r>
      <w:r w:rsidRPr="00EF7E6A">
        <w:t>.</w:t>
      </w:r>
    </w:p>
    <w:p w14:paraId="7154C732" w14:textId="77777777" w:rsidR="007A329F" w:rsidRPr="00EF7E6A" w:rsidRDefault="007A329F" w:rsidP="007A329F">
      <w:pPr>
        <w:pStyle w:val="MDPI71References"/>
      </w:pPr>
      <w:r>
        <w:t>Mellen, P.B.; Gao, S.K.; Vitolins, M.Z.; Goff, D.C.</w:t>
      </w:r>
      <w:r w:rsidRPr="00EF7E6A">
        <w:t xml:space="preserve"> Deteriorating dietary habits among adults with hypertension: DASH dietary accordance, NHANES 1988</w:t>
      </w:r>
      <w:r>
        <w:t>–</w:t>
      </w:r>
      <w:r w:rsidRPr="00EF7E6A">
        <w:t>1994 and 1999</w:t>
      </w:r>
      <w:r>
        <w:t>–</w:t>
      </w:r>
      <w:r w:rsidRPr="00EF7E6A">
        <w:t xml:space="preserve">2004. </w:t>
      </w:r>
      <w:r w:rsidRPr="00C62B6E">
        <w:rPr>
          <w:i/>
        </w:rPr>
        <w:t>Arch</w:t>
      </w:r>
      <w:r>
        <w:rPr>
          <w:i/>
        </w:rPr>
        <w:t>.</w:t>
      </w:r>
      <w:r w:rsidRPr="00C62B6E">
        <w:rPr>
          <w:i/>
        </w:rPr>
        <w:t xml:space="preserve"> Intern</w:t>
      </w:r>
      <w:r>
        <w:rPr>
          <w:i/>
        </w:rPr>
        <w:t>.</w:t>
      </w:r>
      <w:r w:rsidRPr="00C62B6E">
        <w:rPr>
          <w:i/>
        </w:rPr>
        <w:t xml:space="preserve"> Med.</w:t>
      </w:r>
      <w:r>
        <w:t xml:space="preserve"> </w:t>
      </w:r>
      <w:r>
        <w:rPr>
          <w:b/>
        </w:rPr>
        <w:t>2008</w:t>
      </w:r>
      <w:r>
        <w:t xml:space="preserve">, </w:t>
      </w:r>
      <w:r>
        <w:rPr>
          <w:i/>
        </w:rPr>
        <w:t>168</w:t>
      </w:r>
      <w:r>
        <w:t>, 308–314</w:t>
      </w:r>
      <w:r w:rsidRPr="00EF7E6A">
        <w:t>.</w:t>
      </w:r>
    </w:p>
    <w:p w14:paraId="5C6ABC8D" w14:textId="77777777" w:rsidR="007A329F" w:rsidRPr="00EF7E6A" w:rsidRDefault="007A329F" w:rsidP="007A329F">
      <w:pPr>
        <w:pStyle w:val="MDPI71References"/>
      </w:pPr>
      <w:r>
        <w:t>Harrington, J.; Fitzgerald, A.P.; Layte, R.; Lutomski, J.; Molcho, M.; Perry, I.J.</w:t>
      </w:r>
      <w:r w:rsidRPr="00EF7E6A">
        <w:t xml:space="preserve"> Sociodemographic, health and lifestyle predictors of poor diets. </w:t>
      </w:r>
      <w:r w:rsidRPr="00C62B6E">
        <w:rPr>
          <w:i/>
        </w:rPr>
        <w:t>Public Health Nutr.</w:t>
      </w:r>
      <w:r w:rsidRPr="00EF7E6A">
        <w:t xml:space="preserve"> </w:t>
      </w:r>
      <w:r>
        <w:rPr>
          <w:b/>
        </w:rPr>
        <w:t>2011</w:t>
      </w:r>
      <w:r>
        <w:t xml:space="preserve">, </w:t>
      </w:r>
      <w:r>
        <w:rPr>
          <w:i/>
        </w:rPr>
        <w:t>14</w:t>
      </w:r>
      <w:r>
        <w:t>, 2166–2175</w:t>
      </w:r>
      <w:r w:rsidRPr="00EF7E6A">
        <w:t>.</w:t>
      </w:r>
    </w:p>
    <w:p w14:paraId="05D062F0" w14:textId="77777777" w:rsidR="007A329F" w:rsidRPr="00EF7E6A" w:rsidRDefault="007A329F" w:rsidP="007A329F">
      <w:pPr>
        <w:pStyle w:val="MDPI71References"/>
      </w:pPr>
      <w:r>
        <w:t xml:space="preserve">Epstein, D.E.; Sherwood, A.; Smith, P.J.; Craighead, L.; Caccia, C.; Lin, P.H.; Babyak, M.A.; Johnson, J.J.; Hinderliter, A.; Blumenthal, J.A. </w:t>
      </w:r>
      <w:r w:rsidRPr="00EF7E6A">
        <w:t xml:space="preserve">Determinants and Consequences of Adherence to the DASH Diet in African American and White Adults with High Blood Pressure: Results from the ENCORE Trial. </w:t>
      </w:r>
      <w:r w:rsidRPr="00C62B6E">
        <w:rPr>
          <w:i/>
        </w:rPr>
        <w:t>J. Acad. Nutr. Diet.</w:t>
      </w:r>
      <w:r w:rsidRPr="00EF7E6A">
        <w:t xml:space="preserve"> </w:t>
      </w:r>
      <w:r>
        <w:rPr>
          <w:b/>
        </w:rPr>
        <w:t>2012</w:t>
      </w:r>
      <w:r>
        <w:t xml:space="preserve">, </w:t>
      </w:r>
      <w:r>
        <w:rPr>
          <w:i/>
        </w:rPr>
        <w:t>112</w:t>
      </w:r>
      <w:r>
        <w:t>, 1763–1773</w:t>
      </w:r>
      <w:r w:rsidRPr="00EF7E6A">
        <w:t>.</w:t>
      </w:r>
    </w:p>
    <w:p w14:paraId="26705261" w14:textId="77777777" w:rsidR="007A329F" w:rsidRPr="00EF7E6A" w:rsidRDefault="007A329F" w:rsidP="007A329F">
      <w:pPr>
        <w:pStyle w:val="MDPI71References"/>
      </w:pPr>
      <w:r>
        <w:t>Folsom, A.R.; Parker, E.D.; Harnack, L.J.</w:t>
      </w:r>
      <w:r w:rsidRPr="00EF7E6A">
        <w:t xml:space="preserve"> Degree of concordance with DASH diet guidelines and incidence of hypertension and fatal cardiovascular disease. </w:t>
      </w:r>
      <w:r w:rsidRPr="00C62B6E">
        <w:rPr>
          <w:i/>
        </w:rPr>
        <w:t>Am</w:t>
      </w:r>
      <w:r>
        <w:rPr>
          <w:i/>
        </w:rPr>
        <w:t>.</w:t>
      </w:r>
      <w:r w:rsidRPr="00C62B6E">
        <w:rPr>
          <w:i/>
        </w:rPr>
        <w:t xml:space="preserve"> J</w:t>
      </w:r>
      <w:r>
        <w:rPr>
          <w:i/>
        </w:rPr>
        <w:t>.</w:t>
      </w:r>
      <w:r w:rsidRPr="00C62B6E">
        <w:rPr>
          <w:i/>
        </w:rPr>
        <w:t xml:space="preserve"> Hypertens.</w:t>
      </w:r>
      <w:r w:rsidRPr="00EF7E6A">
        <w:t xml:space="preserve"> </w:t>
      </w:r>
      <w:r>
        <w:rPr>
          <w:b/>
        </w:rPr>
        <w:t>2007</w:t>
      </w:r>
      <w:r>
        <w:t xml:space="preserve">, </w:t>
      </w:r>
      <w:r>
        <w:rPr>
          <w:i/>
        </w:rPr>
        <w:t>20</w:t>
      </w:r>
      <w:r>
        <w:t>, 225–232</w:t>
      </w:r>
      <w:r w:rsidRPr="00EF7E6A">
        <w:t>.</w:t>
      </w:r>
    </w:p>
    <w:p w14:paraId="3E1507C3" w14:textId="77777777" w:rsidR="007A329F" w:rsidRPr="00F82C96" w:rsidRDefault="007A329F" w:rsidP="007A329F">
      <w:pPr>
        <w:pStyle w:val="MDPI71References"/>
      </w:pPr>
      <w:r>
        <w:t>Appel, L.J.; Moore, T.J.; Obarzanek, E.; Vollmer, W.M.; Svetkey, L.P.; Sacks, F.M.; Bray, G.A.; Vogt, T.M.; Cutler, J.A.; Windhauser, M.M</w:t>
      </w:r>
      <w:r w:rsidRPr="00F82C96">
        <w:t xml:space="preserve">.; et al. A clinical trial of the effects of dietary patterns on blood pressure. DASH Collaborative Research Group. </w:t>
      </w:r>
      <w:r w:rsidRPr="00F82C96">
        <w:rPr>
          <w:i/>
        </w:rPr>
        <w:t>N. Engl. J. Med.</w:t>
      </w:r>
      <w:r w:rsidRPr="00F82C96">
        <w:t xml:space="preserve"> </w:t>
      </w:r>
      <w:r w:rsidRPr="00F82C96">
        <w:rPr>
          <w:b/>
        </w:rPr>
        <w:t>1997</w:t>
      </w:r>
      <w:r w:rsidRPr="00F82C96">
        <w:t xml:space="preserve">, </w:t>
      </w:r>
      <w:r w:rsidRPr="00F82C96">
        <w:rPr>
          <w:i/>
        </w:rPr>
        <w:t>336</w:t>
      </w:r>
      <w:r w:rsidRPr="00F82C96">
        <w:t>, 1117–1124.</w:t>
      </w:r>
    </w:p>
    <w:p w14:paraId="47D7AA57" w14:textId="77777777" w:rsidR="007A329F" w:rsidRPr="00EF7E6A" w:rsidRDefault="007A329F" w:rsidP="007A329F">
      <w:pPr>
        <w:pStyle w:val="MDPI71References"/>
      </w:pPr>
      <w:r w:rsidRPr="00F82C96">
        <w:t>Sacks, F.M.; Svetkey, L.P.; Vollmer, W.M.; Appel, L.J.; Bray, G.A.; Harsha, D.; Obarzanek, E.; Conlin, P.R.; Miller, E.R.; Simons-Morton, D.G.; et al.</w:t>
      </w:r>
      <w:r w:rsidRPr="00EF7E6A">
        <w:t xml:space="preserve"> Effects on blood pressure of reduced dietary sodium and the Dietary Approaches to Stop Hypertension (DASH) diet. DASH-Sodium Collaborative Research Group. </w:t>
      </w:r>
      <w:r w:rsidRPr="00C62B6E">
        <w:rPr>
          <w:i/>
        </w:rPr>
        <w:t>N</w:t>
      </w:r>
      <w:r>
        <w:rPr>
          <w:i/>
        </w:rPr>
        <w:t>.</w:t>
      </w:r>
      <w:r w:rsidRPr="00C62B6E">
        <w:rPr>
          <w:i/>
        </w:rPr>
        <w:t xml:space="preserve"> Engl</w:t>
      </w:r>
      <w:r>
        <w:rPr>
          <w:i/>
        </w:rPr>
        <w:t>.</w:t>
      </w:r>
      <w:r w:rsidRPr="00C62B6E">
        <w:rPr>
          <w:i/>
        </w:rPr>
        <w:t xml:space="preserve"> J</w:t>
      </w:r>
      <w:r>
        <w:rPr>
          <w:i/>
        </w:rPr>
        <w:t>.</w:t>
      </w:r>
      <w:r w:rsidRPr="00C62B6E">
        <w:rPr>
          <w:i/>
        </w:rPr>
        <w:t xml:space="preserve"> Med.</w:t>
      </w:r>
      <w:r w:rsidRPr="00EF7E6A">
        <w:t xml:space="preserve"> </w:t>
      </w:r>
      <w:r>
        <w:rPr>
          <w:b/>
        </w:rPr>
        <w:t>2001</w:t>
      </w:r>
      <w:r>
        <w:t xml:space="preserve">, </w:t>
      </w:r>
      <w:r>
        <w:rPr>
          <w:i/>
        </w:rPr>
        <w:t>344</w:t>
      </w:r>
      <w:r>
        <w:t>, 3–10.</w:t>
      </w:r>
    </w:p>
    <w:p w14:paraId="37AEB807" w14:textId="77777777" w:rsidR="007A329F" w:rsidRPr="00EF7E6A" w:rsidRDefault="007A329F" w:rsidP="007A329F">
      <w:pPr>
        <w:pStyle w:val="MDPI71References"/>
      </w:pPr>
      <w:r w:rsidRPr="001740F2">
        <w:rPr>
          <w:lang w:val="fr-FR"/>
        </w:rPr>
        <w:t xml:space="preserve">Trichopoulou, A.; Naska, A.; Costacou, T.; DAFNE III Group. </w:t>
      </w:r>
      <w:r w:rsidRPr="00EF7E6A">
        <w:t xml:space="preserve">Disparities in food habits across Europe. </w:t>
      </w:r>
      <w:r w:rsidRPr="00C62B6E">
        <w:rPr>
          <w:i/>
        </w:rPr>
        <w:t>Proc</w:t>
      </w:r>
      <w:r>
        <w:rPr>
          <w:i/>
        </w:rPr>
        <w:t>.</w:t>
      </w:r>
      <w:r w:rsidRPr="00C62B6E">
        <w:rPr>
          <w:i/>
        </w:rPr>
        <w:t xml:space="preserve"> Nutr</w:t>
      </w:r>
      <w:r>
        <w:rPr>
          <w:i/>
        </w:rPr>
        <w:t>.</w:t>
      </w:r>
      <w:r w:rsidRPr="00C62B6E">
        <w:rPr>
          <w:i/>
        </w:rPr>
        <w:t xml:space="preserve"> Soc. </w:t>
      </w:r>
      <w:r>
        <w:rPr>
          <w:b/>
        </w:rPr>
        <w:t>2002</w:t>
      </w:r>
      <w:r>
        <w:t xml:space="preserve">, </w:t>
      </w:r>
      <w:r>
        <w:rPr>
          <w:i/>
        </w:rPr>
        <w:t>61</w:t>
      </w:r>
      <w:r>
        <w:t>, 553–558</w:t>
      </w:r>
      <w:r w:rsidRPr="00EF7E6A">
        <w:t>.</w:t>
      </w:r>
    </w:p>
    <w:p w14:paraId="44D6B803" w14:textId="77777777" w:rsidR="007A329F" w:rsidRPr="00EF7E6A" w:rsidRDefault="007A329F" w:rsidP="007A329F">
      <w:pPr>
        <w:pStyle w:val="MDPI71References"/>
      </w:pPr>
      <w:r>
        <w:t>Micha, R.; Khatibzadeh, S.; Shi, P.; Andrews, K.G.; Engell, R.E.; Mozaffarian, D</w:t>
      </w:r>
      <w:r w:rsidRPr="00EF7E6A">
        <w:t xml:space="preserve">. Global, regional and national consumption of major food groups in 1990 </w:t>
      </w:r>
      <w:r w:rsidRPr="00F82C96">
        <w:t>and 2010: A systematic</w:t>
      </w:r>
      <w:r w:rsidRPr="00EF7E6A">
        <w:t xml:space="preserve"> analysis including 266 country-specific nutrition surveys worldwide. </w:t>
      </w:r>
      <w:r w:rsidRPr="00C62B6E">
        <w:rPr>
          <w:i/>
        </w:rPr>
        <w:t>BMJ Open</w:t>
      </w:r>
      <w:r w:rsidRPr="00EF7E6A">
        <w:t xml:space="preserve"> </w:t>
      </w:r>
      <w:r w:rsidRPr="00F82C96">
        <w:rPr>
          <w:b/>
        </w:rPr>
        <w:t>2015</w:t>
      </w:r>
      <w:r>
        <w:t>,</w:t>
      </w:r>
      <w:r w:rsidRPr="00EF7E6A">
        <w:t xml:space="preserve"> </w:t>
      </w:r>
      <w:r w:rsidRPr="00F82C96">
        <w:rPr>
          <w:i/>
        </w:rPr>
        <w:t>5</w:t>
      </w:r>
      <w:r>
        <w:t>, e008705.</w:t>
      </w:r>
      <w:r w:rsidRPr="00EF7E6A">
        <w:t xml:space="preserve"> Available </w:t>
      </w:r>
      <w:r>
        <w:t>online</w:t>
      </w:r>
      <w:r w:rsidRPr="00EF7E6A">
        <w:t xml:space="preserve">: </w:t>
      </w:r>
      <w:r w:rsidRPr="00A60504">
        <w:t>https://www.ncbi.nlm.nih.gov/pmc/articles/PMC4593162/</w:t>
      </w:r>
      <w:r>
        <w:t xml:space="preserve"> (accessed on 19 February 2019).</w:t>
      </w:r>
    </w:p>
    <w:p w14:paraId="7C5E3243" w14:textId="77777777" w:rsidR="007A329F" w:rsidRPr="00EF7E6A" w:rsidRDefault="007A329F" w:rsidP="007A329F">
      <w:pPr>
        <w:pStyle w:val="MDPI71References"/>
      </w:pPr>
      <w:r w:rsidRPr="00EF7E6A">
        <w:t xml:space="preserve">Dietary Guidelines Advisory Committee. </w:t>
      </w:r>
      <w:r w:rsidRPr="00A60504">
        <w:rPr>
          <w:i/>
        </w:rPr>
        <w:t>Scientific Report of the 2015 Dietary Guidelines Advisory Committee: Advisory Report of the Secretary of Health and Human Services and the Secretary of Agriculture</w:t>
      </w:r>
      <w:r>
        <w:t xml:space="preserve">; </w:t>
      </w:r>
      <w:r w:rsidRPr="00EF7E6A">
        <w:t>U.S. Department of Agriculture, Agricultural Research Service</w:t>
      </w:r>
      <w:r>
        <w:t xml:space="preserve">: Washington, DC, USA, </w:t>
      </w:r>
      <w:r w:rsidRPr="00EF7E6A">
        <w:t>2015.</w:t>
      </w:r>
    </w:p>
    <w:p w14:paraId="44BB391D" w14:textId="6D2EBF57" w:rsidR="007A329F" w:rsidRPr="00143083" w:rsidRDefault="007A329F" w:rsidP="007A329F">
      <w:pPr>
        <w:pStyle w:val="MDPI71References"/>
      </w:pPr>
      <w:r w:rsidRPr="00EF7E6A">
        <w:t xml:space="preserve">Public Health England. The Eatwell Guide. 2018. Available </w:t>
      </w:r>
      <w:r>
        <w:t>online</w:t>
      </w:r>
      <w:r w:rsidRPr="00EF7E6A">
        <w:t xml:space="preserve">: </w:t>
      </w:r>
      <w:r w:rsidRPr="00A60504">
        <w:t>https://assets.publishing.service.gov.uk/government/uploads/system/uploads/attachment_data/file/742750/Eatwell_Guide_booklet_2018v4.pdf</w:t>
      </w:r>
      <w:r>
        <w:t xml:space="preserve"> (</w:t>
      </w:r>
      <w:r w:rsidRPr="00143083">
        <w:t>accessed on</w:t>
      </w:r>
      <w:r w:rsidR="008F471E" w:rsidRPr="00143083">
        <w:t xml:space="preserve"> 22 February 2019</w:t>
      </w:r>
      <w:r w:rsidRPr="00143083">
        <w:t>).</w:t>
      </w:r>
    </w:p>
    <w:p w14:paraId="5D8AE247" w14:textId="77777777" w:rsidR="007A329F" w:rsidRPr="00EF7E6A" w:rsidRDefault="007A329F" w:rsidP="007A329F">
      <w:pPr>
        <w:pStyle w:val="MDPI71References"/>
      </w:pPr>
      <w:r w:rsidRPr="00143083">
        <w:t>Agudo, A.; Slimani, N.; Ocke, M.C.; Naska, A.; Miller, A.B</w:t>
      </w:r>
      <w:r>
        <w:t>.; Kroke, A.; Bamia, C.; Karalis, D.; Vineis, P.; Palli, D.; et al.</w:t>
      </w:r>
      <w:r w:rsidRPr="00EF7E6A">
        <w:t xml:space="preserve"> Consumption of vegetables, fruit and other plant foods in the European Prospective Investigation into Cancer and Nutrition (EPIC) cohorts from 10 European coun</w:t>
      </w:r>
      <w:r>
        <w:t xml:space="preserve">tries. </w:t>
      </w:r>
      <w:r w:rsidRPr="00A60504">
        <w:rPr>
          <w:i/>
        </w:rPr>
        <w:t>Public Health Nutr.</w:t>
      </w:r>
      <w:r>
        <w:t xml:space="preserve"> </w:t>
      </w:r>
      <w:r>
        <w:rPr>
          <w:b/>
        </w:rPr>
        <w:t>2002</w:t>
      </w:r>
      <w:r>
        <w:t xml:space="preserve">, </w:t>
      </w:r>
      <w:r>
        <w:rPr>
          <w:i/>
        </w:rPr>
        <w:t>5</w:t>
      </w:r>
      <w:r>
        <w:t>, 1179–1196</w:t>
      </w:r>
      <w:r w:rsidRPr="00EF7E6A">
        <w:t>.</w:t>
      </w:r>
    </w:p>
    <w:p w14:paraId="3417A858" w14:textId="77777777" w:rsidR="007A329F" w:rsidRPr="00EF7E6A" w:rsidRDefault="007A329F" w:rsidP="007A329F">
      <w:pPr>
        <w:pStyle w:val="MDPI71References"/>
      </w:pPr>
      <w:r>
        <w:t>Agudo, A.; Slimani, N.; Ocke, M.C.; Naska, A.; Miller, A.B.; Kroke, A.; Bamia, C.; Karalis, D.; Vineis, P.; Palli, D</w:t>
      </w:r>
      <w:r w:rsidRPr="00F82C96">
        <w:t>.; et al. Meat</w:t>
      </w:r>
      <w:r w:rsidRPr="00EF7E6A">
        <w:t xml:space="preserve">, eggs, dairy products, and risk of breast cancer in the European Prospective Investigation into Cancer and Nutrition (EPIC) cohort. </w:t>
      </w:r>
      <w:r w:rsidRPr="00A60504">
        <w:rPr>
          <w:i/>
        </w:rPr>
        <w:t>Am</w:t>
      </w:r>
      <w:r>
        <w:rPr>
          <w:i/>
        </w:rPr>
        <w:t>.</w:t>
      </w:r>
      <w:r w:rsidRPr="00A60504">
        <w:rPr>
          <w:i/>
        </w:rPr>
        <w:t xml:space="preserve"> J</w:t>
      </w:r>
      <w:r>
        <w:rPr>
          <w:i/>
        </w:rPr>
        <w:t>.</w:t>
      </w:r>
      <w:r w:rsidRPr="00A60504">
        <w:rPr>
          <w:i/>
        </w:rPr>
        <w:t xml:space="preserve"> Clin</w:t>
      </w:r>
      <w:r>
        <w:rPr>
          <w:i/>
        </w:rPr>
        <w:t>.</w:t>
      </w:r>
      <w:r w:rsidRPr="00A60504">
        <w:rPr>
          <w:i/>
        </w:rPr>
        <w:t xml:space="preserve"> Nutr.</w:t>
      </w:r>
      <w:r>
        <w:t xml:space="preserve"> </w:t>
      </w:r>
      <w:r>
        <w:rPr>
          <w:b/>
        </w:rPr>
        <w:t>2009</w:t>
      </w:r>
      <w:r>
        <w:t xml:space="preserve">, </w:t>
      </w:r>
      <w:r>
        <w:rPr>
          <w:i/>
        </w:rPr>
        <w:t>90</w:t>
      </w:r>
      <w:r>
        <w:t>, 602–612</w:t>
      </w:r>
      <w:r w:rsidRPr="00EF7E6A">
        <w:t>.</w:t>
      </w:r>
    </w:p>
    <w:p w14:paraId="0AA1F6B0" w14:textId="77777777" w:rsidR="007A329F" w:rsidRPr="00EF7E6A" w:rsidRDefault="007A329F" w:rsidP="007A329F">
      <w:pPr>
        <w:pStyle w:val="MDPI71References"/>
      </w:pPr>
      <w:r>
        <w:t>Blumfield, M.L.; Hure, A.J.; MacDonald-Wicks, L.K.; Patterson, A.J.; Smith, R.; Collins, C.E.</w:t>
      </w:r>
      <w:r w:rsidRPr="00EF7E6A">
        <w:t xml:space="preserve"> Disparities exist between National food group recommendations and the dietary intakes of women. </w:t>
      </w:r>
      <w:r w:rsidRPr="00A60504">
        <w:rPr>
          <w:i/>
        </w:rPr>
        <w:t>BMC Womens Health</w:t>
      </w:r>
      <w:r>
        <w:t xml:space="preserve"> </w:t>
      </w:r>
      <w:r>
        <w:rPr>
          <w:b/>
        </w:rPr>
        <w:t>2011</w:t>
      </w:r>
      <w:r>
        <w:t xml:space="preserve">, </w:t>
      </w:r>
      <w:r>
        <w:rPr>
          <w:i/>
        </w:rPr>
        <w:t>11</w:t>
      </w:r>
      <w:r>
        <w:t>, 37</w:t>
      </w:r>
      <w:r w:rsidRPr="00EF7E6A">
        <w:t>.</w:t>
      </w:r>
    </w:p>
    <w:p w14:paraId="028172B1" w14:textId="77777777" w:rsidR="007A329F" w:rsidRPr="00EF7E6A" w:rsidRDefault="007A329F" w:rsidP="007A329F">
      <w:pPr>
        <w:pStyle w:val="MDPI71References"/>
      </w:pPr>
      <w:r>
        <w:t>Dehghan, M.; Martinez, S.; Zhang, X.; Seron, P.; Lanas, F.; Islam, S.; Merchant, A.T.</w:t>
      </w:r>
      <w:r w:rsidRPr="00EF7E6A">
        <w:t xml:space="preserve"> Relative validity of an FFQ to estimate daily food and nutrient intakes for Chilean adults. </w:t>
      </w:r>
      <w:r w:rsidRPr="00A60504">
        <w:rPr>
          <w:i/>
        </w:rPr>
        <w:t>Public Health Nutr.</w:t>
      </w:r>
      <w:r w:rsidRPr="00EF7E6A">
        <w:t xml:space="preserve"> </w:t>
      </w:r>
      <w:r>
        <w:rPr>
          <w:b/>
        </w:rPr>
        <w:t>2013</w:t>
      </w:r>
      <w:r>
        <w:t xml:space="preserve">, </w:t>
      </w:r>
      <w:r>
        <w:rPr>
          <w:i/>
        </w:rPr>
        <w:t>16</w:t>
      </w:r>
      <w:r>
        <w:t>, 1782–1788</w:t>
      </w:r>
      <w:r w:rsidRPr="00EF7E6A">
        <w:t>.</w:t>
      </w:r>
    </w:p>
    <w:p w14:paraId="3B199EFB" w14:textId="77777777" w:rsidR="007A329F" w:rsidRPr="00EF7E6A" w:rsidRDefault="007A329F" w:rsidP="007A329F">
      <w:pPr>
        <w:pStyle w:val="MDPI71References"/>
        <w:rPr>
          <w:lang w:val="fr-FR"/>
        </w:rPr>
      </w:pPr>
      <w:r>
        <w:rPr>
          <w:lang w:val="fr-FR"/>
        </w:rPr>
        <w:t>Vioque, J.; Navarrete-Muñoz, E.M.; Gimenez-</w:t>
      </w:r>
      <w:r w:rsidRPr="00F82C96">
        <w:rPr>
          <w:lang w:val="fr-FR"/>
        </w:rPr>
        <w:t>Monzó</w:t>
      </w:r>
      <w:r>
        <w:rPr>
          <w:lang w:val="fr-FR"/>
        </w:rPr>
        <w:t>,</w:t>
      </w:r>
      <w:r w:rsidRPr="00F82C96">
        <w:rPr>
          <w:lang w:val="fr-FR"/>
        </w:rPr>
        <w:t xml:space="preserve"> D.; García-</w:t>
      </w:r>
      <w:r>
        <w:rPr>
          <w:lang w:val="fr-FR"/>
        </w:rPr>
        <w:t>de-la-Hera, M.; Granado, F.; Young, I.S.; Ramón, R.; Ballester, F.; Murcia, M.; Rebagliato, M.; et al.</w:t>
      </w:r>
      <w:r w:rsidRPr="00EF7E6A">
        <w:rPr>
          <w:lang w:val="fr-FR"/>
        </w:rPr>
        <w:t xml:space="preserve"> </w:t>
      </w:r>
      <w:r w:rsidRPr="00EF7E6A">
        <w:t xml:space="preserve">Reproducibility and validity of a food frequency questionnaire among pregnant women in a Mediterranean area. </w:t>
      </w:r>
      <w:r w:rsidRPr="00EF1E5D">
        <w:rPr>
          <w:i/>
          <w:lang w:val="fr-FR"/>
        </w:rPr>
        <w:t>Nutr. J.</w:t>
      </w:r>
      <w:r w:rsidRPr="00EF7E6A">
        <w:rPr>
          <w:lang w:val="fr-FR"/>
        </w:rPr>
        <w:t xml:space="preserve"> </w:t>
      </w:r>
      <w:r>
        <w:rPr>
          <w:b/>
          <w:lang w:val="fr-FR"/>
        </w:rPr>
        <w:t>2013</w:t>
      </w:r>
      <w:r>
        <w:rPr>
          <w:lang w:val="fr-FR"/>
        </w:rPr>
        <w:t xml:space="preserve">, </w:t>
      </w:r>
      <w:r>
        <w:rPr>
          <w:i/>
          <w:lang w:val="fr-FR"/>
        </w:rPr>
        <w:t>12</w:t>
      </w:r>
      <w:r>
        <w:rPr>
          <w:lang w:val="fr-FR"/>
        </w:rPr>
        <w:t>, 26</w:t>
      </w:r>
      <w:r w:rsidRPr="00EF7E6A">
        <w:rPr>
          <w:lang w:val="fr-FR"/>
        </w:rPr>
        <w:t>.</w:t>
      </w:r>
    </w:p>
    <w:p w14:paraId="60F4E33E" w14:textId="77777777" w:rsidR="007A329F" w:rsidRPr="00EF7E6A" w:rsidRDefault="007A329F" w:rsidP="007A329F">
      <w:pPr>
        <w:pStyle w:val="MDPI71References"/>
      </w:pPr>
      <w:r w:rsidRPr="001740F2">
        <w:rPr>
          <w:lang w:val="en-GB"/>
        </w:rPr>
        <w:t xml:space="preserve">Talegawkar, S.A.; Tanaka, T.; Maras, J.E.; Ferrucci, L.; Tucker, K.L. </w:t>
      </w:r>
      <w:r w:rsidRPr="00EF7E6A">
        <w:t xml:space="preserve">Validation of Nutrient Intake Estimates Derived Using a Semi-Quantitative FFQ against 3 Day Diet Records in the Baltimore Longitudinal Study of Aging. </w:t>
      </w:r>
      <w:r w:rsidRPr="00EF1E5D">
        <w:rPr>
          <w:i/>
        </w:rPr>
        <w:t>J. Nutr. Health Aging</w:t>
      </w:r>
      <w:r>
        <w:t xml:space="preserve"> </w:t>
      </w:r>
      <w:r>
        <w:rPr>
          <w:b/>
        </w:rPr>
        <w:t>2015</w:t>
      </w:r>
      <w:r>
        <w:t xml:space="preserve">, </w:t>
      </w:r>
      <w:r>
        <w:rPr>
          <w:i/>
        </w:rPr>
        <w:t>19</w:t>
      </w:r>
      <w:r>
        <w:t>, 994–1002</w:t>
      </w:r>
      <w:r w:rsidRPr="00EF7E6A">
        <w:t>.</w:t>
      </w:r>
    </w:p>
    <w:tbl>
      <w:tblPr>
        <w:tblW w:w="0" w:type="auto"/>
        <w:jc w:val="center"/>
        <w:tblLook w:val="04A0" w:firstRow="1" w:lastRow="0" w:firstColumn="1" w:lastColumn="0" w:noHBand="0" w:noVBand="1"/>
      </w:tblPr>
      <w:tblGrid>
        <w:gridCol w:w="1791"/>
        <w:gridCol w:w="7053"/>
      </w:tblGrid>
      <w:tr w:rsidR="007A329F" w:rsidRPr="00101347" w14:paraId="4BC339FB" w14:textId="77777777" w:rsidTr="00642B9B">
        <w:trPr>
          <w:jc w:val="center"/>
        </w:trPr>
        <w:tc>
          <w:tcPr>
            <w:tcW w:w="0" w:type="auto"/>
            <w:shd w:val="clear" w:color="auto" w:fill="auto"/>
            <w:vAlign w:val="center"/>
          </w:tcPr>
          <w:p w14:paraId="2DBEAD1F" w14:textId="77777777" w:rsidR="007A329F" w:rsidRPr="00101347" w:rsidRDefault="007A329F" w:rsidP="00642B9B">
            <w:pPr>
              <w:pStyle w:val="MDPI71References"/>
              <w:numPr>
                <w:ilvl w:val="0"/>
                <w:numId w:val="0"/>
              </w:numPr>
              <w:ind w:left="425" w:hanging="425"/>
              <w:rPr>
                <w:rFonts w:eastAsia="SimSun"/>
                <w:bCs/>
                <w:color w:val="auto"/>
                <w:szCs w:val="18"/>
              </w:rPr>
            </w:pPr>
            <w:r w:rsidRPr="00101347">
              <w:rPr>
                <w:rFonts w:eastAsia="SimSun"/>
                <w:bCs/>
                <w:noProof/>
                <w:color w:val="auto"/>
                <w:szCs w:val="18"/>
                <w:lang w:val="en-GB" w:eastAsia="en-GB" w:bidi="ar-SA"/>
              </w:rPr>
              <w:drawing>
                <wp:inline distT="0" distB="0" distL="0" distR="0" wp14:anchorId="1B942C7A" wp14:editId="1E7AF314">
                  <wp:extent cx="1000125" cy="361950"/>
                  <wp:effectExtent l="0" t="0" r="0" b="0"/>
                  <wp:docPr id="3" name="Image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00125" cy="361950"/>
                          </a:xfrm>
                          <a:prstGeom prst="rect">
                            <a:avLst/>
                          </a:prstGeom>
                          <a:noFill/>
                          <a:ln>
                            <a:noFill/>
                          </a:ln>
                        </pic:spPr>
                      </pic:pic>
                    </a:graphicData>
                  </a:graphic>
                </wp:inline>
              </w:drawing>
            </w:r>
          </w:p>
        </w:tc>
        <w:tc>
          <w:tcPr>
            <w:tcW w:w="7053" w:type="dxa"/>
            <w:shd w:val="clear" w:color="auto" w:fill="auto"/>
            <w:vAlign w:val="center"/>
          </w:tcPr>
          <w:p w14:paraId="070451D0" w14:textId="77777777" w:rsidR="007A329F" w:rsidRPr="00101347" w:rsidRDefault="007A329F" w:rsidP="00642B9B">
            <w:pPr>
              <w:pStyle w:val="MDPI71References"/>
              <w:numPr>
                <w:ilvl w:val="0"/>
                <w:numId w:val="0"/>
              </w:numPr>
              <w:ind w:left="425" w:hanging="425"/>
              <w:rPr>
                <w:rFonts w:eastAsia="SimSun"/>
                <w:bCs/>
                <w:color w:val="auto"/>
                <w:szCs w:val="18"/>
              </w:rPr>
            </w:pPr>
            <w:r w:rsidRPr="00101347">
              <w:rPr>
                <w:rFonts w:eastAsia="SimSun"/>
                <w:bCs/>
                <w:color w:val="auto"/>
                <w:szCs w:val="18"/>
              </w:rPr>
              <w:t>© 2019 by the authors. Submitted for possible open access publication under the terms and conditions of the Creative Commons Attribution (CC BY) license (http://creativecommons.org/licenses/by/4.0/).</w:t>
            </w:r>
          </w:p>
        </w:tc>
      </w:tr>
    </w:tbl>
    <w:p w14:paraId="01A87533" w14:textId="77777777" w:rsidR="002549C8" w:rsidRPr="007A329F" w:rsidRDefault="002549C8" w:rsidP="008313A9">
      <w:pPr>
        <w:pStyle w:val="MDPI71References"/>
        <w:numPr>
          <w:ilvl w:val="0"/>
          <w:numId w:val="0"/>
        </w:numPr>
        <w:spacing w:after="240"/>
        <w:rPr>
          <w:rFonts w:eastAsia="SimSun"/>
          <w:color w:val="auto"/>
          <w:szCs w:val="18"/>
        </w:rPr>
      </w:pPr>
    </w:p>
    <w:sectPr w:rsidR="002549C8" w:rsidRPr="007A329F" w:rsidSect="00C73C94">
      <w:pgSz w:w="11906" w:h="16838" w:code="9"/>
      <w:pgMar w:top="1417" w:right="1531" w:bottom="1077" w:left="1531" w:header="1020" w:footer="850" w:gutter="0"/>
      <w:cols w:space="425"/>
      <w:docGrid w:type="lines"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E946BE" w16cid:durableId="216E8A0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A4684" w14:textId="77777777" w:rsidR="00C8622E" w:rsidRDefault="00C8622E">
      <w:pPr>
        <w:spacing w:line="240" w:lineRule="auto"/>
      </w:pPr>
      <w:r>
        <w:separator/>
      </w:r>
    </w:p>
  </w:endnote>
  <w:endnote w:type="continuationSeparator" w:id="0">
    <w:p w14:paraId="07AD28DE" w14:textId="77777777" w:rsidR="00C8622E" w:rsidRDefault="00C86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BDD68" w14:textId="77777777" w:rsidR="00C8622E" w:rsidRPr="00885BB0" w:rsidRDefault="00C8622E" w:rsidP="00C90B3B">
    <w:pPr>
      <w:pStyle w:val="Footer"/>
      <w:spacing w:line="240"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DD137" w14:textId="77777777" w:rsidR="00C8622E" w:rsidRPr="008B308E" w:rsidRDefault="00C8622E" w:rsidP="00C90B3B">
    <w:pPr>
      <w:pStyle w:val="MDPIfooterfirstpage"/>
      <w:spacing w:line="240" w:lineRule="auto"/>
      <w:jc w:val="both"/>
      <w:rPr>
        <w:lang w:val="fr-CH"/>
      </w:rPr>
    </w:pPr>
    <w:r w:rsidRPr="00141586">
      <w:rPr>
        <w:i/>
        <w:szCs w:val="16"/>
      </w:rPr>
      <w:t>Nutrients</w:t>
    </w:r>
    <w:r w:rsidRPr="00A70616">
      <w:rPr>
        <w:iCs/>
        <w:szCs w:val="16"/>
      </w:rPr>
      <w:t xml:space="preserve"> </w:t>
    </w:r>
    <w:r w:rsidRPr="008313A9">
      <w:rPr>
        <w:b/>
        <w:bCs/>
        <w:iCs/>
        <w:szCs w:val="16"/>
      </w:rPr>
      <w:t>2019</w:t>
    </w:r>
    <w:r w:rsidRPr="008313A9">
      <w:rPr>
        <w:bCs/>
        <w:iCs/>
        <w:szCs w:val="16"/>
      </w:rPr>
      <w:t xml:space="preserve">, </w:t>
    </w:r>
    <w:r w:rsidRPr="008313A9">
      <w:rPr>
        <w:bCs/>
        <w:i/>
        <w:iCs/>
        <w:szCs w:val="16"/>
      </w:rPr>
      <w:t>11</w:t>
    </w:r>
    <w:r w:rsidRPr="008313A9">
      <w:rPr>
        <w:bCs/>
        <w:iCs/>
        <w:szCs w:val="16"/>
      </w:rPr>
      <w:t xml:space="preserve">, </w:t>
    </w:r>
    <w:r>
      <w:rPr>
        <w:bCs/>
        <w:iCs/>
        <w:szCs w:val="16"/>
      </w:rPr>
      <w:t>x; doi: FOR PEER REVIEW</w:t>
    </w:r>
    <w:r w:rsidRPr="008B308E">
      <w:rPr>
        <w:lang w:val="fr-CH"/>
      </w:rPr>
      <w:tab/>
      <w:t>www.mdpi.com/journal/</w:t>
    </w:r>
    <w:r>
      <w:t>nutrients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9C007" w14:textId="77777777" w:rsidR="00C8622E" w:rsidRDefault="00C8622E">
      <w:pPr>
        <w:spacing w:line="240" w:lineRule="auto"/>
      </w:pPr>
      <w:r>
        <w:separator/>
      </w:r>
    </w:p>
  </w:footnote>
  <w:footnote w:type="continuationSeparator" w:id="0">
    <w:p w14:paraId="7E6939E4" w14:textId="77777777" w:rsidR="00C8622E" w:rsidRDefault="00C862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6FA60" w14:textId="77777777" w:rsidR="00C8622E" w:rsidRDefault="00C8622E" w:rsidP="00C90B3B">
    <w:pPr>
      <w:pStyle w:val="Header"/>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B192" w14:textId="6588F75A" w:rsidR="00C8622E" w:rsidRPr="00310EBF" w:rsidRDefault="00C8622E" w:rsidP="00FC780D">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Nutrients </w:t>
    </w:r>
    <w:r w:rsidRPr="008313A9">
      <w:rPr>
        <w:rFonts w:ascii="Palatino Linotype" w:hAnsi="Palatino Linotype"/>
        <w:b/>
        <w:sz w:val="16"/>
      </w:rPr>
      <w:t>2019</w:t>
    </w:r>
    <w:r w:rsidRPr="008313A9">
      <w:rPr>
        <w:rFonts w:ascii="Palatino Linotype" w:hAnsi="Palatino Linotype"/>
        <w:sz w:val="16"/>
      </w:rPr>
      <w:t xml:space="preserve">, </w:t>
    </w:r>
    <w:r w:rsidRPr="008313A9">
      <w:rPr>
        <w:rFonts w:ascii="Palatino Linotype" w:hAnsi="Palatino Linotype"/>
        <w:i/>
        <w:sz w:val="16"/>
      </w:rPr>
      <w:t>11</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194F22">
      <w:rPr>
        <w:rFonts w:ascii="Palatino Linotype" w:hAnsi="Palatino Linotype"/>
        <w:noProof/>
        <w:sz w:val="16"/>
      </w:rPr>
      <w:t>19</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sidR="00194F22">
      <w:rPr>
        <w:rFonts w:ascii="Palatino Linotype" w:hAnsi="Palatino Linotype"/>
        <w:noProof/>
        <w:sz w:val="16"/>
      </w:rPr>
      <w:t>19</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B5304" w14:textId="77777777" w:rsidR="00C8622E" w:rsidRDefault="00C8622E" w:rsidP="00C90B3B">
    <w:pPr>
      <w:pStyle w:val="MDPIheaderjournallogo"/>
    </w:pPr>
    <w:r w:rsidRPr="00CE1CFD">
      <w:rPr>
        <w:i w:val="0"/>
        <w:noProof/>
        <w:szCs w:val="16"/>
        <w:lang w:val="en-GB" w:eastAsia="en-GB"/>
      </w:rPr>
      <mc:AlternateContent>
        <mc:Choice Requires="wps">
          <w:drawing>
            <wp:anchor distT="45720" distB="45720" distL="114300" distR="114300" simplePos="0" relativeHeight="251657728" behindDoc="1" locked="0" layoutInCell="1" allowOverlap="1" wp14:anchorId="19C87270" wp14:editId="39DAF23A">
              <wp:simplePos x="0" y="0"/>
              <wp:positionH relativeFrom="page">
                <wp:posOffset>6029960</wp:posOffset>
              </wp:positionH>
              <wp:positionV relativeFrom="page">
                <wp:posOffset>647700</wp:posOffset>
              </wp:positionV>
              <wp:extent cx="546735" cy="709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709295"/>
                      </a:xfrm>
                      <a:prstGeom prst="rect">
                        <a:avLst/>
                      </a:prstGeom>
                      <a:solidFill>
                        <a:srgbClr val="FFFFFF"/>
                      </a:solidFill>
                      <a:ln w="9525">
                        <a:noFill/>
                        <a:miter lim="800000"/>
                        <a:headEnd/>
                        <a:tailEnd/>
                      </a:ln>
                    </wps:spPr>
                    <wps:txbx>
                      <w:txbxContent>
                        <w:p w14:paraId="3AE0FB11" w14:textId="77777777" w:rsidR="00C8622E" w:rsidRDefault="00C8622E" w:rsidP="00C90B3B">
                          <w:pPr>
                            <w:pStyle w:val="MDPIheaderjournallogo"/>
                            <w:jc w:val="center"/>
                            <w:textboxTightWrap w:val="allLines"/>
                            <w:rPr>
                              <w:i w:val="0"/>
                              <w:szCs w:val="16"/>
                            </w:rPr>
                          </w:pPr>
                          <w:r w:rsidRPr="002549C8">
                            <w:rPr>
                              <w:i w:val="0"/>
                              <w:noProof/>
                              <w:szCs w:val="16"/>
                              <w:lang w:val="en-GB" w:eastAsia="en-GB"/>
                            </w:rPr>
                            <w:drawing>
                              <wp:inline distT="0" distB="0" distL="0" distR="0" wp14:anchorId="21147B38" wp14:editId="29C7C579">
                                <wp:extent cx="542925" cy="361950"/>
                                <wp:effectExtent l="0" t="0" r="0" b="0"/>
                                <wp:docPr id="4"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9C87270" id="_x0000_t202" coordsize="21600,21600" o:spt="202" path="m,l,21600r21600,l21600,xe">
              <v:stroke joinstyle="miter"/>
              <v:path gradientshapeok="t" o:connecttype="rect"/>
            </v:shapetype>
            <v:shape id="Text Box 2" o:spid="_x0000_s1026" type="#_x0000_t202" style="position:absolute;margin-left:474.8pt;margin-top:51pt;width:43.0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" stroked="f">
              <v:textbox inset="0,0,0,0">
                <w:txbxContent>
                  <w:p w14:paraId="3AE0FB11" w14:textId="77777777" w:rsidR="00C8622E" w:rsidRDefault="00C8622E" w:rsidP="00C90B3B">
                    <w:pPr>
                      <w:pStyle w:val="MDPIheaderjournallogo"/>
                      <w:jc w:val="center"/>
                      <w:textboxTightWrap w:val="allLines"/>
                      <w:rPr>
                        <w:i w:val="0"/>
                        <w:szCs w:val="16"/>
                      </w:rPr>
                    </w:pPr>
                    <w:r w:rsidRPr="002549C8">
                      <w:rPr>
                        <w:i w:val="0"/>
                        <w:noProof/>
                        <w:szCs w:val="16"/>
                        <w:lang w:val="en-GB" w:eastAsia="en-GB"/>
                      </w:rPr>
                      <w:drawing>
                        <wp:inline distT="0" distB="0" distL="0" distR="0" wp14:anchorId="21147B38" wp14:editId="29C7C579">
                          <wp:extent cx="542925" cy="361950"/>
                          <wp:effectExtent l="0" t="0" r="0" b="0"/>
                          <wp:docPr id="4"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noFill/>
                                  <a:ln>
                                    <a:noFill/>
                                  </a:ln>
                                </pic:spPr>
                              </pic:pic>
                            </a:graphicData>
                          </a:graphic>
                        </wp:inline>
                      </w:drawing>
                    </w:r>
                  </w:p>
                </w:txbxContent>
              </v:textbox>
              <w10:wrap anchorx="page" anchory="page"/>
            </v:shape>
          </w:pict>
        </mc:Fallback>
      </mc:AlternateContent>
    </w:r>
    <w:r w:rsidRPr="00A04686">
      <w:rPr>
        <w:noProof/>
        <w:lang w:val="en-GB" w:eastAsia="en-GB"/>
      </w:rPr>
      <w:drawing>
        <wp:inline distT="0" distB="0" distL="0" distR="0" wp14:anchorId="1F8B761C" wp14:editId="443EDE3F">
          <wp:extent cx="1704975" cy="428625"/>
          <wp:effectExtent l="0" t="0" r="0" b="0"/>
          <wp:docPr id="5" name="Picture 7" descr="C:\Users\home\Desktop\logos\Nutri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esktop\logos\Nutrients-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497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415F11B7"/>
    <w:multiLevelType w:val="hybridMultilevel"/>
    <w:tmpl w:val="8E96966C"/>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C5499"/>
    <w:multiLevelType w:val="hybridMultilevel"/>
    <w:tmpl w:val="66E6F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8D4B19"/>
    <w:multiLevelType w:val="hybridMultilevel"/>
    <w:tmpl w:val="728E52F2"/>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C536F0"/>
    <w:multiLevelType w:val="hybridMultilevel"/>
    <w:tmpl w:val="AB52F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B75328"/>
    <w:multiLevelType w:val="hybridMultilevel"/>
    <w:tmpl w:val="18F84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780F2B"/>
    <w:multiLevelType w:val="hybridMultilevel"/>
    <w:tmpl w:val="0C14DF9E"/>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8E5707"/>
    <w:multiLevelType w:val="hybridMultilevel"/>
    <w:tmpl w:val="F524185A"/>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5"/>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trackRevisions/>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A4"/>
    <w:rsid w:val="00011CAD"/>
    <w:rsid w:val="000208E1"/>
    <w:rsid w:val="00026158"/>
    <w:rsid w:val="000330FF"/>
    <w:rsid w:val="00070240"/>
    <w:rsid w:val="0007330A"/>
    <w:rsid w:val="00077A11"/>
    <w:rsid w:val="00095C3E"/>
    <w:rsid w:val="000B6163"/>
    <w:rsid w:val="000C3549"/>
    <w:rsid w:val="000E0ACB"/>
    <w:rsid w:val="000F03E2"/>
    <w:rsid w:val="00101347"/>
    <w:rsid w:val="001020FB"/>
    <w:rsid w:val="00106784"/>
    <w:rsid w:val="001122B9"/>
    <w:rsid w:val="00121D37"/>
    <w:rsid w:val="001326F5"/>
    <w:rsid w:val="00143083"/>
    <w:rsid w:val="00143712"/>
    <w:rsid w:val="00150079"/>
    <w:rsid w:val="0015059B"/>
    <w:rsid w:val="00156790"/>
    <w:rsid w:val="00172FCF"/>
    <w:rsid w:val="001740F2"/>
    <w:rsid w:val="00191240"/>
    <w:rsid w:val="00192EF9"/>
    <w:rsid w:val="00194F22"/>
    <w:rsid w:val="00197475"/>
    <w:rsid w:val="001A4F7C"/>
    <w:rsid w:val="001A56EF"/>
    <w:rsid w:val="001C57CB"/>
    <w:rsid w:val="001D5A70"/>
    <w:rsid w:val="001E153F"/>
    <w:rsid w:val="001E2AEB"/>
    <w:rsid w:val="001E355A"/>
    <w:rsid w:val="001E4BE2"/>
    <w:rsid w:val="001F33ED"/>
    <w:rsid w:val="00200FB6"/>
    <w:rsid w:val="00202E01"/>
    <w:rsid w:val="00211776"/>
    <w:rsid w:val="0021195C"/>
    <w:rsid w:val="00212BFC"/>
    <w:rsid w:val="0021329E"/>
    <w:rsid w:val="002135C5"/>
    <w:rsid w:val="00216DB7"/>
    <w:rsid w:val="00220DD0"/>
    <w:rsid w:val="0022478E"/>
    <w:rsid w:val="002252A7"/>
    <w:rsid w:val="002549C8"/>
    <w:rsid w:val="002616E7"/>
    <w:rsid w:val="00270D1A"/>
    <w:rsid w:val="00275F25"/>
    <w:rsid w:val="00282691"/>
    <w:rsid w:val="002835CD"/>
    <w:rsid w:val="00283D6E"/>
    <w:rsid w:val="0029512B"/>
    <w:rsid w:val="002A2492"/>
    <w:rsid w:val="002A6EA1"/>
    <w:rsid w:val="002E2A2A"/>
    <w:rsid w:val="002F21F4"/>
    <w:rsid w:val="002F7BAF"/>
    <w:rsid w:val="003160F8"/>
    <w:rsid w:val="00326141"/>
    <w:rsid w:val="0034634F"/>
    <w:rsid w:val="00355677"/>
    <w:rsid w:val="00360643"/>
    <w:rsid w:val="00362D81"/>
    <w:rsid w:val="0036462C"/>
    <w:rsid w:val="003805B0"/>
    <w:rsid w:val="00387465"/>
    <w:rsid w:val="003934AC"/>
    <w:rsid w:val="003A17D4"/>
    <w:rsid w:val="003A386B"/>
    <w:rsid w:val="003B342F"/>
    <w:rsid w:val="003C25AE"/>
    <w:rsid w:val="003C47A7"/>
    <w:rsid w:val="003C4A7C"/>
    <w:rsid w:val="003D4716"/>
    <w:rsid w:val="003D48F6"/>
    <w:rsid w:val="003D687A"/>
    <w:rsid w:val="003E4154"/>
    <w:rsid w:val="003F0A90"/>
    <w:rsid w:val="003F3497"/>
    <w:rsid w:val="003F59C0"/>
    <w:rsid w:val="00401D30"/>
    <w:rsid w:val="00404239"/>
    <w:rsid w:val="00407241"/>
    <w:rsid w:val="00411C29"/>
    <w:rsid w:val="0043246F"/>
    <w:rsid w:val="00435811"/>
    <w:rsid w:val="00444938"/>
    <w:rsid w:val="0045271C"/>
    <w:rsid w:val="004644D3"/>
    <w:rsid w:val="004655BA"/>
    <w:rsid w:val="00474E3E"/>
    <w:rsid w:val="00474F0E"/>
    <w:rsid w:val="00483879"/>
    <w:rsid w:val="00490778"/>
    <w:rsid w:val="0049147C"/>
    <w:rsid w:val="004934F4"/>
    <w:rsid w:val="004B543E"/>
    <w:rsid w:val="004C025E"/>
    <w:rsid w:val="004C323F"/>
    <w:rsid w:val="004C3BAD"/>
    <w:rsid w:val="005134D5"/>
    <w:rsid w:val="00534555"/>
    <w:rsid w:val="00534DC3"/>
    <w:rsid w:val="005362C9"/>
    <w:rsid w:val="00545D41"/>
    <w:rsid w:val="00551A10"/>
    <w:rsid w:val="00565FB3"/>
    <w:rsid w:val="00573230"/>
    <w:rsid w:val="005745B2"/>
    <w:rsid w:val="00585563"/>
    <w:rsid w:val="005A79DF"/>
    <w:rsid w:val="005C74F1"/>
    <w:rsid w:val="005D2D0C"/>
    <w:rsid w:val="005D7568"/>
    <w:rsid w:val="005E662B"/>
    <w:rsid w:val="005F0128"/>
    <w:rsid w:val="006052CC"/>
    <w:rsid w:val="00612EEA"/>
    <w:rsid w:val="00625D97"/>
    <w:rsid w:val="006300BE"/>
    <w:rsid w:val="00632EB2"/>
    <w:rsid w:val="0063334E"/>
    <w:rsid w:val="00640847"/>
    <w:rsid w:val="00642B9B"/>
    <w:rsid w:val="00651F3D"/>
    <w:rsid w:val="00657213"/>
    <w:rsid w:val="00657B19"/>
    <w:rsid w:val="0066496F"/>
    <w:rsid w:val="006655C6"/>
    <w:rsid w:val="00667968"/>
    <w:rsid w:val="00692393"/>
    <w:rsid w:val="006937D7"/>
    <w:rsid w:val="006A7224"/>
    <w:rsid w:val="006B0C8F"/>
    <w:rsid w:val="006D5B1F"/>
    <w:rsid w:val="006F0855"/>
    <w:rsid w:val="00700944"/>
    <w:rsid w:val="00717814"/>
    <w:rsid w:val="00717F76"/>
    <w:rsid w:val="00720220"/>
    <w:rsid w:val="00721BCF"/>
    <w:rsid w:val="0073171F"/>
    <w:rsid w:val="007412C5"/>
    <w:rsid w:val="00743772"/>
    <w:rsid w:val="007505A4"/>
    <w:rsid w:val="00757500"/>
    <w:rsid w:val="00765D4D"/>
    <w:rsid w:val="007712AB"/>
    <w:rsid w:val="00792DD9"/>
    <w:rsid w:val="00797D64"/>
    <w:rsid w:val="007A329F"/>
    <w:rsid w:val="007B257C"/>
    <w:rsid w:val="007C5F6F"/>
    <w:rsid w:val="007E06C8"/>
    <w:rsid w:val="00800374"/>
    <w:rsid w:val="00801D5C"/>
    <w:rsid w:val="00803413"/>
    <w:rsid w:val="00815F90"/>
    <w:rsid w:val="00817230"/>
    <w:rsid w:val="008313A9"/>
    <w:rsid w:val="00831BDE"/>
    <w:rsid w:val="008324FD"/>
    <w:rsid w:val="0084006D"/>
    <w:rsid w:val="008427A3"/>
    <w:rsid w:val="008439C6"/>
    <w:rsid w:val="00850CDD"/>
    <w:rsid w:val="00854BE0"/>
    <w:rsid w:val="00867675"/>
    <w:rsid w:val="00871419"/>
    <w:rsid w:val="00882D84"/>
    <w:rsid w:val="00891137"/>
    <w:rsid w:val="008949C9"/>
    <w:rsid w:val="008B46E7"/>
    <w:rsid w:val="008B5615"/>
    <w:rsid w:val="008B5FC5"/>
    <w:rsid w:val="008C5789"/>
    <w:rsid w:val="008C6934"/>
    <w:rsid w:val="008E2043"/>
    <w:rsid w:val="008F471E"/>
    <w:rsid w:val="008F490F"/>
    <w:rsid w:val="00915BFC"/>
    <w:rsid w:val="00924D31"/>
    <w:rsid w:val="009470E1"/>
    <w:rsid w:val="00957AAC"/>
    <w:rsid w:val="0096085C"/>
    <w:rsid w:val="0099746A"/>
    <w:rsid w:val="009B104D"/>
    <w:rsid w:val="009B401F"/>
    <w:rsid w:val="009B5F01"/>
    <w:rsid w:val="009B682C"/>
    <w:rsid w:val="009B6F89"/>
    <w:rsid w:val="009C4944"/>
    <w:rsid w:val="009C50EC"/>
    <w:rsid w:val="009C702B"/>
    <w:rsid w:val="009D63F7"/>
    <w:rsid w:val="009F70E6"/>
    <w:rsid w:val="00A2053C"/>
    <w:rsid w:val="00A24516"/>
    <w:rsid w:val="00A33971"/>
    <w:rsid w:val="00A372E8"/>
    <w:rsid w:val="00A53765"/>
    <w:rsid w:val="00A5473B"/>
    <w:rsid w:val="00A63D6C"/>
    <w:rsid w:val="00A82D00"/>
    <w:rsid w:val="00AA7B50"/>
    <w:rsid w:val="00AB5811"/>
    <w:rsid w:val="00AC4DC7"/>
    <w:rsid w:val="00AC7500"/>
    <w:rsid w:val="00AD644F"/>
    <w:rsid w:val="00AE6C73"/>
    <w:rsid w:val="00AF3A21"/>
    <w:rsid w:val="00B0160C"/>
    <w:rsid w:val="00B10160"/>
    <w:rsid w:val="00B149AC"/>
    <w:rsid w:val="00B260B3"/>
    <w:rsid w:val="00B3063E"/>
    <w:rsid w:val="00B31CA8"/>
    <w:rsid w:val="00B3333C"/>
    <w:rsid w:val="00B375D3"/>
    <w:rsid w:val="00B42244"/>
    <w:rsid w:val="00B751BD"/>
    <w:rsid w:val="00B919EF"/>
    <w:rsid w:val="00BA739A"/>
    <w:rsid w:val="00BA7532"/>
    <w:rsid w:val="00BB05F6"/>
    <w:rsid w:val="00BC69B4"/>
    <w:rsid w:val="00BD0170"/>
    <w:rsid w:val="00BD0EA0"/>
    <w:rsid w:val="00BD2F41"/>
    <w:rsid w:val="00BD3278"/>
    <w:rsid w:val="00BE05D8"/>
    <w:rsid w:val="00BE1D55"/>
    <w:rsid w:val="00BE3FD0"/>
    <w:rsid w:val="00BF2B59"/>
    <w:rsid w:val="00BF5708"/>
    <w:rsid w:val="00C1192A"/>
    <w:rsid w:val="00C236CF"/>
    <w:rsid w:val="00C25824"/>
    <w:rsid w:val="00C26D5B"/>
    <w:rsid w:val="00C31AF5"/>
    <w:rsid w:val="00C35699"/>
    <w:rsid w:val="00C45D3F"/>
    <w:rsid w:val="00C64435"/>
    <w:rsid w:val="00C658BF"/>
    <w:rsid w:val="00C70DD9"/>
    <w:rsid w:val="00C73C94"/>
    <w:rsid w:val="00C77084"/>
    <w:rsid w:val="00C8622E"/>
    <w:rsid w:val="00C86505"/>
    <w:rsid w:val="00C876E2"/>
    <w:rsid w:val="00C87D45"/>
    <w:rsid w:val="00C90B3B"/>
    <w:rsid w:val="00CC03C7"/>
    <w:rsid w:val="00CC0501"/>
    <w:rsid w:val="00CC4BE4"/>
    <w:rsid w:val="00CC7D6F"/>
    <w:rsid w:val="00CD1B07"/>
    <w:rsid w:val="00CE25C3"/>
    <w:rsid w:val="00CE4363"/>
    <w:rsid w:val="00CE591F"/>
    <w:rsid w:val="00D00C1D"/>
    <w:rsid w:val="00D07A90"/>
    <w:rsid w:val="00D143A0"/>
    <w:rsid w:val="00D225DF"/>
    <w:rsid w:val="00D66344"/>
    <w:rsid w:val="00D70433"/>
    <w:rsid w:val="00D80118"/>
    <w:rsid w:val="00D8011B"/>
    <w:rsid w:val="00D80812"/>
    <w:rsid w:val="00D819F1"/>
    <w:rsid w:val="00DA4A6C"/>
    <w:rsid w:val="00DA6C33"/>
    <w:rsid w:val="00DA7EF2"/>
    <w:rsid w:val="00DD1D1E"/>
    <w:rsid w:val="00DD3F21"/>
    <w:rsid w:val="00DD5CD3"/>
    <w:rsid w:val="00DD5FF8"/>
    <w:rsid w:val="00DE5398"/>
    <w:rsid w:val="00E04E87"/>
    <w:rsid w:val="00E1004A"/>
    <w:rsid w:val="00E16E20"/>
    <w:rsid w:val="00E23D9F"/>
    <w:rsid w:val="00E253B5"/>
    <w:rsid w:val="00E277C1"/>
    <w:rsid w:val="00E80413"/>
    <w:rsid w:val="00E81D25"/>
    <w:rsid w:val="00E925B8"/>
    <w:rsid w:val="00E93EC2"/>
    <w:rsid w:val="00E9430B"/>
    <w:rsid w:val="00E97D77"/>
    <w:rsid w:val="00EB378A"/>
    <w:rsid w:val="00EC71B4"/>
    <w:rsid w:val="00ED7AF7"/>
    <w:rsid w:val="00EF0B10"/>
    <w:rsid w:val="00EF3628"/>
    <w:rsid w:val="00F10CF5"/>
    <w:rsid w:val="00F16328"/>
    <w:rsid w:val="00F300E3"/>
    <w:rsid w:val="00F37423"/>
    <w:rsid w:val="00F4764E"/>
    <w:rsid w:val="00F63C65"/>
    <w:rsid w:val="00FA2128"/>
    <w:rsid w:val="00FA2F9A"/>
    <w:rsid w:val="00FC780D"/>
    <w:rsid w:val="00FD6521"/>
    <w:rsid w:val="00FE5EFC"/>
    <w:rsid w:val="00FF27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333FB9"/>
  <w15:chartTrackingRefBased/>
  <w15:docId w15:val="{0F2AADA2-D4C4-466F-9D72-0ADD1836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9C8"/>
    <w:pPr>
      <w:spacing w:line="340" w:lineRule="atLeast"/>
      <w:jc w:val="both"/>
    </w:pPr>
    <w:rPr>
      <w:rFonts w:ascii="Times New Roman" w:eastAsia="Times New Roman" w:hAnsi="Times New Roman"/>
      <w:color w:val="000000"/>
      <w:sz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2549C8"/>
    <w:pPr>
      <w:spacing w:before="240" w:line="240" w:lineRule="auto"/>
      <w:ind w:firstLine="0"/>
      <w:jc w:val="left"/>
    </w:pPr>
    <w:rPr>
      <w:i/>
    </w:rPr>
  </w:style>
  <w:style w:type="paragraph" w:customStyle="1" w:styleId="MDPI12title">
    <w:name w:val="MDPI_1.2_title"/>
    <w:next w:val="MDPI13authornames"/>
    <w:qFormat/>
    <w:rsid w:val="002549C8"/>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2549C8"/>
    <w:pPr>
      <w:spacing w:after="120"/>
      <w:ind w:firstLine="0"/>
      <w:jc w:val="left"/>
    </w:pPr>
    <w:rPr>
      <w:b/>
      <w:snapToGrid/>
    </w:rPr>
  </w:style>
  <w:style w:type="paragraph" w:customStyle="1" w:styleId="MDPI14history">
    <w:name w:val="MDPI_1.4_history"/>
    <w:basedOn w:val="MDPI62Acknowledgments"/>
    <w:next w:val="Normal"/>
    <w:qFormat/>
    <w:rsid w:val="002549C8"/>
    <w:pPr>
      <w:ind w:left="113"/>
      <w:jc w:val="left"/>
    </w:pPr>
    <w:rPr>
      <w:snapToGrid/>
    </w:rPr>
  </w:style>
  <w:style w:type="paragraph" w:customStyle="1" w:styleId="MDPI16affiliation">
    <w:name w:val="MDPI_1.6_affiliation"/>
    <w:basedOn w:val="MDPI62Acknowledgments"/>
    <w:qFormat/>
    <w:rsid w:val="002549C8"/>
    <w:pPr>
      <w:spacing w:before="0"/>
      <w:ind w:left="311" w:hanging="198"/>
      <w:jc w:val="left"/>
    </w:pPr>
    <w:rPr>
      <w:snapToGrid/>
      <w:szCs w:val="18"/>
    </w:rPr>
  </w:style>
  <w:style w:type="paragraph" w:customStyle="1" w:styleId="MDPI17abstract">
    <w:name w:val="MDPI_1.7_abstract"/>
    <w:basedOn w:val="MDPI31text"/>
    <w:next w:val="MDPI18keywords"/>
    <w:qFormat/>
    <w:rsid w:val="002549C8"/>
    <w:pPr>
      <w:spacing w:before="240"/>
      <w:ind w:left="113" w:firstLine="0"/>
    </w:pPr>
    <w:rPr>
      <w:snapToGrid/>
    </w:rPr>
  </w:style>
  <w:style w:type="paragraph" w:customStyle="1" w:styleId="MDPI18keywords">
    <w:name w:val="MDPI_1.8_keywords"/>
    <w:basedOn w:val="MDPI31text"/>
    <w:next w:val="Normal"/>
    <w:qFormat/>
    <w:rsid w:val="002549C8"/>
    <w:pPr>
      <w:spacing w:before="240"/>
      <w:ind w:left="113" w:firstLine="0"/>
    </w:pPr>
  </w:style>
  <w:style w:type="paragraph" w:customStyle="1" w:styleId="MDPI19line">
    <w:name w:val="MDPI_1.9_line"/>
    <w:basedOn w:val="MDPI31text"/>
    <w:qFormat/>
    <w:rsid w:val="002549C8"/>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2549C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2549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549C8"/>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2549C8"/>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2549C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2549C8"/>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2549C8"/>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2549C8"/>
    <w:pPr>
      <w:ind w:firstLine="0"/>
    </w:pPr>
  </w:style>
  <w:style w:type="paragraph" w:customStyle="1" w:styleId="MDPI33textspaceafter">
    <w:name w:val="MDPI_3.3_text_space_after"/>
    <w:basedOn w:val="MDPI31text"/>
    <w:qFormat/>
    <w:rsid w:val="002549C8"/>
    <w:pPr>
      <w:spacing w:after="240"/>
    </w:pPr>
  </w:style>
  <w:style w:type="paragraph" w:customStyle="1" w:styleId="MDPI35textbeforelist">
    <w:name w:val="MDPI_3.5_text_before_list"/>
    <w:basedOn w:val="MDPI31text"/>
    <w:qFormat/>
    <w:rsid w:val="002549C8"/>
    <w:pPr>
      <w:spacing w:after="120"/>
    </w:pPr>
  </w:style>
  <w:style w:type="paragraph" w:customStyle="1" w:styleId="MDPI36textafterlist">
    <w:name w:val="MDPI_3.6_text_after_list"/>
    <w:basedOn w:val="MDPI31text"/>
    <w:qFormat/>
    <w:rsid w:val="002549C8"/>
    <w:pPr>
      <w:spacing w:before="120"/>
    </w:pPr>
  </w:style>
  <w:style w:type="paragraph" w:customStyle="1" w:styleId="MDPI37itemize">
    <w:name w:val="MDPI_3.7_itemize"/>
    <w:basedOn w:val="MDPI31text"/>
    <w:qFormat/>
    <w:rsid w:val="002549C8"/>
    <w:pPr>
      <w:numPr>
        <w:numId w:val="1"/>
      </w:numPr>
      <w:ind w:left="425" w:hanging="425"/>
    </w:pPr>
  </w:style>
  <w:style w:type="paragraph" w:customStyle="1" w:styleId="MDPI38bullet">
    <w:name w:val="MDPI_3.8_bullet"/>
    <w:basedOn w:val="MDPI31text"/>
    <w:qFormat/>
    <w:rsid w:val="002549C8"/>
    <w:pPr>
      <w:numPr>
        <w:numId w:val="2"/>
      </w:numPr>
      <w:ind w:left="425" w:hanging="425"/>
    </w:pPr>
  </w:style>
  <w:style w:type="paragraph" w:customStyle="1" w:styleId="MDPI39equation">
    <w:name w:val="MDPI_3.9_equation"/>
    <w:basedOn w:val="MDPI31text"/>
    <w:qFormat/>
    <w:rsid w:val="002549C8"/>
    <w:pPr>
      <w:spacing w:before="120" w:after="120"/>
      <w:ind w:left="709" w:firstLine="0"/>
      <w:jc w:val="center"/>
    </w:pPr>
  </w:style>
  <w:style w:type="paragraph" w:customStyle="1" w:styleId="MDPI3aequationnumber">
    <w:name w:val="MDPI_3.a_equation_number"/>
    <w:basedOn w:val="MDPI31text"/>
    <w:qFormat/>
    <w:rsid w:val="002549C8"/>
    <w:pPr>
      <w:spacing w:before="120" w:after="120" w:line="240" w:lineRule="auto"/>
      <w:ind w:firstLine="0"/>
      <w:jc w:val="right"/>
    </w:pPr>
  </w:style>
  <w:style w:type="paragraph" w:customStyle="1" w:styleId="MDPI62Acknowledgments">
    <w:name w:val="MDPI_6.2_Acknowledgments"/>
    <w:qFormat/>
    <w:rsid w:val="002549C8"/>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basedOn w:val="MDPI62Acknowledgments"/>
    <w:qFormat/>
    <w:rsid w:val="002549C8"/>
    <w:pPr>
      <w:spacing w:before="240" w:after="120" w:line="260" w:lineRule="atLeast"/>
      <w:ind w:left="425" w:right="425"/>
    </w:pPr>
    <w:rPr>
      <w:snapToGrid/>
      <w:szCs w:val="22"/>
    </w:rPr>
  </w:style>
  <w:style w:type="paragraph" w:customStyle="1" w:styleId="MDPI42tablebody">
    <w:name w:val="MDPI_4.2_table_body"/>
    <w:qFormat/>
    <w:rsid w:val="008949C9"/>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2549C8"/>
    <w:pPr>
      <w:spacing w:before="0"/>
      <w:ind w:left="0" w:right="0"/>
    </w:pPr>
  </w:style>
  <w:style w:type="paragraph" w:customStyle="1" w:styleId="MDPI51figurecaption">
    <w:name w:val="MDPI_5.1_figure_caption"/>
    <w:basedOn w:val="MDPI62Acknowledgments"/>
    <w:qFormat/>
    <w:rsid w:val="002549C8"/>
    <w:pPr>
      <w:spacing w:after="240" w:line="260" w:lineRule="atLeast"/>
      <w:ind w:left="425" w:right="425"/>
    </w:pPr>
    <w:rPr>
      <w:snapToGrid/>
    </w:rPr>
  </w:style>
  <w:style w:type="paragraph" w:customStyle="1" w:styleId="MDPI52figure">
    <w:name w:val="MDPI_5.2_figure"/>
    <w:qFormat/>
    <w:rsid w:val="002549C8"/>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2549C8"/>
    <w:pPr>
      <w:spacing w:before="240"/>
    </w:pPr>
    <w:rPr>
      <w:lang w:eastAsia="en-US"/>
    </w:rPr>
  </w:style>
  <w:style w:type="paragraph" w:customStyle="1" w:styleId="MDPI63AuthorContributions">
    <w:name w:val="MDPI_6.3_AuthorContributions"/>
    <w:basedOn w:val="MDPI62Acknowledgments"/>
    <w:qFormat/>
    <w:rsid w:val="002549C8"/>
    <w:rPr>
      <w:rFonts w:eastAsia="SimSun"/>
      <w:color w:val="auto"/>
      <w:lang w:eastAsia="en-US"/>
    </w:rPr>
  </w:style>
  <w:style w:type="paragraph" w:customStyle="1" w:styleId="MDPI64CoI">
    <w:name w:val="MDPI_6.4_CoI"/>
    <w:basedOn w:val="MDPI62Acknowledgments"/>
    <w:qFormat/>
    <w:rsid w:val="002549C8"/>
  </w:style>
  <w:style w:type="paragraph" w:customStyle="1" w:styleId="MDPIfooterfirstpage">
    <w:name w:val="MDPI_footer_firstpage"/>
    <w:basedOn w:val="Normal"/>
    <w:qFormat/>
    <w:rsid w:val="002549C8"/>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2549C8"/>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basedOn w:val="MDPI31text"/>
    <w:qFormat/>
    <w:rsid w:val="002549C8"/>
    <w:pPr>
      <w:spacing w:before="240" w:after="120"/>
      <w:ind w:firstLine="0"/>
      <w:jc w:val="left"/>
      <w:outlineLvl w:val="2"/>
    </w:pPr>
  </w:style>
  <w:style w:type="paragraph" w:customStyle="1" w:styleId="MDPI21heading1">
    <w:name w:val="MDPI_2.1_heading1"/>
    <w:basedOn w:val="MDPI23heading3"/>
    <w:qFormat/>
    <w:rsid w:val="002549C8"/>
    <w:pPr>
      <w:outlineLvl w:val="0"/>
    </w:pPr>
    <w:rPr>
      <w:b/>
    </w:rPr>
  </w:style>
  <w:style w:type="paragraph" w:customStyle="1" w:styleId="MDPI22heading2">
    <w:name w:val="MDPI_2.2_heading2"/>
    <w:basedOn w:val="Normal"/>
    <w:qFormat/>
    <w:rsid w:val="002549C8"/>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2549C8"/>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2549C8"/>
    <w:pPr>
      <w:spacing w:line="240" w:lineRule="auto"/>
    </w:pPr>
    <w:rPr>
      <w:sz w:val="18"/>
      <w:szCs w:val="18"/>
    </w:rPr>
  </w:style>
  <w:style w:type="character" w:customStyle="1" w:styleId="BalloonTextChar">
    <w:name w:val="Balloon Text Char"/>
    <w:link w:val="BalloonText"/>
    <w:uiPriority w:val="99"/>
    <w:semiHidden/>
    <w:rsid w:val="002549C8"/>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2549C8"/>
  </w:style>
  <w:style w:type="table" w:customStyle="1" w:styleId="MDPI41threelinetable">
    <w:name w:val="MDPI_4.1_three_line_table"/>
    <w:basedOn w:val="TableNormal"/>
    <w:uiPriority w:val="99"/>
    <w:rsid w:val="008949C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AF3A21"/>
    <w:rPr>
      <w:color w:val="0563C1"/>
      <w:u w:val="single"/>
    </w:rPr>
  </w:style>
  <w:style w:type="character" w:customStyle="1" w:styleId="Mentionnonrsolue1">
    <w:name w:val="Mention non résolue1"/>
    <w:uiPriority w:val="99"/>
    <w:semiHidden/>
    <w:unhideWhenUsed/>
    <w:rsid w:val="00891137"/>
    <w:rPr>
      <w:color w:val="605E5C"/>
      <w:shd w:val="clear" w:color="auto" w:fill="E1DFDD"/>
    </w:rPr>
  </w:style>
  <w:style w:type="table" w:styleId="PlainTable4">
    <w:name w:val="Plain Table 4"/>
    <w:basedOn w:val="TableNormal"/>
    <w:uiPriority w:val="44"/>
    <w:rsid w:val="008313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Spacing">
    <w:name w:val="No Spacing"/>
    <w:aliases w:val="Text"/>
    <w:link w:val="NoSpacingChar"/>
    <w:uiPriority w:val="1"/>
    <w:qFormat/>
    <w:rsid w:val="007505A4"/>
    <w:pPr>
      <w:spacing w:line="360" w:lineRule="auto"/>
      <w:jc w:val="both"/>
    </w:pPr>
    <w:rPr>
      <w:rFonts w:ascii="Times New Roman" w:eastAsia="Calibri" w:hAnsi="Times New Roman"/>
      <w:sz w:val="24"/>
      <w:szCs w:val="24"/>
      <w:lang w:eastAsia="en-US"/>
    </w:rPr>
  </w:style>
  <w:style w:type="character" w:customStyle="1" w:styleId="NoSpacingChar">
    <w:name w:val="No Spacing Char"/>
    <w:aliases w:val="Text Char"/>
    <w:link w:val="NoSpacing"/>
    <w:uiPriority w:val="1"/>
    <w:rsid w:val="007505A4"/>
    <w:rPr>
      <w:rFonts w:ascii="Times New Roman" w:eastAsia="Calibri" w:hAnsi="Times New Roman"/>
      <w:sz w:val="24"/>
      <w:szCs w:val="24"/>
      <w:lang w:eastAsia="en-US"/>
    </w:rPr>
  </w:style>
  <w:style w:type="paragraph" w:styleId="HTMLPreformatted">
    <w:name w:val="HTML Preformatted"/>
    <w:basedOn w:val="Normal"/>
    <w:link w:val="HTMLPreformattedChar"/>
    <w:uiPriority w:val="99"/>
    <w:unhideWhenUsed/>
    <w:rsid w:val="00A54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lang w:val="en-GB" w:eastAsia="en-GB"/>
    </w:rPr>
  </w:style>
  <w:style w:type="character" w:customStyle="1" w:styleId="HTMLPreformattedChar">
    <w:name w:val="HTML Preformatted Char"/>
    <w:basedOn w:val="DefaultParagraphFont"/>
    <w:link w:val="HTMLPreformatted"/>
    <w:uiPriority w:val="99"/>
    <w:rsid w:val="00A5473B"/>
    <w:rPr>
      <w:rFonts w:ascii="Courier New" w:eastAsia="Times New Roman" w:hAnsi="Courier New" w:cs="Courier New"/>
    </w:rPr>
  </w:style>
  <w:style w:type="paragraph" w:customStyle="1" w:styleId="xl84">
    <w:name w:val="xl84"/>
    <w:basedOn w:val="Normal"/>
    <w:rsid w:val="00411C29"/>
    <w:pPr>
      <w:shd w:val="clear" w:color="000000" w:fill="DAEEF3"/>
      <w:spacing w:before="100" w:beforeAutospacing="1" w:after="100" w:afterAutospacing="1"/>
    </w:pPr>
    <w:rPr>
      <w:b/>
      <w:bCs/>
      <w:i/>
      <w:iCs/>
      <w:sz w:val="16"/>
      <w:szCs w:val="16"/>
      <w:lang w:eastAsia="fr-FR"/>
    </w:rPr>
  </w:style>
  <w:style w:type="paragraph" w:styleId="ListParagraph">
    <w:name w:val="List Paragraph"/>
    <w:basedOn w:val="Normal"/>
    <w:uiPriority w:val="34"/>
    <w:qFormat/>
    <w:rsid w:val="00197475"/>
    <w:pPr>
      <w:spacing w:line="240" w:lineRule="auto"/>
      <w:ind w:left="720"/>
      <w:contextualSpacing/>
      <w:jc w:val="center"/>
    </w:pPr>
    <w:rPr>
      <w:rFonts w:eastAsiaTheme="minorHAnsi"/>
      <w:color w:val="auto"/>
      <w:sz w:val="22"/>
      <w:szCs w:val="22"/>
      <w:lang w:val="en-CA" w:eastAsia="en-US"/>
    </w:rPr>
  </w:style>
  <w:style w:type="paragraph" w:customStyle="1" w:styleId="xl74">
    <w:name w:val="xl74"/>
    <w:basedOn w:val="Normal"/>
    <w:rsid w:val="003A386B"/>
    <w:pPr>
      <w:spacing w:before="100" w:beforeAutospacing="1" w:after="100" w:afterAutospacing="1"/>
    </w:pPr>
    <w:rPr>
      <w:b/>
      <w:bCs/>
      <w:szCs w:val="24"/>
      <w:lang w:eastAsia="fr-FR"/>
    </w:rPr>
  </w:style>
  <w:style w:type="character" w:customStyle="1" w:styleId="fontstyle01">
    <w:name w:val="fontstyle01"/>
    <w:basedOn w:val="DefaultParagraphFont"/>
    <w:rsid w:val="003A386B"/>
    <w:rPr>
      <w:rFonts w:ascii="Calibri" w:hAnsi="Calibri" w:hint="default"/>
      <w:b w:val="0"/>
      <w:bCs w:val="0"/>
      <w:i w:val="0"/>
      <w:iCs w:val="0"/>
      <w:color w:val="000000"/>
      <w:sz w:val="22"/>
      <w:szCs w:val="22"/>
    </w:rPr>
  </w:style>
  <w:style w:type="paragraph" w:styleId="Bibliography">
    <w:name w:val="Bibliography"/>
    <w:basedOn w:val="Normal"/>
    <w:next w:val="Normal"/>
    <w:uiPriority w:val="37"/>
    <w:unhideWhenUsed/>
    <w:rsid w:val="00DA4A6C"/>
    <w:pPr>
      <w:tabs>
        <w:tab w:val="left" w:pos="504"/>
      </w:tabs>
      <w:spacing w:after="240" w:line="240" w:lineRule="atLeast"/>
      <w:ind w:left="504" w:hanging="504"/>
    </w:pPr>
  </w:style>
  <w:style w:type="character" w:styleId="CommentReference">
    <w:name w:val="annotation reference"/>
    <w:basedOn w:val="DefaultParagraphFont"/>
    <w:uiPriority w:val="99"/>
    <w:semiHidden/>
    <w:unhideWhenUsed/>
    <w:rsid w:val="00BF2B59"/>
    <w:rPr>
      <w:sz w:val="16"/>
      <w:szCs w:val="16"/>
    </w:rPr>
  </w:style>
  <w:style w:type="paragraph" w:styleId="CommentText">
    <w:name w:val="annotation text"/>
    <w:basedOn w:val="Normal"/>
    <w:link w:val="CommentTextChar"/>
    <w:uiPriority w:val="99"/>
    <w:semiHidden/>
    <w:unhideWhenUsed/>
    <w:rsid w:val="00BF2B59"/>
    <w:pPr>
      <w:spacing w:line="240" w:lineRule="auto"/>
    </w:pPr>
    <w:rPr>
      <w:sz w:val="20"/>
    </w:rPr>
  </w:style>
  <w:style w:type="character" w:customStyle="1" w:styleId="CommentTextChar">
    <w:name w:val="Comment Text Char"/>
    <w:basedOn w:val="DefaultParagraphFont"/>
    <w:link w:val="CommentText"/>
    <w:uiPriority w:val="99"/>
    <w:semiHidden/>
    <w:rsid w:val="00BF2B59"/>
    <w:rPr>
      <w:rFonts w:ascii="Times New Roman" w:eastAsia="Times New Roman" w:hAnsi="Times New Roman"/>
      <w:color w:val="000000"/>
      <w:lang w:val="en-US" w:eastAsia="de-DE"/>
    </w:rPr>
  </w:style>
  <w:style w:type="paragraph" w:styleId="CommentSubject">
    <w:name w:val="annotation subject"/>
    <w:basedOn w:val="CommentText"/>
    <w:next w:val="CommentText"/>
    <w:link w:val="CommentSubjectChar"/>
    <w:uiPriority w:val="99"/>
    <w:semiHidden/>
    <w:unhideWhenUsed/>
    <w:rsid w:val="00BF2B59"/>
    <w:rPr>
      <w:b/>
      <w:bCs/>
    </w:rPr>
  </w:style>
  <w:style w:type="character" w:customStyle="1" w:styleId="CommentSubjectChar">
    <w:name w:val="Comment Subject Char"/>
    <w:basedOn w:val="CommentTextChar"/>
    <w:link w:val="CommentSubject"/>
    <w:uiPriority w:val="99"/>
    <w:semiHidden/>
    <w:rsid w:val="00BF2B59"/>
    <w:rPr>
      <w:rFonts w:ascii="Times New Roman" w:eastAsia="Times New Roman" w:hAnsi="Times New Roman"/>
      <w:b/>
      <w:bCs/>
      <w:color w:val="000000"/>
      <w:lang w:val="en-US" w:eastAsia="de-DE"/>
    </w:rPr>
  </w:style>
  <w:style w:type="character" w:customStyle="1" w:styleId="Mentionnonrsolue2">
    <w:name w:val="Mention non résolue2"/>
    <w:basedOn w:val="DefaultParagraphFont"/>
    <w:uiPriority w:val="99"/>
    <w:semiHidden/>
    <w:unhideWhenUsed/>
    <w:rsid w:val="00BC69B4"/>
    <w:rPr>
      <w:color w:val="808080"/>
      <w:shd w:val="clear" w:color="auto" w:fill="E6E6E6"/>
    </w:rPr>
  </w:style>
  <w:style w:type="character" w:customStyle="1" w:styleId="yhemcb">
    <w:name w:val="yhemcb"/>
    <w:basedOn w:val="DefaultParagraphFont"/>
    <w:rsid w:val="007A3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6190">
      <w:bodyDiv w:val="1"/>
      <w:marLeft w:val="0"/>
      <w:marRight w:val="0"/>
      <w:marTop w:val="0"/>
      <w:marBottom w:val="0"/>
      <w:divBdr>
        <w:top w:val="none" w:sz="0" w:space="0" w:color="auto"/>
        <w:left w:val="none" w:sz="0" w:space="0" w:color="auto"/>
        <w:bottom w:val="none" w:sz="0" w:space="0" w:color="auto"/>
        <w:right w:val="none" w:sz="0" w:space="0" w:color="auto"/>
      </w:divBdr>
    </w:div>
    <w:div w:id="367998409">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en.aubert@inserm.fr" TargetMode="External"/><Relationship Id="rId13" Type="http://schemas.openxmlformats.org/officeDocument/2006/relationships/hyperlink" Target="mailto:cecily.kelleher@ucd.ie" TargetMode="External"/><Relationship Id="rId18" Type="http://schemas.openxmlformats.org/officeDocument/2006/relationships/hyperlink" Target="mailto:s.mensink-bout@erasmusmc.nl" TargetMode="External"/><Relationship Id="rId26" Type="http://schemas.openxmlformats.org/officeDocument/2006/relationships/header" Target="header2.xml"/><Relationship Id="rId39"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yperlink" Target="mailto:caroline.relton@bristol.ac.uk" TargetMode="External"/><Relationship Id="rId34" Type="http://schemas.openxmlformats.org/officeDocument/2006/relationships/chart" Target="charts/chart3.xml"/><Relationship Id="rId42" Type="http://schemas.openxmlformats.org/officeDocument/2006/relationships/hyperlink" Target="https://doi.org/10.1111/jhn.12654" TargetMode="External"/><Relationship Id="rId7" Type="http://schemas.openxmlformats.org/officeDocument/2006/relationships/endnotes" Target="endnotes.xml"/><Relationship Id="rId12" Type="http://schemas.openxmlformats.org/officeDocument/2006/relationships/hyperlink" Target="mailto:ling-wei.chen@ucd.ie" TargetMode="External"/><Relationship Id="rId17" Type="http://schemas.openxmlformats.org/officeDocument/2006/relationships/hyperlink" Target="mailto:agnieszka.jankowska@imp.lodz.pl" TargetMode="External"/><Relationship Id="rId25" Type="http://schemas.openxmlformats.org/officeDocument/2006/relationships/header" Target="header1.xml"/><Relationship Id="rId33" Type="http://schemas.openxmlformats.org/officeDocument/2006/relationships/chart" Target="charts/chart2.xml"/><Relationship Id="rId38"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hyperlink" Target="mailto:wojciech.hanke@imp.lodz.pl" TargetMode="External"/><Relationship Id="rId20" Type="http://schemas.openxmlformats.org/officeDocument/2006/relationships/hyperlink" Target="mailto:matthew.suderman@bristol.ac.uk" TargetMode="External"/><Relationship Id="rId29" Type="http://schemas.openxmlformats.org/officeDocument/2006/relationships/footer" Target="footer2.xml"/><Relationship Id="rId41" Type="http://schemas.openxmlformats.org/officeDocument/2006/relationships/hyperlink" Target="http://www.bristol.ac.uk/alspac/researchers/our-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than.bernard@inserm.fr" TargetMode="External"/><Relationship Id="rId24" Type="http://schemas.openxmlformats.org/officeDocument/2006/relationships/hyperlink" Target="mailto:cc@mrc.soton.ac.uk" TargetMode="External"/><Relationship Id="rId32" Type="http://schemas.openxmlformats.org/officeDocument/2006/relationships/chart" Target="charts/chart1.xml"/><Relationship Id="rId37" Type="http://schemas.openxmlformats.org/officeDocument/2006/relationships/chart" Target="charts/chart6.xml"/><Relationship Id="rId40" Type="http://schemas.openxmlformats.org/officeDocument/2006/relationships/hyperlink" Target="http://www.healthydietforhealthylife.e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inga.polanska@imp.lodz.pl" TargetMode="External"/><Relationship Id="rId23" Type="http://schemas.openxmlformats.org/officeDocument/2006/relationships/hyperlink" Target="mailto:nch@mrc.soton.ac.uk" TargetMode="External"/><Relationship Id="rId28" Type="http://schemas.openxmlformats.org/officeDocument/2006/relationships/header" Target="header3.xml"/><Relationship Id="rId36" Type="http://schemas.openxmlformats.org/officeDocument/2006/relationships/chart" Target="charts/chart5.xml"/><Relationship Id="rId10" Type="http://schemas.openxmlformats.org/officeDocument/2006/relationships/hyperlink" Target="mailto:blandine.delauzon@inserm.fr" TargetMode="External"/><Relationship Id="rId19" Type="http://schemas.openxmlformats.org/officeDocument/2006/relationships/hyperlink" Target="mailto:l.duijts@erasmusmc.nl" TargetMode="External"/><Relationship Id="rId31" Type="http://schemas.openxmlformats.org/officeDocument/2006/relationships/image" Target="media/image4.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ne.forhan@inserm.fr" TargetMode="External"/><Relationship Id="rId14" Type="http://schemas.openxmlformats.org/officeDocument/2006/relationships/hyperlink" Target="mailto:catherine.phillips@ucd.ie" TargetMode="External"/><Relationship Id="rId22" Type="http://schemas.openxmlformats.org/officeDocument/2006/relationships/hyperlink" Target="mailto:src@mrc.soton.ac.uk" TargetMode="External"/><Relationship Id="rId27" Type="http://schemas.openxmlformats.org/officeDocument/2006/relationships/footer" Target="footer1.xml"/><Relationship Id="rId30" Type="http://schemas.openxmlformats.org/officeDocument/2006/relationships/image" Target="media/image3.jpeg"/><Relationship Id="rId35" Type="http://schemas.openxmlformats.org/officeDocument/2006/relationships/chart" Target="charts/chart4.xml"/><Relationship Id="rId43" Type="http://schemas.openxmlformats.org/officeDocument/2006/relationships/image" Target="media/image5.png"/><Relationship Id="rId48" Type="http://schemas.microsoft.com/office/2016/09/relationships/commentsIds" Target="commentsIds.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en%20Aubert\Downloads\nutrients-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tudiant\Documents\Adrien%20A\ALPHABET\Statistic%20analysis\Daily%20frequencies\Daily%20frequencies%20corresponding%20to%20food%20group%20quintiles_v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tudiant\Documents\Adrien%20A\ALPHABET\Statistic%20analysis\Daily%20frequencies\Daily%20frequencies%20corresponding%20to%20food%20group%20quintiles_v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tudiant\Documents\Adrien%20A\ALPHABET\Statistic%20analysis\Daily%20frequencies\Daily%20frequencies%20corresponding%20to%20food%20group%20quintiles_v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tudiant\Documents\Adrien%20A\ALPHABET\Statistic%20analysis\Daily%20frequencies\Daily%20frequencies%20corresponding%20to%20food%20group%20quintiles_v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tudiant\Documents\Adrien%20A\ALPHABET\Statistic%20analysis\Daily%20frequencies\Daily%20frequencies%20corresponding%20to%20food%20group%20quintiles_v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tudiant\Documents\Adrien%20A\ALPHABET\Statistic%20analysis\Daily%20frequencies\Daily%20frequencies%20corresponding%20to%20food%20group%20quintiles_v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tudiant\Documents\Adrien%20A\ALPHABET\Statistic%20analysis\Daily%20frequencies\Daily%20frequencies%20corresponding%20to%20food%20group%20quintiles_v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Etudiant\Documents\Adrien%20A\ALPHABET\Statistic%20analysis\Daily%20frequencies\Daily%20frequencies%20corresponding%20to%20food%20group%20quintiles_v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300905935145204E-2"/>
          <c:y val="0"/>
          <c:w val="0.87491982039769078"/>
          <c:h val="0.92489835499234818"/>
        </c:manualLayout>
      </c:layout>
      <c:barChart>
        <c:barDir val="bar"/>
        <c:grouping val="stacked"/>
        <c:varyColors val="0"/>
        <c:ser>
          <c:idx val="0"/>
          <c:order val="0"/>
          <c:tx>
            <c:strRef>
              <c:f>Feuil1!$A$65</c:f>
              <c:strCache>
                <c:ptCount val="1"/>
                <c:pt idx="0">
                  <c:v>Quintile 1</c:v>
                </c:pt>
              </c:strCache>
            </c:strRef>
          </c:tx>
          <c:spPr>
            <a:noFill/>
            <a:ln>
              <a:noFill/>
            </a:ln>
            <a:effectLst/>
          </c:spPr>
          <c:invertIfNegative val="0"/>
          <c:cat>
            <c:numRef>
              <c:f>Feuil1!$B$64:$J$64</c:f>
              <c:numCache>
                <c:formatCode>General</c:formatCode>
                <c:ptCount val="9"/>
                <c:pt idx="0">
                  <c:v>1</c:v>
                </c:pt>
                <c:pt idx="1">
                  <c:v>2</c:v>
                </c:pt>
                <c:pt idx="2">
                  <c:v>3</c:v>
                </c:pt>
                <c:pt idx="3">
                  <c:v>4</c:v>
                </c:pt>
                <c:pt idx="4">
                  <c:v>5</c:v>
                </c:pt>
                <c:pt idx="5">
                  <c:v>6</c:v>
                </c:pt>
                <c:pt idx="6">
                  <c:v>7</c:v>
                </c:pt>
                <c:pt idx="7">
                  <c:v>8</c:v>
                </c:pt>
                <c:pt idx="8">
                  <c:v>9</c:v>
                </c:pt>
              </c:numCache>
            </c:numRef>
          </c:cat>
          <c:val>
            <c:numRef>
              <c:f>Feuil1!$B$65:$J$65</c:f>
              <c:numCache>
                <c:formatCode>0.0</c:formatCode>
                <c:ptCount val="9"/>
                <c:pt idx="0" formatCode="General">
                  <c:v>2.6</c:v>
                </c:pt>
                <c:pt idx="1">
                  <c:v>2.5</c:v>
                </c:pt>
                <c:pt idx="2" formatCode="General">
                  <c:v>2.4</c:v>
                </c:pt>
                <c:pt idx="3" formatCode="General">
                  <c:v>1.7</c:v>
                </c:pt>
                <c:pt idx="4" formatCode="General">
                  <c:v>1.2</c:v>
                </c:pt>
                <c:pt idx="5">
                  <c:v>1.8</c:v>
                </c:pt>
                <c:pt idx="6">
                  <c:v>1.4</c:v>
                </c:pt>
                <c:pt idx="7">
                  <c:v>1.3</c:v>
                </c:pt>
                <c:pt idx="8" formatCode="General">
                  <c:v>2.5</c:v>
                </c:pt>
              </c:numCache>
            </c:numRef>
          </c:val>
          <c:extLst>
            <c:ext xmlns:c16="http://schemas.microsoft.com/office/drawing/2014/chart" uri="{C3380CC4-5D6E-409C-BE32-E72D297353CC}">
              <c16:uniqueId val="{00000000-2DD0-49D5-BBA0-8A19AB59F72E}"/>
            </c:ext>
          </c:extLst>
        </c:ser>
        <c:ser>
          <c:idx val="1"/>
          <c:order val="1"/>
          <c:tx>
            <c:strRef>
              <c:f>Feuil1!$A$66</c:f>
              <c:strCache>
                <c:ptCount val="1"/>
                <c:pt idx="0">
                  <c:v>Quintile 2</c:v>
                </c:pt>
              </c:strCache>
            </c:strRef>
          </c:tx>
          <c:spPr>
            <a:solidFill>
              <a:schemeClr val="bg1">
                <a:lumMod val="85000"/>
              </a:schemeClr>
            </a:solidFill>
            <a:ln>
              <a:solidFill>
                <a:schemeClr val="bg1">
                  <a:lumMod val="85000"/>
                </a:schemeClr>
              </a:solidFill>
            </a:ln>
            <a:effectLst/>
          </c:spPr>
          <c:invertIfNegative val="0"/>
          <c:cat>
            <c:numRef>
              <c:f>Feuil1!$B$64:$J$64</c:f>
              <c:numCache>
                <c:formatCode>General</c:formatCode>
                <c:ptCount val="9"/>
                <c:pt idx="0">
                  <c:v>1</c:v>
                </c:pt>
                <c:pt idx="1">
                  <c:v>2</c:v>
                </c:pt>
                <c:pt idx="2">
                  <c:v>3</c:v>
                </c:pt>
                <c:pt idx="3">
                  <c:v>4</c:v>
                </c:pt>
                <c:pt idx="4">
                  <c:v>5</c:v>
                </c:pt>
                <c:pt idx="5">
                  <c:v>6</c:v>
                </c:pt>
                <c:pt idx="6">
                  <c:v>7</c:v>
                </c:pt>
                <c:pt idx="7">
                  <c:v>8</c:v>
                </c:pt>
                <c:pt idx="8">
                  <c:v>9</c:v>
                </c:pt>
              </c:numCache>
            </c:numRef>
          </c:cat>
          <c:val>
            <c:numRef>
              <c:f>Feuil1!$B$66:$J$66</c:f>
              <c:numCache>
                <c:formatCode>0.0</c:formatCode>
                <c:ptCount val="9"/>
                <c:pt idx="0" formatCode="General">
                  <c:v>0.6</c:v>
                </c:pt>
                <c:pt idx="1">
                  <c:v>0.7</c:v>
                </c:pt>
                <c:pt idx="2" formatCode="General">
                  <c:v>0.7</c:v>
                </c:pt>
                <c:pt idx="3" formatCode="General">
                  <c:v>0.6</c:v>
                </c:pt>
                <c:pt idx="4" formatCode="General">
                  <c:v>0.2</c:v>
                </c:pt>
                <c:pt idx="5">
                  <c:v>1</c:v>
                </c:pt>
                <c:pt idx="6">
                  <c:v>0.9</c:v>
                </c:pt>
                <c:pt idx="7">
                  <c:v>0.6</c:v>
                </c:pt>
                <c:pt idx="8" formatCode="General">
                  <c:v>0.6</c:v>
                </c:pt>
              </c:numCache>
            </c:numRef>
          </c:val>
          <c:extLst>
            <c:ext xmlns:c16="http://schemas.microsoft.com/office/drawing/2014/chart" uri="{C3380CC4-5D6E-409C-BE32-E72D297353CC}">
              <c16:uniqueId val="{00000001-2DD0-49D5-BBA0-8A19AB59F72E}"/>
            </c:ext>
          </c:extLst>
        </c:ser>
        <c:ser>
          <c:idx val="2"/>
          <c:order val="2"/>
          <c:tx>
            <c:strRef>
              <c:f>Feuil1!$A$67</c:f>
              <c:strCache>
                <c:ptCount val="1"/>
                <c:pt idx="0">
                  <c:v>Quintile 3</c:v>
                </c:pt>
              </c:strCache>
            </c:strRef>
          </c:tx>
          <c:spPr>
            <a:solidFill>
              <a:schemeClr val="bg1">
                <a:lumMod val="50000"/>
              </a:schemeClr>
            </a:solidFill>
            <a:ln>
              <a:solidFill>
                <a:schemeClr val="bg1">
                  <a:lumMod val="50000"/>
                </a:schemeClr>
              </a:solidFill>
            </a:ln>
            <a:effectLst/>
          </c:spPr>
          <c:invertIfNegative val="0"/>
          <c:cat>
            <c:numRef>
              <c:f>Feuil1!$B$64:$J$64</c:f>
              <c:numCache>
                <c:formatCode>General</c:formatCode>
                <c:ptCount val="9"/>
                <c:pt idx="0">
                  <c:v>1</c:v>
                </c:pt>
                <c:pt idx="1">
                  <c:v>2</c:v>
                </c:pt>
                <c:pt idx="2">
                  <c:v>3</c:v>
                </c:pt>
                <c:pt idx="3">
                  <c:v>4</c:v>
                </c:pt>
                <c:pt idx="4">
                  <c:v>5</c:v>
                </c:pt>
                <c:pt idx="5">
                  <c:v>6</c:v>
                </c:pt>
                <c:pt idx="6">
                  <c:v>7</c:v>
                </c:pt>
                <c:pt idx="7">
                  <c:v>8</c:v>
                </c:pt>
                <c:pt idx="8">
                  <c:v>9</c:v>
                </c:pt>
              </c:numCache>
            </c:numRef>
          </c:cat>
          <c:val>
            <c:numRef>
              <c:f>Feuil1!$B$67:$J$67</c:f>
              <c:numCache>
                <c:formatCode>0.0</c:formatCode>
                <c:ptCount val="9"/>
                <c:pt idx="0" formatCode="General">
                  <c:v>0.6</c:v>
                </c:pt>
                <c:pt idx="1">
                  <c:v>0.7</c:v>
                </c:pt>
                <c:pt idx="2" formatCode="General">
                  <c:v>0.6</c:v>
                </c:pt>
                <c:pt idx="3" formatCode="General">
                  <c:v>1</c:v>
                </c:pt>
                <c:pt idx="4" formatCode="General">
                  <c:v>0.2</c:v>
                </c:pt>
                <c:pt idx="5">
                  <c:v>0.9</c:v>
                </c:pt>
                <c:pt idx="6">
                  <c:v>0.4</c:v>
                </c:pt>
                <c:pt idx="7">
                  <c:v>0.6</c:v>
                </c:pt>
                <c:pt idx="8" formatCode="General">
                  <c:v>0.5</c:v>
                </c:pt>
              </c:numCache>
            </c:numRef>
          </c:val>
          <c:extLst>
            <c:ext xmlns:c16="http://schemas.microsoft.com/office/drawing/2014/chart" uri="{C3380CC4-5D6E-409C-BE32-E72D297353CC}">
              <c16:uniqueId val="{00000002-2DD0-49D5-BBA0-8A19AB59F72E}"/>
            </c:ext>
          </c:extLst>
        </c:ser>
        <c:ser>
          <c:idx val="3"/>
          <c:order val="3"/>
          <c:tx>
            <c:strRef>
              <c:f>Feuil1!$A$68</c:f>
              <c:strCache>
                <c:ptCount val="1"/>
                <c:pt idx="0">
                  <c:v>Quintile 4</c:v>
                </c:pt>
              </c:strCache>
            </c:strRef>
          </c:tx>
          <c:spPr>
            <a:solidFill>
              <a:schemeClr val="tx1"/>
            </a:solidFill>
            <a:ln>
              <a:solidFill>
                <a:schemeClr val="tx1"/>
              </a:solidFill>
            </a:ln>
            <a:effectLst/>
          </c:spPr>
          <c:invertIfNegative val="0"/>
          <c:cat>
            <c:numRef>
              <c:f>Feuil1!$B$64:$J$64</c:f>
              <c:numCache>
                <c:formatCode>General</c:formatCode>
                <c:ptCount val="9"/>
                <c:pt idx="0">
                  <c:v>1</c:v>
                </c:pt>
                <c:pt idx="1">
                  <c:v>2</c:v>
                </c:pt>
                <c:pt idx="2">
                  <c:v>3</c:v>
                </c:pt>
                <c:pt idx="3">
                  <c:v>4</c:v>
                </c:pt>
                <c:pt idx="4">
                  <c:v>5</c:v>
                </c:pt>
                <c:pt idx="5">
                  <c:v>6</c:v>
                </c:pt>
                <c:pt idx="6">
                  <c:v>7</c:v>
                </c:pt>
                <c:pt idx="7">
                  <c:v>8</c:v>
                </c:pt>
                <c:pt idx="8">
                  <c:v>9</c:v>
                </c:pt>
              </c:numCache>
            </c:numRef>
          </c:cat>
          <c:val>
            <c:numRef>
              <c:f>Feuil1!$B$68:$J$68</c:f>
              <c:numCache>
                <c:formatCode>0.0</c:formatCode>
                <c:ptCount val="9"/>
                <c:pt idx="0" formatCode="General">
                  <c:v>1.1000000000000001</c:v>
                </c:pt>
                <c:pt idx="1">
                  <c:v>1.1000000000000001</c:v>
                </c:pt>
                <c:pt idx="2" formatCode="General">
                  <c:v>1</c:v>
                </c:pt>
                <c:pt idx="3" formatCode="General">
                  <c:v>1.3</c:v>
                </c:pt>
                <c:pt idx="4" formatCode="General">
                  <c:v>0.5</c:v>
                </c:pt>
                <c:pt idx="5">
                  <c:v>1.6</c:v>
                </c:pt>
                <c:pt idx="6">
                  <c:v>0.7</c:v>
                </c:pt>
                <c:pt idx="7">
                  <c:v>0.6</c:v>
                </c:pt>
                <c:pt idx="8" formatCode="General">
                  <c:v>0.6</c:v>
                </c:pt>
              </c:numCache>
            </c:numRef>
          </c:val>
          <c:extLst>
            <c:ext xmlns:c16="http://schemas.microsoft.com/office/drawing/2014/chart" uri="{C3380CC4-5D6E-409C-BE32-E72D297353CC}">
              <c16:uniqueId val="{00000003-2DD0-49D5-BBA0-8A19AB59F72E}"/>
            </c:ext>
          </c:extLst>
        </c:ser>
        <c:dLbls>
          <c:showLegendKey val="0"/>
          <c:showVal val="0"/>
          <c:showCatName val="0"/>
          <c:showSerName val="0"/>
          <c:showPercent val="0"/>
          <c:showBubbleSize val="0"/>
        </c:dLbls>
        <c:gapWidth val="150"/>
        <c:overlap val="100"/>
        <c:axId val="277717016"/>
        <c:axId val="277717408"/>
      </c:barChart>
      <c:barChart>
        <c:barDir val="col"/>
        <c:grouping val="stacked"/>
        <c:varyColors val="0"/>
        <c:ser>
          <c:idx val="4"/>
          <c:order val="4"/>
          <c:tx>
            <c:strRef>
              <c:f>Feuil1!$A$69</c:f>
              <c:strCache>
                <c:ptCount val="1"/>
              </c:strCache>
            </c:strRef>
          </c:tx>
          <c:spPr>
            <a:noFill/>
            <a:ln>
              <a:noFill/>
            </a:ln>
            <a:effectLst/>
          </c:spPr>
          <c:invertIfNegative val="0"/>
          <c:cat>
            <c:numRef>
              <c:f>Feuil1!$B$64:$J$64</c:f>
              <c:numCache>
                <c:formatCode>General</c:formatCode>
                <c:ptCount val="9"/>
                <c:pt idx="0">
                  <c:v>1</c:v>
                </c:pt>
                <c:pt idx="1">
                  <c:v>2</c:v>
                </c:pt>
                <c:pt idx="2">
                  <c:v>3</c:v>
                </c:pt>
                <c:pt idx="3">
                  <c:v>4</c:v>
                </c:pt>
                <c:pt idx="4">
                  <c:v>5</c:v>
                </c:pt>
                <c:pt idx="5">
                  <c:v>6</c:v>
                </c:pt>
                <c:pt idx="6">
                  <c:v>7</c:v>
                </c:pt>
                <c:pt idx="7">
                  <c:v>8</c:v>
                </c:pt>
                <c:pt idx="8">
                  <c:v>9</c:v>
                </c:pt>
              </c:numCache>
            </c:numRef>
          </c:cat>
          <c:val>
            <c:numRef>
              <c:f>Feuil1!$B$69:$J$69</c:f>
              <c:numCache>
                <c:formatCode>0.0</c:formatCode>
                <c:ptCount val="9"/>
                <c:pt idx="0" formatCode="General">
                  <c:v>1</c:v>
                </c:pt>
                <c:pt idx="1">
                  <c:v>2</c:v>
                </c:pt>
                <c:pt idx="2" formatCode="General">
                  <c:v>3</c:v>
                </c:pt>
                <c:pt idx="3" formatCode="General">
                  <c:v>4</c:v>
                </c:pt>
                <c:pt idx="4" formatCode="General">
                  <c:v>5</c:v>
                </c:pt>
                <c:pt idx="5">
                  <c:v>6</c:v>
                </c:pt>
                <c:pt idx="6">
                  <c:v>7</c:v>
                </c:pt>
                <c:pt idx="7" formatCode="General">
                  <c:v>8</c:v>
                </c:pt>
                <c:pt idx="8" formatCode="General">
                  <c:v>9</c:v>
                </c:pt>
              </c:numCache>
            </c:numRef>
          </c:val>
          <c:extLst>
            <c:ext xmlns:c16="http://schemas.microsoft.com/office/drawing/2014/chart" uri="{C3380CC4-5D6E-409C-BE32-E72D297353CC}">
              <c16:uniqueId val="{00000004-2DD0-49D5-BBA0-8A19AB59F72E}"/>
            </c:ext>
          </c:extLst>
        </c:ser>
        <c:dLbls>
          <c:showLegendKey val="0"/>
          <c:showVal val="0"/>
          <c:showCatName val="0"/>
          <c:showSerName val="0"/>
          <c:showPercent val="0"/>
          <c:showBubbleSize val="0"/>
        </c:dLbls>
        <c:gapWidth val="150"/>
        <c:overlap val="100"/>
        <c:axId val="277718584"/>
        <c:axId val="277717800"/>
      </c:barChart>
      <c:catAx>
        <c:axId val="277717016"/>
        <c:scaling>
          <c:orientation val="minMax"/>
        </c:scaling>
        <c:delete val="0"/>
        <c:axPos val="l"/>
        <c:numFmt formatCode="General" sourceLinked="1"/>
        <c:majorTickMark val="out"/>
        <c:minorTickMark val="none"/>
        <c:tickLblPos val="none"/>
        <c:spPr>
          <a:solidFill>
            <a:schemeClr val="bg1">
              <a:lumMod val="50000"/>
            </a:schemeClr>
          </a:solid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7717408"/>
        <c:crosses val="autoZero"/>
        <c:auto val="1"/>
        <c:lblAlgn val="ctr"/>
        <c:lblOffset val="100"/>
        <c:noMultiLvlLbl val="0"/>
      </c:catAx>
      <c:valAx>
        <c:axId val="27771740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low"/>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77717016"/>
        <c:crosses val="autoZero"/>
        <c:crossBetween val="between"/>
      </c:valAx>
      <c:valAx>
        <c:axId val="277717800"/>
        <c:scaling>
          <c:orientation val="minMax"/>
          <c:max val="9"/>
        </c:scaling>
        <c:delete val="0"/>
        <c:axPos val="r"/>
        <c:numFmt formatCode="General" sourceLinked="1"/>
        <c:majorTickMark val="out"/>
        <c:minorTickMark val="none"/>
        <c:tickLblPos val="none"/>
        <c:spPr>
          <a:solidFill>
            <a:schemeClr val="bg1">
              <a:lumMod val="50000"/>
            </a:schemeClr>
          </a:solid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7718584"/>
        <c:crosses val="max"/>
        <c:crossBetween val="between"/>
      </c:valAx>
      <c:catAx>
        <c:axId val="277718584"/>
        <c:scaling>
          <c:orientation val="minMax"/>
        </c:scaling>
        <c:delete val="1"/>
        <c:axPos val="b"/>
        <c:numFmt formatCode="General" sourceLinked="1"/>
        <c:majorTickMark val="out"/>
        <c:minorTickMark val="none"/>
        <c:tickLblPos val="nextTo"/>
        <c:crossAx val="27771780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913448735019974E-2"/>
          <c:y val="0"/>
          <c:w val="0.87017310252996005"/>
          <c:h val="0.92489835499234818"/>
        </c:manualLayout>
      </c:layout>
      <c:barChart>
        <c:barDir val="bar"/>
        <c:grouping val="stacked"/>
        <c:varyColors val="0"/>
        <c:ser>
          <c:idx val="0"/>
          <c:order val="0"/>
          <c:tx>
            <c:strRef>
              <c:f>Feuil1!$M$65</c:f>
              <c:strCache>
                <c:ptCount val="1"/>
                <c:pt idx="0">
                  <c:v>Quintile 1</c:v>
                </c:pt>
              </c:strCache>
            </c:strRef>
          </c:tx>
          <c:spPr>
            <a:noFill/>
            <a:ln>
              <a:noFill/>
            </a:ln>
            <a:effectLst/>
          </c:spPr>
          <c:invertIfNegative val="0"/>
          <c:cat>
            <c:numRef>
              <c:f>Feuil1!$N$64:$V$64</c:f>
              <c:numCache>
                <c:formatCode>General</c:formatCode>
                <c:ptCount val="9"/>
                <c:pt idx="0">
                  <c:v>1</c:v>
                </c:pt>
                <c:pt idx="1">
                  <c:v>2</c:v>
                </c:pt>
                <c:pt idx="2">
                  <c:v>3</c:v>
                </c:pt>
                <c:pt idx="3">
                  <c:v>4</c:v>
                </c:pt>
                <c:pt idx="4">
                  <c:v>5</c:v>
                </c:pt>
                <c:pt idx="5">
                  <c:v>6</c:v>
                </c:pt>
                <c:pt idx="6">
                  <c:v>7</c:v>
                </c:pt>
                <c:pt idx="7">
                  <c:v>8</c:v>
                </c:pt>
                <c:pt idx="8">
                  <c:v>9</c:v>
                </c:pt>
              </c:numCache>
            </c:numRef>
          </c:cat>
          <c:val>
            <c:numRef>
              <c:f>Feuil1!$N$65:$V$65</c:f>
              <c:numCache>
                <c:formatCode>0.0</c:formatCode>
                <c:ptCount val="9"/>
                <c:pt idx="0" formatCode="General">
                  <c:v>1.7</c:v>
                </c:pt>
                <c:pt idx="1">
                  <c:v>1.6</c:v>
                </c:pt>
                <c:pt idx="2" formatCode="General">
                  <c:v>1.8</c:v>
                </c:pt>
                <c:pt idx="3" formatCode="General">
                  <c:v>2.2000000000000002</c:v>
                </c:pt>
                <c:pt idx="4" formatCode="General">
                  <c:v>1.5</c:v>
                </c:pt>
                <c:pt idx="5">
                  <c:v>1.7</c:v>
                </c:pt>
                <c:pt idx="6">
                  <c:v>0.7</c:v>
                </c:pt>
                <c:pt idx="7">
                  <c:v>0.7</c:v>
                </c:pt>
                <c:pt idx="8" formatCode="General">
                  <c:v>0.9</c:v>
                </c:pt>
              </c:numCache>
            </c:numRef>
          </c:val>
          <c:extLst>
            <c:ext xmlns:c16="http://schemas.microsoft.com/office/drawing/2014/chart" uri="{C3380CC4-5D6E-409C-BE32-E72D297353CC}">
              <c16:uniqueId val="{00000000-AA79-4AEA-A153-2211A5CD6EB1}"/>
            </c:ext>
          </c:extLst>
        </c:ser>
        <c:ser>
          <c:idx val="1"/>
          <c:order val="1"/>
          <c:tx>
            <c:strRef>
              <c:f>Feuil1!$M$66</c:f>
              <c:strCache>
                <c:ptCount val="1"/>
                <c:pt idx="0">
                  <c:v>Quintile 2</c:v>
                </c:pt>
              </c:strCache>
            </c:strRef>
          </c:tx>
          <c:spPr>
            <a:solidFill>
              <a:schemeClr val="bg1">
                <a:lumMod val="85000"/>
              </a:schemeClr>
            </a:solidFill>
            <a:ln>
              <a:solidFill>
                <a:schemeClr val="bg1">
                  <a:lumMod val="85000"/>
                </a:schemeClr>
              </a:solidFill>
            </a:ln>
            <a:effectLst/>
          </c:spPr>
          <c:invertIfNegative val="0"/>
          <c:cat>
            <c:numRef>
              <c:f>Feuil1!$N$64:$V$64</c:f>
              <c:numCache>
                <c:formatCode>General</c:formatCode>
                <c:ptCount val="9"/>
                <c:pt idx="0">
                  <c:v>1</c:v>
                </c:pt>
                <c:pt idx="1">
                  <c:v>2</c:v>
                </c:pt>
                <c:pt idx="2">
                  <c:v>3</c:v>
                </c:pt>
                <c:pt idx="3">
                  <c:v>4</c:v>
                </c:pt>
                <c:pt idx="4">
                  <c:v>5</c:v>
                </c:pt>
                <c:pt idx="5">
                  <c:v>6</c:v>
                </c:pt>
                <c:pt idx="6">
                  <c:v>7</c:v>
                </c:pt>
                <c:pt idx="7">
                  <c:v>8</c:v>
                </c:pt>
                <c:pt idx="8">
                  <c:v>9</c:v>
                </c:pt>
              </c:numCache>
            </c:numRef>
          </c:cat>
          <c:val>
            <c:numRef>
              <c:f>Feuil1!$N$66:$V$66</c:f>
              <c:numCache>
                <c:formatCode>0.0</c:formatCode>
                <c:ptCount val="9"/>
                <c:pt idx="0" formatCode="General">
                  <c:v>0.6</c:v>
                </c:pt>
                <c:pt idx="1">
                  <c:v>0.7</c:v>
                </c:pt>
                <c:pt idx="2" formatCode="General">
                  <c:v>0.8</c:v>
                </c:pt>
                <c:pt idx="3" formatCode="General">
                  <c:v>1</c:v>
                </c:pt>
                <c:pt idx="4" formatCode="General">
                  <c:v>0.7</c:v>
                </c:pt>
                <c:pt idx="5">
                  <c:v>0.8</c:v>
                </c:pt>
                <c:pt idx="6">
                  <c:v>0.6</c:v>
                </c:pt>
                <c:pt idx="7">
                  <c:v>0.6</c:v>
                </c:pt>
                <c:pt idx="8" formatCode="General">
                  <c:v>0.4</c:v>
                </c:pt>
              </c:numCache>
            </c:numRef>
          </c:val>
          <c:extLst>
            <c:ext xmlns:c16="http://schemas.microsoft.com/office/drawing/2014/chart" uri="{C3380CC4-5D6E-409C-BE32-E72D297353CC}">
              <c16:uniqueId val="{00000001-AA79-4AEA-A153-2211A5CD6EB1}"/>
            </c:ext>
          </c:extLst>
        </c:ser>
        <c:ser>
          <c:idx val="2"/>
          <c:order val="2"/>
          <c:tx>
            <c:strRef>
              <c:f>Feuil1!$M$67</c:f>
              <c:strCache>
                <c:ptCount val="1"/>
                <c:pt idx="0">
                  <c:v>Quintile 3</c:v>
                </c:pt>
              </c:strCache>
            </c:strRef>
          </c:tx>
          <c:spPr>
            <a:solidFill>
              <a:schemeClr val="bg1">
                <a:lumMod val="50000"/>
              </a:schemeClr>
            </a:solidFill>
            <a:ln>
              <a:solidFill>
                <a:schemeClr val="bg1">
                  <a:lumMod val="50000"/>
                </a:schemeClr>
              </a:solidFill>
            </a:ln>
            <a:effectLst/>
          </c:spPr>
          <c:invertIfNegative val="0"/>
          <c:cat>
            <c:numRef>
              <c:f>Feuil1!$N$64:$V$64</c:f>
              <c:numCache>
                <c:formatCode>General</c:formatCode>
                <c:ptCount val="9"/>
                <c:pt idx="0">
                  <c:v>1</c:v>
                </c:pt>
                <c:pt idx="1">
                  <c:v>2</c:v>
                </c:pt>
                <c:pt idx="2">
                  <c:v>3</c:v>
                </c:pt>
                <c:pt idx="3">
                  <c:v>4</c:v>
                </c:pt>
                <c:pt idx="4">
                  <c:v>5</c:v>
                </c:pt>
                <c:pt idx="5">
                  <c:v>6</c:v>
                </c:pt>
                <c:pt idx="6">
                  <c:v>7</c:v>
                </c:pt>
                <c:pt idx="7">
                  <c:v>8</c:v>
                </c:pt>
                <c:pt idx="8">
                  <c:v>9</c:v>
                </c:pt>
              </c:numCache>
            </c:numRef>
          </c:cat>
          <c:val>
            <c:numRef>
              <c:f>Feuil1!$N$67:$V$67</c:f>
              <c:numCache>
                <c:formatCode>0.0</c:formatCode>
                <c:ptCount val="9"/>
                <c:pt idx="0" formatCode="General">
                  <c:v>0.7</c:v>
                </c:pt>
                <c:pt idx="1">
                  <c:v>0.7</c:v>
                </c:pt>
                <c:pt idx="2" formatCode="General">
                  <c:v>0.7</c:v>
                </c:pt>
                <c:pt idx="3" formatCode="General">
                  <c:v>0.9</c:v>
                </c:pt>
                <c:pt idx="4" formatCode="General">
                  <c:v>0.7</c:v>
                </c:pt>
                <c:pt idx="5">
                  <c:v>1</c:v>
                </c:pt>
                <c:pt idx="6">
                  <c:v>0.5</c:v>
                </c:pt>
                <c:pt idx="7">
                  <c:v>0.6</c:v>
                </c:pt>
                <c:pt idx="8" formatCode="General">
                  <c:v>0.2</c:v>
                </c:pt>
              </c:numCache>
            </c:numRef>
          </c:val>
          <c:extLst>
            <c:ext xmlns:c16="http://schemas.microsoft.com/office/drawing/2014/chart" uri="{C3380CC4-5D6E-409C-BE32-E72D297353CC}">
              <c16:uniqueId val="{00000002-AA79-4AEA-A153-2211A5CD6EB1}"/>
            </c:ext>
          </c:extLst>
        </c:ser>
        <c:ser>
          <c:idx val="3"/>
          <c:order val="3"/>
          <c:tx>
            <c:strRef>
              <c:f>Feuil1!$M$68</c:f>
              <c:strCache>
                <c:ptCount val="1"/>
                <c:pt idx="0">
                  <c:v>Quintile 4</c:v>
                </c:pt>
              </c:strCache>
            </c:strRef>
          </c:tx>
          <c:spPr>
            <a:solidFill>
              <a:schemeClr val="tx1"/>
            </a:solidFill>
            <a:ln>
              <a:solidFill>
                <a:schemeClr val="tx1"/>
              </a:solidFill>
            </a:ln>
            <a:effectLst/>
          </c:spPr>
          <c:invertIfNegative val="0"/>
          <c:cat>
            <c:numRef>
              <c:f>Feuil1!$N$64:$V$64</c:f>
              <c:numCache>
                <c:formatCode>General</c:formatCode>
                <c:ptCount val="9"/>
                <c:pt idx="0">
                  <c:v>1</c:v>
                </c:pt>
                <c:pt idx="1">
                  <c:v>2</c:v>
                </c:pt>
                <c:pt idx="2">
                  <c:v>3</c:v>
                </c:pt>
                <c:pt idx="3">
                  <c:v>4</c:v>
                </c:pt>
                <c:pt idx="4">
                  <c:v>5</c:v>
                </c:pt>
                <c:pt idx="5">
                  <c:v>6</c:v>
                </c:pt>
                <c:pt idx="6">
                  <c:v>7</c:v>
                </c:pt>
                <c:pt idx="7">
                  <c:v>8</c:v>
                </c:pt>
                <c:pt idx="8">
                  <c:v>9</c:v>
                </c:pt>
              </c:numCache>
            </c:numRef>
          </c:cat>
          <c:val>
            <c:numRef>
              <c:f>Feuil1!$N$68:$V$68</c:f>
              <c:numCache>
                <c:formatCode>0.0</c:formatCode>
                <c:ptCount val="9"/>
                <c:pt idx="0" formatCode="General">
                  <c:v>0.8</c:v>
                </c:pt>
                <c:pt idx="1">
                  <c:v>0.8</c:v>
                </c:pt>
                <c:pt idx="2" formatCode="General">
                  <c:v>0.9</c:v>
                </c:pt>
                <c:pt idx="3" formatCode="General">
                  <c:v>1.4</c:v>
                </c:pt>
                <c:pt idx="4" formatCode="General">
                  <c:v>1</c:v>
                </c:pt>
                <c:pt idx="5">
                  <c:v>1.3</c:v>
                </c:pt>
                <c:pt idx="6">
                  <c:v>0.78</c:v>
                </c:pt>
                <c:pt idx="7">
                  <c:v>0.8</c:v>
                </c:pt>
                <c:pt idx="8" formatCode="General">
                  <c:v>0.5</c:v>
                </c:pt>
              </c:numCache>
            </c:numRef>
          </c:val>
          <c:extLst>
            <c:ext xmlns:c16="http://schemas.microsoft.com/office/drawing/2014/chart" uri="{C3380CC4-5D6E-409C-BE32-E72D297353CC}">
              <c16:uniqueId val="{00000003-AA79-4AEA-A153-2211A5CD6EB1}"/>
            </c:ext>
          </c:extLst>
        </c:ser>
        <c:dLbls>
          <c:showLegendKey val="0"/>
          <c:showVal val="0"/>
          <c:showCatName val="0"/>
          <c:showSerName val="0"/>
          <c:showPercent val="0"/>
          <c:showBubbleSize val="0"/>
        </c:dLbls>
        <c:gapWidth val="150"/>
        <c:overlap val="100"/>
        <c:axId val="277713096"/>
        <c:axId val="277711528"/>
      </c:barChart>
      <c:barChart>
        <c:barDir val="col"/>
        <c:grouping val="stacked"/>
        <c:varyColors val="0"/>
        <c:ser>
          <c:idx val="4"/>
          <c:order val="4"/>
          <c:tx>
            <c:strRef>
              <c:f>Feuil1!$M$69</c:f>
              <c:strCache>
                <c:ptCount val="1"/>
              </c:strCache>
            </c:strRef>
          </c:tx>
          <c:spPr>
            <a:noFill/>
            <a:ln>
              <a:noFill/>
            </a:ln>
            <a:effectLst/>
          </c:spPr>
          <c:invertIfNegative val="0"/>
          <c:cat>
            <c:numRef>
              <c:f>Feuil1!$N$64:$V$64</c:f>
              <c:numCache>
                <c:formatCode>General</c:formatCode>
                <c:ptCount val="9"/>
                <c:pt idx="0">
                  <c:v>1</c:v>
                </c:pt>
                <c:pt idx="1">
                  <c:v>2</c:v>
                </c:pt>
                <c:pt idx="2">
                  <c:v>3</c:v>
                </c:pt>
                <c:pt idx="3">
                  <c:v>4</c:v>
                </c:pt>
                <c:pt idx="4">
                  <c:v>5</c:v>
                </c:pt>
                <c:pt idx="5">
                  <c:v>6</c:v>
                </c:pt>
                <c:pt idx="6">
                  <c:v>7</c:v>
                </c:pt>
                <c:pt idx="7">
                  <c:v>8</c:v>
                </c:pt>
                <c:pt idx="8">
                  <c:v>9</c:v>
                </c:pt>
              </c:numCache>
            </c:numRef>
          </c:cat>
          <c:val>
            <c:numRef>
              <c:f>Feuil1!$N$69:$V$69</c:f>
              <c:numCache>
                <c:formatCode>0.0</c:formatCode>
                <c:ptCount val="9"/>
                <c:pt idx="0" formatCode="General">
                  <c:v>1</c:v>
                </c:pt>
                <c:pt idx="1">
                  <c:v>2</c:v>
                </c:pt>
                <c:pt idx="2" formatCode="General">
                  <c:v>3</c:v>
                </c:pt>
                <c:pt idx="3" formatCode="General">
                  <c:v>4</c:v>
                </c:pt>
                <c:pt idx="4" formatCode="General">
                  <c:v>5</c:v>
                </c:pt>
                <c:pt idx="5">
                  <c:v>6</c:v>
                </c:pt>
                <c:pt idx="6">
                  <c:v>7</c:v>
                </c:pt>
                <c:pt idx="7">
                  <c:v>8</c:v>
                </c:pt>
                <c:pt idx="8">
                  <c:v>9</c:v>
                </c:pt>
              </c:numCache>
            </c:numRef>
          </c:val>
          <c:extLst>
            <c:ext xmlns:c16="http://schemas.microsoft.com/office/drawing/2014/chart" uri="{C3380CC4-5D6E-409C-BE32-E72D297353CC}">
              <c16:uniqueId val="{00000004-AA79-4AEA-A153-2211A5CD6EB1}"/>
            </c:ext>
          </c:extLst>
        </c:ser>
        <c:dLbls>
          <c:showLegendKey val="0"/>
          <c:showVal val="0"/>
          <c:showCatName val="0"/>
          <c:showSerName val="0"/>
          <c:showPercent val="0"/>
          <c:showBubbleSize val="0"/>
        </c:dLbls>
        <c:gapWidth val="150"/>
        <c:overlap val="100"/>
        <c:axId val="277712704"/>
        <c:axId val="277711920"/>
      </c:barChart>
      <c:catAx>
        <c:axId val="277713096"/>
        <c:scaling>
          <c:orientation val="minMax"/>
        </c:scaling>
        <c:delete val="0"/>
        <c:axPos val="l"/>
        <c:numFmt formatCode="General" sourceLinked="1"/>
        <c:majorTickMark val="out"/>
        <c:minorTickMark val="none"/>
        <c:tickLblPos val="none"/>
        <c:spPr>
          <a:solidFill>
            <a:schemeClr val="bg1">
              <a:lumMod val="50000"/>
            </a:schemeClr>
          </a:solid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711528"/>
        <c:crosses val="autoZero"/>
        <c:auto val="1"/>
        <c:lblAlgn val="ctr"/>
        <c:lblOffset val="100"/>
        <c:noMultiLvlLbl val="0"/>
      </c:catAx>
      <c:valAx>
        <c:axId val="27771152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7713096"/>
        <c:crosses val="autoZero"/>
        <c:crossBetween val="between"/>
      </c:valAx>
      <c:valAx>
        <c:axId val="277711920"/>
        <c:scaling>
          <c:orientation val="minMax"/>
          <c:max val="9"/>
        </c:scaling>
        <c:delete val="0"/>
        <c:axPos val="r"/>
        <c:numFmt formatCode="General" sourceLinked="1"/>
        <c:majorTickMark val="out"/>
        <c:minorTickMark val="none"/>
        <c:tickLblPos val="none"/>
        <c:spPr>
          <a:solidFill>
            <a:schemeClr val="bg1">
              <a:lumMod val="50000"/>
            </a:schemeClr>
          </a:solid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7712704"/>
        <c:crosses val="max"/>
        <c:crossBetween val="between"/>
      </c:valAx>
      <c:catAx>
        <c:axId val="277712704"/>
        <c:scaling>
          <c:orientation val="minMax"/>
        </c:scaling>
        <c:delete val="1"/>
        <c:axPos val="b"/>
        <c:numFmt formatCode="General" sourceLinked="1"/>
        <c:majorTickMark val="out"/>
        <c:minorTickMark val="none"/>
        <c:tickLblPos val="nextTo"/>
        <c:crossAx val="27771192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083333333333334E-2"/>
          <c:y val="0"/>
          <c:w val="0.9458333333333333"/>
          <c:h val="0.92489835499234818"/>
        </c:manualLayout>
      </c:layout>
      <c:barChart>
        <c:barDir val="bar"/>
        <c:grouping val="stacked"/>
        <c:varyColors val="0"/>
        <c:ser>
          <c:idx val="0"/>
          <c:order val="0"/>
          <c:tx>
            <c:strRef>
              <c:f>Feuil1!$Y$65</c:f>
              <c:strCache>
                <c:ptCount val="1"/>
                <c:pt idx="0">
                  <c:v>Quintile 1</c:v>
                </c:pt>
              </c:strCache>
            </c:strRef>
          </c:tx>
          <c:spPr>
            <a:noFill/>
            <a:ln>
              <a:noFill/>
            </a:ln>
            <a:effectLst/>
          </c:spPr>
          <c:invertIfNegative val="0"/>
          <c:cat>
            <c:numRef>
              <c:f>Feuil1!$Z$64:$AH$64</c:f>
              <c:numCache>
                <c:formatCode>General</c:formatCode>
                <c:ptCount val="9"/>
                <c:pt idx="0">
                  <c:v>1</c:v>
                </c:pt>
                <c:pt idx="1">
                  <c:v>2</c:v>
                </c:pt>
                <c:pt idx="2">
                  <c:v>3</c:v>
                </c:pt>
                <c:pt idx="3">
                  <c:v>4</c:v>
                </c:pt>
                <c:pt idx="4">
                  <c:v>5</c:v>
                </c:pt>
                <c:pt idx="5">
                  <c:v>6</c:v>
                </c:pt>
                <c:pt idx="6">
                  <c:v>7</c:v>
                </c:pt>
                <c:pt idx="7">
                  <c:v>8</c:v>
                </c:pt>
                <c:pt idx="8">
                  <c:v>9</c:v>
                </c:pt>
              </c:numCache>
            </c:numRef>
          </c:cat>
          <c:val>
            <c:numRef>
              <c:f>Feuil1!$Z$65:$AH$65</c:f>
              <c:numCache>
                <c:formatCode>0.0</c:formatCode>
                <c:ptCount val="9"/>
                <c:pt idx="0" formatCode="General">
                  <c:v>1.4</c:v>
                </c:pt>
                <c:pt idx="1">
                  <c:v>1.3</c:v>
                </c:pt>
                <c:pt idx="2" formatCode="General">
                  <c:v>1</c:v>
                </c:pt>
                <c:pt idx="3" formatCode="General">
                  <c:v>1.7</c:v>
                </c:pt>
                <c:pt idx="4" formatCode="General">
                  <c:v>1.4</c:v>
                </c:pt>
                <c:pt idx="5">
                  <c:v>1.5</c:v>
                </c:pt>
                <c:pt idx="6">
                  <c:v>0.8</c:v>
                </c:pt>
                <c:pt idx="7">
                  <c:v>0.8</c:v>
                </c:pt>
                <c:pt idx="8" formatCode="General">
                  <c:v>0.4</c:v>
                </c:pt>
              </c:numCache>
            </c:numRef>
          </c:val>
          <c:extLst>
            <c:ext xmlns:c16="http://schemas.microsoft.com/office/drawing/2014/chart" uri="{C3380CC4-5D6E-409C-BE32-E72D297353CC}">
              <c16:uniqueId val="{00000000-FC0A-44CA-A98F-4DAA3F677F5B}"/>
            </c:ext>
          </c:extLst>
        </c:ser>
        <c:ser>
          <c:idx val="1"/>
          <c:order val="1"/>
          <c:tx>
            <c:strRef>
              <c:f>Feuil1!$Y$66</c:f>
              <c:strCache>
                <c:ptCount val="1"/>
                <c:pt idx="0">
                  <c:v>Quintile 2</c:v>
                </c:pt>
              </c:strCache>
            </c:strRef>
          </c:tx>
          <c:spPr>
            <a:solidFill>
              <a:schemeClr val="bg1">
                <a:lumMod val="85000"/>
              </a:schemeClr>
            </a:solidFill>
            <a:ln>
              <a:solidFill>
                <a:schemeClr val="bg1">
                  <a:lumMod val="85000"/>
                </a:schemeClr>
              </a:solidFill>
            </a:ln>
            <a:effectLst/>
          </c:spPr>
          <c:invertIfNegative val="0"/>
          <c:cat>
            <c:numRef>
              <c:f>Feuil1!$Z$64:$AH$64</c:f>
              <c:numCache>
                <c:formatCode>General</c:formatCode>
                <c:ptCount val="9"/>
                <c:pt idx="0">
                  <c:v>1</c:v>
                </c:pt>
                <c:pt idx="1">
                  <c:v>2</c:v>
                </c:pt>
                <c:pt idx="2">
                  <c:v>3</c:v>
                </c:pt>
                <c:pt idx="3">
                  <c:v>4</c:v>
                </c:pt>
                <c:pt idx="4">
                  <c:v>5</c:v>
                </c:pt>
                <c:pt idx="5">
                  <c:v>6</c:v>
                </c:pt>
                <c:pt idx="6">
                  <c:v>7</c:v>
                </c:pt>
                <c:pt idx="7">
                  <c:v>8</c:v>
                </c:pt>
                <c:pt idx="8">
                  <c:v>9</c:v>
                </c:pt>
              </c:numCache>
            </c:numRef>
          </c:cat>
          <c:val>
            <c:numRef>
              <c:f>Feuil1!$Z$66:$AH$66</c:f>
              <c:numCache>
                <c:formatCode>0.0</c:formatCode>
                <c:ptCount val="9"/>
                <c:pt idx="0" formatCode="General">
                  <c:v>0.8</c:v>
                </c:pt>
                <c:pt idx="1">
                  <c:v>0.8</c:v>
                </c:pt>
                <c:pt idx="2" formatCode="General">
                  <c:v>0.7</c:v>
                </c:pt>
                <c:pt idx="3" formatCode="General">
                  <c:v>0.9</c:v>
                </c:pt>
                <c:pt idx="4" formatCode="General">
                  <c:v>0.5</c:v>
                </c:pt>
                <c:pt idx="5">
                  <c:v>0.8</c:v>
                </c:pt>
                <c:pt idx="6">
                  <c:v>0.5</c:v>
                </c:pt>
                <c:pt idx="7">
                  <c:v>0.6</c:v>
                </c:pt>
                <c:pt idx="8" formatCode="General">
                  <c:v>0.5</c:v>
                </c:pt>
              </c:numCache>
            </c:numRef>
          </c:val>
          <c:extLst>
            <c:ext xmlns:c16="http://schemas.microsoft.com/office/drawing/2014/chart" uri="{C3380CC4-5D6E-409C-BE32-E72D297353CC}">
              <c16:uniqueId val="{00000001-FC0A-44CA-A98F-4DAA3F677F5B}"/>
            </c:ext>
          </c:extLst>
        </c:ser>
        <c:ser>
          <c:idx val="2"/>
          <c:order val="2"/>
          <c:tx>
            <c:strRef>
              <c:f>Feuil1!$Y$67</c:f>
              <c:strCache>
                <c:ptCount val="1"/>
                <c:pt idx="0">
                  <c:v>Quintile 3</c:v>
                </c:pt>
              </c:strCache>
            </c:strRef>
          </c:tx>
          <c:spPr>
            <a:solidFill>
              <a:schemeClr val="bg1">
                <a:lumMod val="50000"/>
              </a:schemeClr>
            </a:solidFill>
            <a:ln>
              <a:solidFill>
                <a:schemeClr val="bg1">
                  <a:lumMod val="50000"/>
                </a:schemeClr>
              </a:solidFill>
            </a:ln>
            <a:effectLst/>
          </c:spPr>
          <c:invertIfNegative val="0"/>
          <c:cat>
            <c:numRef>
              <c:f>Feuil1!$Z$64:$AH$64</c:f>
              <c:numCache>
                <c:formatCode>General</c:formatCode>
                <c:ptCount val="9"/>
                <c:pt idx="0">
                  <c:v>1</c:v>
                </c:pt>
                <c:pt idx="1">
                  <c:v>2</c:v>
                </c:pt>
                <c:pt idx="2">
                  <c:v>3</c:v>
                </c:pt>
                <c:pt idx="3">
                  <c:v>4</c:v>
                </c:pt>
                <c:pt idx="4">
                  <c:v>5</c:v>
                </c:pt>
                <c:pt idx="5">
                  <c:v>6</c:v>
                </c:pt>
                <c:pt idx="6">
                  <c:v>7</c:v>
                </c:pt>
                <c:pt idx="7">
                  <c:v>8</c:v>
                </c:pt>
                <c:pt idx="8">
                  <c:v>9</c:v>
                </c:pt>
              </c:numCache>
            </c:numRef>
          </c:cat>
          <c:val>
            <c:numRef>
              <c:f>Feuil1!$Z$67:$AH$67</c:f>
              <c:numCache>
                <c:formatCode>0.0</c:formatCode>
                <c:ptCount val="9"/>
                <c:pt idx="0" formatCode="General">
                  <c:v>0.9</c:v>
                </c:pt>
                <c:pt idx="1">
                  <c:v>0.8</c:v>
                </c:pt>
                <c:pt idx="2" formatCode="General">
                  <c:v>0.7</c:v>
                </c:pt>
                <c:pt idx="3" formatCode="General">
                  <c:v>1</c:v>
                </c:pt>
                <c:pt idx="4" formatCode="General">
                  <c:v>0.5</c:v>
                </c:pt>
                <c:pt idx="5">
                  <c:v>1</c:v>
                </c:pt>
                <c:pt idx="6">
                  <c:v>0.8</c:v>
                </c:pt>
                <c:pt idx="7">
                  <c:v>0.7</c:v>
                </c:pt>
                <c:pt idx="8" formatCode="General">
                  <c:v>0.6</c:v>
                </c:pt>
              </c:numCache>
            </c:numRef>
          </c:val>
          <c:extLst>
            <c:ext xmlns:c16="http://schemas.microsoft.com/office/drawing/2014/chart" uri="{C3380CC4-5D6E-409C-BE32-E72D297353CC}">
              <c16:uniqueId val="{00000002-FC0A-44CA-A98F-4DAA3F677F5B}"/>
            </c:ext>
          </c:extLst>
        </c:ser>
        <c:ser>
          <c:idx val="3"/>
          <c:order val="3"/>
          <c:tx>
            <c:strRef>
              <c:f>Feuil1!$Y$68</c:f>
              <c:strCache>
                <c:ptCount val="1"/>
                <c:pt idx="0">
                  <c:v>Quintile 4</c:v>
                </c:pt>
              </c:strCache>
            </c:strRef>
          </c:tx>
          <c:spPr>
            <a:solidFill>
              <a:schemeClr val="tx1"/>
            </a:solidFill>
            <a:ln>
              <a:solidFill>
                <a:schemeClr val="tx1"/>
              </a:solidFill>
            </a:ln>
            <a:effectLst/>
          </c:spPr>
          <c:invertIfNegative val="0"/>
          <c:cat>
            <c:numRef>
              <c:f>Feuil1!$Z$64:$AH$64</c:f>
              <c:numCache>
                <c:formatCode>General</c:formatCode>
                <c:ptCount val="9"/>
                <c:pt idx="0">
                  <c:v>1</c:v>
                </c:pt>
                <c:pt idx="1">
                  <c:v>2</c:v>
                </c:pt>
                <c:pt idx="2">
                  <c:v>3</c:v>
                </c:pt>
                <c:pt idx="3">
                  <c:v>4</c:v>
                </c:pt>
                <c:pt idx="4">
                  <c:v>5</c:v>
                </c:pt>
                <c:pt idx="5">
                  <c:v>6</c:v>
                </c:pt>
                <c:pt idx="6">
                  <c:v>7</c:v>
                </c:pt>
                <c:pt idx="7">
                  <c:v>8</c:v>
                </c:pt>
                <c:pt idx="8">
                  <c:v>9</c:v>
                </c:pt>
              </c:numCache>
            </c:numRef>
          </c:cat>
          <c:val>
            <c:numRef>
              <c:f>Feuil1!$Z$68:$AH$68</c:f>
              <c:numCache>
                <c:formatCode>0.0</c:formatCode>
                <c:ptCount val="9"/>
                <c:pt idx="0" formatCode="General">
                  <c:v>1.3</c:v>
                </c:pt>
                <c:pt idx="1">
                  <c:v>1.2</c:v>
                </c:pt>
                <c:pt idx="2" formatCode="General">
                  <c:v>1</c:v>
                </c:pt>
                <c:pt idx="3" formatCode="General">
                  <c:v>1.3</c:v>
                </c:pt>
                <c:pt idx="4" formatCode="General">
                  <c:v>0.7</c:v>
                </c:pt>
                <c:pt idx="5">
                  <c:v>1.5</c:v>
                </c:pt>
                <c:pt idx="6">
                  <c:v>1.4</c:v>
                </c:pt>
                <c:pt idx="7">
                  <c:v>1.2</c:v>
                </c:pt>
                <c:pt idx="8" formatCode="General">
                  <c:v>0.5</c:v>
                </c:pt>
              </c:numCache>
            </c:numRef>
          </c:val>
          <c:extLst>
            <c:ext xmlns:c16="http://schemas.microsoft.com/office/drawing/2014/chart" uri="{C3380CC4-5D6E-409C-BE32-E72D297353CC}">
              <c16:uniqueId val="{00000003-FC0A-44CA-A98F-4DAA3F677F5B}"/>
            </c:ext>
          </c:extLst>
        </c:ser>
        <c:dLbls>
          <c:showLegendKey val="0"/>
          <c:showVal val="0"/>
          <c:showCatName val="0"/>
          <c:showSerName val="0"/>
          <c:showPercent val="0"/>
          <c:showBubbleSize val="0"/>
        </c:dLbls>
        <c:gapWidth val="150"/>
        <c:overlap val="100"/>
        <c:axId val="343818496"/>
        <c:axId val="343823200"/>
      </c:barChart>
      <c:barChart>
        <c:barDir val="col"/>
        <c:grouping val="stacked"/>
        <c:varyColors val="0"/>
        <c:ser>
          <c:idx val="4"/>
          <c:order val="4"/>
          <c:tx>
            <c:strRef>
              <c:f>Feuil1!$Y$69</c:f>
              <c:strCache>
                <c:ptCount val="1"/>
              </c:strCache>
            </c:strRef>
          </c:tx>
          <c:spPr>
            <a:noFill/>
            <a:ln>
              <a:noFill/>
            </a:ln>
            <a:effectLst/>
          </c:spPr>
          <c:invertIfNegative val="0"/>
          <c:cat>
            <c:numRef>
              <c:f>Feuil1!$Z$64:$AH$64</c:f>
              <c:numCache>
                <c:formatCode>General</c:formatCode>
                <c:ptCount val="9"/>
                <c:pt idx="0">
                  <c:v>1</c:v>
                </c:pt>
                <c:pt idx="1">
                  <c:v>2</c:v>
                </c:pt>
                <c:pt idx="2">
                  <c:v>3</c:v>
                </c:pt>
                <c:pt idx="3">
                  <c:v>4</c:v>
                </c:pt>
                <c:pt idx="4">
                  <c:v>5</c:v>
                </c:pt>
                <c:pt idx="5">
                  <c:v>6</c:v>
                </c:pt>
                <c:pt idx="6">
                  <c:v>7</c:v>
                </c:pt>
                <c:pt idx="7">
                  <c:v>8</c:v>
                </c:pt>
                <c:pt idx="8">
                  <c:v>9</c:v>
                </c:pt>
              </c:numCache>
            </c:numRef>
          </c:cat>
          <c:val>
            <c:numRef>
              <c:f>Feuil1!$Z$69:$AH$69</c:f>
              <c:numCache>
                <c:formatCode>0.0</c:formatCode>
                <c:ptCount val="9"/>
                <c:pt idx="0" formatCode="General">
                  <c:v>1</c:v>
                </c:pt>
                <c:pt idx="1">
                  <c:v>2</c:v>
                </c:pt>
                <c:pt idx="2" formatCode="General">
                  <c:v>3</c:v>
                </c:pt>
                <c:pt idx="3" formatCode="General">
                  <c:v>4</c:v>
                </c:pt>
                <c:pt idx="4" formatCode="General">
                  <c:v>5</c:v>
                </c:pt>
                <c:pt idx="5">
                  <c:v>6</c:v>
                </c:pt>
                <c:pt idx="6">
                  <c:v>7</c:v>
                </c:pt>
                <c:pt idx="7">
                  <c:v>8</c:v>
                </c:pt>
                <c:pt idx="8">
                  <c:v>9</c:v>
                </c:pt>
              </c:numCache>
            </c:numRef>
          </c:val>
          <c:extLst>
            <c:ext xmlns:c16="http://schemas.microsoft.com/office/drawing/2014/chart" uri="{C3380CC4-5D6E-409C-BE32-E72D297353CC}">
              <c16:uniqueId val="{00000004-FC0A-44CA-A98F-4DAA3F677F5B}"/>
            </c:ext>
          </c:extLst>
        </c:ser>
        <c:dLbls>
          <c:showLegendKey val="0"/>
          <c:showVal val="0"/>
          <c:showCatName val="0"/>
          <c:showSerName val="0"/>
          <c:showPercent val="0"/>
          <c:showBubbleSize val="0"/>
        </c:dLbls>
        <c:gapWidth val="150"/>
        <c:overlap val="100"/>
        <c:axId val="343823984"/>
        <c:axId val="343821632"/>
      </c:barChart>
      <c:catAx>
        <c:axId val="343818496"/>
        <c:scaling>
          <c:orientation val="minMax"/>
        </c:scaling>
        <c:delete val="0"/>
        <c:axPos val="l"/>
        <c:numFmt formatCode="General" sourceLinked="1"/>
        <c:majorTickMark val="out"/>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823200"/>
        <c:crosses val="autoZero"/>
        <c:auto val="1"/>
        <c:lblAlgn val="ctr"/>
        <c:lblOffset val="100"/>
        <c:noMultiLvlLbl val="0"/>
      </c:catAx>
      <c:valAx>
        <c:axId val="34382320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3818496"/>
        <c:crosses val="autoZero"/>
        <c:crossBetween val="between"/>
      </c:valAx>
      <c:valAx>
        <c:axId val="343821632"/>
        <c:scaling>
          <c:orientation val="minMax"/>
          <c:max val="9"/>
        </c:scaling>
        <c:delete val="0"/>
        <c:axPos val="r"/>
        <c:numFmt formatCode="General" sourceLinked="1"/>
        <c:majorTickMark val="out"/>
        <c:minorTickMark val="none"/>
        <c:tickLblPos val="none"/>
        <c:spPr>
          <a:solidFill>
            <a:schemeClr val="bg1">
              <a:lumMod val="50000"/>
            </a:schemeClr>
          </a:solid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823984"/>
        <c:crosses val="max"/>
        <c:crossBetween val="between"/>
      </c:valAx>
      <c:catAx>
        <c:axId val="343823984"/>
        <c:scaling>
          <c:orientation val="minMax"/>
        </c:scaling>
        <c:delete val="1"/>
        <c:axPos val="b"/>
        <c:numFmt formatCode="General" sourceLinked="1"/>
        <c:majorTickMark val="out"/>
        <c:minorTickMark val="none"/>
        <c:tickLblPos val="nextTo"/>
        <c:crossAx val="34382163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083333333333334E-2"/>
          <c:y val="0"/>
          <c:w val="0.9458333333333333"/>
          <c:h val="0.94579469233012536"/>
        </c:manualLayout>
      </c:layout>
      <c:barChart>
        <c:barDir val="bar"/>
        <c:grouping val="stacked"/>
        <c:varyColors val="0"/>
        <c:ser>
          <c:idx val="0"/>
          <c:order val="0"/>
          <c:tx>
            <c:strRef>
              <c:f>Feuil1!$AK$65</c:f>
              <c:strCache>
                <c:ptCount val="1"/>
                <c:pt idx="0">
                  <c:v>Quintile 1</c:v>
                </c:pt>
              </c:strCache>
            </c:strRef>
          </c:tx>
          <c:spPr>
            <a:noFill/>
            <a:ln>
              <a:noFill/>
            </a:ln>
            <a:effectLst/>
          </c:spPr>
          <c:invertIfNegative val="0"/>
          <c:cat>
            <c:numRef>
              <c:f>Feuil1!$AL$64:$AT$64</c:f>
              <c:numCache>
                <c:formatCode>General</c:formatCode>
                <c:ptCount val="9"/>
                <c:pt idx="0">
                  <c:v>1</c:v>
                </c:pt>
                <c:pt idx="1">
                  <c:v>2</c:v>
                </c:pt>
                <c:pt idx="2">
                  <c:v>3</c:v>
                </c:pt>
                <c:pt idx="3">
                  <c:v>4</c:v>
                </c:pt>
                <c:pt idx="4">
                  <c:v>5</c:v>
                </c:pt>
                <c:pt idx="5">
                  <c:v>6</c:v>
                </c:pt>
                <c:pt idx="6">
                  <c:v>7</c:v>
                </c:pt>
                <c:pt idx="7">
                  <c:v>8</c:v>
                </c:pt>
                <c:pt idx="8">
                  <c:v>9</c:v>
                </c:pt>
              </c:numCache>
            </c:numRef>
          </c:cat>
          <c:val>
            <c:numRef>
              <c:f>Feuil1!$AL$65:$AT$65</c:f>
              <c:numCache>
                <c:formatCode>0.0</c:formatCode>
                <c:ptCount val="9"/>
                <c:pt idx="0" formatCode="General">
                  <c:v>0.5</c:v>
                </c:pt>
                <c:pt idx="1">
                  <c:v>0.3</c:v>
                </c:pt>
                <c:pt idx="2" formatCode="General">
                  <c:v>0.3</c:v>
                </c:pt>
                <c:pt idx="3" formatCode="General">
                  <c:v>0</c:v>
                </c:pt>
                <c:pt idx="4" formatCode="General">
                  <c:v>0.3</c:v>
                </c:pt>
                <c:pt idx="5">
                  <c:v>0</c:v>
                </c:pt>
                <c:pt idx="6">
                  <c:v>1.2</c:v>
                </c:pt>
                <c:pt idx="7">
                  <c:v>0.8</c:v>
                </c:pt>
                <c:pt idx="8" formatCode="General">
                  <c:v>1</c:v>
                </c:pt>
              </c:numCache>
            </c:numRef>
          </c:val>
          <c:extLst>
            <c:ext xmlns:c16="http://schemas.microsoft.com/office/drawing/2014/chart" uri="{C3380CC4-5D6E-409C-BE32-E72D297353CC}">
              <c16:uniqueId val="{00000000-FDFB-472B-991B-5E2EDFA0BEC1}"/>
            </c:ext>
          </c:extLst>
        </c:ser>
        <c:ser>
          <c:idx val="1"/>
          <c:order val="1"/>
          <c:tx>
            <c:strRef>
              <c:f>Feuil1!$AK$66</c:f>
              <c:strCache>
                <c:ptCount val="1"/>
                <c:pt idx="0">
                  <c:v>Quintile 2</c:v>
                </c:pt>
              </c:strCache>
            </c:strRef>
          </c:tx>
          <c:spPr>
            <a:solidFill>
              <a:schemeClr val="bg1">
                <a:lumMod val="85000"/>
              </a:schemeClr>
            </a:solidFill>
            <a:ln>
              <a:solidFill>
                <a:schemeClr val="bg1">
                  <a:lumMod val="85000"/>
                </a:schemeClr>
              </a:solidFill>
            </a:ln>
            <a:effectLst/>
          </c:spPr>
          <c:invertIfNegative val="0"/>
          <c:cat>
            <c:numRef>
              <c:f>Feuil1!$AL$64:$AT$64</c:f>
              <c:numCache>
                <c:formatCode>General</c:formatCode>
                <c:ptCount val="9"/>
                <c:pt idx="0">
                  <c:v>1</c:v>
                </c:pt>
                <c:pt idx="1">
                  <c:v>2</c:v>
                </c:pt>
                <c:pt idx="2">
                  <c:v>3</c:v>
                </c:pt>
                <c:pt idx="3">
                  <c:v>4</c:v>
                </c:pt>
                <c:pt idx="4">
                  <c:v>5</c:v>
                </c:pt>
                <c:pt idx="5">
                  <c:v>6</c:v>
                </c:pt>
                <c:pt idx="6">
                  <c:v>7</c:v>
                </c:pt>
                <c:pt idx="7">
                  <c:v>8</c:v>
                </c:pt>
                <c:pt idx="8">
                  <c:v>9</c:v>
                </c:pt>
              </c:numCache>
            </c:numRef>
          </c:cat>
          <c:val>
            <c:numRef>
              <c:f>Feuil1!$AL$66:$AT$66</c:f>
              <c:numCache>
                <c:formatCode>0.0</c:formatCode>
                <c:ptCount val="9"/>
                <c:pt idx="0" formatCode="General">
                  <c:v>0.2</c:v>
                </c:pt>
                <c:pt idx="1">
                  <c:v>0.4</c:v>
                </c:pt>
                <c:pt idx="2" formatCode="General">
                  <c:v>0.4</c:v>
                </c:pt>
                <c:pt idx="3" formatCode="General">
                  <c:v>0.4</c:v>
                </c:pt>
                <c:pt idx="4" formatCode="General">
                  <c:v>0.3</c:v>
                </c:pt>
                <c:pt idx="5">
                  <c:v>0.1</c:v>
                </c:pt>
                <c:pt idx="6">
                  <c:v>0.8</c:v>
                </c:pt>
                <c:pt idx="7">
                  <c:v>0.5</c:v>
                </c:pt>
                <c:pt idx="8" formatCode="General">
                  <c:v>0.1</c:v>
                </c:pt>
              </c:numCache>
            </c:numRef>
          </c:val>
          <c:extLst>
            <c:ext xmlns:c16="http://schemas.microsoft.com/office/drawing/2014/chart" uri="{C3380CC4-5D6E-409C-BE32-E72D297353CC}">
              <c16:uniqueId val="{00000001-FDFB-472B-991B-5E2EDFA0BEC1}"/>
            </c:ext>
          </c:extLst>
        </c:ser>
        <c:ser>
          <c:idx val="2"/>
          <c:order val="2"/>
          <c:tx>
            <c:strRef>
              <c:f>Feuil1!$AK$67</c:f>
              <c:strCache>
                <c:ptCount val="1"/>
                <c:pt idx="0">
                  <c:v>Quintile 3</c:v>
                </c:pt>
              </c:strCache>
            </c:strRef>
          </c:tx>
          <c:spPr>
            <a:solidFill>
              <a:schemeClr val="bg1">
                <a:lumMod val="50000"/>
              </a:schemeClr>
            </a:solidFill>
            <a:ln>
              <a:solidFill>
                <a:schemeClr val="bg1">
                  <a:lumMod val="50000"/>
                </a:schemeClr>
              </a:solidFill>
            </a:ln>
            <a:effectLst/>
          </c:spPr>
          <c:invertIfNegative val="0"/>
          <c:cat>
            <c:numRef>
              <c:f>Feuil1!$AL$64:$AT$64</c:f>
              <c:numCache>
                <c:formatCode>General</c:formatCode>
                <c:ptCount val="9"/>
                <c:pt idx="0">
                  <c:v>1</c:v>
                </c:pt>
                <c:pt idx="1">
                  <c:v>2</c:v>
                </c:pt>
                <c:pt idx="2">
                  <c:v>3</c:v>
                </c:pt>
                <c:pt idx="3">
                  <c:v>4</c:v>
                </c:pt>
                <c:pt idx="4">
                  <c:v>5</c:v>
                </c:pt>
                <c:pt idx="5">
                  <c:v>6</c:v>
                </c:pt>
                <c:pt idx="6">
                  <c:v>7</c:v>
                </c:pt>
                <c:pt idx="7">
                  <c:v>8</c:v>
                </c:pt>
                <c:pt idx="8">
                  <c:v>9</c:v>
                </c:pt>
              </c:numCache>
            </c:numRef>
          </c:cat>
          <c:val>
            <c:numRef>
              <c:f>Feuil1!$AL$67:$AT$67</c:f>
              <c:numCache>
                <c:formatCode>0.0</c:formatCode>
                <c:ptCount val="9"/>
                <c:pt idx="0" formatCode="General">
                  <c:v>0.4</c:v>
                </c:pt>
                <c:pt idx="1">
                  <c:v>0.3</c:v>
                </c:pt>
                <c:pt idx="2" formatCode="General">
                  <c:v>0.3</c:v>
                </c:pt>
                <c:pt idx="3" formatCode="General">
                  <c:v>0.7</c:v>
                </c:pt>
                <c:pt idx="4" formatCode="General">
                  <c:v>0.4</c:v>
                </c:pt>
                <c:pt idx="5">
                  <c:v>0.3</c:v>
                </c:pt>
                <c:pt idx="6">
                  <c:v>0.6</c:v>
                </c:pt>
                <c:pt idx="7">
                  <c:v>0.8</c:v>
                </c:pt>
                <c:pt idx="8" formatCode="General">
                  <c:v>0.2</c:v>
                </c:pt>
              </c:numCache>
            </c:numRef>
          </c:val>
          <c:extLst>
            <c:ext xmlns:c16="http://schemas.microsoft.com/office/drawing/2014/chart" uri="{C3380CC4-5D6E-409C-BE32-E72D297353CC}">
              <c16:uniqueId val="{00000002-FDFB-472B-991B-5E2EDFA0BEC1}"/>
            </c:ext>
          </c:extLst>
        </c:ser>
        <c:ser>
          <c:idx val="3"/>
          <c:order val="3"/>
          <c:tx>
            <c:strRef>
              <c:f>Feuil1!$AK$68</c:f>
              <c:strCache>
                <c:ptCount val="1"/>
                <c:pt idx="0">
                  <c:v>Quintile 4</c:v>
                </c:pt>
              </c:strCache>
            </c:strRef>
          </c:tx>
          <c:spPr>
            <a:solidFill>
              <a:schemeClr val="tx1"/>
            </a:solidFill>
            <a:ln>
              <a:solidFill>
                <a:schemeClr val="tx1"/>
              </a:solidFill>
            </a:ln>
            <a:effectLst/>
          </c:spPr>
          <c:invertIfNegative val="0"/>
          <c:cat>
            <c:numRef>
              <c:f>Feuil1!$AL$64:$AT$64</c:f>
              <c:numCache>
                <c:formatCode>General</c:formatCode>
                <c:ptCount val="9"/>
                <c:pt idx="0">
                  <c:v>1</c:v>
                </c:pt>
                <c:pt idx="1">
                  <c:v>2</c:v>
                </c:pt>
                <c:pt idx="2">
                  <c:v>3</c:v>
                </c:pt>
                <c:pt idx="3">
                  <c:v>4</c:v>
                </c:pt>
                <c:pt idx="4">
                  <c:v>5</c:v>
                </c:pt>
                <c:pt idx="5">
                  <c:v>6</c:v>
                </c:pt>
                <c:pt idx="6">
                  <c:v>7</c:v>
                </c:pt>
                <c:pt idx="7">
                  <c:v>8</c:v>
                </c:pt>
                <c:pt idx="8">
                  <c:v>9</c:v>
                </c:pt>
              </c:numCache>
            </c:numRef>
          </c:cat>
          <c:val>
            <c:numRef>
              <c:f>Feuil1!$AL$68:$AT$68</c:f>
              <c:numCache>
                <c:formatCode>0.0</c:formatCode>
                <c:ptCount val="9"/>
                <c:pt idx="0" formatCode="General">
                  <c:v>0.5</c:v>
                </c:pt>
                <c:pt idx="1">
                  <c:v>0.4</c:v>
                </c:pt>
                <c:pt idx="2" formatCode="General">
                  <c:v>0.4</c:v>
                </c:pt>
                <c:pt idx="3" formatCode="General">
                  <c:v>0.8</c:v>
                </c:pt>
                <c:pt idx="4" formatCode="General">
                  <c:v>0.3</c:v>
                </c:pt>
                <c:pt idx="5">
                  <c:v>0.7</c:v>
                </c:pt>
                <c:pt idx="6">
                  <c:v>0.8</c:v>
                </c:pt>
                <c:pt idx="7">
                  <c:v>0.9</c:v>
                </c:pt>
                <c:pt idx="8" formatCode="General">
                  <c:v>0.1</c:v>
                </c:pt>
              </c:numCache>
            </c:numRef>
          </c:val>
          <c:extLst>
            <c:ext xmlns:c16="http://schemas.microsoft.com/office/drawing/2014/chart" uri="{C3380CC4-5D6E-409C-BE32-E72D297353CC}">
              <c16:uniqueId val="{00000003-FDFB-472B-991B-5E2EDFA0BEC1}"/>
            </c:ext>
          </c:extLst>
        </c:ser>
        <c:dLbls>
          <c:showLegendKey val="0"/>
          <c:showVal val="0"/>
          <c:showCatName val="0"/>
          <c:showSerName val="0"/>
          <c:showPercent val="0"/>
          <c:showBubbleSize val="0"/>
        </c:dLbls>
        <c:gapWidth val="150"/>
        <c:overlap val="100"/>
        <c:axId val="343822024"/>
        <c:axId val="343820456"/>
      </c:barChart>
      <c:barChart>
        <c:barDir val="col"/>
        <c:grouping val="stacked"/>
        <c:varyColors val="0"/>
        <c:ser>
          <c:idx val="4"/>
          <c:order val="4"/>
          <c:tx>
            <c:strRef>
              <c:f>Feuil1!$AK$69</c:f>
              <c:strCache>
                <c:ptCount val="1"/>
              </c:strCache>
            </c:strRef>
          </c:tx>
          <c:spPr>
            <a:noFill/>
            <a:ln>
              <a:noFill/>
            </a:ln>
            <a:effectLst/>
          </c:spPr>
          <c:invertIfNegative val="0"/>
          <c:cat>
            <c:numRef>
              <c:f>Feuil1!$AL$64:$AT$64</c:f>
              <c:numCache>
                <c:formatCode>General</c:formatCode>
                <c:ptCount val="9"/>
                <c:pt idx="0">
                  <c:v>1</c:v>
                </c:pt>
                <c:pt idx="1">
                  <c:v>2</c:v>
                </c:pt>
                <c:pt idx="2">
                  <c:v>3</c:v>
                </c:pt>
                <c:pt idx="3">
                  <c:v>4</c:v>
                </c:pt>
                <c:pt idx="4">
                  <c:v>5</c:v>
                </c:pt>
                <c:pt idx="5">
                  <c:v>6</c:v>
                </c:pt>
                <c:pt idx="6">
                  <c:v>7</c:v>
                </c:pt>
                <c:pt idx="7">
                  <c:v>8</c:v>
                </c:pt>
                <c:pt idx="8">
                  <c:v>9</c:v>
                </c:pt>
              </c:numCache>
            </c:numRef>
          </c:cat>
          <c:val>
            <c:numRef>
              <c:f>Feuil1!$AL$69:$AT$69</c:f>
              <c:numCache>
                <c:formatCode>0.0</c:formatCode>
                <c:ptCount val="9"/>
                <c:pt idx="0" formatCode="General">
                  <c:v>1</c:v>
                </c:pt>
                <c:pt idx="1">
                  <c:v>2</c:v>
                </c:pt>
                <c:pt idx="2" formatCode="General">
                  <c:v>3</c:v>
                </c:pt>
                <c:pt idx="3" formatCode="General">
                  <c:v>4</c:v>
                </c:pt>
                <c:pt idx="4" formatCode="General">
                  <c:v>5</c:v>
                </c:pt>
                <c:pt idx="5">
                  <c:v>6</c:v>
                </c:pt>
                <c:pt idx="6">
                  <c:v>7</c:v>
                </c:pt>
                <c:pt idx="7">
                  <c:v>8</c:v>
                </c:pt>
                <c:pt idx="8">
                  <c:v>9</c:v>
                </c:pt>
              </c:numCache>
            </c:numRef>
          </c:val>
          <c:extLst>
            <c:ext xmlns:c16="http://schemas.microsoft.com/office/drawing/2014/chart" uri="{C3380CC4-5D6E-409C-BE32-E72D297353CC}">
              <c16:uniqueId val="{00000004-FDFB-472B-991B-5E2EDFA0BEC1}"/>
            </c:ext>
          </c:extLst>
        </c:ser>
        <c:dLbls>
          <c:showLegendKey val="0"/>
          <c:showVal val="0"/>
          <c:showCatName val="0"/>
          <c:showSerName val="0"/>
          <c:showPercent val="0"/>
          <c:showBubbleSize val="0"/>
        </c:dLbls>
        <c:gapWidth val="150"/>
        <c:overlap val="100"/>
        <c:axId val="343820064"/>
        <c:axId val="343822416"/>
      </c:barChart>
      <c:catAx>
        <c:axId val="343822024"/>
        <c:scaling>
          <c:orientation val="minMax"/>
        </c:scaling>
        <c:delete val="0"/>
        <c:axPos val="l"/>
        <c:numFmt formatCode="General" sourceLinked="1"/>
        <c:majorTickMark val="out"/>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820456"/>
        <c:crosses val="autoZero"/>
        <c:auto val="1"/>
        <c:lblAlgn val="ctr"/>
        <c:lblOffset val="100"/>
        <c:noMultiLvlLbl val="0"/>
      </c:catAx>
      <c:valAx>
        <c:axId val="34382045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3822024"/>
        <c:crosses val="autoZero"/>
        <c:crossBetween val="between"/>
      </c:valAx>
      <c:valAx>
        <c:axId val="343822416"/>
        <c:scaling>
          <c:orientation val="minMax"/>
          <c:max val="9"/>
        </c:scaling>
        <c:delete val="0"/>
        <c:axPos val="r"/>
        <c:numFmt formatCode="General" sourceLinked="1"/>
        <c:majorTickMark val="out"/>
        <c:minorTickMark val="none"/>
        <c:tickLblPos val="none"/>
        <c:spPr>
          <a:solidFill>
            <a:schemeClr val="bg1">
              <a:lumMod val="50000"/>
            </a:schemeClr>
          </a:solid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820064"/>
        <c:crosses val="max"/>
        <c:crossBetween val="between"/>
      </c:valAx>
      <c:catAx>
        <c:axId val="343820064"/>
        <c:scaling>
          <c:orientation val="minMax"/>
        </c:scaling>
        <c:delete val="1"/>
        <c:axPos val="b"/>
        <c:numFmt formatCode="General" sourceLinked="1"/>
        <c:majorTickMark val="out"/>
        <c:minorTickMark val="none"/>
        <c:tickLblPos val="nextTo"/>
        <c:crossAx val="34382241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617446137677351E-2"/>
          <c:y val="0"/>
          <c:w val="0.94876510772464528"/>
          <c:h val="0.94767219460695906"/>
        </c:manualLayout>
      </c:layout>
      <c:barChart>
        <c:barDir val="bar"/>
        <c:grouping val="stacked"/>
        <c:varyColors val="0"/>
        <c:ser>
          <c:idx val="0"/>
          <c:order val="0"/>
          <c:tx>
            <c:strRef>
              <c:f>Feuil1!$A$90</c:f>
              <c:strCache>
                <c:ptCount val="1"/>
                <c:pt idx="0">
                  <c:v>Quintile 1</c:v>
                </c:pt>
              </c:strCache>
            </c:strRef>
          </c:tx>
          <c:spPr>
            <a:noFill/>
            <a:ln>
              <a:noFill/>
            </a:ln>
            <a:effectLst/>
          </c:spPr>
          <c:invertIfNegative val="0"/>
          <c:cat>
            <c:numRef>
              <c:f>Feuil1!$B$89:$J$89</c:f>
              <c:numCache>
                <c:formatCode>General</c:formatCode>
                <c:ptCount val="9"/>
                <c:pt idx="0">
                  <c:v>1</c:v>
                </c:pt>
                <c:pt idx="1">
                  <c:v>2</c:v>
                </c:pt>
                <c:pt idx="2">
                  <c:v>3</c:v>
                </c:pt>
                <c:pt idx="3">
                  <c:v>4</c:v>
                </c:pt>
                <c:pt idx="4">
                  <c:v>5</c:v>
                </c:pt>
                <c:pt idx="5">
                  <c:v>6</c:v>
                </c:pt>
                <c:pt idx="6">
                  <c:v>7</c:v>
                </c:pt>
                <c:pt idx="7">
                  <c:v>8</c:v>
                </c:pt>
                <c:pt idx="8">
                  <c:v>9</c:v>
                </c:pt>
              </c:numCache>
            </c:numRef>
          </c:cat>
          <c:val>
            <c:numRef>
              <c:f>Feuil1!$B$90:$J$90</c:f>
              <c:numCache>
                <c:formatCode>0.00</c:formatCode>
                <c:ptCount val="9"/>
                <c:pt idx="0">
                  <c:v>7.0000000000000007E-2</c:v>
                </c:pt>
                <c:pt idx="1">
                  <c:v>0.05</c:v>
                </c:pt>
                <c:pt idx="2">
                  <c:v>7.0000000000000007E-2</c:v>
                </c:pt>
                <c:pt idx="3">
                  <c:v>7.0000000000000007E-2</c:v>
                </c:pt>
                <c:pt idx="4">
                  <c:v>0.01</c:v>
                </c:pt>
                <c:pt idx="5">
                  <c:v>7.0000000000000007E-2</c:v>
                </c:pt>
                <c:pt idx="6" formatCode="General">
                  <c:v>0.01</c:v>
                </c:pt>
                <c:pt idx="7">
                  <c:v>0.02</c:v>
                </c:pt>
                <c:pt idx="8">
                  <c:v>7.0000000000000007E-2</c:v>
                </c:pt>
              </c:numCache>
            </c:numRef>
          </c:val>
          <c:extLst>
            <c:ext xmlns:c16="http://schemas.microsoft.com/office/drawing/2014/chart" uri="{C3380CC4-5D6E-409C-BE32-E72D297353CC}">
              <c16:uniqueId val="{00000000-C38C-4C72-9500-168F7787CECB}"/>
            </c:ext>
          </c:extLst>
        </c:ser>
        <c:ser>
          <c:idx val="1"/>
          <c:order val="1"/>
          <c:tx>
            <c:strRef>
              <c:f>Feuil1!$A$91</c:f>
              <c:strCache>
                <c:ptCount val="1"/>
                <c:pt idx="0">
                  <c:v>Quintile 2</c:v>
                </c:pt>
              </c:strCache>
            </c:strRef>
          </c:tx>
          <c:spPr>
            <a:solidFill>
              <a:schemeClr val="bg1">
                <a:lumMod val="85000"/>
              </a:schemeClr>
            </a:solidFill>
            <a:ln>
              <a:solidFill>
                <a:schemeClr val="bg1">
                  <a:lumMod val="85000"/>
                </a:schemeClr>
              </a:solidFill>
            </a:ln>
            <a:effectLst/>
          </c:spPr>
          <c:invertIfNegative val="0"/>
          <c:cat>
            <c:numRef>
              <c:f>Feuil1!$B$89:$J$89</c:f>
              <c:numCache>
                <c:formatCode>General</c:formatCode>
                <c:ptCount val="9"/>
                <c:pt idx="0">
                  <c:v>1</c:v>
                </c:pt>
                <c:pt idx="1">
                  <c:v>2</c:v>
                </c:pt>
                <c:pt idx="2">
                  <c:v>3</c:v>
                </c:pt>
                <c:pt idx="3">
                  <c:v>4</c:v>
                </c:pt>
                <c:pt idx="4">
                  <c:v>5</c:v>
                </c:pt>
                <c:pt idx="5">
                  <c:v>6</c:v>
                </c:pt>
                <c:pt idx="6">
                  <c:v>7</c:v>
                </c:pt>
                <c:pt idx="7">
                  <c:v>8</c:v>
                </c:pt>
                <c:pt idx="8">
                  <c:v>9</c:v>
                </c:pt>
              </c:numCache>
            </c:numRef>
          </c:cat>
          <c:val>
            <c:numRef>
              <c:f>Feuil1!$B$91:$J$91</c:f>
              <c:numCache>
                <c:formatCode>0.00</c:formatCode>
                <c:ptCount val="9"/>
                <c:pt idx="0">
                  <c:v>7.0000000000000007E-2</c:v>
                </c:pt>
                <c:pt idx="1">
                  <c:v>0.09</c:v>
                </c:pt>
                <c:pt idx="2">
                  <c:v>7.0000000000000007E-2</c:v>
                </c:pt>
                <c:pt idx="3">
                  <c:v>7.0000000000000007E-2</c:v>
                </c:pt>
                <c:pt idx="4">
                  <c:v>0.06</c:v>
                </c:pt>
                <c:pt idx="5">
                  <c:v>7.0000000000000007E-2</c:v>
                </c:pt>
                <c:pt idx="6" formatCode="General">
                  <c:v>0.06</c:v>
                </c:pt>
                <c:pt idx="7">
                  <c:v>0.06</c:v>
                </c:pt>
                <c:pt idx="8">
                  <c:v>0.14000000000000001</c:v>
                </c:pt>
              </c:numCache>
            </c:numRef>
          </c:val>
          <c:extLst>
            <c:ext xmlns:c16="http://schemas.microsoft.com/office/drawing/2014/chart" uri="{C3380CC4-5D6E-409C-BE32-E72D297353CC}">
              <c16:uniqueId val="{00000001-C38C-4C72-9500-168F7787CECB}"/>
            </c:ext>
          </c:extLst>
        </c:ser>
        <c:ser>
          <c:idx val="2"/>
          <c:order val="2"/>
          <c:tx>
            <c:strRef>
              <c:f>Feuil1!$A$92</c:f>
              <c:strCache>
                <c:ptCount val="1"/>
                <c:pt idx="0">
                  <c:v>Quintile 3</c:v>
                </c:pt>
              </c:strCache>
            </c:strRef>
          </c:tx>
          <c:spPr>
            <a:solidFill>
              <a:schemeClr val="bg1">
                <a:lumMod val="50000"/>
              </a:schemeClr>
            </a:solidFill>
            <a:ln>
              <a:solidFill>
                <a:schemeClr val="bg1">
                  <a:lumMod val="50000"/>
                </a:schemeClr>
              </a:solidFill>
            </a:ln>
            <a:effectLst/>
          </c:spPr>
          <c:invertIfNegative val="0"/>
          <c:cat>
            <c:numRef>
              <c:f>Feuil1!$B$89:$J$89</c:f>
              <c:numCache>
                <c:formatCode>General</c:formatCode>
                <c:ptCount val="9"/>
                <c:pt idx="0">
                  <c:v>1</c:v>
                </c:pt>
                <c:pt idx="1">
                  <c:v>2</c:v>
                </c:pt>
                <c:pt idx="2">
                  <c:v>3</c:v>
                </c:pt>
                <c:pt idx="3">
                  <c:v>4</c:v>
                </c:pt>
                <c:pt idx="4">
                  <c:v>5</c:v>
                </c:pt>
                <c:pt idx="5">
                  <c:v>6</c:v>
                </c:pt>
                <c:pt idx="6">
                  <c:v>7</c:v>
                </c:pt>
                <c:pt idx="7">
                  <c:v>8</c:v>
                </c:pt>
                <c:pt idx="8">
                  <c:v>9</c:v>
                </c:pt>
              </c:numCache>
            </c:numRef>
          </c:cat>
          <c:val>
            <c:numRef>
              <c:f>Feuil1!$B$92:$J$92</c:f>
              <c:numCache>
                <c:formatCode>0.00</c:formatCode>
                <c:ptCount val="9"/>
                <c:pt idx="0">
                  <c:v>7.0000000000000007E-2</c:v>
                </c:pt>
                <c:pt idx="1">
                  <c:v>7.0000000000000007E-2</c:v>
                </c:pt>
                <c:pt idx="2">
                  <c:v>0.09</c:v>
                </c:pt>
                <c:pt idx="3">
                  <c:v>0.14000000000000001</c:v>
                </c:pt>
                <c:pt idx="4">
                  <c:v>0.06</c:v>
                </c:pt>
                <c:pt idx="5">
                  <c:v>0.15</c:v>
                </c:pt>
                <c:pt idx="6" formatCode="General">
                  <c:v>0.02</c:v>
                </c:pt>
                <c:pt idx="7">
                  <c:v>0.05</c:v>
                </c:pt>
                <c:pt idx="8">
                  <c:v>0.08</c:v>
                </c:pt>
              </c:numCache>
            </c:numRef>
          </c:val>
          <c:extLst>
            <c:ext xmlns:c16="http://schemas.microsoft.com/office/drawing/2014/chart" uri="{C3380CC4-5D6E-409C-BE32-E72D297353CC}">
              <c16:uniqueId val="{00000002-C38C-4C72-9500-168F7787CECB}"/>
            </c:ext>
          </c:extLst>
        </c:ser>
        <c:ser>
          <c:idx val="3"/>
          <c:order val="3"/>
          <c:tx>
            <c:strRef>
              <c:f>Feuil1!$A$93</c:f>
              <c:strCache>
                <c:ptCount val="1"/>
                <c:pt idx="0">
                  <c:v>Quintile 4</c:v>
                </c:pt>
              </c:strCache>
            </c:strRef>
          </c:tx>
          <c:spPr>
            <a:solidFill>
              <a:schemeClr val="tx1"/>
            </a:solidFill>
            <a:ln>
              <a:solidFill>
                <a:schemeClr val="tx1"/>
              </a:solidFill>
            </a:ln>
            <a:effectLst/>
          </c:spPr>
          <c:invertIfNegative val="0"/>
          <c:cat>
            <c:numRef>
              <c:f>Feuil1!$B$89:$J$89</c:f>
              <c:numCache>
                <c:formatCode>General</c:formatCode>
                <c:ptCount val="9"/>
                <c:pt idx="0">
                  <c:v>1</c:v>
                </c:pt>
                <c:pt idx="1">
                  <c:v>2</c:v>
                </c:pt>
                <c:pt idx="2">
                  <c:v>3</c:v>
                </c:pt>
                <c:pt idx="3">
                  <c:v>4</c:v>
                </c:pt>
                <c:pt idx="4">
                  <c:v>5</c:v>
                </c:pt>
                <c:pt idx="5">
                  <c:v>6</c:v>
                </c:pt>
                <c:pt idx="6">
                  <c:v>7</c:v>
                </c:pt>
                <c:pt idx="7">
                  <c:v>8</c:v>
                </c:pt>
                <c:pt idx="8">
                  <c:v>9</c:v>
                </c:pt>
              </c:numCache>
            </c:numRef>
          </c:cat>
          <c:val>
            <c:numRef>
              <c:f>Feuil1!$B$93:$J$93</c:f>
              <c:numCache>
                <c:formatCode>0.00</c:formatCode>
                <c:ptCount val="9"/>
                <c:pt idx="0">
                  <c:v>0.08</c:v>
                </c:pt>
                <c:pt idx="1">
                  <c:v>0.08</c:v>
                </c:pt>
                <c:pt idx="2">
                  <c:v>0.06</c:v>
                </c:pt>
                <c:pt idx="3">
                  <c:v>0.21</c:v>
                </c:pt>
                <c:pt idx="4">
                  <c:v>0.17</c:v>
                </c:pt>
                <c:pt idx="5">
                  <c:v>0.2</c:v>
                </c:pt>
                <c:pt idx="6" formatCode="General">
                  <c:v>7.0000000000000007E-2</c:v>
                </c:pt>
                <c:pt idx="7">
                  <c:v>7.0000000000000007E-2</c:v>
                </c:pt>
                <c:pt idx="8">
                  <c:v>7.0000000000000007E-2</c:v>
                </c:pt>
              </c:numCache>
            </c:numRef>
          </c:val>
          <c:extLst>
            <c:ext xmlns:c16="http://schemas.microsoft.com/office/drawing/2014/chart" uri="{C3380CC4-5D6E-409C-BE32-E72D297353CC}">
              <c16:uniqueId val="{00000003-C38C-4C72-9500-168F7787CECB}"/>
            </c:ext>
          </c:extLst>
        </c:ser>
        <c:dLbls>
          <c:showLegendKey val="0"/>
          <c:showVal val="0"/>
          <c:showCatName val="0"/>
          <c:showSerName val="0"/>
          <c:showPercent val="0"/>
          <c:showBubbleSize val="0"/>
        </c:dLbls>
        <c:gapWidth val="150"/>
        <c:overlap val="100"/>
        <c:axId val="343820848"/>
        <c:axId val="343819280"/>
      </c:barChart>
      <c:barChart>
        <c:barDir val="col"/>
        <c:grouping val="stacked"/>
        <c:varyColors val="0"/>
        <c:ser>
          <c:idx val="4"/>
          <c:order val="4"/>
          <c:tx>
            <c:strRef>
              <c:f>Feuil1!$A$94</c:f>
              <c:strCache>
                <c:ptCount val="1"/>
              </c:strCache>
            </c:strRef>
          </c:tx>
          <c:spPr>
            <a:noFill/>
            <a:ln>
              <a:noFill/>
            </a:ln>
            <a:effectLst/>
          </c:spPr>
          <c:invertIfNegative val="0"/>
          <c:cat>
            <c:numRef>
              <c:f>Feuil1!$B$89:$J$89</c:f>
              <c:numCache>
                <c:formatCode>General</c:formatCode>
                <c:ptCount val="9"/>
                <c:pt idx="0">
                  <c:v>1</c:v>
                </c:pt>
                <c:pt idx="1">
                  <c:v>2</c:v>
                </c:pt>
                <c:pt idx="2">
                  <c:v>3</c:v>
                </c:pt>
                <c:pt idx="3">
                  <c:v>4</c:v>
                </c:pt>
                <c:pt idx="4">
                  <c:v>5</c:v>
                </c:pt>
                <c:pt idx="5">
                  <c:v>6</c:v>
                </c:pt>
                <c:pt idx="6">
                  <c:v>7</c:v>
                </c:pt>
                <c:pt idx="7">
                  <c:v>8</c:v>
                </c:pt>
                <c:pt idx="8">
                  <c:v>9</c:v>
                </c:pt>
              </c:numCache>
            </c:numRef>
          </c:cat>
          <c:val>
            <c:numRef>
              <c:f>Feuil1!$B$94:$J$94</c:f>
              <c:numCache>
                <c:formatCode>0.00</c:formatCode>
                <c:ptCount val="9"/>
                <c:pt idx="0">
                  <c:v>1</c:v>
                </c:pt>
                <c:pt idx="1">
                  <c:v>2</c:v>
                </c:pt>
                <c:pt idx="2">
                  <c:v>3</c:v>
                </c:pt>
                <c:pt idx="3">
                  <c:v>4</c:v>
                </c:pt>
                <c:pt idx="4" formatCode="0.0">
                  <c:v>5</c:v>
                </c:pt>
                <c:pt idx="5" formatCode="0.0">
                  <c:v>6</c:v>
                </c:pt>
                <c:pt idx="6" formatCode="0.0">
                  <c:v>7</c:v>
                </c:pt>
                <c:pt idx="7" formatCode="0.0">
                  <c:v>8</c:v>
                </c:pt>
                <c:pt idx="8" formatCode="0.0">
                  <c:v>9</c:v>
                </c:pt>
              </c:numCache>
            </c:numRef>
          </c:val>
          <c:extLst>
            <c:ext xmlns:c16="http://schemas.microsoft.com/office/drawing/2014/chart" uri="{C3380CC4-5D6E-409C-BE32-E72D297353CC}">
              <c16:uniqueId val="{00000004-C38C-4C72-9500-168F7787CECB}"/>
            </c:ext>
          </c:extLst>
        </c:ser>
        <c:dLbls>
          <c:showLegendKey val="0"/>
          <c:showVal val="0"/>
          <c:showCatName val="0"/>
          <c:showSerName val="0"/>
          <c:showPercent val="0"/>
          <c:showBubbleSize val="0"/>
        </c:dLbls>
        <c:gapWidth val="150"/>
        <c:overlap val="100"/>
        <c:axId val="343822808"/>
        <c:axId val="343817320"/>
      </c:barChart>
      <c:catAx>
        <c:axId val="343820848"/>
        <c:scaling>
          <c:orientation val="minMax"/>
        </c:scaling>
        <c:delete val="0"/>
        <c:axPos val="l"/>
        <c:numFmt formatCode="General" sourceLinked="1"/>
        <c:majorTickMark val="out"/>
        <c:minorTickMark val="none"/>
        <c:tickLblPos val="none"/>
        <c:spPr>
          <a:solidFill>
            <a:schemeClr val="bg1">
              <a:lumMod val="50000"/>
            </a:schemeClr>
          </a:solid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819280"/>
        <c:crosses val="autoZero"/>
        <c:auto val="1"/>
        <c:lblAlgn val="ctr"/>
        <c:lblOffset val="100"/>
        <c:noMultiLvlLbl val="0"/>
      </c:catAx>
      <c:valAx>
        <c:axId val="34381928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3820848"/>
        <c:crosses val="autoZero"/>
        <c:crossBetween val="between"/>
      </c:valAx>
      <c:valAx>
        <c:axId val="343817320"/>
        <c:scaling>
          <c:orientation val="minMax"/>
          <c:max val="9"/>
        </c:scaling>
        <c:delete val="0"/>
        <c:axPos val="r"/>
        <c:numFmt formatCode="0.00" sourceLinked="1"/>
        <c:majorTickMark val="out"/>
        <c:minorTickMark val="none"/>
        <c:tickLblPos val="none"/>
        <c:spPr>
          <a:solidFill>
            <a:schemeClr val="bg1">
              <a:lumMod val="50000"/>
            </a:schemeClr>
          </a:solid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822808"/>
        <c:crosses val="max"/>
        <c:crossBetween val="between"/>
      </c:valAx>
      <c:catAx>
        <c:axId val="343822808"/>
        <c:scaling>
          <c:orientation val="minMax"/>
        </c:scaling>
        <c:delete val="1"/>
        <c:axPos val="b"/>
        <c:numFmt formatCode="General" sourceLinked="1"/>
        <c:majorTickMark val="out"/>
        <c:minorTickMark val="none"/>
        <c:tickLblPos val="nextTo"/>
        <c:crossAx val="34381732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187546514512527E-2"/>
          <c:y val="0"/>
          <c:w val="0.9516249069709749"/>
          <c:h val="0.95037784930411984"/>
        </c:manualLayout>
      </c:layout>
      <c:barChart>
        <c:barDir val="bar"/>
        <c:grouping val="stacked"/>
        <c:varyColors val="0"/>
        <c:ser>
          <c:idx val="0"/>
          <c:order val="0"/>
          <c:tx>
            <c:strRef>
              <c:f>Feuil1!$M$90</c:f>
              <c:strCache>
                <c:ptCount val="1"/>
                <c:pt idx="0">
                  <c:v>Quintile 1</c:v>
                </c:pt>
              </c:strCache>
            </c:strRef>
          </c:tx>
          <c:spPr>
            <a:noFill/>
            <a:ln>
              <a:noFill/>
            </a:ln>
            <a:effectLst/>
          </c:spPr>
          <c:invertIfNegative val="0"/>
          <c:cat>
            <c:numRef>
              <c:f>Feuil1!$N$89:$V$89</c:f>
              <c:numCache>
                <c:formatCode>General</c:formatCode>
                <c:ptCount val="9"/>
                <c:pt idx="0">
                  <c:v>1</c:v>
                </c:pt>
                <c:pt idx="1">
                  <c:v>2</c:v>
                </c:pt>
                <c:pt idx="2">
                  <c:v>3</c:v>
                </c:pt>
                <c:pt idx="3">
                  <c:v>4</c:v>
                </c:pt>
                <c:pt idx="4">
                  <c:v>5</c:v>
                </c:pt>
                <c:pt idx="5">
                  <c:v>6</c:v>
                </c:pt>
                <c:pt idx="6">
                  <c:v>7</c:v>
                </c:pt>
                <c:pt idx="7">
                  <c:v>8</c:v>
                </c:pt>
                <c:pt idx="8">
                  <c:v>9</c:v>
                </c:pt>
              </c:numCache>
            </c:numRef>
          </c:cat>
          <c:val>
            <c:numRef>
              <c:f>Feuil1!$N$90:$V$90</c:f>
              <c:numCache>
                <c:formatCode>0.0</c:formatCode>
                <c:ptCount val="9"/>
                <c:pt idx="0" formatCode="General">
                  <c:v>0.4</c:v>
                </c:pt>
                <c:pt idx="1">
                  <c:v>0.3</c:v>
                </c:pt>
                <c:pt idx="2" formatCode="General">
                  <c:v>0.3</c:v>
                </c:pt>
                <c:pt idx="3" formatCode="General">
                  <c:v>0.5</c:v>
                </c:pt>
                <c:pt idx="4" formatCode="General">
                  <c:v>0.4</c:v>
                </c:pt>
                <c:pt idx="5">
                  <c:v>0.5</c:v>
                </c:pt>
                <c:pt idx="6">
                  <c:v>0.4</c:v>
                </c:pt>
                <c:pt idx="7">
                  <c:v>0.4</c:v>
                </c:pt>
                <c:pt idx="8" formatCode="General">
                  <c:v>0.1</c:v>
                </c:pt>
              </c:numCache>
            </c:numRef>
          </c:val>
          <c:extLst>
            <c:ext xmlns:c16="http://schemas.microsoft.com/office/drawing/2014/chart" uri="{C3380CC4-5D6E-409C-BE32-E72D297353CC}">
              <c16:uniqueId val="{00000000-75B8-4597-AE86-B232A20AA4BD}"/>
            </c:ext>
          </c:extLst>
        </c:ser>
        <c:ser>
          <c:idx val="1"/>
          <c:order val="1"/>
          <c:tx>
            <c:strRef>
              <c:f>Feuil1!$M$91</c:f>
              <c:strCache>
                <c:ptCount val="1"/>
                <c:pt idx="0">
                  <c:v>Quintile 2</c:v>
                </c:pt>
              </c:strCache>
            </c:strRef>
          </c:tx>
          <c:spPr>
            <a:solidFill>
              <a:schemeClr val="bg1">
                <a:lumMod val="85000"/>
              </a:schemeClr>
            </a:solidFill>
            <a:ln>
              <a:solidFill>
                <a:schemeClr val="bg1">
                  <a:lumMod val="85000"/>
                </a:schemeClr>
              </a:solidFill>
            </a:ln>
            <a:effectLst/>
          </c:spPr>
          <c:invertIfNegative val="0"/>
          <c:cat>
            <c:numRef>
              <c:f>Feuil1!$N$89:$V$89</c:f>
              <c:numCache>
                <c:formatCode>General</c:formatCode>
                <c:ptCount val="9"/>
                <c:pt idx="0">
                  <c:v>1</c:v>
                </c:pt>
                <c:pt idx="1">
                  <c:v>2</c:v>
                </c:pt>
                <c:pt idx="2">
                  <c:v>3</c:v>
                </c:pt>
                <c:pt idx="3">
                  <c:v>4</c:v>
                </c:pt>
                <c:pt idx="4">
                  <c:v>5</c:v>
                </c:pt>
                <c:pt idx="5">
                  <c:v>6</c:v>
                </c:pt>
                <c:pt idx="6">
                  <c:v>7</c:v>
                </c:pt>
                <c:pt idx="7">
                  <c:v>8</c:v>
                </c:pt>
                <c:pt idx="8">
                  <c:v>9</c:v>
                </c:pt>
              </c:numCache>
            </c:numRef>
          </c:cat>
          <c:val>
            <c:numRef>
              <c:f>Feuil1!$N$91:$V$91</c:f>
              <c:numCache>
                <c:formatCode>0.0</c:formatCode>
                <c:ptCount val="9"/>
                <c:pt idx="0" formatCode="General">
                  <c:v>0.2</c:v>
                </c:pt>
                <c:pt idx="1">
                  <c:v>0.3</c:v>
                </c:pt>
                <c:pt idx="2" formatCode="General">
                  <c:v>0.3</c:v>
                </c:pt>
                <c:pt idx="3" formatCode="General">
                  <c:v>0.3</c:v>
                </c:pt>
                <c:pt idx="4" formatCode="General">
                  <c:v>0.4</c:v>
                </c:pt>
                <c:pt idx="5">
                  <c:v>0.3</c:v>
                </c:pt>
                <c:pt idx="6">
                  <c:v>0.2</c:v>
                </c:pt>
                <c:pt idx="7">
                  <c:v>0.2</c:v>
                </c:pt>
                <c:pt idx="8" formatCode="General">
                  <c:v>0.2</c:v>
                </c:pt>
              </c:numCache>
            </c:numRef>
          </c:val>
          <c:extLst>
            <c:ext xmlns:c16="http://schemas.microsoft.com/office/drawing/2014/chart" uri="{C3380CC4-5D6E-409C-BE32-E72D297353CC}">
              <c16:uniqueId val="{00000001-75B8-4597-AE86-B232A20AA4BD}"/>
            </c:ext>
          </c:extLst>
        </c:ser>
        <c:ser>
          <c:idx val="2"/>
          <c:order val="2"/>
          <c:tx>
            <c:strRef>
              <c:f>Feuil1!$M$92</c:f>
              <c:strCache>
                <c:ptCount val="1"/>
                <c:pt idx="0">
                  <c:v>Quintile 3</c:v>
                </c:pt>
              </c:strCache>
            </c:strRef>
          </c:tx>
          <c:spPr>
            <a:solidFill>
              <a:schemeClr val="bg1">
                <a:lumMod val="50000"/>
              </a:schemeClr>
            </a:solidFill>
            <a:ln>
              <a:solidFill>
                <a:schemeClr val="bg1">
                  <a:lumMod val="50000"/>
                </a:schemeClr>
              </a:solidFill>
            </a:ln>
            <a:effectLst/>
          </c:spPr>
          <c:invertIfNegative val="0"/>
          <c:cat>
            <c:numRef>
              <c:f>Feuil1!$N$89:$V$89</c:f>
              <c:numCache>
                <c:formatCode>General</c:formatCode>
                <c:ptCount val="9"/>
                <c:pt idx="0">
                  <c:v>1</c:v>
                </c:pt>
                <c:pt idx="1">
                  <c:v>2</c:v>
                </c:pt>
                <c:pt idx="2">
                  <c:v>3</c:v>
                </c:pt>
                <c:pt idx="3">
                  <c:v>4</c:v>
                </c:pt>
                <c:pt idx="4">
                  <c:v>5</c:v>
                </c:pt>
                <c:pt idx="5">
                  <c:v>6</c:v>
                </c:pt>
                <c:pt idx="6">
                  <c:v>7</c:v>
                </c:pt>
                <c:pt idx="7">
                  <c:v>8</c:v>
                </c:pt>
                <c:pt idx="8">
                  <c:v>9</c:v>
                </c:pt>
              </c:numCache>
            </c:numRef>
          </c:cat>
          <c:val>
            <c:numRef>
              <c:f>Feuil1!$N$92:$V$92</c:f>
              <c:numCache>
                <c:formatCode>0.0</c:formatCode>
                <c:ptCount val="9"/>
                <c:pt idx="0" formatCode="General">
                  <c:v>0.3</c:v>
                </c:pt>
                <c:pt idx="1">
                  <c:v>0.2</c:v>
                </c:pt>
                <c:pt idx="2" formatCode="General">
                  <c:v>0.2</c:v>
                </c:pt>
                <c:pt idx="3" formatCode="General">
                  <c:v>0.3</c:v>
                </c:pt>
                <c:pt idx="4" formatCode="General">
                  <c:v>0.2</c:v>
                </c:pt>
                <c:pt idx="5">
                  <c:v>0.3</c:v>
                </c:pt>
                <c:pt idx="6">
                  <c:v>0.2</c:v>
                </c:pt>
                <c:pt idx="7">
                  <c:v>0.2</c:v>
                </c:pt>
                <c:pt idx="8" formatCode="General">
                  <c:v>0.1</c:v>
                </c:pt>
              </c:numCache>
            </c:numRef>
          </c:val>
          <c:extLst>
            <c:ext xmlns:c16="http://schemas.microsoft.com/office/drawing/2014/chart" uri="{C3380CC4-5D6E-409C-BE32-E72D297353CC}">
              <c16:uniqueId val="{00000002-75B8-4597-AE86-B232A20AA4BD}"/>
            </c:ext>
          </c:extLst>
        </c:ser>
        <c:ser>
          <c:idx val="3"/>
          <c:order val="3"/>
          <c:tx>
            <c:strRef>
              <c:f>Feuil1!$M$93</c:f>
              <c:strCache>
                <c:ptCount val="1"/>
                <c:pt idx="0">
                  <c:v>Quintile 4</c:v>
                </c:pt>
              </c:strCache>
            </c:strRef>
          </c:tx>
          <c:spPr>
            <a:solidFill>
              <a:schemeClr val="tx1"/>
            </a:solidFill>
            <a:ln>
              <a:solidFill>
                <a:schemeClr val="tx1"/>
              </a:solidFill>
            </a:ln>
            <a:effectLst/>
          </c:spPr>
          <c:invertIfNegative val="0"/>
          <c:cat>
            <c:numRef>
              <c:f>Feuil1!$N$89:$V$89</c:f>
              <c:numCache>
                <c:formatCode>General</c:formatCode>
                <c:ptCount val="9"/>
                <c:pt idx="0">
                  <c:v>1</c:v>
                </c:pt>
                <c:pt idx="1">
                  <c:v>2</c:v>
                </c:pt>
                <c:pt idx="2">
                  <c:v>3</c:v>
                </c:pt>
                <c:pt idx="3">
                  <c:v>4</c:v>
                </c:pt>
                <c:pt idx="4">
                  <c:v>5</c:v>
                </c:pt>
                <c:pt idx="5">
                  <c:v>6</c:v>
                </c:pt>
                <c:pt idx="6">
                  <c:v>7</c:v>
                </c:pt>
                <c:pt idx="7">
                  <c:v>8</c:v>
                </c:pt>
                <c:pt idx="8">
                  <c:v>9</c:v>
                </c:pt>
              </c:numCache>
            </c:numRef>
          </c:cat>
          <c:val>
            <c:numRef>
              <c:f>Feuil1!$N$93:$V$93</c:f>
              <c:numCache>
                <c:formatCode>0.0</c:formatCode>
                <c:ptCount val="9"/>
                <c:pt idx="0" formatCode="General">
                  <c:v>0.3</c:v>
                </c:pt>
                <c:pt idx="1">
                  <c:v>0.3</c:v>
                </c:pt>
                <c:pt idx="2" formatCode="General">
                  <c:v>0.4</c:v>
                </c:pt>
                <c:pt idx="3" formatCode="General">
                  <c:v>0.3</c:v>
                </c:pt>
                <c:pt idx="4" formatCode="General">
                  <c:v>0.3</c:v>
                </c:pt>
                <c:pt idx="5">
                  <c:v>0.4</c:v>
                </c:pt>
                <c:pt idx="6">
                  <c:v>0.3</c:v>
                </c:pt>
                <c:pt idx="7">
                  <c:v>0.3</c:v>
                </c:pt>
                <c:pt idx="8" formatCode="General">
                  <c:v>0.2</c:v>
                </c:pt>
              </c:numCache>
            </c:numRef>
          </c:val>
          <c:extLst>
            <c:ext xmlns:c16="http://schemas.microsoft.com/office/drawing/2014/chart" uri="{C3380CC4-5D6E-409C-BE32-E72D297353CC}">
              <c16:uniqueId val="{00000003-75B8-4597-AE86-B232A20AA4BD}"/>
            </c:ext>
          </c:extLst>
        </c:ser>
        <c:dLbls>
          <c:showLegendKey val="0"/>
          <c:showVal val="0"/>
          <c:showCatName val="0"/>
          <c:showSerName val="0"/>
          <c:showPercent val="0"/>
          <c:showBubbleSize val="0"/>
        </c:dLbls>
        <c:gapWidth val="150"/>
        <c:overlap val="100"/>
        <c:axId val="343824376"/>
        <c:axId val="343824768"/>
      </c:barChart>
      <c:barChart>
        <c:barDir val="col"/>
        <c:grouping val="stacked"/>
        <c:varyColors val="0"/>
        <c:ser>
          <c:idx val="4"/>
          <c:order val="4"/>
          <c:tx>
            <c:strRef>
              <c:f>Feuil1!$M$94</c:f>
              <c:strCache>
                <c:ptCount val="1"/>
              </c:strCache>
            </c:strRef>
          </c:tx>
          <c:spPr>
            <a:noFill/>
            <a:ln>
              <a:noFill/>
            </a:ln>
            <a:effectLst/>
          </c:spPr>
          <c:invertIfNegative val="0"/>
          <c:cat>
            <c:numRef>
              <c:f>Feuil1!$N$89:$V$89</c:f>
              <c:numCache>
                <c:formatCode>General</c:formatCode>
                <c:ptCount val="9"/>
                <c:pt idx="0">
                  <c:v>1</c:v>
                </c:pt>
                <c:pt idx="1">
                  <c:v>2</c:v>
                </c:pt>
                <c:pt idx="2">
                  <c:v>3</c:v>
                </c:pt>
                <c:pt idx="3">
                  <c:v>4</c:v>
                </c:pt>
                <c:pt idx="4">
                  <c:v>5</c:v>
                </c:pt>
                <c:pt idx="5">
                  <c:v>6</c:v>
                </c:pt>
                <c:pt idx="6">
                  <c:v>7</c:v>
                </c:pt>
                <c:pt idx="7">
                  <c:v>8</c:v>
                </c:pt>
                <c:pt idx="8">
                  <c:v>9</c:v>
                </c:pt>
              </c:numCache>
            </c:numRef>
          </c:cat>
          <c:val>
            <c:numRef>
              <c:f>Feuil1!$N$94:$V$94</c:f>
              <c:numCache>
                <c:formatCode>0.0</c:formatCode>
                <c:ptCount val="9"/>
                <c:pt idx="0" formatCode="General">
                  <c:v>1</c:v>
                </c:pt>
                <c:pt idx="1">
                  <c:v>2</c:v>
                </c:pt>
                <c:pt idx="2" formatCode="General">
                  <c:v>3</c:v>
                </c:pt>
                <c:pt idx="3" formatCode="General">
                  <c:v>4</c:v>
                </c:pt>
                <c:pt idx="4" formatCode="General">
                  <c:v>5</c:v>
                </c:pt>
                <c:pt idx="5">
                  <c:v>6</c:v>
                </c:pt>
                <c:pt idx="6">
                  <c:v>7</c:v>
                </c:pt>
                <c:pt idx="7">
                  <c:v>8</c:v>
                </c:pt>
                <c:pt idx="8">
                  <c:v>9</c:v>
                </c:pt>
              </c:numCache>
            </c:numRef>
          </c:val>
          <c:extLst>
            <c:ext xmlns:c16="http://schemas.microsoft.com/office/drawing/2014/chart" uri="{C3380CC4-5D6E-409C-BE32-E72D297353CC}">
              <c16:uniqueId val="{00000004-75B8-4597-AE86-B232A20AA4BD}"/>
            </c:ext>
          </c:extLst>
        </c:ser>
        <c:dLbls>
          <c:showLegendKey val="0"/>
          <c:showVal val="0"/>
          <c:showCatName val="0"/>
          <c:showSerName val="0"/>
          <c:showPercent val="0"/>
          <c:showBubbleSize val="0"/>
        </c:dLbls>
        <c:gapWidth val="150"/>
        <c:overlap val="100"/>
        <c:axId val="343818104"/>
        <c:axId val="343817712"/>
      </c:barChart>
      <c:catAx>
        <c:axId val="343824376"/>
        <c:scaling>
          <c:orientation val="minMax"/>
        </c:scaling>
        <c:delete val="0"/>
        <c:axPos val="l"/>
        <c:numFmt formatCode="General" sourceLinked="1"/>
        <c:majorTickMark val="out"/>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824768"/>
        <c:crosses val="autoZero"/>
        <c:auto val="1"/>
        <c:lblAlgn val="ctr"/>
        <c:lblOffset val="100"/>
        <c:noMultiLvlLbl val="0"/>
      </c:catAx>
      <c:valAx>
        <c:axId val="34382476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3824376"/>
        <c:crosses val="autoZero"/>
        <c:crossBetween val="between"/>
      </c:valAx>
      <c:valAx>
        <c:axId val="343817712"/>
        <c:scaling>
          <c:orientation val="minMax"/>
          <c:max val="9"/>
        </c:scaling>
        <c:delete val="0"/>
        <c:axPos val="r"/>
        <c:numFmt formatCode="General" sourceLinked="1"/>
        <c:majorTickMark val="out"/>
        <c:minorTickMark val="none"/>
        <c:tickLblPos val="none"/>
        <c:spPr>
          <a:solidFill>
            <a:schemeClr val="bg1">
              <a:lumMod val="50000"/>
            </a:schemeClr>
          </a:solid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818104"/>
        <c:crosses val="max"/>
        <c:crossBetween val="between"/>
      </c:valAx>
      <c:catAx>
        <c:axId val="343818104"/>
        <c:scaling>
          <c:orientation val="minMax"/>
        </c:scaling>
        <c:delete val="1"/>
        <c:axPos val="b"/>
        <c:numFmt formatCode="General" sourceLinked="1"/>
        <c:majorTickMark val="out"/>
        <c:minorTickMark val="none"/>
        <c:tickLblPos val="nextTo"/>
        <c:crossAx val="34381771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895351448461713E-2"/>
          <c:y val="0"/>
          <c:w val="0.95620929710307656"/>
          <c:h val="0.95334390732539187"/>
        </c:manualLayout>
      </c:layout>
      <c:barChart>
        <c:barDir val="bar"/>
        <c:grouping val="stacked"/>
        <c:varyColors val="0"/>
        <c:ser>
          <c:idx val="0"/>
          <c:order val="0"/>
          <c:tx>
            <c:strRef>
              <c:f>Feuil1!$Y$90</c:f>
              <c:strCache>
                <c:ptCount val="1"/>
                <c:pt idx="0">
                  <c:v>Quintile 1</c:v>
                </c:pt>
              </c:strCache>
            </c:strRef>
          </c:tx>
          <c:spPr>
            <a:noFill/>
            <a:ln>
              <a:noFill/>
            </a:ln>
            <a:effectLst/>
          </c:spPr>
          <c:invertIfNegative val="0"/>
          <c:cat>
            <c:numRef>
              <c:f>Feuil1!$Z$89:$AH$89</c:f>
              <c:numCache>
                <c:formatCode>General</c:formatCode>
                <c:ptCount val="9"/>
                <c:pt idx="0">
                  <c:v>1</c:v>
                </c:pt>
                <c:pt idx="1">
                  <c:v>2</c:v>
                </c:pt>
                <c:pt idx="2">
                  <c:v>3</c:v>
                </c:pt>
                <c:pt idx="3">
                  <c:v>4</c:v>
                </c:pt>
                <c:pt idx="4">
                  <c:v>5</c:v>
                </c:pt>
                <c:pt idx="5">
                  <c:v>6</c:v>
                </c:pt>
                <c:pt idx="6">
                  <c:v>7</c:v>
                </c:pt>
                <c:pt idx="7">
                  <c:v>8</c:v>
                </c:pt>
                <c:pt idx="8">
                  <c:v>9</c:v>
                </c:pt>
              </c:numCache>
            </c:numRef>
          </c:cat>
          <c:val>
            <c:numRef>
              <c:f>Feuil1!$Z$90:$AH$90</c:f>
              <c:numCache>
                <c:formatCode>0.0</c:formatCode>
                <c:ptCount val="9"/>
                <c:pt idx="0" formatCode="General">
                  <c:v>0.3</c:v>
                </c:pt>
                <c:pt idx="1">
                  <c:v>0.3</c:v>
                </c:pt>
                <c:pt idx="2" formatCode="General">
                  <c:v>0.2</c:v>
                </c:pt>
                <c:pt idx="3" formatCode="General">
                  <c:v>0.3</c:v>
                </c:pt>
                <c:pt idx="4" formatCode="General">
                  <c:v>0.01</c:v>
                </c:pt>
                <c:pt idx="5">
                  <c:v>0.4</c:v>
                </c:pt>
                <c:pt idx="6">
                  <c:v>0.3</c:v>
                </c:pt>
                <c:pt idx="7">
                  <c:v>0.3</c:v>
                </c:pt>
                <c:pt idx="8" formatCode="General">
                  <c:v>0</c:v>
                </c:pt>
              </c:numCache>
            </c:numRef>
          </c:val>
          <c:extLst>
            <c:ext xmlns:c16="http://schemas.microsoft.com/office/drawing/2014/chart" uri="{C3380CC4-5D6E-409C-BE32-E72D297353CC}">
              <c16:uniqueId val="{00000000-54D1-4263-9939-32FC5B77BD09}"/>
            </c:ext>
          </c:extLst>
        </c:ser>
        <c:ser>
          <c:idx val="1"/>
          <c:order val="1"/>
          <c:tx>
            <c:strRef>
              <c:f>Feuil1!$Y$91</c:f>
              <c:strCache>
                <c:ptCount val="1"/>
                <c:pt idx="0">
                  <c:v>Quintile 2</c:v>
                </c:pt>
              </c:strCache>
            </c:strRef>
          </c:tx>
          <c:spPr>
            <a:solidFill>
              <a:schemeClr val="bg1">
                <a:lumMod val="85000"/>
              </a:schemeClr>
            </a:solidFill>
            <a:ln>
              <a:solidFill>
                <a:schemeClr val="bg1">
                  <a:lumMod val="85000"/>
                </a:schemeClr>
              </a:solidFill>
            </a:ln>
            <a:effectLst/>
          </c:spPr>
          <c:invertIfNegative val="0"/>
          <c:cat>
            <c:numRef>
              <c:f>Feuil1!$Z$89:$AH$89</c:f>
              <c:numCache>
                <c:formatCode>General</c:formatCode>
                <c:ptCount val="9"/>
                <c:pt idx="0">
                  <c:v>1</c:v>
                </c:pt>
                <c:pt idx="1">
                  <c:v>2</c:v>
                </c:pt>
                <c:pt idx="2">
                  <c:v>3</c:v>
                </c:pt>
                <c:pt idx="3">
                  <c:v>4</c:v>
                </c:pt>
                <c:pt idx="4">
                  <c:v>5</c:v>
                </c:pt>
                <c:pt idx="5">
                  <c:v>6</c:v>
                </c:pt>
                <c:pt idx="6">
                  <c:v>7</c:v>
                </c:pt>
                <c:pt idx="7">
                  <c:v>8</c:v>
                </c:pt>
                <c:pt idx="8">
                  <c:v>9</c:v>
                </c:pt>
              </c:numCache>
            </c:numRef>
          </c:cat>
          <c:val>
            <c:numRef>
              <c:f>Feuil1!$Z$91:$AH$91</c:f>
              <c:numCache>
                <c:formatCode>0.0</c:formatCode>
                <c:ptCount val="9"/>
                <c:pt idx="0" formatCode="General">
                  <c:v>0.8</c:v>
                </c:pt>
                <c:pt idx="1">
                  <c:v>0.6</c:v>
                </c:pt>
                <c:pt idx="2" formatCode="General">
                  <c:v>0.6</c:v>
                </c:pt>
                <c:pt idx="3" formatCode="General">
                  <c:v>0.3</c:v>
                </c:pt>
                <c:pt idx="4" formatCode="General">
                  <c:v>0.06</c:v>
                </c:pt>
                <c:pt idx="5">
                  <c:v>0.5</c:v>
                </c:pt>
                <c:pt idx="6">
                  <c:v>0.8</c:v>
                </c:pt>
                <c:pt idx="7">
                  <c:v>0.7</c:v>
                </c:pt>
                <c:pt idx="8" formatCode="General">
                  <c:v>0.2</c:v>
                </c:pt>
              </c:numCache>
            </c:numRef>
          </c:val>
          <c:extLst>
            <c:ext xmlns:c16="http://schemas.microsoft.com/office/drawing/2014/chart" uri="{C3380CC4-5D6E-409C-BE32-E72D297353CC}">
              <c16:uniqueId val="{00000001-54D1-4263-9939-32FC5B77BD09}"/>
            </c:ext>
          </c:extLst>
        </c:ser>
        <c:ser>
          <c:idx val="2"/>
          <c:order val="2"/>
          <c:tx>
            <c:strRef>
              <c:f>Feuil1!$Y$92</c:f>
              <c:strCache>
                <c:ptCount val="1"/>
                <c:pt idx="0">
                  <c:v>Quintile 3</c:v>
                </c:pt>
              </c:strCache>
            </c:strRef>
          </c:tx>
          <c:spPr>
            <a:solidFill>
              <a:schemeClr val="bg1">
                <a:lumMod val="50000"/>
              </a:schemeClr>
            </a:solidFill>
            <a:ln>
              <a:solidFill>
                <a:schemeClr val="bg1">
                  <a:lumMod val="50000"/>
                </a:schemeClr>
              </a:solidFill>
            </a:ln>
            <a:effectLst/>
          </c:spPr>
          <c:invertIfNegative val="0"/>
          <c:cat>
            <c:numRef>
              <c:f>Feuil1!$Z$89:$AH$89</c:f>
              <c:numCache>
                <c:formatCode>General</c:formatCode>
                <c:ptCount val="9"/>
                <c:pt idx="0">
                  <c:v>1</c:v>
                </c:pt>
                <c:pt idx="1">
                  <c:v>2</c:v>
                </c:pt>
                <c:pt idx="2">
                  <c:v>3</c:v>
                </c:pt>
                <c:pt idx="3">
                  <c:v>4</c:v>
                </c:pt>
                <c:pt idx="4">
                  <c:v>5</c:v>
                </c:pt>
                <c:pt idx="5">
                  <c:v>6</c:v>
                </c:pt>
                <c:pt idx="6">
                  <c:v>7</c:v>
                </c:pt>
                <c:pt idx="7">
                  <c:v>8</c:v>
                </c:pt>
                <c:pt idx="8">
                  <c:v>9</c:v>
                </c:pt>
              </c:numCache>
            </c:numRef>
          </c:cat>
          <c:val>
            <c:numRef>
              <c:f>Feuil1!$Z$92:$AH$92</c:f>
              <c:numCache>
                <c:formatCode>0.0</c:formatCode>
                <c:ptCount val="9"/>
                <c:pt idx="0" formatCode="General">
                  <c:v>1.3</c:v>
                </c:pt>
                <c:pt idx="1">
                  <c:v>1</c:v>
                </c:pt>
                <c:pt idx="2" formatCode="General">
                  <c:v>1.3</c:v>
                </c:pt>
                <c:pt idx="3" formatCode="General">
                  <c:v>0.5</c:v>
                </c:pt>
                <c:pt idx="4" formatCode="General">
                  <c:v>0.22</c:v>
                </c:pt>
                <c:pt idx="5">
                  <c:v>0.5</c:v>
                </c:pt>
                <c:pt idx="6">
                  <c:v>0.7</c:v>
                </c:pt>
                <c:pt idx="7">
                  <c:v>0.5</c:v>
                </c:pt>
                <c:pt idx="8" formatCode="General">
                  <c:v>0.3</c:v>
                </c:pt>
              </c:numCache>
            </c:numRef>
          </c:val>
          <c:extLst>
            <c:ext xmlns:c16="http://schemas.microsoft.com/office/drawing/2014/chart" uri="{C3380CC4-5D6E-409C-BE32-E72D297353CC}">
              <c16:uniqueId val="{00000002-54D1-4263-9939-32FC5B77BD09}"/>
            </c:ext>
          </c:extLst>
        </c:ser>
        <c:ser>
          <c:idx val="3"/>
          <c:order val="3"/>
          <c:tx>
            <c:strRef>
              <c:f>Feuil1!$Y$93</c:f>
              <c:strCache>
                <c:ptCount val="1"/>
                <c:pt idx="0">
                  <c:v>Quintile 4</c:v>
                </c:pt>
              </c:strCache>
            </c:strRef>
          </c:tx>
          <c:spPr>
            <a:solidFill>
              <a:schemeClr val="tx1"/>
            </a:solidFill>
            <a:ln>
              <a:solidFill>
                <a:schemeClr val="tx1"/>
              </a:solidFill>
            </a:ln>
            <a:effectLst/>
          </c:spPr>
          <c:invertIfNegative val="0"/>
          <c:cat>
            <c:numRef>
              <c:f>Feuil1!$Z$89:$AH$89</c:f>
              <c:numCache>
                <c:formatCode>General</c:formatCode>
                <c:ptCount val="9"/>
                <c:pt idx="0">
                  <c:v>1</c:v>
                </c:pt>
                <c:pt idx="1">
                  <c:v>2</c:v>
                </c:pt>
                <c:pt idx="2">
                  <c:v>3</c:v>
                </c:pt>
                <c:pt idx="3">
                  <c:v>4</c:v>
                </c:pt>
                <c:pt idx="4">
                  <c:v>5</c:v>
                </c:pt>
                <c:pt idx="5">
                  <c:v>6</c:v>
                </c:pt>
                <c:pt idx="6">
                  <c:v>7</c:v>
                </c:pt>
                <c:pt idx="7">
                  <c:v>8</c:v>
                </c:pt>
                <c:pt idx="8">
                  <c:v>9</c:v>
                </c:pt>
              </c:numCache>
            </c:numRef>
          </c:cat>
          <c:val>
            <c:numRef>
              <c:f>Feuil1!$Z$93:$AH$93</c:f>
              <c:numCache>
                <c:formatCode>0.0</c:formatCode>
                <c:ptCount val="9"/>
                <c:pt idx="0" formatCode="General">
                  <c:v>2.9</c:v>
                </c:pt>
                <c:pt idx="1">
                  <c:v>2.2999999999999998</c:v>
                </c:pt>
                <c:pt idx="2" formatCode="General">
                  <c:v>3</c:v>
                </c:pt>
                <c:pt idx="3" formatCode="General">
                  <c:v>1.2</c:v>
                </c:pt>
                <c:pt idx="4" formatCode="General">
                  <c:v>0</c:v>
                </c:pt>
                <c:pt idx="5">
                  <c:v>1.5</c:v>
                </c:pt>
                <c:pt idx="6">
                  <c:v>1.4</c:v>
                </c:pt>
                <c:pt idx="7">
                  <c:v>1.5</c:v>
                </c:pt>
                <c:pt idx="8" formatCode="General">
                  <c:v>0.5</c:v>
                </c:pt>
              </c:numCache>
            </c:numRef>
          </c:val>
          <c:extLst>
            <c:ext xmlns:c16="http://schemas.microsoft.com/office/drawing/2014/chart" uri="{C3380CC4-5D6E-409C-BE32-E72D297353CC}">
              <c16:uniqueId val="{00000003-54D1-4263-9939-32FC5B77BD09}"/>
            </c:ext>
          </c:extLst>
        </c:ser>
        <c:dLbls>
          <c:showLegendKey val="0"/>
          <c:showVal val="0"/>
          <c:showCatName val="0"/>
          <c:showSerName val="0"/>
          <c:showPercent val="0"/>
          <c:showBubbleSize val="0"/>
        </c:dLbls>
        <c:gapWidth val="150"/>
        <c:overlap val="100"/>
        <c:axId val="344069304"/>
        <c:axId val="344068128"/>
      </c:barChart>
      <c:barChart>
        <c:barDir val="col"/>
        <c:grouping val="stacked"/>
        <c:varyColors val="0"/>
        <c:ser>
          <c:idx val="4"/>
          <c:order val="4"/>
          <c:tx>
            <c:strRef>
              <c:f>Feuil1!$Y$94</c:f>
              <c:strCache>
                <c:ptCount val="1"/>
              </c:strCache>
            </c:strRef>
          </c:tx>
          <c:spPr>
            <a:noFill/>
            <a:ln>
              <a:noFill/>
            </a:ln>
            <a:effectLst/>
          </c:spPr>
          <c:invertIfNegative val="0"/>
          <c:cat>
            <c:numRef>
              <c:f>Feuil1!$Z$89:$AH$89</c:f>
              <c:numCache>
                <c:formatCode>General</c:formatCode>
                <c:ptCount val="9"/>
                <c:pt idx="0">
                  <c:v>1</c:v>
                </c:pt>
                <c:pt idx="1">
                  <c:v>2</c:v>
                </c:pt>
                <c:pt idx="2">
                  <c:v>3</c:v>
                </c:pt>
                <c:pt idx="3">
                  <c:v>4</c:v>
                </c:pt>
                <c:pt idx="4">
                  <c:v>5</c:v>
                </c:pt>
                <c:pt idx="5">
                  <c:v>6</c:v>
                </c:pt>
                <c:pt idx="6">
                  <c:v>7</c:v>
                </c:pt>
                <c:pt idx="7">
                  <c:v>8</c:v>
                </c:pt>
                <c:pt idx="8">
                  <c:v>9</c:v>
                </c:pt>
              </c:numCache>
            </c:numRef>
          </c:cat>
          <c:val>
            <c:numRef>
              <c:f>Feuil1!$Z$94:$AH$94</c:f>
              <c:numCache>
                <c:formatCode>0.0</c:formatCode>
                <c:ptCount val="9"/>
                <c:pt idx="0" formatCode="General">
                  <c:v>1</c:v>
                </c:pt>
                <c:pt idx="1">
                  <c:v>2</c:v>
                </c:pt>
                <c:pt idx="2" formatCode="General">
                  <c:v>3</c:v>
                </c:pt>
                <c:pt idx="3" formatCode="General">
                  <c:v>4</c:v>
                </c:pt>
                <c:pt idx="4" formatCode="General">
                  <c:v>5</c:v>
                </c:pt>
                <c:pt idx="5">
                  <c:v>6</c:v>
                </c:pt>
                <c:pt idx="6">
                  <c:v>7</c:v>
                </c:pt>
                <c:pt idx="7">
                  <c:v>8</c:v>
                </c:pt>
                <c:pt idx="8">
                  <c:v>9</c:v>
                </c:pt>
              </c:numCache>
            </c:numRef>
          </c:val>
          <c:extLst>
            <c:ext xmlns:c16="http://schemas.microsoft.com/office/drawing/2014/chart" uri="{C3380CC4-5D6E-409C-BE32-E72D297353CC}">
              <c16:uniqueId val="{00000004-54D1-4263-9939-32FC5B77BD09}"/>
            </c:ext>
          </c:extLst>
        </c:ser>
        <c:dLbls>
          <c:showLegendKey val="0"/>
          <c:showVal val="0"/>
          <c:showCatName val="0"/>
          <c:showSerName val="0"/>
          <c:showPercent val="0"/>
          <c:showBubbleSize val="0"/>
        </c:dLbls>
        <c:gapWidth val="150"/>
        <c:overlap val="100"/>
        <c:axId val="344067736"/>
        <c:axId val="344069696"/>
      </c:barChart>
      <c:catAx>
        <c:axId val="344069304"/>
        <c:scaling>
          <c:orientation val="minMax"/>
        </c:scaling>
        <c:delete val="0"/>
        <c:axPos val="l"/>
        <c:numFmt formatCode="General" sourceLinked="1"/>
        <c:majorTickMark val="out"/>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068128"/>
        <c:crosses val="autoZero"/>
        <c:auto val="1"/>
        <c:lblAlgn val="ctr"/>
        <c:lblOffset val="100"/>
        <c:noMultiLvlLbl val="0"/>
      </c:catAx>
      <c:valAx>
        <c:axId val="34406812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4069304"/>
        <c:crosses val="autoZero"/>
        <c:crossBetween val="between"/>
      </c:valAx>
      <c:valAx>
        <c:axId val="344069696"/>
        <c:scaling>
          <c:orientation val="minMax"/>
          <c:max val="9"/>
        </c:scaling>
        <c:delete val="0"/>
        <c:axPos val="r"/>
        <c:numFmt formatCode="General" sourceLinked="1"/>
        <c:majorTickMark val="out"/>
        <c:minorTickMark val="none"/>
        <c:tickLblPos val="none"/>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067736"/>
        <c:crosses val="max"/>
        <c:crossBetween val="between"/>
      </c:valAx>
      <c:catAx>
        <c:axId val="344067736"/>
        <c:scaling>
          <c:orientation val="minMax"/>
        </c:scaling>
        <c:delete val="1"/>
        <c:axPos val="b"/>
        <c:numFmt formatCode="General" sourceLinked="1"/>
        <c:majorTickMark val="out"/>
        <c:minorTickMark val="none"/>
        <c:tickLblPos val="nextTo"/>
        <c:crossAx val="34406969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013260530421218E-2"/>
          <c:y val="0"/>
          <c:w val="0.96197347893915752"/>
          <c:h val="0.95565860080782838"/>
        </c:manualLayout>
      </c:layout>
      <c:barChart>
        <c:barDir val="bar"/>
        <c:grouping val="stacked"/>
        <c:varyColors val="0"/>
        <c:ser>
          <c:idx val="0"/>
          <c:order val="0"/>
          <c:tx>
            <c:strRef>
              <c:f>Feuil1!$AK$90</c:f>
              <c:strCache>
                <c:ptCount val="1"/>
                <c:pt idx="0">
                  <c:v>Quintile 1</c:v>
                </c:pt>
              </c:strCache>
            </c:strRef>
          </c:tx>
          <c:spPr>
            <a:noFill/>
            <a:ln>
              <a:noFill/>
            </a:ln>
            <a:effectLst/>
          </c:spPr>
          <c:invertIfNegative val="0"/>
          <c:cat>
            <c:numRef>
              <c:f>Feuil1!$AL$89:$AT$89</c:f>
              <c:numCache>
                <c:formatCode>General</c:formatCode>
                <c:ptCount val="9"/>
                <c:pt idx="0">
                  <c:v>1</c:v>
                </c:pt>
                <c:pt idx="1">
                  <c:v>2</c:v>
                </c:pt>
                <c:pt idx="2">
                  <c:v>3</c:v>
                </c:pt>
                <c:pt idx="3">
                  <c:v>4</c:v>
                </c:pt>
                <c:pt idx="4">
                  <c:v>5</c:v>
                </c:pt>
                <c:pt idx="5">
                  <c:v>6</c:v>
                </c:pt>
                <c:pt idx="6">
                  <c:v>7</c:v>
                </c:pt>
                <c:pt idx="7">
                  <c:v>8</c:v>
                </c:pt>
                <c:pt idx="8">
                  <c:v>9</c:v>
                </c:pt>
              </c:numCache>
            </c:numRef>
          </c:cat>
          <c:val>
            <c:numRef>
              <c:f>Feuil1!$AL$90:$AT$90</c:f>
              <c:numCache>
                <c:formatCode>0.0</c:formatCode>
                <c:ptCount val="9"/>
                <c:pt idx="0" formatCode="General">
                  <c:v>2.6</c:v>
                </c:pt>
                <c:pt idx="1">
                  <c:v>2.5</c:v>
                </c:pt>
                <c:pt idx="2" formatCode="General">
                  <c:v>2.5</c:v>
                </c:pt>
                <c:pt idx="3" formatCode="General">
                  <c:v>2.1</c:v>
                </c:pt>
                <c:pt idx="4" formatCode="General">
                  <c:v>1.8</c:v>
                </c:pt>
                <c:pt idx="5">
                  <c:v>2.1</c:v>
                </c:pt>
                <c:pt idx="6">
                  <c:v>2.1</c:v>
                </c:pt>
                <c:pt idx="7">
                  <c:v>2.1</c:v>
                </c:pt>
                <c:pt idx="8" formatCode="General">
                  <c:v>1.6</c:v>
                </c:pt>
              </c:numCache>
            </c:numRef>
          </c:val>
          <c:extLst>
            <c:ext xmlns:c16="http://schemas.microsoft.com/office/drawing/2014/chart" uri="{C3380CC4-5D6E-409C-BE32-E72D297353CC}">
              <c16:uniqueId val="{00000000-9199-44F7-9CAE-5B951AAD9841}"/>
            </c:ext>
          </c:extLst>
        </c:ser>
        <c:ser>
          <c:idx val="1"/>
          <c:order val="1"/>
          <c:tx>
            <c:strRef>
              <c:f>Feuil1!$AK$91</c:f>
              <c:strCache>
                <c:ptCount val="1"/>
                <c:pt idx="0">
                  <c:v>Quintile 2</c:v>
                </c:pt>
              </c:strCache>
            </c:strRef>
          </c:tx>
          <c:spPr>
            <a:solidFill>
              <a:schemeClr val="bg1">
                <a:lumMod val="85000"/>
              </a:schemeClr>
            </a:solidFill>
            <a:ln>
              <a:solidFill>
                <a:schemeClr val="bg1">
                  <a:lumMod val="85000"/>
                </a:schemeClr>
              </a:solidFill>
            </a:ln>
            <a:effectLst/>
          </c:spPr>
          <c:invertIfNegative val="0"/>
          <c:cat>
            <c:numRef>
              <c:f>Feuil1!$AL$89:$AT$89</c:f>
              <c:numCache>
                <c:formatCode>General</c:formatCode>
                <c:ptCount val="9"/>
                <c:pt idx="0">
                  <c:v>1</c:v>
                </c:pt>
                <c:pt idx="1">
                  <c:v>2</c:v>
                </c:pt>
                <c:pt idx="2">
                  <c:v>3</c:v>
                </c:pt>
                <c:pt idx="3">
                  <c:v>4</c:v>
                </c:pt>
                <c:pt idx="4">
                  <c:v>5</c:v>
                </c:pt>
                <c:pt idx="5">
                  <c:v>6</c:v>
                </c:pt>
                <c:pt idx="6">
                  <c:v>7</c:v>
                </c:pt>
                <c:pt idx="7">
                  <c:v>8</c:v>
                </c:pt>
                <c:pt idx="8">
                  <c:v>9</c:v>
                </c:pt>
              </c:numCache>
            </c:numRef>
          </c:cat>
          <c:val>
            <c:numRef>
              <c:f>Feuil1!$AL$91:$AT$91</c:f>
              <c:numCache>
                <c:formatCode>0.0</c:formatCode>
                <c:ptCount val="9"/>
                <c:pt idx="0" formatCode="General">
                  <c:v>0.5</c:v>
                </c:pt>
                <c:pt idx="1">
                  <c:v>0.5</c:v>
                </c:pt>
                <c:pt idx="2" formatCode="General">
                  <c:v>0.4</c:v>
                </c:pt>
                <c:pt idx="3" formatCode="General">
                  <c:v>0.5</c:v>
                </c:pt>
                <c:pt idx="4" formatCode="General">
                  <c:v>0.2</c:v>
                </c:pt>
                <c:pt idx="5">
                  <c:v>0.6</c:v>
                </c:pt>
                <c:pt idx="6">
                  <c:v>0.4</c:v>
                </c:pt>
                <c:pt idx="7">
                  <c:v>0.5</c:v>
                </c:pt>
                <c:pt idx="8" formatCode="General">
                  <c:v>0.4</c:v>
                </c:pt>
              </c:numCache>
            </c:numRef>
          </c:val>
          <c:extLst>
            <c:ext xmlns:c16="http://schemas.microsoft.com/office/drawing/2014/chart" uri="{C3380CC4-5D6E-409C-BE32-E72D297353CC}">
              <c16:uniqueId val="{00000001-9199-44F7-9CAE-5B951AAD9841}"/>
            </c:ext>
          </c:extLst>
        </c:ser>
        <c:ser>
          <c:idx val="2"/>
          <c:order val="2"/>
          <c:tx>
            <c:strRef>
              <c:f>Feuil1!$AK$92</c:f>
              <c:strCache>
                <c:ptCount val="1"/>
                <c:pt idx="0">
                  <c:v>Quintile 3</c:v>
                </c:pt>
              </c:strCache>
            </c:strRef>
          </c:tx>
          <c:spPr>
            <a:solidFill>
              <a:schemeClr val="bg1">
                <a:lumMod val="50000"/>
              </a:schemeClr>
            </a:solidFill>
            <a:ln>
              <a:solidFill>
                <a:schemeClr val="bg1">
                  <a:lumMod val="50000"/>
                </a:schemeClr>
              </a:solidFill>
            </a:ln>
            <a:effectLst/>
          </c:spPr>
          <c:invertIfNegative val="0"/>
          <c:cat>
            <c:numRef>
              <c:f>Feuil1!$AL$89:$AT$89</c:f>
              <c:numCache>
                <c:formatCode>General</c:formatCode>
                <c:ptCount val="9"/>
                <c:pt idx="0">
                  <c:v>1</c:v>
                </c:pt>
                <c:pt idx="1">
                  <c:v>2</c:v>
                </c:pt>
                <c:pt idx="2">
                  <c:v>3</c:v>
                </c:pt>
                <c:pt idx="3">
                  <c:v>4</c:v>
                </c:pt>
                <c:pt idx="4">
                  <c:v>5</c:v>
                </c:pt>
                <c:pt idx="5">
                  <c:v>6</c:v>
                </c:pt>
                <c:pt idx="6">
                  <c:v>7</c:v>
                </c:pt>
                <c:pt idx="7">
                  <c:v>8</c:v>
                </c:pt>
                <c:pt idx="8">
                  <c:v>9</c:v>
                </c:pt>
              </c:numCache>
            </c:numRef>
          </c:cat>
          <c:val>
            <c:numRef>
              <c:f>Feuil1!$AL$92:$AT$92</c:f>
              <c:numCache>
                <c:formatCode>0.0</c:formatCode>
                <c:ptCount val="9"/>
                <c:pt idx="0" formatCode="General">
                  <c:v>0.4</c:v>
                </c:pt>
                <c:pt idx="1">
                  <c:v>0.5</c:v>
                </c:pt>
                <c:pt idx="2" formatCode="General">
                  <c:v>0.4</c:v>
                </c:pt>
                <c:pt idx="3" formatCode="General">
                  <c:v>0.5</c:v>
                </c:pt>
                <c:pt idx="4" formatCode="General">
                  <c:v>0.3</c:v>
                </c:pt>
                <c:pt idx="5">
                  <c:v>0.5</c:v>
                </c:pt>
                <c:pt idx="6">
                  <c:v>0.6</c:v>
                </c:pt>
                <c:pt idx="7">
                  <c:v>0.6</c:v>
                </c:pt>
                <c:pt idx="8" formatCode="General">
                  <c:v>0.3</c:v>
                </c:pt>
              </c:numCache>
            </c:numRef>
          </c:val>
          <c:extLst>
            <c:ext xmlns:c16="http://schemas.microsoft.com/office/drawing/2014/chart" uri="{C3380CC4-5D6E-409C-BE32-E72D297353CC}">
              <c16:uniqueId val="{00000002-9199-44F7-9CAE-5B951AAD9841}"/>
            </c:ext>
          </c:extLst>
        </c:ser>
        <c:ser>
          <c:idx val="3"/>
          <c:order val="3"/>
          <c:tx>
            <c:strRef>
              <c:f>Feuil1!$AK$93</c:f>
              <c:strCache>
                <c:ptCount val="1"/>
                <c:pt idx="0">
                  <c:v>Quintile 4</c:v>
                </c:pt>
              </c:strCache>
            </c:strRef>
          </c:tx>
          <c:spPr>
            <a:solidFill>
              <a:schemeClr val="tx1"/>
            </a:solidFill>
            <a:ln>
              <a:solidFill>
                <a:schemeClr val="tx1"/>
              </a:solidFill>
            </a:ln>
            <a:effectLst/>
          </c:spPr>
          <c:invertIfNegative val="0"/>
          <c:cat>
            <c:numRef>
              <c:f>Feuil1!$AL$89:$AT$89</c:f>
              <c:numCache>
                <c:formatCode>General</c:formatCode>
                <c:ptCount val="9"/>
                <c:pt idx="0">
                  <c:v>1</c:v>
                </c:pt>
                <c:pt idx="1">
                  <c:v>2</c:v>
                </c:pt>
                <c:pt idx="2">
                  <c:v>3</c:v>
                </c:pt>
                <c:pt idx="3">
                  <c:v>4</c:v>
                </c:pt>
                <c:pt idx="4">
                  <c:v>5</c:v>
                </c:pt>
                <c:pt idx="5">
                  <c:v>6</c:v>
                </c:pt>
                <c:pt idx="6">
                  <c:v>7</c:v>
                </c:pt>
                <c:pt idx="7">
                  <c:v>8</c:v>
                </c:pt>
                <c:pt idx="8">
                  <c:v>9</c:v>
                </c:pt>
              </c:numCache>
            </c:numRef>
          </c:cat>
          <c:val>
            <c:numRef>
              <c:f>Feuil1!$AL$93:$AT$93</c:f>
              <c:numCache>
                <c:formatCode>0.0</c:formatCode>
                <c:ptCount val="9"/>
                <c:pt idx="0" formatCode="General">
                  <c:v>0.6</c:v>
                </c:pt>
                <c:pt idx="1">
                  <c:v>0.5</c:v>
                </c:pt>
                <c:pt idx="2" formatCode="General">
                  <c:v>0.7</c:v>
                </c:pt>
                <c:pt idx="3" formatCode="General">
                  <c:v>0.7</c:v>
                </c:pt>
                <c:pt idx="4" formatCode="General">
                  <c:v>0.3</c:v>
                </c:pt>
                <c:pt idx="5">
                  <c:v>0.9</c:v>
                </c:pt>
                <c:pt idx="6">
                  <c:v>0.8</c:v>
                </c:pt>
                <c:pt idx="7">
                  <c:v>0.9</c:v>
                </c:pt>
                <c:pt idx="8" formatCode="General">
                  <c:v>0.4</c:v>
                </c:pt>
              </c:numCache>
            </c:numRef>
          </c:val>
          <c:extLst>
            <c:ext xmlns:c16="http://schemas.microsoft.com/office/drawing/2014/chart" uri="{C3380CC4-5D6E-409C-BE32-E72D297353CC}">
              <c16:uniqueId val="{00000003-9199-44F7-9CAE-5B951AAD9841}"/>
            </c:ext>
          </c:extLst>
        </c:ser>
        <c:dLbls>
          <c:showLegendKey val="0"/>
          <c:showVal val="0"/>
          <c:showCatName val="0"/>
          <c:showSerName val="0"/>
          <c:showPercent val="0"/>
          <c:showBubbleSize val="0"/>
        </c:dLbls>
        <c:gapWidth val="150"/>
        <c:overlap val="100"/>
        <c:axId val="344066952"/>
        <c:axId val="344068520"/>
      </c:barChart>
      <c:barChart>
        <c:barDir val="col"/>
        <c:grouping val="stacked"/>
        <c:varyColors val="0"/>
        <c:ser>
          <c:idx val="4"/>
          <c:order val="4"/>
          <c:tx>
            <c:strRef>
              <c:f>Feuil1!$AK$94</c:f>
              <c:strCache>
                <c:ptCount val="1"/>
              </c:strCache>
            </c:strRef>
          </c:tx>
          <c:spPr>
            <a:noFill/>
            <a:ln>
              <a:noFill/>
            </a:ln>
            <a:effectLst/>
          </c:spPr>
          <c:invertIfNegative val="0"/>
          <c:cat>
            <c:numRef>
              <c:f>Feuil1!$AL$89:$AT$89</c:f>
              <c:numCache>
                <c:formatCode>General</c:formatCode>
                <c:ptCount val="9"/>
                <c:pt idx="0">
                  <c:v>1</c:v>
                </c:pt>
                <c:pt idx="1">
                  <c:v>2</c:v>
                </c:pt>
                <c:pt idx="2">
                  <c:v>3</c:v>
                </c:pt>
                <c:pt idx="3">
                  <c:v>4</c:v>
                </c:pt>
                <c:pt idx="4">
                  <c:v>5</c:v>
                </c:pt>
                <c:pt idx="5">
                  <c:v>6</c:v>
                </c:pt>
                <c:pt idx="6">
                  <c:v>7</c:v>
                </c:pt>
                <c:pt idx="7">
                  <c:v>8</c:v>
                </c:pt>
                <c:pt idx="8">
                  <c:v>9</c:v>
                </c:pt>
              </c:numCache>
            </c:numRef>
          </c:cat>
          <c:val>
            <c:numRef>
              <c:f>Feuil1!$AL$94:$AT$94</c:f>
              <c:numCache>
                <c:formatCode>0.0</c:formatCode>
                <c:ptCount val="9"/>
                <c:pt idx="0" formatCode="General">
                  <c:v>1</c:v>
                </c:pt>
                <c:pt idx="1">
                  <c:v>2</c:v>
                </c:pt>
                <c:pt idx="2" formatCode="General">
                  <c:v>3</c:v>
                </c:pt>
                <c:pt idx="3" formatCode="General">
                  <c:v>4</c:v>
                </c:pt>
                <c:pt idx="4" formatCode="General">
                  <c:v>5</c:v>
                </c:pt>
                <c:pt idx="5">
                  <c:v>6</c:v>
                </c:pt>
                <c:pt idx="6">
                  <c:v>7</c:v>
                </c:pt>
                <c:pt idx="7">
                  <c:v>8</c:v>
                </c:pt>
                <c:pt idx="8">
                  <c:v>9</c:v>
                </c:pt>
              </c:numCache>
            </c:numRef>
          </c:val>
          <c:extLst>
            <c:ext xmlns:c16="http://schemas.microsoft.com/office/drawing/2014/chart" uri="{C3380CC4-5D6E-409C-BE32-E72D297353CC}">
              <c16:uniqueId val="{00000004-9199-44F7-9CAE-5B951AAD9841}"/>
            </c:ext>
          </c:extLst>
        </c:ser>
        <c:dLbls>
          <c:showLegendKey val="0"/>
          <c:showVal val="0"/>
          <c:showCatName val="0"/>
          <c:showSerName val="0"/>
          <c:showPercent val="0"/>
          <c:showBubbleSize val="0"/>
        </c:dLbls>
        <c:gapWidth val="150"/>
        <c:overlap val="100"/>
        <c:axId val="344062248"/>
        <c:axId val="344064992"/>
      </c:barChart>
      <c:catAx>
        <c:axId val="344066952"/>
        <c:scaling>
          <c:orientation val="minMax"/>
        </c:scaling>
        <c:delete val="0"/>
        <c:axPos val="l"/>
        <c:numFmt formatCode="General" sourceLinked="1"/>
        <c:majorTickMark val="out"/>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068520"/>
        <c:crosses val="autoZero"/>
        <c:auto val="1"/>
        <c:lblAlgn val="ctr"/>
        <c:lblOffset val="100"/>
        <c:noMultiLvlLbl val="0"/>
      </c:catAx>
      <c:valAx>
        <c:axId val="344068520"/>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4066952"/>
        <c:crosses val="autoZero"/>
        <c:crossBetween val="between"/>
      </c:valAx>
      <c:valAx>
        <c:axId val="344064992"/>
        <c:scaling>
          <c:orientation val="minMax"/>
          <c:max val="9"/>
        </c:scaling>
        <c:delete val="0"/>
        <c:axPos val="r"/>
        <c:numFmt formatCode="General" sourceLinked="1"/>
        <c:majorTickMark val="out"/>
        <c:minorTickMark val="none"/>
        <c:tickLblPos val="none"/>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062248"/>
        <c:crosses val="max"/>
        <c:crossBetween val="between"/>
      </c:valAx>
      <c:catAx>
        <c:axId val="344062248"/>
        <c:scaling>
          <c:orientation val="minMax"/>
        </c:scaling>
        <c:delete val="1"/>
        <c:axPos val="b"/>
        <c:numFmt formatCode="General" sourceLinked="1"/>
        <c:majorTickMark val="out"/>
        <c:minorTickMark val="none"/>
        <c:tickLblPos val="nextTo"/>
        <c:crossAx val="34406499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10E1E-0764-4266-81CC-A8ECCF06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nutrients-template</Template>
  <TotalTime>2</TotalTime>
  <Pages>19</Pages>
  <Words>44755</Words>
  <Characters>255106</Characters>
  <Application>Microsoft Office Word</Application>
  <DocSecurity>4</DocSecurity>
  <Lines>2125</Lines>
  <Paragraphs>598</Paragraphs>
  <ScaleCrop>false</ScaleCrop>
  <HeadingPairs>
    <vt:vector size="6" baseType="variant">
      <vt:variant>
        <vt:lpstr>Title</vt:lpstr>
      </vt:variant>
      <vt:variant>
        <vt:i4>1</vt:i4>
      </vt:variant>
      <vt:variant>
        <vt:lpstr>Titre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299263</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Aubert</dc:creator>
  <cp:keywords/>
  <dc:description/>
  <cp:lastModifiedBy>Karen Drake</cp:lastModifiedBy>
  <cp:revision>2</cp:revision>
  <cp:lastPrinted>2019-11-19T08:54:00Z</cp:lastPrinted>
  <dcterms:created xsi:type="dcterms:W3CDTF">2019-11-19T09:00:00Z</dcterms:created>
  <dcterms:modified xsi:type="dcterms:W3CDTF">2019-11-19T09:00:00Z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id="rIgP0P9C"/&gt;&lt;style id="http://www.zotero.org/styles/vancouver" locale="en-GB" hasBibliography="1" bibliographyStyleHasBeenSet="1"/&gt;&lt;prefs&gt;&lt;pref name="fieldType" value="Field"/&gt;&lt;/prefs&gt;&lt;/data&gt;</vt:lpwstr>
  </property>
</Properties>
</file>