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7AB" w:rsidRPr="00F16C81" w:rsidRDefault="00506396" w:rsidP="00B30282">
      <w:pPr>
        <w:pStyle w:val="Heading1"/>
        <w:rPr>
          <w:rFonts w:ascii="Calibri" w:hAnsi="Calibri" w:cstheme="minorHAnsi"/>
        </w:rPr>
      </w:pPr>
      <w:r w:rsidRPr="00F16C81">
        <w:rPr>
          <w:rFonts w:ascii="Calibri" w:hAnsi="Calibri" w:cstheme="minorHAnsi"/>
        </w:rPr>
        <w:t>Implementing an Early Feeding Pathway Post-Gastrostomy Insertion Reduces Inpatient Stay</w:t>
      </w:r>
    </w:p>
    <w:p w:rsidR="00506396" w:rsidRDefault="00506396">
      <w:pPr>
        <w:rPr>
          <w:rFonts w:ascii="Calibri" w:hAnsi="Calibri" w:cstheme="minorHAnsi"/>
        </w:rPr>
      </w:pPr>
    </w:p>
    <w:p w:rsidR="00570401" w:rsidRDefault="00570401">
      <w:pPr>
        <w:rPr>
          <w:rFonts w:ascii="Calibri" w:hAnsi="Calibri" w:cstheme="minorHAnsi"/>
        </w:rPr>
      </w:pPr>
      <w:r>
        <w:rPr>
          <w:rFonts w:ascii="Calibri" w:hAnsi="Calibri" w:cstheme="minorHAnsi"/>
        </w:rPr>
        <w:t>Authors: Christine Lam</w:t>
      </w:r>
      <w:r w:rsidRPr="00A65191">
        <w:rPr>
          <w:rFonts w:ascii="Calibri" w:hAnsi="Calibri" w:cstheme="minorHAnsi"/>
          <w:vertAlign w:val="superscript"/>
        </w:rPr>
        <w:t>1</w:t>
      </w:r>
      <w:r>
        <w:rPr>
          <w:rFonts w:ascii="Calibri" w:hAnsi="Calibri" w:cstheme="minorHAnsi"/>
        </w:rPr>
        <w:t xml:space="preserve">, </w:t>
      </w:r>
      <w:r w:rsidR="00A65191">
        <w:rPr>
          <w:rFonts w:ascii="Calibri" w:hAnsi="Calibri" w:cstheme="minorHAnsi"/>
        </w:rPr>
        <w:t>Karen Dick</w:t>
      </w:r>
      <w:r w:rsidR="00A65191" w:rsidRPr="00A65191">
        <w:rPr>
          <w:rFonts w:ascii="Calibri" w:hAnsi="Calibri" w:cstheme="minorHAnsi"/>
          <w:vertAlign w:val="superscript"/>
        </w:rPr>
        <w:t>1</w:t>
      </w:r>
      <w:r w:rsidR="00A65191">
        <w:rPr>
          <w:rFonts w:ascii="Calibri" w:hAnsi="Calibri" w:cstheme="minorHAnsi"/>
        </w:rPr>
        <w:t>, George Bethell</w:t>
      </w:r>
      <w:r w:rsidR="00A65191" w:rsidRPr="00A65191">
        <w:rPr>
          <w:rFonts w:ascii="Calibri" w:hAnsi="Calibri" w:cstheme="minorHAnsi"/>
          <w:vertAlign w:val="superscript"/>
        </w:rPr>
        <w:t>1</w:t>
      </w:r>
      <w:r w:rsidR="00A65191">
        <w:rPr>
          <w:rFonts w:ascii="Calibri" w:hAnsi="Calibri" w:cstheme="minorHAnsi"/>
        </w:rPr>
        <w:t>, Francesca Stedman</w:t>
      </w:r>
      <w:r w:rsidR="00A65191" w:rsidRPr="00A65191">
        <w:rPr>
          <w:rFonts w:ascii="Calibri" w:hAnsi="Calibri" w:cstheme="minorHAnsi"/>
          <w:vertAlign w:val="superscript"/>
        </w:rPr>
        <w:t>1</w:t>
      </w:r>
      <w:r w:rsidR="00A65191">
        <w:rPr>
          <w:rFonts w:ascii="Calibri" w:hAnsi="Calibri" w:cstheme="minorHAnsi"/>
        </w:rPr>
        <w:t>, S Charlie Keys</w:t>
      </w:r>
      <w:r w:rsidR="00A65191" w:rsidRPr="00A65191">
        <w:rPr>
          <w:rFonts w:ascii="Calibri" w:hAnsi="Calibri" w:cstheme="minorHAnsi"/>
          <w:vertAlign w:val="superscript"/>
        </w:rPr>
        <w:t>1</w:t>
      </w:r>
      <w:r w:rsidR="00A65191">
        <w:rPr>
          <w:rFonts w:ascii="Calibri" w:hAnsi="Calibri" w:cstheme="minorHAnsi"/>
        </w:rPr>
        <w:t>, Ori Ron</w:t>
      </w:r>
      <w:r w:rsidR="00A65191" w:rsidRPr="00A65191">
        <w:rPr>
          <w:rFonts w:ascii="Calibri" w:hAnsi="Calibri" w:cstheme="minorHAnsi"/>
          <w:vertAlign w:val="superscript"/>
        </w:rPr>
        <w:t>1</w:t>
      </w:r>
      <w:r w:rsidR="00A65191">
        <w:rPr>
          <w:rFonts w:ascii="Calibri" w:hAnsi="Calibri" w:cstheme="minorHAnsi"/>
        </w:rPr>
        <w:t>, Lara Kitteringham</w:t>
      </w:r>
      <w:r w:rsidR="00A65191" w:rsidRPr="00A65191">
        <w:rPr>
          <w:rFonts w:ascii="Calibri" w:hAnsi="Calibri" w:cstheme="minorHAnsi"/>
          <w:vertAlign w:val="superscript"/>
        </w:rPr>
        <w:t>1</w:t>
      </w:r>
      <w:r w:rsidR="00A65191">
        <w:rPr>
          <w:rFonts w:ascii="Calibri" w:hAnsi="Calibri" w:cstheme="minorHAnsi"/>
        </w:rPr>
        <w:t>, Michael P Stanton</w:t>
      </w:r>
      <w:r w:rsidR="00A65191" w:rsidRPr="00A65191">
        <w:rPr>
          <w:rFonts w:ascii="Calibri" w:hAnsi="Calibri" w:cstheme="minorHAnsi"/>
          <w:vertAlign w:val="superscript"/>
        </w:rPr>
        <w:t>1</w:t>
      </w:r>
      <w:r w:rsidR="00A65191">
        <w:rPr>
          <w:rFonts w:ascii="Calibri" w:hAnsi="Calibri" w:cstheme="minorHAnsi"/>
        </w:rPr>
        <w:t xml:space="preserve">, </w:t>
      </w:r>
      <w:r>
        <w:rPr>
          <w:rFonts w:ascii="Calibri" w:hAnsi="Calibri" w:cstheme="minorHAnsi"/>
        </w:rPr>
        <w:t xml:space="preserve">Nigel J Hall </w:t>
      </w:r>
      <w:r w:rsidRPr="00A65191">
        <w:rPr>
          <w:rFonts w:ascii="Calibri" w:hAnsi="Calibri" w:cstheme="minorHAnsi"/>
          <w:vertAlign w:val="superscript"/>
        </w:rPr>
        <w:t>1,2</w:t>
      </w:r>
    </w:p>
    <w:p w:rsidR="00570401" w:rsidRDefault="00570401">
      <w:pPr>
        <w:rPr>
          <w:rFonts w:ascii="Calibri" w:hAnsi="Calibri" w:cstheme="minorHAnsi"/>
        </w:rPr>
      </w:pPr>
    </w:p>
    <w:p w:rsidR="00570401" w:rsidRDefault="00570401">
      <w:pPr>
        <w:rPr>
          <w:rFonts w:ascii="Calibri" w:hAnsi="Calibri" w:cstheme="minorHAnsi"/>
        </w:rPr>
      </w:pPr>
      <w:r>
        <w:rPr>
          <w:rFonts w:ascii="Calibri" w:hAnsi="Calibri" w:cstheme="minorHAnsi"/>
        </w:rPr>
        <w:t>Institutions:</w:t>
      </w:r>
    </w:p>
    <w:p w:rsidR="00570401" w:rsidRDefault="00570401">
      <w:pPr>
        <w:rPr>
          <w:rFonts w:ascii="Calibri" w:hAnsi="Calibri" w:cstheme="minorHAnsi"/>
        </w:rPr>
      </w:pPr>
    </w:p>
    <w:p w:rsidR="00570401" w:rsidRDefault="00570401">
      <w:pPr>
        <w:rPr>
          <w:rFonts w:ascii="Calibri" w:hAnsi="Calibri" w:cstheme="minorHAnsi"/>
        </w:rPr>
      </w:pPr>
      <w:r>
        <w:rPr>
          <w:rFonts w:ascii="Calibri" w:hAnsi="Calibri" w:cstheme="minorHAnsi"/>
        </w:rPr>
        <w:t>1. Department of Paediatric Surgery and Urology, Southampton Children’s Hospital, Southampton, UK</w:t>
      </w:r>
    </w:p>
    <w:p w:rsidR="00570401" w:rsidRDefault="00570401">
      <w:pPr>
        <w:rPr>
          <w:rFonts w:ascii="Calibri" w:hAnsi="Calibri" w:cstheme="minorHAnsi"/>
        </w:rPr>
      </w:pPr>
      <w:r>
        <w:rPr>
          <w:rFonts w:ascii="Calibri" w:hAnsi="Calibri" w:cstheme="minorHAnsi"/>
        </w:rPr>
        <w:t>2. University Surgery Unit, Faculty of Medicine, University of Southampton, Southampton, UK</w:t>
      </w:r>
    </w:p>
    <w:p w:rsidR="00BF17BD" w:rsidRDefault="00BF17BD">
      <w:pPr>
        <w:rPr>
          <w:rFonts w:ascii="Calibri" w:hAnsi="Calibri" w:cstheme="minorHAnsi"/>
        </w:rPr>
      </w:pPr>
    </w:p>
    <w:p w:rsidR="00046C57" w:rsidRDefault="00046C57">
      <w:pPr>
        <w:rPr>
          <w:rFonts w:ascii="Calibri" w:hAnsi="Calibri" w:cstheme="minorHAnsi"/>
        </w:rPr>
      </w:pPr>
      <w:r>
        <w:rPr>
          <w:rFonts w:ascii="Calibri" w:hAnsi="Calibri" w:cstheme="minorHAnsi"/>
        </w:rPr>
        <w:t>Author Emails:</w:t>
      </w:r>
    </w:p>
    <w:p w:rsidR="00570401" w:rsidRDefault="00370FE4">
      <w:pPr>
        <w:rPr>
          <w:rFonts w:ascii="Calibri" w:hAnsi="Calibri" w:cstheme="minorHAnsi"/>
        </w:rPr>
      </w:pPr>
      <w:r>
        <w:rPr>
          <w:rFonts w:ascii="Calibri" w:hAnsi="Calibri" w:cstheme="minorHAnsi"/>
        </w:rPr>
        <w:t xml:space="preserve">Christine Lam: </w:t>
      </w:r>
      <w:r w:rsidR="008E175B">
        <w:rPr>
          <w:rFonts w:ascii="Calibri" w:hAnsi="Calibri" w:cstheme="minorHAnsi"/>
        </w:rPr>
        <w:t>C</w:t>
      </w:r>
      <w:r>
        <w:rPr>
          <w:rFonts w:ascii="Calibri" w:hAnsi="Calibri" w:cstheme="minorHAnsi"/>
        </w:rPr>
        <w:t>hristine.s.lam@hotmail.com</w:t>
      </w:r>
    </w:p>
    <w:p w:rsidR="00370FE4" w:rsidRDefault="00370FE4">
      <w:pPr>
        <w:rPr>
          <w:rFonts w:ascii="Calibri" w:hAnsi="Calibri" w:cstheme="minorHAnsi"/>
        </w:rPr>
      </w:pPr>
      <w:r>
        <w:rPr>
          <w:rFonts w:ascii="Calibri" w:hAnsi="Calibri" w:cstheme="minorHAnsi"/>
        </w:rPr>
        <w:t xml:space="preserve">Karen Dick: </w:t>
      </w:r>
      <w:r w:rsidR="008E175B">
        <w:rPr>
          <w:rFonts w:ascii="Calibri" w:hAnsi="Calibri" w:cstheme="minorHAnsi"/>
        </w:rPr>
        <w:t>Karen.dick@uhs.nhs.uk</w:t>
      </w:r>
    </w:p>
    <w:p w:rsidR="00370FE4" w:rsidRDefault="00370FE4">
      <w:pPr>
        <w:rPr>
          <w:rFonts w:ascii="Calibri" w:hAnsi="Calibri" w:cstheme="minorHAnsi"/>
        </w:rPr>
      </w:pPr>
      <w:r>
        <w:rPr>
          <w:rFonts w:ascii="Calibri" w:hAnsi="Calibri" w:cstheme="minorHAnsi"/>
        </w:rPr>
        <w:t>George Bethell: gbethell@doctors.org.uk</w:t>
      </w:r>
    </w:p>
    <w:p w:rsidR="00370FE4" w:rsidRDefault="00370FE4">
      <w:pPr>
        <w:rPr>
          <w:rFonts w:ascii="Calibri" w:hAnsi="Calibri" w:cstheme="minorHAnsi"/>
        </w:rPr>
      </w:pPr>
      <w:r>
        <w:rPr>
          <w:rFonts w:ascii="Calibri" w:hAnsi="Calibri" w:cstheme="minorHAnsi"/>
        </w:rPr>
        <w:t>Francesca Stedman:Francesca.stedman@uhs.nhs.uk</w:t>
      </w:r>
    </w:p>
    <w:p w:rsidR="00370FE4" w:rsidRDefault="00370FE4">
      <w:pPr>
        <w:rPr>
          <w:rFonts w:ascii="Calibri" w:hAnsi="Calibri" w:cstheme="minorHAnsi"/>
        </w:rPr>
      </w:pPr>
      <w:r>
        <w:rPr>
          <w:rFonts w:ascii="Calibri" w:hAnsi="Calibri" w:cstheme="minorHAnsi"/>
        </w:rPr>
        <w:t>S Charlie Keys: Charles.keys@uhs.nhs.uk</w:t>
      </w:r>
    </w:p>
    <w:p w:rsidR="00370FE4" w:rsidRDefault="00370FE4">
      <w:pPr>
        <w:rPr>
          <w:rFonts w:ascii="Calibri" w:hAnsi="Calibri" w:cstheme="minorHAnsi"/>
        </w:rPr>
      </w:pPr>
      <w:r>
        <w:rPr>
          <w:rFonts w:ascii="Calibri" w:hAnsi="Calibri" w:cstheme="minorHAnsi"/>
        </w:rPr>
        <w:t xml:space="preserve">Ori Ron: </w:t>
      </w:r>
      <w:r w:rsidRPr="00370FE4">
        <w:rPr>
          <w:rFonts w:ascii="Calibri" w:hAnsi="Calibri" w:cstheme="minorHAnsi"/>
        </w:rPr>
        <w:t>Ori.ron@uhs.nhs.uk</w:t>
      </w:r>
    </w:p>
    <w:p w:rsidR="00370FE4" w:rsidRDefault="00370FE4">
      <w:pPr>
        <w:rPr>
          <w:rFonts w:ascii="Calibri" w:hAnsi="Calibri" w:cstheme="minorHAnsi"/>
        </w:rPr>
      </w:pPr>
      <w:r>
        <w:rPr>
          <w:rFonts w:ascii="Calibri" w:hAnsi="Calibri" w:cstheme="minorHAnsi"/>
        </w:rPr>
        <w:t>Lara Kitteringham: Lara.kitteringham@uhs.nhs.uk</w:t>
      </w:r>
    </w:p>
    <w:p w:rsidR="00370FE4" w:rsidRDefault="00370FE4">
      <w:pPr>
        <w:rPr>
          <w:rFonts w:ascii="Segoe UI" w:eastAsia="Times New Roman" w:hAnsi="Segoe UI" w:cs="Segoe UI"/>
          <w:color w:val="0078D4"/>
          <w:sz w:val="18"/>
          <w:szCs w:val="18"/>
          <w:shd w:val="clear" w:color="auto" w:fill="EDEBE9"/>
        </w:rPr>
      </w:pPr>
      <w:r>
        <w:rPr>
          <w:rFonts w:ascii="Calibri" w:hAnsi="Calibri" w:cstheme="minorHAnsi"/>
        </w:rPr>
        <w:t>Michael P Stanton: Michael.stanton@uhs.nhs.uk</w:t>
      </w:r>
    </w:p>
    <w:p w:rsidR="00370FE4" w:rsidRDefault="00370FE4">
      <w:pPr>
        <w:rPr>
          <w:rFonts w:ascii="Calibri" w:hAnsi="Calibri" w:cstheme="minorHAnsi"/>
        </w:rPr>
      </w:pPr>
    </w:p>
    <w:p w:rsidR="00370FE4" w:rsidRDefault="00370FE4">
      <w:pPr>
        <w:rPr>
          <w:rFonts w:ascii="Calibri" w:hAnsi="Calibri" w:cstheme="minorHAnsi"/>
        </w:rPr>
      </w:pPr>
    </w:p>
    <w:p w:rsidR="00570401" w:rsidRDefault="00570401">
      <w:pPr>
        <w:rPr>
          <w:rFonts w:ascii="Calibri" w:hAnsi="Calibri" w:cstheme="minorHAnsi"/>
        </w:rPr>
      </w:pPr>
      <w:r>
        <w:rPr>
          <w:rFonts w:ascii="Calibri" w:hAnsi="Calibri" w:cstheme="minorHAnsi"/>
        </w:rPr>
        <w:t>Author for correspondence</w:t>
      </w:r>
      <w:r w:rsidR="00A65191">
        <w:rPr>
          <w:rFonts w:ascii="Calibri" w:hAnsi="Calibri" w:cstheme="minorHAnsi"/>
        </w:rPr>
        <w:t>:</w:t>
      </w:r>
    </w:p>
    <w:p w:rsidR="00570401" w:rsidRDefault="00570401">
      <w:pPr>
        <w:rPr>
          <w:rFonts w:ascii="Calibri" w:hAnsi="Calibri" w:cstheme="minorHAnsi"/>
        </w:rPr>
      </w:pPr>
    </w:p>
    <w:p w:rsidR="00570401" w:rsidRDefault="00570401">
      <w:pPr>
        <w:rPr>
          <w:rFonts w:ascii="Calibri" w:hAnsi="Calibri" w:cstheme="minorHAnsi"/>
        </w:rPr>
      </w:pPr>
      <w:r>
        <w:rPr>
          <w:rFonts w:ascii="Calibri" w:hAnsi="Calibri" w:cstheme="minorHAnsi"/>
        </w:rPr>
        <w:t>Nigel Hall</w:t>
      </w:r>
    </w:p>
    <w:p w:rsidR="00570401" w:rsidRDefault="00046C57">
      <w:pPr>
        <w:rPr>
          <w:rFonts w:ascii="Calibri" w:hAnsi="Calibri" w:cstheme="minorHAnsi"/>
        </w:rPr>
      </w:pPr>
      <w:r>
        <w:rPr>
          <w:rFonts w:ascii="Calibri" w:hAnsi="Calibri" w:cstheme="minorHAnsi"/>
        </w:rPr>
        <w:t>University Surgery Unit</w:t>
      </w:r>
    </w:p>
    <w:p w:rsidR="00570401" w:rsidRDefault="00570401">
      <w:pPr>
        <w:rPr>
          <w:rFonts w:ascii="Calibri" w:hAnsi="Calibri" w:cstheme="minorHAnsi"/>
        </w:rPr>
      </w:pPr>
      <w:r>
        <w:rPr>
          <w:rFonts w:ascii="Calibri" w:hAnsi="Calibri" w:cstheme="minorHAnsi"/>
        </w:rPr>
        <w:t>Faculty of Medicine,</w:t>
      </w:r>
    </w:p>
    <w:p w:rsidR="00570401" w:rsidRDefault="00570401">
      <w:pPr>
        <w:rPr>
          <w:rFonts w:ascii="Calibri" w:hAnsi="Calibri" w:cstheme="minorHAnsi"/>
        </w:rPr>
      </w:pPr>
      <w:r>
        <w:rPr>
          <w:rFonts w:ascii="Calibri" w:hAnsi="Calibri" w:cstheme="minorHAnsi"/>
        </w:rPr>
        <w:t>University of Southampton,</w:t>
      </w:r>
    </w:p>
    <w:p w:rsidR="00570401" w:rsidRDefault="00570401">
      <w:pPr>
        <w:rPr>
          <w:rFonts w:ascii="Calibri" w:hAnsi="Calibri" w:cstheme="minorHAnsi"/>
        </w:rPr>
      </w:pPr>
      <w:proofErr w:type="spellStart"/>
      <w:r>
        <w:rPr>
          <w:rFonts w:ascii="Calibri" w:hAnsi="Calibri" w:cstheme="minorHAnsi"/>
        </w:rPr>
        <w:t>Mailpoint</w:t>
      </w:r>
      <w:proofErr w:type="spellEnd"/>
      <w:r>
        <w:rPr>
          <w:rFonts w:ascii="Calibri" w:hAnsi="Calibri" w:cstheme="minorHAnsi"/>
        </w:rPr>
        <w:t xml:space="preserve"> 816</w:t>
      </w:r>
    </w:p>
    <w:p w:rsidR="00570401" w:rsidRDefault="00570401">
      <w:pPr>
        <w:rPr>
          <w:rFonts w:ascii="Calibri" w:hAnsi="Calibri" w:cstheme="minorHAnsi"/>
        </w:rPr>
      </w:pPr>
      <w:r>
        <w:rPr>
          <w:rFonts w:ascii="Calibri" w:hAnsi="Calibri" w:cstheme="minorHAnsi"/>
        </w:rPr>
        <w:t>Southampton General Hospital</w:t>
      </w:r>
    </w:p>
    <w:p w:rsidR="00570401" w:rsidRDefault="00570401">
      <w:pPr>
        <w:rPr>
          <w:rFonts w:ascii="Calibri" w:hAnsi="Calibri" w:cstheme="minorHAnsi"/>
        </w:rPr>
      </w:pPr>
      <w:proofErr w:type="spellStart"/>
      <w:r>
        <w:rPr>
          <w:rFonts w:ascii="Calibri" w:hAnsi="Calibri" w:cstheme="minorHAnsi"/>
        </w:rPr>
        <w:t>Tremona</w:t>
      </w:r>
      <w:proofErr w:type="spellEnd"/>
      <w:r>
        <w:rPr>
          <w:rFonts w:ascii="Calibri" w:hAnsi="Calibri" w:cstheme="minorHAnsi"/>
        </w:rPr>
        <w:t xml:space="preserve"> Road</w:t>
      </w:r>
    </w:p>
    <w:p w:rsidR="00570401" w:rsidRDefault="00570401">
      <w:pPr>
        <w:rPr>
          <w:rFonts w:ascii="Calibri" w:hAnsi="Calibri" w:cstheme="minorHAnsi"/>
        </w:rPr>
      </w:pPr>
      <w:r>
        <w:rPr>
          <w:rFonts w:ascii="Calibri" w:hAnsi="Calibri" w:cstheme="minorHAnsi"/>
        </w:rPr>
        <w:t>Southampton,</w:t>
      </w:r>
    </w:p>
    <w:p w:rsidR="00570401" w:rsidRDefault="00570401">
      <w:pPr>
        <w:rPr>
          <w:rFonts w:ascii="Calibri" w:hAnsi="Calibri" w:cstheme="minorHAnsi"/>
        </w:rPr>
      </w:pPr>
      <w:r>
        <w:rPr>
          <w:rFonts w:ascii="Calibri" w:hAnsi="Calibri" w:cstheme="minorHAnsi"/>
        </w:rPr>
        <w:t>SO16 6YD</w:t>
      </w:r>
    </w:p>
    <w:p w:rsidR="00570401" w:rsidRDefault="00570401">
      <w:pPr>
        <w:rPr>
          <w:rFonts w:ascii="Calibri" w:hAnsi="Calibri" w:cstheme="minorHAnsi"/>
        </w:rPr>
      </w:pPr>
      <w:r>
        <w:rPr>
          <w:rFonts w:ascii="Calibri" w:hAnsi="Calibri" w:cstheme="minorHAnsi"/>
        </w:rPr>
        <w:t>UK</w:t>
      </w:r>
    </w:p>
    <w:p w:rsidR="00570401" w:rsidRDefault="00570401">
      <w:pPr>
        <w:rPr>
          <w:rFonts w:ascii="Calibri" w:hAnsi="Calibri" w:cstheme="minorHAnsi"/>
        </w:rPr>
      </w:pPr>
    </w:p>
    <w:p w:rsidR="00570401" w:rsidRPr="00F16C81" w:rsidRDefault="00570401">
      <w:pPr>
        <w:rPr>
          <w:rFonts w:ascii="Calibri" w:hAnsi="Calibri" w:cstheme="minorHAnsi"/>
        </w:rPr>
      </w:pPr>
      <w:r>
        <w:rPr>
          <w:rFonts w:ascii="Calibri" w:hAnsi="Calibri" w:cstheme="minorHAnsi"/>
        </w:rPr>
        <w:t>Email: n.j.hall@soton.ac.uk</w:t>
      </w:r>
    </w:p>
    <w:p w:rsidR="00BF17BD" w:rsidRDefault="00BF17BD">
      <w:pPr>
        <w:rPr>
          <w:rFonts w:ascii="Calibri" w:hAnsi="Calibri"/>
        </w:rPr>
      </w:pPr>
    </w:p>
    <w:p w:rsidR="00570401" w:rsidRDefault="00BF17BD">
      <w:pPr>
        <w:rPr>
          <w:rFonts w:ascii="Calibri" w:eastAsiaTheme="majorEastAsia" w:hAnsi="Calibri" w:cstheme="majorBidi"/>
          <w:color w:val="2E74B5" w:themeColor="accent1" w:themeShade="BF"/>
          <w:sz w:val="26"/>
          <w:szCs w:val="26"/>
          <w:lang w:eastAsia="en-US"/>
        </w:rPr>
      </w:pPr>
      <w:r>
        <w:rPr>
          <w:rFonts w:ascii="Calibri" w:hAnsi="Calibri"/>
        </w:rPr>
        <w:t xml:space="preserve">Declarations of interest: None </w:t>
      </w:r>
      <w:r w:rsidR="00570401">
        <w:rPr>
          <w:rFonts w:ascii="Calibri" w:hAnsi="Calibri"/>
        </w:rPr>
        <w:br w:type="page"/>
      </w:r>
    </w:p>
    <w:p w:rsidR="00703D4D" w:rsidRPr="00F16C81" w:rsidRDefault="00703D4D" w:rsidP="00703D4D">
      <w:pPr>
        <w:pStyle w:val="Heading2"/>
        <w:rPr>
          <w:rFonts w:ascii="Calibri" w:hAnsi="Calibri"/>
        </w:rPr>
      </w:pPr>
      <w:r w:rsidRPr="00F16C81">
        <w:rPr>
          <w:rFonts w:ascii="Calibri" w:hAnsi="Calibri"/>
        </w:rPr>
        <w:lastRenderedPageBreak/>
        <w:t>Abstract</w:t>
      </w:r>
    </w:p>
    <w:p w:rsidR="00420C05" w:rsidRPr="00F16C81" w:rsidRDefault="00703D4D" w:rsidP="00EA49A3">
      <w:pPr>
        <w:rPr>
          <w:rFonts w:ascii="Calibri" w:hAnsi="Calibri"/>
        </w:rPr>
      </w:pPr>
      <w:r w:rsidRPr="00F16C81">
        <w:rPr>
          <w:rFonts w:ascii="Calibri" w:hAnsi="Calibri" w:cstheme="minorHAnsi"/>
          <w:b/>
        </w:rPr>
        <w:t>Background:</w:t>
      </w:r>
      <w:r w:rsidRPr="00F16C81">
        <w:rPr>
          <w:rFonts w:ascii="Calibri" w:hAnsi="Calibri" w:cstheme="minorHAnsi"/>
        </w:rPr>
        <w:t xml:space="preserve"> </w:t>
      </w:r>
      <w:r w:rsidR="00EA49A3" w:rsidRPr="00F16C81">
        <w:rPr>
          <w:rFonts w:ascii="Calibri" w:hAnsi="Calibri"/>
        </w:rPr>
        <w:t xml:space="preserve">There is no consensus regarding </w:t>
      </w:r>
      <w:r w:rsidR="00F66436">
        <w:rPr>
          <w:rFonts w:ascii="Calibri" w:hAnsi="Calibri"/>
        </w:rPr>
        <w:t xml:space="preserve">optimal </w:t>
      </w:r>
      <w:r w:rsidR="00EA49A3" w:rsidRPr="00F16C81">
        <w:rPr>
          <w:rFonts w:ascii="Calibri" w:hAnsi="Calibri"/>
        </w:rPr>
        <w:t xml:space="preserve">post-operative feeding strategy following gastrostomy insertion in children. The aim of this study was to determine whether implementing an early post-operative feeding pathway reduces length of stay (LOS) without increasing </w:t>
      </w:r>
      <w:r w:rsidR="00420C05" w:rsidRPr="00F16C81">
        <w:rPr>
          <w:rFonts w:ascii="Calibri" w:hAnsi="Calibri"/>
        </w:rPr>
        <w:t>complications.</w:t>
      </w:r>
    </w:p>
    <w:p w:rsidR="00EA49A3" w:rsidRPr="00F16C81" w:rsidRDefault="00420C05" w:rsidP="00EA49A3">
      <w:pPr>
        <w:rPr>
          <w:rFonts w:ascii="Calibri" w:hAnsi="Calibri"/>
        </w:rPr>
      </w:pPr>
      <w:r w:rsidRPr="00F16C81">
        <w:rPr>
          <w:rFonts w:ascii="Calibri" w:hAnsi="Calibri"/>
          <w:b/>
        </w:rPr>
        <w:t>Methods:</w:t>
      </w:r>
      <w:r w:rsidRPr="00F16C81">
        <w:rPr>
          <w:rFonts w:ascii="Calibri" w:hAnsi="Calibri"/>
        </w:rPr>
        <w:t xml:space="preserve"> </w:t>
      </w:r>
      <w:r w:rsidR="00EA49A3" w:rsidRPr="00F16C81">
        <w:rPr>
          <w:rFonts w:ascii="Calibri" w:hAnsi="Calibri"/>
        </w:rPr>
        <w:t>Retrospective</w:t>
      </w:r>
      <w:r w:rsidRPr="00F16C81">
        <w:rPr>
          <w:rFonts w:ascii="Calibri" w:hAnsi="Calibri"/>
        </w:rPr>
        <w:t xml:space="preserve"> </w:t>
      </w:r>
      <w:proofErr w:type="spellStart"/>
      <w:r w:rsidRPr="00F16C81">
        <w:rPr>
          <w:rFonts w:ascii="Calibri" w:hAnsi="Calibri"/>
        </w:rPr>
        <w:t>casenote</w:t>
      </w:r>
      <w:proofErr w:type="spellEnd"/>
      <w:r w:rsidRPr="00F16C81">
        <w:rPr>
          <w:rFonts w:ascii="Calibri" w:hAnsi="Calibri"/>
        </w:rPr>
        <w:t xml:space="preserve"> </w:t>
      </w:r>
      <w:r w:rsidR="00EA49A3" w:rsidRPr="00F16C81">
        <w:rPr>
          <w:rFonts w:ascii="Calibri" w:hAnsi="Calibri"/>
        </w:rPr>
        <w:t xml:space="preserve">review of </w:t>
      </w:r>
      <w:r w:rsidR="00F66436">
        <w:rPr>
          <w:rFonts w:ascii="Calibri" w:hAnsi="Calibri"/>
        </w:rPr>
        <w:t xml:space="preserve">all </w:t>
      </w:r>
      <w:r w:rsidR="00EA49A3" w:rsidRPr="00F16C81">
        <w:rPr>
          <w:rFonts w:ascii="Calibri" w:hAnsi="Calibri"/>
        </w:rPr>
        <w:t xml:space="preserve">children having a new gastrostomy inserted during a </w:t>
      </w:r>
      <w:r w:rsidR="00824789" w:rsidRPr="00F16C81">
        <w:rPr>
          <w:rFonts w:ascii="Calibri" w:hAnsi="Calibri"/>
        </w:rPr>
        <w:t>one-</w:t>
      </w:r>
      <w:r w:rsidR="00EA49A3" w:rsidRPr="00F16C81">
        <w:rPr>
          <w:rFonts w:ascii="Calibri" w:hAnsi="Calibri"/>
        </w:rPr>
        <w:t xml:space="preserve">year period prior to (July 2016 - July 2017) and following (July 2017-July 2018) pathway introduction. Children </w:t>
      </w:r>
      <w:r w:rsidR="00F66436">
        <w:rPr>
          <w:rFonts w:ascii="Calibri" w:hAnsi="Calibri"/>
        </w:rPr>
        <w:t xml:space="preserve">unable </w:t>
      </w:r>
      <w:r w:rsidR="00EA49A3" w:rsidRPr="00F16C81">
        <w:rPr>
          <w:rFonts w:ascii="Calibri" w:hAnsi="Calibri"/>
        </w:rPr>
        <w:t xml:space="preserve">to follow the pathway </w:t>
      </w:r>
      <w:r w:rsidR="00F66436">
        <w:rPr>
          <w:rFonts w:ascii="Calibri" w:hAnsi="Calibri"/>
        </w:rPr>
        <w:t>for co-existing</w:t>
      </w:r>
      <w:r w:rsidR="00F66436" w:rsidRPr="00F16C81">
        <w:rPr>
          <w:rFonts w:ascii="Calibri" w:hAnsi="Calibri"/>
        </w:rPr>
        <w:t xml:space="preserve"> me</w:t>
      </w:r>
      <w:r w:rsidR="00F66436">
        <w:rPr>
          <w:rFonts w:ascii="Calibri" w:hAnsi="Calibri"/>
        </w:rPr>
        <w:t>dical or nutritional reasons</w:t>
      </w:r>
      <w:r w:rsidR="00F66436" w:rsidRPr="00F16C81">
        <w:rPr>
          <w:rFonts w:ascii="Calibri" w:hAnsi="Calibri"/>
        </w:rPr>
        <w:t xml:space="preserve"> </w:t>
      </w:r>
      <w:r w:rsidR="00EA49A3" w:rsidRPr="00F16C81">
        <w:rPr>
          <w:rFonts w:ascii="Calibri" w:hAnsi="Calibri"/>
        </w:rPr>
        <w:t xml:space="preserve">were excluded. The pathway comprised feeding 50% of normal </w:t>
      </w:r>
      <w:r w:rsidR="00666458" w:rsidRPr="00F16C81">
        <w:rPr>
          <w:rFonts w:ascii="Calibri" w:hAnsi="Calibri"/>
        </w:rPr>
        <w:t>feed</w:t>
      </w:r>
      <w:r w:rsidR="00EA49A3" w:rsidRPr="00F16C81">
        <w:rPr>
          <w:rFonts w:ascii="Calibri" w:hAnsi="Calibri"/>
        </w:rPr>
        <w:t xml:space="preserve"> 2 hours post-procedure, followed by 100% of normal feed at 5 and 8 hours. Previously</w:t>
      </w:r>
      <w:r w:rsidR="00666458" w:rsidRPr="00F16C81">
        <w:rPr>
          <w:rFonts w:ascii="Calibri" w:hAnsi="Calibri"/>
        </w:rPr>
        <w:t>,</w:t>
      </w:r>
      <w:r w:rsidR="00EA49A3" w:rsidRPr="00F16C81">
        <w:rPr>
          <w:rFonts w:ascii="Calibri" w:hAnsi="Calibri"/>
        </w:rPr>
        <w:t xml:space="preserve"> patients were fed post-operatively according to surgeon’s preference. </w:t>
      </w:r>
    </w:p>
    <w:p w:rsidR="00EA49A3" w:rsidRPr="00F16C81" w:rsidRDefault="00EA49A3" w:rsidP="00EA49A3">
      <w:pPr>
        <w:rPr>
          <w:rFonts w:ascii="Calibri" w:hAnsi="Calibri"/>
        </w:rPr>
      </w:pPr>
      <w:r w:rsidRPr="00F16C81">
        <w:rPr>
          <w:rFonts w:ascii="Calibri" w:hAnsi="Calibri"/>
          <w:b/>
        </w:rPr>
        <w:t>Results:</w:t>
      </w:r>
      <w:r w:rsidRPr="00F16C81">
        <w:rPr>
          <w:rFonts w:ascii="Calibri" w:hAnsi="Calibri"/>
        </w:rPr>
        <w:t xml:space="preserve"> 116 cases met inclusion criteria</w:t>
      </w:r>
      <w:r w:rsidR="001F08E2" w:rsidRPr="00F16C81">
        <w:rPr>
          <w:rFonts w:ascii="Calibri" w:hAnsi="Calibri"/>
        </w:rPr>
        <w:t xml:space="preserve">l; </w:t>
      </w:r>
      <w:r w:rsidRPr="00F16C81">
        <w:rPr>
          <w:rFonts w:ascii="Calibri" w:hAnsi="Calibri"/>
        </w:rPr>
        <w:t xml:space="preserve">55 prior to and 61 after pathway implementation. Children following the early feeding pathway had a shorter post-operative LOS than the historical group (median 28 </w:t>
      </w:r>
      <w:r w:rsidRPr="00F16C81">
        <w:rPr>
          <w:rFonts w:ascii="Calibri" w:hAnsi="Calibri"/>
          <w:i/>
        </w:rPr>
        <w:t>vs</w:t>
      </w:r>
      <w:r w:rsidRPr="00F16C81">
        <w:rPr>
          <w:rFonts w:ascii="Calibri" w:hAnsi="Calibri"/>
        </w:rPr>
        <w:t xml:space="preserve"> 33 hours, p&lt;0.003) whilst immediate (&lt;72 hours) and early (&lt;30 day) complication rates were similar (8.2 </w:t>
      </w:r>
      <w:r w:rsidRPr="00F16C81">
        <w:rPr>
          <w:rFonts w:ascii="Calibri" w:hAnsi="Calibri"/>
          <w:i/>
        </w:rPr>
        <w:t xml:space="preserve">vs </w:t>
      </w:r>
      <w:r w:rsidRPr="00F16C81">
        <w:rPr>
          <w:rFonts w:ascii="Calibri" w:hAnsi="Calibri"/>
        </w:rPr>
        <w:t xml:space="preserve">7.3%, p=1.00 and 12 </w:t>
      </w:r>
      <w:r w:rsidRPr="00F16C81">
        <w:rPr>
          <w:rFonts w:ascii="Calibri" w:hAnsi="Calibri"/>
          <w:i/>
        </w:rPr>
        <w:t xml:space="preserve">vs </w:t>
      </w:r>
      <w:r w:rsidRPr="00F16C81">
        <w:rPr>
          <w:rFonts w:ascii="Calibri" w:hAnsi="Calibri"/>
        </w:rPr>
        <w:t>16%, p=0.59 respectively).</w:t>
      </w:r>
    </w:p>
    <w:p w:rsidR="00EA49A3" w:rsidRPr="00F16C81" w:rsidRDefault="00EA49A3" w:rsidP="00EA49A3">
      <w:pPr>
        <w:rPr>
          <w:rFonts w:ascii="Calibri" w:hAnsi="Calibri"/>
        </w:rPr>
      </w:pPr>
      <w:r w:rsidRPr="00F16C81">
        <w:rPr>
          <w:rFonts w:ascii="Calibri" w:hAnsi="Calibri"/>
          <w:b/>
        </w:rPr>
        <w:t xml:space="preserve">Conclusions: </w:t>
      </w:r>
      <w:r w:rsidRPr="00F16C81">
        <w:rPr>
          <w:rFonts w:ascii="Calibri" w:hAnsi="Calibri"/>
        </w:rPr>
        <w:t xml:space="preserve">We conclude that early post-operative feeding after gastrostomy insertion is safe and reduces LOS. </w:t>
      </w:r>
    </w:p>
    <w:p w:rsidR="00703D4D" w:rsidRDefault="00703D4D" w:rsidP="00703D4D">
      <w:pPr>
        <w:rPr>
          <w:rFonts w:ascii="Calibri" w:hAnsi="Calibri" w:cstheme="minorHAnsi"/>
        </w:rPr>
      </w:pPr>
    </w:p>
    <w:p w:rsidR="00FB5F8B" w:rsidRPr="00FB5F8B" w:rsidRDefault="00FB5F8B" w:rsidP="00703D4D">
      <w:pPr>
        <w:rPr>
          <w:rFonts w:ascii="Calibri" w:hAnsi="Calibri" w:cstheme="minorHAnsi"/>
          <w:highlight w:val="yellow"/>
        </w:rPr>
      </w:pPr>
      <w:r w:rsidRPr="00FB5F8B">
        <w:rPr>
          <w:rFonts w:ascii="Calibri" w:hAnsi="Calibri" w:cstheme="minorHAnsi"/>
          <w:b/>
          <w:highlight w:val="yellow"/>
        </w:rPr>
        <w:t>Type of Study:</w:t>
      </w:r>
      <w:r>
        <w:rPr>
          <w:rFonts w:ascii="Calibri" w:hAnsi="Calibri" w:cstheme="minorHAnsi"/>
          <w:highlight w:val="yellow"/>
        </w:rPr>
        <w:t xml:space="preserve"> </w:t>
      </w:r>
      <w:r w:rsidR="007D7BF8">
        <w:rPr>
          <w:rFonts w:ascii="Calibri" w:hAnsi="Calibri" w:cstheme="minorHAnsi"/>
          <w:highlight w:val="yellow"/>
        </w:rPr>
        <w:t>Quality improvement</w:t>
      </w:r>
    </w:p>
    <w:p w:rsidR="00FB5F8B" w:rsidRPr="00FB5F8B" w:rsidRDefault="00FB5F8B" w:rsidP="00703D4D">
      <w:pPr>
        <w:rPr>
          <w:rFonts w:ascii="Calibri" w:hAnsi="Calibri" w:cstheme="minorHAnsi"/>
          <w:b/>
        </w:rPr>
      </w:pPr>
      <w:r w:rsidRPr="00FB5F8B">
        <w:rPr>
          <w:rFonts w:ascii="Calibri" w:hAnsi="Calibri" w:cstheme="minorHAnsi"/>
          <w:b/>
          <w:highlight w:val="yellow"/>
        </w:rPr>
        <w:t>Level of Evidence:</w:t>
      </w:r>
      <w:r>
        <w:rPr>
          <w:rFonts w:ascii="Calibri" w:hAnsi="Calibri" w:cstheme="minorHAnsi"/>
          <w:b/>
        </w:rPr>
        <w:t xml:space="preserve"> </w:t>
      </w:r>
      <w:r w:rsidR="007D7BF8">
        <w:rPr>
          <w:rFonts w:ascii="Calibri" w:hAnsi="Calibri" w:cstheme="minorHAnsi"/>
          <w:b/>
        </w:rPr>
        <w:t xml:space="preserve"> III</w:t>
      </w:r>
    </w:p>
    <w:p w:rsidR="00703D4D" w:rsidRDefault="00FB5F8B" w:rsidP="00703D4D">
      <w:pPr>
        <w:rPr>
          <w:rFonts w:ascii="Calibri" w:hAnsi="Calibri" w:cstheme="minorHAnsi"/>
        </w:rPr>
      </w:pPr>
      <w:r>
        <w:rPr>
          <w:rFonts w:ascii="Calibri" w:hAnsi="Calibri" w:cstheme="minorHAnsi"/>
          <w:b/>
        </w:rPr>
        <w:t>Key</w:t>
      </w:r>
      <w:r w:rsidR="00703D4D" w:rsidRPr="00F16C81">
        <w:rPr>
          <w:rFonts w:ascii="Calibri" w:hAnsi="Calibri" w:cstheme="minorHAnsi"/>
          <w:b/>
        </w:rPr>
        <w:t>words:</w:t>
      </w:r>
      <w:r w:rsidR="00703D4D" w:rsidRPr="00F16C81">
        <w:rPr>
          <w:rFonts w:ascii="Calibri" w:hAnsi="Calibri" w:cstheme="minorHAnsi"/>
        </w:rPr>
        <w:t xml:space="preserve"> Gastrostomy; Early feeding; Paediatric; PEG</w:t>
      </w:r>
    </w:p>
    <w:p w:rsidR="00FB5F8B" w:rsidRPr="00FB5F8B" w:rsidRDefault="00FB5F8B" w:rsidP="00703D4D">
      <w:pPr>
        <w:rPr>
          <w:rFonts w:ascii="Calibri" w:hAnsi="Calibri" w:cstheme="minorHAnsi"/>
          <w:b/>
        </w:rPr>
      </w:pPr>
    </w:p>
    <w:p w:rsidR="00F66436" w:rsidRDefault="00F66436">
      <w:pPr>
        <w:rPr>
          <w:rFonts w:ascii="Calibri" w:hAnsi="Calibri" w:cstheme="minorHAnsi"/>
        </w:rPr>
      </w:pPr>
      <w:r>
        <w:rPr>
          <w:rFonts w:ascii="Calibri" w:hAnsi="Calibri" w:cstheme="minorHAnsi"/>
        </w:rPr>
        <w:br w:type="page"/>
      </w:r>
    </w:p>
    <w:p w:rsidR="00703D4D" w:rsidRPr="00F16C81" w:rsidRDefault="00703D4D" w:rsidP="00703D4D">
      <w:pPr>
        <w:rPr>
          <w:rFonts w:ascii="Calibri" w:hAnsi="Calibri" w:cstheme="minorHAnsi"/>
        </w:rPr>
      </w:pPr>
    </w:p>
    <w:p w:rsidR="00506396" w:rsidRPr="000177D4" w:rsidRDefault="00506396" w:rsidP="00B30282">
      <w:pPr>
        <w:pStyle w:val="Heading2"/>
        <w:rPr>
          <w:rFonts w:ascii="Calibri" w:hAnsi="Calibri" w:cstheme="minorHAnsi"/>
        </w:rPr>
      </w:pPr>
      <w:r w:rsidRPr="000177D4">
        <w:rPr>
          <w:rFonts w:ascii="Calibri" w:hAnsi="Calibri" w:cstheme="minorHAnsi"/>
        </w:rPr>
        <w:t xml:space="preserve">Introduction </w:t>
      </w:r>
    </w:p>
    <w:p w:rsidR="004E60F0" w:rsidRPr="000177D4" w:rsidRDefault="00BE7830" w:rsidP="00B30282">
      <w:pPr>
        <w:rPr>
          <w:rFonts w:ascii="Calibri" w:hAnsi="Calibri" w:cstheme="minorHAnsi"/>
        </w:rPr>
      </w:pPr>
      <w:r w:rsidRPr="000177D4">
        <w:rPr>
          <w:rFonts w:ascii="Calibri" w:hAnsi="Calibri" w:cstheme="minorHAnsi"/>
        </w:rPr>
        <w:t>Gastrostomy insertion</w:t>
      </w:r>
      <w:r w:rsidR="00F66436" w:rsidRPr="000177D4">
        <w:rPr>
          <w:rFonts w:ascii="Calibri" w:hAnsi="Calibri" w:cstheme="minorHAnsi"/>
        </w:rPr>
        <w:t xml:space="preserve"> i</w:t>
      </w:r>
      <w:r w:rsidRPr="000177D4">
        <w:rPr>
          <w:rFonts w:ascii="Calibri" w:hAnsi="Calibri" w:cstheme="minorHAnsi"/>
        </w:rPr>
        <w:t>s a common</w:t>
      </w:r>
      <w:r w:rsidR="00062783" w:rsidRPr="000177D4">
        <w:rPr>
          <w:rFonts w:ascii="Calibri" w:hAnsi="Calibri" w:cstheme="minorHAnsi"/>
        </w:rPr>
        <w:t xml:space="preserve"> elective</w:t>
      </w:r>
      <w:r w:rsidRPr="000177D4">
        <w:rPr>
          <w:rFonts w:ascii="Calibri" w:hAnsi="Calibri" w:cstheme="minorHAnsi"/>
        </w:rPr>
        <w:t xml:space="preserve"> paediatric surgery operation</w:t>
      </w:r>
      <w:r w:rsidR="00062783" w:rsidRPr="000177D4">
        <w:rPr>
          <w:rFonts w:ascii="Calibri" w:hAnsi="Calibri" w:cstheme="minorHAnsi"/>
        </w:rPr>
        <w:t>. T</w:t>
      </w:r>
      <w:r w:rsidR="00410757" w:rsidRPr="000177D4">
        <w:rPr>
          <w:rFonts w:ascii="Calibri" w:hAnsi="Calibri" w:cstheme="minorHAnsi"/>
        </w:rPr>
        <w:t>he</w:t>
      </w:r>
      <w:r w:rsidR="00F66436" w:rsidRPr="000177D4">
        <w:rPr>
          <w:rFonts w:ascii="Calibri" w:hAnsi="Calibri" w:cstheme="minorHAnsi"/>
        </w:rPr>
        <w:t xml:space="preserve"> most frequent indication for gastrostomy inserti</w:t>
      </w:r>
      <w:bookmarkStart w:id="0" w:name="_GoBack"/>
      <w:bookmarkEnd w:id="0"/>
      <w:r w:rsidR="00F66436" w:rsidRPr="000177D4">
        <w:rPr>
          <w:rFonts w:ascii="Calibri" w:hAnsi="Calibri" w:cstheme="minorHAnsi"/>
        </w:rPr>
        <w:t xml:space="preserve">on is </w:t>
      </w:r>
      <w:r w:rsidR="00410757" w:rsidRPr="000177D4">
        <w:rPr>
          <w:rFonts w:ascii="Calibri" w:hAnsi="Calibri" w:cstheme="minorHAnsi"/>
        </w:rPr>
        <w:t xml:space="preserve">nutritional deficiency </w:t>
      </w:r>
      <w:r w:rsidR="002521EC" w:rsidRPr="000177D4">
        <w:rPr>
          <w:rFonts w:ascii="Calibri" w:hAnsi="Calibri" w:cstheme="minorHAnsi"/>
        </w:rPr>
        <w:t xml:space="preserve">or </w:t>
      </w:r>
      <w:r w:rsidR="00F66436" w:rsidRPr="000177D4">
        <w:rPr>
          <w:rFonts w:ascii="Calibri" w:hAnsi="Calibri" w:cstheme="minorHAnsi"/>
        </w:rPr>
        <w:t xml:space="preserve">swallowing </w:t>
      </w:r>
      <w:r w:rsidR="00410757" w:rsidRPr="000177D4">
        <w:rPr>
          <w:rFonts w:ascii="Calibri" w:hAnsi="Calibri" w:cstheme="minorHAnsi"/>
        </w:rPr>
        <w:t xml:space="preserve">impairment </w:t>
      </w:r>
      <w:r w:rsidR="00F66436" w:rsidRPr="000177D4">
        <w:rPr>
          <w:rFonts w:ascii="Calibri" w:hAnsi="Calibri" w:cstheme="minorHAnsi"/>
        </w:rPr>
        <w:t>secondary to</w:t>
      </w:r>
      <w:r w:rsidR="00410757" w:rsidRPr="000177D4">
        <w:rPr>
          <w:rFonts w:ascii="Calibri" w:hAnsi="Calibri" w:cstheme="minorHAnsi"/>
        </w:rPr>
        <w:t xml:space="preserve"> neurological disorders or congenital malformations</w:t>
      </w:r>
      <w:r w:rsidR="00062783" w:rsidRPr="000177D4">
        <w:rPr>
          <w:rFonts w:ascii="Calibri" w:hAnsi="Calibri" w:cstheme="minorHAnsi"/>
        </w:rPr>
        <w:t xml:space="preserve"> </w:t>
      </w:r>
      <w:r w:rsidR="002D5723" w:rsidRPr="000177D4">
        <w:rPr>
          <w:rFonts w:ascii="Calibri" w:hAnsi="Calibri" w:cstheme="minorHAnsi"/>
        </w:rPr>
        <w:fldChar w:fldCharType="begin" w:fldLock="1"/>
      </w:r>
      <w:r w:rsidR="0047437A" w:rsidRPr="000177D4">
        <w:rPr>
          <w:rFonts w:ascii="Calibri" w:hAnsi="Calibri" w:cstheme="minorHAnsi"/>
        </w:rPr>
        <w:instrText>ADDIN CSL_CITATION { "citationItems" : [ { "id" : "ITEM-1", "itemData" : { "DOI" : "10.1097/MPG.0000000000000501", "ISBN" : "0000000000000", "ISSN" : "15364801", "abstract" : "? 2014 by European Society for Pediatric Gastroenterology, Hepatology, and Nutrition and North American Society for Pediatric Gastroenterology, Hepatology, and Nutrition.OBJECTIVES:: This European Society for Pediatric Gastroenterology, Hepatology, and Nutrition (ESPGHAN) position statement provides a comprehensive guide for health care providers to manage percutaneous endoscopic gastrostomy tubes in a safe, effective, and appropriate way. METHODS:: Relevant literature from searches of PubMed, CINAHL, and recent guidelines was reviewed. In the absence of evidence, recommendations reflect the expert opinion of the authors. Final consensus was obtained by multiple e-mail exchange and during 3 face-to-face meetings of the gastroenterology committee of the European Society for Pediatric Gastroenterology, Hepatology, and Nutrition. RESULTS:: Endoscopically placed gastrostomy devices are essential in the management of children with feeding and nutritional problems. The article focuses on practical issues such as indications and contraindications. CONCLUSIONS:: The decision to place an endoscopic gastrostomy has to be made by an appropriate multidisciplinary team, which then provides active follow-up and care for the child and the device.", "author" : [ { "dropping-particle" : "", "family" : "Heuschkel", "given" : "R. B.", "non-dropping-particle" : "", "parse-names" : false, "suffix" : "" }, { "dropping-particle" : "", "family" : "Gottrand", "given" : "F.", "non-dropping-particle" : "", "parse-names" : false, "suffix" : "" }, { "dropping-particle" : "", "family" : "Devarajan", "given" : "K.", "non-dropping-particle" : "", "parse-names" : false, "suffix" : "" }, { "dropping-particle" : "", "family" : "Poole", "given" : "H.", "non-dropping-particle" : "", "parse-names" : false, "suffix" : "" }, { "dropping-particle" : "", "family" : "Callan", "given" : "J.", "non-dropping-particle" : "", "parse-names" : false, "suffix" : "" }, { "dropping-particle" : "", "family" : "Dias", "given" : "J. A.", "non-dropping-particle" : "", "parse-names" : false, "suffix" : "" }, { "dropping-particle" : "", "family" : "Karkelis", "given" : "S.", "non-dropping-particle" : "", "parse-names" : false, "suffix" : "" }, { "dropping-particle" : "", "family" : "Papadopoulou", "given" : "A.", "non-dropping-particle" : "", "parse-names" : false, "suffix" : "" }, { "dropping-particle" : "", "family" : "Husby", "given" : "S.", "non-dropping-particle" : "", "parse-names" : false, "suffix" : "" }, { "dropping-particle" : "", "family" : "Ruemmele", "given" : "F.", "non-dropping-particle" : "", "parse-names" : false, "suffix" : "" }, { "dropping-particle" : "", "family" : "Sch\u00e4ppi", "given" : "M. G.", "non-dropping-particle" : "", "parse-names" : false, "suffix" : "" }, { "dropping-particle" : "", "family" : "Wilschanski", "given" : "M", "non-dropping-particle" : "", "parse-names" : false, "suffix" : "" }, { "dropping-particle" : "", "family" : "Lionetti", "given" : "P", "non-dropping-particle" : "", "parse-names" : false, "suffix" : "" }, { "dropping-particle" : "", "family" : "Orel", "given" : "R.", "non-dropping-particle" : "", "parse-names" : false, "suffix" : "" }, { "dropping-particle" : "", "family" : "Tovar", "given" : "J.", "non-dropping-particle" : "", "parse-names" : false, "suffix" : "" }, { "dropping-particle" : "", "family" : "Thapar", "given" : "N.", "non-dropping-particle" : "", "parse-names" : false, "suffix" : "" }, { "dropping-particle" : "", "family" : "Vandenplas", "given" : "Y.", "non-dropping-particle" : "", "parse-names" : false, "suffix" : "" } ], "container-title" : "Journal of Pediatric Gastroenterology and Nutrition", "id" : "ITEM-1", "issue" : "1", "issued" : { "date-parts" : [ [ "2015" ] ] }, "note" : "No consensus on when to feed", "page" : "131-141", "title" : "ESPGHAN position paper on management of percutaneous endoscopic gastrostomy in children and adolescents", "type" : "article-journal", "volume" : "60" }, "uris" : [ "http://www.mendeley.com/documents/?uuid=208f0fd1-853e-4100-a353-f5de5349b1b1" ] }, { "id" : "ITEM-2", "itemData" : { "DOI" : "10.1111/j.1440-1746.2005.03892.x", "ISSN" : "08159319", "abstract" : "BACKGROUND:Since it was described in 1980, percutaneous endoscopic gastrostomy (PEG) has been a widely used method for insertion of a gastrostomy tube in patients who are unable to swallow or maintain adequate nutrition. The aim of the present paper was to determine the complications of PEG insertion and to study pre- and post-procedural nutritional status.\\n\\nMETHODS:During the period of March 1999-September 2004, placement of PEG tube was performed in 85 patients (22 women and 63 men). Patient nutritional status was assessed before and after PEG insertion via anthropometric measurements.\\n\\nRESULTS:The most frequent indication for PEG insertion was neurological disorders (65.9%). Thirty patients died due to primary disease and two patients due to PEG-related complications within 5 years. There were 14 early complications in 10 patients (15.2%; &lt;30 days), and 18 late complications in 12 patients (19.6%). Total mortality was 37.6%. All complications other than four were minor. Before PEG insertion, patients were assessed with subjective global assessment and it was determined that 43.2% of them had severe, and 41.9% of them had mild malnutrition. After PEG insertion, significant improvements on patient nutrition levels was observed.\\n\\nCONCLUSION:Percutaneous endoscopic gastrostomy is a minimally invasive gastrostomy method with low morbidity and mortality rates, is easy to follow up and easy to replace when clogged.", "author" : [ { "dropping-particle" : "", "family" : "Erdil", "given" : "Ahmet", "non-dropping-particle" : "", "parse-names" : false, "suffix" : "" }, { "dropping-particle" : "", "family" : "Saka", "given" : "Mendane", "non-dropping-particle" : "", "parse-names" : false, "suffix" : "" }, { "dropping-particle" : "", "family" : "Ates", "given" : "Yuksel", "non-dropping-particle" : "", "parse-names" : false, "suffix" : "" }, { "dropping-particle" : "", "family" : "Tuzun", "given" : "Ahmet", "non-dropping-particle" : "", "parse-names" : false, "suffix" : "" }, { "dropping-particle" : "", "family" : "Bagci", "given" : "Sait", "non-dropping-particle" : "", "parse-names" : false, "suffix" : "" }, { "dropping-particle" : "", "family" : "Uygun", "given" : "Ahmet", "non-dropping-particle" : "", "parse-names" : false, "suffix" : "" }, { "dropping-particle" : "", "family" : "Yesilova", "given" : "Zeki", "non-dropping-particle" : "", "parse-names" : false, "suffix" : "" }, { "dropping-particle" : "", "family" : "Gulsen", "given" : "Mustafa", "non-dropping-particle" : "", "parse-names" : false, "suffix" : "" }, { "dropping-particle" : "", "family" : "Karaeren", "given" : "Necmettin", "non-dropping-particle" : "", "parse-names" : false, "suffix" : "" }, { "dropping-particle" : "", "family" : "Dagalp", "given" : "Kemal", "non-dropping-particle" : "", "parse-names" : false, "suffix" : "" } ], "container-title" : "Journal of Gastroenterology and Hepatology (Australia)", "id" : "ITEM-2", "issue" : "7", "issued" : { "date-parts" : [ [ "2005" ] ] }, "page" : "1002-1007", "title" : "Enteral nutrition via percutaneous endoscopic gastrostomy and nutritional status of patients: Five-year prospective study", "type" : "article-journal", "volume" : "20" }, "uris" : [ "http://www.mendeley.com/documents/?uuid=24cf6d41-ebb6-42ec-a4f1-c6a35e4c77ad" ] }, { "id" : "ITEM-3", "itemData" : { "ISSN" : "0277-2116", "abstract" : "Background: Long-term nasogastric tube feeding is often associated with irritation of the hypopharynx or dislocation of the tube. These pitfalls may be circumvented by percutaneous endoscopic gastrostomy. Although frequently used in adults, there is limited experience with the procedure in children. Methods: A series of 139 patients (aged 3 weeks to 36.5 years, mean age, 4.4 years; weight 3.1 -60 kg, mean weight, 15 kg) underwent placement of a percutaneous endoscopic gastrostomy because of central dysphagia (n = 103); general dystrophy caused by chronic renal failure, congenital heart disease, neoplasms, or cystic fibrosis (n = 26); requirement for special diets (n - 7); malnutrition related to respiratory insufficiency (n = 2); and gastric volvulus (n - 1). Results: The percutaneous endoscopic gastrostomy was placed either in the stomach (n = 122) or in the duodenum (n = 15). In two patients a direct percutaneous endoscopic jejunostomy was performed, because duodenal placement proved impossible. Percutaneous endoscopic gastrostomies were placed using intravenous sedation (midazolam, etomidate, or diazepam). None of the patients required general or inhalation anesthesia. We observed 19 complications including: dislocation of the duodenal part into the stomach (n = 5); inflammation at the insertion site (n = 3); perforation of the stomach (n = 2), which healed under conservative treatment; disconnection of the retention disk (n = 4); occlusion of the tube (n = 4), and chronic vomiting (n = 1). Mean lifetime of a percutaneous endoscopic gastrostomy was more than 1 year. Conclusions: Percutaneous endoscopic gastrostomy provides a major improvement for children requiting long-term tube feeding. High efficacy and low rates of complication suggest that percutaneous endoscopic gastrostomy should be considered more often, even in infants.", "author" : [ { "dropping-particle" : "", "family" : "Behrens", "given" : "R", "non-dropping-particle" : "", "parse-names" : false, "suffix" : "" }, { "dropping-particle" : "", "family" : "Lang", "given" : "T", "non-dropping-particle" : "", "parse-names" : false, "suffix" : "" }, { "dropping-particle" : "", "family" : "Muschweck", "given" : "H", "non-dropping-particle" : "", "parse-names" : false, "suffix" : "" }, { "dropping-particle" : "", "family" : "Richter", "given" : "T", "non-dropping-particle" : "", "parse-names" : false, "suffix" : "" }, { "dropping-particle" : "", "family" : "Hofbeck", "given" : "M", "non-dropping-particle" : "", "parse-names" : false, "suffix" : "" } ], "container-title" : "Journal of Pediatric Gastroenterology and Nutrition", "id" : "ITEM-3", "issue" : "5", "issued" : { "date-parts" : [ [ "1997" ] ] }, "page" : "487-491", "title" : "Percutaneous endoscopic gastrostomy in children and adolescents", "type" : "article-journal", "volume" : "25" }, "uris" : [ "http://www.mendeley.com/documents/?uuid=f35a8a25-8295-494f-9512-9eb328100e9b" ] } ], "mendeley" : { "formattedCitation" : "[1\u20133]", "plainTextFormattedCitation" : "[1\u20133]", "previouslyFormattedCitation" : "[1\u20133]" }, "properties" : { "noteIndex" : 1 }, "schema" : "https://github.com/citation-style-language/schema/raw/master/csl-citation.json" }</w:instrText>
      </w:r>
      <w:r w:rsidR="002D5723" w:rsidRPr="000177D4">
        <w:rPr>
          <w:rFonts w:ascii="Calibri" w:hAnsi="Calibri" w:cstheme="minorHAnsi"/>
        </w:rPr>
        <w:fldChar w:fldCharType="separate"/>
      </w:r>
      <w:r w:rsidR="005972A8" w:rsidRPr="000177D4">
        <w:rPr>
          <w:rFonts w:ascii="Calibri" w:hAnsi="Calibri" w:cstheme="minorHAnsi"/>
          <w:noProof/>
        </w:rPr>
        <w:t>[1–3]</w:t>
      </w:r>
      <w:r w:rsidR="002D5723" w:rsidRPr="000177D4">
        <w:rPr>
          <w:rFonts w:ascii="Calibri" w:hAnsi="Calibri" w:cstheme="minorHAnsi"/>
        </w:rPr>
        <w:fldChar w:fldCharType="end"/>
      </w:r>
      <w:r w:rsidR="00E232BE" w:rsidRPr="000177D4">
        <w:rPr>
          <w:rFonts w:ascii="Calibri" w:hAnsi="Calibri" w:cstheme="minorHAnsi"/>
        </w:rPr>
        <w:t>.</w:t>
      </w:r>
      <w:r w:rsidR="004E60F0" w:rsidRPr="000177D4">
        <w:rPr>
          <w:rFonts w:ascii="Calibri" w:hAnsi="Calibri" w:cstheme="minorHAnsi"/>
        </w:rPr>
        <w:t xml:space="preserve"> </w:t>
      </w:r>
    </w:p>
    <w:p w:rsidR="004E60F0" w:rsidRPr="000177D4" w:rsidRDefault="004E60F0" w:rsidP="00B30282">
      <w:pPr>
        <w:rPr>
          <w:rFonts w:ascii="Calibri" w:hAnsi="Calibri" w:cstheme="minorHAnsi"/>
        </w:rPr>
      </w:pPr>
    </w:p>
    <w:p w:rsidR="00506396" w:rsidRPr="000177D4" w:rsidRDefault="00B30282" w:rsidP="00DA3390">
      <w:pPr>
        <w:rPr>
          <w:rFonts w:ascii="Calibri" w:hAnsi="Calibri" w:cstheme="minorHAnsi"/>
        </w:rPr>
      </w:pPr>
      <w:r w:rsidRPr="000177D4">
        <w:rPr>
          <w:rFonts w:ascii="Calibri" w:hAnsi="Calibri" w:cstheme="minorHAnsi"/>
        </w:rPr>
        <w:t>Traditionally</w:t>
      </w:r>
      <w:r w:rsidR="00796439" w:rsidRPr="000177D4">
        <w:rPr>
          <w:rFonts w:ascii="Calibri" w:hAnsi="Calibri" w:cstheme="minorHAnsi"/>
        </w:rPr>
        <w:t>,</w:t>
      </w:r>
      <w:r w:rsidRPr="000177D4">
        <w:rPr>
          <w:rFonts w:ascii="Calibri" w:hAnsi="Calibri" w:cstheme="minorHAnsi"/>
        </w:rPr>
        <w:t xml:space="preserve"> feeding </w:t>
      </w:r>
      <w:r w:rsidR="00F66436" w:rsidRPr="000177D4">
        <w:rPr>
          <w:rFonts w:ascii="Calibri" w:hAnsi="Calibri" w:cstheme="minorHAnsi"/>
        </w:rPr>
        <w:t xml:space="preserve">has been held </w:t>
      </w:r>
      <w:r w:rsidRPr="000177D4">
        <w:rPr>
          <w:rFonts w:ascii="Calibri" w:hAnsi="Calibri" w:cstheme="minorHAnsi"/>
        </w:rPr>
        <w:t xml:space="preserve">after gastrostomy insertion </w:t>
      </w:r>
      <w:r w:rsidR="00F66436" w:rsidRPr="000177D4">
        <w:rPr>
          <w:rFonts w:ascii="Calibri" w:hAnsi="Calibri" w:cstheme="minorHAnsi"/>
        </w:rPr>
        <w:t xml:space="preserve">for a period of time (often up to </w:t>
      </w:r>
      <w:r w:rsidRPr="000177D4">
        <w:rPr>
          <w:rFonts w:ascii="Calibri" w:hAnsi="Calibri" w:cstheme="minorHAnsi"/>
        </w:rPr>
        <w:t xml:space="preserve">12 hours </w:t>
      </w:r>
      <w:r w:rsidR="00F66436" w:rsidRPr="000177D4">
        <w:rPr>
          <w:rFonts w:ascii="Calibri" w:hAnsi="Calibri" w:cstheme="minorHAnsi"/>
        </w:rPr>
        <w:t xml:space="preserve">or more) </w:t>
      </w:r>
      <w:r w:rsidRPr="000177D4">
        <w:rPr>
          <w:rFonts w:ascii="Calibri" w:hAnsi="Calibri" w:cstheme="minorHAnsi"/>
        </w:rPr>
        <w:t xml:space="preserve">to reduce the risk </w:t>
      </w:r>
      <w:r w:rsidR="00F66436" w:rsidRPr="000177D4">
        <w:rPr>
          <w:rFonts w:ascii="Calibri" w:hAnsi="Calibri" w:cstheme="minorHAnsi"/>
        </w:rPr>
        <w:t>of</w:t>
      </w:r>
      <w:r w:rsidRPr="000177D4">
        <w:rPr>
          <w:rFonts w:ascii="Calibri" w:hAnsi="Calibri" w:cstheme="minorHAnsi"/>
        </w:rPr>
        <w:t xml:space="preserve"> aspiration and </w:t>
      </w:r>
      <w:r w:rsidR="00F66436" w:rsidRPr="000177D4">
        <w:rPr>
          <w:rFonts w:ascii="Calibri" w:hAnsi="Calibri" w:cstheme="minorHAnsi"/>
        </w:rPr>
        <w:t xml:space="preserve">leakage </w:t>
      </w:r>
      <w:r w:rsidR="00B9210E" w:rsidRPr="000177D4">
        <w:rPr>
          <w:rFonts w:ascii="Calibri" w:hAnsi="Calibri" w:cstheme="minorHAnsi"/>
        </w:rPr>
        <w:t>e</w:t>
      </w:r>
      <w:r w:rsidR="00F66436" w:rsidRPr="000177D4">
        <w:rPr>
          <w:rFonts w:ascii="Calibri" w:hAnsi="Calibri" w:cstheme="minorHAnsi"/>
        </w:rPr>
        <w:t xml:space="preserve">ither into the </w:t>
      </w:r>
      <w:r w:rsidRPr="000177D4">
        <w:rPr>
          <w:rFonts w:ascii="Calibri" w:hAnsi="Calibri" w:cstheme="minorHAnsi"/>
        </w:rPr>
        <w:t xml:space="preserve">peritoneal </w:t>
      </w:r>
      <w:r w:rsidR="00F66436" w:rsidRPr="000177D4">
        <w:rPr>
          <w:rFonts w:ascii="Calibri" w:hAnsi="Calibri" w:cstheme="minorHAnsi"/>
        </w:rPr>
        <w:t>cavity or around a newly formed gastrostomy tract</w:t>
      </w:r>
      <w:r w:rsidR="002D5723" w:rsidRPr="000177D4">
        <w:rPr>
          <w:rFonts w:ascii="Calibri" w:hAnsi="Calibri" w:cstheme="minorHAnsi"/>
        </w:rPr>
        <w:fldChar w:fldCharType="begin" w:fldLock="1"/>
      </w:r>
      <w:r w:rsidR="0047437A" w:rsidRPr="000177D4">
        <w:rPr>
          <w:rFonts w:ascii="Calibri" w:hAnsi="Calibri" w:cstheme="minorHAnsi"/>
        </w:rPr>
        <w:instrText>ADDIN CSL_CITATION { "citationItems" : [ { "id" : "ITEM-1", "itemData" : { "ISSN" : "0277-2116", "abstract" : "Background: Long-term nasogastric tube feeding is often associated with irritation of the hypopharynx or dislocation of the tube. These pitfalls may be circumvented by percutaneous endoscopic gastrostomy. Although frequently used in adults, there is limited experience with the procedure in children. Methods: A series of 139 patients (aged 3 weeks to 36.5 years, mean age, 4.4 years; weight 3.1 -60 kg, mean weight, 15 kg) underwent placement of a percutaneous endoscopic gastrostomy because of central dysphagia (n = 103); general dystrophy caused by chronic renal failure, congenital heart disease, neoplasms, or cystic fibrosis (n = 26); requirement for special diets (n - 7); malnutrition related to respiratory insufficiency (n = 2); and gastric volvulus (n - 1). Results: The percutaneous endoscopic gastrostomy was placed either in the stomach (n = 122) or in the duodenum (n = 15). In two patients a direct percutaneous endoscopic jejunostomy was performed, because duodenal placement proved impossible. Percutaneous endoscopic gastrostomies were placed using intravenous sedation (midazolam, etomidate, or diazepam). None of the patients required general or inhalation anesthesia. We observed 19 complications including: dislocation of the duodenal part into the stomach (n = 5); inflammation at the insertion site (n = 3); perforation of the stomach (n = 2), which healed under conservative treatment; disconnection of the retention disk (n = 4); occlusion of the tube (n = 4), and chronic vomiting (n = 1). Mean lifetime of a percutaneous endoscopic gastrostomy was more than 1 year. Conclusions: Percutaneous endoscopic gastrostomy provides a major improvement for children requiting long-term tube feeding. High efficacy and low rates of complication suggest that percutaneous endoscopic gastrostomy should be considered more often, even in infants.", "author" : [ { "dropping-particle" : "", "family" : "Behrens", "given" : "R", "non-dropping-particle" : "", "parse-names" : false, "suffix" : "" }, { "dropping-particle" : "", "family" : "Lang", "given" : "T", "non-dropping-particle" : "", "parse-names" : false, "suffix" : "" }, { "dropping-particle" : "", "family" : "Muschweck", "given" : "H", "non-dropping-particle" : "", "parse-names" : false, "suffix" : "" }, { "dropping-particle" : "", "family" : "Richter", "given" : "T", "non-dropping-particle" : "", "parse-names" : false, "suffix" : "" }, { "dropping-particle" : "", "family" : "Hofbeck", "given" : "M", "non-dropping-particle" : "", "parse-names" : false, "suffix" : "" } ], "container-title" : "Journal of Pediatric Gastroenterology and Nutrition", "id" : "ITEM-1", "issue" : "5", "issued" : { "date-parts" : [ [ "1997" ] ] }, "page" : "487-491", "title" : "Percutaneous endoscopic gastrostomy in children and adolescents", "type" : "article-journal", "volume" : "25" }, "uris" : [ "http://www.mendeley.com/documents/?uuid=f35a8a25-8295-494f-9512-9eb328100e9b" ] } ], "mendeley" : { "formattedCitation" : "[3]", "plainTextFormattedCitation" : "[3]", "previouslyFormattedCitation" : "[3]" }, "properties" : { "noteIndex" : 1 }, "schema" : "https://github.com/citation-style-language/schema/raw/master/csl-citation.json" }</w:instrText>
      </w:r>
      <w:r w:rsidR="002D5723" w:rsidRPr="000177D4">
        <w:rPr>
          <w:rFonts w:ascii="Calibri" w:hAnsi="Calibri" w:cstheme="minorHAnsi"/>
        </w:rPr>
        <w:fldChar w:fldCharType="separate"/>
      </w:r>
      <w:r w:rsidR="005972A8" w:rsidRPr="000177D4">
        <w:rPr>
          <w:rFonts w:ascii="Calibri" w:hAnsi="Calibri" w:cstheme="minorHAnsi"/>
          <w:noProof/>
        </w:rPr>
        <w:t>[3]</w:t>
      </w:r>
      <w:r w:rsidR="002D5723" w:rsidRPr="000177D4">
        <w:rPr>
          <w:rFonts w:ascii="Calibri" w:hAnsi="Calibri" w:cstheme="minorHAnsi"/>
        </w:rPr>
        <w:fldChar w:fldCharType="end"/>
      </w:r>
      <w:r w:rsidR="00791C23" w:rsidRPr="000177D4">
        <w:rPr>
          <w:rFonts w:ascii="Calibri" w:hAnsi="Calibri" w:cstheme="minorHAnsi"/>
        </w:rPr>
        <w:t>.</w:t>
      </w:r>
      <w:r w:rsidRPr="000177D4">
        <w:rPr>
          <w:rFonts w:ascii="Calibri" w:hAnsi="Calibri" w:cstheme="minorHAnsi"/>
        </w:rPr>
        <w:t xml:space="preserve"> </w:t>
      </w:r>
      <w:r w:rsidR="004E60F0" w:rsidRPr="000177D4">
        <w:rPr>
          <w:rFonts w:ascii="Calibri" w:hAnsi="Calibri" w:cstheme="minorHAnsi"/>
        </w:rPr>
        <w:t xml:space="preserve">In the adult population, </w:t>
      </w:r>
      <w:r w:rsidRPr="000177D4">
        <w:rPr>
          <w:rFonts w:ascii="Calibri" w:hAnsi="Calibri" w:cstheme="minorHAnsi"/>
        </w:rPr>
        <w:t>there is evidence that early</w:t>
      </w:r>
      <w:r w:rsidR="004E60F0" w:rsidRPr="000177D4">
        <w:rPr>
          <w:rFonts w:ascii="Calibri" w:hAnsi="Calibri" w:cstheme="minorHAnsi"/>
        </w:rPr>
        <w:t xml:space="preserve"> feeding after gastrostom</w:t>
      </w:r>
      <w:r w:rsidR="00F66436" w:rsidRPr="000177D4">
        <w:rPr>
          <w:rFonts w:ascii="Calibri" w:hAnsi="Calibri" w:cstheme="minorHAnsi"/>
        </w:rPr>
        <w:t>y insertion</w:t>
      </w:r>
      <w:r w:rsidR="004E60F0" w:rsidRPr="000177D4">
        <w:rPr>
          <w:rFonts w:ascii="Calibri" w:hAnsi="Calibri" w:cstheme="minorHAnsi"/>
        </w:rPr>
        <w:t xml:space="preserve"> is</w:t>
      </w:r>
      <w:r w:rsidRPr="000177D4">
        <w:rPr>
          <w:rFonts w:ascii="Calibri" w:hAnsi="Calibri" w:cstheme="minorHAnsi"/>
        </w:rPr>
        <w:t xml:space="preserve"> safe and well-tolerated</w:t>
      </w:r>
      <w:r w:rsidR="002D5723" w:rsidRPr="000177D4">
        <w:rPr>
          <w:rFonts w:ascii="Calibri" w:hAnsi="Calibri" w:cstheme="minorHAnsi"/>
        </w:rPr>
        <w:fldChar w:fldCharType="begin" w:fldLock="1"/>
      </w:r>
      <w:r w:rsidR="0047437A" w:rsidRPr="000177D4">
        <w:rPr>
          <w:rFonts w:ascii="Calibri" w:hAnsi="Calibri" w:cstheme="minorHAnsi"/>
        </w:rPr>
        <w:instrText>ADDIN CSL_CITATION { "citationItems" : [ { "id" : "ITEM-1", "itemData" : { "DOI" : "10.1111/j.1572-0241.2008.02108.x", "ISSN" : "00029270", "abstract" : "BACKGROUND: Traditionally, tube feedings have been delayed after percutaneous endoscopic gastrostomy (PEG) placement to the next day and up to 24 h postprocedure. However, results from various randomized controlled trials (RCTs) indicate earlier feeding may be an option. We conducted a meta-analysis to analyze the effect of early feedings (?4 h) after PEG placement. METHODS: Multiple databases were searched (November 2007). Only RCTs on adult subjects that compared early (?4 h) versus delayed or next-day feedings after PEG placement were included. Meta-analyses for the effect of early and delayed feedings were analyzed by calculating pooled estimates of complications, death ?72 h, and significant increases in postprocedural gastric residual volume during day 1. RESULTS: Six studies (N = 467) met the inclusion criteria. No statistically significant differences were noted between early (?4 h) and delayed or next-day feedings for patient complications (OR 0.86, 95% CI 0.47-1.58, P = 0.63) or death in ?72 h (OR 0.56, 95% CI 0.18-1.74, P = 0.31). A statistically significant increase in gastric residual volumes during day 1 was noted (OR 1.80, 95% CI 1.02-3.19, P = 0.04). CONCLUSIONS: Early feeding ?4 h after PEG placement may represent a safe alternative to delayed or next-day feedings. Although an increase in significant gastric residual volumes at day 1 was noted, overall complications were not affected. ? 2008 by Am. Coll. of Gastroenterology.", "author" : [ { "dropping-particle" : "", "family" : "Bechtold", "given" : "Matthew L.", "non-dropping-particle" : "", "parse-names" : false, "suffix" : "" }, { "dropping-particle" : "", "family" : "Matteson", "given" : "Michelle L.", "non-dropping-particle" : "", "parse-names" : false, "suffix" : "" }, { "dropping-particle" : "", "family" : "Choudhary", "given" : "Abhishek", "non-dropping-particle" : "", "parse-names" : false, "suffix" : "" }, { "dropping-particle" : "", "family" : "Puli", "given" : "Srinivas R.", "non-dropping-particle" : "", "parse-names" : false, "suffix" : "" }, { "dropping-particle" : "", "family" : "Jiang", "given" : "Peter P", "non-dropping-particle" : "", "parse-names" : false, "suffix" : "" }, { "dropping-particle" : "", "family" : "Roy", "given" : "Praveen K", "non-dropping-particle" : "", "parse-names" : false, "suffix" : "" } ], "container-title" : "American Journal of Gastroenterology", "id" : "ITEM-1", "issue" : "11", "issued" : { "date-parts" : [ [ "2008" ] ] }, "note" : "Adult population", "page" : "2919-2924", "title" : "Early versus delayed feeding after placement of a percutaneous endoscopic gastrostomy: A meta-analysis", "type" : "article-journal", "volume" : "103" }, "uris" : [ "http://www.mendeley.com/documents/?uuid=e14a2bf6-b532-444d-abf4-a59a13c8f793" ] }, { "id" : "ITEM-2", "itemData" : { "author" : [ { "dropping-particle" : "", "family" : "Choudhry", "given" : "Umesh", "non-dropping-particle" : "", "parse-names" : false, "suffix" : "" }, { "dropping-particle" : "", "family" : "Barde", "given" : "Christopher J", "non-dropping-particle" : "", "parse-names" : false, "suffix" : "" }, { "dropping-particle" : "", "family" : "Markert", "given" : "Ronald", "non-dropping-particle" : "", "parse-names" : false, "suffix" : "" }, { "dropping-particle" : "", "family" : "Gopalswamy", "given" : "Narasimh", "non-dropping-particle" : "", "parse-names" : false, "suffix" : "" } ], "id" : "ITEM-2", "issue" : "2", "issued" : { "date-parts" : [ [ "1996" ] ] }, "note" : "Adult early feeding after PEG is safe", "page" : "2-5", "title" : "Percutaneous endoscopic gastrostomy : a randomized prospective comparison of early and delayed feeding", "type" : "article-journal", "volume" : "44" }, "uris" : [ "http://www.mendeley.com/documents/?uuid=01f4014d-3d94-424d-ae52-3fa573d54a09" ] } ], "mendeley" : { "formattedCitation" : "[4,5]", "plainTextFormattedCitation" : "[4,5]", "previouslyFormattedCitation" : "[4,5]" }, "properties" : { "noteIndex" : 1 }, "schema" : "https://github.com/citation-style-language/schema/raw/master/csl-citation.json" }</w:instrText>
      </w:r>
      <w:r w:rsidR="002D5723" w:rsidRPr="000177D4">
        <w:rPr>
          <w:rFonts w:ascii="Calibri" w:hAnsi="Calibri" w:cstheme="minorHAnsi"/>
        </w:rPr>
        <w:fldChar w:fldCharType="separate"/>
      </w:r>
      <w:r w:rsidR="005972A8" w:rsidRPr="000177D4">
        <w:rPr>
          <w:rFonts w:ascii="Calibri" w:hAnsi="Calibri" w:cstheme="minorHAnsi"/>
          <w:noProof/>
        </w:rPr>
        <w:t>[4,5]</w:t>
      </w:r>
      <w:r w:rsidR="002D5723" w:rsidRPr="000177D4">
        <w:rPr>
          <w:rFonts w:ascii="Calibri" w:hAnsi="Calibri" w:cstheme="minorHAnsi"/>
        </w:rPr>
        <w:fldChar w:fldCharType="end"/>
      </w:r>
      <w:r w:rsidR="00791C23" w:rsidRPr="000177D4">
        <w:rPr>
          <w:rFonts w:ascii="Calibri" w:hAnsi="Calibri" w:cstheme="minorHAnsi"/>
        </w:rPr>
        <w:t>.</w:t>
      </w:r>
      <w:r w:rsidR="00224171" w:rsidRPr="000177D4">
        <w:rPr>
          <w:rFonts w:ascii="Calibri" w:hAnsi="Calibri" w:cstheme="minorHAnsi"/>
        </w:rPr>
        <w:t xml:space="preserve"> However, there </w:t>
      </w:r>
      <w:r w:rsidR="00506396" w:rsidRPr="000177D4">
        <w:rPr>
          <w:rFonts w:ascii="Calibri" w:hAnsi="Calibri" w:cstheme="minorHAnsi"/>
        </w:rPr>
        <w:t xml:space="preserve">is </w:t>
      </w:r>
      <w:r w:rsidR="00BE7830" w:rsidRPr="000177D4">
        <w:rPr>
          <w:rFonts w:ascii="Calibri" w:hAnsi="Calibri" w:cstheme="minorHAnsi"/>
        </w:rPr>
        <w:t xml:space="preserve">currently </w:t>
      </w:r>
      <w:r w:rsidR="00506396" w:rsidRPr="000177D4">
        <w:rPr>
          <w:rFonts w:ascii="Calibri" w:hAnsi="Calibri" w:cstheme="minorHAnsi"/>
        </w:rPr>
        <w:t xml:space="preserve">no consensus about optimal time for </w:t>
      </w:r>
      <w:r w:rsidR="00F66436" w:rsidRPr="000177D4">
        <w:rPr>
          <w:rFonts w:ascii="Calibri" w:hAnsi="Calibri" w:cstheme="minorHAnsi"/>
        </w:rPr>
        <w:t xml:space="preserve">withholding gastric </w:t>
      </w:r>
      <w:r w:rsidR="00506396" w:rsidRPr="000177D4">
        <w:rPr>
          <w:rFonts w:ascii="Calibri" w:hAnsi="Calibri" w:cstheme="minorHAnsi"/>
        </w:rPr>
        <w:t>feed</w:t>
      </w:r>
      <w:r w:rsidR="00F66436" w:rsidRPr="000177D4">
        <w:rPr>
          <w:rFonts w:ascii="Calibri" w:hAnsi="Calibri" w:cstheme="minorHAnsi"/>
        </w:rPr>
        <w:t>s</w:t>
      </w:r>
      <w:r w:rsidR="00506396" w:rsidRPr="000177D4">
        <w:rPr>
          <w:rFonts w:ascii="Calibri" w:hAnsi="Calibri" w:cstheme="minorHAnsi"/>
        </w:rPr>
        <w:t xml:space="preserve"> after gastrostomy insertion</w:t>
      </w:r>
      <w:r w:rsidR="00F66436" w:rsidRPr="000177D4">
        <w:rPr>
          <w:rFonts w:ascii="Calibri" w:hAnsi="Calibri" w:cstheme="minorHAnsi"/>
        </w:rPr>
        <w:t xml:space="preserve"> in children</w:t>
      </w:r>
      <w:r w:rsidR="002D5723" w:rsidRPr="000177D4">
        <w:rPr>
          <w:rFonts w:ascii="Calibri" w:hAnsi="Calibri" w:cstheme="minorHAnsi"/>
        </w:rPr>
        <w:fldChar w:fldCharType="begin" w:fldLock="1"/>
      </w:r>
      <w:r w:rsidR="0047437A" w:rsidRPr="000177D4">
        <w:rPr>
          <w:rFonts w:ascii="Calibri" w:hAnsi="Calibri" w:cstheme="minorHAnsi"/>
        </w:rPr>
        <w:instrText>ADDIN CSL_CITATION { "citationItems" : [ { "id" : "ITEM-1", "itemData" : { "DOI" : "10.1097/pq9.0000000000000016", "ISBN" : "0000000000000", "ISSN" : "2472-0054", "author" : [ { "dropping-particle" : "", "family" : "Berman", "given" : "Loren", "non-dropping-particle" : "", "parse-names" : false, "suffix" : "" }, { "dropping-particle" : "", "family" : "Hronek", "given" : "Carla", "non-dropping-particle" : "", "parse-names" : false, "suffix" : "" }, { "dropping-particle" : "V.", "family" : "Raval", "given" : "Mehul", "non-dropping-particle" : "", "parse-names" : false, "suffix" : "" }, { "dropping-particle" : "", "family" : "Browne", "given" : "Marybeth L.", "non-dropping-particle" : "", "parse-names" : false, "suffix" : "" }, { "dropping-particle" : "", "family" : "Snyder", "given" : "Charles L.", "non-dropping-particle" : "", "parse-names" : false, "suffix" : "" }, { "dropping-particle" : "", "family" : "Heiss", "given" : "Kurt F.", "non-dropping-particle" : "", "parse-names" : false, "suffix" : "" }, { "dropping-particle" : "", "family" : "Rangel", "given" : "Shawn J.", "non-dropping-particle" : "", "parse-names" : false, "suffix" : "" }, { "dropping-particle" : "", "family" : "Goldin", "given" : "Adam B.", "non-dropping-particle" : "", "parse-names" : false, "suffix" : "" }, { "dropping-particle" : "", "family" : "Rothstein", "given" : "David H.", "non-dropping-particle" : "", "parse-names" : false, "suffix" : "" } ], "container-title" : "Pediatric Quality and Safety", "id" : "ITEM-1", "issue" : "2", "issued" : { "date-parts" : [ [ "2017" ] ] }, "note" : "Half of the centres start feed at the day after surgery, other half start sooner with the start of feed being as early as fur hours", "page" : "e016", "title" : "Pediatric Gastrostomy Tube Placement", "type" : "article-journal", "volume" : "2" }, "uris" : [ "http://www.mendeley.com/documents/?uuid=0592db24-90d3-47d8-8fde-2b22020069d8" ] } ], "mendeley" : { "formattedCitation" : "[6]", "plainTextFormattedCitation" : "[6]", "previouslyFormattedCitation" : "[6]" }, "properties" : { "noteIndex" : 1 }, "schema" : "https://github.com/citation-style-language/schema/raw/master/csl-citation.json" }</w:instrText>
      </w:r>
      <w:r w:rsidR="002D5723" w:rsidRPr="000177D4">
        <w:rPr>
          <w:rFonts w:ascii="Calibri" w:hAnsi="Calibri" w:cstheme="minorHAnsi"/>
        </w:rPr>
        <w:fldChar w:fldCharType="separate"/>
      </w:r>
      <w:r w:rsidR="005972A8" w:rsidRPr="000177D4">
        <w:rPr>
          <w:rFonts w:ascii="Calibri" w:hAnsi="Calibri" w:cstheme="minorHAnsi"/>
          <w:noProof/>
        </w:rPr>
        <w:t>[6]</w:t>
      </w:r>
      <w:r w:rsidR="002D5723" w:rsidRPr="000177D4">
        <w:rPr>
          <w:rFonts w:ascii="Calibri" w:hAnsi="Calibri" w:cstheme="minorHAnsi"/>
        </w:rPr>
        <w:fldChar w:fldCharType="end"/>
      </w:r>
      <w:r w:rsidR="00791C23" w:rsidRPr="000177D4">
        <w:rPr>
          <w:rFonts w:ascii="Calibri" w:hAnsi="Calibri" w:cstheme="minorHAnsi"/>
        </w:rPr>
        <w:t>.</w:t>
      </w:r>
      <w:r w:rsidR="00927F62" w:rsidRPr="000177D4">
        <w:rPr>
          <w:rFonts w:ascii="Calibri" w:hAnsi="Calibri" w:cstheme="minorHAnsi"/>
        </w:rPr>
        <w:t xml:space="preserve"> </w:t>
      </w:r>
      <w:r w:rsidR="00062783" w:rsidRPr="000177D4">
        <w:rPr>
          <w:rFonts w:ascii="Calibri" w:hAnsi="Calibri" w:cstheme="minorHAnsi"/>
        </w:rPr>
        <w:t xml:space="preserve">This results in a </w:t>
      </w:r>
      <w:r w:rsidR="00F66436" w:rsidRPr="000177D4">
        <w:rPr>
          <w:rFonts w:ascii="Calibri" w:hAnsi="Calibri" w:cstheme="minorHAnsi"/>
        </w:rPr>
        <w:t xml:space="preserve">wide </w:t>
      </w:r>
      <w:r w:rsidR="00062783" w:rsidRPr="000177D4">
        <w:rPr>
          <w:rFonts w:ascii="Calibri" w:hAnsi="Calibri" w:cstheme="minorHAnsi"/>
        </w:rPr>
        <w:t>varia</w:t>
      </w:r>
      <w:r w:rsidR="00F66436" w:rsidRPr="000177D4">
        <w:rPr>
          <w:rFonts w:ascii="Calibri" w:hAnsi="Calibri" w:cstheme="minorHAnsi"/>
        </w:rPr>
        <w:t>tion in</w:t>
      </w:r>
      <w:r w:rsidR="00062783" w:rsidRPr="000177D4">
        <w:rPr>
          <w:rFonts w:ascii="Calibri" w:hAnsi="Calibri" w:cstheme="minorHAnsi"/>
        </w:rPr>
        <w:t xml:space="preserve"> length of stay </w:t>
      </w:r>
      <w:r w:rsidR="00BB3BB4" w:rsidRPr="000177D4">
        <w:rPr>
          <w:rFonts w:ascii="Calibri" w:hAnsi="Calibri" w:cstheme="minorHAnsi"/>
        </w:rPr>
        <w:t>(LOS) in hospital following</w:t>
      </w:r>
      <w:r w:rsidR="00062783" w:rsidRPr="000177D4">
        <w:rPr>
          <w:rFonts w:ascii="Calibri" w:hAnsi="Calibri" w:cstheme="minorHAnsi"/>
        </w:rPr>
        <w:t xml:space="preserve"> elective </w:t>
      </w:r>
      <w:r w:rsidR="00F66436" w:rsidRPr="000177D4">
        <w:rPr>
          <w:rFonts w:ascii="Calibri" w:hAnsi="Calibri" w:cstheme="minorHAnsi"/>
        </w:rPr>
        <w:t xml:space="preserve">gastrostomy </w:t>
      </w:r>
      <w:r w:rsidR="00062783" w:rsidRPr="000177D4">
        <w:rPr>
          <w:rFonts w:ascii="Calibri" w:hAnsi="Calibri" w:cstheme="minorHAnsi"/>
        </w:rPr>
        <w:t xml:space="preserve">insertion </w:t>
      </w:r>
      <w:r w:rsidR="00F66436" w:rsidRPr="000177D4">
        <w:rPr>
          <w:rFonts w:ascii="Calibri" w:hAnsi="Calibri" w:cstheme="minorHAnsi"/>
        </w:rPr>
        <w:t xml:space="preserve">which may subsequently contribute to high healthcare </w:t>
      </w:r>
      <w:r w:rsidR="00052CFB" w:rsidRPr="000177D4">
        <w:rPr>
          <w:rFonts w:ascii="Calibri" w:hAnsi="Calibri" w:cstheme="minorHAnsi"/>
        </w:rPr>
        <w:t>costs</w:t>
      </w:r>
      <w:r w:rsidR="002D5723" w:rsidRPr="000177D4">
        <w:rPr>
          <w:rFonts w:ascii="Calibri" w:hAnsi="Calibri" w:cstheme="minorHAnsi"/>
        </w:rPr>
        <w:fldChar w:fldCharType="begin" w:fldLock="1"/>
      </w:r>
      <w:r w:rsidR="0047437A" w:rsidRPr="000177D4">
        <w:rPr>
          <w:rFonts w:ascii="Calibri" w:hAnsi="Calibri" w:cstheme="minorHAnsi"/>
        </w:rPr>
        <w:instrText>ADDIN CSL_CITATION { "citationItems" : [ { "id" : "ITEM-1", "itemData" : { "DOI" : "10.1089/lap.2017.0295", "ISSN" : "1092-6429", "abstract" : "\u00a9 Copyright 2017, Mary Ann Liebert, Inc. 2017. Purpose: The objective of this study was to evaluate postoperative feeding regimens after laparoscopic gastrostomy placement and their effect on outcomes. Methods: Children 18 years of age or younger, who underwent laparoscopic gastrostomy placement at a tertiary-care academic children's hospital between January 2014 and October 2016, were reviewed. Data collected included patient characteristics, postoperative feeding regimen, and clinical outcomes. Statistical analysis was performed using Chi-square, Fisher's exact, and Wilcoxon Rank-Sum tests. Results: We reviewed the medical records of 270 children that underwent laparoscopic gastrostomy placement by 15 pediatric surgeons. The median age was 2.7 (interquartile range [IQR], 0.7-9.6) years, and 50% (n = 136) were male. The median body mass index was 15.5 (IQR, 14.0-17.5). Complications within 90 days included: granulation tissue (34%), leakage (17%), dislodgement (14%), and skin and soft-tissue infection (9%). Two patients returned to the operating room, 1 for a dislodged tube, and another for a volvulus within 10 days of gastrostomy tube placement. A subset analysis of outpatients that underwent elective laparoscopic gastrostomy placement showed variation in the day of initial feeds (0-2 postoperative days [POD] ), method of initial feeds (continuous versus bolus) and choice of initial feeds (Pedialyte versus formula/breast milk). There was a significant difference in median hospital length of stay for early versus late initiation of feeds (POD 0: 2.1 days versus POD \u22651: 3.1 days, P  &lt;  .01) without a difference in postoperative complications. Conclusion: There is substantial variation in the postoperative feeding regimen after laparoscopic gastrostomy. Initiation of early postoperative feeds may result in decreased length of stay without increasing complications.", "author" : [ { "dropping-particle" : "", "family" : "Rosenfeld", "given" : "Eric H.", "non-dropping-particle" : "", "parse-names" : false, "suffix" : "" }, { "dropping-particle" : "", "family" : "Mazzolini", "given" : "Kirea", "non-dropping-particle" : "", "parse-names" : false, "suffix" : "" }, { "dropping-particle" : "", "family" : "DeMello", "given" : "Annalyn", "non-dropping-particle" : "", "parse-names" : false, "suffix" : "" }, { "dropping-particle" : "", "family" : "Yu", "given" : "Yangyang R.", "non-dropping-particle" : "", "parse-names" : false, "suffix" : "" }, { "dropping-particle" : "", "family" : "Lee", "given" : "Timothy C.", "non-dropping-particle" : "", "parse-names" : false, "suffix" : "" }, { "dropping-particle" : "", "family" : "Naik-Mathuria", "given" : "Bindi", "non-dropping-particle" : "", "parse-names" : false, "suffix" : "" }, { "dropping-particle" : "V.", "family" : "Mazziotti", "given" : "Mark", "non-dropping-particle" : "", "parse-names" : false, "suffix" : "" }, { "dropping-particle" : "", "family" : "Shah", "given" : "Sohail R.", "non-dropping-particle" : "", "parse-names" : false, "suffix" : "" } ], "container-title" : "Journal of Laparoendoscopic &amp; Advanced Surgical Techniques", "id" : "ITEM-1", "issue" : "11", "issued" : { "date-parts" : [ [ "2017" ] ] }, "page" : "1203-1208", "title" : "Postoperative Feeding Regimens After Laparoscopic Gastrostomy Placement", "type" : "article-journal", "volume" : "27" }, "uris" : [ "http://www.mendeley.com/documents/?uuid=92cbac94-fbae-49c5-9963-3cd7b189ffc2" ] } ], "mendeley" : { "formattedCitation" : "[7]", "plainTextFormattedCitation" : "[7]", "previouslyFormattedCitation" : "[7]" }, "properties" : { "noteIndex" : 1 }, "schema" : "https://github.com/citation-style-language/schema/raw/master/csl-citation.json" }</w:instrText>
      </w:r>
      <w:r w:rsidR="002D5723" w:rsidRPr="000177D4">
        <w:rPr>
          <w:rFonts w:ascii="Calibri" w:hAnsi="Calibri" w:cstheme="minorHAnsi"/>
        </w:rPr>
        <w:fldChar w:fldCharType="separate"/>
      </w:r>
      <w:r w:rsidR="005972A8" w:rsidRPr="000177D4">
        <w:rPr>
          <w:rFonts w:ascii="Calibri" w:hAnsi="Calibri" w:cstheme="minorHAnsi"/>
          <w:noProof/>
        </w:rPr>
        <w:t>[7]</w:t>
      </w:r>
      <w:r w:rsidR="002D5723" w:rsidRPr="000177D4">
        <w:rPr>
          <w:rFonts w:ascii="Calibri" w:hAnsi="Calibri" w:cstheme="minorHAnsi"/>
        </w:rPr>
        <w:fldChar w:fldCharType="end"/>
      </w:r>
      <w:r w:rsidR="00791C23" w:rsidRPr="000177D4">
        <w:rPr>
          <w:rFonts w:ascii="Calibri" w:hAnsi="Calibri" w:cstheme="minorHAnsi"/>
        </w:rPr>
        <w:t>.</w:t>
      </w:r>
    </w:p>
    <w:p w:rsidR="00F363AC" w:rsidRPr="000177D4" w:rsidRDefault="00F363AC" w:rsidP="00DA3390">
      <w:pPr>
        <w:rPr>
          <w:rFonts w:ascii="Calibri" w:hAnsi="Calibri" w:cstheme="minorHAnsi"/>
        </w:rPr>
      </w:pPr>
    </w:p>
    <w:p w:rsidR="00A863FC" w:rsidRPr="000177D4" w:rsidRDefault="004E60F0" w:rsidP="004E60F0">
      <w:pPr>
        <w:rPr>
          <w:rFonts w:ascii="Calibri" w:hAnsi="Calibri" w:cstheme="minorHAnsi"/>
        </w:rPr>
      </w:pPr>
      <w:r w:rsidRPr="000177D4">
        <w:rPr>
          <w:rFonts w:ascii="Calibri" w:hAnsi="Calibri" w:cstheme="minorHAnsi"/>
        </w:rPr>
        <w:t xml:space="preserve">At our </w:t>
      </w:r>
      <w:r w:rsidR="00F363AC" w:rsidRPr="000177D4">
        <w:rPr>
          <w:rFonts w:ascii="Calibri" w:hAnsi="Calibri" w:cstheme="minorHAnsi"/>
        </w:rPr>
        <w:t>centre</w:t>
      </w:r>
      <w:r w:rsidRPr="000177D4">
        <w:rPr>
          <w:rFonts w:ascii="Calibri" w:hAnsi="Calibri" w:cstheme="minorHAnsi"/>
        </w:rPr>
        <w:t>, we</w:t>
      </w:r>
      <w:r w:rsidR="00F363AC" w:rsidRPr="000177D4">
        <w:rPr>
          <w:rFonts w:ascii="Calibri" w:hAnsi="Calibri" w:cstheme="minorHAnsi"/>
        </w:rPr>
        <w:t xml:space="preserve"> implemented an early </w:t>
      </w:r>
      <w:r w:rsidR="00F66436" w:rsidRPr="000177D4">
        <w:rPr>
          <w:rFonts w:ascii="Calibri" w:hAnsi="Calibri" w:cstheme="minorHAnsi"/>
        </w:rPr>
        <w:t xml:space="preserve">standardised </w:t>
      </w:r>
      <w:r w:rsidR="00F363AC" w:rsidRPr="000177D4">
        <w:rPr>
          <w:rFonts w:ascii="Calibri" w:hAnsi="Calibri" w:cstheme="minorHAnsi"/>
        </w:rPr>
        <w:t>feeding pathway following e</w:t>
      </w:r>
      <w:r w:rsidRPr="000177D4">
        <w:rPr>
          <w:rFonts w:ascii="Calibri" w:hAnsi="Calibri" w:cstheme="minorHAnsi"/>
        </w:rPr>
        <w:t>lective gastrostomy insertion</w:t>
      </w:r>
      <w:r w:rsidR="00F66436" w:rsidRPr="000177D4">
        <w:rPr>
          <w:rFonts w:ascii="Calibri" w:hAnsi="Calibri" w:cstheme="minorHAnsi"/>
        </w:rPr>
        <w:t xml:space="preserve"> as part of a quality improvement initiative</w:t>
      </w:r>
      <w:r w:rsidRPr="000177D4">
        <w:rPr>
          <w:rFonts w:ascii="Calibri" w:hAnsi="Calibri" w:cstheme="minorHAnsi"/>
        </w:rPr>
        <w:t xml:space="preserve">. </w:t>
      </w:r>
      <w:r w:rsidR="00BB3BB4" w:rsidRPr="000177D4">
        <w:rPr>
          <w:rFonts w:ascii="Calibri" w:hAnsi="Calibri" w:cstheme="minorHAnsi"/>
        </w:rPr>
        <w:t xml:space="preserve">The aim </w:t>
      </w:r>
      <w:r w:rsidR="00A863FC" w:rsidRPr="000177D4">
        <w:rPr>
          <w:rFonts w:ascii="Calibri" w:hAnsi="Calibri" w:cstheme="minorHAnsi"/>
        </w:rPr>
        <w:t xml:space="preserve">of </w:t>
      </w:r>
      <w:r w:rsidR="00F66436" w:rsidRPr="000177D4">
        <w:rPr>
          <w:rFonts w:ascii="Calibri" w:hAnsi="Calibri" w:cstheme="minorHAnsi"/>
        </w:rPr>
        <w:t xml:space="preserve">introducing the pathway was to attempt to standardise care and reduce LOS, whilst </w:t>
      </w:r>
      <w:r w:rsidR="00A863FC" w:rsidRPr="000177D4">
        <w:rPr>
          <w:rFonts w:ascii="Calibri" w:hAnsi="Calibri" w:cstheme="minorHAnsi"/>
        </w:rPr>
        <w:t>ma</w:t>
      </w:r>
      <w:r w:rsidR="00F66436" w:rsidRPr="000177D4">
        <w:rPr>
          <w:rFonts w:ascii="Calibri" w:hAnsi="Calibri" w:cstheme="minorHAnsi"/>
        </w:rPr>
        <w:t>int</w:t>
      </w:r>
      <w:r w:rsidR="00A863FC" w:rsidRPr="000177D4">
        <w:rPr>
          <w:rFonts w:ascii="Calibri" w:hAnsi="Calibri" w:cstheme="minorHAnsi"/>
        </w:rPr>
        <w:t>ain</w:t>
      </w:r>
      <w:r w:rsidR="00F66436" w:rsidRPr="000177D4">
        <w:rPr>
          <w:rFonts w:ascii="Calibri" w:hAnsi="Calibri" w:cstheme="minorHAnsi"/>
        </w:rPr>
        <w:t xml:space="preserve">ing an acceptably low complication </w:t>
      </w:r>
      <w:r w:rsidR="00A863FC" w:rsidRPr="000177D4">
        <w:rPr>
          <w:rFonts w:ascii="Calibri" w:hAnsi="Calibri" w:cstheme="minorHAnsi"/>
        </w:rPr>
        <w:t xml:space="preserve">and readmission </w:t>
      </w:r>
      <w:r w:rsidR="00F66436" w:rsidRPr="000177D4">
        <w:rPr>
          <w:rFonts w:ascii="Calibri" w:hAnsi="Calibri" w:cstheme="minorHAnsi"/>
        </w:rPr>
        <w:t xml:space="preserve">rate. </w:t>
      </w:r>
      <w:r w:rsidR="00A863FC" w:rsidRPr="000177D4">
        <w:rPr>
          <w:rFonts w:ascii="Calibri" w:hAnsi="Calibri" w:cstheme="minorHAnsi"/>
        </w:rPr>
        <w:t>We herein report our findings.</w:t>
      </w:r>
    </w:p>
    <w:p w:rsidR="00F73221" w:rsidRPr="000177D4" w:rsidRDefault="00F73221" w:rsidP="00DA3390">
      <w:pPr>
        <w:rPr>
          <w:rFonts w:ascii="Calibri" w:hAnsi="Calibri" w:cstheme="minorHAnsi"/>
        </w:rPr>
      </w:pPr>
    </w:p>
    <w:p w:rsidR="00D072F9" w:rsidRPr="000177D4" w:rsidRDefault="00F73221" w:rsidP="00B30282">
      <w:pPr>
        <w:pStyle w:val="Heading2"/>
        <w:rPr>
          <w:rFonts w:ascii="Calibri" w:hAnsi="Calibri" w:cstheme="minorHAnsi"/>
        </w:rPr>
      </w:pPr>
      <w:r w:rsidRPr="000177D4">
        <w:rPr>
          <w:rFonts w:ascii="Calibri" w:hAnsi="Calibri" w:cstheme="minorHAnsi"/>
        </w:rPr>
        <w:t>Method</w:t>
      </w:r>
      <w:r w:rsidR="00A863FC" w:rsidRPr="000177D4">
        <w:rPr>
          <w:rFonts w:ascii="Calibri" w:hAnsi="Calibri" w:cstheme="minorHAnsi"/>
        </w:rPr>
        <w:t>s</w:t>
      </w:r>
    </w:p>
    <w:p w:rsidR="004E60F0" w:rsidRPr="000177D4" w:rsidRDefault="004E60F0" w:rsidP="00457F9A">
      <w:pPr>
        <w:pStyle w:val="Heading3"/>
        <w:rPr>
          <w:rFonts w:ascii="Calibri" w:hAnsi="Calibri"/>
        </w:rPr>
      </w:pPr>
      <w:r w:rsidRPr="000177D4">
        <w:rPr>
          <w:rFonts w:ascii="Calibri" w:hAnsi="Calibri"/>
        </w:rPr>
        <w:t xml:space="preserve">1.1 Study design </w:t>
      </w:r>
    </w:p>
    <w:p w:rsidR="00B30282" w:rsidRPr="000177D4" w:rsidRDefault="00B30282" w:rsidP="00432FA4">
      <w:pPr>
        <w:rPr>
          <w:rFonts w:ascii="Calibri" w:hAnsi="Calibri" w:cstheme="minorHAnsi"/>
        </w:rPr>
      </w:pPr>
      <w:r w:rsidRPr="000177D4">
        <w:rPr>
          <w:rFonts w:ascii="Calibri" w:hAnsi="Calibri" w:cstheme="minorHAnsi"/>
        </w:rPr>
        <w:t xml:space="preserve">Following institutional approval, </w:t>
      </w:r>
      <w:r w:rsidR="0075493F" w:rsidRPr="000177D4">
        <w:rPr>
          <w:rFonts w:ascii="Calibri" w:hAnsi="Calibri" w:cstheme="minorHAnsi"/>
        </w:rPr>
        <w:t xml:space="preserve">cases were identified from a prospectively maintained departmental clinical database. Data collection from </w:t>
      </w:r>
      <w:proofErr w:type="spellStart"/>
      <w:r w:rsidR="00A863FC" w:rsidRPr="000177D4">
        <w:rPr>
          <w:rFonts w:ascii="Calibri" w:hAnsi="Calibri" w:cstheme="minorHAnsi"/>
        </w:rPr>
        <w:t>casenote</w:t>
      </w:r>
      <w:r w:rsidR="0075493F" w:rsidRPr="000177D4">
        <w:rPr>
          <w:rFonts w:ascii="Calibri" w:hAnsi="Calibri" w:cstheme="minorHAnsi"/>
        </w:rPr>
        <w:t>s</w:t>
      </w:r>
      <w:proofErr w:type="spellEnd"/>
      <w:r w:rsidR="0075493F" w:rsidRPr="000177D4">
        <w:rPr>
          <w:rFonts w:ascii="Calibri" w:hAnsi="Calibri" w:cstheme="minorHAnsi"/>
        </w:rPr>
        <w:t xml:space="preserve"> was retrospective</w:t>
      </w:r>
      <w:r w:rsidR="00A4117C" w:rsidRPr="000177D4">
        <w:rPr>
          <w:rFonts w:ascii="Calibri" w:hAnsi="Calibri" w:cstheme="minorHAnsi"/>
        </w:rPr>
        <w:t>. C</w:t>
      </w:r>
      <w:r w:rsidR="00062783" w:rsidRPr="000177D4">
        <w:rPr>
          <w:rFonts w:ascii="Calibri" w:hAnsi="Calibri" w:cstheme="minorHAnsi"/>
        </w:rPr>
        <w:t>hildren (age &lt;18 years)</w:t>
      </w:r>
      <w:r w:rsidR="00432FA4" w:rsidRPr="000177D4">
        <w:rPr>
          <w:rFonts w:ascii="Calibri" w:hAnsi="Calibri" w:cstheme="minorHAnsi"/>
        </w:rPr>
        <w:t xml:space="preserve"> having a</w:t>
      </w:r>
      <w:r w:rsidR="005224D3" w:rsidRPr="000177D4">
        <w:rPr>
          <w:rFonts w:ascii="Calibri" w:hAnsi="Calibri" w:cstheme="minorHAnsi"/>
        </w:rPr>
        <w:t>n elective</w:t>
      </w:r>
      <w:r w:rsidR="00432FA4" w:rsidRPr="000177D4">
        <w:rPr>
          <w:rFonts w:ascii="Calibri" w:hAnsi="Calibri" w:cstheme="minorHAnsi"/>
        </w:rPr>
        <w:t xml:space="preserve"> new gastrostomy inserted during a </w:t>
      </w:r>
      <w:r w:rsidR="00062783" w:rsidRPr="000177D4">
        <w:rPr>
          <w:rFonts w:ascii="Calibri" w:hAnsi="Calibri" w:cstheme="minorHAnsi"/>
        </w:rPr>
        <w:t>one-</w:t>
      </w:r>
      <w:r w:rsidR="00432FA4" w:rsidRPr="000177D4">
        <w:rPr>
          <w:rFonts w:ascii="Calibri" w:hAnsi="Calibri" w:cstheme="minorHAnsi"/>
        </w:rPr>
        <w:t xml:space="preserve">year period prior to (July 2016 - July 2017) and </w:t>
      </w:r>
      <w:r w:rsidR="00A36159" w:rsidRPr="000177D4">
        <w:rPr>
          <w:rFonts w:ascii="Calibri" w:hAnsi="Calibri" w:cstheme="minorHAnsi"/>
        </w:rPr>
        <w:t xml:space="preserve">one-year </w:t>
      </w:r>
      <w:r w:rsidR="00432FA4" w:rsidRPr="000177D4">
        <w:rPr>
          <w:rFonts w:ascii="Calibri" w:hAnsi="Calibri" w:cstheme="minorHAnsi"/>
        </w:rPr>
        <w:t>following (July 2017-July 2018) pathway introduction w</w:t>
      </w:r>
      <w:r w:rsidR="002775B1" w:rsidRPr="000177D4">
        <w:rPr>
          <w:rFonts w:ascii="Calibri" w:hAnsi="Calibri" w:cstheme="minorHAnsi"/>
        </w:rPr>
        <w:t xml:space="preserve">ere </w:t>
      </w:r>
      <w:r w:rsidR="00A863FC" w:rsidRPr="000177D4">
        <w:rPr>
          <w:rFonts w:ascii="Calibri" w:hAnsi="Calibri" w:cstheme="minorHAnsi"/>
        </w:rPr>
        <w:t>eligible for inclusion</w:t>
      </w:r>
      <w:r w:rsidR="002775B1" w:rsidRPr="000177D4">
        <w:rPr>
          <w:rFonts w:ascii="Calibri" w:hAnsi="Calibri" w:cstheme="minorHAnsi"/>
        </w:rPr>
        <w:t xml:space="preserve">. </w:t>
      </w:r>
      <w:r w:rsidR="00A863FC" w:rsidRPr="000177D4">
        <w:rPr>
          <w:rFonts w:ascii="Calibri" w:hAnsi="Calibri" w:cstheme="minorHAnsi"/>
        </w:rPr>
        <w:t>Prior to pathway introduction, the timing of commencement of feeds and rate of advancement following gastrostomy insertion was at surgeon discretion. Following the introduction of the new pathway in July 2017, the default option was for all children having a gastrostomy to follow the pathway. However the pathway was found not to be suitable for all children since some ha</w:t>
      </w:r>
      <w:r w:rsidR="00570401" w:rsidRPr="000177D4">
        <w:rPr>
          <w:rFonts w:ascii="Calibri" w:hAnsi="Calibri" w:cstheme="minorHAnsi"/>
        </w:rPr>
        <w:t>d</w:t>
      </w:r>
      <w:r w:rsidR="00A863FC" w:rsidRPr="000177D4">
        <w:rPr>
          <w:rFonts w:ascii="Calibri" w:hAnsi="Calibri" w:cstheme="minorHAnsi"/>
        </w:rPr>
        <w:t xml:space="preserve"> co-existing medical</w:t>
      </w:r>
      <w:r w:rsidR="00A65191" w:rsidRPr="000177D4">
        <w:rPr>
          <w:rFonts w:ascii="Calibri" w:hAnsi="Calibri" w:cstheme="minorHAnsi"/>
        </w:rPr>
        <w:t xml:space="preserve"> </w:t>
      </w:r>
      <w:r w:rsidR="007E29C5" w:rsidRPr="000177D4">
        <w:rPr>
          <w:rFonts w:ascii="Calibri" w:hAnsi="Calibri" w:cstheme="minorHAnsi"/>
        </w:rPr>
        <w:t xml:space="preserve">reasons </w:t>
      </w:r>
      <w:r w:rsidR="00A65191" w:rsidRPr="000177D4">
        <w:rPr>
          <w:rFonts w:ascii="Calibri" w:hAnsi="Calibri" w:cstheme="minorHAnsi"/>
        </w:rPr>
        <w:t xml:space="preserve">(e.g. </w:t>
      </w:r>
      <w:r w:rsidR="007E29C5" w:rsidRPr="000177D4">
        <w:rPr>
          <w:rFonts w:ascii="Calibri" w:hAnsi="Calibri" w:cstheme="minorHAnsi"/>
        </w:rPr>
        <w:t>cancer</w:t>
      </w:r>
      <w:r w:rsidR="00556FD2" w:rsidRPr="000177D4">
        <w:rPr>
          <w:rFonts w:ascii="Calibri" w:hAnsi="Calibri" w:cstheme="minorHAnsi"/>
        </w:rPr>
        <w:t xml:space="preserve"> and </w:t>
      </w:r>
      <w:r w:rsidR="007E29C5" w:rsidRPr="000177D4">
        <w:rPr>
          <w:rFonts w:ascii="Calibri" w:hAnsi="Calibri" w:cstheme="minorHAnsi"/>
        </w:rPr>
        <w:t>chronic renal failure patients)</w:t>
      </w:r>
      <w:r w:rsidR="00A863FC" w:rsidRPr="000177D4">
        <w:rPr>
          <w:rFonts w:ascii="Calibri" w:hAnsi="Calibri" w:cstheme="minorHAnsi"/>
        </w:rPr>
        <w:t xml:space="preserve"> or nutritional reasons (</w:t>
      </w:r>
      <w:proofErr w:type="spellStart"/>
      <w:r w:rsidR="00A863FC" w:rsidRPr="000177D4">
        <w:rPr>
          <w:rFonts w:ascii="Calibri" w:hAnsi="Calibri" w:cstheme="minorHAnsi"/>
        </w:rPr>
        <w:t>e.g</w:t>
      </w:r>
      <w:proofErr w:type="spellEnd"/>
      <w:r w:rsidR="00A863FC" w:rsidRPr="000177D4">
        <w:rPr>
          <w:rFonts w:ascii="Calibri" w:hAnsi="Calibri" w:cstheme="minorHAnsi"/>
        </w:rPr>
        <w:t xml:space="preserve"> at high risk of refeeding syndrome) that precluded them from following the pathway. The cases were excluded from </w:t>
      </w:r>
      <w:r w:rsidR="00570401" w:rsidRPr="000177D4">
        <w:rPr>
          <w:rFonts w:ascii="Calibri" w:hAnsi="Calibri" w:cstheme="minorHAnsi"/>
        </w:rPr>
        <w:t xml:space="preserve">comparative </w:t>
      </w:r>
      <w:r w:rsidR="00A863FC" w:rsidRPr="000177D4">
        <w:rPr>
          <w:rFonts w:ascii="Calibri" w:hAnsi="Calibri" w:cstheme="minorHAnsi"/>
        </w:rPr>
        <w:t>analysis</w:t>
      </w:r>
      <w:r w:rsidR="00570401" w:rsidRPr="000177D4">
        <w:rPr>
          <w:rFonts w:ascii="Calibri" w:hAnsi="Calibri" w:cstheme="minorHAnsi"/>
        </w:rPr>
        <w:t xml:space="preserve"> within this report.</w:t>
      </w:r>
    </w:p>
    <w:p w:rsidR="00B30282" w:rsidRPr="000177D4" w:rsidRDefault="00B30282" w:rsidP="00432FA4">
      <w:pPr>
        <w:rPr>
          <w:rFonts w:ascii="Calibri" w:hAnsi="Calibri" w:cstheme="minorHAnsi"/>
        </w:rPr>
      </w:pPr>
    </w:p>
    <w:p w:rsidR="00A36159" w:rsidRPr="000177D4" w:rsidRDefault="00A36159" w:rsidP="00432FA4">
      <w:pPr>
        <w:rPr>
          <w:rFonts w:ascii="Calibri" w:hAnsi="Calibri" w:cstheme="minorHAnsi"/>
        </w:rPr>
      </w:pPr>
      <w:r w:rsidRPr="000177D4">
        <w:rPr>
          <w:rFonts w:ascii="Calibri" w:hAnsi="Calibri" w:cstheme="minorHAnsi"/>
        </w:rPr>
        <w:t>Patient demographics</w:t>
      </w:r>
      <w:r w:rsidR="00530F3D" w:rsidRPr="000177D4">
        <w:rPr>
          <w:rFonts w:ascii="Calibri" w:hAnsi="Calibri" w:cstheme="minorHAnsi"/>
        </w:rPr>
        <w:t xml:space="preserve"> (including gender, age, weight at surgery and co-morbidities)</w:t>
      </w:r>
      <w:r w:rsidRPr="000177D4">
        <w:rPr>
          <w:rFonts w:ascii="Calibri" w:hAnsi="Calibri" w:cstheme="minorHAnsi"/>
        </w:rPr>
        <w:t>, indication for procedure, t</w:t>
      </w:r>
      <w:r w:rsidR="00B60B87" w:rsidRPr="000177D4">
        <w:rPr>
          <w:rFonts w:ascii="Calibri" w:hAnsi="Calibri" w:cstheme="minorHAnsi"/>
        </w:rPr>
        <w:t>ube type, insertion method</w:t>
      </w:r>
      <w:r w:rsidRPr="000177D4">
        <w:rPr>
          <w:rFonts w:ascii="Calibri" w:hAnsi="Calibri" w:cstheme="minorHAnsi"/>
        </w:rPr>
        <w:t xml:space="preserve">, </w:t>
      </w:r>
      <w:r w:rsidR="005224D3" w:rsidRPr="000177D4">
        <w:rPr>
          <w:rFonts w:ascii="Calibri" w:hAnsi="Calibri" w:cstheme="minorHAnsi"/>
        </w:rPr>
        <w:t>LOS</w:t>
      </w:r>
      <w:r w:rsidR="00643B27" w:rsidRPr="000177D4">
        <w:rPr>
          <w:rFonts w:ascii="Calibri" w:hAnsi="Calibri" w:cstheme="minorHAnsi"/>
        </w:rPr>
        <w:t xml:space="preserve"> </w:t>
      </w:r>
      <w:r w:rsidRPr="000177D4">
        <w:rPr>
          <w:rFonts w:ascii="Calibri" w:hAnsi="Calibri" w:cstheme="minorHAnsi"/>
        </w:rPr>
        <w:t>in hospital</w:t>
      </w:r>
      <w:r w:rsidR="00907DD2" w:rsidRPr="000177D4">
        <w:rPr>
          <w:rFonts w:ascii="Calibri" w:hAnsi="Calibri" w:cstheme="minorHAnsi"/>
        </w:rPr>
        <w:t xml:space="preserve"> from admission and from time </w:t>
      </w:r>
      <w:r w:rsidR="00570401" w:rsidRPr="000177D4">
        <w:rPr>
          <w:rFonts w:ascii="Calibri" w:hAnsi="Calibri" w:cstheme="minorHAnsi"/>
        </w:rPr>
        <w:t>of surgery</w:t>
      </w:r>
      <w:r w:rsidRPr="000177D4">
        <w:rPr>
          <w:rFonts w:ascii="Calibri" w:hAnsi="Calibri" w:cstheme="minorHAnsi"/>
        </w:rPr>
        <w:t xml:space="preserve">, </w:t>
      </w:r>
      <w:r w:rsidR="00233136" w:rsidRPr="000177D4">
        <w:rPr>
          <w:rFonts w:ascii="Calibri" w:hAnsi="Calibri" w:cstheme="minorHAnsi"/>
        </w:rPr>
        <w:t>immediate</w:t>
      </w:r>
      <w:r w:rsidRPr="000177D4">
        <w:rPr>
          <w:rFonts w:ascii="Calibri" w:hAnsi="Calibri" w:cstheme="minorHAnsi"/>
        </w:rPr>
        <w:t xml:space="preserve"> (&lt;72 hour</w:t>
      </w:r>
      <w:r w:rsidR="009E6CE3" w:rsidRPr="000177D4">
        <w:rPr>
          <w:rFonts w:ascii="Calibri" w:hAnsi="Calibri" w:cstheme="minorHAnsi"/>
        </w:rPr>
        <w:t>s</w:t>
      </w:r>
      <w:r w:rsidRPr="000177D4">
        <w:rPr>
          <w:rFonts w:ascii="Calibri" w:hAnsi="Calibri" w:cstheme="minorHAnsi"/>
        </w:rPr>
        <w:t xml:space="preserve">) and </w:t>
      </w:r>
      <w:r w:rsidR="00233136" w:rsidRPr="000177D4">
        <w:rPr>
          <w:rFonts w:ascii="Calibri" w:hAnsi="Calibri" w:cstheme="minorHAnsi"/>
        </w:rPr>
        <w:t>early</w:t>
      </w:r>
      <w:r w:rsidRPr="000177D4">
        <w:rPr>
          <w:rFonts w:ascii="Calibri" w:hAnsi="Calibri" w:cstheme="minorHAnsi"/>
        </w:rPr>
        <w:t xml:space="preserve"> (&lt;30 days) </w:t>
      </w:r>
      <w:r w:rsidR="00432FA4" w:rsidRPr="000177D4">
        <w:rPr>
          <w:rFonts w:ascii="Calibri" w:hAnsi="Calibri" w:cstheme="minorHAnsi"/>
        </w:rPr>
        <w:t xml:space="preserve">post-operative complications </w:t>
      </w:r>
      <w:r w:rsidR="004E60F0" w:rsidRPr="000177D4">
        <w:rPr>
          <w:rFonts w:ascii="Calibri" w:hAnsi="Calibri" w:cstheme="minorHAnsi"/>
        </w:rPr>
        <w:t xml:space="preserve">and re-admissions </w:t>
      </w:r>
      <w:r w:rsidRPr="000177D4">
        <w:rPr>
          <w:rFonts w:ascii="Calibri" w:hAnsi="Calibri" w:cstheme="minorHAnsi"/>
        </w:rPr>
        <w:t>were recorded.</w:t>
      </w:r>
    </w:p>
    <w:p w:rsidR="00B30282" w:rsidRPr="000177D4" w:rsidRDefault="00B30282" w:rsidP="00432FA4">
      <w:pPr>
        <w:rPr>
          <w:rFonts w:ascii="Calibri" w:hAnsi="Calibri" w:cstheme="minorHAnsi"/>
        </w:rPr>
      </w:pPr>
    </w:p>
    <w:p w:rsidR="00457F9A" w:rsidRPr="000177D4" w:rsidRDefault="00457F9A" w:rsidP="00457F9A">
      <w:pPr>
        <w:pStyle w:val="Heading3"/>
        <w:rPr>
          <w:rFonts w:ascii="Calibri" w:hAnsi="Calibri"/>
        </w:rPr>
      </w:pPr>
      <w:r w:rsidRPr="000177D4">
        <w:rPr>
          <w:rFonts w:ascii="Calibri" w:hAnsi="Calibri"/>
        </w:rPr>
        <w:t xml:space="preserve">1.2 Clinical Pathway </w:t>
      </w:r>
    </w:p>
    <w:p w:rsidR="00F73221" w:rsidRPr="000177D4" w:rsidRDefault="00570401" w:rsidP="00DA3390">
      <w:pPr>
        <w:rPr>
          <w:rFonts w:ascii="Calibri" w:hAnsi="Calibri" w:cstheme="minorHAnsi"/>
        </w:rPr>
      </w:pPr>
      <w:r w:rsidRPr="000177D4">
        <w:rPr>
          <w:rFonts w:ascii="Calibri" w:hAnsi="Calibri" w:cstheme="minorHAnsi"/>
        </w:rPr>
        <w:t>The</w:t>
      </w:r>
      <w:r w:rsidR="00432FA4" w:rsidRPr="000177D4">
        <w:rPr>
          <w:rFonts w:ascii="Calibri" w:hAnsi="Calibri" w:cstheme="minorHAnsi"/>
        </w:rPr>
        <w:t xml:space="preserve"> </w:t>
      </w:r>
      <w:r w:rsidR="00A36159" w:rsidRPr="000177D4">
        <w:rPr>
          <w:rFonts w:ascii="Calibri" w:hAnsi="Calibri" w:cstheme="minorHAnsi"/>
        </w:rPr>
        <w:t xml:space="preserve">early feeding </w:t>
      </w:r>
      <w:r w:rsidR="00432FA4" w:rsidRPr="000177D4">
        <w:rPr>
          <w:rFonts w:ascii="Calibri" w:hAnsi="Calibri" w:cstheme="minorHAnsi"/>
        </w:rPr>
        <w:t xml:space="preserve">pathway </w:t>
      </w:r>
      <w:r w:rsidR="00A36159" w:rsidRPr="000177D4">
        <w:rPr>
          <w:rFonts w:ascii="Calibri" w:hAnsi="Calibri" w:cstheme="minorHAnsi"/>
        </w:rPr>
        <w:t xml:space="preserve">comprised </w:t>
      </w:r>
      <w:r w:rsidRPr="000177D4">
        <w:rPr>
          <w:rFonts w:ascii="Calibri" w:hAnsi="Calibri" w:cstheme="minorHAnsi"/>
        </w:rPr>
        <w:t xml:space="preserve">giving </w:t>
      </w:r>
      <w:r w:rsidR="00432FA4" w:rsidRPr="000177D4">
        <w:rPr>
          <w:rFonts w:ascii="Calibri" w:hAnsi="Calibri" w:cstheme="minorHAnsi"/>
        </w:rPr>
        <w:t xml:space="preserve">50% of </w:t>
      </w:r>
      <w:r w:rsidR="0068109B" w:rsidRPr="000177D4">
        <w:rPr>
          <w:rFonts w:ascii="Calibri" w:hAnsi="Calibri" w:cstheme="minorHAnsi"/>
        </w:rPr>
        <w:t xml:space="preserve">the patient’s </w:t>
      </w:r>
      <w:r w:rsidR="00432FA4" w:rsidRPr="000177D4">
        <w:rPr>
          <w:rFonts w:ascii="Calibri" w:hAnsi="Calibri" w:cstheme="minorHAnsi"/>
        </w:rPr>
        <w:t>normal feed at 2 hours post-procedure, followed by 100% of normal feed at 5 and 8 hours.</w:t>
      </w:r>
      <w:r w:rsidR="00B30282" w:rsidRPr="000177D4">
        <w:rPr>
          <w:rFonts w:ascii="Calibri" w:hAnsi="Calibri" w:cstheme="minorHAnsi"/>
        </w:rPr>
        <w:t xml:space="preserve"> (Figure 1)</w:t>
      </w:r>
      <w:r w:rsidR="00432FA4" w:rsidRPr="000177D4">
        <w:rPr>
          <w:rFonts w:ascii="Calibri" w:hAnsi="Calibri" w:cstheme="minorHAnsi"/>
        </w:rPr>
        <w:t xml:space="preserve"> </w:t>
      </w:r>
      <w:r w:rsidR="00530F3D" w:rsidRPr="000177D4">
        <w:rPr>
          <w:rFonts w:ascii="Calibri" w:hAnsi="Calibri" w:cstheme="minorHAnsi"/>
        </w:rPr>
        <w:t xml:space="preserve">Timing for the first feed was calculated from the end of the </w:t>
      </w:r>
      <w:r w:rsidR="004E1842" w:rsidRPr="000177D4">
        <w:rPr>
          <w:rFonts w:ascii="Calibri" w:hAnsi="Calibri" w:cstheme="minorHAnsi"/>
        </w:rPr>
        <w:t>procedure</w:t>
      </w:r>
      <w:r w:rsidR="00530F3D" w:rsidRPr="000177D4">
        <w:rPr>
          <w:rFonts w:ascii="Calibri" w:hAnsi="Calibri" w:cstheme="minorHAnsi"/>
        </w:rPr>
        <w:t xml:space="preserve">. </w:t>
      </w:r>
      <w:r w:rsidR="00A36159" w:rsidRPr="000177D4">
        <w:rPr>
          <w:rFonts w:ascii="Calibri" w:hAnsi="Calibri" w:cstheme="minorHAnsi"/>
        </w:rPr>
        <w:t>If the patient did not tolerate the feed, the</w:t>
      </w:r>
      <w:r w:rsidR="005224D3" w:rsidRPr="000177D4">
        <w:rPr>
          <w:rFonts w:ascii="Calibri" w:hAnsi="Calibri" w:cstheme="minorHAnsi"/>
        </w:rPr>
        <w:t xml:space="preserve">y had a medical review and repeated the </w:t>
      </w:r>
      <w:r w:rsidR="000635A3" w:rsidRPr="000177D4">
        <w:rPr>
          <w:rFonts w:ascii="Calibri" w:hAnsi="Calibri" w:cstheme="minorHAnsi"/>
        </w:rPr>
        <w:t>step</w:t>
      </w:r>
      <w:r w:rsidR="005224D3" w:rsidRPr="000177D4">
        <w:rPr>
          <w:rFonts w:ascii="Calibri" w:hAnsi="Calibri" w:cstheme="minorHAnsi"/>
        </w:rPr>
        <w:t xml:space="preserve"> later on</w:t>
      </w:r>
      <w:r w:rsidR="000635A3" w:rsidRPr="000177D4">
        <w:rPr>
          <w:rFonts w:ascii="Calibri" w:hAnsi="Calibri" w:cstheme="minorHAnsi"/>
        </w:rPr>
        <w:t>.</w:t>
      </w:r>
      <w:r w:rsidR="00A36159" w:rsidRPr="000177D4">
        <w:rPr>
          <w:rFonts w:ascii="Calibri" w:hAnsi="Calibri" w:cstheme="minorHAnsi"/>
        </w:rPr>
        <w:t xml:space="preserve"> </w:t>
      </w:r>
      <w:r w:rsidR="00530F3D" w:rsidRPr="000177D4">
        <w:rPr>
          <w:rFonts w:ascii="Calibri" w:hAnsi="Calibri" w:cstheme="minorHAnsi"/>
        </w:rPr>
        <w:t xml:space="preserve">Intolerance was defined as </w:t>
      </w:r>
      <w:r w:rsidR="000635A3" w:rsidRPr="000177D4">
        <w:rPr>
          <w:rFonts w:ascii="Calibri" w:hAnsi="Calibri" w:cstheme="minorHAnsi"/>
        </w:rPr>
        <w:lastRenderedPageBreak/>
        <w:t xml:space="preserve">leak of feed from </w:t>
      </w:r>
      <w:r w:rsidR="004E1842" w:rsidRPr="000177D4">
        <w:rPr>
          <w:rFonts w:ascii="Calibri" w:hAnsi="Calibri" w:cstheme="minorHAnsi"/>
        </w:rPr>
        <w:t>gastrostomy</w:t>
      </w:r>
      <w:r w:rsidR="000635A3" w:rsidRPr="000177D4">
        <w:rPr>
          <w:rFonts w:ascii="Calibri" w:hAnsi="Calibri" w:cstheme="minorHAnsi"/>
        </w:rPr>
        <w:t xml:space="preserve"> site,</w:t>
      </w:r>
      <w:r w:rsidR="00530F3D" w:rsidRPr="000177D4">
        <w:rPr>
          <w:rFonts w:ascii="Calibri" w:hAnsi="Calibri" w:cstheme="minorHAnsi"/>
        </w:rPr>
        <w:t xml:space="preserve"> </w:t>
      </w:r>
      <w:r w:rsidR="00B03A44" w:rsidRPr="000177D4">
        <w:rPr>
          <w:rFonts w:ascii="Calibri" w:hAnsi="Calibri" w:cstheme="minorHAnsi"/>
        </w:rPr>
        <w:t xml:space="preserve">increased pain from feeding, </w:t>
      </w:r>
      <w:r w:rsidR="00530F3D" w:rsidRPr="000177D4">
        <w:rPr>
          <w:rFonts w:ascii="Calibri" w:hAnsi="Calibri" w:cstheme="minorHAnsi"/>
        </w:rPr>
        <w:t xml:space="preserve">emesis </w:t>
      </w:r>
      <w:r w:rsidR="000635A3" w:rsidRPr="000177D4">
        <w:rPr>
          <w:rFonts w:ascii="Calibri" w:hAnsi="Calibri" w:cstheme="minorHAnsi"/>
        </w:rPr>
        <w:t xml:space="preserve">of &gt;50% of feed </w:t>
      </w:r>
      <w:r w:rsidR="00530F3D" w:rsidRPr="000177D4">
        <w:rPr>
          <w:rFonts w:ascii="Calibri" w:hAnsi="Calibri" w:cstheme="minorHAnsi"/>
        </w:rPr>
        <w:t>or respiratory or haemodynamic instability</w:t>
      </w:r>
      <w:r w:rsidR="00A36159" w:rsidRPr="000177D4">
        <w:rPr>
          <w:rFonts w:ascii="Calibri" w:hAnsi="Calibri" w:cstheme="minorHAnsi"/>
        </w:rPr>
        <w:t xml:space="preserve">. </w:t>
      </w:r>
      <w:r w:rsidR="00B30282" w:rsidRPr="000177D4">
        <w:rPr>
          <w:rFonts w:ascii="Calibri" w:hAnsi="Calibri" w:cstheme="minorHAnsi"/>
        </w:rPr>
        <w:t xml:space="preserve">All patients had gastrostomy care teaching </w:t>
      </w:r>
      <w:r w:rsidRPr="000177D4">
        <w:rPr>
          <w:rFonts w:ascii="Calibri" w:hAnsi="Calibri" w:cstheme="minorHAnsi"/>
        </w:rPr>
        <w:t xml:space="preserve">pre and/or </w:t>
      </w:r>
      <w:r w:rsidR="00B30282" w:rsidRPr="000177D4">
        <w:rPr>
          <w:rFonts w:ascii="Calibri" w:hAnsi="Calibri" w:cstheme="minorHAnsi"/>
        </w:rPr>
        <w:t xml:space="preserve">post-operatively as </w:t>
      </w:r>
      <w:r w:rsidR="0000607E" w:rsidRPr="000177D4">
        <w:rPr>
          <w:rFonts w:ascii="Calibri" w:hAnsi="Calibri" w:cstheme="minorHAnsi"/>
        </w:rPr>
        <w:t>part of the pathway</w:t>
      </w:r>
      <w:r w:rsidR="00B30282" w:rsidRPr="000177D4">
        <w:rPr>
          <w:rFonts w:ascii="Calibri" w:hAnsi="Calibri" w:cstheme="minorHAnsi"/>
        </w:rPr>
        <w:t xml:space="preserve"> by</w:t>
      </w:r>
      <w:r w:rsidR="0000607E" w:rsidRPr="000177D4">
        <w:rPr>
          <w:rFonts w:ascii="Calibri" w:hAnsi="Calibri" w:cstheme="minorHAnsi"/>
        </w:rPr>
        <w:t xml:space="preserve"> a</w:t>
      </w:r>
      <w:r w:rsidR="00B30282" w:rsidRPr="000177D4">
        <w:rPr>
          <w:rFonts w:ascii="Calibri" w:hAnsi="Calibri" w:cstheme="minorHAnsi"/>
        </w:rPr>
        <w:t xml:space="preserve"> paediatric surgical nurse specialist. </w:t>
      </w:r>
      <w:r w:rsidR="00541691" w:rsidRPr="000177D4">
        <w:rPr>
          <w:rFonts w:ascii="Calibri" w:hAnsi="Calibri" w:cstheme="minorHAnsi"/>
        </w:rPr>
        <w:t>Once patients achieved 2</w:t>
      </w:r>
      <w:r w:rsidR="00530F3D" w:rsidRPr="000177D4">
        <w:rPr>
          <w:rFonts w:ascii="Calibri" w:hAnsi="Calibri" w:cstheme="minorHAnsi"/>
        </w:rPr>
        <w:t xml:space="preserve"> full feeds and had their gastrostomy teaching, they were fit </w:t>
      </w:r>
      <w:r w:rsidR="005224D3" w:rsidRPr="000177D4">
        <w:rPr>
          <w:rFonts w:ascii="Calibri" w:hAnsi="Calibri" w:cstheme="minorHAnsi"/>
        </w:rPr>
        <w:t>for discharge</w:t>
      </w:r>
      <w:r w:rsidR="00530F3D" w:rsidRPr="000177D4">
        <w:rPr>
          <w:rFonts w:ascii="Calibri" w:hAnsi="Calibri" w:cstheme="minorHAnsi"/>
        </w:rPr>
        <w:t xml:space="preserve">. </w:t>
      </w:r>
      <w:r w:rsidR="00A36159" w:rsidRPr="000177D4">
        <w:rPr>
          <w:rFonts w:ascii="Calibri" w:hAnsi="Calibri" w:cstheme="minorHAnsi"/>
        </w:rPr>
        <w:t xml:space="preserve">All patients on the </w:t>
      </w:r>
      <w:r w:rsidR="005224D3" w:rsidRPr="000177D4">
        <w:rPr>
          <w:rFonts w:ascii="Calibri" w:hAnsi="Calibri" w:cstheme="minorHAnsi"/>
        </w:rPr>
        <w:t>pathway had a 30-</w:t>
      </w:r>
      <w:r w:rsidR="00A36159" w:rsidRPr="000177D4">
        <w:rPr>
          <w:rFonts w:ascii="Calibri" w:hAnsi="Calibri" w:cstheme="minorHAnsi"/>
        </w:rPr>
        <w:t xml:space="preserve">day </w:t>
      </w:r>
      <w:r w:rsidRPr="000177D4">
        <w:rPr>
          <w:rFonts w:ascii="Calibri" w:hAnsi="Calibri" w:cstheme="minorHAnsi"/>
        </w:rPr>
        <w:t xml:space="preserve">telephone </w:t>
      </w:r>
      <w:r w:rsidR="00A36159" w:rsidRPr="000177D4">
        <w:rPr>
          <w:rFonts w:ascii="Calibri" w:hAnsi="Calibri" w:cstheme="minorHAnsi"/>
        </w:rPr>
        <w:t>follow-up by a paediatric surgical nurse specialist</w:t>
      </w:r>
      <w:r w:rsidR="00907DD2" w:rsidRPr="000177D4">
        <w:rPr>
          <w:rFonts w:ascii="Calibri" w:hAnsi="Calibri" w:cstheme="minorHAnsi"/>
        </w:rPr>
        <w:t xml:space="preserve"> and would be able to contact a paediatric surgical nurse specialist with any problems after insertion.</w:t>
      </w:r>
    </w:p>
    <w:p w:rsidR="00530F3D" w:rsidRPr="000177D4" w:rsidRDefault="00530F3D" w:rsidP="00457F9A">
      <w:pPr>
        <w:rPr>
          <w:rFonts w:ascii="Calibri" w:hAnsi="Calibri" w:cstheme="minorHAnsi"/>
        </w:rPr>
      </w:pPr>
    </w:p>
    <w:p w:rsidR="00E059D8" w:rsidRPr="000177D4" w:rsidRDefault="00457F9A" w:rsidP="00A667BF">
      <w:pPr>
        <w:pStyle w:val="Heading3"/>
        <w:rPr>
          <w:rFonts w:ascii="Calibri" w:hAnsi="Calibri" w:cstheme="minorHAnsi"/>
        </w:rPr>
      </w:pPr>
      <w:r w:rsidRPr="000177D4">
        <w:rPr>
          <w:rFonts w:ascii="Calibri" w:hAnsi="Calibri"/>
        </w:rPr>
        <w:t xml:space="preserve">1.3 Statistical Analysis </w:t>
      </w:r>
    </w:p>
    <w:p w:rsidR="00E059D8" w:rsidRPr="000177D4" w:rsidRDefault="004E1842" w:rsidP="00E059D8">
      <w:pPr>
        <w:divId w:val="1881087243"/>
        <w:rPr>
          <w:rFonts w:ascii="Calibri" w:eastAsia="Times New Roman" w:hAnsi="Calibri"/>
          <w:lang w:val="en-CA" w:eastAsia="en-US"/>
        </w:rPr>
      </w:pPr>
      <w:r w:rsidRPr="000177D4">
        <w:rPr>
          <w:rFonts w:ascii="Calibri" w:eastAsia="Times New Roman" w:hAnsi="Calibri"/>
          <w:color w:val="000000"/>
          <w:lang w:val="en-CA" w:eastAsia="en-US"/>
        </w:rPr>
        <w:t xml:space="preserve">Data from the two groups (prior to pathway introduction and following pathway introduction) were compared using appropriate statistical techniques. </w:t>
      </w:r>
      <w:r w:rsidR="008F52AC" w:rsidRPr="000177D4">
        <w:rPr>
          <w:rFonts w:ascii="Calibri" w:eastAsia="Times New Roman" w:hAnsi="Calibri"/>
          <w:color w:val="000000"/>
          <w:lang w:val="en-CA" w:eastAsia="en-US"/>
        </w:rPr>
        <w:t xml:space="preserve">The primary outcome for this study was hospital length of stay following procedure. Secondary outcomes were hospital length of stay from time of </w:t>
      </w:r>
      <w:r w:rsidR="008F52AC" w:rsidRPr="000177D4">
        <w:rPr>
          <w:rFonts w:ascii="Calibri" w:hAnsi="Calibri" w:cstheme="minorHAnsi"/>
        </w:rPr>
        <w:t xml:space="preserve">admission, proportion discharged within 36 hours of procedure (i.e. no more than 2 nights stay in hospital), </w:t>
      </w:r>
      <w:r w:rsidR="00233136" w:rsidRPr="000177D4">
        <w:rPr>
          <w:rFonts w:ascii="Calibri" w:hAnsi="Calibri" w:cstheme="minorHAnsi"/>
        </w:rPr>
        <w:t xml:space="preserve">immediate </w:t>
      </w:r>
      <w:r w:rsidR="008F52AC" w:rsidRPr="000177D4">
        <w:rPr>
          <w:rFonts w:ascii="Calibri" w:hAnsi="Calibri" w:cstheme="minorHAnsi"/>
        </w:rPr>
        <w:t xml:space="preserve">(&lt;72 hours) and </w:t>
      </w:r>
      <w:r w:rsidR="00233136" w:rsidRPr="000177D4">
        <w:rPr>
          <w:rFonts w:ascii="Calibri" w:hAnsi="Calibri" w:cstheme="minorHAnsi"/>
        </w:rPr>
        <w:t>early</w:t>
      </w:r>
      <w:r w:rsidR="008F52AC" w:rsidRPr="000177D4">
        <w:rPr>
          <w:rFonts w:ascii="Calibri" w:hAnsi="Calibri" w:cstheme="minorHAnsi"/>
        </w:rPr>
        <w:t xml:space="preserve"> (&lt;30 days) post-operative complications and re-admissions related to the gastrostomy insertion procedure. </w:t>
      </w:r>
      <w:r w:rsidR="00E059D8" w:rsidRPr="000177D4">
        <w:rPr>
          <w:rFonts w:ascii="Calibri" w:eastAsia="Times New Roman" w:hAnsi="Calibri"/>
          <w:color w:val="000000"/>
          <w:lang w:val="en-CA" w:eastAsia="en-US"/>
        </w:rPr>
        <w:t>All statistical analyses were performed using SPSS V.25 (IBM, Armonk, New York, United States of America). Data are presented as either percentages or median with range. The Mann-Whitney U test was used for non-parametric continuous data and Fisher’s exact test for categorical data analyses. A P value of &lt;0.05 was considered statistically significant.</w:t>
      </w:r>
    </w:p>
    <w:p w:rsidR="00A36159" w:rsidRPr="000177D4" w:rsidRDefault="00A36159" w:rsidP="00DA3390">
      <w:pPr>
        <w:rPr>
          <w:rFonts w:ascii="Calibri" w:hAnsi="Calibri" w:cstheme="minorHAnsi"/>
        </w:rPr>
      </w:pPr>
    </w:p>
    <w:p w:rsidR="00F73221" w:rsidRPr="000177D4" w:rsidRDefault="00F73221" w:rsidP="00F57419">
      <w:pPr>
        <w:pStyle w:val="Heading2"/>
        <w:rPr>
          <w:rFonts w:ascii="Calibri" w:hAnsi="Calibri" w:cstheme="minorHAnsi"/>
        </w:rPr>
      </w:pPr>
      <w:r w:rsidRPr="000177D4">
        <w:rPr>
          <w:rFonts w:ascii="Calibri" w:hAnsi="Calibri" w:cstheme="minorHAnsi"/>
        </w:rPr>
        <w:t>Results</w:t>
      </w:r>
    </w:p>
    <w:p w:rsidR="004669C8" w:rsidRPr="000177D4" w:rsidRDefault="004669C8" w:rsidP="004669C8">
      <w:pPr>
        <w:pStyle w:val="Heading3"/>
        <w:rPr>
          <w:rFonts w:ascii="Calibri" w:hAnsi="Calibri"/>
        </w:rPr>
      </w:pPr>
      <w:r w:rsidRPr="000177D4">
        <w:rPr>
          <w:rFonts w:ascii="Calibri" w:hAnsi="Calibri"/>
        </w:rPr>
        <w:t xml:space="preserve">2.1 Patient characteristics </w:t>
      </w:r>
    </w:p>
    <w:p w:rsidR="00AD4495" w:rsidRPr="000177D4" w:rsidRDefault="00A36159" w:rsidP="00DA3390">
      <w:pPr>
        <w:rPr>
          <w:rFonts w:ascii="Calibri" w:hAnsi="Calibri" w:cstheme="minorHAnsi"/>
        </w:rPr>
      </w:pPr>
      <w:r w:rsidRPr="000177D4">
        <w:rPr>
          <w:rFonts w:ascii="Calibri" w:hAnsi="Calibri" w:cstheme="minorHAnsi"/>
        </w:rPr>
        <w:t xml:space="preserve">Of the 185 gastrostomy insertions, 116 cases met inclusion criteria; 55 prior to and 61 after pathway implementation </w:t>
      </w:r>
      <w:r w:rsidR="006E4A41" w:rsidRPr="000177D4">
        <w:rPr>
          <w:rFonts w:ascii="Calibri" w:hAnsi="Calibri" w:cstheme="minorHAnsi"/>
        </w:rPr>
        <w:t>(Figure 2</w:t>
      </w:r>
      <w:r w:rsidR="006A5CDB" w:rsidRPr="000177D4">
        <w:rPr>
          <w:rFonts w:ascii="Calibri" w:hAnsi="Calibri" w:cstheme="minorHAnsi"/>
        </w:rPr>
        <w:t>)</w:t>
      </w:r>
      <w:r w:rsidRPr="000177D4">
        <w:rPr>
          <w:rFonts w:ascii="Calibri" w:hAnsi="Calibri" w:cstheme="minorHAnsi"/>
        </w:rPr>
        <w:t xml:space="preserve">. </w:t>
      </w:r>
      <w:r w:rsidR="007475D7" w:rsidRPr="000177D4">
        <w:rPr>
          <w:rFonts w:ascii="Calibri" w:hAnsi="Calibri" w:cstheme="minorHAnsi"/>
        </w:rPr>
        <w:t>4</w:t>
      </w:r>
      <w:r w:rsidR="004F31B4" w:rsidRPr="000177D4">
        <w:rPr>
          <w:rFonts w:ascii="Calibri" w:hAnsi="Calibri" w:cstheme="minorHAnsi"/>
        </w:rPr>
        <w:t>9</w:t>
      </w:r>
      <w:r w:rsidR="007475D7" w:rsidRPr="000177D4">
        <w:rPr>
          <w:rFonts w:ascii="Calibri" w:hAnsi="Calibri" w:cstheme="minorHAnsi"/>
        </w:rPr>
        <w:t xml:space="preserve"> patients were in hospital for another medical reason, 7 had a </w:t>
      </w:r>
      <w:r w:rsidR="00AD4495" w:rsidRPr="000177D4">
        <w:rPr>
          <w:rFonts w:ascii="Calibri" w:hAnsi="Calibri" w:cstheme="minorHAnsi"/>
        </w:rPr>
        <w:t>concurrent</w:t>
      </w:r>
      <w:r w:rsidR="007475D7" w:rsidRPr="000177D4">
        <w:rPr>
          <w:rFonts w:ascii="Calibri" w:hAnsi="Calibri" w:cstheme="minorHAnsi"/>
        </w:rPr>
        <w:t xml:space="preserve"> procedure</w:t>
      </w:r>
      <w:r w:rsidR="00AD4495" w:rsidRPr="000177D4">
        <w:rPr>
          <w:rFonts w:ascii="Calibri" w:hAnsi="Calibri" w:cstheme="minorHAnsi"/>
        </w:rPr>
        <w:t xml:space="preserve">, 3 had a primary </w:t>
      </w:r>
      <w:proofErr w:type="spellStart"/>
      <w:r w:rsidR="00D50DE1" w:rsidRPr="000177D4">
        <w:rPr>
          <w:rFonts w:ascii="Calibri" w:hAnsi="Calibri" w:cstheme="minorHAnsi"/>
        </w:rPr>
        <w:t>percutaneous</w:t>
      </w:r>
      <w:proofErr w:type="spellEnd"/>
      <w:r w:rsidR="00D50DE1" w:rsidRPr="000177D4">
        <w:rPr>
          <w:rFonts w:ascii="Calibri" w:hAnsi="Calibri" w:cstheme="minorHAnsi"/>
        </w:rPr>
        <w:t xml:space="preserve"> endoscopic </w:t>
      </w:r>
      <w:proofErr w:type="spellStart"/>
      <w:r w:rsidR="00D50DE1" w:rsidRPr="000177D4">
        <w:rPr>
          <w:rFonts w:ascii="Calibri" w:hAnsi="Calibri" w:cstheme="minorHAnsi"/>
        </w:rPr>
        <w:t>gastrostomy</w:t>
      </w:r>
      <w:r w:rsidR="00AD4495" w:rsidRPr="000177D4">
        <w:rPr>
          <w:rFonts w:ascii="Calibri" w:hAnsi="Calibri" w:cstheme="minorHAnsi"/>
        </w:rPr>
        <w:t>-jejenostomy</w:t>
      </w:r>
      <w:proofErr w:type="spellEnd"/>
      <w:r w:rsidR="00AD4495" w:rsidRPr="000177D4">
        <w:rPr>
          <w:rFonts w:ascii="Calibri" w:hAnsi="Calibri" w:cstheme="minorHAnsi"/>
        </w:rPr>
        <w:t xml:space="preserve">, 5 had a risk of refeeding, 1 had a complication in theatre and 1 was over 18 years of age. </w:t>
      </w:r>
      <w:r w:rsidR="004F31B4" w:rsidRPr="000177D4">
        <w:rPr>
          <w:rFonts w:ascii="Calibri" w:hAnsi="Calibri" w:cstheme="minorHAnsi"/>
        </w:rPr>
        <w:t xml:space="preserve">Two </w:t>
      </w:r>
      <w:r w:rsidR="004E1842" w:rsidRPr="000177D4">
        <w:rPr>
          <w:rFonts w:ascii="Calibri" w:hAnsi="Calibri" w:cstheme="minorHAnsi"/>
        </w:rPr>
        <w:t xml:space="preserve">further </w:t>
      </w:r>
      <w:r w:rsidR="00AD4495" w:rsidRPr="000177D4">
        <w:rPr>
          <w:rFonts w:ascii="Calibri" w:hAnsi="Calibri" w:cstheme="minorHAnsi"/>
        </w:rPr>
        <w:t>patients were excluded from the pathway as their gastrostomy was only used for medication</w:t>
      </w:r>
      <w:r w:rsidR="004F31B4" w:rsidRPr="000177D4">
        <w:rPr>
          <w:rFonts w:ascii="Calibri" w:hAnsi="Calibri" w:cstheme="minorHAnsi"/>
        </w:rPr>
        <w:t>.</w:t>
      </w:r>
    </w:p>
    <w:p w:rsidR="004133AC" w:rsidRPr="000177D4" w:rsidRDefault="004133AC" w:rsidP="00DA3390">
      <w:pPr>
        <w:rPr>
          <w:rFonts w:ascii="Calibri" w:hAnsi="Calibri" w:cstheme="minorHAnsi"/>
        </w:rPr>
      </w:pPr>
    </w:p>
    <w:p w:rsidR="004133AC" w:rsidRPr="000177D4" w:rsidRDefault="00A36159" w:rsidP="00DA3390">
      <w:pPr>
        <w:rPr>
          <w:rFonts w:ascii="Calibri" w:hAnsi="Calibri" w:cstheme="minorHAnsi"/>
        </w:rPr>
      </w:pPr>
      <w:r w:rsidRPr="000177D4">
        <w:rPr>
          <w:rFonts w:ascii="Calibri" w:hAnsi="Calibri" w:cstheme="minorHAnsi"/>
        </w:rPr>
        <w:t>Demographic</w:t>
      </w:r>
      <w:r w:rsidR="004E1842" w:rsidRPr="000177D4">
        <w:rPr>
          <w:rFonts w:ascii="Calibri" w:hAnsi="Calibri" w:cstheme="minorHAnsi"/>
        </w:rPr>
        <w:t xml:space="preserve"> and clinical features</w:t>
      </w:r>
      <w:r w:rsidRPr="000177D4">
        <w:rPr>
          <w:rFonts w:ascii="Calibri" w:hAnsi="Calibri" w:cstheme="minorHAnsi"/>
        </w:rPr>
        <w:t xml:space="preserve"> were similar</w:t>
      </w:r>
      <w:r w:rsidR="004133AC" w:rsidRPr="000177D4">
        <w:rPr>
          <w:rFonts w:ascii="Calibri" w:hAnsi="Calibri" w:cstheme="minorHAnsi"/>
        </w:rPr>
        <w:t xml:space="preserve"> between both groups (Table 1).</w:t>
      </w:r>
      <w:r w:rsidR="00D82A38" w:rsidRPr="000177D4">
        <w:rPr>
          <w:rFonts w:ascii="Calibri" w:hAnsi="Calibri" w:cstheme="minorHAnsi"/>
        </w:rPr>
        <w:t xml:space="preserve"> </w:t>
      </w:r>
      <w:r w:rsidR="00C93C4F" w:rsidRPr="000177D4">
        <w:rPr>
          <w:rFonts w:ascii="Calibri" w:hAnsi="Calibri" w:cstheme="minorHAnsi"/>
        </w:rPr>
        <w:t xml:space="preserve">The indication for all gastrostomy insertions in both groups in our dataset was </w:t>
      </w:r>
      <w:r w:rsidR="00677834" w:rsidRPr="000177D4">
        <w:rPr>
          <w:rFonts w:ascii="Calibri" w:hAnsi="Calibri" w:cstheme="minorHAnsi"/>
        </w:rPr>
        <w:t xml:space="preserve">for </w:t>
      </w:r>
      <w:r w:rsidR="00C93C4F" w:rsidRPr="000177D4">
        <w:rPr>
          <w:rFonts w:ascii="Calibri" w:hAnsi="Calibri" w:cstheme="minorHAnsi"/>
        </w:rPr>
        <w:t>nutritional support.</w:t>
      </w:r>
    </w:p>
    <w:p w:rsidR="00C93C4F" w:rsidRPr="000177D4" w:rsidRDefault="00C93C4F" w:rsidP="00C93C4F">
      <w:pPr>
        <w:rPr>
          <w:rFonts w:ascii="Calibri" w:hAnsi="Calibri" w:cstheme="minorHAnsi"/>
        </w:rPr>
      </w:pPr>
    </w:p>
    <w:p w:rsidR="004669C8" w:rsidRPr="000177D4" w:rsidRDefault="004E1842" w:rsidP="00DA3390">
      <w:pPr>
        <w:rPr>
          <w:rFonts w:ascii="Calibri" w:hAnsi="Calibri" w:cstheme="minorHAnsi"/>
        </w:rPr>
      </w:pPr>
      <w:r w:rsidRPr="000177D4">
        <w:rPr>
          <w:rFonts w:ascii="Calibri" w:hAnsi="Calibri" w:cstheme="minorHAnsi"/>
        </w:rPr>
        <w:t>Overall m</w:t>
      </w:r>
      <w:r w:rsidR="00205631" w:rsidRPr="000177D4">
        <w:rPr>
          <w:rFonts w:ascii="Calibri" w:hAnsi="Calibri" w:cstheme="minorHAnsi"/>
        </w:rPr>
        <w:t xml:space="preserve">ost patients </w:t>
      </w:r>
      <w:r w:rsidRPr="000177D4">
        <w:rPr>
          <w:rFonts w:ascii="Calibri" w:hAnsi="Calibri" w:cstheme="minorHAnsi"/>
        </w:rPr>
        <w:t xml:space="preserve">(109/116) </w:t>
      </w:r>
      <w:r w:rsidR="00205631" w:rsidRPr="000177D4">
        <w:rPr>
          <w:rFonts w:ascii="Calibri" w:hAnsi="Calibri" w:cstheme="minorHAnsi"/>
        </w:rPr>
        <w:t xml:space="preserve">had a </w:t>
      </w:r>
      <w:r w:rsidR="00AE0918" w:rsidRPr="000177D4">
        <w:rPr>
          <w:rFonts w:ascii="Calibri" w:hAnsi="Calibri" w:cstheme="minorHAnsi"/>
        </w:rPr>
        <w:t>percutaneous endoscopic gastrostomy (</w:t>
      </w:r>
      <w:r w:rsidR="00205631" w:rsidRPr="000177D4">
        <w:rPr>
          <w:rFonts w:ascii="Calibri" w:hAnsi="Calibri" w:cstheme="minorHAnsi"/>
        </w:rPr>
        <w:t>PEG</w:t>
      </w:r>
      <w:r w:rsidR="00AE0918" w:rsidRPr="000177D4">
        <w:rPr>
          <w:rFonts w:ascii="Calibri" w:hAnsi="Calibri" w:cstheme="minorHAnsi"/>
        </w:rPr>
        <w:t>)</w:t>
      </w:r>
      <w:r w:rsidR="00205631" w:rsidRPr="000177D4">
        <w:rPr>
          <w:rFonts w:ascii="Calibri" w:hAnsi="Calibri" w:cstheme="minorHAnsi"/>
        </w:rPr>
        <w:t xml:space="preserve"> w</w:t>
      </w:r>
      <w:r w:rsidRPr="000177D4">
        <w:rPr>
          <w:rFonts w:ascii="Calibri" w:hAnsi="Calibri" w:cstheme="minorHAnsi"/>
        </w:rPr>
        <w:t>hich was inserted with laparoscopic assistance in 98.</w:t>
      </w:r>
      <w:r w:rsidR="00C93C4F" w:rsidRPr="000177D4">
        <w:rPr>
          <w:rFonts w:ascii="Calibri" w:hAnsi="Calibri" w:cstheme="minorHAnsi"/>
        </w:rPr>
        <w:t xml:space="preserve"> Other methods included </w:t>
      </w:r>
      <w:r w:rsidR="00556FD2" w:rsidRPr="000177D4">
        <w:rPr>
          <w:rFonts w:ascii="Calibri" w:hAnsi="Calibri" w:cstheme="minorHAnsi"/>
        </w:rPr>
        <w:t>s</w:t>
      </w:r>
      <w:r w:rsidR="008F52AC" w:rsidRPr="000177D4">
        <w:rPr>
          <w:rFonts w:ascii="Calibri" w:hAnsi="Calibri" w:cstheme="minorHAnsi"/>
        </w:rPr>
        <w:t>ingle stage Percutaneous Rapid Insertion of Gastrostomy (SPRING)</w:t>
      </w:r>
      <w:r w:rsidR="002D5723" w:rsidRPr="000177D4">
        <w:rPr>
          <w:rStyle w:val="FootnoteReference"/>
          <w:rFonts w:ascii="Calibri" w:hAnsi="Calibri" w:cstheme="minorHAnsi"/>
        </w:rPr>
        <w:fldChar w:fldCharType="begin" w:fldLock="1"/>
      </w:r>
      <w:r w:rsidR="003614BE" w:rsidRPr="000177D4">
        <w:rPr>
          <w:rFonts w:ascii="Calibri" w:hAnsi="Calibri" w:cstheme="minorHAnsi"/>
        </w:rPr>
        <w:instrText>ADDIN CSL_CITATION { "citationItems" : [ { "id" : "ITEM-1", "itemData" : { "abstract" : "BACKGROUND: Gastrostomy buttons are widely used in adults and children with neurologic and nutritional problems. METHODS: The development of the Medicina gastrostomy button (which uses a Foley-type balloon for retention) and the Cope needle (for controlling the stomach) has allowed the development of a single-stage percutaneous technique for gastrostomy button insertion rather than the two-stage technique currently used. RESULTS: Seven patients (aged 1 to 14 years) had a percutaneous gastrostomy button inserted with no mortality and only minor morbidity. No balloon failed. CONCLUSION: This technique is safe and avoids the potential morbidity of a second anesthetic in this high-risk group of patients.", "author" : [ { "dropping-particle" : "", "family" : "Griffiths", "given" : "M", "non-dropping-particle" : "", "parse-names" : false, "suffix" : "" } ], "container-title" : "JPEN J Parenter Enteral Nutr", "id" : "ITEM-1", "issue" : "3", "issued" : { "date-parts" : [ [ "1996" ] ] }, "page" : "237-9", "title" : "Single-stage percutaneous gastrostomy button insertion: a leap forward.", "type" : "article-journal", "volume" : "20" }, "uris" : [ "http://www.mendeley.com/documents/?uuid=eb6f007c-470f-4d25-890a-3506cb7fc65f" ] } ], "mendeley" : { "formattedCitation" : "[8]", "plainTextFormattedCitation" : "[8]", "previouslyFormattedCitation" : "[8]" }, "properties" : { "noteIndex" : 3 }, "schema" : "https://github.com/citation-style-language/schema/raw/master/csl-citation.json" }</w:instrText>
      </w:r>
      <w:r w:rsidR="002D5723" w:rsidRPr="000177D4">
        <w:rPr>
          <w:rStyle w:val="FootnoteReference"/>
          <w:rFonts w:ascii="Calibri" w:hAnsi="Calibri" w:cstheme="minorHAnsi"/>
        </w:rPr>
        <w:fldChar w:fldCharType="separate"/>
      </w:r>
      <w:r w:rsidR="002454EB" w:rsidRPr="000177D4">
        <w:rPr>
          <w:rFonts w:ascii="Calibri" w:hAnsi="Calibri" w:cstheme="minorHAnsi"/>
          <w:noProof/>
        </w:rPr>
        <w:t>[8]</w:t>
      </w:r>
      <w:r w:rsidR="002D5723" w:rsidRPr="000177D4">
        <w:rPr>
          <w:rStyle w:val="FootnoteReference"/>
          <w:rFonts w:ascii="Calibri" w:hAnsi="Calibri" w:cstheme="minorHAnsi"/>
        </w:rPr>
        <w:fldChar w:fldCharType="end"/>
      </w:r>
      <w:r w:rsidR="008F52AC" w:rsidRPr="000177D4">
        <w:rPr>
          <w:rFonts w:ascii="Calibri" w:hAnsi="Calibri" w:cstheme="minorHAnsi"/>
        </w:rPr>
        <w:t xml:space="preserve"> </w:t>
      </w:r>
      <w:r w:rsidR="00677834" w:rsidRPr="000177D4">
        <w:rPr>
          <w:rFonts w:ascii="Calibri" w:hAnsi="Calibri" w:cstheme="minorHAnsi"/>
        </w:rPr>
        <w:t>laparoscopic</w:t>
      </w:r>
      <w:r w:rsidR="00E604C6" w:rsidRPr="000177D4">
        <w:rPr>
          <w:rFonts w:ascii="Calibri" w:hAnsi="Calibri" w:cstheme="minorHAnsi"/>
        </w:rPr>
        <w:t xml:space="preserve"> </w:t>
      </w:r>
      <w:r w:rsidR="008F52AC" w:rsidRPr="000177D4">
        <w:rPr>
          <w:rFonts w:ascii="Calibri" w:hAnsi="Calibri" w:cstheme="minorHAnsi"/>
        </w:rPr>
        <w:t>assisted SPRING</w:t>
      </w:r>
      <w:r w:rsidR="00E604C6" w:rsidRPr="000177D4">
        <w:rPr>
          <w:rFonts w:ascii="Calibri" w:hAnsi="Calibri" w:cstheme="minorHAnsi"/>
        </w:rPr>
        <w:t xml:space="preserve">, </w:t>
      </w:r>
      <w:r w:rsidR="008F52AC" w:rsidRPr="000177D4">
        <w:rPr>
          <w:rFonts w:ascii="Calibri" w:hAnsi="Calibri" w:cstheme="minorHAnsi"/>
        </w:rPr>
        <w:t xml:space="preserve"> and </w:t>
      </w:r>
      <w:r w:rsidR="00494D89" w:rsidRPr="000177D4">
        <w:rPr>
          <w:rFonts w:ascii="Calibri" w:hAnsi="Calibri" w:cstheme="minorHAnsi"/>
        </w:rPr>
        <w:t xml:space="preserve">laparoscopic </w:t>
      </w:r>
      <w:r w:rsidR="003B763B" w:rsidRPr="000177D4">
        <w:rPr>
          <w:rFonts w:ascii="Calibri" w:hAnsi="Calibri" w:cstheme="minorHAnsi"/>
        </w:rPr>
        <w:t>assisted</w:t>
      </w:r>
      <w:r w:rsidR="00494D89" w:rsidRPr="000177D4">
        <w:rPr>
          <w:rFonts w:ascii="Calibri" w:hAnsi="Calibri" w:cstheme="minorHAnsi"/>
        </w:rPr>
        <w:t xml:space="preserve"> </w:t>
      </w:r>
      <w:r w:rsidR="00C93C4F" w:rsidRPr="000177D4">
        <w:rPr>
          <w:rFonts w:ascii="Calibri" w:hAnsi="Calibri" w:cstheme="minorHAnsi"/>
        </w:rPr>
        <w:t xml:space="preserve">mini </w:t>
      </w:r>
      <w:proofErr w:type="spellStart"/>
      <w:r w:rsidR="00C93C4F" w:rsidRPr="000177D4">
        <w:rPr>
          <w:rFonts w:ascii="Calibri" w:hAnsi="Calibri" w:cstheme="minorHAnsi"/>
        </w:rPr>
        <w:t>Stamm</w:t>
      </w:r>
      <w:proofErr w:type="spellEnd"/>
      <w:r w:rsidR="00C93C4F" w:rsidRPr="000177D4">
        <w:rPr>
          <w:rFonts w:ascii="Calibri" w:hAnsi="Calibri" w:cstheme="minorHAnsi"/>
        </w:rPr>
        <w:t xml:space="preserve">. (Table </w:t>
      </w:r>
      <w:r w:rsidR="00CA5637" w:rsidRPr="000177D4">
        <w:rPr>
          <w:rFonts w:ascii="Calibri" w:hAnsi="Calibri" w:cstheme="minorHAnsi"/>
        </w:rPr>
        <w:t>2</w:t>
      </w:r>
      <w:r w:rsidR="00C93C4F" w:rsidRPr="000177D4">
        <w:rPr>
          <w:rFonts w:ascii="Calibri" w:hAnsi="Calibri" w:cstheme="minorHAnsi"/>
        </w:rPr>
        <w:t>)</w:t>
      </w:r>
    </w:p>
    <w:p w:rsidR="004669C8" w:rsidRPr="000177D4" w:rsidRDefault="0047437A" w:rsidP="004669C8">
      <w:pPr>
        <w:pStyle w:val="Heading3"/>
        <w:rPr>
          <w:rFonts w:ascii="Calibri" w:hAnsi="Calibri"/>
        </w:rPr>
      </w:pPr>
      <w:r w:rsidRPr="000177D4">
        <w:rPr>
          <w:rFonts w:ascii="Calibri" w:hAnsi="Calibri"/>
        </w:rPr>
        <w:t xml:space="preserve">2.2 </w:t>
      </w:r>
      <w:r w:rsidR="004669C8" w:rsidRPr="000177D4">
        <w:rPr>
          <w:rFonts w:ascii="Calibri" w:hAnsi="Calibri"/>
        </w:rPr>
        <w:t xml:space="preserve">Length of Stay in Hospital </w:t>
      </w:r>
    </w:p>
    <w:p w:rsidR="00CA5637" w:rsidRPr="000177D4" w:rsidRDefault="004133AC" w:rsidP="00CA5637">
      <w:pPr>
        <w:rPr>
          <w:rFonts w:ascii="Calibri" w:hAnsi="Calibri" w:cstheme="minorHAnsi"/>
        </w:rPr>
      </w:pPr>
      <w:r w:rsidRPr="000177D4">
        <w:rPr>
          <w:rFonts w:ascii="Calibri" w:hAnsi="Calibri" w:cstheme="minorHAnsi"/>
        </w:rPr>
        <w:t xml:space="preserve">Children following the feeding pathway had a shorter post-operative LOS from </w:t>
      </w:r>
      <w:r w:rsidR="008F52AC" w:rsidRPr="000177D4">
        <w:rPr>
          <w:rFonts w:ascii="Calibri" w:hAnsi="Calibri" w:cstheme="minorHAnsi"/>
        </w:rPr>
        <w:t>procedure</w:t>
      </w:r>
      <w:r w:rsidRPr="000177D4">
        <w:rPr>
          <w:rFonts w:ascii="Calibri" w:hAnsi="Calibri" w:cstheme="minorHAnsi"/>
        </w:rPr>
        <w:t xml:space="preserve"> </w:t>
      </w:r>
      <w:r w:rsidR="007F3B50" w:rsidRPr="000177D4">
        <w:rPr>
          <w:rFonts w:ascii="Calibri" w:hAnsi="Calibri" w:cstheme="minorHAnsi"/>
        </w:rPr>
        <w:t xml:space="preserve">with a median of 28 hours </w:t>
      </w:r>
      <w:r w:rsidR="008F52AC" w:rsidRPr="000177D4">
        <w:rPr>
          <w:rFonts w:ascii="Calibri" w:hAnsi="Calibri" w:cstheme="minorHAnsi"/>
        </w:rPr>
        <w:t>(</w:t>
      </w:r>
      <w:r w:rsidR="002454EB" w:rsidRPr="000177D4">
        <w:rPr>
          <w:rFonts w:ascii="Calibri" w:hAnsi="Calibri" w:cstheme="minorHAnsi"/>
        </w:rPr>
        <w:t>20-126</w:t>
      </w:r>
      <w:r w:rsidR="008F52AC" w:rsidRPr="000177D4">
        <w:rPr>
          <w:rFonts w:ascii="Calibri" w:hAnsi="Calibri" w:cstheme="minorHAnsi"/>
        </w:rPr>
        <w:t xml:space="preserve">) following pathway introduction </w:t>
      </w:r>
      <w:r w:rsidR="007F3B50" w:rsidRPr="000177D4">
        <w:rPr>
          <w:rFonts w:ascii="Calibri" w:hAnsi="Calibri" w:cstheme="minorHAnsi"/>
        </w:rPr>
        <w:t xml:space="preserve">compared to 33 hours </w:t>
      </w:r>
      <w:r w:rsidR="002454EB" w:rsidRPr="000177D4">
        <w:rPr>
          <w:rFonts w:ascii="Calibri" w:hAnsi="Calibri" w:cstheme="minorHAnsi"/>
        </w:rPr>
        <w:t xml:space="preserve">(22 – 174) </w:t>
      </w:r>
      <w:r w:rsidR="007F3B50" w:rsidRPr="000177D4">
        <w:rPr>
          <w:rFonts w:ascii="Calibri" w:hAnsi="Calibri" w:cstheme="minorHAnsi"/>
        </w:rPr>
        <w:t>(</w:t>
      </w:r>
      <w:r w:rsidRPr="000177D4">
        <w:rPr>
          <w:rFonts w:ascii="Calibri" w:hAnsi="Calibri" w:cstheme="minorHAnsi"/>
        </w:rPr>
        <w:t>p&lt;0.003)</w:t>
      </w:r>
      <w:r w:rsidR="007F3B50" w:rsidRPr="000177D4">
        <w:rPr>
          <w:rFonts w:ascii="Calibri" w:hAnsi="Calibri" w:cstheme="minorHAnsi"/>
        </w:rPr>
        <w:t xml:space="preserve">. </w:t>
      </w:r>
      <w:r w:rsidR="00CA5637" w:rsidRPr="000177D4">
        <w:rPr>
          <w:rFonts w:ascii="Calibri" w:hAnsi="Calibri" w:cstheme="minorHAnsi"/>
        </w:rPr>
        <w:t xml:space="preserve">Overall, 80% of post-pathway patients were discharged within 36 hours from the time of the procedure compared to 55% of the pre-pathway patients. </w:t>
      </w:r>
      <w:r w:rsidR="009E7679" w:rsidRPr="000177D4">
        <w:rPr>
          <w:rFonts w:ascii="Calibri" w:hAnsi="Calibri" w:cstheme="minorHAnsi"/>
        </w:rPr>
        <w:t xml:space="preserve">(p&lt;0.009) </w:t>
      </w:r>
      <w:r w:rsidR="00CA5637" w:rsidRPr="000177D4">
        <w:rPr>
          <w:rFonts w:ascii="Calibri" w:hAnsi="Calibri" w:cstheme="minorHAnsi"/>
        </w:rPr>
        <w:t xml:space="preserve">(Figure </w:t>
      </w:r>
      <w:r w:rsidR="002454EB" w:rsidRPr="000177D4">
        <w:rPr>
          <w:rFonts w:ascii="Calibri" w:hAnsi="Calibri" w:cstheme="minorHAnsi"/>
        </w:rPr>
        <w:t>3).</w:t>
      </w:r>
      <w:r w:rsidR="00CA5637" w:rsidRPr="000177D4">
        <w:rPr>
          <w:rFonts w:ascii="Calibri" w:hAnsi="Calibri" w:cstheme="minorHAnsi"/>
        </w:rPr>
        <w:t xml:space="preserve"> </w:t>
      </w:r>
    </w:p>
    <w:p w:rsidR="00CA5637" w:rsidRPr="000177D4" w:rsidRDefault="00CA5637" w:rsidP="004133AC">
      <w:pPr>
        <w:rPr>
          <w:rFonts w:ascii="Calibri" w:hAnsi="Calibri" w:cstheme="minorHAnsi"/>
        </w:rPr>
      </w:pPr>
    </w:p>
    <w:p w:rsidR="00C93C4F" w:rsidRPr="000177D4" w:rsidRDefault="004D20D0" w:rsidP="004133AC">
      <w:pPr>
        <w:rPr>
          <w:rFonts w:ascii="Calibri" w:hAnsi="Calibri" w:cstheme="minorHAnsi"/>
        </w:rPr>
      </w:pPr>
      <w:r w:rsidRPr="000177D4">
        <w:rPr>
          <w:rFonts w:ascii="Calibri" w:hAnsi="Calibri" w:cstheme="minorHAnsi"/>
        </w:rPr>
        <w:lastRenderedPageBreak/>
        <w:t>Similarly,</w:t>
      </w:r>
      <w:r w:rsidR="00CA5637" w:rsidRPr="000177D4">
        <w:rPr>
          <w:rFonts w:ascii="Calibri" w:hAnsi="Calibri" w:cstheme="minorHAnsi"/>
        </w:rPr>
        <w:t xml:space="preserve"> the post-operative LOS from admission was shorter in the feeding pathway group with a median of 32 hours </w:t>
      </w:r>
      <w:r w:rsidR="002454EB" w:rsidRPr="000177D4">
        <w:rPr>
          <w:rFonts w:ascii="Calibri" w:hAnsi="Calibri" w:cstheme="minorHAnsi"/>
        </w:rPr>
        <w:t xml:space="preserve">(25-128) </w:t>
      </w:r>
      <w:r w:rsidR="00CA5637" w:rsidRPr="000177D4">
        <w:rPr>
          <w:rFonts w:ascii="Calibri" w:hAnsi="Calibri" w:cstheme="minorHAnsi"/>
        </w:rPr>
        <w:t>compared to 36 hours</w:t>
      </w:r>
      <w:r w:rsidR="002454EB" w:rsidRPr="000177D4">
        <w:rPr>
          <w:rFonts w:ascii="Calibri" w:hAnsi="Calibri" w:cstheme="minorHAnsi"/>
        </w:rPr>
        <w:t xml:space="preserve"> (25-181)</w:t>
      </w:r>
      <w:r w:rsidR="00CA5637" w:rsidRPr="000177D4">
        <w:rPr>
          <w:rFonts w:ascii="Calibri" w:hAnsi="Calibri" w:cstheme="minorHAnsi"/>
        </w:rPr>
        <w:t xml:space="preserve"> (p&lt;0.01). </w:t>
      </w:r>
      <w:r w:rsidR="00C93C4F" w:rsidRPr="000177D4">
        <w:rPr>
          <w:rFonts w:ascii="Calibri" w:hAnsi="Calibri" w:cstheme="minorHAnsi"/>
        </w:rPr>
        <w:t xml:space="preserve">72% of patients in the post-pathway group were discharged within 36 hours of their admission as opposed to 48% in the pre-pathway group. </w:t>
      </w:r>
      <w:r w:rsidR="009E7679" w:rsidRPr="000177D4">
        <w:rPr>
          <w:rFonts w:ascii="Calibri" w:hAnsi="Calibri" w:cstheme="minorHAnsi"/>
        </w:rPr>
        <w:t>(p&lt;</w:t>
      </w:r>
      <w:r w:rsidR="003776E4" w:rsidRPr="000177D4">
        <w:rPr>
          <w:rFonts w:ascii="Calibri" w:hAnsi="Calibri" w:cstheme="minorHAnsi"/>
        </w:rPr>
        <w:t xml:space="preserve">0.04) </w:t>
      </w:r>
    </w:p>
    <w:p w:rsidR="004133AC" w:rsidRPr="000177D4" w:rsidRDefault="004133AC" w:rsidP="004133AC">
      <w:pPr>
        <w:rPr>
          <w:rFonts w:ascii="Calibri" w:hAnsi="Calibri" w:cstheme="minorHAnsi"/>
          <w:i/>
        </w:rPr>
      </w:pPr>
    </w:p>
    <w:p w:rsidR="004669C8" w:rsidRPr="000177D4" w:rsidRDefault="004669C8" w:rsidP="004669C8">
      <w:pPr>
        <w:pStyle w:val="Heading3"/>
        <w:rPr>
          <w:rFonts w:ascii="Calibri" w:hAnsi="Calibri"/>
        </w:rPr>
      </w:pPr>
      <w:r w:rsidRPr="000177D4">
        <w:rPr>
          <w:rFonts w:ascii="Calibri" w:hAnsi="Calibri"/>
        </w:rPr>
        <w:t xml:space="preserve">2.3 Complications and Re-admission </w:t>
      </w:r>
    </w:p>
    <w:p w:rsidR="007F3B50" w:rsidRPr="000177D4" w:rsidRDefault="004133AC" w:rsidP="00DA3390">
      <w:pPr>
        <w:rPr>
          <w:rFonts w:ascii="Calibri" w:hAnsi="Calibri" w:cstheme="minorHAnsi"/>
        </w:rPr>
      </w:pPr>
      <w:r w:rsidRPr="000177D4">
        <w:rPr>
          <w:rFonts w:ascii="Calibri" w:hAnsi="Calibri" w:cstheme="minorHAnsi"/>
        </w:rPr>
        <w:t>Complication ra</w:t>
      </w:r>
      <w:r w:rsidR="00C870F0" w:rsidRPr="000177D4">
        <w:rPr>
          <w:rFonts w:ascii="Calibri" w:hAnsi="Calibri" w:cstheme="minorHAnsi"/>
        </w:rPr>
        <w:t xml:space="preserve">tes in both groups were similar for both </w:t>
      </w:r>
      <w:r w:rsidR="00233136" w:rsidRPr="000177D4">
        <w:rPr>
          <w:rFonts w:ascii="Calibri" w:hAnsi="Calibri" w:cstheme="minorHAnsi"/>
        </w:rPr>
        <w:t>immediate</w:t>
      </w:r>
      <w:r w:rsidR="00C870F0" w:rsidRPr="000177D4">
        <w:rPr>
          <w:rFonts w:ascii="Calibri" w:hAnsi="Calibri" w:cstheme="minorHAnsi"/>
        </w:rPr>
        <w:t xml:space="preserve"> and </w:t>
      </w:r>
      <w:r w:rsidR="00233136" w:rsidRPr="000177D4">
        <w:rPr>
          <w:rFonts w:ascii="Calibri" w:hAnsi="Calibri" w:cstheme="minorHAnsi"/>
        </w:rPr>
        <w:t>early</w:t>
      </w:r>
      <w:r w:rsidR="00C870F0" w:rsidRPr="000177D4">
        <w:rPr>
          <w:rFonts w:ascii="Calibri" w:hAnsi="Calibri" w:cstheme="minorHAnsi"/>
        </w:rPr>
        <w:t xml:space="preserve"> complications</w:t>
      </w:r>
      <w:r w:rsidR="00F06F5E" w:rsidRPr="000177D4">
        <w:rPr>
          <w:rFonts w:ascii="Calibri" w:hAnsi="Calibri" w:cstheme="minorHAnsi"/>
        </w:rPr>
        <w:t xml:space="preserve"> (</w:t>
      </w:r>
      <w:r w:rsidR="00CA5637" w:rsidRPr="000177D4">
        <w:rPr>
          <w:rFonts w:ascii="Calibri" w:hAnsi="Calibri" w:cstheme="minorHAnsi"/>
        </w:rPr>
        <w:t>Table 3</w:t>
      </w:r>
      <w:r w:rsidR="00F06F5E" w:rsidRPr="000177D4">
        <w:rPr>
          <w:rFonts w:ascii="Calibri" w:hAnsi="Calibri" w:cstheme="minorHAnsi"/>
        </w:rPr>
        <w:t xml:space="preserve">). </w:t>
      </w:r>
      <w:r w:rsidR="007F3B50" w:rsidRPr="000177D4">
        <w:rPr>
          <w:rFonts w:ascii="Calibri" w:hAnsi="Calibri" w:cstheme="minorHAnsi"/>
        </w:rPr>
        <w:t xml:space="preserve">Complications included leakage, infection, displacement, erythema, vomiting and febrile illness. </w:t>
      </w:r>
      <w:r w:rsidR="00865124" w:rsidRPr="000177D4">
        <w:rPr>
          <w:rFonts w:ascii="Calibri" w:hAnsi="Calibri" w:cstheme="minorHAnsi"/>
        </w:rPr>
        <w:t>Re-admission into hospital, or for the pre-pathway group - prolonging the stay in hospital</w:t>
      </w:r>
      <w:r w:rsidR="00CA5637" w:rsidRPr="000177D4">
        <w:rPr>
          <w:rFonts w:ascii="Calibri" w:hAnsi="Calibri" w:cstheme="minorHAnsi"/>
        </w:rPr>
        <w:t xml:space="preserve"> for a gastrostomy related complication</w:t>
      </w:r>
      <w:r w:rsidR="00865124" w:rsidRPr="000177D4">
        <w:rPr>
          <w:rFonts w:ascii="Calibri" w:hAnsi="Calibri" w:cstheme="minorHAnsi"/>
        </w:rPr>
        <w:t xml:space="preserve">, </w:t>
      </w:r>
      <w:r w:rsidR="00981094" w:rsidRPr="000177D4">
        <w:rPr>
          <w:rFonts w:ascii="Calibri" w:hAnsi="Calibri" w:cstheme="minorHAnsi"/>
        </w:rPr>
        <w:t xml:space="preserve">was also similar </w:t>
      </w:r>
      <w:r w:rsidR="00CA5637" w:rsidRPr="000177D4">
        <w:rPr>
          <w:rFonts w:ascii="Calibri" w:hAnsi="Calibri" w:cstheme="minorHAnsi"/>
        </w:rPr>
        <w:t>between</w:t>
      </w:r>
      <w:r w:rsidR="00981094" w:rsidRPr="000177D4">
        <w:rPr>
          <w:rFonts w:ascii="Calibri" w:hAnsi="Calibri" w:cstheme="minorHAnsi"/>
        </w:rPr>
        <w:t xml:space="preserve"> both groups</w:t>
      </w:r>
      <w:r w:rsidR="00CA5637" w:rsidRPr="000177D4">
        <w:rPr>
          <w:rFonts w:ascii="Calibri" w:hAnsi="Calibri" w:cstheme="minorHAnsi"/>
        </w:rPr>
        <w:t>.</w:t>
      </w:r>
    </w:p>
    <w:p w:rsidR="00DA3390" w:rsidRPr="000177D4" w:rsidRDefault="00DA3390" w:rsidP="00DA3390">
      <w:pPr>
        <w:rPr>
          <w:rFonts w:ascii="Calibri" w:hAnsi="Calibri" w:cstheme="minorHAnsi"/>
        </w:rPr>
      </w:pPr>
    </w:p>
    <w:p w:rsidR="00DA3390" w:rsidRPr="000177D4" w:rsidRDefault="00B26EAF" w:rsidP="00F57419">
      <w:pPr>
        <w:pStyle w:val="Heading2"/>
        <w:rPr>
          <w:rFonts w:ascii="Calibri" w:hAnsi="Calibri" w:cstheme="minorHAnsi"/>
        </w:rPr>
      </w:pPr>
      <w:r w:rsidRPr="000177D4">
        <w:rPr>
          <w:rFonts w:ascii="Calibri" w:hAnsi="Calibri" w:cstheme="minorHAnsi"/>
        </w:rPr>
        <w:t xml:space="preserve">Discussion </w:t>
      </w:r>
    </w:p>
    <w:p w:rsidR="00B26EAF" w:rsidRPr="000177D4" w:rsidRDefault="00BC7375" w:rsidP="00DA3390">
      <w:pPr>
        <w:rPr>
          <w:rFonts w:ascii="Calibri" w:hAnsi="Calibri" w:cstheme="minorHAnsi"/>
        </w:rPr>
      </w:pPr>
      <w:r w:rsidRPr="000177D4">
        <w:rPr>
          <w:rFonts w:ascii="Calibri" w:hAnsi="Calibri" w:cstheme="minorHAnsi"/>
        </w:rPr>
        <w:t xml:space="preserve">Our data </w:t>
      </w:r>
      <w:r w:rsidR="00FB27AA" w:rsidRPr="000177D4">
        <w:rPr>
          <w:rFonts w:ascii="Calibri" w:hAnsi="Calibri" w:cstheme="minorHAnsi"/>
        </w:rPr>
        <w:t>indicate</w:t>
      </w:r>
      <w:r w:rsidRPr="000177D4">
        <w:rPr>
          <w:rFonts w:ascii="Calibri" w:hAnsi="Calibri" w:cstheme="minorHAnsi"/>
        </w:rPr>
        <w:t xml:space="preserve"> that implementing a</w:t>
      </w:r>
      <w:r w:rsidR="00574501" w:rsidRPr="000177D4">
        <w:rPr>
          <w:rFonts w:ascii="Calibri" w:hAnsi="Calibri" w:cstheme="minorHAnsi"/>
        </w:rPr>
        <w:t xml:space="preserve"> standardised</w:t>
      </w:r>
      <w:r w:rsidRPr="000177D4">
        <w:rPr>
          <w:rFonts w:ascii="Calibri" w:hAnsi="Calibri" w:cstheme="minorHAnsi"/>
        </w:rPr>
        <w:t xml:space="preserve"> early feeding pathway after </w:t>
      </w:r>
      <w:r w:rsidR="00A62F22" w:rsidRPr="000177D4">
        <w:rPr>
          <w:rFonts w:ascii="Calibri" w:hAnsi="Calibri" w:cstheme="minorHAnsi"/>
        </w:rPr>
        <w:t>gastro</w:t>
      </w:r>
      <w:r w:rsidRPr="000177D4">
        <w:rPr>
          <w:rFonts w:ascii="Calibri" w:hAnsi="Calibri" w:cstheme="minorHAnsi"/>
        </w:rPr>
        <w:t>stomy ins</w:t>
      </w:r>
      <w:r w:rsidR="00A62F22" w:rsidRPr="000177D4">
        <w:rPr>
          <w:rFonts w:ascii="Calibri" w:hAnsi="Calibri" w:cstheme="minorHAnsi"/>
        </w:rPr>
        <w:t xml:space="preserve">ertion reduces </w:t>
      </w:r>
      <w:r w:rsidR="00104A78" w:rsidRPr="000177D4">
        <w:rPr>
          <w:rFonts w:ascii="Calibri" w:hAnsi="Calibri" w:cstheme="minorHAnsi"/>
        </w:rPr>
        <w:t>LOS</w:t>
      </w:r>
      <w:r w:rsidR="00A62F22" w:rsidRPr="000177D4">
        <w:rPr>
          <w:rFonts w:ascii="Calibri" w:hAnsi="Calibri" w:cstheme="minorHAnsi"/>
        </w:rPr>
        <w:t xml:space="preserve"> in hospital and is safe</w:t>
      </w:r>
      <w:r w:rsidR="00E96830" w:rsidRPr="000177D4">
        <w:rPr>
          <w:rFonts w:ascii="Calibri" w:hAnsi="Calibri" w:cstheme="minorHAnsi"/>
        </w:rPr>
        <w:t xml:space="preserve">, </w:t>
      </w:r>
      <w:r w:rsidR="00A62F22" w:rsidRPr="000177D4">
        <w:rPr>
          <w:rFonts w:ascii="Calibri" w:hAnsi="Calibri" w:cstheme="minorHAnsi"/>
        </w:rPr>
        <w:t>tolerable to the patient</w:t>
      </w:r>
      <w:r w:rsidR="00E96830" w:rsidRPr="000177D4">
        <w:rPr>
          <w:rFonts w:ascii="Calibri" w:hAnsi="Calibri" w:cstheme="minorHAnsi"/>
        </w:rPr>
        <w:t xml:space="preserve"> and family</w:t>
      </w:r>
      <w:r w:rsidR="0075493F" w:rsidRPr="000177D4">
        <w:rPr>
          <w:rFonts w:ascii="Calibri" w:hAnsi="Calibri" w:cstheme="minorHAnsi"/>
        </w:rPr>
        <w:t>,</w:t>
      </w:r>
      <w:r w:rsidR="00E96830" w:rsidRPr="000177D4">
        <w:rPr>
          <w:rFonts w:ascii="Calibri" w:hAnsi="Calibri" w:cstheme="minorHAnsi"/>
        </w:rPr>
        <w:t xml:space="preserve"> and results in shorter hospital stay</w:t>
      </w:r>
      <w:r w:rsidR="00A62F22" w:rsidRPr="000177D4">
        <w:rPr>
          <w:rFonts w:ascii="Calibri" w:hAnsi="Calibri" w:cstheme="minorHAnsi"/>
        </w:rPr>
        <w:t xml:space="preserve">. </w:t>
      </w:r>
      <w:r w:rsidR="00FB27AA" w:rsidRPr="000177D4">
        <w:rPr>
          <w:rFonts w:ascii="Calibri" w:hAnsi="Calibri" w:cstheme="minorHAnsi"/>
        </w:rPr>
        <w:t>Literature currently suggests that most gastrostomy insertions stay approximately 2-3 days in hospital, which may be due to the variabili</w:t>
      </w:r>
      <w:r w:rsidR="00791C23" w:rsidRPr="000177D4">
        <w:rPr>
          <w:rFonts w:ascii="Calibri" w:hAnsi="Calibri" w:cstheme="minorHAnsi"/>
        </w:rPr>
        <w:t>ty in starting the enteral feed</w:t>
      </w:r>
      <w:r w:rsidR="002D5723" w:rsidRPr="000177D4">
        <w:rPr>
          <w:rFonts w:ascii="Calibri" w:hAnsi="Calibri" w:cstheme="minorHAnsi"/>
        </w:rPr>
        <w:fldChar w:fldCharType="begin" w:fldLock="1"/>
      </w:r>
      <w:r w:rsidR="001F3076" w:rsidRPr="000177D4">
        <w:rPr>
          <w:rFonts w:ascii="Calibri" w:hAnsi="Calibri" w:cstheme="minorHAnsi"/>
        </w:rPr>
        <w:instrText>ADDIN CSL_CITATION { "citationItems" : [ { "id" : "ITEM-1", "itemData" : { "DOI" : "10.1097/MPG.0000000000000468", "ISBN" : "0000000000000", "ISSN" : "15364801", "abstract" : "Copyright \u00a9 2014 by European Society for Pediatric Gastroenterology, Hepatology, and Nutrition and North American Society for Pediatric Gastroenterology, Hepatology, and Nutrition. Objectives: National outcomes data regarding surgical gastrostomy tube (G-tube) and percutaneous endoscopic gastrostomy (PEG) tube procedures are lacking. Our objectives were to describe trends in G-tube and PEG procedures, examine regional variation, and compare outcomes.Methods: This was a retrospective study using pediatric admissions during 1997, 2000, 2003, 2006, and 2009 from the Kids' Inpatient Database. Length of stay and cost were adjusted for demographics, complexity, setting, year, and infection or surgical complication.Results: G-tubes were placed during 64,412 admissions, increasing from 16.6 procedures/100,000 US children in 1997 to 18.5 in 2009. Surgical gastrostomy rates increased by 19% (0.17 procedures/100,000/year, P&lt;0.002) and, among children &lt;1 year, they increased by 32% (2.56 procedures/100,000/year, P &lt;0.01). PEG rates did not increase (0.02 procedures/100,000/year, P=0.47) in the study years. The West had an 18% higher rate than the national average for surgical G-tubes and a 10% higher rate for PEGs. When the sole procedure during the admission was gastrostomy, the G-tube was associated with a 19% (confidence interval 9.7-57.5) longer length of stay, and a 25% higher cost (confidence interval 16.4-34.5) compared with PEG.Conclusions: Surgical gastrostomy insertion rates have increased whereas PEG rates have not, despite evidence of better severity-adjusted outcome measures for PEG tubes. Surgical gastrostomy insertion in children &lt;1 year of age yielded the greatest increase, which may relate to a changing patient population; however, regional variation suggests that provider preference also plays a role. Our data underline the need for more robust collection and analysis of surgical outcomes to guide decision making.", "author" : [ { "dropping-particle" : "", "family" : "Fox", "given" : "David", "non-dropping-particle" : "", "parse-names" : false, "suffix" : "" }, { "dropping-particle" : "", "family" : "Campagna", "given" : "Elizabeth J.", "non-dropping-particle" : "", "parse-names" : false, "suffix" : "" }, { "dropping-particle" : "", "family" : "Friedlander", "given" : "Joel", "non-dropping-particle" : "", "parse-names" : false, "suffix" : "" }, { "dropping-particle" : "", "family" : "Partrick", "given" : "David A.", "non-dropping-particle" : "", "parse-names" : false, "suffix" : "" }, { "dropping-particle" : "", "family" : "Rees", "given" : "Daniel I.", "non-dropping-particle" : "", "parse-names" : false, "suffix" : "" }, { "dropping-particle" : "", "family" : "Kempe", "given" : "Allison", "non-dropping-particle" : "", "parse-names" : false, "suffix" : "" } ], "container-title" : "Journal of Pediatric Gastroenterology and Nutrition", "id" : "ITEM-1", "issue" : "5", "issued" : { "date-parts" : [ [ "2014" ] ] }, "note" : "PEG or G-tube insertion stayed on average 2-3 days", "page" : "582-588", "title" : "National trends and outcomes of pediatric gastrostomy tube placement", "type" : "article-journal", "volume" : "59" }, "uris" : [ "http://www.mendeley.com/documents/?uuid=fbf9b0dc-4200-4f99-ad98-166ed34dd1ea" ] } ], "mendeley" : { "formattedCitation" : "[9]", "plainTextFormattedCitation" : "[9]", "previouslyFormattedCitation" : "[9]" }, "properties" : { "noteIndex" : 4 }, "schema" : "https://github.com/citation-style-language/schema/raw/master/csl-citation.json" }</w:instrText>
      </w:r>
      <w:r w:rsidR="002D5723" w:rsidRPr="000177D4">
        <w:rPr>
          <w:rFonts w:ascii="Calibri" w:hAnsi="Calibri" w:cstheme="minorHAnsi"/>
        </w:rPr>
        <w:fldChar w:fldCharType="separate"/>
      </w:r>
      <w:r w:rsidR="001F3076" w:rsidRPr="000177D4">
        <w:rPr>
          <w:rFonts w:ascii="Calibri" w:hAnsi="Calibri" w:cstheme="minorHAnsi"/>
          <w:noProof/>
        </w:rPr>
        <w:t>[9]</w:t>
      </w:r>
      <w:r w:rsidR="002D5723" w:rsidRPr="000177D4">
        <w:rPr>
          <w:rFonts w:ascii="Calibri" w:hAnsi="Calibri" w:cstheme="minorHAnsi"/>
        </w:rPr>
        <w:fldChar w:fldCharType="end"/>
      </w:r>
      <w:r w:rsidR="00791C23" w:rsidRPr="000177D4">
        <w:rPr>
          <w:rFonts w:ascii="Calibri" w:hAnsi="Calibri" w:cstheme="minorHAnsi"/>
        </w:rPr>
        <w:t>.</w:t>
      </w:r>
      <w:r w:rsidR="00FB27AA" w:rsidRPr="000177D4">
        <w:rPr>
          <w:rFonts w:ascii="Calibri" w:hAnsi="Calibri" w:cstheme="minorHAnsi"/>
        </w:rPr>
        <w:t xml:space="preserve"> Our study demonstrates that by standardizing early post-gastrostomy feeding and </w:t>
      </w:r>
      <w:r w:rsidR="0075493F" w:rsidRPr="000177D4">
        <w:rPr>
          <w:rFonts w:ascii="Calibri" w:hAnsi="Calibri" w:cstheme="minorHAnsi"/>
        </w:rPr>
        <w:t xml:space="preserve">starting </w:t>
      </w:r>
      <w:r w:rsidR="00FB27AA" w:rsidRPr="000177D4">
        <w:rPr>
          <w:rFonts w:ascii="Calibri" w:hAnsi="Calibri" w:cstheme="minorHAnsi"/>
        </w:rPr>
        <w:t>feeds as early as 2 hour</w:t>
      </w:r>
      <w:r w:rsidR="00AE4691" w:rsidRPr="000177D4">
        <w:rPr>
          <w:rFonts w:ascii="Calibri" w:hAnsi="Calibri" w:cstheme="minorHAnsi"/>
        </w:rPr>
        <w:t>s</w:t>
      </w:r>
      <w:r w:rsidR="0075493F" w:rsidRPr="000177D4">
        <w:rPr>
          <w:rFonts w:ascii="Calibri" w:hAnsi="Calibri" w:cstheme="minorHAnsi"/>
        </w:rPr>
        <w:t xml:space="preserve"> following the procedure</w:t>
      </w:r>
      <w:r w:rsidR="00AE4691" w:rsidRPr="000177D4">
        <w:rPr>
          <w:rFonts w:ascii="Calibri" w:hAnsi="Calibri" w:cstheme="minorHAnsi"/>
        </w:rPr>
        <w:t>, more patients can be discharged by 36 hours</w:t>
      </w:r>
      <w:r w:rsidR="00FB27AA" w:rsidRPr="000177D4">
        <w:rPr>
          <w:rFonts w:ascii="Calibri" w:hAnsi="Calibri" w:cstheme="minorHAnsi"/>
        </w:rPr>
        <w:t xml:space="preserve">. </w:t>
      </w:r>
      <w:r w:rsidR="00A62F22" w:rsidRPr="000177D4">
        <w:rPr>
          <w:rFonts w:ascii="Calibri" w:hAnsi="Calibri" w:cstheme="minorHAnsi"/>
        </w:rPr>
        <w:t>These findings are particularly important a</w:t>
      </w:r>
      <w:r w:rsidR="00E96830" w:rsidRPr="000177D4">
        <w:rPr>
          <w:rFonts w:ascii="Calibri" w:hAnsi="Calibri" w:cstheme="minorHAnsi"/>
        </w:rPr>
        <w:t>t</w:t>
      </w:r>
      <w:r w:rsidR="00A62F22" w:rsidRPr="000177D4">
        <w:rPr>
          <w:rFonts w:ascii="Calibri" w:hAnsi="Calibri" w:cstheme="minorHAnsi"/>
        </w:rPr>
        <w:t xml:space="preserve"> time whe</w:t>
      </w:r>
      <w:r w:rsidR="00E96830" w:rsidRPr="000177D4">
        <w:rPr>
          <w:rFonts w:ascii="Calibri" w:hAnsi="Calibri" w:cstheme="minorHAnsi"/>
        </w:rPr>
        <w:t>n</w:t>
      </w:r>
      <w:r w:rsidR="00A62F22" w:rsidRPr="000177D4">
        <w:rPr>
          <w:rFonts w:ascii="Calibri" w:hAnsi="Calibri" w:cstheme="minorHAnsi"/>
        </w:rPr>
        <w:t xml:space="preserve"> reducing h</w:t>
      </w:r>
      <w:r w:rsidR="00E96830" w:rsidRPr="000177D4">
        <w:rPr>
          <w:rFonts w:ascii="Calibri" w:hAnsi="Calibri" w:cstheme="minorHAnsi"/>
        </w:rPr>
        <w:t xml:space="preserve">ealthcare </w:t>
      </w:r>
      <w:r w:rsidR="00A62F22" w:rsidRPr="000177D4">
        <w:rPr>
          <w:rFonts w:ascii="Calibri" w:hAnsi="Calibri" w:cstheme="minorHAnsi"/>
        </w:rPr>
        <w:t xml:space="preserve">costs </w:t>
      </w:r>
      <w:r w:rsidR="00E96830" w:rsidRPr="000177D4">
        <w:rPr>
          <w:rFonts w:ascii="Calibri" w:hAnsi="Calibri" w:cstheme="minorHAnsi"/>
        </w:rPr>
        <w:t>is increasingly important</w:t>
      </w:r>
      <w:r w:rsidR="00A62F22" w:rsidRPr="000177D4">
        <w:rPr>
          <w:rFonts w:ascii="Calibri" w:hAnsi="Calibri" w:cstheme="minorHAnsi"/>
        </w:rPr>
        <w:t>.</w:t>
      </w:r>
    </w:p>
    <w:p w:rsidR="00962CA6" w:rsidRPr="000177D4" w:rsidRDefault="00962CA6" w:rsidP="001C4978">
      <w:pPr>
        <w:rPr>
          <w:rFonts w:ascii="Calibri" w:hAnsi="Calibri" w:cstheme="minorHAnsi"/>
        </w:rPr>
      </w:pPr>
    </w:p>
    <w:p w:rsidR="007E1679" w:rsidRPr="000177D4" w:rsidRDefault="007E1679" w:rsidP="001C4978">
      <w:pPr>
        <w:rPr>
          <w:rFonts w:ascii="Calibri" w:hAnsi="Calibri" w:cstheme="minorHAnsi"/>
        </w:rPr>
      </w:pPr>
      <w:r w:rsidRPr="000177D4">
        <w:rPr>
          <w:rFonts w:ascii="Calibri" w:hAnsi="Calibri" w:cstheme="minorHAnsi"/>
        </w:rPr>
        <w:t>Whilst previously surgeons routinely delayed feeds after elective gastrostomy insertion for relatively long periods of time, there are some studies that demonstrate this is not necessary in all children.</w:t>
      </w:r>
      <w:r w:rsidR="00F87644" w:rsidRPr="000177D4">
        <w:rPr>
          <w:rFonts w:ascii="Calibri" w:hAnsi="Calibri" w:cstheme="minorHAnsi"/>
        </w:rPr>
        <w:t xml:space="preserve"> </w:t>
      </w:r>
      <w:r w:rsidRPr="000177D4">
        <w:rPr>
          <w:rFonts w:ascii="Calibri" w:hAnsi="Calibri" w:cstheme="minorHAnsi"/>
        </w:rPr>
        <w:t>Several observational studies and a small number of randomised trials have shown that early feeding pathways are associated with reduced length of stay and no</w:t>
      </w:r>
      <w:r w:rsidR="00791C23" w:rsidRPr="000177D4">
        <w:rPr>
          <w:rFonts w:ascii="Calibri" w:hAnsi="Calibri" w:cstheme="minorHAnsi"/>
        </w:rPr>
        <w:t xml:space="preserve"> increase in complication rates</w:t>
      </w:r>
      <w:r w:rsidR="002D5723" w:rsidRPr="000177D4">
        <w:rPr>
          <w:rFonts w:ascii="Calibri" w:hAnsi="Calibri" w:cstheme="minorHAnsi"/>
        </w:rPr>
        <w:fldChar w:fldCharType="begin" w:fldLock="1"/>
      </w:r>
      <w:r w:rsidR="00BA6DF9" w:rsidRPr="000177D4">
        <w:rPr>
          <w:rFonts w:ascii="Calibri" w:hAnsi="Calibri" w:cstheme="minorHAnsi"/>
        </w:rPr>
        <w:instrText>ADDIN CSL_CITATION { "citationItems" : [ { "id" : "ITEM-1", "itemData" : { "DOI" : "10.1097/MPG.0b013e3181bab33d", "ISSN" : "02772116", "abstract" : "Percutaneous endoscopic placement of a gastrostomy tube is a common procedure to provide feeding access in children. The practice has been to withhold the initial feeding for a prescribed length of time because of safety concerns. The shortest reported time to feeding in pediatric patients is 6 hours.", "author" : [ { "dropping-particle" : "", "family" : "Corkins", "given" : "Mark R.", "non-dropping-particle" : "", "parse-names" : false, "suffix" : "" }, { "dropping-particle" : "", "family" : "Fitzgerald", "given" : "Joseph F.", "non-dropping-particle" : "", "parse-names" : false, "suffix" : "" }, { "dropping-particle" : "", "family" : "Gupta", "given" : "Sandeep K.", "non-dropping-particle" : "", "parse-names" : false, "suffix" : "" } ], "container-title" : "Journal of Pediatric Gastroenterology and Nutrition", "id" : "ITEM-1", "issue" : "6", "issued" : { "date-parts" : [ [ "2010" ] ] }, "note" : "RCT between 3rd and 6th hour of feeding\nNo complications and no difference in tolerance between the two groups", "page" : "625-627", "title" : "Feeding after percutaneous endoscopic gastrostomy in children: Early feeding trial", "type" : "article-journal", "volume" : "50" }, "uris" : [ "http://www.mendeley.com/documents/?uuid=ffeb33f6-ef73-4607-9a56-65d2483b8e38" ] }, { "id" : "ITEM-2", "itemData" : { "DOI" : "10.1016/j.clnu.2018.08.018", "author" : [ { "dropping-particle" : "", "family" : "Wiernicka", "given" : "Anna", "non-dropping-particle" : "", "parse-names" : false, "suffix" : "" }, { "dropping-particle" : "", "family" : "Szlagatys-sidorkiewicz", "given" : "Agnieszka", "non-dropping-particle" : "", "parse-names" : false, "suffix" : "" }, { "dropping-particle" : "", "family" : "Wie", "given" : "Sabina", "non-dropping-particle" : "", "parse-names" : false, "suffix" : "" }, { "dropping-particle" : "", "family" : "Hapyn", "given" : "Ewa", "non-dropping-particle" : "", "parse-names" : false, "suffix" : "" }, { "dropping-particle" : "", "family" : "Blimke-kozie", "given" : "Karolina", "non-dropping-particle" : "", "parse-names" : false, "suffix" : "" } ], "id" : "ITEM-2", "issued" : { "date-parts" : [ [ "2018" ] ] }, "note" : "Patients were able to reach maximum intake within 48hrs of first feed being administered\n\nInitiating feed early enabled patients to avoid acute hospital stays, unnecessary prolonged IV access and receive nutrition earlyon\n\nWiernicka \u2013 Poland \n1/3 at 3hrs, 2/3 after 6hours, 100% at 9hrs \nMain outcome was reaching full feed at 48 hours \nDid not define early/late complications but reported one complication at 14 days of dislodged PEG", "page" : "1-5", "title" : "Tolerability and safety of early enteral nutrition in children after percutaneous endoscopic gastrostomy placement : A multicentre randomised controlled trial", "type" : "article-journal" }, "uris" : [ "http://www.mendeley.com/documents/?uuid=47004f1f-3cd3-47d2-935d-8d62bd78804e" ] }, { "id" : "ITEM-3", "itemData" : { "DOI" : "10.1097/MPG.0b013e3182a0d171", "ISSN" : "02772116", "abstract" : "BACKGROUND:: Percutaneous endoscopic gastrostomy (PEG) is the preferred method to provide nutritional support for patients with normal gastrointestinal function but cannot be fed orally for a variety of reasons. Owing to safety concerns, the first feeding after PEG tube placement is generally delayed. Early feeding may be an option; however, childhood studies regarding early feeding after the PEG procedure are highly insufficient. METHODS:: A prospective randomized controlled study was conducted to compare early (4th hour) and late (12th hour) feeding after the PEG procedure. The PEG process was performed with the standard pull technique. Prophylactic antimicrobial drugs were not used. Complications such as gastric residue after feeding, vomiting, fever, systemic signs of infection, and duration of hospital stay were recorded. Tube feeding training was given to parents during their stay in the hospital in both groups. In the first and third days following PEG, the patients were visited by an experienced nurse in their homes and evaluated in terms of potential complications. RESULTS:: The study was completed with a total of 69 patients: 35 in the early feeding group and 34 in the late feeding group. The demographic characteristics of the groups were similar. Vomiting was rare and detected as similar in both groups (early feeding group 8.5% [3/35], late feeding group 8.8% [3/34] , P=1.00). Rarely, minor gastric residue was observed in both groups (early feeding group 11.4%, late feeding group 8.8% [P=1.00]). The amount of gastric residue in the early feeding group was a maximum of 13.2 mL, whereas the late feeding group had a maximum of 14.3 mL. The average duration of stay in the hospital for the early and late feeding groups was calculated as 6.7\u00b10.64 and 28.3\u00b13.74 hours, respectively (P &lt; 0.001). Leakage from gastrostomy fistulas, peritonitis, and aspiration were not observed in any patients. CONCLUSIONS:: The feeding at the fourth hour after PEG placement was safe and well tolerated by patients and shortened the duration of the hospital stay. The use of prophylactic antibiotics seems to be unnecessary before the procedure. Copyright 2013 by ESPGHAN and NASPGHAN.", "author" : [ { "dropping-particle" : "", "family" : "Islek", "given" : "Ali", "non-dropping-particle" : "", "parse-names" : false, "suffix" : "" }, { "dropping-particle" : "", "family" : "Sayar", "given" : "Ersin", "non-dropping-particle" : "", "parse-names" : false, "suffix" : "" }, { "dropping-particle" : "", "family" : "Yilmaz", "given" : "Aygen", "non-dropping-particle" : "", "parse-names" : false, "suffix" : "" }, { "dropping-particle" : "", "family" : "Artan", "given" : "Reha", "non-dropping-particle" : "", "parse-names" : false, "suffix" : "" } ], "container-title" : "Journal of Pediatric Gastroenterology and Nutrition", "id" : "ITEM-3", "issue" : "5", "issued" : { "date-parts" : [ [ "2013" ] ] }, "note" : "Traditionally feeding was done a day after due to risk of peritonitis and gastric residual volume, intestinal motility after surgery which was performed int he past\n\nRCT: \nFeedign at 4th hour after PEG placement was safe and well toelrated \nNo increase in rate of complications\nDischarged from hospital sooner\n\nIslek \u2013 Turkey \nEarly group: Home by 6.7 hours vs 28hr \nPatients were discharged after first feed", "page" : "659-662", "title" : "Percutaneous endoscopic gastrostomy in children: Is early feeding safe?", "type" : "article-journal", "volume" : "57" }, "uris" : [ "http://www.mendeley.com/documents/?uuid=2812c29a-3454-4435-95ab-1451e5ca91cf" ] }, { "id" : "ITEM-4", "itemData" : { "DOI" : "10.1016/S0016-5107(94)70111-3", "ISSN" : "0016-5107", "author" : [ { "dropping-particle" : "", "family" : "Werlin", "given" : "Steven", "non-dropping-particle" : "", "parse-names" : false, "suffix" : "" }, { "dropping-particle" : "", "family" : "Glicklich", "given" : "Marvin", "non-dropping-particle" : "", "parse-names" : false, "suffix" : "" }, { "dropping-particle" : "", "family" : "Cohen", "given" : "Roger", "non-dropping-particle" : "", "parse-names" : false, "suffix" : "" } ], "container-title" : "Gastrointestinal Endoscopy", "id" : "ITEM-4", "issue" : "6", "issued" : { "date-parts" : [ [ "1994" ] ] }, "note" : "6th hour safe\nNo complications from early feeding \nRapid discharge of outpatients led to decreased costs \n\nCHILDREN", "page" : "692-693", "publisher" : "American Society for Gastrointestinal Endoscopy", "title" : "Early feeding after percutaneous endoscopic gastrostomy is safe in children", "type" : "article-journal", "volume" : "40" }, "uris" : [ "http://www.mendeley.com/documents/?uuid=46aaa475-cecf-4dfd-9fea-6b31f7f77724" ] }, { "id" : "ITEM-5", "itemData" : { "DOI" : "10.1016/j.jpedsurg.2017.06.015", "ISSN" : "15315037", "abstract" : "Purpose: Early initiation of feedings after gastrostomy tube (GT) placement may reduce associated hospital costs, but many surgeons fear complications could result from earlier feeds. We hypothesized that, irrespective of placement method, starting feedings within the first 6 h following GT placement would not result in a greater number of post-operative complications. Methods: An IRB-approved retrospective review of all GTs placed between January 2012 and December 2014 at three academic institutions was undertaken. Data was stratified by placement method and whether the patient was initiated on feeds at less than 6 h or after. Baseline demographics, operative variables, post-operative management and complications were analyzed. Descriptive statistics were used and P-values &lt; 0.05 were considered significant. Results: One thousand and forty-eight patients met inclusion criteria. GTs were inserted endoscopically (48.9%), laparoscopically (44.9%), or via an open approach (6.2%). Demographics were similar in early and late fed groups. When controlling for method of placement, those patients who were fed within the first 6 h after gastrostomy placement had shorter lengths of stay compared to those fed greater than 6 h after placement (P &lt; 0.05). Total post-operative outcomes were equivalent between feeding groups for all methods of placement (laparoscopic (P = 0.87), PEG (P = 0.94), open (P = 0.81)). Conclusions: Early initiation of feedings following GT placement was not associated with an increase in complications. Feeds initiated earlier may shorten hospital stays and decrease overall hospital costs. Type of study: Multi-institutional retrospective. Level of evidence: III", "author" : [ { "dropping-particle" : "", "family" : "Jensen", "given" : "Amanda R", "non-dropping-particle" : "", "parse-names" : false, "suffix" : "" }, { "dropping-particle" : "", "family" : "Renaud", "given" : "Elizabeth", "non-dropping-particle" : "", "parse-names" : false, "suffix" : "" }, { "dropping-particle" : "", "family" : "Drucker", "given" : "Natalie A", "non-dropping-particle" : "", "parse-names" : false, "suffix" : "" }, { "dropping-particle" : "", "family" : "Staszak", "given" : "Jessica", "non-dropping-particle" : "", "parse-names" : false, "suffix" : "" }, { "dropping-particle" : "", "family" : "Senay", "given" : "Ayla", "non-dropping-particle" : "", "parse-names" : false, "suffix" : "" }, { "dropping-particle" : "", "family" : "Umesh", "given" : "Vaibhavi", "non-dropping-particle" : "", "parse-names" : false, "suffix" : "" }, { "dropping-particle" : "", "family" : "Williams", "given" : "Regan F", "non-dropping-particle" : "", "parse-names" : false, "suffix" : "" }, { "dropping-particle" : "", "family" : "Markel", "given" : "Troy A", "non-dropping-particle" : "", "parse-names" : false, "suffix" : "" } ], "container-title" : "Journal of Pediatric Surgery", "id" : "ITEM-5", "issue" : "4", "issued" : { "date-parts" : [ [ "2018" ] ] }, "note" : "\u25e6Retrospective review at 3 institutions in USA \n\u25e6Feed &amp;lt; 6 hours vs &amp;gt; 6 hours \n\u25e61048 patients \n\u25e6Early feeding resulted in reaching full feeds faster \n\u25e6Shorter length of stay \n\u25e6No difference in complications\n\nLate complications \u2013 2 weeks of surgery \nLength of stay was 1 day vs 5 days", "page" : "656-660", "publisher" : "Elsevier Inc.", "title" : "Why wait: early enteral feeding after pediatric gastrostomy tube placement", "type" : "article-journal", "volume" : "53" }, "uris" : [ "http://www.mendeley.com/documents/?uuid=d6010ad0-7175-4d2f-988b-63681cbc26b0" ] }, { "id" : "ITEM-6", "itemData" : { "author" : [ { "dropping-particle" : "", "family" : "Hendrickson", "given" : "Richard J", "non-dropping-particle" : "", "parse-names" : false, "suffix" : "" }, { "dropping-particle" : "", "family" : "Poola", "given" : "Ashwini S", "non-dropping-particle" : "", "parse-names" : false, "suffix" : "" }, { "dropping-particle" : "", "family" : "Sujka", "given" : "Joseph A", "non-dropping-particle" : "", "parse-names" : false, "suffix" : "" }, { "dropping-particle" : "", "family" : "Weaver", "given" : "Katrina L", "non-dropping-particle" : "", "parse-names" : false, "suffix" : "" }, { "dropping-particle" : "", "family" : "Rentea", "given" : "Rebecca M", "non-dropping-particle" : "", "parse-names" : false, "suffix" : "" }, { "dropping-particle" : "", "family" : "St Peter", "given" : "Shawn D", "non-dropping-particle" : "", "parse-names" : false, "suffix" : "" }, { "dropping-particle" : "", "family" : "Oyetunji", "given" : "Tolulope A", "non-dropping-particle" : "", "parse-names" : false, "suffix" : "" } ], "container-title" : "Journal of Pediatric Surgery", "id" : "ITEM-6", "issued" : { "date-parts" : [ [ "2018" ] ] }, "page" : "2326 - 2330", "title" : "Feeding Advancement and Simultaneous Transition to Discharge (FASTDischarge) after laparoscopic gastrostomy", "type" : "article-journal" }, "uris" : [ "http://www.mendeley.com/documents/?uuid=112f9fe9-858d-497c-9768-b0dfa74937d5" ] } ], "mendeley" : { "formattedCitation" : "[10\u201315]", "plainTextFormattedCitation" : "[10\u201315]", "previouslyFormattedCitation" : "[10\u201315]" }, "properties" : { "noteIndex" : 3 }, "schema" : "https://github.com/citation-style-language/schema/raw/master/csl-citation.json" }</w:instrText>
      </w:r>
      <w:r w:rsidR="002D5723" w:rsidRPr="000177D4">
        <w:rPr>
          <w:rFonts w:ascii="Calibri" w:hAnsi="Calibri" w:cstheme="minorHAnsi"/>
        </w:rPr>
        <w:fldChar w:fldCharType="separate"/>
      </w:r>
      <w:r w:rsidR="00EB7D30" w:rsidRPr="000177D4">
        <w:rPr>
          <w:rFonts w:ascii="Calibri" w:hAnsi="Calibri" w:cstheme="minorHAnsi"/>
          <w:noProof/>
        </w:rPr>
        <w:t>[10–15]</w:t>
      </w:r>
      <w:r w:rsidR="002D5723" w:rsidRPr="000177D4">
        <w:rPr>
          <w:rFonts w:ascii="Calibri" w:hAnsi="Calibri" w:cstheme="minorHAnsi"/>
        </w:rPr>
        <w:fldChar w:fldCharType="end"/>
      </w:r>
      <w:r w:rsidR="00791C23" w:rsidRPr="000177D4">
        <w:rPr>
          <w:rFonts w:ascii="Calibri" w:hAnsi="Calibri" w:cstheme="minorHAnsi"/>
        </w:rPr>
        <w:t>.</w:t>
      </w:r>
      <w:r w:rsidRPr="000177D4">
        <w:rPr>
          <w:rFonts w:ascii="Calibri" w:hAnsi="Calibri" w:cstheme="minorHAnsi"/>
        </w:rPr>
        <w:t xml:space="preserve"> Anecdotally these practices have not been universally adopted into routine clinical practice. Encouraged by the evidence to date we therefore implemented a standardised pathway and have been able to show benefit in real life, outside the constraints of a RCT.</w:t>
      </w:r>
      <w:r w:rsidR="00AE4691" w:rsidRPr="000177D4">
        <w:rPr>
          <w:rFonts w:ascii="Calibri" w:hAnsi="Calibri" w:cstheme="minorHAnsi"/>
        </w:rPr>
        <w:t xml:space="preserve"> </w:t>
      </w:r>
    </w:p>
    <w:p w:rsidR="007E1679" w:rsidRPr="000177D4" w:rsidRDefault="007E1679" w:rsidP="001C4978">
      <w:pPr>
        <w:rPr>
          <w:rFonts w:ascii="Calibri" w:hAnsi="Calibri" w:cstheme="minorHAnsi"/>
        </w:rPr>
      </w:pPr>
    </w:p>
    <w:p w:rsidR="007E1679" w:rsidRPr="000177D4" w:rsidRDefault="007E1679" w:rsidP="001C4978">
      <w:pPr>
        <w:rPr>
          <w:rFonts w:ascii="Calibri" w:hAnsi="Calibri" w:cstheme="minorHAnsi"/>
        </w:rPr>
      </w:pPr>
      <w:r w:rsidRPr="000177D4">
        <w:rPr>
          <w:rFonts w:ascii="Calibri" w:hAnsi="Calibri" w:cstheme="minorHAnsi"/>
        </w:rPr>
        <w:t xml:space="preserve">The definition of what different surgeons and researchers have defined as ‘early’ feeds varies. Previous definitions of ‘early’ feeding after gastrostomy insertion range from 3 hours </w:t>
      </w:r>
      <w:r w:rsidR="002D5723" w:rsidRPr="000177D4">
        <w:rPr>
          <w:rFonts w:ascii="Calibri" w:hAnsi="Calibri" w:cstheme="minorHAnsi"/>
        </w:rPr>
        <w:fldChar w:fldCharType="begin" w:fldLock="1"/>
      </w:r>
      <w:r w:rsidR="00EB7D30" w:rsidRPr="000177D4">
        <w:rPr>
          <w:rFonts w:ascii="Calibri" w:hAnsi="Calibri" w:cstheme="minorHAnsi"/>
        </w:rPr>
        <w:instrText>ADDIN CSL_CITATION { "citationItems" : [ { "id" : "ITEM-1", "itemData" : { "DOI" : "10.1097/MPG.0b013e3181bab33d", "ISSN" : "02772116", "abstract" : "Percutaneous endoscopic placement of a gastrostomy tube is a common procedure to provide feeding access in children. The practice has been to withhold the initial feeding for a prescribed length of time because of safety concerns. The shortest reported time to feeding in pediatric patients is 6 hours.", "author" : [ { "dropping-particle" : "", "family" : "Corkins", "given" : "Mark R.", "non-dropping-particle" : "", "parse-names" : false, "suffix" : "" }, { "dropping-particle" : "", "family" : "Fitzgerald", "given" : "Joseph F.", "non-dropping-particle" : "", "parse-names" : false, "suffix" : "" }, { "dropping-particle" : "", "family" : "Gupta", "given" : "Sandeep K.", "non-dropping-particle" : "", "parse-names" : false, "suffix" : "" } ], "container-title" : "Journal of Pediatric Gastroenterology and Nutrition", "id" : "ITEM-1", "issue" : "6", "issued" : { "date-parts" : [ [ "2010" ] ] }, "note" : "RCT between 3rd and 6th hour of feeding\nNo complications and no difference in tolerance between the two groups", "page" : "625-627", "title" : "Feeding after percutaneous endoscopic gastrostomy in children: Early feeding trial", "type" : "article-journal", "volume" : "50" }, "uris" : [ "http://www.mendeley.com/documents/?uuid=ffeb33f6-ef73-4607-9a56-65d2483b8e38" ] }, { "id" : "ITEM-2", "itemData" : { "DOI" : "10.1016/j.clnu.2018.08.018", "author" : [ { "dropping-particle" : "", "family" : "Wiernicka", "given" : "Anna", "non-dropping-particle" : "", "parse-names" : false, "suffix" : "" }, { "dropping-particle" : "", "family" : "Szlagatys-sidorkiewicz", "given" : "Agnieszka", "non-dropping-particle" : "", "parse-names" : false, "suffix" : "" }, { "dropping-particle" : "", "family" : "Wie", "given" : "Sabina", "non-dropping-particle" : "", "parse-names" : false, "suffix" : "" }, { "dropping-particle" : "", "family" : "Hapyn", "given" : "Ewa", "non-dropping-particle" : "", "parse-names" : false, "suffix" : "" }, { "dropping-particle" : "", "family" : "Blimke-kozie", "given" : "Karolina", "non-dropping-particle" : "", "parse-names" : false, "suffix" : "" } ], "id" : "ITEM-2", "issued" : { "date-parts" : [ [ "2018" ] ] }, "note" : "Patients were able to reach maximum intake within 48hrs of first feed being administered\n\nInitiating feed early enabled patients to avoid acute hospital stays, unnecessary prolonged IV access and receive nutrition earlyon\n\nWiernicka \u2013 Poland \n1/3 at 3hrs, 2/3 after 6hours, 100% at 9hrs \nMain outcome was reaching full feed at 48 hours \nDid not define early/late complications but reported one complication at 14 days of dislodged PEG", "page" : "1-5", "title" : "Tolerability and safety of early enteral nutrition in children after percutaneous endoscopic gastrostomy placement : A multicentre randomised controlled trial", "type" : "article-journal" }, "uris" : [ "http://www.mendeley.com/documents/?uuid=47004f1f-3cd3-47d2-935d-8d62bd78804e" ] } ], "mendeley" : { "formattedCitation" : "[10,11]", "plainTextFormattedCitation" : "[10,11]", "previouslyFormattedCitation" : "[10,11]" }, "properties" : { "noteIndex" : 5 }, "schema" : "https://github.com/citation-style-language/schema/raw/master/csl-citation.json" }</w:instrText>
      </w:r>
      <w:r w:rsidR="002D5723" w:rsidRPr="000177D4">
        <w:rPr>
          <w:rFonts w:ascii="Calibri" w:hAnsi="Calibri" w:cstheme="minorHAnsi"/>
        </w:rPr>
        <w:fldChar w:fldCharType="separate"/>
      </w:r>
      <w:r w:rsidR="00EB7D30" w:rsidRPr="000177D4">
        <w:rPr>
          <w:rFonts w:ascii="Calibri" w:hAnsi="Calibri" w:cstheme="minorHAnsi"/>
          <w:noProof/>
        </w:rPr>
        <w:t>[10,11]</w:t>
      </w:r>
      <w:r w:rsidR="002D5723" w:rsidRPr="000177D4">
        <w:rPr>
          <w:rFonts w:ascii="Calibri" w:hAnsi="Calibri" w:cstheme="minorHAnsi"/>
        </w:rPr>
        <w:fldChar w:fldCharType="end"/>
      </w:r>
      <w:r w:rsidR="00F55F91" w:rsidRPr="000177D4">
        <w:rPr>
          <w:rFonts w:ascii="Calibri" w:hAnsi="Calibri" w:cstheme="minorHAnsi"/>
        </w:rPr>
        <w:t xml:space="preserve"> </w:t>
      </w:r>
      <w:r w:rsidRPr="000177D4">
        <w:rPr>
          <w:rFonts w:ascii="Calibri" w:hAnsi="Calibri" w:cstheme="minorHAnsi"/>
        </w:rPr>
        <w:t>to 6 hours</w:t>
      </w:r>
      <w:r w:rsidR="002D5723" w:rsidRPr="000177D4">
        <w:rPr>
          <w:rFonts w:ascii="Calibri" w:hAnsi="Calibri" w:cstheme="minorHAnsi"/>
        </w:rPr>
        <w:fldChar w:fldCharType="begin" w:fldLock="1"/>
      </w:r>
      <w:r w:rsidR="00BA6DF9" w:rsidRPr="000177D4">
        <w:rPr>
          <w:rFonts w:ascii="Calibri" w:hAnsi="Calibri" w:cstheme="minorHAnsi"/>
        </w:rPr>
        <w:instrText>ADDIN CSL_CITATION { "citationItems" : [ { "id" : "ITEM-1", "itemData" : { "DOI" : "10.1016/S0016-5107(94)70111-3", "ISSN" : "0016-5107", "author" : [ { "dropping-particle" : "", "family" : "Werlin", "given" : "Steven", "non-dropping-particle" : "", "parse-names" : false, "suffix" : "" }, { "dropping-particle" : "", "family" : "Glicklich", "given" : "Marvin", "non-dropping-particle" : "", "parse-names" : false, "suffix" : "" }, { "dropping-particle" : "", "family" : "Cohen", "given" : "Roger", "non-dropping-particle" : "", "parse-names" : false, "suffix" : "" } ], "container-title" : "Gastrointestinal Endoscopy", "id" : "ITEM-1", "issue" : "6", "issued" : { "date-parts" : [ [ "1994" ] ] }, "note" : "6th hour safe\nNo complications from early feeding \nRapid discharge of outpatients led to decreased costs \n\nCHILDREN", "page" : "692-693", "publisher" : "American Society for Gastrointestinal Endoscopy", "title" : "Early feeding after percutaneous endoscopic gastrostomy is safe in children", "type" : "article-journal", "volume" : "40" }, "uris" : [ "http://www.mendeley.com/documents/?uuid=46aaa475-cecf-4dfd-9fea-6b31f7f77724" ] }, { "id" : "ITEM-2", "itemData" : { "DOI" : "10.1016/j.jpedsurg.2017.06.015", "ISSN" : "15315037", "abstract" : "Purpose: Early initiation of feedings after gastrostomy tube (GT) placement may reduce associated hospital costs, but many surgeons fear complications could result from earlier feeds. We hypothesized that, irrespective of placement method, starting feedings within the first 6 h following GT placement would not result in a greater number of post-operative complications. Methods: An IRB-approved retrospective review of all GTs placed between January 2012 and December 2014 at three academic institutions was undertaken. Data was stratified by placement method and whether the patient was initiated on feeds at less than 6 h or after. Baseline demographics, operative variables, post-operative management and complications were analyzed. Descriptive statistics were used and P-values &lt; 0.05 were considered significant. Results: One thousand and forty-eight patients met inclusion criteria. GTs were inserted endoscopically (48.9%), laparoscopically (44.9%), or via an open approach (6.2%). Demographics were similar in early and late fed groups. When controlling for method of placement, those patients who were fed within the first 6 h after gastrostomy placement had shorter lengths of stay compared to those fed greater than 6 h after placement (P &lt; 0.05). Total post-operative outcomes were equivalent between feeding groups for all methods of placement (laparoscopic (P = 0.87), PEG (P = 0.94), open (P = 0.81)). Conclusions: Early initiation of feedings following GT placement was not associated with an increase in complications. Feeds initiated earlier may shorten hospital stays and decrease overall hospital costs. Type of study: Multi-institutional retrospective. Level of evidence: III", "author" : [ { "dropping-particle" : "", "family" : "Jensen", "given" : "Amanda R", "non-dropping-particle" : "", "parse-names" : false, "suffix" : "" }, { "dropping-particle" : "", "family" : "Renaud", "given" : "Elizabeth", "non-dropping-particle" : "", "parse-names" : false, "suffix" : "" }, { "dropping-particle" : "", "family" : "Drucker", "given" : "Natalie A", "non-dropping-particle" : "", "parse-names" : false, "suffix" : "" }, { "dropping-particle" : "", "family" : "Staszak", "given" : "Jessica", "non-dropping-particle" : "", "parse-names" : false, "suffix" : "" }, { "dropping-particle" : "", "family" : "Senay", "given" : "Ayla", "non-dropping-particle" : "", "parse-names" : false, "suffix" : "" }, { "dropping-particle" : "", "family" : "Umesh", "given" : "Vaibhavi", "non-dropping-particle" : "", "parse-names" : false, "suffix" : "" }, { "dropping-particle" : "", "family" : "Williams", "given" : "Regan F", "non-dropping-particle" : "", "parse-names" : false, "suffix" : "" }, { "dropping-particle" : "", "family" : "Markel", "given" : "Troy A", "non-dropping-particle" : "", "parse-names" : false, "suffix" : "" } ], "container-title" : "Journal of Pediatric Surgery", "id" : "ITEM-2", "issue" : "4", "issued" : { "date-parts" : [ [ "2018" ] ] }, "note" : "\u25e6Retrospective review at 3 institutions in USA \n\u25e6Feed &amp;lt; 6 hours vs &amp;gt; 6 hours \n\u25e61048 patients \n\u25e6Early feeding resulted in reaching full feeds faster \n\u25e6Shorter length of stay \n\u25e6No difference in complications\n\nLate complications \u2013 2 weeks of surgery \nLength of stay was 1 day vs 5 days", "page" : "656-660", "publisher" : "Elsevier Inc.", "title" : "Why wait: early enteral feeding after pediatric gastrostomy tube placement", "type" : "article-journal", "volume" : "53" }, "uris" : [ "http://www.mendeley.com/documents/?uuid=d6010ad0-7175-4d2f-988b-63681cbc26b0" ] } ], "mendeley" : { "formattedCitation" : "[13,14]", "plainTextFormattedCitation" : "[13,14]", "previouslyFormattedCitation" : "[13,14]" }, "properties" : { "noteIndex" : 5 }, "schema" : "https://github.com/citation-style-language/schema/raw/master/csl-citation.json" }</w:instrText>
      </w:r>
      <w:r w:rsidR="002D5723" w:rsidRPr="000177D4">
        <w:rPr>
          <w:rFonts w:ascii="Calibri" w:hAnsi="Calibri" w:cstheme="minorHAnsi"/>
        </w:rPr>
        <w:fldChar w:fldCharType="separate"/>
      </w:r>
      <w:r w:rsidR="00EB7D30" w:rsidRPr="000177D4">
        <w:rPr>
          <w:rFonts w:ascii="Calibri" w:hAnsi="Calibri" w:cstheme="minorHAnsi"/>
          <w:noProof/>
        </w:rPr>
        <w:t>[13,14]</w:t>
      </w:r>
      <w:r w:rsidR="002D5723" w:rsidRPr="000177D4">
        <w:rPr>
          <w:rFonts w:ascii="Calibri" w:hAnsi="Calibri" w:cstheme="minorHAnsi"/>
        </w:rPr>
        <w:fldChar w:fldCharType="end"/>
      </w:r>
      <w:r w:rsidRPr="000177D4">
        <w:rPr>
          <w:rFonts w:ascii="Calibri" w:hAnsi="Calibri" w:cstheme="minorHAnsi"/>
        </w:rPr>
        <w:t xml:space="preserve">. We decided, perhaps somewhat arbitrarily, to feed after 2 hours and have demonstrated this to be safe. </w:t>
      </w:r>
      <w:r w:rsidR="004D20D0" w:rsidRPr="000177D4">
        <w:rPr>
          <w:rFonts w:ascii="Calibri" w:hAnsi="Calibri" w:cstheme="minorHAnsi"/>
        </w:rPr>
        <w:t>Similarly,</w:t>
      </w:r>
      <w:r w:rsidRPr="000177D4">
        <w:rPr>
          <w:rFonts w:ascii="Calibri" w:hAnsi="Calibri" w:cstheme="minorHAnsi"/>
        </w:rPr>
        <w:t xml:space="preserve"> the detail of the feed pathways used varies between reports. We used a pragmatic approach including appropriate post-operative clinical monitoring</w:t>
      </w:r>
      <w:r w:rsidR="00FB27AA" w:rsidRPr="000177D4">
        <w:rPr>
          <w:rFonts w:ascii="Calibri" w:hAnsi="Calibri" w:cstheme="minorHAnsi"/>
        </w:rPr>
        <w:t xml:space="preserve">, that allows advancement to full feeds by 5 hours following gastrostomy insertion and discharge after 2 full volume feeds have been tolerated at 8 hours following surgery. We acknowledge that in the future it is possible that an even shorter post-operative length of stay may be appropriate </w:t>
      </w:r>
      <w:r w:rsidR="00EF7C6A" w:rsidRPr="000177D4">
        <w:rPr>
          <w:rFonts w:ascii="Calibri" w:hAnsi="Calibri" w:cstheme="minorHAnsi"/>
        </w:rPr>
        <w:t xml:space="preserve">and achievable </w:t>
      </w:r>
      <w:r w:rsidR="00FB27AA" w:rsidRPr="000177D4">
        <w:rPr>
          <w:rFonts w:ascii="Calibri" w:hAnsi="Calibri" w:cstheme="minorHAnsi"/>
        </w:rPr>
        <w:t>in some children.</w:t>
      </w:r>
    </w:p>
    <w:p w:rsidR="007E1679" w:rsidRPr="000177D4" w:rsidRDefault="007E1679" w:rsidP="001C4978">
      <w:pPr>
        <w:rPr>
          <w:rFonts w:ascii="Calibri" w:hAnsi="Calibri" w:cstheme="minorHAnsi"/>
        </w:rPr>
      </w:pPr>
    </w:p>
    <w:p w:rsidR="009046C3" w:rsidRPr="000177D4" w:rsidRDefault="009046C3" w:rsidP="001C4978">
      <w:pPr>
        <w:rPr>
          <w:rFonts w:ascii="Calibri" w:hAnsi="Calibri" w:cstheme="minorHAnsi"/>
        </w:rPr>
      </w:pPr>
      <w:r w:rsidRPr="000177D4">
        <w:rPr>
          <w:rFonts w:ascii="Calibri" w:hAnsi="Calibri" w:cstheme="minorHAnsi"/>
        </w:rPr>
        <w:t xml:space="preserve">There are a number of other aspects to the </w:t>
      </w:r>
      <w:proofErr w:type="spellStart"/>
      <w:r w:rsidRPr="000177D4">
        <w:rPr>
          <w:rFonts w:ascii="Calibri" w:hAnsi="Calibri" w:cstheme="minorHAnsi"/>
        </w:rPr>
        <w:t>peri</w:t>
      </w:r>
      <w:proofErr w:type="spellEnd"/>
      <w:r w:rsidRPr="000177D4">
        <w:rPr>
          <w:rFonts w:ascii="Calibri" w:hAnsi="Calibri" w:cstheme="minorHAnsi"/>
        </w:rPr>
        <w:t>-operative care that we believe are important to realise the success of this pathway. These include adequate engagement with the family and community nursing teams prior to gastrostomy insertion, allowing for provision of specialist equipment that may be necessary as well as education of the family in gastrostomy care, ideally before the day of the procedure. Th</w:t>
      </w:r>
      <w:r w:rsidR="00EB5D04" w:rsidRPr="000177D4">
        <w:rPr>
          <w:rFonts w:ascii="Calibri" w:hAnsi="Calibri" w:cstheme="minorHAnsi"/>
        </w:rPr>
        <w:t>us</w:t>
      </w:r>
      <w:r w:rsidRPr="000177D4">
        <w:rPr>
          <w:rFonts w:ascii="Calibri" w:hAnsi="Calibri" w:cstheme="minorHAnsi"/>
        </w:rPr>
        <w:t xml:space="preserve"> unnecessary delays in </w:t>
      </w:r>
      <w:r w:rsidRPr="000177D4">
        <w:rPr>
          <w:rFonts w:ascii="Calibri" w:hAnsi="Calibri" w:cstheme="minorHAnsi"/>
        </w:rPr>
        <w:lastRenderedPageBreak/>
        <w:t>discharge due to these factors can be avoided. The prior involvement of a paediatric dietician is also recommended.</w:t>
      </w:r>
    </w:p>
    <w:p w:rsidR="00EB7D30" w:rsidRPr="000177D4" w:rsidRDefault="00EB7D30" w:rsidP="001C4978">
      <w:pPr>
        <w:rPr>
          <w:rFonts w:ascii="Calibri" w:hAnsi="Calibri" w:cstheme="minorHAnsi"/>
        </w:rPr>
      </w:pPr>
    </w:p>
    <w:p w:rsidR="00962CA6" w:rsidRPr="000177D4" w:rsidRDefault="007402FB" w:rsidP="001C4978">
      <w:pPr>
        <w:rPr>
          <w:rFonts w:ascii="Calibri" w:hAnsi="Calibri" w:cstheme="minorHAnsi"/>
        </w:rPr>
      </w:pPr>
      <w:r w:rsidRPr="000177D4">
        <w:rPr>
          <w:rFonts w:ascii="Calibri" w:hAnsi="Calibri" w:cstheme="minorHAnsi"/>
        </w:rPr>
        <w:t xml:space="preserve">Most </w:t>
      </w:r>
      <w:r w:rsidR="009046C3" w:rsidRPr="000177D4">
        <w:rPr>
          <w:rFonts w:ascii="Calibri" w:hAnsi="Calibri" w:cstheme="minorHAnsi"/>
        </w:rPr>
        <w:t xml:space="preserve">previous </w:t>
      </w:r>
      <w:r w:rsidRPr="000177D4">
        <w:rPr>
          <w:rFonts w:ascii="Calibri" w:hAnsi="Calibri" w:cstheme="minorHAnsi"/>
        </w:rPr>
        <w:t>studies report primarily PEG insertions</w:t>
      </w:r>
      <w:r w:rsidR="002D5723" w:rsidRPr="000177D4">
        <w:rPr>
          <w:rFonts w:ascii="Calibri" w:hAnsi="Calibri" w:cstheme="minorHAnsi"/>
        </w:rPr>
        <w:fldChar w:fldCharType="begin" w:fldLock="1"/>
      </w:r>
      <w:r w:rsidR="00033E24" w:rsidRPr="000177D4">
        <w:rPr>
          <w:rFonts w:ascii="Calibri" w:hAnsi="Calibri" w:cstheme="minorHAnsi"/>
        </w:rPr>
        <w:instrText>ADDIN CSL_CITATION { "citationItems" : [ { "id" : "ITEM-1", "itemData" : { "DOI" : "10.1016/S0016-5107(94)70111-3", "ISSN" : "0016-5107", "author" : [ { "dropping-particle" : "", "family" : "Werlin", "given" : "Steven", "non-dropping-particle" : "", "parse-names" : false, "suffix" : "" }, { "dropping-particle" : "", "family" : "Glicklich", "given" : "Marvin", "non-dropping-particle" : "", "parse-names" : false, "suffix" : "" }, { "dropping-particle" : "", "family" : "Cohen", "given" : "Roger", "non-dropping-particle" : "", "parse-names" : false, "suffix" : "" } ], "container-title" : "Gastrointestinal Endoscopy", "id" : "ITEM-1", "issue" : "6", "issued" : { "date-parts" : [ [ "1994" ] ] }, "note" : "6th hour safe\nNo complications from early feeding \nRapid discharge of outpatients led to decreased costs \n\nCHILDREN", "page" : "692-693", "publisher" : "American Society for Gastrointestinal Endoscopy", "title" : "Early feeding after percutaneous endoscopic gastrostomy is safe in children", "type" : "article-journal", "volume" : "40" }, "uris" : [ "http://www.mendeley.com/documents/?uuid=46aaa475-cecf-4dfd-9fea-6b31f7f77724" ] }, { "id" : "ITEM-2", "itemData" : { "DOI" : "10.1097/MPG.0b013e3181bab33d", "ISSN" : "02772116", "abstract" : "Percutaneous endoscopic placement of a gastrostomy tube is a common procedure to provide feeding access in children. The practice has been to withhold the initial feeding for a prescribed length of time because of safety concerns. The shortest reported time to feeding in pediatric patients is 6 hours.", "author" : [ { "dropping-particle" : "", "family" : "Corkins", "given" : "Mark R.", "non-dropping-particle" : "", "parse-names" : false, "suffix" : "" }, { "dropping-particle" : "", "family" : "Fitzgerald", "given" : "Joseph F.", "non-dropping-particle" : "", "parse-names" : false, "suffix" : "" }, { "dropping-particle" : "", "family" : "Gupta", "given" : "Sandeep K.", "non-dropping-particle" : "", "parse-names" : false, "suffix" : "" } ], "container-title" : "Journal of Pediatric Gastroenterology and Nutrition", "id" : "ITEM-2", "issue" : "6", "issued" : { "date-parts" : [ [ "2010" ] ] }, "note" : "RCT between 3rd and 6th hour of feeding\nNo complications and no difference in tolerance between the two groups", "page" : "625-627", "title" : "Feeding after percutaneous endoscopic gastrostomy in children: Early feeding trial", "type" : "article-journal", "volume" : "50" }, "uris" : [ "http://www.mendeley.com/documents/?uuid=ffeb33f6-ef73-4607-9a56-65d2483b8e38" ] }, { "id" : "ITEM-3", "itemData" : { "DOI" : "10.1097/MPG.0b013e3182a0d171", "ISSN" : "02772116", "abstract" : "BACKGROUND:: Percutaneous endoscopic gastrostomy (PEG) is the preferred method to provide nutritional support for patients with normal gastrointestinal function but cannot be fed orally for a variety of reasons. Owing to safety concerns, the first feeding after PEG tube placement is generally delayed. Early feeding may be an option; however, childhood studies regarding early feeding after the PEG procedure are highly insufficient. METHODS:: A prospective randomized controlled study was conducted to compare early (4th hour) and late (12th hour) feeding after the PEG procedure. The PEG process was performed with the standard pull technique. Prophylactic antimicrobial drugs were not used. Complications such as gastric residue after feeding, vomiting, fever, systemic signs of infection, and duration of hospital stay were recorded. Tube feeding training was given to parents during their stay in the hospital in both groups. In the first and third days following PEG, the patients were visited by an experienced nurse in their homes and evaluated in terms of potential complications. RESULTS:: The study was completed with a total of 69 patients: 35 in the early feeding group and 34 in the late feeding group. The demographic characteristics of the groups were similar. Vomiting was rare and detected as similar in both groups (early feeding group 8.5% [3/35], late feeding group 8.8% [3/34] , P=1.00). Rarely, minor gastric residue was observed in both groups (early feeding group 11.4%, late feeding group 8.8% [P=1.00]). The amount of gastric residue in the early feeding group was a maximum of 13.2 mL, whereas the late feeding group had a maximum of 14.3 mL. The average duration of stay in the hospital for the early and late feeding groups was calculated as 6.7\u00b10.64 and 28.3\u00b13.74 hours, respectively (P &lt; 0.001). Leakage from gastrostomy fistulas, peritonitis, and aspiration were not observed in any patients. CONCLUSIONS:: The feeding at the fourth hour after PEG placement was safe and well tolerated by patients and shortened the duration of the hospital stay. The use of prophylactic antibiotics seems to be unnecessary before the procedure. Copyright 2013 by ESPGHAN and NASPGHAN.", "author" : [ { "dropping-particle" : "", "family" : "Islek", "given" : "Ali", "non-dropping-particle" : "", "parse-names" : false, "suffix" : "" }, { "dropping-particle" : "", "family" : "Sayar", "given" : "Ersin", "non-dropping-particle" : "", "parse-names" : false, "suffix" : "" }, { "dropping-particle" : "", "family" : "Yilmaz", "given" : "Aygen", "non-dropping-particle" : "", "parse-names" : false, "suffix" : "" }, { "dropping-particle" : "", "family" : "Artan", "given" : "Reha", "non-dropping-particle" : "", "parse-names" : false, "suffix" : "" } ], "container-title" : "Journal of Pediatric Gastroenterology and Nutrition", "id" : "ITEM-3", "issue" : "5", "issued" : { "date-parts" : [ [ "2013" ] ] }, "note" : "Traditionally feeding was done a day after due to risk of peritonitis and gastric residual volume, intestinal motility after surgery which was performed int he past\n\nRCT: \nFeedign at 4th hour after PEG placement was safe and well toelrated \nNo increase in rate of complications\nDischarged from hospital sooner\n\nIslek \u2013 Turkey \nEarly group: Home by 6.7 hours vs 28hr \nPatients were discharged after first feed", "page" : "659-662", "title" : "Percutaneous endoscopic gastrostomy in children: Is early feeding safe?", "type" : "article-journal", "volume" : "57" }, "uris" : [ "http://www.mendeley.com/documents/?uuid=2812c29a-3454-4435-95ab-1451e5ca91cf" ] } ], "mendeley" : { "formattedCitation" : "[10,12,13]", "plainTextFormattedCitation" : "[10,12,13]", "previouslyFormattedCitation" : "[13,10,12]" }, "properties" : { "noteIndex" : 4 }, "schema" : "https://github.com/citation-style-language/schema/raw/master/csl-citation.json" }</w:instrText>
      </w:r>
      <w:r w:rsidR="002D5723" w:rsidRPr="000177D4">
        <w:rPr>
          <w:rFonts w:ascii="Calibri" w:hAnsi="Calibri" w:cstheme="minorHAnsi"/>
        </w:rPr>
        <w:fldChar w:fldCharType="separate"/>
      </w:r>
      <w:r w:rsidR="00033E24" w:rsidRPr="000177D4">
        <w:rPr>
          <w:rFonts w:ascii="Calibri" w:hAnsi="Calibri" w:cstheme="minorHAnsi"/>
          <w:noProof/>
        </w:rPr>
        <w:t>[10,12,13]</w:t>
      </w:r>
      <w:r w:rsidR="002D5723" w:rsidRPr="000177D4">
        <w:rPr>
          <w:rFonts w:ascii="Calibri" w:hAnsi="Calibri" w:cstheme="minorHAnsi"/>
        </w:rPr>
        <w:fldChar w:fldCharType="end"/>
      </w:r>
      <w:r w:rsidR="006B5D14" w:rsidRPr="000177D4">
        <w:rPr>
          <w:rFonts w:ascii="Calibri" w:hAnsi="Calibri" w:cstheme="minorHAnsi"/>
        </w:rPr>
        <w:t xml:space="preserve"> </w:t>
      </w:r>
      <w:r w:rsidR="00962CA6" w:rsidRPr="000177D4">
        <w:rPr>
          <w:rFonts w:ascii="Calibri" w:hAnsi="Calibri" w:cstheme="minorHAnsi"/>
        </w:rPr>
        <w:t>with some only on laparo</w:t>
      </w:r>
      <w:r w:rsidR="008A0029" w:rsidRPr="000177D4">
        <w:rPr>
          <w:rFonts w:ascii="Calibri" w:hAnsi="Calibri" w:cstheme="minorHAnsi"/>
        </w:rPr>
        <w:t>scopic gastrostomy</w:t>
      </w:r>
      <w:r w:rsidR="002D5723" w:rsidRPr="000177D4">
        <w:rPr>
          <w:rFonts w:ascii="Calibri" w:hAnsi="Calibri" w:cstheme="minorHAnsi"/>
        </w:rPr>
        <w:fldChar w:fldCharType="begin" w:fldLock="1"/>
      </w:r>
      <w:r w:rsidR="001F3076" w:rsidRPr="000177D4">
        <w:rPr>
          <w:rFonts w:ascii="Calibri" w:hAnsi="Calibri" w:cstheme="minorHAnsi"/>
        </w:rPr>
        <w:instrText>ADDIN CSL_CITATION { "citationItems" : [ { "id" : "ITEM-1", "itemData" : { "author" : [ { "dropping-particle" : "", "family" : "Hendrickson", "given" : "Richard J", "non-dropping-particle" : "", "parse-names" : false, "suffix" : "" }, { "dropping-particle" : "", "family" : "Poola", "given" : "Ashwini S", "non-dropping-particle" : "", "parse-names" : false, "suffix" : "" }, { "dropping-particle" : "", "family" : "Sujka", "given" : "Joseph A", "non-dropping-particle" : "", "parse-names" : false, "suffix" : "" }, { "dropping-particle" : "", "family" : "Weaver", "given" : "Katrina L", "non-dropping-particle" : "", "parse-names" : false, "suffix" : "" }, { "dropping-particle" : "", "family" : "Rentea", "given" : "Rebecca M", "non-dropping-particle" : "", "parse-names" : false, "suffix" : "" }, { "dropping-particle" : "", "family" : "St Peter", "given" : "Shawn D", "non-dropping-particle" : "", "parse-names" : false, "suffix" : "" }, { "dropping-particle" : "", "family" : "Oyetunji", "given" : "Tolulope A", "non-dropping-particle" : "", "parse-names" : false, "suffix" : "" } ], "container-title" : "Journal of Pediatric Surgery", "id" : "ITEM-1", "issued" : { "date-parts" : [ [ "2018" ] ] }, "page" : "2326 - 2330", "title" : "Feeding Advancement and Simultaneous Transition to Discharge (FASTDischarge) after laparoscopic gastrostomy", "type" : "article-journal" }, "uris" : [ "http://www.mendeley.com/documents/?uuid=112f9fe9-858d-497c-9768-b0dfa74937d5" ] } ], "mendeley" : { "formattedCitation" : "[15]", "plainTextFormattedCitation" : "[15]", "previouslyFormattedCitation" : "[15]" }, "properties" : { "noteIndex" : 4 }, "schema" : "https://github.com/citation-style-language/schema/raw/master/csl-citation.json" }</w:instrText>
      </w:r>
      <w:r w:rsidR="002D5723" w:rsidRPr="000177D4">
        <w:rPr>
          <w:rFonts w:ascii="Calibri" w:hAnsi="Calibri" w:cstheme="minorHAnsi"/>
        </w:rPr>
        <w:fldChar w:fldCharType="separate"/>
      </w:r>
      <w:r w:rsidR="001F3076" w:rsidRPr="000177D4">
        <w:rPr>
          <w:rFonts w:ascii="Calibri" w:hAnsi="Calibri" w:cstheme="minorHAnsi"/>
          <w:noProof/>
        </w:rPr>
        <w:t>[15]</w:t>
      </w:r>
      <w:r w:rsidR="002D5723" w:rsidRPr="000177D4">
        <w:rPr>
          <w:rFonts w:ascii="Calibri" w:hAnsi="Calibri" w:cstheme="minorHAnsi"/>
        </w:rPr>
        <w:fldChar w:fldCharType="end"/>
      </w:r>
      <w:r w:rsidR="00791C23" w:rsidRPr="000177D4">
        <w:rPr>
          <w:rFonts w:ascii="Calibri" w:hAnsi="Calibri" w:cstheme="minorHAnsi"/>
        </w:rPr>
        <w:t>.</w:t>
      </w:r>
      <w:r w:rsidR="006B5D14" w:rsidRPr="000177D4">
        <w:rPr>
          <w:rFonts w:ascii="Calibri" w:hAnsi="Calibri" w:cstheme="minorHAnsi"/>
        </w:rPr>
        <w:t xml:space="preserve"> </w:t>
      </w:r>
      <w:r w:rsidR="00962CA6" w:rsidRPr="000177D4">
        <w:rPr>
          <w:rFonts w:ascii="Calibri" w:hAnsi="Calibri" w:cstheme="minorHAnsi"/>
        </w:rPr>
        <w:t xml:space="preserve">Our study </w:t>
      </w:r>
      <w:r w:rsidR="009046C3" w:rsidRPr="000177D4">
        <w:rPr>
          <w:rFonts w:ascii="Calibri" w:hAnsi="Calibri" w:cstheme="minorHAnsi"/>
        </w:rPr>
        <w:t xml:space="preserve">is similar in that the majority of gastrostomies inserted were PEGs but we have included </w:t>
      </w:r>
      <w:r w:rsidR="00962CA6" w:rsidRPr="000177D4">
        <w:rPr>
          <w:rFonts w:ascii="Calibri" w:hAnsi="Calibri" w:cstheme="minorHAnsi"/>
        </w:rPr>
        <w:t xml:space="preserve">all methods </w:t>
      </w:r>
      <w:r w:rsidR="00D2563F" w:rsidRPr="000177D4">
        <w:rPr>
          <w:rFonts w:ascii="Calibri" w:hAnsi="Calibri" w:cstheme="minorHAnsi"/>
        </w:rPr>
        <w:t xml:space="preserve">of </w:t>
      </w:r>
      <w:r w:rsidR="00962CA6" w:rsidRPr="000177D4">
        <w:rPr>
          <w:rFonts w:ascii="Calibri" w:hAnsi="Calibri" w:cstheme="minorHAnsi"/>
        </w:rPr>
        <w:t>gastrostomy insertion at our centre. Thus despite tube insertion method,</w:t>
      </w:r>
      <w:r w:rsidR="00AA0D10" w:rsidRPr="000177D4">
        <w:rPr>
          <w:rFonts w:ascii="Calibri" w:hAnsi="Calibri" w:cstheme="minorHAnsi"/>
        </w:rPr>
        <w:t xml:space="preserve"> an</w:t>
      </w:r>
      <w:r w:rsidR="006B5D14" w:rsidRPr="000177D4">
        <w:rPr>
          <w:rFonts w:ascii="Calibri" w:hAnsi="Calibri" w:cstheme="minorHAnsi"/>
        </w:rPr>
        <w:t xml:space="preserve"> </w:t>
      </w:r>
      <w:r w:rsidR="00962CA6" w:rsidRPr="000177D4">
        <w:rPr>
          <w:rFonts w:ascii="Calibri" w:hAnsi="Calibri" w:cstheme="minorHAnsi"/>
        </w:rPr>
        <w:t xml:space="preserve">early feeding </w:t>
      </w:r>
      <w:r w:rsidR="00AA0D10" w:rsidRPr="000177D4">
        <w:rPr>
          <w:rFonts w:ascii="Calibri" w:hAnsi="Calibri" w:cstheme="minorHAnsi"/>
        </w:rPr>
        <w:t>pathway is appropriate</w:t>
      </w:r>
      <w:r w:rsidR="00962CA6" w:rsidRPr="000177D4">
        <w:rPr>
          <w:rFonts w:ascii="Calibri" w:hAnsi="Calibri" w:cstheme="minorHAnsi"/>
        </w:rPr>
        <w:t>.</w:t>
      </w:r>
    </w:p>
    <w:p w:rsidR="00E572FD" w:rsidRPr="000177D4" w:rsidRDefault="00E572FD" w:rsidP="001C4978">
      <w:pPr>
        <w:rPr>
          <w:rFonts w:ascii="Calibri" w:hAnsi="Calibri" w:cstheme="minorHAnsi"/>
        </w:rPr>
      </w:pPr>
    </w:p>
    <w:p w:rsidR="00257097" w:rsidRPr="000177D4" w:rsidRDefault="006F68BA" w:rsidP="00C43614">
      <w:pPr>
        <w:rPr>
          <w:rFonts w:ascii="Calibri" w:hAnsi="Calibri" w:cstheme="minorHAnsi"/>
        </w:rPr>
      </w:pPr>
      <w:r w:rsidRPr="000177D4">
        <w:rPr>
          <w:rFonts w:ascii="Calibri" w:hAnsi="Calibri" w:cstheme="minorHAnsi"/>
        </w:rPr>
        <w:t>There are s</w:t>
      </w:r>
      <w:r w:rsidR="005C3E58" w:rsidRPr="000177D4">
        <w:rPr>
          <w:rFonts w:ascii="Calibri" w:hAnsi="Calibri" w:cstheme="minorHAnsi"/>
        </w:rPr>
        <w:t>ome</w:t>
      </w:r>
      <w:r w:rsidRPr="000177D4">
        <w:rPr>
          <w:rFonts w:ascii="Calibri" w:hAnsi="Calibri" w:cstheme="minorHAnsi"/>
        </w:rPr>
        <w:t xml:space="preserve"> limitations to our study. Firstly,</w:t>
      </w:r>
      <w:r w:rsidR="00D72D52" w:rsidRPr="000177D4">
        <w:rPr>
          <w:rFonts w:ascii="Calibri" w:hAnsi="Calibri" w:cstheme="minorHAnsi"/>
        </w:rPr>
        <w:t xml:space="preserve"> this is a single centre </w:t>
      </w:r>
      <w:r w:rsidR="002B1D3D" w:rsidRPr="000177D4">
        <w:rPr>
          <w:rFonts w:ascii="Calibri" w:hAnsi="Calibri" w:cstheme="minorHAnsi"/>
        </w:rPr>
        <w:t>study where we have implemented the pathway</w:t>
      </w:r>
      <w:r w:rsidRPr="000177D4">
        <w:rPr>
          <w:rFonts w:ascii="Calibri" w:hAnsi="Calibri" w:cstheme="minorHAnsi"/>
        </w:rPr>
        <w:t xml:space="preserve">. </w:t>
      </w:r>
      <w:r w:rsidR="0043115B" w:rsidRPr="000177D4">
        <w:rPr>
          <w:rFonts w:ascii="Calibri" w:hAnsi="Calibri" w:cstheme="minorHAnsi"/>
        </w:rPr>
        <w:t xml:space="preserve">Generalisability of our study </w:t>
      </w:r>
      <w:r w:rsidR="00E572FD" w:rsidRPr="000177D4">
        <w:rPr>
          <w:rFonts w:ascii="Calibri" w:hAnsi="Calibri" w:cstheme="minorHAnsi"/>
        </w:rPr>
        <w:t xml:space="preserve">should be taken </w:t>
      </w:r>
      <w:r w:rsidR="0043115B" w:rsidRPr="000177D4">
        <w:rPr>
          <w:rFonts w:ascii="Calibri" w:hAnsi="Calibri" w:cstheme="minorHAnsi"/>
        </w:rPr>
        <w:t>with caution until further studies at other centres c</w:t>
      </w:r>
      <w:r w:rsidR="004476E0" w:rsidRPr="000177D4">
        <w:rPr>
          <w:rFonts w:ascii="Calibri" w:hAnsi="Calibri" w:cstheme="minorHAnsi"/>
        </w:rPr>
        <w:t>an be completed. Secondly</w:t>
      </w:r>
      <w:r w:rsidR="00451F2F" w:rsidRPr="000177D4">
        <w:rPr>
          <w:rFonts w:ascii="Calibri" w:hAnsi="Calibri" w:cstheme="minorHAnsi"/>
        </w:rPr>
        <w:t>, d</w:t>
      </w:r>
      <w:r w:rsidRPr="000177D4">
        <w:rPr>
          <w:rFonts w:ascii="Calibri" w:hAnsi="Calibri" w:cstheme="minorHAnsi"/>
        </w:rPr>
        <w:t>ata w</w:t>
      </w:r>
      <w:r w:rsidR="0075493F" w:rsidRPr="000177D4">
        <w:rPr>
          <w:rFonts w:ascii="Calibri" w:hAnsi="Calibri" w:cstheme="minorHAnsi"/>
        </w:rPr>
        <w:t>ere</w:t>
      </w:r>
      <w:r w:rsidRPr="000177D4">
        <w:rPr>
          <w:rFonts w:ascii="Calibri" w:hAnsi="Calibri" w:cstheme="minorHAnsi"/>
        </w:rPr>
        <w:t xml:space="preserve"> collected retrospectively </w:t>
      </w:r>
      <w:r w:rsidR="00DB5CBD" w:rsidRPr="000177D4">
        <w:rPr>
          <w:rFonts w:ascii="Calibri" w:hAnsi="Calibri" w:cstheme="minorHAnsi"/>
        </w:rPr>
        <w:t xml:space="preserve">which relies </w:t>
      </w:r>
      <w:r w:rsidRPr="000177D4">
        <w:rPr>
          <w:rFonts w:ascii="Calibri" w:hAnsi="Calibri" w:cstheme="minorHAnsi"/>
        </w:rPr>
        <w:t xml:space="preserve">on the accuracy of documentation in notes. </w:t>
      </w:r>
      <w:r w:rsidR="005C3E58" w:rsidRPr="000177D4">
        <w:rPr>
          <w:rFonts w:ascii="Calibri" w:hAnsi="Calibri" w:cstheme="minorHAnsi"/>
        </w:rPr>
        <w:t xml:space="preserve">However, we were able to record all data required for this study. </w:t>
      </w:r>
      <w:r w:rsidR="00257097" w:rsidRPr="000177D4">
        <w:rPr>
          <w:rFonts w:ascii="Calibri" w:hAnsi="Calibri" w:cstheme="minorHAnsi"/>
        </w:rPr>
        <w:t>The specific nature of our patient population may have negatively affected their discharge time; a</w:t>
      </w:r>
      <w:r w:rsidR="005069B8" w:rsidRPr="000177D4">
        <w:rPr>
          <w:rFonts w:ascii="Calibri" w:hAnsi="Calibri" w:cstheme="minorHAnsi"/>
        </w:rPr>
        <w:t>s our centre is a tertiary paediatric centre, some of our patients</w:t>
      </w:r>
      <w:r w:rsidR="002323B3" w:rsidRPr="000177D4">
        <w:rPr>
          <w:rFonts w:ascii="Calibri" w:hAnsi="Calibri" w:cstheme="minorHAnsi"/>
        </w:rPr>
        <w:t xml:space="preserve"> are from further afar and discharge </w:t>
      </w:r>
      <w:r w:rsidR="00257097" w:rsidRPr="000177D4">
        <w:rPr>
          <w:rFonts w:ascii="Calibri" w:hAnsi="Calibri" w:cstheme="minorHAnsi"/>
        </w:rPr>
        <w:t>may be</w:t>
      </w:r>
      <w:r w:rsidR="002323B3" w:rsidRPr="000177D4">
        <w:rPr>
          <w:rFonts w:ascii="Calibri" w:hAnsi="Calibri" w:cstheme="minorHAnsi"/>
        </w:rPr>
        <w:t xml:space="preserve"> de</w:t>
      </w:r>
      <w:r w:rsidR="00D2563F" w:rsidRPr="000177D4">
        <w:rPr>
          <w:rFonts w:ascii="Calibri" w:hAnsi="Calibri" w:cstheme="minorHAnsi"/>
        </w:rPr>
        <w:t>layed by</w:t>
      </w:r>
      <w:r w:rsidR="002323B3" w:rsidRPr="000177D4">
        <w:rPr>
          <w:rFonts w:ascii="Calibri" w:hAnsi="Calibri" w:cstheme="minorHAnsi"/>
        </w:rPr>
        <w:t xml:space="preserve"> </w:t>
      </w:r>
      <w:r w:rsidR="00257097" w:rsidRPr="000177D4">
        <w:rPr>
          <w:rFonts w:ascii="Calibri" w:hAnsi="Calibri" w:cstheme="minorHAnsi"/>
        </w:rPr>
        <w:t xml:space="preserve">travel arrangements such as </w:t>
      </w:r>
      <w:r w:rsidR="002323B3" w:rsidRPr="000177D4">
        <w:rPr>
          <w:rFonts w:ascii="Calibri" w:hAnsi="Calibri" w:cstheme="minorHAnsi"/>
        </w:rPr>
        <w:t>flight times</w:t>
      </w:r>
      <w:r w:rsidR="00D2563F" w:rsidRPr="000177D4">
        <w:rPr>
          <w:rFonts w:ascii="Calibri" w:hAnsi="Calibri" w:cstheme="minorHAnsi"/>
        </w:rPr>
        <w:t>, or for other social reasons</w:t>
      </w:r>
      <w:r w:rsidR="00D714BC" w:rsidRPr="000177D4">
        <w:rPr>
          <w:rFonts w:ascii="Calibri" w:hAnsi="Calibri" w:cstheme="minorHAnsi"/>
        </w:rPr>
        <w:t xml:space="preserve">. </w:t>
      </w:r>
      <w:r w:rsidRPr="000177D4">
        <w:rPr>
          <w:rFonts w:ascii="Calibri" w:hAnsi="Calibri" w:cstheme="minorHAnsi"/>
        </w:rPr>
        <w:t>Fu</w:t>
      </w:r>
      <w:r w:rsidR="00D714BC" w:rsidRPr="000177D4">
        <w:rPr>
          <w:rFonts w:ascii="Calibri" w:hAnsi="Calibri" w:cstheme="minorHAnsi"/>
        </w:rPr>
        <w:t>tu</w:t>
      </w:r>
      <w:r w:rsidRPr="000177D4">
        <w:rPr>
          <w:rFonts w:ascii="Calibri" w:hAnsi="Calibri" w:cstheme="minorHAnsi"/>
        </w:rPr>
        <w:t>r</w:t>
      </w:r>
      <w:r w:rsidR="00D714BC" w:rsidRPr="000177D4">
        <w:rPr>
          <w:rFonts w:ascii="Calibri" w:hAnsi="Calibri" w:cstheme="minorHAnsi"/>
        </w:rPr>
        <w:t>e</w:t>
      </w:r>
      <w:r w:rsidR="00770647" w:rsidRPr="000177D4">
        <w:rPr>
          <w:rFonts w:ascii="Calibri" w:hAnsi="Calibri" w:cstheme="minorHAnsi"/>
        </w:rPr>
        <w:t xml:space="preserve"> studies</w:t>
      </w:r>
      <w:r w:rsidRPr="000177D4">
        <w:rPr>
          <w:rFonts w:ascii="Calibri" w:hAnsi="Calibri" w:cstheme="minorHAnsi"/>
        </w:rPr>
        <w:t xml:space="preserve"> </w:t>
      </w:r>
      <w:r w:rsidR="00257097" w:rsidRPr="000177D4">
        <w:rPr>
          <w:rFonts w:ascii="Calibri" w:hAnsi="Calibri" w:cstheme="minorHAnsi"/>
        </w:rPr>
        <w:t>sh</w:t>
      </w:r>
      <w:r w:rsidR="00D714BC" w:rsidRPr="000177D4">
        <w:rPr>
          <w:rFonts w:ascii="Calibri" w:hAnsi="Calibri" w:cstheme="minorHAnsi"/>
        </w:rPr>
        <w:t>ould</w:t>
      </w:r>
      <w:r w:rsidR="001C4978" w:rsidRPr="000177D4">
        <w:rPr>
          <w:rFonts w:ascii="Calibri" w:hAnsi="Calibri" w:cstheme="minorHAnsi"/>
        </w:rPr>
        <w:t xml:space="preserve"> </w:t>
      </w:r>
      <w:r w:rsidR="00257097" w:rsidRPr="000177D4">
        <w:rPr>
          <w:rFonts w:ascii="Calibri" w:hAnsi="Calibri" w:cstheme="minorHAnsi"/>
        </w:rPr>
        <w:t>measure the</w:t>
      </w:r>
      <w:r w:rsidR="001C4978" w:rsidRPr="000177D4">
        <w:rPr>
          <w:rFonts w:ascii="Calibri" w:hAnsi="Calibri" w:cstheme="minorHAnsi"/>
        </w:rPr>
        <w:t xml:space="preserve"> time </w:t>
      </w:r>
      <w:r w:rsidR="00257097" w:rsidRPr="000177D4">
        <w:rPr>
          <w:rFonts w:ascii="Calibri" w:hAnsi="Calibri" w:cstheme="minorHAnsi"/>
        </w:rPr>
        <w:t xml:space="preserve">at which </w:t>
      </w:r>
      <w:r w:rsidR="001C4978" w:rsidRPr="000177D4">
        <w:rPr>
          <w:rFonts w:ascii="Calibri" w:hAnsi="Calibri" w:cstheme="minorHAnsi"/>
        </w:rPr>
        <w:t xml:space="preserve">the patient was ready for discharge </w:t>
      </w:r>
      <w:r w:rsidR="00257097" w:rsidRPr="000177D4">
        <w:rPr>
          <w:rFonts w:ascii="Calibri" w:hAnsi="Calibri" w:cstheme="minorHAnsi"/>
        </w:rPr>
        <w:t>r</w:t>
      </w:r>
      <w:r w:rsidR="005C3E58" w:rsidRPr="000177D4">
        <w:rPr>
          <w:rFonts w:ascii="Calibri" w:hAnsi="Calibri" w:cstheme="minorHAnsi"/>
        </w:rPr>
        <w:t>ather than actually discharged.</w:t>
      </w:r>
    </w:p>
    <w:p w:rsidR="00257097" w:rsidRPr="000177D4" w:rsidRDefault="00257097" w:rsidP="00C43614">
      <w:pPr>
        <w:rPr>
          <w:rFonts w:ascii="Calibri" w:hAnsi="Calibri" w:cstheme="minorHAnsi"/>
        </w:rPr>
      </w:pPr>
    </w:p>
    <w:p w:rsidR="005C3E58" w:rsidRDefault="005C3E58" w:rsidP="00C43614">
      <w:pPr>
        <w:rPr>
          <w:rFonts w:ascii="Calibri" w:hAnsi="Calibri" w:cstheme="minorHAnsi"/>
        </w:rPr>
      </w:pPr>
      <w:r w:rsidRPr="000177D4">
        <w:rPr>
          <w:rFonts w:ascii="Calibri" w:hAnsi="Calibri" w:cstheme="minorHAnsi"/>
        </w:rPr>
        <w:t xml:space="preserve">The implications of these data are that there are likely to be significant benefits to the healthcare system and patients from adoption of a standardised early feeding pathway. We have shown a significant reduction in length of stay which is likely to be associated with reduced cost and potentially improved patient </w:t>
      </w:r>
      <w:r w:rsidR="00D2563F" w:rsidRPr="000177D4">
        <w:rPr>
          <w:rFonts w:ascii="Calibri" w:hAnsi="Calibri" w:cstheme="minorHAnsi"/>
        </w:rPr>
        <w:t xml:space="preserve">and family </w:t>
      </w:r>
      <w:r w:rsidRPr="000177D4">
        <w:rPr>
          <w:rFonts w:ascii="Calibri" w:hAnsi="Calibri" w:cstheme="minorHAnsi"/>
        </w:rPr>
        <w:t>satisfaction</w:t>
      </w:r>
      <w:r w:rsidR="00D2563F" w:rsidRPr="000177D4">
        <w:rPr>
          <w:rFonts w:ascii="Calibri" w:hAnsi="Calibri" w:cstheme="minorHAnsi"/>
        </w:rPr>
        <w:t>.</w:t>
      </w:r>
      <w:r w:rsidRPr="000177D4">
        <w:rPr>
          <w:rFonts w:ascii="Calibri" w:hAnsi="Calibri" w:cstheme="minorHAnsi"/>
        </w:rPr>
        <w:t xml:space="preserve"> </w:t>
      </w:r>
      <w:r w:rsidR="00D2563F" w:rsidRPr="000177D4">
        <w:rPr>
          <w:rFonts w:ascii="Calibri" w:hAnsi="Calibri" w:cstheme="minorHAnsi"/>
        </w:rPr>
        <w:t>W</w:t>
      </w:r>
      <w:r w:rsidRPr="000177D4">
        <w:rPr>
          <w:rFonts w:ascii="Calibri" w:hAnsi="Calibri" w:cstheme="minorHAnsi"/>
        </w:rPr>
        <w:t>e acknowledge that we have not measured either of these outcomes but plan to in the future. The reduction in length of stay that can be achieved in some patients also raises the concept of day case elective gastrostomy insertions if the procedure were to be performed first case in the morning.</w:t>
      </w:r>
    </w:p>
    <w:p w:rsidR="007402FB" w:rsidRPr="00F16C81" w:rsidRDefault="007402FB" w:rsidP="001C4978">
      <w:pPr>
        <w:rPr>
          <w:rFonts w:ascii="Calibri" w:hAnsi="Calibri" w:cstheme="minorHAnsi"/>
        </w:rPr>
      </w:pPr>
    </w:p>
    <w:p w:rsidR="00457F9A" w:rsidRPr="00F16C81" w:rsidRDefault="00457F9A" w:rsidP="00457F9A">
      <w:pPr>
        <w:pStyle w:val="Heading3"/>
        <w:rPr>
          <w:rFonts w:ascii="Calibri" w:hAnsi="Calibri"/>
        </w:rPr>
      </w:pPr>
      <w:r w:rsidRPr="00F16C81">
        <w:rPr>
          <w:rFonts w:ascii="Calibri" w:hAnsi="Calibri"/>
        </w:rPr>
        <w:t xml:space="preserve">Conclusion </w:t>
      </w:r>
    </w:p>
    <w:p w:rsidR="00D2563F" w:rsidRDefault="00A62F22" w:rsidP="00A62F22">
      <w:pPr>
        <w:rPr>
          <w:rFonts w:ascii="Calibri" w:hAnsi="Calibri" w:cstheme="minorHAnsi"/>
        </w:rPr>
      </w:pPr>
      <w:r w:rsidRPr="00F16C81">
        <w:rPr>
          <w:rFonts w:ascii="Calibri" w:hAnsi="Calibri" w:cstheme="minorHAnsi"/>
        </w:rPr>
        <w:t xml:space="preserve">Our study </w:t>
      </w:r>
      <w:r w:rsidR="00257097">
        <w:rPr>
          <w:rFonts w:ascii="Calibri" w:hAnsi="Calibri" w:cstheme="minorHAnsi"/>
        </w:rPr>
        <w:t>demonstr</w:t>
      </w:r>
      <w:r w:rsidRPr="00F16C81">
        <w:rPr>
          <w:rFonts w:ascii="Calibri" w:hAnsi="Calibri" w:cstheme="minorHAnsi"/>
        </w:rPr>
        <w:t>ates an early feeding pathway is associated with a shorter hospital admission w</w:t>
      </w:r>
      <w:r w:rsidR="00257097">
        <w:rPr>
          <w:rFonts w:ascii="Calibri" w:hAnsi="Calibri" w:cstheme="minorHAnsi"/>
        </w:rPr>
        <w:t>ithout an</w:t>
      </w:r>
      <w:r w:rsidRPr="00F16C81">
        <w:rPr>
          <w:rFonts w:ascii="Calibri" w:hAnsi="Calibri" w:cstheme="minorHAnsi"/>
        </w:rPr>
        <w:t xml:space="preserve"> increas</w:t>
      </w:r>
      <w:r w:rsidR="00257097">
        <w:rPr>
          <w:rFonts w:ascii="Calibri" w:hAnsi="Calibri" w:cstheme="minorHAnsi"/>
        </w:rPr>
        <w:t>e in</w:t>
      </w:r>
      <w:r w:rsidRPr="00F16C81">
        <w:rPr>
          <w:rFonts w:ascii="Calibri" w:hAnsi="Calibri" w:cstheme="minorHAnsi"/>
        </w:rPr>
        <w:t xml:space="preserve"> com</w:t>
      </w:r>
      <w:r w:rsidRPr="003B763B">
        <w:rPr>
          <w:rFonts w:ascii="Calibri" w:hAnsi="Calibri" w:cstheme="minorHAnsi"/>
        </w:rPr>
        <w:t xml:space="preserve">plication rates. Early initiation of feeds </w:t>
      </w:r>
      <w:r w:rsidR="00E63ABD" w:rsidRPr="00F56BED">
        <w:rPr>
          <w:rFonts w:ascii="Calibri" w:hAnsi="Calibri" w:cstheme="minorHAnsi"/>
        </w:rPr>
        <w:t xml:space="preserve">with a standardised feeding pathway </w:t>
      </w:r>
      <w:r w:rsidRPr="003B763B">
        <w:rPr>
          <w:rFonts w:ascii="Calibri" w:hAnsi="Calibri" w:cstheme="minorHAnsi"/>
        </w:rPr>
        <w:t xml:space="preserve">should be considered in paediatric elective gastrostomy insertions. </w:t>
      </w:r>
      <w:r w:rsidR="00D2563F">
        <w:rPr>
          <w:rFonts w:ascii="Calibri" w:hAnsi="Calibri" w:cstheme="minorHAnsi"/>
        </w:rPr>
        <w:t>Future work should examine the further anticipated benefits including cost savings and improved patient and family satisfaction.</w:t>
      </w:r>
    </w:p>
    <w:p w:rsidR="00703D4D" w:rsidRPr="003B763B" w:rsidRDefault="00703D4D">
      <w:pPr>
        <w:rPr>
          <w:rFonts w:ascii="Calibri" w:hAnsi="Calibri" w:cstheme="minorHAnsi"/>
        </w:rPr>
      </w:pPr>
      <w:r w:rsidRPr="003B763B">
        <w:rPr>
          <w:rFonts w:ascii="Calibri" w:hAnsi="Calibri" w:cstheme="minorHAnsi"/>
        </w:rPr>
        <w:br w:type="page"/>
      </w:r>
    </w:p>
    <w:p w:rsidR="001C4978" w:rsidRPr="003B763B" w:rsidRDefault="00703D4D" w:rsidP="00703D4D">
      <w:pPr>
        <w:pStyle w:val="Heading2"/>
        <w:rPr>
          <w:rFonts w:ascii="Calibri" w:hAnsi="Calibri"/>
        </w:rPr>
      </w:pPr>
      <w:r w:rsidRPr="003B763B">
        <w:rPr>
          <w:rFonts w:ascii="Calibri" w:hAnsi="Calibri"/>
        </w:rPr>
        <w:lastRenderedPageBreak/>
        <w:t xml:space="preserve">References </w:t>
      </w:r>
    </w:p>
    <w:p w:rsidR="00033E24" w:rsidRPr="00033E24" w:rsidRDefault="002D5723" w:rsidP="00033E24">
      <w:pPr>
        <w:widowControl w:val="0"/>
        <w:autoSpaceDE w:val="0"/>
        <w:autoSpaceDN w:val="0"/>
        <w:adjustRightInd w:val="0"/>
        <w:ind w:left="640" w:hanging="640"/>
        <w:rPr>
          <w:rFonts w:ascii="Calibri" w:eastAsia="Times New Roman" w:hAnsi="Calibri"/>
          <w:noProof/>
        </w:rPr>
      </w:pPr>
      <w:r w:rsidRPr="00072E80">
        <w:rPr>
          <w:rFonts w:ascii="Calibri" w:hAnsi="Calibri"/>
        </w:rPr>
        <w:fldChar w:fldCharType="begin" w:fldLock="1"/>
      </w:r>
      <w:r w:rsidR="00457ACD" w:rsidRPr="00072E80">
        <w:rPr>
          <w:rFonts w:ascii="Calibri" w:hAnsi="Calibri"/>
        </w:rPr>
        <w:instrText xml:space="preserve">ADDIN Mendeley Bibliography CSL_BIBLIOGRAPHY </w:instrText>
      </w:r>
      <w:r w:rsidRPr="00072E80">
        <w:rPr>
          <w:rFonts w:ascii="Calibri" w:hAnsi="Calibri"/>
        </w:rPr>
        <w:fldChar w:fldCharType="separate"/>
      </w:r>
      <w:r w:rsidR="00033E24" w:rsidRPr="00033E24">
        <w:rPr>
          <w:rFonts w:ascii="Calibri" w:eastAsia="Times New Roman" w:hAnsi="Calibri"/>
          <w:noProof/>
        </w:rPr>
        <w:t>[1]</w:t>
      </w:r>
      <w:r w:rsidR="00033E24" w:rsidRPr="00033E24">
        <w:rPr>
          <w:rFonts w:ascii="Calibri" w:eastAsia="Times New Roman" w:hAnsi="Calibri"/>
          <w:noProof/>
        </w:rPr>
        <w:tab/>
        <w:t>Heuschkel RB, Gottrand F, Devarajan K, Poole H, Callan J, Dias JA, et al. ESPGHAN position paper on management of percutaneous endoscopic gastrostomy in children and adolescents. J Pediatr Gastroenterol Nutr 2015;60:131–41. doi:10.1097/MPG.0000000000000501.</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[2]</w:t>
      </w:r>
      <w:r w:rsidRPr="00033E24">
        <w:rPr>
          <w:rFonts w:ascii="Calibri" w:eastAsia="Times New Roman" w:hAnsi="Calibri"/>
          <w:noProof/>
        </w:rPr>
        <w:tab/>
        <w:t>Erdil A, Saka M, Ates Y, Tuzun A, Bagci S, Uygun A, et al. Enteral nutrition via percutaneous endoscopic gastrostomy and nutritional status of patients: Five-year prospective study. J Gastroenterol Hepatol 2005;20:1002–7. doi:10.1111/j.1440-1746.2005.03892.x.</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[3]</w:t>
      </w:r>
      <w:r w:rsidRPr="00033E24">
        <w:rPr>
          <w:rFonts w:ascii="Calibri" w:eastAsia="Times New Roman" w:hAnsi="Calibri"/>
          <w:noProof/>
        </w:rPr>
        <w:tab/>
        <w:t>Behrens R, Lang T, Muschweck H, Richter T, Hofbeck M. Percutaneous endoscopic gastrostomy in children and adolescents. J Pediatr Gastroenterol Nutr 1997;25:487–91.</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[4]</w:t>
      </w:r>
      <w:r w:rsidRPr="00033E24">
        <w:rPr>
          <w:rFonts w:ascii="Calibri" w:eastAsia="Times New Roman" w:hAnsi="Calibri"/>
          <w:noProof/>
        </w:rPr>
        <w:tab/>
        <w:t>Bechtold ML, Matteson ML, Choudhary A, Puli SR, Jiang PP, Roy PK. Early versus delayed feeding after placement of a percutaneous endoscopic gastrostomy: A meta-analysis. Am J Gastroenterol 2008;103:2919–24. doi:10.1111/j.1572-0241.2008.02108.x.</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[5]</w:t>
      </w:r>
      <w:r w:rsidRPr="00033E24">
        <w:rPr>
          <w:rFonts w:ascii="Calibri" w:eastAsia="Times New Roman" w:hAnsi="Calibri"/>
          <w:noProof/>
        </w:rPr>
        <w:tab/>
        <w:t>Choudhry U, Barde CJ, Markert R, Gopalswamy N. Percutaneous endoscopic gastrostomy : a randomized prospective comparison of early and delayed feeding 1996;44:2–5.</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[6]</w:t>
      </w:r>
      <w:r w:rsidRPr="00033E24">
        <w:rPr>
          <w:rFonts w:ascii="Calibri" w:eastAsia="Times New Roman" w:hAnsi="Calibri"/>
          <w:noProof/>
        </w:rPr>
        <w:tab/>
        <w:t>Berman L, Hronek C, Raval M V., Browne ML, Snyder CL, Heiss KF, et al. Pediatric Gastrostomy Tube Placement. Pediatr Qual Saf 2017;2:e016. doi:10.1097/pq9.0000000000000016.</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[7]</w:t>
      </w:r>
      <w:r w:rsidRPr="00033E24">
        <w:rPr>
          <w:rFonts w:ascii="Calibri" w:eastAsia="Times New Roman" w:hAnsi="Calibri"/>
          <w:noProof/>
        </w:rPr>
        <w:tab/>
        <w:t>Rosenfeld EH, Mazzolini K, DeMello A, Yu YR, Lee TC, Naik-Mathuria B, et al. Postoperative Feeding Regimens After Laparoscopic Gastrostomy Placement. J Laparoendosc Adv Surg Tech 2017;27:1203–8. doi:10.1089/lap.2017.0295.</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[8]</w:t>
      </w:r>
      <w:r w:rsidRPr="00033E24">
        <w:rPr>
          <w:rFonts w:ascii="Calibri" w:eastAsia="Times New Roman" w:hAnsi="Calibri"/>
          <w:noProof/>
        </w:rPr>
        <w:tab/>
        <w:t>Griffiths M. Single-stage percutaneous gastrostomy button insertion: a leap forward. JPEN J Parenter Enter Nutr 1996;20:237–9.</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[9]</w:t>
      </w:r>
      <w:r w:rsidRPr="00033E24">
        <w:rPr>
          <w:rFonts w:ascii="Calibri" w:eastAsia="Times New Roman" w:hAnsi="Calibri"/>
          <w:noProof/>
        </w:rPr>
        <w:tab/>
        <w:t>Fox D, Campagna EJ, Friedlander J, Partrick DA, Rees DI, Kempe A. National trends and outcomes of pediatric gastrostomy tube placement. J Pediatr Gastroenterol Nutr 2014;59:582–8. doi:10.1097/MPG.0000000000000468.</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[10]</w:t>
      </w:r>
      <w:r w:rsidRPr="00033E24">
        <w:rPr>
          <w:rFonts w:ascii="Calibri" w:eastAsia="Times New Roman" w:hAnsi="Calibri"/>
          <w:noProof/>
        </w:rPr>
        <w:tab/>
        <w:t>Corkins MR, Fitzgerald JF, Gupta SK. Feeding after percutaneous endoscopic gastrostomy in children: Early feeding trial. J Pediatr Gastroenterol Nutr 2010;50:625–7. doi:10.1097/MPG.0b013e3181bab33d.</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[11]</w:t>
      </w:r>
      <w:r w:rsidRPr="00033E24">
        <w:rPr>
          <w:rFonts w:ascii="Calibri" w:eastAsia="Times New Roman" w:hAnsi="Calibri"/>
          <w:noProof/>
        </w:rPr>
        <w:tab/>
        <w:t>Wiernicka A, Szlagatys-sidorkiewicz A, Wie S, Hapyn E, Blimke-kozie K. Tolerability and safety of early enteral nutrition in children after percutaneous endoscopic gastrostomy placement : A multicentre randomised controlled trial 2018:1–5. doi:10.1016/j.clnu.2018.08.018.</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[12]</w:t>
      </w:r>
      <w:r w:rsidRPr="00033E24">
        <w:rPr>
          <w:rFonts w:ascii="Calibri" w:eastAsia="Times New Roman" w:hAnsi="Calibri"/>
          <w:noProof/>
        </w:rPr>
        <w:tab/>
        <w:t>Islek A, Sayar E, Yilmaz A, Artan R. Percutaneous endoscopic gastrostomy in children: Is early feeding safe? J Pediatr Gastroenterol Nutr 2013;57:659–62. doi:10.1097/MPG.0b013e3182a0d171.</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[13]</w:t>
      </w:r>
      <w:r w:rsidRPr="00033E24">
        <w:rPr>
          <w:rFonts w:ascii="Calibri" w:eastAsia="Times New Roman" w:hAnsi="Calibri"/>
          <w:noProof/>
        </w:rPr>
        <w:tab/>
        <w:t>Werlin S, Glicklich M, Cohen R. Early feeding after percutaneous endoscopic gastrostomy is safe in children. Gastrointest Endosc 1994;40:692–3. doi:10.1016/S0016-5107(94)70111-3.</w:t>
      </w:r>
    </w:p>
    <w:p w:rsidR="00033E24" w:rsidRPr="00033E24" w:rsidRDefault="00033E24" w:rsidP="00033E24">
      <w:pPr>
        <w:widowControl w:val="0"/>
        <w:autoSpaceDE w:val="0"/>
        <w:autoSpaceDN w:val="0"/>
        <w:adjustRightInd w:val="0"/>
        <w:ind w:left="640" w:hanging="640"/>
        <w:rPr>
          <w:rFonts w:ascii="Calibri" w:eastAsia="Times New Roman" w:hAnsi="Calibri"/>
          <w:noProof/>
        </w:rPr>
      </w:pPr>
      <w:r w:rsidRPr="00033E24">
        <w:rPr>
          <w:rFonts w:ascii="Calibri" w:eastAsia="Times New Roman" w:hAnsi="Calibri"/>
          <w:noProof/>
        </w:rPr>
        <w:t>[14]</w:t>
      </w:r>
      <w:r w:rsidRPr="00033E24">
        <w:rPr>
          <w:rFonts w:ascii="Calibri" w:eastAsia="Times New Roman" w:hAnsi="Calibri"/>
          <w:noProof/>
        </w:rPr>
        <w:tab/>
        <w:t>Jensen AR, Renaud E, Drucker NA, Staszak J, Senay A, Umesh V, et al. Why wait: early enteral feeding after pediatric gastrostomy tube placement. J Pediatr Surg 2018;53:656–60. doi:10.1016/j.jpedsurg.2017.06.015.</w:t>
      </w:r>
    </w:p>
    <w:p w:rsidR="00033E24" w:rsidRPr="00033E24" w:rsidRDefault="00033E24" w:rsidP="00033E24">
      <w:pPr>
        <w:widowControl w:val="0"/>
        <w:autoSpaceDE w:val="0"/>
        <w:autoSpaceDN w:val="0"/>
        <w:adjustRightInd w:val="0"/>
        <w:ind w:left="640" w:hanging="640"/>
        <w:rPr>
          <w:rFonts w:ascii="Calibri" w:hAnsi="Calibri"/>
          <w:noProof/>
        </w:rPr>
      </w:pPr>
      <w:r w:rsidRPr="00033E24">
        <w:rPr>
          <w:rFonts w:ascii="Calibri" w:eastAsia="Times New Roman" w:hAnsi="Calibri"/>
          <w:noProof/>
        </w:rPr>
        <w:t>[15]</w:t>
      </w:r>
      <w:r w:rsidRPr="00033E24">
        <w:rPr>
          <w:rFonts w:ascii="Calibri" w:eastAsia="Times New Roman" w:hAnsi="Calibri"/>
          <w:noProof/>
        </w:rPr>
        <w:tab/>
        <w:t xml:space="preserve">Hendrickson RJ, Poola AS, Sujka JA, Weaver KL, Rentea RM, St Peter SD, et al. Feeding </w:t>
      </w:r>
      <w:r w:rsidRPr="00033E24">
        <w:rPr>
          <w:rFonts w:ascii="Calibri" w:eastAsia="Times New Roman" w:hAnsi="Calibri"/>
          <w:noProof/>
        </w:rPr>
        <w:lastRenderedPageBreak/>
        <w:t>Advancement and Simultaneous Transition to Discharge (FASTDischarge) after laparoscopic gastrostomy. J Pediatr Surg 2018:2326–30.</w:t>
      </w:r>
    </w:p>
    <w:p w:rsidR="00AA3DE8" w:rsidRDefault="002D5723" w:rsidP="00033E24">
      <w:pPr>
        <w:widowControl w:val="0"/>
        <w:autoSpaceDE w:val="0"/>
        <w:autoSpaceDN w:val="0"/>
        <w:adjustRightInd w:val="0"/>
        <w:ind w:left="640" w:hanging="640"/>
      </w:pPr>
      <w:r w:rsidRPr="00072E80">
        <w:rPr>
          <w:rFonts w:ascii="Calibri" w:hAnsi="Calibri"/>
        </w:rPr>
        <w:fldChar w:fldCharType="end"/>
      </w:r>
    </w:p>
    <w:p w:rsidR="00AA3DE8" w:rsidRPr="00072E80" w:rsidRDefault="00AA3DE8" w:rsidP="00072E80"/>
    <w:p w:rsidR="00770647" w:rsidRDefault="00770647">
      <w:pPr>
        <w:rPr>
          <w:rFonts w:ascii="Calibri" w:hAnsi="Calibri"/>
          <w:b/>
          <w:sz w:val="28"/>
        </w:rPr>
      </w:pPr>
      <w:r>
        <w:rPr>
          <w:rFonts w:ascii="Calibri" w:hAnsi="Calibri"/>
          <w:b/>
          <w:sz w:val="28"/>
        </w:rPr>
        <w:br w:type="page"/>
      </w:r>
    </w:p>
    <w:p w:rsidR="0047437A" w:rsidRPr="00E572FD" w:rsidRDefault="0047437A" w:rsidP="005A7037">
      <w:pPr>
        <w:pStyle w:val="Heading2"/>
        <w:rPr>
          <w:rFonts w:cstheme="minorHAnsi"/>
        </w:rPr>
      </w:pPr>
      <w:r w:rsidRPr="00E572FD">
        <w:lastRenderedPageBreak/>
        <w:t>Appendix</w:t>
      </w:r>
    </w:p>
    <w:p w:rsidR="002521EC" w:rsidRPr="00F16C81" w:rsidRDefault="0070560A" w:rsidP="0070560A">
      <w:pPr>
        <w:pStyle w:val="Heading4"/>
        <w:rPr>
          <w:rFonts w:ascii="Calibri" w:hAnsi="Calibri"/>
        </w:rPr>
      </w:pPr>
      <w:r w:rsidRPr="00F16C81">
        <w:rPr>
          <w:rFonts w:ascii="Calibri" w:hAnsi="Calibri"/>
        </w:rPr>
        <w:t>Figure 1</w:t>
      </w:r>
    </w:p>
    <w:p w:rsidR="0070560A" w:rsidRPr="00F16C81" w:rsidRDefault="0070560A" w:rsidP="0070560A">
      <w:pPr>
        <w:rPr>
          <w:rFonts w:ascii="Calibri" w:hAnsi="Calibri"/>
        </w:rPr>
      </w:pPr>
      <w:r w:rsidRPr="00F16C81">
        <w:rPr>
          <w:rFonts w:ascii="Calibri" w:hAnsi="Calibri"/>
        </w:rPr>
        <w:t>Early Feeding Pathway</w:t>
      </w:r>
    </w:p>
    <w:p w:rsidR="00982417" w:rsidRPr="00F16C81" w:rsidRDefault="00982417" w:rsidP="0070560A">
      <w:pPr>
        <w:rPr>
          <w:rFonts w:ascii="Calibri" w:hAnsi="Calibri"/>
        </w:rPr>
      </w:pPr>
      <w:r w:rsidRPr="00F16C81">
        <w:rPr>
          <w:rFonts w:ascii="Calibri" w:hAnsi="Calibri"/>
          <w:noProof/>
        </w:rPr>
        <w:drawing>
          <wp:inline distT="0" distB="0" distL="0" distR="0">
            <wp:extent cx="3686810" cy="6912610"/>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86810" cy="6912610"/>
                    </a:xfrm>
                    <a:prstGeom prst="rect">
                      <a:avLst/>
                    </a:prstGeom>
                    <a:noFill/>
                    <a:ln w="9525">
                      <a:noFill/>
                      <a:miter lim="800000"/>
                      <a:headEnd/>
                      <a:tailEnd/>
                    </a:ln>
                  </pic:spPr>
                </pic:pic>
              </a:graphicData>
            </a:graphic>
          </wp:inline>
        </w:drawing>
      </w:r>
    </w:p>
    <w:p w:rsidR="0047437A" w:rsidRPr="00F16C81" w:rsidRDefault="0047437A" w:rsidP="0070560A">
      <w:pPr>
        <w:pStyle w:val="Heading4"/>
        <w:rPr>
          <w:rFonts w:ascii="Calibri" w:hAnsi="Calibri"/>
        </w:rPr>
      </w:pPr>
    </w:p>
    <w:p w:rsidR="0047437A" w:rsidRPr="00F16C81" w:rsidRDefault="0047437A">
      <w:pPr>
        <w:rPr>
          <w:rFonts w:ascii="Calibri" w:eastAsiaTheme="majorEastAsia" w:hAnsi="Calibri" w:cstheme="majorBidi"/>
          <w:b/>
          <w:bCs/>
          <w:i/>
          <w:iCs/>
          <w:color w:val="5B9BD5" w:themeColor="accent1"/>
        </w:rPr>
      </w:pPr>
      <w:r w:rsidRPr="00F16C81">
        <w:rPr>
          <w:rFonts w:ascii="Calibri" w:hAnsi="Calibri"/>
        </w:rPr>
        <w:br w:type="page"/>
      </w:r>
    </w:p>
    <w:p w:rsidR="0070560A" w:rsidRPr="00F16C81" w:rsidRDefault="0070560A" w:rsidP="0070560A">
      <w:pPr>
        <w:pStyle w:val="Heading4"/>
        <w:rPr>
          <w:rFonts w:ascii="Calibri" w:hAnsi="Calibri"/>
        </w:rPr>
      </w:pPr>
      <w:r w:rsidRPr="00F16C81">
        <w:rPr>
          <w:rFonts w:ascii="Calibri" w:hAnsi="Calibri"/>
        </w:rPr>
        <w:lastRenderedPageBreak/>
        <w:t>Figure 2</w:t>
      </w:r>
    </w:p>
    <w:p w:rsidR="0070560A" w:rsidRPr="00F16C81" w:rsidRDefault="0070560A" w:rsidP="0070560A">
      <w:pPr>
        <w:rPr>
          <w:rFonts w:ascii="Calibri" w:hAnsi="Calibri"/>
        </w:rPr>
      </w:pPr>
      <w:r w:rsidRPr="00F16C81">
        <w:rPr>
          <w:rFonts w:ascii="Calibri" w:hAnsi="Calibri"/>
        </w:rPr>
        <w:t xml:space="preserve">Patient </w:t>
      </w:r>
      <w:r w:rsidR="003F18A2">
        <w:rPr>
          <w:rFonts w:ascii="Calibri" w:hAnsi="Calibri"/>
        </w:rPr>
        <w:t>I</w:t>
      </w:r>
      <w:r w:rsidRPr="00F16C81">
        <w:rPr>
          <w:rFonts w:ascii="Calibri" w:hAnsi="Calibri"/>
        </w:rPr>
        <w:t xml:space="preserve">nclusion and </w:t>
      </w:r>
      <w:r w:rsidR="003F18A2">
        <w:rPr>
          <w:rFonts w:ascii="Calibri" w:hAnsi="Calibri"/>
        </w:rPr>
        <w:t>Exclusion (A) Pre-pathway (B) Post-pathway</w:t>
      </w:r>
      <w:r w:rsidRPr="00F16C81">
        <w:rPr>
          <w:rFonts w:ascii="Calibri" w:hAnsi="Calibri"/>
        </w:rPr>
        <w:t xml:space="preserve"> </w:t>
      </w:r>
    </w:p>
    <w:p w:rsidR="00417D1D" w:rsidRPr="00F16C81" w:rsidRDefault="003F18A2" w:rsidP="0070560A">
      <w:pPr>
        <w:rPr>
          <w:rFonts w:ascii="Calibri" w:hAnsi="Calibri"/>
        </w:rPr>
      </w:pPr>
      <w:r w:rsidRPr="00072E80">
        <w:rPr>
          <w:rFonts w:ascii="Calibri" w:hAnsi="Calibri"/>
          <w:noProof/>
        </w:rPr>
        <w:drawing>
          <wp:inline distT="0" distB="0" distL="0" distR="0">
            <wp:extent cx="5727700" cy="3757930"/>
            <wp:effectExtent l="0" t="0" r="1270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27700" cy="3757930"/>
                    </a:xfrm>
                    <a:prstGeom prst="rect">
                      <a:avLst/>
                    </a:prstGeom>
                  </pic:spPr>
                </pic:pic>
              </a:graphicData>
            </a:graphic>
          </wp:inline>
        </w:drawing>
      </w:r>
    </w:p>
    <w:p w:rsidR="0070560A" w:rsidRPr="00F16C81" w:rsidRDefault="0070560A" w:rsidP="0070560A">
      <w:pPr>
        <w:pStyle w:val="Heading4"/>
        <w:rPr>
          <w:rFonts w:ascii="Calibri" w:hAnsi="Calibri"/>
        </w:rPr>
      </w:pPr>
      <w:r w:rsidRPr="00F16C81">
        <w:rPr>
          <w:rFonts w:ascii="Calibri" w:hAnsi="Calibri"/>
        </w:rPr>
        <w:t xml:space="preserve">Figure </w:t>
      </w:r>
      <w:r w:rsidR="002454EB">
        <w:rPr>
          <w:rFonts w:ascii="Calibri" w:hAnsi="Calibri"/>
        </w:rPr>
        <w:t>3</w:t>
      </w:r>
    </w:p>
    <w:p w:rsidR="0070560A" w:rsidRPr="00F16C81" w:rsidRDefault="0070560A" w:rsidP="0070560A">
      <w:pPr>
        <w:rPr>
          <w:rFonts w:ascii="Calibri" w:hAnsi="Calibri"/>
        </w:rPr>
      </w:pPr>
      <w:r w:rsidRPr="00F16C81">
        <w:rPr>
          <w:rFonts w:ascii="Calibri" w:hAnsi="Calibri"/>
        </w:rPr>
        <w:t xml:space="preserve">Length of Stay in </w:t>
      </w:r>
      <w:r w:rsidR="008F52AC" w:rsidRPr="00F16C81">
        <w:rPr>
          <w:rFonts w:ascii="Calibri" w:hAnsi="Calibri"/>
        </w:rPr>
        <w:t>Hospital</w:t>
      </w:r>
      <w:r w:rsidRPr="00F16C81">
        <w:rPr>
          <w:rFonts w:ascii="Calibri" w:hAnsi="Calibri"/>
        </w:rPr>
        <w:t xml:space="preserve"> from Time </w:t>
      </w:r>
      <w:r w:rsidR="008F52AC">
        <w:rPr>
          <w:rFonts w:ascii="Calibri" w:hAnsi="Calibri"/>
        </w:rPr>
        <w:t xml:space="preserve">of Procedure (A) </w:t>
      </w:r>
      <w:r w:rsidR="003B763B">
        <w:rPr>
          <w:rFonts w:ascii="Calibri" w:hAnsi="Calibri"/>
        </w:rPr>
        <w:t>P</w:t>
      </w:r>
      <w:r w:rsidR="008F52AC">
        <w:rPr>
          <w:rFonts w:ascii="Calibri" w:hAnsi="Calibri"/>
        </w:rPr>
        <w:t xml:space="preserve">re-pathway and (B) </w:t>
      </w:r>
      <w:r w:rsidR="003B763B">
        <w:rPr>
          <w:rFonts w:ascii="Calibri" w:hAnsi="Calibri"/>
        </w:rPr>
        <w:t>P</w:t>
      </w:r>
      <w:r w:rsidR="008F52AC">
        <w:rPr>
          <w:rFonts w:ascii="Calibri" w:hAnsi="Calibri"/>
        </w:rPr>
        <w:t>ost-pathway</w:t>
      </w:r>
    </w:p>
    <w:p w:rsidR="00C30D3C" w:rsidRPr="00F16C81" w:rsidRDefault="003B763B" w:rsidP="0070560A">
      <w:pPr>
        <w:rPr>
          <w:rFonts w:ascii="Calibri" w:hAnsi="Calibri"/>
        </w:rPr>
      </w:pPr>
      <w:r w:rsidRPr="00072E80">
        <w:rPr>
          <w:rFonts w:ascii="Calibri" w:hAnsi="Calibri"/>
          <w:noProof/>
        </w:rPr>
        <w:drawing>
          <wp:inline distT="0" distB="0" distL="0" distR="0">
            <wp:extent cx="5727700" cy="2201545"/>
            <wp:effectExtent l="0" t="0" r="1270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27700" cy="2201545"/>
                    </a:xfrm>
                    <a:prstGeom prst="rect">
                      <a:avLst/>
                    </a:prstGeom>
                  </pic:spPr>
                </pic:pic>
              </a:graphicData>
            </a:graphic>
          </wp:inline>
        </w:drawing>
      </w:r>
    </w:p>
    <w:p w:rsidR="00CA4001" w:rsidRDefault="00CA4001">
      <w:pPr>
        <w:rPr>
          <w:rFonts w:ascii="Calibri" w:eastAsiaTheme="majorEastAsia" w:hAnsi="Calibri" w:cstheme="majorBidi"/>
          <w:b/>
          <w:bCs/>
          <w:i/>
          <w:iCs/>
          <w:color w:val="5B9BD5" w:themeColor="accent1"/>
        </w:rPr>
      </w:pPr>
      <w:r>
        <w:rPr>
          <w:rFonts w:ascii="Calibri" w:hAnsi="Calibri"/>
        </w:rPr>
        <w:br w:type="page"/>
      </w:r>
    </w:p>
    <w:p w:rsidR="0070560A" w:rsidRPr="00F16C81" w:rsidRDefault="0070560A" w:rsidP="0070560A">
      <w:pPr>
        <w:pStyle w:val="Heading4"/>
        <w:rPr>
          <w:rFonts w:ascii="Calibri" w:hAnsi="Calibri"/>
        </w:rPr>
      </w:pPr>
      <w:r w:rsidRPr="00F16C81">
        <w:rPr>
          <w:rFonts w:ascii="Calibri" w:hAnsi="Calibri"/>
        </w:rPr>
        <w:lastRenderedPageBreak/>
        <w:t>Table 1</w:t>
      </w:r>
    </w:p>
    <w:p w:rsidR="0070560A" w:rsidRPr="00F16C81" w:rsidRDefault="0070560A" w:rsidP="0070560A">
      <w:pPr>
        <w:rPr>
          <w:rFonts w:ascii="Calibri" w:hAnsi="Calibri"/>
        </w:rPr>
      </w:pPr>
      <w:r w:rsidRPr="00F16C81">
        <w:rPr>
          <w:rFonts w:ascii="Calibri" w:hAnsi="Calibri"/>
        </w:rPr>
        <w:t xml:space="preserve">Patient </w:t>
      </w:r>
      <w:r w:rsidR="00417D1D" w:rsidRPr="00F16C81">
        <w:rPr>
          <w:rFonts w:ascii="Calibri" w:hAnsi="Calibri"/>
        </w:rPr>
        <w:t>Demographics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8"/>
        <w:gridCol w:w="1667"/>
        <w:gridCol w:w="2009"/>
        <w:gridCol w:w="915"/>
      </w:tblGrid>
      <w:tr w:rsidR="0092008E" w:rsidRPr="00F16C81" w:rsidTr="00F347AB">
        <w:tc>
          <w:tcPr>
            <w:tcW w:w="2218" w:type="dxa"/>
            <w:shd w:val="clear" w:color="auto" w:fill="auto"/>
          </w:tcPr>
          <w:p w:rsidR="0092008E" w:rsidRPr="00F16C81" w:rsidRDefault="0092008E" w:rsidP="00F347AB">
            <w:pPr>
              <w:pStyle w:val="ListParagraph"/>
              <w:ind w:left="0"/>
              <w:rPr>
                <w:b/>
                <w:sz w:val="24"/>
              </w:rPr>
            </w:pPr>
          </w:p>
        </w:tc>
        <w:tc>
          <w:tcPr>
            <w:tcW w:w="1667" w:type="dxa"/>
          </w:tcPr>
          <w:p w:rsidR="0092008E" w:rsidRPr="00F16C81" w:rsidRDefault="0092008E" w:rsidP="001245E0">
            <w:pPr>
              <w:pStyle w:val="ListParagraph"/>
              <w:ind w:left="0"/>
              <w:jc w:val="center"/>
              <w:rPr>
                <w:b/>
                <w:sz w:val="24"/>
              </w:rPr>
            </w:pPr>
            <w:r w:rsidRPr="00F16C81">
              <w:rPr>
                <w:b/>
                <w:sz w:val="24"/>
              </w:rPr>
              <w:t>Pre-pathway (n=55)</w:t>
            </w:r>
          </w:p>
        </w:tc>
        <w:tc>
          <w:tcPr>
            <w:tcW w:w="2009" w:type="dxa"/>
            <w:shd w:val="clear" w:color="auto" w:fill="auto"/>
          </w:tcPr>
          <w:p w:rsidR="0092008E" w:rsidRPr="00F16C81" w:rsidRDefault="0092008E" w:rsidP="001245E0">
            <w:pPr>
              <w:pStyle w:val="ListParagraph"/>
              <w:ind w:left="0"/>
              <w:jc w:val="center"/>
              <w:rPr>
                <w:b/>
                <w:sz w:val="24"/>
              </w:rPr>
            </w:pPr>
            <w:r w:rsidRPr="00F16C81">
              <w:rPr>
                <w:b/>
                <w:sz w:val="24"/>
              </w:rPr>
              <w:t>Post-pathway (n=61)</w:t>
            </w:r>
          </w:p>
        </w:tc>
        <w:tc>
          <w:tcPr>
            <w:tcW w:w="915" w:type="dxa"/>
          </w:tcPr>
          <w:p w:rsidR="0092008E" w:rsidRPr="00F16C81" w:rsidRDefault="0092008E" w:rsidP="001245E0">
            <w:pPr>
              <w:pStyle w:val="ListParagraph"/>
              <w:ind w:left="0"/>
              <w:jc w:val="center"/>
              <w:rPr>
                <w:b/>
                <w:sz w:val="24"/>
              </w:rPr>
            </w:pPr>
            <w:r w:rsidRPr="00F16C81">
              <w:rPr>
                <w:b/>
                <w:sz w:val="24"/>
              </w:rPr>
              <w:t>P</w:t>
            </w:r>
            <w:r w:rsidR="007D7BF8">
              <w:rPr>
                <w:b/>
                <w:sz w:val="24"/>
              </w:rPr>
              <w:t>*</w:t>
            </w:r>
          </w:p>
        </w:tc>
      </w:tr>
      <w:tr w:rsidR="0092008E" w:rsidRPr="00F16C81" w:rsidTr="00F347AB">
        <w:tc>
          <w:tcPr>
            <w:tcW w:w="2218" w:type="dxa"/>
            <w:shd w:val="clear" w:color="auto" w:fill="auto"/>
          </w:tcPr>
          <w:p w:rsidR="0092008E" w:rsidRPr="00F16C81" w:rsidRDefault="0092008E" w:rsidP="00F347AB">
            <w:pPr>
              <w:pStyle w:val="ListParagraph"/>
              <w:ind w:left="0"/>
              <w:rPr>
                <w:b/>
                <w:sz w:val="24"/>
              </w:rPr>
            </w:pPr>
            <w:r w:rsidRPr="00F16C81">
              <w:rPr>
                <w:b/>
                <w:sz w:val="24"/>
              </w:rPr>
              <w:t>Age, years (range)</w:t>
            </w:r>
          </w:p>
        </w:tc>
        <w:tc>
          <w:tcPr>
            <w:tcW w:w="1667" w:type="dxa"/>
          </w:tcPr>
          <w:p w:rsidR="0092008E" w:rsidRPr="00F16C81" w:rsidRDefault="0092008E" w:rsidP="001245E0">
            <w:pPr>
              <w:pStyle w:val="ListParagraph"/>
              <w:ind w:left="0"/>
              <w:jc w:val="center"/>
              <w:rPr>
                <w:sz w:val="24"/>
              </w:rPr>
            </w:pPr>
            <w:r w:rsidRPr="00F16C81">
              <w:rPr>
                <w:sz w:val="24"/>
              </w:rPr>
              <w:t>4.3 (0.6-17.4)</w:t>
            </w:r>
          </w:p>
        </w:tc>
        <w:tc>
          <w:tcPr>
            <w:tcW w:w="2009" w:type="dxa"/>
            <w:shd w:val="clear" w:color="auto" w:fill="auto"/>
          </w:tcPr>
          <w:p w:rsidR="0092008E" w:rsidRPr="00F16C81" w:rsidRDefault="0092008E" w:rsidP="001245E0">
            <w:pPr>
              <w:pStyle w:val="ListParagraph"/>
              <w:ind w:left="0"/>
              <w:jc w:val="center"/>
              <w:rPr>
                <w:sz w:val="24"/>
              </w:rPr>
            </w:pPr>
            <w:r w:rsidRPr="00F16C81">
              <w:rPr>
                <w:sz w:val="24"/>
              </w:rPr>
              <w:t>2.4 (0.6-15.6)</w:t>
            </w:r>
          </w:p>
        </w:tc>
        <w:tc>
          <w:tcPr>
            <w:tcW w:w="915" w:type="dxa"/>
          </w:tcPr>
          <w:p w:rsidR="0092008E" w:rsidRPr="00F16C81" w:rsidRDefault="0092008E" w:rsidP="001245E0">
            <w:pPr>
              <w:pStyle w:val="ListParagraph"/>
              <w:ind w:left="0"/>
              <w:jc w:val="center"/>
              <w:rPr>
                <w:sz w:val="24"/>
              </w:rPr>
            </w:pPr>
            <w:r w:rsidRPr="00F16C81">
              <w:rPr>
                <w:sz w:val="24"/>
              </w:rPr>
              <w:t>0.21</w:t>
            </w:r>
          </w:p>
        </w:tc>
      </w:tr>
      <w:tr w:rsidR="0092008E" w:rsidRPr="00F16C81" w:rsidTr="00F347AB">
        <w:tc>
          <w:tcPr>
            <w:tcW w:w="2218" w:type="dxa"/>
            <w:shd w:val="clear" w:color="auto" w:fill="auto"/>
          </w:tcPr>
          <w:p w:rsidR="0092008E" w:rsidRPr="00F16C81" w:rsidRDefault="0092008E" w:rsidP="00F347AB">
            <w:pPr>
              <w:pStyle w:val="ListParagraph"/>
              <w:ind w:left="0"/>
              <w:rPr>
                <w:b/>
                <w:sz w:val="24"/>
              </w:rPr>
            </w:pPr>
            <w:r w:rsidRPr="00F16C81">
              <w:rPr>
                <w:b/>
                <w:sz w:val="24"/>
              </w:rPr>
              <w:t>Weight, kg (range)</w:t>
            </w:r>
          </w:p>
        </w:tc>
        <w:tc>
          <w:tcPr>
            <w:tcW w:w="1667" w:type="dxa"/>
          </w:tcPr>
          <w:p w:rsidR="0092008E" w:rsidRPr="00F16C81" w:rsidRDefault="0092008E" w:rsidP="001245E0">
            <w:pPr>
              <w:pStyle w:val="ListParagraph"/>
              <w:ind w:left="0"/>
              <w:jc w:val="center"/>
              <w:rPr>
                <w:sz w:val="24"/>
              </w:rPr>
            </w:pPr>
            <w:r w:rsidRPr="00F16C81">
              <w:rPr>
                <w:sz w:val="24"/>
              </w:rPr>
              <w:t>14.7 (4.0-52.0)</w:t>
            </w:r>
          </w:p>
        </w:tc>
        <w:tc>
          <w:tcPr>
            <w:tcW w:w="2009" w:type="dxa"/>
            <w:shd w:val="clear" w:color="auto" w:fill="auto"/>
          </w:tcPr>
          <w:p w:rsidR="0092008E" w:rsidRPr="00F16C81" w:rsidRDefault="0092008E" w:rsidP="001245E0">
            <w:pPr>
              <w:pStyle w:val="ListParagraph"/>
              <w:ind w:left="0"/>
              <w:jc w:val="center"/>
              <w:rPr>
                <w:sz w:val="24"/>
              </w:rPr>
            </w:pPr>
            <w:r w:rsidRPr="00F16C81">
              <w:rPr>
                <w:sz w:val="24"/>
              </w:rPr>
              <w:t>11.2 (5.0-27.0)</w:t>
            </w:r>
          </w:p>
        </w:tc>
        <w:tc>
          <w:tcPr>
            <w:tcW w:w="915" w:type="dxa"/>
          </w:tcPr>
          <w:p w:rsidR="0092008E" w:rsidRPr="00072E80" w:rsidRDefault="0092008E" w:rsidP="001245E0">
            <w:pPr>
              <w:pStyle w:val="ListParagraph"/>
              <w:ind w:left="0"/>
              <w:jc w:val="center"/>
              <w:rPr>
                <w:sz w:val="24"/>
              </w:rPr>
            </w:pPr>
            <w:r w:rsidRPr="00072E80">
              <w:rPr>
                <w:sz w:val="24"/>
              </w:rPr>
              <w:t>0.05</w:t>
            </w:r>
          </w:p>
        </w:tc>
      </w:tr>
      <w:tr w:rsidR="0092008E" w:rsidRPr="00F16C81" w:rsidTr="00F347AB">
        <w:tc>
          <w:tcPr>
            <w:tcW w:w="2218" w:type="dxa"/>
            <w:shd w:val="clear" w:color="auto" w:fill="auto"/>
          </w:tcPr>
          <w:p w:rsidR="0092008E" w:rsidRPr="00F16C81" w:rsidRDefault="0092008E" w:rsidP="00F347AB">
            <w:pPr>
              <w:pStyle w:val="ListParagraph"/>
              <w:ind w:left="0"/>
              <w:rPr>
                <w:b/>
                <w:sz w:val="24"/>
              </w:rPr>
            </w:pPr>
            <w:r w:rsidRPr="00F16C81">
              <w:rPr>
                <w:b/>
                <w:sz w:val="24"/>
              </w:rPr>
              <w:t>Male, n (%)</w:t>
            </w:r>
          </w:p>
        </w:tc>
        <w:tc>
          <w:tcPr>
            <w:tcW w:w="1667" w:type="dxa"/>
          </w:tcPr>
          <w:p w:rsidR="0092008E" w:rsidRPr="00F16C81" w:rsidRDefault="0092008E" w:rsidP="001245E0">
            <w:pPr>
              <w:pStyle w:val="ListParagraph"/>
              <w:ind w:left="0"/>
              <w:jc w:val="center"/>
              <w:rPr>
                <w:sz w:val="24"/>
              </w:rPr>
            </w:pPr>
            <w:r w:rsidRPr="00F16C81">
              <w:rPr>
                <w:sz w:val="24"/>
              </w:rPr>
              <w:t>28 (51)</w:t>
            </w:r>
          </w:p>
        </w:tc>
        <w:tc>
          <w:tcPr>
            <w:tcW w:w="2009" w:type="dxa"/>
            <w:shd w:val="clear" w:color="auto" w:fill="auto"/>
          </w:tcPr>
          <w:p w:rsidR="0092008E" w:rsidRPr="00F16C81" w:rsidRDefault="0092008E" w:rsidP="001245E0">
            <w:pPr>
              <w:pStyle w:val="ListParagraph"/>
              <w:ind w:left="0"/>
              <w:jc w:val="center"/>
              <w:rPr>
                <w:sz w:val="24"/>
              </w:rPr>
            </w:pPr>
            <w:r w:rsidRPr="00F16C81">
              <w:rPr>
                <w:sz w:val="24"/>
              </w:rPr>
              <w:t>41 (67)</w:t>
            </w:r>
          </w:p>
        </w:tc>
        <w:tc>
          <w:tcPr>
            <w:tcW w:w="915" w:type="dxa"/>
          </w:tcPr>
          <w:p w:rsidR="0092008E" w:rsidRPr="00F16C81" w:rsidRDefault="0092008E" w:rsidP="001245E0">
            <w:pPr>
              <w:pStyle w:val="ListParagraph"/>
              <w:ind w:left="0"/>
              <w:jc w:val="center"/>
              <w:rPr>
                <w:sz w:val="24"/>
              </w:rPr>
            </w:pPr>
            <w:r w:rsidRPr="00F16C81">
              <w:rPr>
                <w:sz w:val="24"/>
              </w:rPr>
              <w:t>0.09</w:t>
            </w:r>
          </w:p>
        </w:tc>
      </w:tr>
      <w:tr w:rsidR="0092008E" w:rsidRPr="00F16C81" w:rsidTr="00F347AB">
        <w:tc>
          <w:tcPr>
            <w:tcW w:w="2218" w:type="dxa"/>
            <w:shd w:val="clear" w:color="auto" w:fill="auto"/>
          </w:tcPr>
          <w:p w:rsidR="0092008E" w:rsidRPr="00F16C81" w:rsidRDefault="0092008E" w:rsidP="00F347AB">
            <w:pPr>
              <w:pStyle w:val="ListParagraph"/>
              <w:ind w:left="0"/>
              <w:rPr>
                <w:b/>
                <w:sz w:val="24"/>
              </w:rPr>
            </w:pPr>
            <w:proofErr w:type="spellStart"/>
            <w:r w:rsidRPr="00F16C81">
              <w:rPr>
                <w:b/>
                <w:sz w:val="24"/>
              </w:rPr>
              <w:t>Neurodisability</w:t>
            </w:r>
            <w:proofErr w:type="spellEnd"/>
            <w:r w:rsidRPr="00F16C81">
              <w:rPr>
                <w:b/>
                <w:sz w:val="24"/>
              </w:rPr>
              <w:t>, n(%)</w:t>
            </w:r>
          </w:p>
        </w:tc>
        <w:tc>
          <w:tcPr>
            <w:tcW w:w="1667" w:type="dxa"/>
          </w:tcPr>
          <w:p w:rsidR="0092008E" w:rsidRPr="00F16C81" w:rsidRDefault="0092008E" w:rsidP="001245E0">
            <w:pPr>
              <w:pStyle w:val="ListParagraph"/>
              <w:ind w:left="0"/>
              <w:jc w:val="center"/>
              <w:rPr>
                <w:sz w:val="24"/>
              </w:rPr>
            </w:pPr>
            <w:r w:rsidRPr="00F16C81">
              <w:rPr>
                <w:sz w:val="24"/>
              </w:rPr>
              <w:t>45 (82)</w:t>
            </w:r>
          </w:p>
        </w:tc>
        <w:tc>
          <w:tcPr>
            <w:tcW w:w="2009" w:type="dxa"/>
            <w:shd w:val="clear" w:color="auto" w:fill="auto"/>
          </w:tcPr>
          <w:p w:rsidR="0092008E" w:rsidRPr="00F16C81" w:rsidRDefault="0092008E" w:rsidP="001245E0">
            <w:pPr>
              <w:pStyle w:val="ListParagraph"/>
              <w:ind w:left="0"/>
              <w:jc w:val="center"/>
              <w:rPr>
                <w:sz w:val="24"/>
              </w:rPr>
            </w:pPr>
            <w:r w:rsidRPr="00F16C81">
              <w:rPr>
                <w:sz w:val="24"/>
              </w:rPr>
              <w:t>48 (79)</w:t>
            </w:r>
          </w:p>
        </w:tc>
        <w:tc>
          <w:tcPr>
            <w:tcW w:w="915" w:type="dxa"/>
          </w:tcPr>
          <w:p w:rsidR="0092008E" w:rsidRPr="00F16C81" w:rsidRDefault="0092008E" w:rsidP="001245E0">
            <w:pPr>
              <w:pStyle w:val="ListParagraph"/>
              <w:ind w:left="0"/>
              <w:jc w:val="center"/>
              <w:rPr>
                <w:sz w:val="24"/>
              </w:rPr>
            </w:pPr>
            <w:r w:rsidRPr="00F16C81">
              <w:rPr>
                <w:sz w:val="24"/>
              </w:rPr>
              <w:t>0.82</w:t>
            </w:r>
          </w:p>
        </w:tc>
      </w:tr>
    </w:tbl>
    <w:p w:rsidR="0092008E" w:rsidRDefault="00457ACD" w:rsidP="0070560A">
      <w:pPr>
        <w:rPr>
          <w:rFonts w:ascii="Calibri" w:hAnsi="Calibri"/>
        </w:rPr>
      </w:pPr>
      <w:r>
        <w:rPr>
          <w:rFonts w:ascii="Calibri" w:hAnsi="Calibri"/>
        </w:rPr>
        <w:t xml:space="preserve">Data presented as median (range) or number of cases (%) </w:t>
      </w:r>
    </w:p>
    <w:p w:rsidR="007D7BF8" w:rsidRPr="00F16C81" w:rsidRDefault="007D7BF8" w:rsidP="0070560A">
      <w:pPr>
        <w:rPr>
          <w:rFonts w:ascii="Calibri" w:hAnsi="Calibri"/>
        </w:rPr>
      </w:pPr>
      <w:r>
        <w:rPr>
          <w:rFonts w:ascii="Calibri" w:hAnsi="Calibri"/>
        </w:rPr>
        <w:t>*</w:t>
      </w:r>
      <w:r w:rsidRPr="007D7BF8">
        <w:rPr>
          <w:rFonts w:ascii="Calibri" w:eastAsia="Times New Roman" w:hAnsi="Calibri"/>
          <w:color w:val="000000"/>
          <w:lang w:val="en-CA" w:eastAsia="en-US"/>
        </w:rPr>
        <w:t xml:space="preserve"> </w:t>
      </w:r>
      <w:r w:rsidRPr="000177D4">
        <w:rPr>
          <w:rFonts w:ascii="Calibri" w:eastAsia="Times New Roman" w:hAnsi="Calibri"/>
          <w:color w:val="000000"/>
          <w:lang w:val="en-CA" w:eastAsia="en-US"/>
        </w:rPr>
        <w:t xml:space="preserve">Mann-Whitney U test </w:t>
      </w:r>
      <w:r>
        <w:rPr>
          <w:rFonts w:ascii="Calibri" w:eastAsia="Times New Roman" w:hAnsi="Calibri"/>
          <w:color w:val="000000"/>
          <w:lang w:val="en-CA" w:eastAsia="en-US"/>
        </w:rPr>
        <w:t>or</w:t>
      </w:r>
      <w:r w:rsidRPr="000177D4">
        <w:rPr>
          <w:rFonts w:ascii="Calibri" w:eastAsia="Times New Roman" w:hAnsi="Calibri"/>
          <w:color w:val="000000"/>
          <w:lang w:val="en-CA" w:eastAsia="en-US"/>
        </w:rPr>
        <w:t xml:space="preserve"> Fisher’s exact test</w:t>
      </w:r>
      <w:r>
        <w:rPr>
          <w:rFonts w:ascii="Calibri" w:eastAsia="Times New Roman" w:hAnsi="Calibri"/>
          <w:color w:val="000000"/>
          <w:lang w:val="en-CA" w:eastAsia="en-US"/>
        </w:rPr>
        <w:t xml:space="preserve"> as appropriate</w:t>
      </w:r>
    </w:p>
    <w:p w:rsidR="0070560A" w:rsidRPr="00F16C81" w:rsidRDefault="0070560A" w:rsidP="0070560A">
      <w:pPr>
        <w:pStyle w:val="Heading4"/>
        <w:rPr>
          <w:rFonts w:ascii="Calibri" w:hAnsi="Calibri"/>
        </w:rPr>
      </w:pPr>
      <w:r w:rsidRPr="00F16C81">
        <w:rPr>
          <w:rFonts w:ascii="Calibri" w:hAnsi="Calibri"/>
        </w:rPr>
        <w:t xml:space="preserve">Table </w:t>
      </w:r>
      <w:r w:rsidR="00CA5637">
        <w:rPr>
          <w:rFonts w:ascii="Calibri" w:hAnsi="Calibri"/>
        </w:rPr>
        <w:t>2</w:t>
      </w:r>
    </w:p>
    <w:p w:rsidR="0070560A" w:rsidRPr="00F16C81" w:rsidRDefault="0092008E" w:rsidP="0070560A">
      <w:pPr>
        <w:rPr>
          <w:rFonts w:ascii="Calibri" w:hAnsi="Calibri"/>
        </w:rPr>
      </w:pPr>
      <w:r w:rsidRPr="00F16C81">
        <w:rPr>
          <w:rFonts w:ascii="Calibri" w:hAnsi="Calibri"/>
        </w:rPr>
        <w:t>Procedure Type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5"/>
        <w:gridCol w:w="2160"/>
        <w:gridCol w:w="2250"/>
      </w:tblGrid>
      <w:tr w:rsidR="003B763B" w:rsidRPr="00F16C81" w:rsidTr="001245E0">
        <w:trPr>
          <w:trHeight w:val="602"/>
        </w:trPr>
        <w:tc>
          <w:tcPr>
            <w:tcW w:w="2425" w:type="dxa"/>
            <w:shd w:val="clear" w:color="auto" w:fill="auto"/>
          </w:tcPr>
          <w:p w:rsidR="0092008E" w:rsidRPr="00F16C81" w:rsidRDefault="0092008E" w:rsidP="00F347AB">
            <w:pPr>
              <w:pStyle w:val="ListParagraph"/>
              <w:ind w:left="0"/>
              <w:rPr>
                <w:b/>
                <w:sz w:val="24"/>
              </w:rPr>
            </w:pPr>
          </w:p>
        </w:tc>
        <w:tc>
          <w:tcPr>
            <w:tcW w:w="2160" w:type="dxa"/>
          </w:tcPr>
          <w:p w:rsidR="0092008E" w:rsidRPr="00F16C81" w:rsidRDefault="0092008E" w:rsidP="00032262">
            <w:pPr>
              <w:pStyle w:val="ListParagraph"/>
              <w:ind w:left="0"/>
              <w:jc w:val="center"/>
              <w:rPr>
                <w:b/>
                <w:sz w:val="24"/>
              </w:rPr>
            </w:pPr>
            <w:r w:rsidRPr="00F16C81">
              <w:rPr>
                <w:b/>
                <w:sz w:val="24"/>
              </w:rPr>
              <w:t>Pre-pathway (n=55)</w:t>
            </w:r>
          </w:p>
        </w:tc>
        <w:tc>
          <w:tcPr>
            <w:tcW w:w="2250" w:type="dxa"/>
            <w:shd w:val="clear" w:color="auto" w:fill="auto"/>
          </w:tcPr>
          <w:p w:rsidR="0092008E" w:rsidRPr="00F16C81" w:rsidRDefault="0092008E" w:rsidP="00032262">
            <w:pPr>
              <w:pStyle w:val="ListParagraph"/>
              <w:ind w:left="0"/>
              <w:jc w:val="center"/>
              <w:rPr>
                <w:b/>
                <w:sz w:val="24"/>
              </w:rPr>
            </w:pPr>
            <w:r w:rsidRPr="00F16C81">
              <w:rPr>
                <w:b/>
                <w:sz w:val="24"/>
              </w:rPr>
              <w:t>Post-pathway (n=61)</w:t>
            </w:r>
          </w:p>
        </w:tc>
      </w:tr>
      <w:tr w:rsidR="003B763B" w:rsidRPr="00F16C81" w:rsidTr="00072E80">
        <w:tc>
          <w:tcPr>
            <w:tcW w:w="2425" w:type="dxa"/>
            <w:shd w:val="clear" w:color="auto" w:fill="auto"/>
          </w:tcPr>
          <w:p w:rsidR="0092008E" w:rsidRPr="00F16C81" w:rsidRDefault="0092008E" w:rsidP="00F347AB">
            <w:pPr>
              <w:pStyle w:val="ListParagraph"/>
              <w:ind w:left="0"/>
              <w:rPr>
                <w:b/>
                <w:sz w:val="24"/>
              </w:rPr>
            </w:pPr>
            <w:r w:rsidRPr="00F16C81">
              <w:rPr>
                <w:b/>
                <w:sz w:val="24"/>
              </w:rPr>
              <w:t xml:space="preserve">Laparoscopic </w:t>
            </w:r>
            <w:r w:rsidR="004E1842">
              <w:rPr>
                <w:b/>
                <w:sz w:val="24"/>
              </w:rPr>
              <w:t xml:space="preserve">assisted </w:t>
            </w:r>
            <w:r w:rsidRPr="00F16C81">
              <w:rPr>
                <w:b/>
                <w:sz w:val="24"/>
              </w:rPr>
              <w:t>PEG</w:t>
            </w:r>
          </w:p>
        </w:tc>
        <w:tc>
          <w:tcPr>
            <w:tcW w:w="2160" w:type="dxa"/>
          </w:tcPr>
          <w:p w:rsidR="0092008E" w:rsidRPr="00F16C81" w:rsidRDefault="0092008E" w:rsidP="00032262">
            <w:pPr>
              <w:pStyle w:val="ListParagraph"/>
              <w:ind w:left="0"/>
              <w:jc w:val="center"/>
              <w:rPr>
                <w:sz w:val="24"/>
              </w:rPr>
            </w:pPr>
            <w:r w:rsidRPr="00F16C81">
              <w:rPr>
                <w:sz w:val="24"/>
              </w:rPr>
              <w:t>89.1% (49)</w:t>
            </w:r>
          </w:p>
        </w:tc>
        <w:tc>
          <w:tcPr>
            <w:tcW w:w="2250" w:type="dxa"/>
            <w:shd w:val="clear" w:color="auto" w:fill="auto"/>
          </w:tcPr>
          <w:p w:rsidR="0092008E" w:rsidRPr="00F16C81" w:rsidRDefault="0092008E" w:rsidP="00032262">
            <w:pPr>
              <w:pStyle w:val="ListParagraph"/>
              <w:ind w:left="0"/>
              <w:jc w:val="center"/>
              <w:rPr>
                <w:sz w:val="24"/>
              </w:rPr>
            </w:pPr>
            <w:r w:rsidRPr="00F16C81">
              <w:rPr>
                <w:sz w:val="24"/>
              </w:rPr>
              <w:t>80.3% (49)</w:t>
            </w:r>
          </w:p>
        </w:tc>
      </w:tr>
      <w:tr w:rsidR="003B763B" w:rsidRPr="00F16C81" w:rsidTr="00072E80">
        <w:tc>
          <w:tcPr>
            <w:tcW w:w="2425" w:type="dxa"/>
            <w:shd w:val="clear" w:color="auto" w:fill="auto"/>
          </w:tcPr>
          <w:p w:rsidR="0092008E" w:rsidRPr="00F16C81" w:rsidRDefault="0092008E" w:rsidP="00F347AB">
            <w:pPr>
              <w:pStyle w:val="ListParagraph"/>
              <w:ind w:left="0"/>
              <w:rPr>
                <w:b/>
                <w:sz w:val="24"/>
              </w:rPr>
            </w:pPr>
            <w:r w:rsidRPr="00F16C81">
              <w:rPr>
                <w:b/>
                <w:sz w:val="24"/>
              </w:rPr>
              <w:t>PEG</w:t>
            </w:r>
          </w:p>
        </w:tc>
        <w:tc>
          <w:tcPr>
            <w:tcW w:w="2160" w:type="dxa"/>
          </w:tcPr>
          <w:p w:rsidR="0092008E" w:rsidRPr="00F16C81" w:rsidRDefault="0047437A" w:rsidP="00032262">
            <w:pPr>
              <w:pStyle w:val="ListParagraph"/>
              <w:ind w:left="0"/>
              <w:jc w:val="center"/>
              <w:rPr>
                <w:sz w:val="24"/>
              </w:rPr>
            </w:pPr>
            <w:r w:rsidRPr="00F16C81">
              <w:rPr>
                <w:sz w:val="24"/>
              </w:rPr>
              <w:t>0% (0)</w:t>
            </w:r>
          </w:p>
        </w:tc>
        <w:tc>
          <w:tcPr>
            <w:tcW w:w="2250" w:type="dxa"/>
            <w:shd w:val="clear" w:color="auto" w:fill="auto"/>
          </w:tcPr>
          <w:p w:rsidR="0092008E" w:rsidRPr="00F16C81" w:rsidRDefault="0047437A" w:rsidP="00032262">
            <w:pPr>
              <w:pStyle w:val="ListParagraph"/>
              <w:ind w:left="0"/>
              <w:jc w:val="center"/>
              <w:rPr>
                <w:sz w:val="24"/>
              </w:rPr>
            </w:pPr>
            <w:r w:rsidRPr="00F16C81">
              <w:rPr>
                <w:sz w:val="24"/>
              </w:rPr>
              <w:t>18% (11</w:t>
            </w:r>
            <w:r w:rsidR="0092008E" w:rsidRPr="00F16C81">
              <w:rPr>
                <w:sz w:val="24"/>
              </w:rPr>
              <w:t>)</w:t>
            </w:r>
          </w:p>
        </w:tc>
      </w:tr>
      <w:tr w:rsidR="003B763B" w:rsidRPr="00F16C81" w:rsidTr="00072E80">
        <w:tc>
          <w:tcPr>
            <w:tcW w:w="2425" w:type="dxa"/>
            <w:shd w:val="clear" w:color="auto" w:fill="auto"/>
          </w:tcPr>
          <w:p w:rsidR="0047437A" w:rsidRPr="00F16C81" w:rsidRDefault="003B763B" w:rsidP="00F347AB">
            <w:pPr>
              <w:pStyle w:val="ListParagraph"/>
              <w:ind w:left="0"/>
              <w:rPr>
                <w:b/>
                <w:sz w:val="24"/>
              </w:rPr>
            </w:pPr>
            <w:r>
              <w:rPr>
                <w:b/>
                <w:sz w:val="24"/>
              </w:rPr>
              <w:t xml:space="preserve">Laparoscopic assisted </w:t>
            </w:r>
            <w:r w:rsidR="0047437A" w:rsidRPr="00F16C81">
              <w:rPr>
                <w:b/>
                <w:sz w:val="24"/>
              </w:rPr>
              <w:t xml:space="preserve">Mini </w:t>
            </w:r>
            <w:proofErr w:type="spellStart"/>
            <w:r w:rsidR="0047437A" w:rsidRPr="00F16C81">
              <w:rPr>
                <w:b/>
                <w:sz w:val="24"/>
              </w:rPr>
              <w:t>Stamm</w:t>
            </w:r>
            <w:proofErr w:type="spellEnd"/>
          </w:p>
        </w:tc>
        <w:tc>
          <w:tcPr>
            <w:tcW w:w="2160" w:type="dxa"/>
          </w:tcPr>
          <w:p w:rsidR="0047437A" w:rsidRPr="00F16C81" w:rsidRDefault="0047437A" w:rsidP="00032262">
            <w:pPr>
              <w:pStyle w:val="ListParagraph"/>
              <w:ind w:left="0"/>
              <w:jc w:val="center"/>
              <w:rPr>
                <w:sz w:val="24"/>
              </w:rPr>
            </w:pPr>
            <w:r w:rsidRPr="00F16C81">
              <w:rPr>
                <w:sz w:val="24"/>
              </w:rPr>
              <w:t>5.5% (3)</w:t>
            </w:r>
          </w:p>
        </w:tc>
        <w:tc>
          <w:tcPr>
            <w:tcW w:w="2250" w:type="dxa"/>
            <w:shd w:val="clear" w:color="auto" w:fill="auto"/>
          </w:tcPr>
          <w:p w:rsidR="0047437A" w:rsidRPr="00F16C81" w:rsidRDefault="0047437A" w:rsidP="00032262">
            <w:pPr>
              <w:pStyle w:val="ListParagraph"/>
              <w:ind w:left="0"/>
              <w:jc w:val="center"/>
              <w:rPr>
                <w:sz w:val="24"/>
              </w:rPr>
            </w:pPr>
            <w:r w:rsidRPr="00F16C81">
              <w:rPr>
                <w:sz w:val="24"/>
              </w:rPr>
              <w:t>0% (0)</w:t>
            </w:r>
          </w:p>
        </w:tc>
      </w:tr>
      <w:tr w:rsidR="003B763B" w:rsidRPr="00F16C81" w:rsidTr="00072E80">
        <w:tc>
          <w:tcPr>
            <w:tcW w:w="2425" w:type="dxa"/>
            <w:shd w:val="clear" w:color="auto" w:fill="auto"/>
          </w:tcPr>
          <w:p w:rsidR="0092008E" w:rsidRPr="00F16C81" w:rsidRDefault="0092008E" w:rsidP="00F347AB">
            <w:pPr>
              <w:pStyle w:val="ListParagraph"/>
              <w:ind w:left="0"/>
              <w:rPr>
                <w:b/>
                <w:sz w:val="24"/>
              </w:rPr>
            </w:pPr>
            <w:r w:rsidRPr="00F16C81">
              <w:rPr>
                <w:b/>
                <w:sz w:val="24"/>
              </w:rPr>
              <w:t>S</w:t>
            </w:r>
            <w:r w:rsidR="004E1842">
              <w:rPr>
                <w:b/>
                <w:sz w:val="24"/>
              </w:rPr>
              <w:t>PRING</w:t>
            </w:r>
          </w:p>
        </w:tc>
        <w:tc>
          <w:tcPr>
            <w:tcW w:w="2160" w:type="dxa"/>
          </w:tcPr>
          <w:p w:rsidR="0092008E" w:rsidRPr="00F16C81" w:rsidRDefault="0047437A" w:rsidP="00032262">
            <w:pPr>
              <w:pStyle w:val="ListParagraph"/>
              <w:ind w:left="0"/>
              <w:jc w:val="center"/>
              <w:rPr>
                <w:sz w:val="24"/>
              </w:rPr>
            </w:pPr>
            <w:r w:rsidRPr="00F16C81">
              <w:rPr>
                <w:sz w:val="24"/>
              </w:rPr>
              <w:t>3.6% (</w:t>
            </w:r>
            <w:r w:rsidR="0092008E" w:rsidRPr="00F16C81">
              <w:rPr>
                <w:sz w:val="24"/>
              </w:rPr>
              <w:t>2)</w:t>
            </w:r>
          </w:p>
        </w:tc>
        <w:tc>
          <w:tcPr>
            <w:tcW w:w="2250" w:type="dxa"/>
            <w:shd w:val="clear" w:color="auto" w:fill="auto"/>
          </w:tcPr>
          <w:p w:rsidR="0092008E" w:rsidRPr="00F16C81" w:rsidRDefault="0047437A" w:rsidP="00032262">
            <w:pPr>
              <w:pStyle w:val="ListParagraph"/>
              <w:ind w:left="0"/>
              <w:jc w:val="center"/>
              <w:rPr>
                <w:sz w:val="24"/>
              </w:rPr>
            </w:pPr>
            <w:r w:rsidRPr="00F16C81">
              <w:rPr>
                <w:sz w:val="24"/>
              </w:rPr>
              <w:t>1.6% (1</w:t>
            </w:r>
            <w:r w:rsidR="0092008E" w:rsidRPr="00F16C81">
              <w:rPr>
                <w:sz w:val="24"/>
              </w:rPr>
              <w:t>)</w:t>
            </w:r>
          </w:p>
        </w:tc>
      </w:tr>
      <w:tr w:rsidR="003B763B" w:rsidRPr="00F16C81" w:rsidTr="00072E80">
        <w:tc>
          <w:tcPr>
            <w:tcW w:w="2425" w:type="dxa"/>
            <w:shd w:val="clear" w:color="auto" w:fill="auto"/>
          </w:tcPr>
          <w:p w:rsidR="0047437A" w:rsidRPr="00F16C81" w:rsidRDefault="0047437A" w:rsidP="00F347AB">
            <w:pPr>
              <w:pStyle w:val="ListParagraph"/>
              <w:ind w:left="0"/>
              <w:rPr>
                <w:b/>
                <w:sz w:val="24"/>
              </w:rPr>
            </w:pPr>
            <w:r w:rsidRPr="00F16C81">
              <w:rPr>
                <w:b/>
                <w:sz w:val="24"/>
              </w:rPr>
              <w:t xml:space="preserve">Laparoscopic </w:t>
            </w:r>
            <w:r w:rsidR="004E1842">
              <w:rPr>
                <w:b/>
                <w:sz w:val="24"/>
              </w:rPr>
              <w:t xml:space="preserve">assisted </w:t>
            </w:r>
            <w:r w:rsidRPr="00F16C81">
              <w:rPr>
                <w:b/>
                <w:sz w:val="24"/>
              </w:rPr>
              <w:t>S</w:t>
            </w:r>
            <w:r w:rsidR="004E1842">
              <w:rPr>
                <w:b/>
                <w:sz w:val="24"/>
              </w:rPr>
              <w:t>PRING</w:t>
            </w:r>
          </w:p>
        </w:tc>
        <w:tc>
          <w:tcPr>
            <w:tcW w:w="2160" w:type="dxa"/>
          </w:tcPr>
          <w:p w:rsidR="0047437A" w:rsidRPr="00F16C81" w:rsidRDefault="0047437A" w:rsidP="00032262">
            <w:pPr>
              <w:pStyle w:val="ListParagraph"/>
              <w:ind w:left="0"/>
              <w:jc w:val="center"/>
              <w:rPr>
                <w:sz w:val="24"/>
              </w:rPr>
            </w:pPr>
            <w:r w:rsidRPr="00F16C81">
              <w:rPr>
                <w:sz w:val="24"/>
              </w:rPr>
              <w:t>1.8% (1)</w:t>
            </w:r>
          </w:p>
        </w:tc>
        <w:tc>
          <w:tcPr>
            <w:tcW w:w="2250" w:type="dxa"/>
            <w:shd w:val="clear" w:color="auto" w:fill="auto"/>
          </w:tcPr>
          <w:p w:rsidR="0047437A" w:rsidRPr="00F16C81" w:rsidRDefault="0047437A" w:rsidP="00032262">
            <w:pPr>
              <w:pStyle w:val="ListParagraph"/>
              <w:ind w:left="0"/>
              <w:jc w:val="center"/>
              <w:rPr>
                <w:sz w:val="24"/>
              </w:rPr>
            </w:pPr>
            <w:r w:rsidRPr="00F16C81">
              <w:rPr>
                <w:sz w:val="24"/>
              </w:rPr>
              <w:t>0% (0)</w:t>
            </w:r>
          </w:p>
        </w:tc>
      </w:tr>
    </w:tbl>
    <w:p w:rsidR="0092008E" w:rsidRDefault="004E1842" w:rsidP="0070560A">
      <w:pPr>
        <w:rPr>
          <w:rFonts w:ascii="Calibri" w:hAnsi="Calibri"/>
        </w:rPr>
      </w:pPr>
      <w:r>
        <w:rPr>
          <w:rFonts w:ascii="Calibri" w:hAnsi="Calibri"/>
        </w:rPr>
        <w:t>PEG – percutaneous endoscopic gastrostomy;</w:t>
      </w:r>
    </w:p>
    <w:p w:rsidR="004E1842" w:rsidRPr="00F16C81" w:rsidRDefault="004E1842" w:rsidP="0070560A">
      <w:pPr>
        <w:rPr>
          <w:rFonts w:ascii="Calibri" w:hAnsi="Calibri"/>
        </w:rPr>
      </w:pPr>
      <w:r>
        <w:rPr>
          <w:rFonts w:ascii="Calibri" w:hAnsi="Calibri"/>
        </w:rPr>
        <w:t>SPRING – single stage percutaneous rapid insertion of gastrostomy button</w:t>
      </w:r>
    </w:p>
    <w:p w:rsidR="00E572FD" w:rsidRDefault="00E572FD">
      <w:pPr>
        <w:rPr>
          <w:rFonts w:ascii="Calibri" w:eastAsiaTheme="majorEastAsia" w:hAnsi="Calibri" w:cstheme="majorBidi"/>
          <w:b/>
          <w:bCs/>
          <w:i/>
          <w:iCs/>
          <w:color w:val="5B9BD5" w:themeColor="accent1"/>
        </w:rPr>
      </w:pPr>
      <w:r>
        <w:rPr>
          <w:rFonts w:ascii="Calibri" w:hAnsi="Calibri"/>
        </w:rPr>
        <w:br w:type="page"/>
      </w:r>
    </w:p>
    <w:p w:rsidR="0070560A" w:rsidRPr="00F16C81" w:rsidRDefault="0070560A" w:rsidP="0070560A">
      <w:pPr>
        <w:pStyle w:val="Heading4"/>
        <w:rPr>
          <w:rFonts w:ascii="Calibri" w:hAnsi="Calibri"/>
        </w:rPr>
      </w:pPr>
      <w:r w:rsidRPr="00F16C81">
        <w:rPr>
          <w:rFonts w:ascii="Calibri" w:hAnsi="Calibri"/>
        </w:rPr>
        <w:lastRenderedPageBreak/>
        <w:t xml:space="preserve">Table </w:t>
      </w:r>
      <w:r w:rsidR="00CA5637">
        <w:rPr>
          <w:rFonts w:ascii="Calibri" w:hAnsi="Calibri"/>
        </w:rPr>
        <w:t>3</w:t>
      </w:r>
    </w:p>
    <w:p w:rsidR="00DD3FEA" w:rsidRPr="00F16C81" w:rsidRDefault="0070560A" w:rsidP="0070560A">
      <w:pPr>
        <w:rPr>
          <w:rFonts w:ascii="Calibri" w:hAnsi="Calibri"/>
        </w:rPr>
      </w:pPr>
      <w:r w:rsidRPr="00F16C81">
        <w:rPr>
          <w:rFonts w:ascii="Calibri" w:hAnsi="Calibri"/>
        </w:rPr>
        <w:t xml:space="preserve">Complication and Re-admission rates </w:t>
      </w:r>
    </w:p>
    <w:tbl>
      <w:tblPr>
        <w:tblStyle w:val="TableGrid"/>
        <w:tblW w:w="9261" w:type="dxa"/>
        <w:tblInd w:w="-176" w:type="dxa"/>
        <w:tblLook w:val="04A0"/>
      </w:tblPr>
      <w:tblGrid>
        <w:gridCol w:w="1866"/>
        <w:gridCol w:w="1726"/>
        <w:gridCol w:w="1733"/>
        <w:gridCol w:w="1780"/>
        <w:gridCol w:w="2156"/>
      </w:tblGrid>
      <w:tr w:rsidR="00135C6A" w:rsidRPr="00F16C81" w:rsidTr="00135C6A">
        <w:trPr>
          <w:trHeight w:val="881"/>
        </w:trPr>
        <w:tc>
          <w:tcPr>
            <w:tcW w:w="1866" w:type="dxa"/>
            <w:hideMark/>
          </w:tcPr>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 </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b/>
                <w:bCs/>
              </w:rPr>
              <w:t>72 Hr</w:t>
            </w:r>
          </w:p>
          <w:p w:rsidR="00F16C81" w:rsidRPr="00F16C81" w:rsidRDefault="00F16C81" w:rsidP="00135C6A">
            <w:pPr>
              <w:widowControl w:val="0"/>
              <w:autoSpaceDE w:val="0"/>
              <w:autoSpaceDN w:val="0"/>
              <w:adjustRightInd w:val="0"/>
              <w:ind w:left="640" w:hanging="640"/>
              <w:jc w:val="center"/>
              <w:rPr>
                <w:rFonts w:ascii="Calibri" w:hAnsi="Calibri"/>
              </w:rPr>
            </w:pPr>
            <w:r>
              <w:rPr>
                <w:rFonts w:ascii="Calibri" w:hAnsi="Calibri"/>
                <w:b/>
                <w:bCs/>
              </w:rPr>
              <w:t>Pre-</w:t>
            </w:r>
            <w:r w:rsidRPr="00F16C81">
              <w:rPr>
                <w:rFonts w:ascii="Calibri" w:hAnsi="Calibri"/>
                <w:b/>
                <w:bCs/>
              </w:rPr>
              <w:t>Pathway</w:t>
            </w:r>
          </w:p>
          <w:p w:rsidR="00F16C81" w:rsidRPr="00F16C81" w:rsidRDefault="00032262" w:rsidP="00135C6A">
            <w:pPr>
              <w:widowControl w:val="0"/>
              <w:autoSpaceDE w:val="0"/>
              <w:autoSpaceDN w:val="0"/>
              <w:adjustRightInd w:val="0"/>
              <w:ind w:left="640" w:hanging="640"/>
              <w:jc w:val="center"/>
              <w:rPr>
                <w:rFonts w:ascii="Calibri" w:hAnsi="Calibri"/>
              </w:rPr>
            </w:pPr>
            <w:r>
              <w:rPr>
                <w:rFonts w:ascii="Calibri" w:hAnsi="Calibri"/>
                <w:b/>
                <w:bCs/>
              </w:rPr>
              <w:t>(n</w:t>
            </w:r>
            <w:r w:rsidR="00F16C81" w:rsidRPr="00F16C81">
              <w:rPr>
                <w:rFonts w:ascii="Calibri" w:hAnsi="Calibri"/>
                <w:b/>
                <w:bCs/>
              </w:rPr>
              <w:t>=55</w:t>
            </w:r>
            <w:r>
              <w:rPr>
                <w:rFonts w:ascii="Calibri" w:hAnsi="Calibri"/>
                <w:b/>
                <w:bCs/>
              </w:rPr>
              <w:t>)</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b/>
                <w:bCs/>
              </w:rPr>
              <w:t>72 Hr</w:t>
            </w:r>
          </w:p>
          <w:p w:rsidR="00F16C81" w:rsidRPr="00F16C81" w:rsidRDefault="00F16C81" w:rsidP="00135C6A">
            <w:pPr>
              <w:widowControl w:val="0"/>
              <w:autoSpaceDE w:val="0"/>
              <w:autoSpaceDN w:val="0"/>
              <w:adjustRightInd w:val="0"/>
              <w:ind w:left="640" w:hanging="640"/>
              <w:jc w:val="center"/>
              <w:rPr>
                <w:rFonts w:ascii="Calibri" w:hAnsi="Calibri"/>
              </w:rPr>
            </w:pPr>
            <w:r>
              <w:rPr>
                <w:rFonts w:ascii="Calibri" w:hAnsi="Calibri"/>
                <w:b/>
                <w:bCs/>
              </w:rPr>
              <w:t>Post-</w:t>
            </w:r>
            <w:r w:rsidRPr="00F16C81">
              <w:rPr>
                <w:rFonts w:ascii="Calibri" w:hAnsi="Calibri"/>
                <w:b/>
                <w:bCs/>
              </w:rPr>
              <w:t>Pathway</w:t>
            </w:r>
          </w:p>
          <w:p w:rsidR="00F16C81" w:rsidRPr="00F16C81" w:rsidRDefault="00032262" w:rsidP="00135C6A">
            <w:pPr>
              <w:widowControl w:val="0"/>
              <w:autoSpaceDE w:val="0"/>
              <w:autoSpaceDN w:val="0"/>
              <w:adjustRightInd w:val="0"/>
              <w:ind w:left="640" w:hanging="640"/>
              <w:jc w:val="center"/>
              <w:rPr>
                <w:rFonts w:ascii="Calibri" w:hAnsi="Calibri"/>
              </w:rPr>
            </w:pPr>
            <w:r>
              <w:rPr>
                <w:rFonts w:ascii="Calibri" w:hAnsi="Calibri"/>
                <w:b/>
                <w:bCs/>
              </w:rPr>
              <w:t>(n</w:t>
            </w:r>
            <w:r w:rsidR="00F16C81" w:rsidRPr="00F16C81">
              <w:rPr>
                <w:rFonts w:ascii="Calibri" w:hAnsi="Calibri"/>
                <w:b/>
                <w:bCs/>
              </w:rPr>
              <w:t>=61</w:t>
            </w:r>
            <w:r>
              <w:rPr>
                <w:rFonts w:ascii="Calibri" w:hAnsi="Calibri"/>
                <w:b/>
                <w:bCs/>
              </w:rPr>
              <w:t>)</w:t>
            </w:r>
          </w:p>
        </w:tc>
        <w:tc>
          <w:tcPr>
            <w:tcW w:w="1780"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b/>
                <w:bCs/>
              </w:rPr>
              <w:t>30 days</w:t>
            </w:r>
          </w:p>
          <w:p w:rsidR="00F16C81" w:rsidRPr="00F16C81" w:rsidRDefault="00F16C81" w:rsidP="00135C6A">
            <w:pPr>
              <w:widowControl w:val="0"/>
              <w:autoSpaceDE w:val="0"/>
              <w:autoSpaceDN w:val="0"/>
              <w:adjustRightInd w:val="0"/>
              <w:ind w:left="640" w:hanging="640"/>
              <w:jc w:val="center"/>
              <w:rPr>
                <w:rFonts w:ascii="Calibri" w:hAnsi="Calibri"/>
              </w:rPr>
            </w:pPr>
            <w:r>
              <w:rPr>
                <w:rFonts w:ascii="Calibri" w:hAnsi="Calibri"/>
                <w:b/>
                <w:bCs/>
              </w:rPr>
              <w:t>Pre-</w:t>
            </w:r>
            <w:r w:rsidRPr="00F16C81">
              <w:rPr>
                <w:rFonts w:ascii="Calibri" w:hAnsi="Calibri"/>
                <w:b/>
                <w:bCs/>
              </w:rPr>
              <w:t>Pathway</w:t>
            </w:r>
          </w:p>
          <w:p w:rsidR="00F16C81" w:rsidRPr="00F16C81" w:rsidRDefault="00032262" w:rsidP="00135C6A">
            <w:pPr>
              <w:widowControl w:val="0"/>
              <w:autoSpaceDE w:val="0"/>
              <w:autoSpaceDN w:val="0"/>
              <w:adjustRightInd w:val="0"/>
              <w:ind w:left="640" w:hanging="640"/>
              <w:jc w:val="center"/>
              <w:rPr>
                <w:rFonts w:ascii="Calibri" w:hAnsi="Calibri"/>
              </w:rPr>
            </w:pPr>
            <w:r>
              <w:rPr>
                <w:rFonts w:ascii="Calibri" w:hAnsi="Calibri"/>
                <w:b/>
                <w:bCs/>
              </w:rPr>
              <w:t>(n</w:t>
            </w:r>
            <w:r w:rsidR="00F16C81" w:rsidRPr="00F16C81">
              <w:rPr>
                <w:rFonts w:ascii="Calibri" w:hAnsi="Calibri"/>
                <w:b/>
                <w:bCs/>
              </w:rPr>
              <w:t>=55</w:t>
            </w:r>
            <w:r>
              <w:rPr>
                <w:rFonts w:ascii="Calibri" w:hAnsi="Calibri"/>
                <w:b/>
                <w:bCs/>
              </w:rPr>
              <w:t>)</w:t>
            </w:r>
          </w:p>
        </w:tc>
        <w:tc>
          <w:tcPr>
            <w:tcW w:w="2156" w:type="dxa"/>
            <w:hideMark/>
          </w:tcPr>
          <w:p w:rsidR="00F16C81" w:rsidRPr="00F16C81" w:rsidRDefault="00F16C81" w:rsidP="00135C6A">
            <w:pPr>
              <w:widowControl w:val="0"/>
              <w:autoSpaceDE w:val="0"/>
              <w:autoSpaceDN w:val="0"/>
              <w:adjustRightInd w:val="0"/>
              <w:ind w:left="640" w:hanging="640"/>
              <w:jc w:val="center"/>
              <w:rPr>
                <w:rFonts w:ascii="Calibri" w:hAnsi="Calibri"/>
                <w:b/>
                <w:bCs/>
              </w:rPr>
            </w:pPr>
            <w:r w:rsidRPr="00F16C81">
              <w:rPr>
                <w:rFonts w:ascii="Calibri" w:hAnsi="Calibri"/>
                <w:b/>
                <w:bCs/>
              </w:rPr>
              <w:t>30 days</w:t>
            </w:r>
          </w:p>
          <w:p w:rsidR="00F16C81" w:rsidRPr="00F16C81" w:rsidRDefault="00F16C81" w:rsidP="00135C6A">
            <w:pPr>
              <w:widowControl w:val="0"/>
              <w:autoSpaceDE w:val="0"/>
              <w:autoSpaceDN w:val="0"/>
              <w:adjustRightInd w:val="0"/>
              <w:ind w:left="640" w:hanging="640"/>
              <w:jc w:val="center"/>
              <w:rPr>
                <w:rFonts w:ascii="Calibri" w:hAnsi="Calibri"/>
                <w:b/>
                <w:bCs/>
              </w:rPr>
            </w:pPr>
            <w:r w:rsidRPr="00F16C81">
              <w:rPr>
                <w:rFonts w:ascii="Calibri" w:hAnsi="Calibri"/>
                <w:b/>
                <w:bCs/>
              </w:rPr>
              <w:t>Post</w:t>
            </w:r>
            <w:r>
              <w:rPr>
                <w:rFonts w:ascii="Calibri" w:hAnsi="Calibri"/>
                <w:b/>
                <w:bCs/>
              </w:rPr>
              <w:t>-</w:t>
            </w:r>
            <w:r w:rsidRPr="00F16C81">
              <w:rPr>
                <w:rFonts w:ascii="Calibri" w:hAnsi="Calibri"/>
                <w:b/>
                <w:bCs/>
              </w:rPr>
              <w:t>Pathway</w:t>
            </w:r>
          </w:p>
          <w:p w:rsidR="00F16C81" w:rsidRPr="00F16C81" w:rsidRDefault="00032262" w:rsidP="00135C6A">
            <w:pPr>
              <w:widowControl w:val="0"/>
              <w:autoSpaceDE w:val="0"/>
              <w:autoSpaceDN w:val="0"/>
              <w:adjustRightInd w:val="0"/>
              <w:ind w:left="640" w:hanging="640"/>
              <w:jc w:val="center"/>
              <w:rPr>
                <w:rFonts w:ascii="Calibri" w:hAnsi="Calibri"/>
              </w:rPr>
            </w:pPr>
            <w:r>
              <w:rPr>
                <w:rFonts w:ascii="Calibri" w:hAnsi="Calibri"/>
                <w:b/>
                <w:bCs/>
              </w:rPr>
              <w:t>(n</w:t>
            </w:r>
            <w:r w:rsidR="00F16C81" w:rsidRPr="00F16C81">
              <w:rPr>
                <w:rFonts w:ascii="Calibri" w:hAnsi="Calibri"/>
                <w:b/>
                <w:bCs/>
              </w:rPr>
              <w:t>=61</w:t>
            </w:r>
            <w:r>
              <w:rPr>
                <w:rFonts w:ascii="Calibri" w:hAnsi="Calibri"/>
                <w:b/>
                <w:bCs/>
              </w:rPr>
              <w:t>)</w:t>
            </w:r>
          </w:p>
        </w:tc>
      </w:tr>
      <w:tr w:rsidR="00135C6A" w:rsidRPr="00F16C81" w:rsidTr="00135C6A">
        <w:trPr>
          <w:trHeight w:val="510"/>
        </w:trPr>
        <w:tc>
          <w:tcPr>
            <w:tcW w:w="1866" w:type="dxa"/>
            <w:hideMark/>
          </w:tcPr>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Leakage</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4 (7.3%)</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3 (4.9%)</w:t>
            </w:r>
          </w:p>
        </w:tc>
        <w:tc>
          <w:tcPr>
            <w:tcW w:w="1780" w:type="dxa"/>
            <w:hideMark/>
          </w:tcPr>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7 (12.7</w:t>
            </w:r>
            <w:r w:rsidR="00F16C81" w:rsidRPr="00F16C81">
              <w:rPr>
                <w:rFonts w:ascii="Calibri" w:hAnsi="Calibri"/>
              </w:rPr>
              <w:t>%)</w:t>
            </w:r>
          </w:p>
        </w:tc>
        <w:tc>
          <w:tcPr>
            <w:tcW w:w="2156" w:type="dxa"/>
            <w:hideMark/>
          </w:tcPr>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8 (13.1</w:t>
            </w:r>
            <w:r w:rsidR="00F16C81" w:rsidRPr="00F16C81">
              <w:rPr>
                <w:rFonts w:ascii="Calibri" w:hAnsi="Calibri"/>
              </w:rPr>
              <w:t>%)</w:t>
            </w:r>
          </w:p>
        </w:tc>
      </w:tr>
      <w:tr w:rsidR="00135C6A" w:rsidRPr="00F16C81" w:rsidTr="00135C6A">
        <w:trPr>
          <w:trHeight w:val="510"/>
        </w:trPr>
        <w:tc>
          <w:tcPr>
            <w:tcW w:w="1866" w:type="dxa"/>
            <w:hideMark/>
          </w:tcPr>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Infection</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1780"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3 (5.5%)</w:t>
            </w:r>
          </w:p>
        </w:tc>
        <w:tc>
          <w:tcPr>
            <w:tcW w:w="215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r>
      <w:tr w:rsidR="00135C6A" w:rsidRPr="00F16C81" w:rsidTr="00135C6A">
        <w:trPr>
          <w:trHeight w:val="525"/>
        </w:trPr>
        <w:tc>
          <w:tcPr>
            <w:tcW w:w="1866" w:type="dxa"/>
            <w:hideMark/>
          </w:tcPr>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Displacement</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1780"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215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1 (1.6%)</w:t>
            </w:r>
          </w:p>
        </w:tc>
      </w:tr>
      <w:tr w:rsidR="00135C6A" w:rsidRPr="00F16C81" w:rsidTr="00135C6A">
        <w:trPr>
          <w:trHeight w:val="485"/>
        </w:trPr>
        <w:tc>
          <w:tcPr>
            <w:tcW w:w="1866" w:type="dxa"/>
            <w:hideMark/>
          </w:tcPr>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 xml:space="preserve">Other </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0</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2 (3.3%)</w:t>
            </w:r>
          </w:p>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w:t>
            </w:r>
            <w:r w:rsidR="00F16C81" w:rsidRPr="00F16C81">
              <w:rPr>
                <w:rFonts w:ascii="Calibri" w:hAnsi="Calibri"/>
              </w:rPr>
              <w:t>febrile</w:t>
            </w:r>
            <w:r>
              <w:rPr>
                <w:rFonts w:ascii="Calibri" w:hAnsi="Calibri"/>
              </w:rPr>
              <w:t>)</w:t>
            </w:r>
          </w:p>
        </w:tc>
        <w:tc>
          <w:tcPr>
            <w:tcW w:w="1780"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3 (5.5%)</w:t>
            </w:r>
          </w:p>
          <w:p w:rsidR="00F16C81" w:rsidRDefault="00135C6A" w:rsidP="00135C6A">
            <w:pPr>
              <w:widowControl w:val="0"/>
              <w:autoSpaceDE w:val="0"/>
              <w:autoSpaceDN w:val="0"/>
              <w:adjustRightInd w:val="0"/>
              <w:ind w:left="640" w:hanging="640"/>
              <w:jc w:val="center"/>
              <w:rPr>
                <w:rFonts w:ascii="Calibri" w:hAnsi="Calibri"/>
              </w:rPr>
            </w:pPr>
            <w:r>
              <w:rPr>
                <w:rFonts w:ascii="Calibri" w:hAnsi="Calibri"/>
              </w:rPr>
              <w:t>(</w:t>
            </w:r>
            <w:r w:rsidR="00F16C81">
              <w:rPr>
                <w:rFonts w:ascii="Calibri" w:hAnsi="Calibri"/>
              </w:rPr>
              <w:t>vomiting, rash</w:t>
            </w:r>
            <w:r>
              <w:rPr>
                <w:rFonts w:ascii="Calibri" w:hAnsi="Calibri"/>
              </w:rPr>
              <w:t>)</w:t>
            </w:r>
          </w:p>
          <w:p w:rsidR="00F16C81" w:rsidRPr="00F16C81" w:rsidRDefault="00F16C81" w:rsidP="00135C6A">
            <w:pPr>
              <w:widowControl w:val="0"/>
              <w:autoSpaceDE w:val="0"/>
              <w:autoSpaceDN w:val="0"/>
              <w:adjustRightInd w:val="0"/>
              <w:jc w:val="center"/>
              <w:rPr>
                <w:rFonts w:ascii="Calibri" w:hAnsi="Calibri"/>
              </w:rPr>
            </w:pPr>
          </w:p>
        </w:tc>
        <w:tc>
          <w:tcPr>
            <w:tcW w:w="2156" w:type="dxa"/>
            <w:hideMark/>
          </w:tcPr>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3</w:t>
            </w:r>
            <w:r w:rsidR="00F16C81" w:rsidRPr="00F16C81">
              <w:rPr>
                <w:rFonts w:ascii="Calibri" w:hAnsi="Calibri"/>
              </w:rPr>
              <w:t xml:space="preserve"> (1.6%)</w:t>
            </w:r>
          </w:p>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 xml:space="preserve">(febrile, </w:t>
            </w:r>
            <w:r w:rsidR="00F16C81" w:rsidRPr="00F16C81">
              <w:rPr>
                <w:rFonts w:ascii="Calibri" w:hAnsi="Calibri"/>
              </w:rPr>
              <w:t>erythema</w:t>
            </w:r>
            <w:r>
              <w:rPr>
                <w:rFonts w:ascii="Calibri" w:hAnsi="Calibri"/>
              </w:rPr>
              <w:t>)</w:t>
            </w:r>
          </w:p>
        </w:tc>
      </w:tr>
      <w:tr w:rsidR="00135C6A" w:rsidRPr="00F16C81" w:rsidTr="00135C6A">
        <w:trPr>
          <w:trHeight w:val="1079"/>
        </w:trPr>
        <w:tc>
          <w:tcPr>
            <w:tcW w:w="1866" w:type="dxa"/>
            <w:hideMark/>
          </w:tcPr>
          <w:p w:rsidR="00F16C81" w:rsidRDefault="00F16C81" w:rsidP="00F16C81">
            <w:pPr>
              <w:widowControl w:val="0"/>
              <w:autoSpaceDE w:val="0"/>
              <w:autoSpaceDN w:val="0"/>
              <w:adjustRightInd w:val="0"/>
              <w:ind w:left="640" w:hanging="640"/>
              <w:rPr>
                <w:rFonts w:ascii="Calibri" w:hAnsi="Calibri"/>
                <w:b/>
                <w:bCs/>
              </w:rPr>
            </w:pPr>
            <w:r>
              <w:rPr>
                <w:rFonts w:ascii="Calibri" w:hAnsi="Calibri"/>
                <w:b/>
                <w:bCs/>
              </w:rPr>
              <w:t>Re-admission</w:t>
            </w:r>
          </w:p>
          <w:p w:rsidR="00F16C81" w:rsidRDefault="00F16C81" w:rsidP="00F16C81">
            <w:pPr>
              <w:widowControl w:val="0"/>
              <w:autoSpaceDE w:val="0"/>
              <w:autoSpaceDN w:val="0"/>
              <w:adjustRightInd w:val="0"/>
              <w:ind w:left="640" w:hanging="640"/>
              <w:rPr>
                <w:rFonts w:ascii="Calibri" w:hAnsi="Calibri"/>
                <w:b/>
                <w:bCs/>
              </w:rPr>
            </w:pPr>
            <w:r>
              <w:rPr>
                <w:rFonts w:ascii="Calibri" w:hAnsi="Calibri"/>
                <w:b/>
                <w:bCs/>
              </w:rPr>
              <w:t>(/stayed in</w:t>
            </w:r>
          </w:p>
          <w:p w:rsidR="00F16C81" w:rsidRPr="00F16C81" w:rsidRDefault="00F16C81" w:rsidP="00F16C81">
            <w:pPr>
              <w:widowControl w:val="0"/>
              <w:autoSpaceDE w:val="0"/>
              <w:autoSpaceDN w:val="0"/>
              <w:adjustRightInd w:val="0"/>
              <w:ind w:left="640" w:hanging="640"/>
              <w:rPr>
                <w:rFonts w:ascii="Calibri" w:hAnsi="Calibri"/>
              </w:rPr>
            </w:pPr>
            <w:r w:rsidRPr="00F16C81">
              <w:rPr>
                <w:rFonts w:ascii="Calibri" w:hAnsi="Calibri"/>
                <w:b/>
                <w:bCs/>
              </w:rPr>
              <w:t xml:space="preserve">hospital) </w:t>
            </w:r>
          </w:p>
        </w:tc>
        <w:tc>
          <w:tcPr>
            <w:tcW w:w="1726"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3 (5.5%)</w:t>
            </w:r>
          </w:p>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(leak)</w:t>
            </w:r>
          </w:p>
        </w:tc>
        <w:tc>
          <w:tcPr>
            <w:tcW w:w="1733" w:type="dxa"/>
            <w:hideMark/>
          </w:tcPr>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2 (3.3%)</w:t>
            </w:r>
          </w:p>
          <w:p w:rsidR="00F16C81" w:rsidRDefault="00F16C81" w:rsidP="00135C6A">
            <w:pPr>
              <w:widowControl w:val="0"/>
              <w:autoSpaceDE w:val="0"/>
              <w:autoSpaceDN w:val="0"/>
              <w:adjustRightInd w:val="0"/>
              <w:ind w:left="640" w:hanging="640"/>
              <w:jc w:val="center"/>
              <w:rPr>
                <w:rFonts w:ascii="Calibri" w:hAnsi="Calibri"/>
              </w:rPr>
            </w:pPr>
            <w:r>
              <w:rPr>
                <w:rFonts w:ascii="Calibri" w:hAnsi="Calibri"/>
              </w:rPr>
              <w:t>(febrile and</w:t>
            </w:r>
          </w:p>
          <w:p w:rsidR="00F16C81" w:rsidRDefault="00135C6A" w:rsidP="00135C6A">
            <w:pPr>
              <w:widowControl w:val="0"/>
              <w:autoSpaceDE w:val="0"/>
              <w:autoSpaceDN w:val="0"/>
              <w:adjustRightInd w:val="0"/>
              <w:ind w:left="640" w:hanging="640"/>
              <w:jc w:val="center"/>
              <w:rPr>
                <w:rFonts w:ascii="Calibri" w:hAnsi="Calibri"/>
              </w:rPr>
            </w:pPr>
            <w:r>
              <w:rPr>
                <w:rFonts w:ascii="Calibri" w:hAnsi="Calibri"/>
              </w:rPr>
              <w:t>vomiting,</w:t>
            </w:r>
          </w:p>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leak</w:t>
            </w:r>
            <w:r w:rsidR="00F16C81" w:rsidRPr="00F16C81">
              <w:rPr>
                <w:rFonts w:ascii="Calibri" w:hAnsi="Calibri"/>
              </w:rPr>
              <w:t>)</w:t>
            </w:r>
          </w:p>
        </w:tc>
        <w:tc>
          <w:tcPr>
            <w:tcW w:w="1780" w:type="dxa"/>
            <w:hideMark/>
          </w:tcPr>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5 (9.1</w:t>
            </w:r>
            <w:r w:rsidR="00F16C81" w:rsidRPr="00F16C81">
              <w:rPr>
                <w:rFonts w:ascii="Calibri" w:hAnsi="Calibri"/>
              </w:rPr>
              <w:t>%)</w:t>
            </w:r>
          </w:p>
          <w:p w:rsidR="00F16C81" w:rsidRDefault="00F16C81" w:rsidP="00135C6A">
            <w:pPr>
              <w:widowControl w:val="0"/>
              <w:autoSpaceDE w:val="0"/>
              <w:autoSpaceDN w:val="0"/>
              <w:adjustRightInd w:val="0"/>
              <w:ind w:left="640" w:hanging="640"/>
              <w:jc w:val="center"/>
              <w:rPr>
                <w:rFonts w:ascii="Calibri" w:hAnsi="Calibri"/>
              </w:rPr>
            </w:pPr>
            <w:r>
              <w:rPr>
                <w:rFonts w:ascii="Calibri" w:hAnsi="Calibri"/>
              </w:rPr>
              <w:t>(</w:t>
            </w:r>
            <w:r w:rsidR="00135C6A">
              <w:rPr>
                <w:rFonts w:ascii="Calibri" w:hAnsi="Calibri"/>
              </w:rPr>
              <w:t>leak, infection,</w:t>
            </w:r>
          </w:p>
          <w:p w:rsidR="00F16C81" w:rsidRDefault="00F16C81" w:rsidP="00135C6A">
            <w:pPr>
              <w:widowControl w:val="0"/>
              <w:autoSpaceDE w:val="0"/>
              <w:autoSpaceDN w:val="0"/>
              <w:adjustRightInd w:val="0"/>
              <w:ind w:left="640" w:hanging="640"/>
              <w:jc w:val="center"/>
              <w:rPr>
                <w:rFonts w:ascii="Calibri" w:hAnsi="Calibri"/>
              </w:rPr>
            </w:pPr>
            <w:r>
              <w:rPr>
                <w:rFonts w:ascii="Calibri" w:hAnsi="Calibri"/>
              </w:rPr>
              <w:t>inability to</w:t>
            </w:r>
          </w:p>
          <w:p w:rsidR="00F16C81" w:rsidRPr="00F16C81" w:rsidRDefault="00F16C81" w:rsidP="00135C6A">
            <w:pPr>
              <w:widowControl w:val="0"/>
              <w:autoSpaceDE w:val="0"/>
              <w:autoSpaceDN w:val="0"/>
              <w:adjustRightInd w:val="0"/>
              <w:ind w:left="640" w:hanging="640"/>
              <w:jc w:val="center"/>
              <w:rPr>
                <w:rFonts w:ascii="Calibri" w:hAnsi="Calibri"/>
              </w:rPr>
            </w:pPr>
            <w:r w:rsidRPr="00F16C81">
              <w:rPr>
                <w:rFonts w:ascii="Calibri" w:hAnsi="Calibri"/>
              </w:rPr>
              <w:t>tolerate feeds)</w:t>
            </w:r>
          </w:p>
        </w:tc>
        <w:tc>
          <w:tcPr>
            <w:tcW w:w="2156" w:type="dxa"/>
            <w:hideMark/>
          </w:tcPr>
          <w:p w:rsidR="00135C6A"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3 (4.9</w:t>
            </w:r>
            <w:r w:rsidRPr="00F16C81">
              <w:rPr>
                <w:rFonts w:ascii="Calibri" w:hAnsi="Calibri"/>
              </w:rPr>
              <w:t>%)</w:t>
            </w:r>
          </w:p>
          <w:p w:rsidR="00135C6A" w:rsidRDefault="00135C6A" w:rsidP="00135C6A">
            <w:pPr>
              <w:widowControl w:val="0"/>
              <w:autoSpaceDE w:val="0"/>
              <w:autoSpaceDN w:val="0"/>
              <w:adjustRightInd w:val="0"/>
              <w:ind w:left="640" w:hanging="640"/>
              <w:jc w:val="center"/>
              <w:rPr>
                <w:rFonts w:ascii="Calibri" w:hAnsi="Calibri"/>
              </w:rPr>
            </w:pPr>
            <w:r>
              <w:rPr>
                <w:rFonts w:ascii="Calibri" w:hAnsi="Calibri"/>
              </w:rPr>
              <w:t>(febrile and</w:t>
            </w:r>
          </w:p>
          <w:p w:rsidR="00135C6A" w:rsidRDefault="00135C6A" w:rsidP="00135C6A">
            <w:pPr>
              <w:widowControl w:val="0"/>
              <w:autoSpaceDE w:val="0"/>
              <w:autoSpaceDN w:val="0"/>
              <w:adjustRightInd w:val="0"/>
              <w:ind w:left="640" w:hanging="640"/>
              <w:jc w:val="center"/>
              <w:rPr>
                <w:rFonts w:ascii="Calibri" w:hAnsi="Calibri"/>
              </w:rPr>
            </w:pPr>
            <w:r>
              <w:rPr>
                <w:rFonts w:ascii="Calibri" w:hAnsi="Calibri"/>
              </w:rPr>
              <w:t xml:space="preserve">vomiting, </w:t>
            </w:r>
          </w:p>
          <w:p w:rsidR="00F16C81" w:rsidRPr="00F16C81" w:rsidRDefault="00135C6A" w:rsidP="00135C6A">
            <w:pPr>
              <w:widowControl w:val="0"/>
              <w:autoSpaceDE w:val="0"/>
              <w:autoSpaceDN w:val="0"/>
              <w:adjustRightInd w:val="0"/>
              <w:ind w:left="640" w:hanging="640"/>
              <w:jc w:val="center"/>
              <w:rPr>
                <w:rFonts w:ascii="Calibri" w:hAnsi="Calibri"/>
              </w:rPr>
            </w:pPr>
            <w:r>
              <w:rPr>
                <w:rFonts w:ascii="Calibri" w:hAnsi="Calibri"/>
              </w:rPr>
              <w:t>leak</w:t>
            </w:r>
            <w:r w:rsidRPr="00F16C81">
              <w:rPr>
                <w:rFonts w:ascii="Calibri" w:hAnsi="Calibri"/>
              </w:rPr>
              <w:t>)</w:t>
            </w:r>
          </w:p>
        </w:tc>
      </w:tr>
    </w:tbl>
    <w:p w:rsidR="00EC0F18" w:rsidRPr="00F16C81" w:rsidRDefault="00CA5637" w:rsidP="0047437A">
      <w:pPr>
        <w:widowControl w:val="0"/>
        <w:autoSpaceDE w:val="0"/>
        <w:autoSpaceDN w:val="0"/>
        <w:adjustRightInd w:val="0"/>
        <w:ind w:left="640" w:hanging="640"/>
        <w:rPr>
          <w:rFonts w:ascii="Calibri" w:hAnsi="Calibri"/>
        </w:rPr>
      </w:pPr>
      <w:r>
        <w:rPr>
          <w:rFonts w:ascii="Calibri" w:hAnsi="Calibri"/>
        </w:rPr>
        <w:t>PEG-</w:t>
      </w:r>
      <w:r w:rsidRPr="00CA5637">
        <w:rPr>
          <w:rFonts w:ascii="Calibri" w:hAnsi="Calibri"/>
        </w:rPr>
        <w:t xml:space="preserve"> </w:t>
      </w:r>
      <w:r>
        <w:rPr>
          <w:rFonts w:ascii="Calibri" w:hAnsi="Calibri"/>
        </w:rPr>
        <w:t>percutaneous endoscopic gastrostomy</w:t>
      </w:r>
    </w:p>
    <w:sectPr w:rsidR="00EC0F18" w:rsidRPr="00F16C81" w:rsidSect="0008319D">
      <w:pgSz w:w="11900" w:h="16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9D0094" w16cid:durableId="20B7983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B72" w:rsidRDefault="00FB2B72" w:rsidP="00EC0F18">
      <w:r>
        <w:separator/>
      </w:r>
    </w:p>
  </w:endnote>
  <w:endnote w:type="continuationSeparator" w:id="0">
    <w:p w:rsidR="00FB2B72" w:rsidRDefault="00FB2B72" w:rsidP="00EC0F1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B72" w:rsidRDefault="00FB2B72" w:rsidP="00EC0F18">
      <w:r>
        <w:separator/>
      </w:r>
    </w:p>
  </w:footnote>
  <w:footnote w:type="continuationSeparator" w:id="0">
    <w:p w:rsidR="00FB2B72" w:rsidRDefault="00FB2B72" w:rsidP="00EC0F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E55B45"/>
    <w:multiLevelType w:val="hybridMultilevel"/>
    <w:tmpl w:val="11C071A0"/>
    <w:lvl w:ilvl="0" w:tplc="75328B64">
      <w:start w:val="30"/>
      <w:numFmt w:val="bullet"/>
      <w:lvlText w:val="-"/>
      <w:lvlJc w:val="left"/>
      <w:pPr>
        <w:ind w:left="720" w:hanging="360"/>
      </w:pPr>
      <w:rPr>
        <w:rFonts w:ascii="Calibri" w:eastAsiaTheme="minorHAnsi" w:hAnsi="Calibri"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506396"/>
    <w:rsid w:val="00001B9A"/>
    <w:rsid w:val="0000607E"/>
    <w:rsid w:val="000177D4"/>
    <w:rsid w:val="00032262"/>
    <w:rsid w:val="00033E24"/>
    <w:rsid w:val="00046C57"/>
    <w:rsid w:val="00050FA6"/>
    <w:rsid w:val="00052CFB"/>
    <w:rsid w:val="00062783"/>
    <w:rsid w:val="000635A3"/>
    <w:rsid w:val="00072E80"/>
    <w:rsid w:val="0008319D"/>
    <w:rsid w:val="000D11DE"/>
    <w:rsid w:val="00104A78"/>
    <w:rsid w:val="00107CAA"/>
    <w:rsid w:val="001131D4"/>
    <w:rsid w:val="00116168"/>
    <w:rsid w:val="001245E0"/>
    <w:rsid w:val="00135C6A"/>
    <w:rsid w:val="001449B2"/>
    <w:rsid w:val="00151C5E"/>
    <w:rsid w:val="00162133"/>
    <w:rsid w:val="0018678A"/>
    <w:rsid w:val="0019245B"/>
    <w:rsid w:val="00193D5C"/>
    <w:rsid w:val="001956CB"/>
    <w:rsid w:val="001A6269"/>
    <w:rsid w:val="001C4978"/>
    <w:rsid w:val="001F08E2"/>
    <w:rsid w:val="001F3076"/>
    <w:rsid w:val="001F7005"/>
    <w:rsid w:val="00201529"/>
    <w:rsid w:val="00205631"/>
    <w:rsid w:val="00217CE0"/>
    <w:rsid w:val="00224171"/>
    <w:rsid w:val="002323B3"/>
    <w:rsid w:val="00233136"/>
    <w:rsid w:val="002454EB"/>
    <w:rsid w:val="002521EC"/>
    <w:rsid w:val="00252BB3"/>
    <w:rsid w:val="00257097"/>
    <w:rsid w:val="002775B1"/>
    <w:rsid w:val="00284F00"/>
    <w:rsid w:val="002B1D3D"/>
    <w:rsid w:val="002D5723"/>
    <w:rsid w:val="002F480C"/>
    <w:rsid w:val="00300357"/>
    <w:rsid w:val="00306B2D"/>
    <w:rsid w:val="003435ED"/>
    <w:rsid w:val="003537A7"/>
    <w:rsid w:val="003614BE"/>
    <w:rsid w:val="0036426D"/>
    <w:rsid w:val="00370FE4"/>
    <w:rsid w:val="003776E4"/>
    <w:rsid w:val="00392DDF"/>
    <w:rsid w:val="00394C83"/>
    <w:rsid w:val="003B763B"/>
    <w:rsid w:val="003F09B8"/>
    <w:rsid w:val="003F18A2"/>
    <w:rsid w:val="00401EEA"/>
    <w:rsid w:val="004048E1"/>
    <w:rsid w:val="00410757"/>
    <w:rsid w:val="004133AC"/>
    <w:rsid w:val="00417D1D"/>
    <w:rsid w:val="00420C05"/>
    <w:rsid w:val="00425022"/>
    <w:rsid w:val="0043115B"/>
    <w:rsid w:val="00432FA4"/>
    <w:rsid w:val="00445E28"/>
    <w:rsid w:val="004476E0"/>
    <w:rsid w:val="00451F2F"/>
    <w:rsid w:val="004554A3"/>
    <w:rsid w:val="00457ACD"/>
    <w:rsid w:val="00457F9A"/>
    <w:rsid w:val="004669C8"/>
    <w:rsid w:val="0047437A"/>
    <w:rsid w:val="004836A6"/>
    <w:rsid w:val="00494D89"/>
    <w:rsid w:val="004D20D0"/>
    <w:rsid w:val="004E1842"/>
    <w:rsid w:val="004E60F0"/>
    <w:rsid w:val="004F31B4"/>
    <w:rsid w:val="00506396"/>
    <w:rsid w:val="005069B8"/>
    <w:rsid w:val="005224D3"/>
    <w:rsid w:val="00530F3D"/>
    <w:rsid w:val="00541691"/>
    <w:rsid w:val="005433FB"/>
    <w:rsid w:val="00556FD2"/>
    <w:rsid w:val="00570401"/>
    <w:rsid w:val="00573939"/>
    <w:rsid w:val="00574501"/>
    <w:rsid w:val="00576D8D"/>
    <w:rsid w:val="00581637"/>
    <w:rsid w:val="00583B46"/>
    <w:rsid w:val="00592CED"/>
    <w:rsid w:val="005972A8"/>
    <w:rsid w:val="005A7037"/>
    <w:rsid w:val="005B3AC5"/>
    <w:rsid w:val="005B5036"/>
    <w:rsid w:val="005C3E58"/>
    <w:rsid w:val="005E2AA1"/>
    <w:rsid w:val="005F51C6"/>
    <w:rsid w:val="006113BE"/>
    <w:rsid w:val="00612DB9"/>
    <w:rsid w:val="00616881"/>
    <w:rsid w:val="00643B27"/>
    <w:rsid w:val="00655676"/>
    <w:rsid w:val="006637F0"/>
    <w:rsid w:val="00666458"/>
    <w:rsid w:val="00677834"/>
    <w:rsid w:val="0068109B"/>
    <w:rsid w:val="006A5CDB"/>
    <w:rsid w:val="006B5D14"/>
    <w:rsid w:val="006C227F"/>
    <w:rsid w:val="006C56A0"/>
    <w:rsid w:val="006C5B82"/>
    <w:rsid w:val="006E4A41"/>
    <w:rsid w:val="006F68BA"/>
    <w:rsid w:val="00703B9E"/>
    <w:rsid w:val="00703D4D"/>
    <w:rsid w:val="0070560A"/>
    <w:rsid w:val="007109CB"/>
    <w:rsid w:val="00712DB1"/>
    <w:rsid w:val="007133EE"/>
    <w:rsid w:val="007252B0"/>
    <w:rsid w:val="007402FB"/>
    <w:rsid w:val="007475D7"/>
    <w:rsid w:val="0075319A"/>
    <w:rsid w:val="0075493F"/>
    <w:rsid w:val="00770647"/>
    <w:rsid w:val="0079103F"/>
    <w:rsid w:val="00791C23"/>
    <w:rsid w:val="00794A3E"/>
    <w:rsid w:val="00796439"/>
    <w:rsid w:val="007A3883"/>
    <w:rsid w:val="007A3A96"/>
    <w:rsid w:val="007A49E9"/>
    <w:rsid w:val="007D7BF8"/>
    <w:rsid w:val="007E1679"/>
    <w:rsid w:val="007E29C5"/>
    <w:rsid w:val="007F17C0"/>
    <w:rsid w:val="007F3B50"/>
    <w:rsid w:val="00801BDE"/>
    <w:rsid w:val="008245F4"/>
    <w:rsid w:val="00824789"/>
    <w:rsid w:val="00826117"/>
    <w:rsid w:val="00841B8F"/>
    <w:rsid w:val="00852950"/>
    <w:rsid w:val="00862338"/>
    <w:rsid w:val="00865124"/>
    <w:rsid w:val="008758E5"/>
    <w:rsid w:val="008A0029"/>
    <w:rsid w:val="008B2D22"/>
    <w:rsid w:val="008B60B6"/>
    <w:rsid w:val="008C47DA"/>
    <w:rsid w:val="008D2DAE"/>
    <w:rsid w:val="008E175B"/>
    <w:rsid w:val="008F52AC"/>
    <w:rsid w:val="009046C3"/>
    <w:rsid w:val="00907DD2"/>
    <w:rsid w:val="00910FEF"/>
    <w:rsid w:val="0092008E"/>
    <w:rsid w:val="00927F62"/>
    <w:rsid w:val="00955B29"/>
    <w:rsid w:val="00962CA6"/>
    <w:rsid w:val="00965E74"/>
    <w:rsid w:val="00981094"/>
    <w:rsid w:val="00982417"/>
    <w:rsid w:val="009825ED"/>
    <w:rsid w:val="009B6AD9"/>
    <w:rsid w:val="009C07EA"/>
    <w:rsid w:val="009C490A"/>
    <w:rsid w:val="009E6CE3"/>
    <w:rsid w:val="009E7679"/>
    <w:rsid w:val="009F1007"/>
    <w:rsid w:val="00A24B5E"/>
    <w:rsid w:val="00A36159"/>
    <w:rsid w:val="00A4117C"/>
    <w:rsid w:val="00A62F22"/>
    <w:rsid w:val="00A65191"/>
    <w:rsid w:val="00A667BF"/>
    <w:rsid w:val="00A72A34"/>
    <w:rsid w:val="00A74603"/>
    <w:rsid w:val="00A7626C"/>
    <w:rsid w:val="00A863FC"/>
    <w:rsid w:val="00AA0D10"/>
    <w:rsid w:val="00AA3DE8"/>
    <w:rsid w:val="00AA7F81"/>
    <w:rsid w:val="00AC2198"/>
    <w:rsid w:val="00AD4495"/>
    <w:rsid w:val="00AE0918"/>
    <w:rsid w:val="00AE4691"/>
    <w:rsid w:val="00AE6DE8"/>
    <w:rsid w:val="00B03A44"/>
    <w:rsid w:val="00B04775"/>
    <w:rsid w:val="00B05140"/>
    <w:rsid w:val="00B256D0"/>
    <w:rsid w:val="00B26EAF"/>
    <w:rsid w:val="00B30282"/>
    <w:rsid w:val="00B339B9"/>
    <w:rsid w:val="00B60B87"/>
    <w:rsid w:val="00B815D5"/>
    <w:rsid w:val="00B9210E"/>
    <w:rsid w:val="00BA6DF9"/>
    <w:rsid w:val="00BB3BB4"/>
    <w:rsid w:val="00BC7375"/>
    <w:rsid w:val="00BE7830"/>
    <w:rsid w:val="00BF17BD"/>
    <w:rsid w:val="00BF1817"/>
    <w:rsid w:val="00BF1BF2"/>
    <w:rsid w:val="00C10309"/>
    <w:rsid w:val="00C22EF8"/>
    <w:rsid w:val="00C235E6"/>
    <w:rsid w:val="00C30D3C"/>
    <w:rsid w:val="00C43614"/>
    <w:rsid w:val="00C437F0"/>
    <w:rsid w:val="00C624C2"/>
    <w:rsid w:val="00C870F0"/>
    <w:rsid w:val="00C93C4F"/>
    <w:rsid w:val="00CA4001"/>
    <w:rsid w:val="00CA5637"/>
    <w:rsid w:val="00CB2362"/>
    <w:rsid w:val="00D072F9"/>
    <w:rsid w:val="00D148D1"/>
    <w:rsid w:val="00D2563F"/>
    <w:rsid w:val="00D50DE1"/>
    <w:rsid w:val="00D714BC"/>
    <w:rsid w:val="00D72D52"/>
    <w:rsid w:val="00D82A38"/>
    <w:rsid w:val="00D93AFA"/>
    <w:rsid w:val="00DA3390"/>
    <w:rsid w:val="00DA4A63"/>
    <w:rsid w:val="00DA686C"/>
    <w:rsid w:val="00DA7D32"/>
    <w:rsid w:val="00DB0115"/>
    <w:rsid w:val="00DB3D30"/>
    <w:rsid w:val="00DB5CBD"/>
    <w:rsid w:val="00DD3FEA"/>
    <w:rsid w:val="00E059D8"/>
    <w:rsid w:val="00E12D87"/>
    <w:rsid w:val="00E16561"/>
    <w:rsid w:val="00E232BE"/>
    <w:rsid w:val="00E512F4"/>
    <w:rsid w:val="00E572FD"/>
    <w:rsid w:val="00E604C6"/>
    <w:rsid w:val="00E63ABD"/>
    <w:rsid w:val="00E706B5"/>
    <w:rsid w:val="00E70FCB"/>
    <w:rsid w:val="00E71D8A"/>
    <w:rsid w:val="00E74D39"/>
    <w:rsid w:val="00E84497"/>
    <w:rsid w:val="00E96830"/>
    <w:rsid w:val="00E96E96"/>
    <w:rsid w:val="00EA49A3"/>
    <w:rsid w:val="00EB5D04"/>
    <w:rsid w:val="00EB7D30"/>
    <w:rsid w:val="00EC0F18"/>
    <w:rsid w:val="00EC0FC2"/>
    <w:rsid w:val="00EC1946"/>
    <w:rsid w:val="00EC24D4"/>
    <w:rsid w:val="00EF27E3"/>
    <w:rsid w:val="00EF7C6A"/>
    <w:rsid w:val="00F06E28"/>
    <w:rsid w:val="00F06F5E"/>
    <w:rsid w:val="00F12B83"/>
    <w:rsid w:val="00F16C81"/>
    <w:rsid w:val="00F24556"/>
    <w:rsid w:val="00F347AB"/>
    <w:rsid w:val="00F363AC"/>
    <w:rsid w:val="00F43618"/>
    <w:rsid w:val="00F4407B"/>
    <w:rsid w:val="00F541BF"/>
    <w:rsid w:val="00F55F91"/>
    <w:rsid w:val="00F56BED"/>
    <w:rsid w:val="00F57419"/>
    <w:rsid w:val="00F578E1"/>
    <w:rsid w:val="00F66436"/>
    <w:rsid w:val="00F73221"/>
    <w:rsid w:val="00F87644"/>
    <w:rsid w:val="00FB18B5"/>
    <w:rsid w:val="00FB27AA"/>
    <w:rsid w:val="00FB2B72"/>
    <w:rsid w:val="00FB5F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FE4"/>
    <w:rPr>
      <w:rFonts w:ascii="Times New Roman" w:hAnsi="Times New Roman" w:cs="Times New Roman"/>
      <w:lang w:eastAsia="en-GB"/>
    </w:rPr>
  </w:style>
  <w:style w:type="paragraph" w:styleId="Heading1">
    <w:name w:val="heading 1"/>
    <w:basedOn w:val="Normal"/>
    <w:next w:val="Normal"/>
    <w:link w:val="Heading1Char"/>
    <w:uiPriority w:val="9"/>
    <w:qFormat/>
    <w:rsid w:val="00B30282"/>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B30282"/>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paragraph" w:styleId="Heading3">
    <w:name w:val="heading 3"/>
    <w:basedOn w:val="Normal"/>
    <w:next w:val="Normal"/>
    <w:link w:val="Heading3Char"/>
    <w:uiPriority w:val="9"/>
    <w:unhideWhenUsed/>
    <w:qFormat/>
    <w:rsid w:val="00457F9A"/>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70560A"/>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21EC"/>
    <w:rPr>
      <w:color w:val="0000FF"/>
      <w:u w:val="single"/>
    </w:rPr>
  </w:style>
  <w:style w:type="character" w:customStyle="1" w:styleId="Heading1Char">
    <w:name w:val="Heading 1 Char"/>
    <w:basedOn w:val="DefaultParagraphFont"/>
    <w:link w:val="Heading1"/>
    <w:uiPriority w:val="9"/>
    <w:rsid w:val="00B3028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3028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530F3D"/>
    <w:rPr>
      <w:sz w:val="18"/>
      <w:szCs w:val="18"/>
    </w:rPr>
  </w:style>
  <w:style w:type="paragraph" w:styleId="CommentText">
    <w:name w:val="annotation text"/>
    <w:basedOn w:val="Normal"/>
    <w:link w:val="CommentTextChar"/>
    <w:uiPriority w:val="99"/>
    <w:unhideWhenUsed/>
    <w:rsid w:val="00530F3D"/>
    <w:rPr>
      <w:rFonts w:asciiTheme="minorHAnsi" w:hAnsiTheme="minorHAnsi" w:cstheme="minorBidi"/>
      <w:lang w:eastAsia="en-US"/>
    </w:rPr>
  </w:style>
  <w:style w:type="character" w:customStyle="1" w:styleId="CommentTextChar">
    <w:name w:val="Comment Text Char"/>
    <w:basedOn w:val="DefaultParagraphFont"/>
    <w:link w:val="CommentText"/>
    <w:uiPriority w:val="99"/>
    <w:rsid w:val="00530F3D"/>
  </w:style>
  <w:style w:type="paragraph" w:styleId="CommentSubject">
    <w:name w:val="annotation subject"/>
    <w:basedOn w:val="CommentText"/>
    <w:next w:val="CommentText"/>
    <w:link w:val="CommentSubjectChar"/>
    <w:uiPriority w:val="99"/>
    <w:semiHidden/>
    <w:unhideWhenUsed/>
    <w:rsid w:val="00530F3D"/>
    <w:rPr>
      <w:b/>
      <w:bCs/>
      <w:sz w:val="20"/>
      <w:szCs w:val="20"/>
    </w:rPr>
  </w:style>
  <w:style w:type="character" w:customStyle="1" w:styleId="CommentSubjectChar">
    <w:name w:val="Comment Subject Char"/>
    <w:basedOn w:val="CommentTextChar"/>
    <w:link w:val="CommentSubject"/>
    <w:uiPriority w:val="99"/>
    <w:semiHidden/>
    <w:rsid w:val="00530F3D"/>
    <w:rPr>
      <w:b/>
      <w:bCs/>
      <w:sz w:val="20"/>
      <w:szCs w:val="20"/>
    </w:rPr>
  </w:style>
  <w:style w:type="paragraph" w:styleId="BalloonText">
    <w:name w:val="Balloon Text"/>
    <w:basedOn w:val="Normal"/>
    <w:link w:val="BalloonTextChar"/>
    <w:uiPriority w:val="99"/>
    <w:semiHidden/>
    <w:unhideWhenUsed/>
    <w:rsid w:val="00530F3D"/>
    <w:rPr>
      <w:sz w:val="18"/>
      <w:szCs w:val="18"/>
      <w:lang w:eastAsia="en-US"/>
    </w:rPr>
  </w:style>
  <w:style w:type="character" w:customStyle="1" w:styleId="BalloonTextChar">
    <w:name w:val="Balloon Text Char"/>
    <w:basedOn w:val="DefaultParagraphFont"/>
    <w:link w:val="BalloonText"/>
    <w:uiPriority w:val="99"/>
    <w:semiHidden/>
    <w:rsid w:val="00530F3D"/>
    <w:rPr>
      <w:rFonts w:ascii="Times New Roman" w:hAnsi="Times New Roman" w:cs="Times New Roman"/>
      <w:sz w:val="18"/>
      <w:szCs w:val="18"/>
    </w:rPr>
  </w:style>
  <w:style w:type="character" w:customStyle="1" w:styleId="Heading3Char">
    <w:name w:val="Heading 3 Char"/>
    <w:basedOn w:val="DefaultParagraphFont"/>
    <w:link w:val="Heading3"/>
    <w:uiPriority w:val="9"/>
    <w:rsid w:val="00457F9A"/>
    <w:rPr>
      <w:rFonts w:asciiTheme="majorHAnsi" w:eastAsiaTheme="majorEastAsia" w:hAnsiTheme="majorHAnsi" w:cstheme="majorBidi"/>
      <w:b/>
      <w:bCs/>
      <w:color w:val="5B9BD5" w:themeColor="accent1"/>
      <w:lang w:eastAsia="en-GB"/>
    </w:rPr>
  </w:style>
  <w:style w:type="character" w:styleId="FollowedHyperlink">
    <w:name w:val="FollowedHyperlink"/>
    <w:basedOn w:val="DefaultParagraphFont"/>
    <w:uiPriority w:val="99"/>
    <w:semiHidden/>
    <w:unhideWhenUsed/>
    <w:rsid w:val="007402FB"/>
    <w:rPr>
      <w:color w:val="954F72" w:themeColor="followedHyperlink"/>
      <w:u w:val="single"/>
    </w:rPr>
  </w:style>
  <w:style w:type="character" w:customStyle="1" w:styleId="Heading4Char">
    <w:name w:val="Heading 4 Char"/>
    <w:basedOn w:val="DefaultParagraphFont"/>
    <w:link w:val="Heading4"/>
    <w:uiPriority w:val="9"/>
    <w:rsid w:val="0070560A"/>
    <w:rPr>
      <w:rFonts w:asciiTheme="majorHAnsi" w:eastAsiaTheme="majorEastAsia" w:hAnsiTheme="majorHAnsi" w:cstheme="majorBidi"/>
      <w:b/>
      <w:bCs/>
      <w:i/>
      <w:iCs/>
      <w:color w:val="5B9BD5" w:themeColor="accent1"/>
      <w:lang w:eastAsia="en-GB"/>
    </w:rPr>
  </w:style>
  <w:style w:type="paragraph" w:styleId="Header">
    <w:name w:val="header"/>
    <w:basedOn w:val="Normal"/>
    <w:link w:val="HeaderChar"/>
    <w:uiPriority w:val="99"/>
    <w:unhideWhenUsed/>
    <w:rsid w:val="00EC0F18"/>
    <w:pPr>
      <w:tabs>
        <w:tab w:val="center" w:pos="4513"/>
        <w:tab w:val="right" w:pos="9026"/>
      </w:tabs>
    </w:pPr>
  </w:style>
  <w:style w:type="character" w:customStyle="1" w:styleId="HeaderChar">
    <w:name w:val="Header Char"/>
    <w:basedOn w:val="DefaultParagraphFont"/>
    <w:link w:val="Header"/>
    <w:uiPriority w:val="99"/>
    <w:rsid w:val="00EC0F18"/>
    <w:rPr>
      <w:rFonts w:ascii="Times New Roman" w:hAnsi="Times New Roman" w:cs="Times New Roman"/>
      <w:lang w:eastAsia="en-GB"/>
    </w:rPr>
  </w:style>
  <w:style w:type="paragraph" w:styleId="Footer">
    <w:name w:val="footer"/>
    <w:basedOn w:val="Normal"/>
    <w:link w:val="FooterChar"/>
    <w:uiPriority w:val="99"/>
    <w:unhideWhenUsed/>
    <w:rsid w:val="00EC0F18"/>
    <w:pPr>
      <w:tabs>
        <w:tab w:val="center" w:pos="4513"/>
        <w:tab w:val="right" w:pos="9026"/>
      </w:tabs>
    </w:pPr>
  </w:style>
  <w:style w:type="character" w:customStyle="1" w:styleId="FooterChar">
    <w:name w:val="Footer Char"/>
    <w:basedOn w:val="DefaultParagraphFont"/>
    <w:link w:val="Footer"/>
    <w:uiPriority w:val="99"/>
    <w:rsid w:val="00EC0F18"/>
    <w:rPr>
      <w:rFonts w:ascii="Times New Roman" w:hAnsi="Times New Roman" w:cs="Times New Roman"/>
      <w:lang w:eastAsia="en-GB"/>
    </w:rPr>
  </w:style>
  <w:style w:type="paragraph" w:styleId="ListParagraph">
    <w:name w:val="List Paragraph"/>
    <w:basedOn w:val="Normal"/>
    <w:uiPriority w:val="34"/>
    <w:qFormat/>
    <w:rsid w:val="0092008E"/>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39"/>
    <w:rsid w:val="00F16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4F31B4"/>
  </w:style>
  <w:style w:type="character" w:customStyle="1" w:styleId="FootnoteTextChar">
    <w:name w:val="Footnote Text Char"/>
    <w:basedOn w:val="DefaultParagraphFont"/>
    <w:link w:val="FootnoteText"/>
    <w:uiPriority w:val="99"/>
    <w:rsid w:val="004F31B4"/>
    <w:rPr>
      <w:rFonts w:ascii="Times New Roman" w:hAnsi="Times New Roman" w:cs="Times New Roman"/>
      <w:lang w:eastAsia="en-GB"/>
    </w:rPr>
  </w:style>
  <w:style w:type="character" w:styleId="FootnoteReference">
    <w:name w:val="footnote reference"/>
    <w:basedOn w:val="DefaultParagraphFont"/>
    <w:uiPriority w:val="99"/>
    <w:unhideWhenUsed/>
    <w:rsid w:val="004F31B4"/>
    <w:rPr>
      <w:vertAlign w:val="superscript"/>
    </w:rPr>
  </w:style>
  <w:style w:type="paragraph" w:styleId="Revision">
    <w:name w:val="Revision"/>
    <w:hidden/>
    <w:uiPriority w:val="99"/>
    <w:semiHidden/>
    <w:rsid w:val="00AA3DE8"/>
    <w:rPr>
      <w:rFonts w:ascii="Times New Roman" w:hAnsi="Times New Roman" w:cs="Times New Roman"/>
      <w:lang w:eastAsia="en-GB"/>
    </w:rPr>
  </w:style>
</w:styles>
</file>

<file path=word/webSettings.xml><?xml version="1.0" encoding="utf-8"?>
<w:webSettings xmlns:r="http://schemas.openxmlformats.org/officeDocument/2006/relationships" xmlns:w="http://schemas.openxmlformats.org/wordprocessingml/2006/main">
  <w:divs>
    <w:div w:id="124784139">
      <w:bodyDiv w:val="1"/>
      <w:marLeft w:val="0"/>
      <w:marRight w:val="0"/>
      <w:marTop w:val="0"/>
      <w:marBottom w:val="0"/>
      <w:divBdr>
        <w:top w:val="none" w:sz="0" w:space="0" w:color="auto"/>
        <w:left w:val="none" w:sz="0" w:space="0" w:color="auto"/>
        <w:bottom w:val="none" w:sz="0" w:space="0" w:color="auto"/>
        <w:right w:val="none" w:sz="0" w:space="0" w:color="auto"/>
      </w:divBdr>
    </w:div>
    <w:div w:id="350497926">
      <w:bodyDiv w:val="1"/>
      <w:marLeft w:val="0"/>
      <w:marRight w:val="0"/>
      <w:marTop w:val="0"/>
      <w:marBottom w:val="0"/>
      <w:divBdr>
        <w:top w:val="none" w:sz="0" w:space="0" w:color="auto"/>
        <w:left w:val="none" w:sz="0" w:space="0" w:color="auto"/>
        <w:bottom w:val="none" w:sz="0" w:space="0" w:color="auto"/>
        <w:right w:val="none" w:sz="0" w:space="0" w:color="auto"/>
      </w:divBdr>
    </w:div>
    <w:div w:id="684289072">
      <w:bodyDiv w:val="1"/>
      <w:marLeft w:val="0"/>
      <w:marRight w:val="0"/>
      <w:marTop w:val="0"/>
      <w:marBottom w:val="0"/>
      <w:divBdr>
        <w:top w:val="none" w:sz="0" w:space="0" w:color="auto"/>
        <w:left w:val="none" w:sz="0" w:space="0" w:color="auto"/>
        <w:bottom w:val="none" w:sz="0" w:space="0" w:color="auto"/>
        <w:right w:val="none" w:sz="0" w:space="0" w:color="auto"/>
      </w:divBdr>
    </w:div>
    <w:div w:id="759983073">
      <w:bodyDiv w:val="1"/>
      <w:marLeft w:val="0"/>
      <w:marRight w:val="0"/>
      <w:marTop w:val="0"/>
      <w:marBottom w:val="0"/>
      <w:divBdr>
        <w:top w:val="none" w:sz="0" w:space="0" w:color="auto"/>
        <w:left w:val="none" w:sz="0" w:space="0" w:color="auto"/>
        <w:bottom w:val="none" w:sz="0" w:space="0" w:color="auto"/>
        <w:right w:val="none" w:sz="0" w:space="0" w:color="auto"/>
      </w:divBdr>
    </w:div>
    <w:div w:id="1204901287">
      <w:bodyDiv w:val="1"/>
      <w:marLeft w:val="0"/>
      <w:marRight w:val="0"/>
      <w:marTop w:val="0"/>
      <w:marBottom w:val="0"/>
      <w:divBdr>
        <w:top w:val="none" w:sz="0" w:space="0" w:color="auto"/>
        <w:left w:val="none" w:sz="0" w:space="0" w:color="auto"/>
        <w:bottom w:val="none" w:sz="0" w:space="0" w:color="auto"/>
        <w:right w:val="none" w:sz="0" w:space="0" w:color="auto"/>
      </w:divBdr>
    </w:div>
    <w:div w:id="1881087243">
      <w:bodyDiv w:val="1"/>
      <w:marLeft w:val="0"/>
      <w:marRight w:val="0"/>
      <w:marTop w:val="0"/>
      <w:marBottom w:val="0"/>
      <w:divBdr>
        <w:top w:val="none" w:sz="0" w:space="0" w:color="auto"/>
        <w:left w:val="none" w:sz="0" w:space="0" w:color="auto"/>
        <w:bottom w:val="none" w:sz="0" w:space="0" w:color="auto"/>
        <w:right w:val="none" w:sz="0" w:space="0" w:color="auto"/>
      </w:divBdr>
    </w:div>
    <w:div w:id="18866018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74729BA-DD4E-4670-9B77-E7782F64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11743</Words>
  <Characters>66941</Characters>
  <Application>Microsoft Office Word</Application>
  <DocSecurity>0</DocSecurity>
  <Lines>557</Lines>
  <Paragraphs>157</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78527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 Christine</dc:creator>
  <cp:lastModifiedBy>Hall, N</cp:lastModifiedBy>
  <cp:revision>2</cp:revision>
  <dcterms:created xsi:type="dcterms:W3CDTF">2019-11-14T15:23:00Z</dcterms:created>
  <dcterms:modified xsi:type="dcterms:W3CDTF">2019-11-14T15:23:00Z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http://www.zotero.org/styles/academic-medicine</vt:lpwstr>
  </property>
  <property fmtid="{D5CDD505-2E9C-101B-9397-08002B2CF9AE}" pid="3" name="Mendeley Recent Style Name 0_1">
    <vt:lpwstr>Academic Medicine</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http://www.zotero.org/styles/injury</vt:lpwstr>
  </property>
  <property fmtid="{D5CDD505-2E9C-101B-9397-08002B2CF9AE}" pid="11" name="Mendeley Recent Style Name 4_1">
    <vt:lpwstr>Injury</vt:lpwstr>
  </property>
  <property fmtid="{D5CDD505-2E9C-101B-9397-08002B2CF9AE}" pid="12" name="Mendeley Recent Style Id 5_1">
    <vt:lpwstr>http://www.zotero.org/styles/journal-of-pediatric-surgery</vt:lpwstr>
  </property>
  <property fmtid="{D5CDD505-2E9C-101B-9397-08002B2CF9AE}" pid="13" name="Mendeley Recent Style Name 5_1">
    <vt:lpwstr>Journal of Pediatric Surgery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http://www.zotero.org/styles/sage-vancouver</vt:lpwstr>
  </property>
  <property fmtid="{D5CDD505-2E9C-101B-9397-08002B2CF9AE}" pid="19" name="Mendeley Recent Style Name 8_1">
    <vt:lpwstr>SAGE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1074c1f9-c238-3405-a147-b0acc1cf0e9a</vt:lpwstr>
  </property>
  <property fmtid="{D5CDD505-2E9C-101B-9397-08002B2CF9AE}" pid="24" name="Mendeley Citation Style_1">
    <vt:lpwstr>http://www.zotero.org/styles/journal-of-pediatric-surgery</vt:lpwstr>
  </property>
</Properties>
</file>